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EB4B">
      <w:pPr>
        <w:snapToGrid w:val="0"/>
        <w:jc w:val="center"/>
        <w:rPr>
          <w:rFonts w:hint="eastAsia" w:ascii="宋体" w:hAnsi="宋体" w:cs="宋体"/>
          <w:b/>
          <w:bCs/>
          <w:color w:val="auto"/>
          <w:sz w:val="36"/>
          <w:szCs w:val="36"/>
          <w:highlight w:val="none"/>
        </w:rPr>
      </w:pPr>
    </w:p>
    <w:p w14:paraId="43CA5669">
      <w:pPr>
        <w:snapToGrid w:val="0"/>
        <w:jc w:val="center"/>
        <w:rPr>
          <w:rFonts w:ascii="宋体" w:hAnsi="宋体" w:cs="宋体"/>
          <w:color w:val="auto"/>
          <w:sz w:val="110"/>
          <w:szCs w:val="110"/>
          <w:highlight w:val="none"/>
        </w:rPr>
      </w:pPr>
    </w:p>
    <w:p w14:paraId="66110EFB">
      <w:pPr>
        <w:snapToGrid w:val="0"/>
        <w:jc w:val="center"/>
        <w:rPr>
          <w:rFonts w:ascii="宋体" w:hAnsi="宋体" w:cs="宋体"/>
          <w:color w:val="auto"/>
          <w:sz w:val="110"/>
          <w:szCs w:val="110"/>
          <w:highlight w:val="none"/>
        </w:rPr>
      </w:pPr>
      <w:r>
        <w:rPr>
          <w:rFonts w:hint="eastAsia" w:ascii="宋体" w:hAnsi="宋体" w:cs="宋体"/>
          <w:color w:val="auto"/>
          <w:sz w:val="110"/>
          <w:szCs w:val="110"/>
          <w:highlight w:val="none"/>
        </w:rPr>
        <w:t>竞争性比选文件</w:t>
      </w:r>
    </w:p>
    <w:p w14:paraId="3679325C">
      <w:pPr>
        <w:spacing w:line="700" w:lineRule="exact"/>
        <w:jc w:val="center"/>
        <w:rPr>
          <w:rFonts w:ascii="宋体" w:hAnsi="宋体" w:cs="宋体"/>
          <w:b/>
          <w:bCs/>
          <w:color w:val="auto"/>
          <w:sz w:val="36"/>
          <w:szCs w:val="36"/>
          <w:highlight w:val="none"/>
        </w:rPr>
      </w:pPr>
    </w:p>
    <w:p w14:paraId="46004953">
      <w:pPr>
        <w:spacing w:line="700" w:lineRule="exact"/>
        <w:jc w:val="center"/>
        <w:rPr>
          <w:rFonts w:ascii="宋体" w:hAnsi="宋体" w:cs="宋体"/>
          <w:b/>
          <w:bCs/>
          <w:color w:val="auto"/>
          <w:sz w:val="36"/>
          <w:szCs w:val="36"/>
          <w:highlight w:val="none"/>
        </w:rPr>
      </w:pPr>
    </w:p>
    <w:p w14:paraId="287A044F">
      <w:pPr>
        <w:spacing w:line="700" w:lineRule="exact"/>
        <w:jc w:val="center"/>
        <w:rPr>
          <w:rFonts w:ascii="宋体" w:hAnsi="宋体" w:cs="宋体"/>
          <w:color w:val="auto"/>
          <w:sz w:val="40"/>
          <w:szCs w:val="22"/>
          <w:highlight w:val="none"/>
        </w:rPr>
      </w:pPr>
      <w:r>
        <w:rPr>
          <w:rFonts w:hint="eastAsia" w:ascii="宋体" w:hAnsi="宋体" w:cs="宋体"/>
          <w:b/>
          <w:bCs/>
          <w:color w:val="auto"/>
          <w:sz w:val="36"/>
          <w:szCs w:val="36"/>
          <w:highlight w:val="none"/>
        </w:rPr>
        <w:t>项目名称:重庆市南岸区新城时光幼儿园教职工餐厅改建工程</w:t>
      </w:r>
    </w:p>
    <w:p w14:paraId="3AE7FDAF">
      <w:pPr>
        <w:spacing w:line="700" w:lineRule="exact"/>
        <w:rPr>
          <w:rFonts w:ascii="宋体" w:hAnsi="宋体" w:cs="宋体"/>
          <w:color w:val="auto"/>
          <w:sz w:val="40"/>
          <w:szCs w:val="22"/>
          <w:highlight w:val="none"/>
        </w:rPr>
      </w:pPr>
    </w:p>
    <w:p w14:paraId="21043F0D">
      <w:pPr>
        <w:spacing w:line="700" w:lineRule="exact"/>
        <w:rPr>
          <w:rFonts w:ascii="宋体" w:hAnsi="宋体" w:cs="宋体"/>
          <w:color w:val="auto"/>
          <w:sz w:val="40"/>
          <w:szCs w:val="22"/>
          <w:highlight w:val="none"/>
        </w:rPr>
      </w:pPr>
    </w:p>
    <w:p w14:paraId="35053BCB">
      <w:pPr>
        <w:spacing w:line="500" w:lineRule="exact"/>
        <w:outlineLvl w:val="0"/>
        <w:rPr>
          <w:rFonts w:ascii="宋体" w:hAnsi="宋体" w:cs="宋体"/>
          <w:color w:val="auto"/>
          <w:sz w:val="44"/>
          <w:szCs w:val="22"/>
          <w:highlight w:val="none"/>
        </w:rPr>
      </w:pPr>
    </w:p>
    <w:p w14:paraId="29236BFE">
      <w:pPr>
        <w:pStyle w:val="32"/>
        <w:rPr>
          <w:rFonts w:ascii="Times New Roman"/>
          <w:color w:val="auto"/>
          <w:highlight w:val="none"/>
        </w:rPr>
      </w:pPr>
    </w:p>
    <w:p w14:paraId="5F81F5B3">
      <w:pPr>
        <w:rPr>
          <w:color w:val="auto"/>
          <w:highlight w:val="none"/>
        </w:rPr>
      </w:pPr>
    </w:p>
    <w:p w14:paraId="2357D108">
      <w:pPr>
        <w:spacing w:line="360" w:lineRule="auto"/>
        <w:ind w:left="2558" w:leftChars="342" w:hanging="1600" w:hangingChars="500"/>
        <w:outlineLvl w:val="0"/>
        <w:rPr>
          <w:rFonts w:ascii="宋体" w:hAnsi="宋体" w:cs="宋体"/>
          <w:color w:val="auto"/>
          <w:sz w:val="32"/>
          <w:szCs w:val="32"/>
          <w:highlight w:val="none"/>
        </w:rPr>
      </w:pPr>
    </w:p>
    <w:p w14:paraId="44184724">
      <w:pPr>
        <w:spacing w:line="500" w:lineRule="exact"/>
        <w:ind w:firstLine="800" w:firstLineChars="250"/>
        <w:outlineLvl w:val="0"/>
        <w:rPr>
          <w:rFonts w:ascii="宋体" w:hAnsi="宋体" w:cs="宋体"/>
          <w:color w:val="auto"/>
          <w:sz w:val="32"/>
          <w:szCs w:val="32"/>
          <w:highlight w:val="none"/>
        </w:rPr>
      </w:pPr>
    </w:p>
    <w:p w14:paraId="1C6280DC">
      <w:pPr>
        <w:pStyle w:val="32"/>
        <w:rPr>
          <w:rFonts w:ascii="Times New Roman"/>
          <w:color w:val="auto"/>
          <w:highlight w:val="none"/>
        </w:rPr>
      </w:pPr>
    </w:p>
    <w:p w14:paraId="4703DBB5">
      <w:pPr>
        <w:rPr>
          <w:color w:val="auto"/>
          <w:highlight w:val="none"/>
        </w:rPr>
      </w:pPr>
    </w:p>
    <w:p w14:paraId="6B812EFD">
      <w:pPr>
        <w:pStyle w:val="4"/>
        <w:rPr>
          <w:color w:val="auto"/>
          <w:highlight w:val="none"/>
        </w:rPr>
      </w:pPr>
    </w:p>
    <w:p w14:paraId="3D82C9F5">
      <w:pPr>
        <w:rPr>
          <w:color w:val="auto"/>
          <w:highlight w:val="none"/>
        </w:rPr>
      </w:pPr>
    </w:p>
    <w:p w14:paraId="3A92B063">
      <w:pPr>
        <w:spacing w:line="360" w:lineRule="auto"/>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招   标   人：</w:t>
      </w:r>
      <w:r>
        <w:rPr>
          <w:rFonts w:hint="eastAsia" w:ascii="宋体" w:hAnsi="宋体" w:cs="宋体"/>
          <w:color w:val="auto"/>
          <w:sz w:val="32"/>
          <w:szCs w:val="32"/>
          <w:highlight w:val="none"/>
          <w:u w:val="single"/>
        </w:rPr>
        <w:t>重庆市南岸区新城时光幼儿园</w:t>
      </w:r>
    </w:p>
    <w:p w14:paraId="60400B57">
      <w:pPr>
        <w:spacing w:line="360" w:lineRule="auto"/>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招标代理机构：</w:t>
      </w:r>
      <w:r>
        <w:rPr>
          <w:rFonts w:hint="eastAsia" w:ascii="宋体" w:hAnsi="宋体" w:cs="宋体"/>
          <w:color w:val="auto"/>
          <w:sz w:val="32"/>
          <w:szCs w:val="32"/>
          <w:highlight w:val="none"/>
          <w:u w:val="single"/>
        </w:rPr>
        <w:t>重庆泓展建设工程咨询有限公司</w:t>
      </w:r>
    </w:p>
    <w:p w14:paraId="75BF7550">
      <w:pPr>
        <w:snapToGrid w:val="0"/>
        <w:spacing w:line="560" w:lineRule="exact"/>
        <w:jc w:val="center"/>
        <w:rPr>
          <w:rFonts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二〇二五年六月</w:t>
      </w:r>
    </w:p>
    <w:p w14:paraId="219DF71E">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14:paraId="3ED33666">
      <w:pPr>
        <w:pStyle w:val="21"/>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第一篇  招标公告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F30571E">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项目技术（质量）需求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486134F">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67BFFD6">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306B47A">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7CDF8CA">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9DA8FF6">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第七篇  投标文件格式要求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D6160A7">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0A82D19">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923BEBB">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4F8EBA2">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00EE957">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E1D232F">
      <w:pPr>
        <w:pStyle w:val="21"/>
        <w:tabs>
          <w:tab w:val="right" w:leader="dot" w:pos="9402"/>
        </w:tabs>
        <w:spacing w:line="360" w:lineRule="auto"/>
        <w:ind w:left="560"/>
        <w:rPr>
          <w:rFonts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14:paraId="38B6D688">
      <w:pPr>
        <w:pStyle w:val="4"/>
        <w:snapToGrid w:val="0"/>
        <w:spacing w:before="0" w:after="0" w:line="440" w:lineRule="exact"/>
        <w:jc w:val="center"/>
        <w:rPr>
          <w:rFonts w:ascii="宋体" w:hAnsi="宋体" w:eastAsia="宋体" w:cs="宋体"/>
          <w:color w:val="auto"/>
          <w:sz w:val="36"/>
          <w:szCs w:val="28"/>
          <w:highlight w:val="none"/>
        </w:rPr>
      </w:pPr>
      <w:bookmarkStart w:id="0" w:name="_Toc12789052"/>
      <w:bookmarkStart w:id="1" w:name="_Toc11641050"/>
      <w:bookmarkStart w:id="2" w:name="_Toc32491"/>
      <w:r>
        <w:rPr>
          <w:rFonts w:hint="eastAsia" w:ascii="宋体" w:hAnsi="宋体" w:eastAsia="宋体" w:cs="宋体"/>
          <w:color w:val="auto"/>
          <w:sz w:val="36"/>
          <w:szCs w:val="28"/>
          <w:highlight w:val="none"/>
        </w:rPr>
        <w:t xml:space="preserve">第一篇  </w:t>
      </w:r>
      <w:bookmarkEnd w:id="0"/>
      <w:bookmarkEnd w:id="1"/>
      <w:bookmarkEnd w:id="2"/>
      <w:r>
        <w:rPr>
          <w:rFonts w:hint="eastAsia" w:ascii="宋体" w:hAnsi="宋体" w:eastAsia="宋体" w:cs="宋体"/>
          <w:color w:val="auto"/>
          <w:sz w:val="36"/>
          <w:szCs w:val="28"/>
          <w:highlight w:val="none"/>
        </w:rPr>
        <w:t>招标公告</w:t>
      </w:r>
    </w:p>
    <w:p w14:paraId="18C9C128">
      <w:pPr>
        <w:snapToGrid w:val="0"/>
        <w:spacing w:line="440" w:lineRule="exact"/>
        <w:ind w:firstLine="480" w:firstLineChars="200"/>
        <w:rPr>
          <w:rFonts w:ascii="宋体" w:hAnsi="宋体" w:cs="宋体"/>
          <w:color w:val="auto"/>
          <w:sz w:val="24"/>
          <w:szCs w:val="24"/>
          <w:highlight w:val="none"/>
        </w:rPr>
      </w:pPr>
      <w:bookmarkStart w:id="3" w:name="_Toc317775175"/>
      <w:bookmarkStart w:id="4" w:name="_Toc313893526"/>
      <w:r>
        <w:rPr>
          <w:rFonts w:hint="eastAsia" w:ascii="宋体" w:hAnsi="宋体" w:cs="宋体"/>
          <w:color w:val="auto"/>
          <w:sz w:val="24"/>
          <w:szCs w:val="24"/>
          <w:highlight w:val="none"/>
          <w:u w:val="single"/>
        </w:rPr>
        <w:t>重庆泓展建设工程咨询有限公司</w:t>
      </w:r>
      <w:r>
        <w:rPr>
          <w:rFonts w:hint="eastAsia" w:ascii="宋体" w:hAnsi="宋体" w:cs="宋体"/>
          <w:color w:val="auto"/>
          <w:sz w:val="24"/>
          <w:szCs w:val="24"/>
          <w:highlight w:val="none"/>
        </w:rPr>
        <w:t>（以下简称：招标代理机构）接受</w:t>
      </w:r>
      <w:r>
        <w:rPr>
          <w:rFonts w:hint="eastAsia" w:ascii="宋体" w:hAnsi="宋体" w:cs="宋体"/>
          <w:color w:val="auto"/>
          <w:sz w:val="24"/>
          <w:szCs w:val="24"/>
          <w:highlight w:val="none"/>
          <w:u w:val="single"/>
        </w:rPr>
        <w:t>重庆市南岸区新城时光幼儿园</w:t>
      </w:r>
      <w:r>
        <w:rPr>
          <w:rFonts w:hint="eastAsia" w:ascii="宋体" w:hAnsi="宋体" w:cs="宋体"/>
          <w:color w:val="auto"/>
          <w:sz w:val="24"/>
          <w:szCs w:val="24"/>
          <w:highlight w:val="none"/>
        </w:rPr>
        <w:t>（以下简称：招标人）的委托，对</w:t>
      </w:r>
      <w:r>
        <w:rPr>
          <w:rFonts w:hint="eastAsia" w:ascii="宋体" w:hAnsi="宋体" w:cs="宋体"/>
          <w:color w:val="auto"/>
          <w:sz w:val="24"/>
          <w:szCs w:val="24"/>
          <w:highlight w:val="none"/>
          <w:u w:val="single"/>
        </w:rPr>
        <w:t>重庆市南岸区新城时光幼儿园教职工餐厅改建工程</w:t>
      </w:r>
      <w:r>
        <w:rPr>
          <w:rFonts w:hint="eastAsia" w:ascii="宋体" w:hAnsi="宋体" w:cs="宋体"/>
          <w:color w:val="auto"/>
          <w:sz w:val="24"/>
          <w:szCs w:val="24"/>
          <w:highlight w:val="none"/>
        </w:rPr>
        <w:t>进行招标，欢迎有资格的投标人前来参加投标。</w:t>
      </w:r>
    </w:p>
    <w:tbl>
      <w:tblPr>
        <w:tblStyle w:val="24"/>
        <w:tblpPr w:leftFromText="180" w:rightFromText="180" w:vertAnchor="text" w:horzAnchor="margin" w:tblpXSpec="center" w:tblpY="596"/>
        <w:tblOverlap w:val="never"/>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2828"/>
      </w:tblGrid>
      <w:tr w14:paraId="094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14:paraId="7CB888DC">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14:paraId="6736609A">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14:paraId="636F3FF4">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中标人</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2828" w:type="dxa"/>
            <w:vAlign w:val="center"/>
          </w:tcPr>
          <w:p w14:paraId="2394D14C">
            <w:pPr>
              <w:pStyle w:val="10"/>
              <w:spacing w:line="440" w:lineRule="exact"/>
              <w:ind w:left="0"/>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采购标的对应的中小企业划分标准所属行业</w:t>
            </w:r>
          </w:p>
        </w:tc>
      </w:tr>
      <w:tr w14:paraId="54D5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14:paraId="2EB8F1C5">
            <w:pPr>
              <w:snapToGrid w:val="0"/>
              <w:spacing w:line="440" w:lineRule="exact"/>
              <w:jc w:val="center"/>
              <w:outlineLvl w:val="0"/>
              <w:rPr>
                <w:rFonts w:ascii="宋体" w:hAnsi="宋体" w:cs="宋体"/>
                <w:bCs/>
                <w:color w:val="auto"/>
                <w:sz w:val="24"/>
                <w:szCs w:val="24"/>
                <w:highlight w:val="none"/>
              </w:rPr>
            </w:pPr>
            <w:r>
              <w:rPr>
                <w:rFonts w:hint="eastAsia" w:ascii="宋体" w:hAnsi="宋体" w:cs="宋体"/>
                <w:color w:val="auto"/>
                <w:sz w:val="24"/>
                <w:szCs w:val="24"/>
                <w:highlight w:val="none"/>
              </w:rPr>
              <w:t>重庆市南岸区新城时光幼儿园教职工餐厅改建工程</w:t>
            </w:r>
          </w:p>
        </w:tc>
        <w:tc>
          <w:tcPr>
            <w:tcW w:w="1833" w:type="dxa"/>
            <w:vAlign w:val="center"/>
          </w:tcPr>
          <w:p w14:paraId="36D2E485">
            <w:pPr>
              <w:widowControl/>
              <w:snapToGrid/>
              <w:spacing w:line="240" w:lineRule="auto"/>
              <w:jc w:val="left"/>
              <w:outlineLvl w:val="9"/>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w:t>
            </w:r>
            <w:r>
              <w:rPr>
                <w:rFonts w:hint="eastAsia" w:ascii="宋体" w:hAnsi="宋体" w:eastAsia="宋体" w:cs="宋体"/>
                <w:color w:val="000000"/>
                <w:kern w:val="0"/>
                <w:sz w:val="24"/>
                <w:szCs w:val="24"/>
                <w:lang w:val="en-US" w:eastAsia="zh-CN" w:bidi="ar"/>
              </w:rPr>
              <w:t>128629.38</w:t>
            </w:r>
          </w:p>
        </w:tc>
        <w:tc>
          <w:tcPr>
            <w:tcW w:w="2055" w:type="dxa"/>
            <w:vAlign w:val="center"/>
          </w:tcPr>
          <w:p w14:paraId="78F79609">
            <w:pPr>
              <w:snapToGrid w:val="0"/>
              <w:spacing w:line="44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828" w:type="dxa"/>
            <w:vAlign w:val="center"/>
          </w:tcPr>
          <w:p w14:paraId="01E0FCDE">
            <w:pPr>
              <w:pStyle w:val="10"/>
              <w:spacing w:line="440" w:lineRule="exact"/>
              <w:ind w:left="0"/>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建筑业</w:t>
            </w:r>
          </w:p>
        </w:tc>
      </w:tr>
    </w:tbl>
    <w:p w14:paraId="2CDEE2B6">
      <w:pPr>
        <w:pStyle w:val="5"/>
        <w:snapToGrid w:val="0"/>
        <w:spacing w:before="0" w:after="0" w:line="440" w:lineRule="exact"/>
        <w:rPr>
          <w:rFonts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14:paraId="0731CD94">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14:paraId="643C460A">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学校自筹资金，采购预算金额为</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万元。</w:t>
      </w:r>
      <w:r>
        <w:rPr>
          <w:rFonts w:hint="eastAsia" w:ascii="宋体" w:hAnsi="宋体" w:cs="宋体"/>
          <w:color w:val="auto"/>
          <w:sz w:val="24"/>
          <w:szCs w:val="24"/>
          <w:highlight w:val="none"/>
        </w:rPr>
        <w:tab/>
      </w:r>
    </w:p>
    <w:p w14:paraId="6705DFE8">
      <w:pPr>
        <w:pStyle w:val="5"/>
        <w:snapToGrid w:val="0"/>
        <w:spacing w:before="0" w:after="0" w:line="440" w:lineRule="exact"/>
        <w:rPr>
          <w:rFonts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三、投标人资格</w:t>
      </w:r>
      <w:bookmarkEnd w:id="10"/>
      <w:r>
        <w:rPr>
          <w:rFonts w:hint="eastAsia" w:ascii="宋体" w:hAnsi="宋体" w:cs="宋体"/>
          <w:color w:val="auto"/>
          <w:sz w:val="24"/>
          <w:szCs w:val="24"/>
          <w:highlight w:val="none"/>
        </w:rPr>
        <w:t>条件</w:t>
      </w:r>
      <w:bookmarkEnd w:id="11"/>
    </w:p>
    <w:bookmarkEnd w:id="8"/>
    <w:p w14:paraId="645A7ED8">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14:paraId="0E85C73B">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14:paraId="2792BE3A">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14:paraId="2BC9AD92">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14:paraId="71185644">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14:paraId="20E29301">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14:paraId="7C73448A">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14:paraId="3E06198C">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14:paraId="783C3512">
      <w:pPr>
        <w:snapToGrid w:val="0"/>
        <w:spacing w:line="440" w:lineRule="exact"/>
        <w:ind w:firstLine="480" w:firstLineChars="200"/>
        <w:rPr>
          <w:rFonts w:ascii="宋体" w:hAnsi="宋体" w:cs="宋体"/>
          <w:color w:val="auto"/>
          <w:sz w:val="24"/>
          <w:szCs w:val="24"/>
          <w:highlight w:val="none"/>
        </w:rPr>
      </w:pPr>
      <w:bookmarkStart w:id="12" w:name="_Toc30463"/>
      <w:r>
        <w:rPr>
          <w:rFonts w:hint="eastAsia" w:ascii="宋体" w:hAnsi="宋体" w:cs="宋体"/>
          <w:color w:val="auto"/>
          <w:sz w:val="24"/>
          <w:szCs w:val="24"/>
          <w:highlight w:val="none"/>
        </w:rPr>
        <w:t>1、投标人须具备建设行政主管部门颁发的有效的建筑工程施工总承包叁级及以上资质（须提供有效的资质证书复印件并加盖投标人公章）。</w:t>
      </w:r>
    </w:p>
    <w:p w14:paraId="0EC2ADF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2、投标人须具备建设行政主管部门颁发的有效的安全生产许可证（须提供有效的安全生产许可证复印件并加盖投标人公章）。</w:t>
      </w:r>
    </w:p>
    <w:p w14:paraId="184B9CD6">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四、投标有关说明</w:t>
      </w:r>
      <w:bookmarkEnd w:id="12"/>
    </w:p>
    <w:p w14:paraId="130D7B4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（一）投标人需通过行采家（https://www.gec123.com/）进行注册登记。</w:t>
      </w:r>
    </w:p>
    <w:p w14:paraId="5E2E5A1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投标的投标人，请在招标公告发布之日起至提交投标文件截止时间之前自行在“行采家”（https://www.gec123.com/）下载本项目招标文件以及补遗等开标前公布的所有项目资料，无论投标人下载与否，均视为已知晓所有实质性要求内容。</w:t>
      </w:r>
    </w:p>
    <w:p w14:paraId="17BD1CCE">
      <w:pPr>
        <w:spacing w:line="400" w:lineRule="exact"/>
        <w:ind w:firstLine="480" w:firstLineChars="200"/>
        <w:rPr>
          <w:rFonts w:asciiTheme="minorEastAsia" w:hAnsiTheme="minorEastAsia" w:eastAsiaTheme="minorEastAsia" w:cstheme="minorEastAsia"/>
          <w:color w:val="auto"/>
          <w:sz w:val="24"/>
          <w:szCs w:val="24"/>
          <w:highlight w:val="none"/>
        </w:rPr>
      </w:pPr>
      <w:bookmarkStart w:id="13" w:name="_Toc26901"/>
      <w:bookmarkStart w:id="14" w:name="_Toc13746"/>
      <w:bookmarkStart w:id="15" w:name="_Toc27572"/>
      <w:bookmarkStart w:id="16" w:name="_Toc403569774"/>
      <w:r>
        <w:rPr>
          <w:rFonts w:hint="eastAsia" w:asciiTheme="minorEastAsia" w:hAnsiTheme="minorEastAsia" w:eastAsiaTheme="minorEastAsia" w:cstheme="minorEastAsia"/>
          <w:color w:val="auto"/>
          <w:sz w:val="24"/>
          <w:szCs w:val="24"/>
          <w:highlight w:val="none"/>
        </w:rPr>
        <w:t>（三）招标文件提供期限：自招标公告发布之日起三个工作日。</w:t>
      </w:r>
    </w:p>
    <w:p w14:paraId="23350248">
      <w:pPr>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（四）报名及招标文件发售</w:t>
      </w:r>
    </w:p>
    <w:p w14:paraId="575F8419">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p>
    <w:bookmarkEnd w:id="13"/>
    <w:p w14:paraId="1BBC2A4D">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1.报名和招标文件发售期：2025年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日17:00（工作时间）</w:t>
      </w:r>
      <w:bookmarkEnd w:id="17"/>
      <w:r>
        <w:rPr>
          <w:rFonts w:hint="eastAsia" w:ascii="宋体" w:hAnsi="宋体" w:eastAsia="宋体" w:cs="宋体"/>
          <w:color w:val="auto"/>
          <w:sz w:val="24"/>
          <w:szCs w:val="24"/>
          <w:highlight w:val="none"/>
        </w:rPr>
        <w:t>。</w:t>
      </w:r>
    </w:p>
    <w:p w14:paraId="46F3E88B">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8" w:name="_Toc9421"/>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"mailto:</w:instrText>
      </w:r>
      <w:r>
        <w:rPr>
          <w:rFonts w:hint="eastAsia" w:ascii="宋体" w:hAnsi="宋体" w:eastAsia="宋体" w:cs="宋体"/>
          <w:color w:val="auto"/>
          <w:sz w:val="24"/>
          <w:szCs w:val="24"/>
          <w:highlight w:val="none"/>
        </w:rPr>
        <w:instrText xml:space="preserve">2.在招标文件发售期内，投标人将《招标文件发售登记表》加盖投标人公章扫描后发送至331219262@qq.com，</w:instrText>
      </w:r>
      <w:r>
        <w:rPr>
          <w:rFonts w:ascii="宋体" w:hAnsi="宋体" w:eastAsia="宋体" w:cs="宋体"/>
          <w:color w:val="auto"/>
          <w:sz w:val="24"/>
          <w:szCs w:val="24"/>
          <w:highlight w:val="none"/>
        </w:rPr>
        <w:instrText xml:space="preserve">" </w:instrText>
      </w:r>
      <w:r>
        <w:rPr>
          <w:rFonts w:ascii="宋体" w:hAnsi="宋体" w:eastAsia="宋体" w:cs="宋体"/>
          <w:color w:val="auto"/>
          <w:sz w:val="24"/>
          <w:szCs w:val="24"/>
          <w:highlight w:val="none"/>
        </w:rPr>
        <w:fldChar w:fldCharType="separate"/>
      </w:r>
      <w:r>
        <w:rPr>
          <w:rStyle w:val="28"/>
          <w:rFonts w:hint="eastAsia" w:ascii="宋体" w:hAnsi="宋体" w:cs="宋体"/>
          <w:color w:val="auto"/>
          <w:sz w:val="24"/>
          <w:szCs w:val="24"/>
          <w:highlight w:val="none"/>
        </w:rPr>
        <w:t>2.在招标文件发售期内，投标人将《招标文件发售登记表》加盖投标人公章扫描后发送至275147800@qq.com，</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并电话通知招标代理机构（联系人：聂老师 电话：023-63082043）</w:t>
      </w:r>
      <w:bookmarkEnd w:id="18"/>
    </w:p>
    <w:p w14:paraId="686D9374">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9" w:name="_Toc8290"/>
      <w:r>
        <w:rPr>
          <w:rFonts w:hint="eastAsia" w:ascii="宋体" w:hAnsi="宋体" w:eastAsia="宋体" w:cs="宋体"/>
          <w:color w:val="auto"/>
          <w:sz w:val="24"/>
          <w:szCs w:val="24"/>
          <w:highlight w:val="none"/>
        </w:rPr>
        <w:t>3.招标文件每套售价300.00元，在报名和招标文件发售期内报名的投标人，其投标文件才被接受。招标文件购买费用和投标文件一并递交。</w:t>
      </w:r>
      <w:bookmarkEnd w:id="19"/>
    </w:p>
    <w:p w14:paraId="0400259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（四）投标文件的递交</w:t>
      </w:r>
    </w:p>
    <w:p w14:paraId="2584FF9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1.投标文件现场递交时间：2025年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4EF660F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2.投标文件现场递交地点：重庆市南岸区新城时光幼儿园</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楼会议室。</w:t>
      </w:r>
    </w:p>
    <w:p w14:paraId="69918BE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3.投标截止时间：2025年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1ABCC9E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4.逾期送达或者未送达指定地点的投标文件，招标人不予受理。</w:t>
      </w:r>
    </w:p>
    <w:p w14:paraId="610615C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5.各投标人除按规定线下递交纸质投标文件外，还须在投标截止时间前在行采家（https://www.gec123.com/）网站进行线上报价。</w:t>
      </w:r>
    </w:p>
    <w:p w14:paraId="283CC3D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（五）投标人须满足以下三种条件，其线下递交的投标文件才被接受：</w:t>
      </w:r>
    </w:p>
    <w:p w14:paraId="43028D0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1.按招标文件要求按时报名；</w:t>
      </w:r>
    </w:p>
    <w:p w14:paraId="4DE8AD5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2.按时递交了纸质投标文件；</w:t>
      </w:r>
    </w:p>
    <w:p w14:paraId="48152CC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3.按时在递交投标文件地点报名签到。</w:t>
      </w:r>
    </w:p>
    <w:bookmarkEnd w:id="14"/>
    <w:bookmarkEnd w:id="15"/>
    <w:p w14:paraId="5FC76C3B">
      <w:pPr>
        <w:pStyle w:val="5"/>
        <w:spacing w:before="0" w:after="0" w:line="440" w:lineRule="exact"/>
        <w:ind w:firstLine="241" w:firstLineChars="100"/>
        <w:rPr>
          <w:rFonts w:ascii="宋体" w:hAnsi="宋体" w:cs="宋体"/>
          <w:color w:val="auto"/>
          <w:sz w:val="24"/>
          <w:szCs w:val="24"/>
          <w:highlight w:val="none"/>
        </w:rPr>
      </w:pPr>
      <w:bookmarkStart w:id="20" w:name="_Toc1606"/>
      <w:r>
        <w:rPr>
          <w:rFonts w:hint="eastAsia" w:ascii="宋体" w:hAnsi="宋体" w:cs="宋体"/>
          <w:color w:val="auto"/>
          <w:sz w:val="24"/>
          <w:szCs w:val="24"/>
          <w:highlight w:val="none"/>
        </w:rPr>
        <w:t>五、其它有关规定</w:t>
      </w:r>
      <w:bookmarkEnd w:id="16"/>
      <w:bookmarkEnd w:id="20"/>
    </w:p>
    <w:bookmarkEnd w:id="9"/>
    <w:p w14:paraId="0754264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（一）单位负责人为同一人或者存在直接控股、管理关系的不同投标人，不得参加同一合同项（分包）下的政府采购活动，否则均为无效响应。</w:t>
      </w:r>
    </w:p>
    <w:p w14:paraId="461D482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（二）为采购项目提供整体设计、规范编制或者项目管理、监理、检测等服务的投标人，不得再参加该采购项目的其他采购活动。</w:t>
      </w:r>
    </w:p>
    <w:p w14:paraId="0A32767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8"/>
          <w:rFonts w:hint="eastAsia" w:ascii="宋体" w:hAnsi="宋体" w:cs="宋体"/>
          <w:color w:val="auto"/>
          <w:sz w:val="24"/>
          <w:szCs w:val="24"/>
          <w:highlight w:val="none"/>
        </w:rPr>
        <w:t>https://www.gec123.com/</w:t>
      </w:r>
      <w:r>
        <w:rPr>
          <w:rStyle w:val="28"/>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）发布，请各投标人注意下载；无论投标人下载与否，均视同投标人已知晓本项目补遗文件（如果有）的内容。</w:t>
      </w:r>
    </w:p>
    <w:p w14:paraId="635015F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（四）投标有关费用无论招标结果如何，投标人参与本项目投标的所有费用均应由投标人自行承担。</w:t>
      </w:r>
    </w:p>
    <w:p w14:paraId="3196ECD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（五）本项目不接受联合体参与投标。</w:t>
      </w:r>
    </w:p>
    <w:p w14:paraId="7DD85E7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（六）投标保证金：本项目无需提交投标保证金。</w:t>
      </w:r>
    </w:p>
    <w:p w14:paraId="10D3A1B1">
      <w:pPr>
        <w:snapToGrid w:val="0"/>
        <w:spacing w:line="44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七）按照《财政部关于在政府采购活动中查询及使用信用记录有关问题的通知》财库〔2016〕125号，投标人列入失信被执行人、重大税收违法失信主体、政府采购严重违法失信行为记录名单及其他不符合《中华人民共和国政府采购法》第二十二条规定条件的投标人，将拒绝其参与政府采购活动。</w:t>
      </w:r>
    </w:p>
    <w:p w14:paraId="284829CE">
      <w:pPr>
        <w:pStyle w:val="5"/>
        <w:spacing w:before="0" w:after="0" w:line="440" w:lineRule="exact"/>
        <w:rPr>
          <w:rFonts w:ascii="宋体" w:hAnsi="宋体" w:cs="宋体"/>
          <w:color w:val="auto"/>
          <w:sz w:val="24"/>
          <w:szCs w:val="24"/>
          <w:highlight w:val="none"/>
        </w:rPr>
      </w:pPr>
      <w:bookmarkStart w:id="21" w:name="_Toc2959"/>
      <w:r>
        <w:rPr>
          <w:rFonts w:hint="eastAsia" w:ascii="宋体" w:hAnsi="宋体" w:cs="宋体"/>
          <w:color w:val="auto"/>
          <w:sz w:val="24"/>
          <w:szCs w:val="24"/>
          <w:highlight w:val="none"/>
        </w:rPr>
        <w:t>六、联系方式</w:t>
      </w:r>
      <w:bookmarkEnd w:id="21"/>
    </w:p>
    <w:p w14:paraId="0262F8CF">
      <w:pPr>
        <w:tabs>
          <w:tab w:val="left" w:pos="3480"/>
        </w:tabs>
        <w:snapToGrid w:val="0"/>
        <w:spacing w:line="440" w:lineRule="exact"/>
        <w:ind w:firstLine="480" w:firstLineChars="200"/>
        <w:rPr>
          <w:rFonts w:ascii="宋体" w:hAnsi="宋体" w:cs="宋体"/>
          <w:color w:val="auto"/>
          <w:sz w:val="24"/>
          <w:szCs w:val="24"/>
          <w:highlight w:val="none"/>
        </w:rPr>
      </w:pPr>
      <w:bookmarkStart w:id="22" w:name="_Toc32633"/>
      <w:bookmarkStart w:id="23" w:name="_Toc24944"/>
      <w:bookmarkStart w:id="24" w:name="_Toc102227313"/>
      <w:r>
        <w:rPr>
          <w:rFonts w:hint="eastAsia" w:ascii="宋体" w:hAnsi="宋体" w:cs="宋体"/>
          <w:color w:val="auto"/>
          <w:sz w:val="24"/>
          <w:szCs w:val="24"/>
          <w:highlight w:val="none"/>
        </w:rPr>
        <w:t>（一）招标人：</w:t>
      </w:r>
      <w:bookmarkEnd w:id="22"/>
      <w:bookmarkEnd w:id="23"/>
      <w:r>
        <w:rPr>
          <w:rFonts w:hint="eastAsia" w:ascii="宋体" w:hAnsi="宋体" w:cs="宋体"/>
          <w:color w:val="auto"/>
          <w:sz w:val="24"/>
          <w:szCs w:val="24"/>
          <w:highlight w:val="none"/>
        </w:rPr>
        <w:t>重庆市南岸区新城时光幼儿园</w:t>
      </w:r>
    </w:p>
    <w:p w14:paraId="2787C241">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联系人：何老师</w:t>
      </w:r>
    </w:p>
    <w:p w14:paraId="07F2649F">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话：023-61669267</w:t>
      </w:r>
    </w:p>
    <w:p w14:paraId="3B504BC7">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cs="宋体" w:asciiTheme="minorEastAsia" w:hAnsiTheme="minorEastAsia" w:eastAsiaTheme="minorEastAsia"/>
          <w:color w:val="auto"/>
          <w:sz w:val="24"/>
          <w:szCs w:val="24"/>
          <w:highlight w:val="none"/>
        </w:rPr>
        <w:t>重庆市南岸区通江大道103号</w:t>
      </w:r>
      <w:r>
        <w:rPr>
          <w:rFonts w:hint="eastAsia" w:ascii="宋体" w:hAnsi="宋体" w:cs="宋体"/>
          <w:color w:val="auto"/>
          <w:sz w:val="24"/>
          <w:szCs w:val="24"/>
          <w:highlight w:val="none"/>
        </w:rPr>
        <w:t xml:space="preserve"> </w:t>
      </w:r>
    </w:p>
    <w:p w14:paraId="04E81B94">
      <w:pPr>
        <w:tabs>
          <w:tab w:val="left" w:pos="3480"/>
        </w:tabs>
        <w:snapToGrid w:val="0"/>
        <w:spacing w:line="440" w:lineRule="exact"/>
        <w:ind w:firstLine="480" w:firstLineChars="200"/>
        <w:rPr>
          <w:rFonts w:ascii="宋体" w:hAnsi="宋体" w:cs="宋体"/>
          <w:color w:val="auto"/>
          <w:sz w:val="24"/>
          <w:szCs w:val="24"/>
          <w:highlight w:val="none"/>
        </w:rPr>
      </w:pPr>
      <w:bookmarkStart w:id="25" w:name="_Toc22583"/>
      <w:bookmarkStart w:id="26" w:name="_Toc27048"/>
    </w:p>
    <w:p w14:paraId="7CE77A72">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（二）招标代理机构：</w:t>
      </w:r>
      <w:bookmarkEnd w:id="25"/>
      <w:bookmarkEnd w:id="26"/>
      <w:r>
        <w:rPr>
          <w:rFonts w:hint="eastAsia" w:ascii="宋体" w:hAnsi="宋体" w:cs="宋体"/>
          <w:color w:val="auto"/>
          <w:sz w:val="24"/>
          <w:szCs w:val="24"/>
          <w:highlight w:val="none"/>
        </w:rPr>
        <w:t>重庆泓展建设工程咨询有限公司</w:t>
      </w:r>
    </w:p>
    <w:p w14:paraId="48213AD8">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联系人：聂老师</w:t>
      </w:r>
    </w:p>
    <w:p w14:paraId="2F2FD4D1">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话：023-63082043</w:t>
      </w:r>
    </w:p>
    <w:p w14:paraId="7926F5DA">
      <w:pPr>
        <w:tabs>
          <w:tab w:val="left" w:pos="3480"/>
        </w:tabs>
        <w:snapToGrid w:val="0"/>
        <w:spacing w:line="440" w:lineRule="exact"/>
        <w:ind w:firstLine="480" w:firstLineChars="200"/>
        <w:rPr>
          <w:rFonts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 xml:space="preserve">地  址：重庆市渝北区东湖南 333号中渝爱都会国际中心2幢25楼 </w:t>
      </w:r>
    </w:p>
    <w:p w14:paraId="0201177F">
      <w:pPr>
        <w:pStyle w:val="4"/>
        <w:snapToGrid w:val="0"/>
        <w:spacing w:before="0" w:after="0" w:line="440" w:lineRule="exact"/>
        <w:jc w:val="center"/>
        <w:rPr>
          <w:rFonts w:ascii="宋体" w:hAnsi="宋体" w:eastAsia="宋体" w:cs="宋体"/>
          <w:color w:val="auto"/>
          <w:sz w:val="36"/>
          <w:szCs w:val="28"/>
          <w:highlight w:val="none"/>
        </w:rPr>
      </w:pPr>
      <w:bookmarkStart w:id="27" w:name="_Toc18443"/>
      <w:r>
        <w:rPr>
          <w:rFonts w:hint="eastAsia" w:ascii="宋体" w:hAnsi="宋体" w:eastAsia="宋体" w:cs="宋体"/>
          <w:color w:val="auto"/>
          <w:sz w:val="36"/>
          <w:szCs w:val="28"/>
          <w:highlight w:val="none"/>
        </w:rPr>
        <w:t>第二篇  项目技术（质量）需求</w:t>
      </w:r>
      <w:bookmarkEnd w:id="27"/>
    </w:p>
    <w:p w14:paraId="25C37227">
      <w:pPr>
        <w:pStyle w:val="4"/>
        <w:adjustRightInd w:val="0"/>
        <w:snapToGrid w:val="0"/>
        <w:spacing w:before="0" w:after="0" w:line="440" w:lineRule="exact"/>
        <w:rPr>
          <w:rFonts w:cs="宋体" w:asciiTheme="minorEastAsia" w:hAnsiTheme="minorEastAsia" w:eastAsiaTheme="minorEastAsia"/>
          <w:color w:val="auto"/>
          <w:sz w:val="24"/>
          <w:szCs w:val="16"/>
          <w:highlight w:val="none"/>
        </w:rPr>
      </w:pPr>
      <w:bookmarkStart w:id="28" w:name="_Toc24430"/>
      <w:bookmarkStart w:id="29" w:name="_Toc12519"/>
      <w:bookmarkStart w:id="30" w:name="_Toc832"/>
      <w:bookmarkStart w:id="31" w:name="_Toc16585"/>
      <w:bookmarkStart w:id="32" w:name="_Toc26338"/>
      <w:bookmarkStart w:id="33" w:name="_Toc1794"/>
      <w:bookmarkStart w:id="34" w:name="_Toc12789059"/>
      <w:bookmarkStart w:id="35" w:name="_Toc11641055"/>
      <w:r>
        <w:rPr>
          <w:rFonts w:hint="eastAsia" w:cs="宋体" w:asciiTheme="minorEastAsia" w:hAnsiTheme="minorEastAsia" w:eastAsiaTheme="minorEastAsia"/>
          <w:color w:val="auto"/>
          <w:sz w:val="24"/>
          <w:szCs w:val="16"/>
          <w:highlight w:val="none"/>
        </w:rPr>
        <w:t>一、项目概况</w:t>
      </w:r>
    </w:p>
    <w:p w14:paraId="03F53A43">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14:paraId="449466DA">
      <w:pPr>
        <w:spacing w:line="640" w:lineRule="exact"/>
        <w:ind w:firstLine="480" w:firstLineChars="200"/>
        <w:rPr>
          <w:rFonts w:eastAsia="方正仿宋_GBK" w:cs="宋体" w:asciiTheme="minorEastAsia" w:hAnsi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1.建设地点：重庆市南岸区通江大道103号</w:t>
      </w:r>
      <w:r>
        <w:rPr>
          <w:rFonts w:hint="eastAsia" w:eastAsia="方正仿宋_GBK"/>
          <w:color w:val="auto"/>
          <w:szCs w:val="28"/>
          <w:highlight w:val="none"/>
        </w:rPr>
        <w:t>。</w:t>
      </w:r>
    </w:p>
    <w:p w14:paraId="2110C1FB">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2.建设内容：该项目改建面积约60㎡，主要建设内容包括平台封闭、台阶外移、内部装修、水电改造等。</w:t>
      </w:r>
    </w:p>
    <w:p w14:paraId="7230DB53">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14:paraId="03B703C4">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包括但不限于施工图所示范围内的全部工程内容以及招标文件中补充的工程内容、答疑资料、澄清资料、补遗资料等相关内容，具体以发布的施工图及工程量清单为准。</w:t>
      </w:r>
    </w:p>
    <w:p w14:paraId="0034A1D3">
      <w:pPr>
        <w:pStyle w:val="4"/>
        <w:numPr>
          <w:ilvl w:val="0"/>
          <w:numId w:val="1"/>
        </w:numPr>
        <w:adjustRightInd w:val="0"/>
        <w:snapToGrid w:val="0"/>
        <w:spacing w:before="0" w:after="0" w:line="440" w:lineRule="exact"/>
        <w:rPr>
          <w:rFonts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项目技术（质量）需求</w:t>
      </w:r>
    </w:p>
    <w:p w14:paraId="018A5D23">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14:paraId="37BD4623">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（二）工程量清单：工程量清单请投标人在</w:t>
      </w:r>
      <w:r>
        <w:rPr>
          <w:rFonts w:hint="eastAsia" w:ascii="宋体" w:hAnsi="宋体" w:cs="宋体"/>
          <w:color w:val="auto"/>
          <w:sz w:val="24"/>
          <w:szCs w:val="24"/>
          <w:highlight w:val="none"/>
        </w:rPr>
        <w:t>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8"/>
          <w:rFonts w:hint="eastAsia" w:ascii="宋体" w:hAnsi="宋体" w:cs="宋体"/>
          <w:color w:val="auto"/>
          <w:sz w:val="24"/>
          <w:szCs w:val="24"/>
          <w:highlight w:val="none"/>
          <w:u w:val="none"/>
        </w:rPr>
        <w:t>https://www.gec123.com/</w:t>
      </w:r>
      <w:r>
        <w:rPr>
          <w:rStyle w:val="28"/>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14:paraId="5D7DFC6E">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14:paraId="1800DA3D">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人不统一组织踏勘项目现场。投标人可以在投标文件递交截止时间之前自行对本项目现场进行踏勘、询问。无论投标人是否踏勘过现场，均被视为在投标文件递交截止时间之前对本项目潜在的风险和义务已完全了解，并在其投标文件中已充分考虑了本项目可能面临的不确定因素可能导致的风险。</w:t>
      </w:r>
    </w:p>
    <w:p w14:paraId="447EAEA7">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u w:val="single"/>
        </w:rPr>
        <w:t xml:space="preserve"> 30 </w:t>
      </w:r>
      <w:r>
        <w:rPr>
          <w:rFonts w:hint="eastAsia" w:cs="宋体" w:asciiTheme="minorEastAsia" w:hAnsiTheme="minorEastAsia" w:eastAsiaTheme="minorEastAsia"/>
          <w:color w:val="auto"/>
          <w:sz w:val="24"/>
          <w:szCs w:val="24"/>
          <w:highlight w:val="none"/>
        </w:rPr>
        <w:t>日历天。</w:t>
      </w:r>
    </w:p>
    <w:p w14:paraId="0BDFC323">
      <w:pPr>
        <w:snapToGrid w:val="0"/>
        <w:spacing w:line="440" w:lineRule="exact"/>
        <w:ind w:firstLine="480" w:firstLineChars="200"/>
        <w:rPr>
          <w:rFonts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14:paraId="2689771A">
      <w:pPr>
        <w:pStyle w:val="4"/>
        <w:numPr>
          <w:ilvl w:val="0"/>
          <w:numId w:val="1"/>
        </w:numPr>
        <w:adjustRightInd w:val="0"/>
        <w:snapToGrid w:val="0"/>
        <w:spacing w:before="0" w:after="0" w:line="440" w:lineRule="exact"/>
        <w:rPr>
          <w:rFonts w:ascii="宋体" w:hAnsi="宋体" w:eastAsia="宋体" w:cs="宋体"/>
          <w:color w:val="auto"/>
          <w:sz w:val="24"/>
          <w:szCs w:val="16"/>
          <w:highlight w:val="none"/>
        </w:rPr>
      </w:pPr>
      <w:r>
        <w:rPr>
          <w:rFonts w:hint="eastAsia" w:ascii="宋体" w:hAnsi="宋体" w:eastAsia="宋体" w:cs="宋体"/>
          <w:color w:val="auto"/>
          <w:sz w:val="24"/>
          <w:szCs w:val="16"/>
          <w:highlight w:val="none"/>
        </w:rPr>
        <w:t>人员要求</w:t>
      </w:r>
    </w:p>
    <w:p w14:paraId="0DA2F9DE">
      <w:pPr>
        <w:snapToGrid w:val="0"/>
        <w:spacing w:line="44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（一）项目经理资格要求</w:t>
      </w:r>
    </w:p>
    <w:p w14:paraId="4E863E2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项目经理具有建筑工程专业二级及以上注册建造师执业资格，并在本单位注册。</w:t>
      </w:r>
    </w:p>
    <w:p w14:paraId="5DD81423">
      <w:pPr>
        <w:snapToGrid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投标人须提供有效的拟派项目经理注册证书、身份证、投标人为其缴纳的养老保险证明材料（①企业提供养老保险证明，事业单位提供养老保险证明或行政主管部门在编证明。②连续养老保险证明期限须包含202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月至202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月。提供的养老保险参保证明须体现上述人员的姓名、身份证号（或社保号）、单位名称、本单位参保时间（或起始参保时间），并带有社保部门公章或社保部门的有效电子印章）复印件并加盖投标人公章。</w:t>
      </w:r>
    </w:p>
    <w:p w14:paraId="7112187F">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（二）主要管理人员</w:t>
      </w:r>
    </w:p>
    <w:p w14:paraId="153C67C1">
      <w:pPr>
        <w:snapToGrid w:val="0"/>
        <w:spacing w:line="440" w:lineRule="exact"/>
        <w:ind w:firstLine="720" w:firstLineChars="300"/>
        <w:rPr>
          <w:rFonts w:ascii="宋体" w:hAnsi="宋体" w:cs="宋体"/>
          <w:b/>
          <w:bCs/>
          <w:color w:val="auto"/>
          <w:sz w:val="24"/>
          <w:szCs w:val="24"/>
          <w:highlight w:val="none"/>
        </w:rPr>
      </w:pPr>
      <w:r>
        <w:rPr>
          <w:rFonts w:hint="eastAsia" w:ascii="宋体" w:hAnsi="宋体" w:cs="宋体"/>
          <w:color w:val="auto"/>
          <w:sz w:val="24"/>
          <w:szCs w:val="24"/>
          <w:highlight w:val="none"/>
        </w:rPr>
        <w:t>投标人自行承诺成交后在签订合同之前，须按照主管部门的要求组建施工项目部，配置项目管理班子，出具任命文件。任命文件应当明确施工项目部的职责、岗位设置、人员配备，并书面通知招标人。相关岗位管理人员应持有主管部门要求的岗位证书，并提供投标人本单位为其缴纳的养老保险证明材料复印件。成交后不能满足该要求的，招标人可取消其成交资格，给招标人造成损失的，中标人依法承担违约赔偿责任。</w:t>
      </w:r>
      <w:r>
        <w:rPr>
          <w:rFonts w:hint="eastAsia" w:ascii="宋体" w:hAnsi="宋体" w:cs="宋体"/>
          <w:b/>
          <w:bCs/>
          <w:color w:val="auto"/>
          <w:sz w:val="24"/>
          <w:szCs w:val="24"/>
          <w:highlight w:val="none"/>
        </w:rPr>
        <w:t>投标人须提供承诺并加盖投标人公章（承诺格式自拟）</w:t>
      </w:r>
    </w:p>
    <w:p w14:paraId="28226BB7">
      <w:pPr>
        <w:snapToGrid w:val="0"/>
        <w:spacing w:line="44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（三）投标人须自行承诺，承诺严格按照招标人给出的施工图及工程量清单施工，不得擅自增减项，若招标人后期对施工内容调整，投标人承诺严格遵守招标人的调整内容。</w:t>
      </w:r>
      <w:r>
        <w:rPr>
          <w:rFonts w:hint="eastAsia" w:ascii="宋体" w:hAnsi="宋体" w:cs="宋体"/>
          <w:b/>
          <w:bCs/>
          <w:color w:val="auto"/>
          <w:sz w:val="24"/>
          <w:szCs w:val="24"/>
          <w:highlight w:val="none"/>
        </w:rPr>
        <w:t>投标人须提供承诺并加盖投标人公章（承诺格式自拟）</w:t>
      </w:r>
    </w:p>
    <w:p w14:paraId="5366E57B">
      <w:pPr>
        <w:snapToGrid w:val="0"/>
        <w:spacing w:line="44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特别说明：</w:t>
      </w:r>
    </w:p>
    <w:p w14:paraId="197B0539">
      <w:pPr>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1、上述要求提交的相关证明材料须清晰可辨，有一条不满足，则投标文件作无效响应处理。</w:t>
      </w:r>
    </w:p>
    <w:p w14:paraId="0B7043F9">
      <w:pPr>
        <w:snapToGrid w:val="0"/>
        <w:spacing w:line="44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2、投标人须</w:t>
      </w:r>
      <w:r>
        <w:rPr>
          <w:rFonts w:hint="eastAsia" w:ascii="宋体" w:hAnsi="宋体" w:cs="宋体"/>
          <w:b/>
          <w:bCs/>
          <w:color w:val="auto"/>
          <w:sz w:val="24"/>
          <w:szCs w:val="24"/>
          <w:highlight w:val="none"/>
        </w:rPr>
        <w:t>自行承诺</w:t>
      </w:r>
      <w:r>
        <w:rPr>
          <w:rFonts w:hint="eastAsia" w:ascii="宋体" w:hAnsi="宋体" w:cs="宋体"/>
          <w:color w:val="auto"/>
          <w:sz w:val="24"/>
          <w:szCs w:val="24"/>
          <w:highlight w:val="none"/>
        </w:rPr>
        <w:t>其提供的上述相关证明材料真实有效，不存在弄虚作假情形（格式自拟）。招标人在合同签订前均有权对投标人提供的资料进行核实，若发现弄虚作假，按相关规定取消其成交资格，并按相关法律法规报监督部门，其保证金不予退还，投标人承担因此造成的相关责任并赔偿相应损失。</w:t>
      </w:r>
      <w:r>
        <w:rPr>
          <w:rFonts w:hint="eastAsia" w:ascii="宋体" w:hAnsi="宋体" w:cs="宋体"/>
          <w:b/>
          <w:bCs/>
          <w:color w:val="auto"/>
          <w:sz w:val="24"/>
          <w:szCs w:val="24"/>
          <w:highlight w:val="none"/>
        </w:rPr>
        <w:t>投标人须提供承诺并加盖投标人公章（承诺格式自拟）</w:t>
      </w:r>
    </w:p>
    <w:p w14:paraId="01EE61D4">
      <w:pPr>
        <w:snapToGrid w:val="0"/>
        <w:spacing w:line="440" w:lineRule="exact"/>
        <w:jc w:val="left"/>
        <w:rPr>
          <w:rFonts w:cs="宋体" w:asciiTheme="minorEastAsia" w:hAnsiTheme="minorEastAsia" w:eastAsiaTheme="minorEastAsia"/>
          <w:b/>
          <w:bCs/>
          <w:color w:val="auto"/>
          <w:sz w:val="24"/>
          <w:szCs w:val="24"/>
          <w:highlight w:val="none"/>
        </w:rPr>
      </w:pPr>
      <w:bookmarkStart w:id="36" w:name="_Toc2705"/>
      <w:r>
        <w:rPr>
          <w:rFonts w:hint="eastAsia" w:cs="宋体" w:asciiTheme="minorEastAsia" w:hAnsiTheme="minorEastAsia" w:eastAsiaTheme="minorEastAsia"/>
          <w:b/>
          <w:bCs/>
          <w:color w:val="auto"/>
          <w:sz w:val="24"/>
          <w:szCs w:val="24"/>
          <w:highlight w:val="none"/>
        </w:rPr>
        <w:t>四、安全生产</w:t>
      </w:r>
      <w:bookmarkEnd w:id="36"/>
    </w:p>
    <w:p w14:paraId="64CC09E0">
      <w:pPr>
        <w:spacing w:line="440" w:lineRule="exact"/>
        <w:ind w:firstLine="470" w:firstLineChars="196"/>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（一）投标人须具备建设行政主管部门颁发的有效的安全生产许可证，企业主要负责人具备相应的由建设行政主管部门颁发的有效的安全生产考核合格证书。</w:t>
      </w:r>
      <w:r>
        <w:rPr>
          <w:rFonts w:hint="eastAsia" w:cs="宋体" w:asciiTheme="minorEastAsia" w:hAnsiTheme="minorEastAsia" w:eastAsiaTheme="minorEastAsia"/>
          <w:b/>
          <w:color w:val="auto"/>
          <w:sz w:val="24"/>
          <w:szCs w:val="24"/>
          <w:highlight w:val="none"/>
        </w:rPr>
        <w:t>（投标人须提供有效的安全生产许可证及安全生产考核合格证书复印件并加盖投标人公章）</w:t>
      </w:r>
    </w:p>
    <w:p w14:paraId="614B909D">
      <w:pPr>
        <w:spacing w:line="440" w:lineRule="exact"/>
        <w:ind w:firstLine="470" w:firstLineChars="196"/>
        <w:rPr>
          <w:rFonts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（二）</w:t>
      </w:r>
      <w:r>
        <w:rPr>
          <w:rFonts w:hint="eastAsia" w:ascii="宋体" w:hAnsi="宋体" w:cs="宋体"/>
          <w:color w:val="auto"/>
          <w:sz w:val="24"/>
          <w:highlight w:val="none"/>
        </w:rPr>
        <w:t>中标人按国家及行业的相关规定做好安全文明施工管理工作，制定严格的安全防护措施，确保安全施工，若因中标人原因（包括但不仅限于：①周边环境复杂，工程施工涉及用电安全，由此由中标人所引起的漏电导致自身员工伤亡、行人伤亡或财产损失；②中标人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中标人自行承担。</w:t>
      </w:r>
      <w:r>
        <w:rPr>
          <w:rFonts w:hint="eastAsia" w:ascii="宋体" w:hAnsi="宋体" w:cs="宋体"/>
          <w:color w:val="auto"/>
          <w:sz w:val="24"/>
          <w:szCs w:val="24"/>
          <w:highlight w:val="none"/>
        </w:rPr>
        <w:t>由此给招标人造成损失的，中标人还应当赔偿。</w:t>
      </w:r>
    </w:p>
    <w:p w14:paraId="722D429F">
      <w:pPr>
        <w:snapToGrid w:val="0"/>
        <w:spacing w:line="440" w:lineRule="exact"/>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（三）在施工过程中，中标人须做到安全施工、文明施工，并做好相应的施工安全公告及警戒标识，中标人应当与其施工人员建立劳动关系，承担全部用人用工主体责任。</w:t>
      </w:r>
    </w:p>
    <w:p w14:paraId="06E6CE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（四）施工中中标人必须按照安全文明施工管理规定设置明显的标识标志。</w:t>
      </w:r>
    </w:p>
    <w:p w14:paraId="2D340C03">
      <w:pPr>
        <w:spacing w:line="440" w:lineRule="exact"/>
        <w:ind w:firstLine="480" w:firstLineChars="200"/>
        <w:rPr>
          <w:color w:val="auto"/>
          <w:highlight w:val="none"/>
        </w:rPr>
      </w:pPr>
      <w:r>
        <w:rPr>
          <w:rFonts w:hint="eastAsia" w:ascii="宋体" w:hAnsi="宋体" w:cs="宋体"/>
          <w:color w:val="auto"/>
          <w:sz w:val="24"/>
          <w:highlight w:val="none"/>
        </w:rPr>
        <w:t>（五）中标人应做好文明施工，杜绝野蛮施工，及时做好施工现场的整理、整顿、清洁工作。</w:t>
      </w:r>
    </w:p>
    <w:p w14:paraId="30B55251">
      <w:pPr>
        <w:pStyle w:val="4"/>
        <w:spacing w:line="440" w:lineRule="exact"/>
        <w:jc w:val="center"/>
        <w:rPr>
          <w:rFonts w:ascii="宋体" w:hAnsi="宋体" w:eastAsia="宋体" w:cs="宋体"/>
          <w:color w:val="auto"/>
          <w:sz w:val="36"/>
          <w:szCs w:val="36"/>
          <w:highlight w:val="none"/>
        </w:rPr>
      </w:pPr>
      <w:bookmarkStart w:id="37" w:name="_Toc4743"/>
      <w:r>
        <w:rPr>
          <w:rFonts w:hint="eastAsia" w:ascii="宋体" w:hAnsi="宋体" w:eastAsia="宋体" w:cs="宋体"/>
          <w:color w:val="auto"/>
          <w:sz w:val="36"/>
          <w:szCs w:val="36"/>
          <w:highlight w:val="none"/>
        </w:rPr>
        <w:t xml:space="preserve">第三篇  </w:t>
      </w:r>
      <w:bookmarkEnd w:id="28"/>
      <w:bookmarkEnd w:id="29"/>
      <w:bookmarkEnd w:id="30"/>
      <w:bookmarkEnd w:id="31"/>
      <w:bookmarkEnd w:id="32"/>
      <w:bookmarkEnd w:id="33"/>
      <w:r>
        <w:rPr>
          <w:rFonts w:hint="eastAsia" w:ascii="宋体" w:hAnsi="宋体" w:eastAsia="宋体" w:cs="宋体"/>
          <w:color w:val="auto"/>
          <w:sz w:val="36"/>
          <w:szCs w:val="36"/>
          <w:highlight w:val="none"/>
        </w:rPr>
        <w:t>项目商务需求</w:t>
      </w:r>
      <w:bookmarkEnd w:id="37"/>
    </w:p>
    <w:bookmarkEnd w:id="24"/>
    <w:bookmarkEnd w:id="34"/>
    <w:bookmarkEnd w:id="35"/>
    <w:p w14:paraId="0F4D4BD0">
      <w:pPr>
        <w:snapToGrid w:val="0"/>
        <w:spacing w:line="440" w:lineRule="exact"/>
        <w:rPr>
          <w:rFonts w:ascii="宋体" w:hAnsi="宋体" w:cs="宋体"/>
          <w:b/>
          <w:bCs/>
          <w:color w:val="auto"/>
          <w:kern w:val="0"/>
          <w:sz w:val="24"/>
          <w:szCs w:val="24"/>
          <w:highlight w:val="none"/>
        </w:rPr>
      </w:pPr>
      <w:bookmarkStart w:id="38" w:name="_Toc4837"/>
      <w:bookmarkStart w:id="39" w:name="_Toc102227319"/>
      <w:bookmarkStart w:id="40" w:name="_Toc525658704"/>
      <w:bookmarkStart w:id="41" w:name="_Toc516231412"/>
      <w:bookmarkStart w:id="42" w:name="_Toc267320051"/>
      <w:bookmarkStart w:id="43" w:name="_Toc342913393"/>
      <w:bookmarkStart w:id="44" w:name="_Toc24569665"/>
      <w:bookmarkStart w:id="45" w:name="_Toc31319"/>
      <w:bookmarkStart w:id="46" w:name="_Toc179714298"/>
      <w:bookmarkStart w:id="47" w:name="_Toc8808"/>
      <w:bookmarkStart w:id="48" w:name="_Toc21783685"/>
      <w:r>
        <w:rPr>
          <w:rFonts w:hint="eastAsia" w:ascii="宋体" w:hAnsi="宋体" w:cs="宋体"/>
          <w:b/>
          <w:bCs/>
          <w:color w:val="auto"/>
          <w:kern w:val="0"/>
          <w:sz w:val="24"/>
          <w:szCs w:val="24"/>
          <w:highlight w:val="none"/>
        </w:rPr>
        <w:t>一、工期、地点及验收方式</w:t>
      </w:r>
      <w:bookmarkEnd w:id="38"/>
    </w:p>
    <w:bookmarkEnd w:id="39"/>
    <w:bookmarkEnd w:id="40"/>
    <w:bookmarkEnd w:id="41"/>
    <w:bookmarkEnd w:id="42"/>
    <w:bookmarkEnd w:id="43"/>
    <w:bookmarkEnd w:id="44"/>
    <w:bookmarkEnd w:id="45"/>
    <w:bookmarkEnd w:id="46"/>
    <w:bookmarkEnd w:id="47"/>
    <w:p w14:paraId="4FD4384B">
      <w:pPr>
        <w:snapToGrid w:val="0"/>
        <w:spacing w:line="440" w:lineRule="exact"/>
        <w:ind w:firstLine="480" w:firstLineChars="200"/>
        <w:rPr>
          <w:rFonts w:ascii="宋体" w:hAnsi="宋体" w:cs="宋体"/>
          <w:color w:val="auto"/>
          <w:kern w:val="0"/>
          <w:sz w:val="24"/>
          <w:szCs w:val="24"/>
          <w:highlight w:val="none"/>
        </w:rPr>
      </w:pPr>
      <w:bookmarkStart w:id="49" w:name="_Toc267320050"/>
      <w:r>
        <w:rPr>
          <w:rFonts w:hint="eastAsia" w:ascii="宋体" w:hAnsi="宋体" w:cs="宋体"/>
          <w:color w:val="auto"/>
          <w:kern w:val="0"/>
          <w:sz w:val="24"/>
          <w:szCs w:val="24"/>
          <w:highlight w:val="none"/>
        </w:rPr>
        <w:t>（一）工期：合同签订后</w:t>
      </w:r>
      <w:r>
        <w:rPr>
          <w:rFonts w:hint="eastAsia" w:ascii="宋体" w:hAnsi="宋体" w:cs="宋体"/>
          <w:color w:val="auto"/>
          <w:kern w:val="0"/>
          <w:sz w:val="24"/>
          <w:szCs w:val="24"/>
          <w:highlight w:val="none"/>
          <w:u w:val="single"/>
        </w:rPr>
        <w:t xml:space="preserve"> 30 </w:t>
      </w:r>
      <w:r>
        <w:rPr>
          <w:rFonts w:hint="eastAsia" w:ascii="宋体" w:hAnsi="宋体" w:cs="宋体"/>
          <w:color w:val="auto"/>
          <w:kern w:val="0"/>
          <w:sz w:val="24"/>
          <w:szCs w:val="24"/>
          <w:highlight w:val="none"/>
        </w:rPr>
        <w:t>日历天内完成所有施工内容并验收合格。</w:t>
      </w:r>
    </w:p>
    <w:p w14:paraId="2FC970F3">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（二）建设地点：</w:t>
      </w:r>
      <w:r>
        <w:rPr>
          <w:rFonts w:hint="eastAsia" w:cs="宋体" w:asciiTheme="minorEastAsia" w:hAnsiTheme="minorEastAsia" w:eastAsiaTheme="minorEastAsia"/>
          <w:color w:val="auto"/>
          <w:sz w:val="24"/>
          <w:szCs w:val="24"/>
          <w:highlight w:val="none"/>
        </w:rPr>
        <w:t>重庆市南岸区通江大道103号，</w:t>
      </w:r>
      <w:r>
        <w:rPr>
          <w:rFonts w:hint="eastAsia" w:ascii="宋体" w:hAnsi="宋体" w:cs="宋体"/>
          <w:color w:val="auto"/>
          <w:kern w:val="0"/>
          <w:sz w:val="24"/>
          <w:szCs w:val="24"/>
          <w:highlight w:val="none"/>
        </w:rPr>
        <w:t>具体建设地点由招标人指定。</w:t>
      </w:r>
    </w:p>
    <w:p w14:paraId="5AAF2AA2">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9"/>
    </w:p>
    <w:p w14:paraId="64CD026F">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招标人按照有关要求自行组织进行检查验收。中标人应保证工程质量，工程用建筑材料须符合国家及行业标准，项目工程达到国家现行有关施工质量验收规范要求，并达到合格标准。</w:t>
      </w:r>
    </w:p>
    <w:p w14:paraId="1D5D6135">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2.工程完工后，按国家相关标准验收程序和规程进行验收并签字确认。验收的相关费用由中标人承担。</w:t>
      </w:r>
    </w:p>
    <w:p w14:paraId="62E9587A">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3.中标人未达到招标件的要求，且对招标人造成损失的，由中标人承担一切责任，并赔偿所造成的损失。</w:t>
      </w:r>
    </w:p>
    <w:p w14:paraId="019C26EF">
      <w:pPr>
        <w:pStyle w:val="5"/>
        <w:snapToGrid w:val="0"/>
        <w:spacing w:before="0" w:after="0" w:line="440" w:lineRule="exact"/>
        <w:rPr>
          <w:rFonts w:ascii="宋体" w:hAnsi="宋体" w:cs="宋体"/>
          <w:color w:val="auto"/>
          <w:sz w:val="24"/>
          <w:szCs w:val="24"/>
          <w:highlight w:val="none"/>
        </w:rPr>
      </w:pPr>
      <w:bookmarkStart w:id="50" w:name="_Toc29345"/>
      <w:bookmarkStart w:id="51" w:name="_Toc8488"/>
      <w:bookmarkStart w:id="52" w:name="_Toc15594"/>
      <w:r>
        <w:rPr>
          <w:rFonts w:hint="eastAsia" w:ascii="宋体" w:hAnsi="宋体" w:cs="宋体"/>
          <w:color w:val="auto"/>
          <w:sz w:val="24"/>
          <w:szCs w:val="24"/>
          <w:highlight w:val="none"/>
        </w:rPr>
        <w:t>二、计价方式和报价要求</w:t>
      </w:r>
      <w:bookmarkEnd w:id="50"/>
      <w:bookmarkEnd w:id="51"/>
      <w:bookmarkEnd w:id="52"/>
    </w:p>
    <w:p w14:paraId="664AB006">
      <w:pPr>
        <w:snapToGrid w:val="0"/>
        <w:spacing w:line="440" w:lineRule="exact"/>
        <w:ind w:firstLine="480" w:firstLineChars="200"/>
        <w:rPr>
          <w:rFonts w:ascii="宋体" w:hAnsi="宋体" w:cs="宋体"/>
          <w:color w:val="auto"/>
          <w:kern w:val="0"/>
          <w:sz w:val="24"/>
          <w:szCs w:val="24"/>
          <w:highlight w:val="none"/>
        </w:rPr>
      </w:pPr>
      <w:bookmarkStart w:id="53" w:name="_Toc344475121"/>
      <w:bookmarkStart w:id="54" w:name="_Toc31674"/>
      <w:bookmarkStart w:id="55" w:name="_Toc24569666"/>
      <w:bookmarkStart w:id="56" w:name="_Toc8523"/>
      <w:bookmarkStart w:id="57" w:name="_Toc20397"/>
      <w:bookmarkStart w:id="58" w:name="_Toc30477"/>
      <w:bookmarkStart w:id="59" w:name="_Toc403569791"/>
      <w:r>
        <w:rPr>
          <w:rFonts w:hint="eastAsia" w:ascii="宋体" w:hAnsi="宋体" w:cs="宋体"/>
          <w:color w:val="auto"/>
          <w:kern w:val="0"/>
          <w:sz w:val="24"/>
          <w:szCs w:val="24"/>
          <w:highlight w:val="none"/>
        </w:rPr>
        <w:t>（一）计价方式：本项目实行工程量清单计价。</w:t>
      </w:r>
    </w:p>
    <w:p w14:paraId="52EE6F05">
      <w:pPr>
        <w:snapToGrid w:val="0"/>
        <w:spacing w:line="440" w:lineRule="exact"/>
        <w:ind w:firstLine="480" w:firstLineChars="200"/>
        <w:rPr>
          <w:rFonts w:ascii="宋体" w:hAnsi="宋体" w:cs="宋体"/>
          <w:color w:val="auto"/>
          <w:kern w:val="0"/>
          <w:sz w:val="24"/>
          <w:szCs w:val="24"/>
          <w:highlight w:val="none"/>
        </w:rPr>
      </w:pPr>
      <w:bookmarkStart w:id="60" w:name="_Toc13734"/>
      <w:r>
        <w:rPr>
          <w:rFonts w:hint="eastAsia" w:ascii="宋体" w:hAnsi="宋体" w:cs="宋体"/>
          <w:color w:val="auto"/>
          <w:kern w:val="0"/>
          <w:sz w:val="24"/>
          <w:szCs w:val="24"/>
          <w:highlight w:val="none"/>
        </w:rPr>
        <w:t>（二）报价要求</w:t>
      </w:r>
      <w:bookmarkEnd w:id="60"/>
    </w:p>
    <w:p w14:paraId="5E464453">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报价须为人民币报价，投标人以招标文件、工程量清单、国家技术和经济规范及标准为依据，由投标人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p>
    <w:p w14:paraId="2D2B87BB">
      <w:pPr>
        <w:snapToGrid w:val="0"/>
        <w:spacing w:line="440" w:lineRule="exact"/>
        <w:ind w:firstLine="480" w:firstLineChars="200"/>
        <w:rPr>
          <w:rFonts w:ascii="宋体" w:hAnsi="宋体" w:cs="宋体"/>
          <w:color w:val="auto"/>
          <w:kern w:val="0"/>
          <w:sz w:val="24"/>
          <w:szCs w:val="24"/>
          <w:highlight w:val="none"/>
        </w:rPr>
      </w:pPr>
      <w:bookmarkStart w:id="61" w:name="_Toc6412"/>
      <w:r>
        <w:rPr>
          <w:rFonts w:hint="eastAsia" w:ascii="宋体" w:hAnsi="宋体" w:cs="宋体"/>
          <w:color w:val="auto"/>
          <w:kern w:val="0"/>
          <w:sz w:val="24"/>
          <w:szCs w:val="24"/>
          <w:highlight w:val="none"/>
        </w:rPr>
        <w:t>（三）报价依据：</w:t>
      </w:r>
      <w:bookmarkEnd w:id="61"/>
    </w:p>
    <w:p w14:paraId="6F74F175">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各投标人以招标文件、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00CB1D27">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作无效响应处理。投标人须按招标人提供的工程量清单填报价格，不得随意更改工程量清单内的项目编码、项目名称、项目特征、计量单位、工程量（措施项目清单除外），否则作无效响应处理。</w:t>
      </w:r>
    </w:p>
    <w:p w14:paraId="5BA1F314">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14:paraId="6F302AD7">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14:paraId="58E570BA">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14:paraId="59A99D67">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招标人根据《建设工程工程量清单计价规范》（GB50500-2013）、《重庆市建设工程工程量清单计价规则》（CQJJGZ-2013）、《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招标人给出的暂定金额填报的，视为对招标文件不作实质性响应，其投标文件作无效响应处理。</w:t>
      </w:r>
    </w:p>
    <w:p w14:paraId="52C41B7C">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14:paraId="4DEA406A">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投标人参照重庆市住房和城乡建设工程造价总站发布的《重庆工程造价》或工程造价管理机构发布的工程造价信息（造价信息引用时限为招标文件发布日期前一期），并结合市场行情及自身实力进行自主报价。材料运输距离由投标人根据自身情况及踏勘现场情况自行确定并考虑在响应报价中。</w:t>
      </w:r>
    </w:p>
    <w:p w14:paraId="2A0F246D">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人工费由投标人按重庆市住房和城乡建设工程造价总站发布的《重庆工程造价》或工程造价管理机构发布的工程造价信息（造价信息引用时限为招标文件发布日期前一期）公布的人工价并结合市场行情及自身实力进行自主报价，由各投标人结合市场行情自主测算计入各分部分项综合单价中。</w:t>
      </w:r>
    </w:p>
    <w:p w14:paraId="510B613A">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14:paraId="623F7F82">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7.1施工组织措施项目清单：投标人结合本工程的实际情况和国家及重庆市相关管理规定自行增减项目，并进行报价。如果漏项或不报价，视为已包含在其他项目清单综合单价内。</w:t>
      </w:r>
    </w:p>
    <w:p w14:paraId="5B8F57C6">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53DEBAD9">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14:paraId="3BB747B3">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9、规费：由投标人按国家及重庆市有关规定报价，包含在所报的总价内。</w:t>
      </w:r>
    </w:p>
    <w:p w14:paraId="0D1597B0">
      <w:pPr>
        <w:snapToGrid w:val="0"/>
        <w:spacing w:line="440" w:lineRule="exact"/>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10.本工程招标将设置投标总报价最高限价，投标总报价最高限价为</w:t>
      </w:r>
      <w:r>
        <w:rPr>
          <w:rFonts w:hint="eastAsia" w:ascii="宋体" w:hAnsi="宋体" w:cs="宋体"/>
          <w:b/>
          <w:bCs/>
          <w:color w:val="auto"/>
          <w:kern w:val="0"/>
          <w:sz w:val="24"/>
          <w:szCs w:val="24"/>
          <w:highlight w:val="none"/>
          <w:u w:val="single"/>
        </w:rPr>
        <w:t xml:space="preserve"> 128629.38</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rPr>
        <w:t>壹拾贰万捌仟陆佰贰拾玖元叁角捌分</w:t>
      </w:r>
      <w:r>
        <w:rPr>
          <w:rFonts w:hint="eastAsia" w:ascii="宋体" w:hAnsi="宋体" w:cs="宋体"/>
          <w:b/>
          <w:bCs/>
          <w:color w:val="auto"/>
          <w:kern w:val="0"/>
          <w:sz w:val="24"/>
          <w:szCs w:val="24"/>
          <w:highlight w:val="none"/>
        </w:rPr>
        <w:t>），安全文明施工费暂定金额</w:t>
      </w:r>
      <w:r>
        <w:rPr>
          <w:rFonts w:hint="eastAsia" w:ascii="宋体" w:hAnsi="宋体" w:cs="宋体"/>
          <w:b/>
          <w:bCs/>
          <w:color w:val="auto"/>
          <w:kern w:val="0"/>
          <w:sz w:val="24"/>
          <w:szCs w:val="24"/>
          <w:highlight w:val="none"/>
          <w:u w:val="single"/>
        </w:rPr>
        <w:t>2899.39</w:t>
      </w:r>
      <w:r>
        <w:rPr>
          <w:rFonts w:hint="eastAsia" w:ascii="宋体" w:hAnsi="宋体" w:cs="宋体"/>
          <w:b/>
          <w:bCs/>
          <w:color w:val="auto"/>
          <w:kern w:val="0"/>
          <w:sz w:val="24"/>
          <w:szCs w:val="24"/>
          <w:highlight w:val="none"/>
        </w:rPr>
        <w:t>元，投标人的投标总报价不得超过投标总报价最高限价，否则视为对招标文件不作实质性响应</w:t>
      </w:r>
      <w:r>
        <w:rPr>
          <w:rFonts w:hint="eastAsia" w:ascii="宋体" w:hAnsi="宋体" w:cs="宋体"/>
          <w:b/>
          <w:color w:val="auto"/>
          <w:kern w:val="0"/>
          <w:sz w:val="24"/>
          <w:szCs w:val="24"/>
          <w:highlight w:val="none"/>
        </w:rPr>
        <w:t>，其投标文件作无效响应处理。</w:t>
      </w:r>
    </w:p>
    <w:p w14:paraId="2813F845">
      <w:pPr>
        <w:snapToGrid w:val="0"/>
        <w:spacing w:line="44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r>
        <w:rPr>
          <w:rFonts w:hint="eastAsia" w:ascii="宋体" w:hAnsi="宋体" w:cs="宋体"/>
          <w:b/>
          <w:color w:val="auto"/>
          <w:kern w:val="0"/>
          <w:sz w:val="24"/>
          <w:szCs w:val="24"/>
          <w:highlight w:val="none"/>
        </w:rPr>
        <w:t>，其投标文件作无效响应处理</w:t>
      </w:r>
      <w:r>
        <w:rPr>
          <w:rFonts w:hint="eastAsia" w:ascii="宋体" w:hAnsi="宋体" w:cs="宋体"/>
          <w:b/>
          <w:bCs/>
          <w:color w:val="auto"/>
          <w:kern w:val="0"/>
          <w:sz w:val="24"/>
          <w:szCs w:val="24"/>
          <w:highlight w:val="none"/>
        </w:rPr>
        <w:t>。</w:t>
      </w:r>
    </w:p>
    <w:p w14:paraId="4C7C0D5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11.招标人在工程量清单中所列出的安全文明施工费、暂列金额（如有）、暂估价（如有）等暂定金额，投标人不得修改，否则视为对招标文件不作实质性响应</w:t>
      </w:r>
      <w:r>
        <w:rPr>
          <w:rFonts w:hint="eastAsia" w:ascii="宋体" w:hAnsi="宋体" w:cs="宋体"/>
          <w:b/>
          <w:color w:val="auto"/>
          <w:kern w:val="0"/>
          <w:sz w:val="24"/>
          <w:szCs w:val="24"/>
          <w:highlight w:val="none"/>
        </w:rPr>
        <w:t>，其投标文件作无效响应处理</w:t>
      </w:r>
      <w:r>
        <w:rPr>
          <w:rFonts w:hint="eastAsia" w:ascii="宋体" w:hAnsi="宋体" w:cs="宋体"/>
          <w:color w:val="auto"/>
          <w:kern w:val="0"/>
          <w:sz w:val="24"/>
          <w:szCs w:val="24"/>
          <w:highlight w:val="none"/>
        </w:rPr>
        <w:t>。</w:t>
      </w:r>
    </w:p>
    <w:p w14:paraId="718372E3">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三、履约担保</w:t>
      </w:r>
    </w:p>
    <w:p w14:paraId="04CDC647">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（一）履约担保的金额：中标合同金额的10% 。</w:t>
      </w:r>
    </w:p>
    <w:p w14:paraId="2E7F4417">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（二）履约担保的形式：转账或履约保函，履约保函包括银行保函、保证保险和担保保函。</w:t>
      </w:r>
    </w:p>
    <w:p w14:paraId="162A6AB4">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1、采用转账形式缴纳履约担保的，必须从中标人的基本账户通过银行转账方式直接划付到招标人提供的银行账户，其中产生的手续费由中标人承担。</w:t>
      </w:r>
    </w:p>
    <w:p w14:paraId="5BE7552C">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用保函形式的，保函必须为不可撤销且见索即付。履约保函必须由合法经营的金融机构、担保机构出具，保函的内容必须符合招标文件和投标承诺的要求。保函的受益人为招标人，保函原件交招标人保存。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4E068C6A">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履约担保的提交时间：中标人应当自成交通知书（无论中标人领取与否，成交通知书发出时间以成交通知书签发的日期为准）签发后5日内，向招标人提交履约担保，主动联系并与招标人签订政府采购合同。如中标人未按上述要求及时办理，招标人有权取消其成交资格并上报政府采购主管部门，不予退还投标保证金或履约保证金，并追究其法律责任。</w:t>
      </w:r>
    </w:p>
    <w:p w14:paraId="6688727B">
      <w:pPr>
        <w:pStyle w:val="13"/>
        <w:spacing w:line="440" w:lineRule="exact"/>
        <w:ind w:firstLine="480" w:firstLineChars="200"/>
        <w:rPr>
          <w:rFonts w:cs="宋体" w:asciiTheme="minorEastAsia" w:hAnsiTheme="minorEastAsia" w:eastAsiaTheme="minorEastAsia"/>
          <w:color w:val="auto"/>
          <w:sz w:val="24"/>
          <w:szCs w:val="24"/>
          <w:highlight w:val="none"/>
        </w:rPr>
      </w:pPr>
      <w:bookmarkStart w:id="62" w:name="_Toc16641"/>
      <w:bookmarkStart w:id="63" w:name="_Toc19136"/>
      <w:bookmarkStart w:id="64" w:name="_Toc13388"/>
      <w:r>
        <w:rPr>
          <w:rFonts w:hint="eastAsia" w:cs="宋体" w:asciiTheme="minorEastAsia" w:hAnsiTheme="minorEastAsia" w:eastAsiaTheme="minorEastAsia"/>
          <w:color w:val="auto"/>
          <w:sz w:val="24"/>
          <w:szCs w:val="24"/>
          <w:highlight w:val="none"/>
        </w:rPr>
        <w:t>（四）履约担保的退还时间：工程竣工验收合格后14天内退还。</w:t>
      </w:r>
      <w:bookmarkEnd w:id="62"/>
      <w:bookmarkEnd w:id="63"/>
      <w:bookmarkEnd w:id="64"/>
    </w:p>
    <w:p w14:paraId="1FC84DE9">
      <w:pPr>
        <w:tabs>
          <w:tab w:val="left" w:pos="-280"/>
        </w:tabs>
        <w:snapToGrid w:val="0"/>
        <w:spacing w:line="440" w:lineRule="exact"/>
        <w:ind w:left="-115" w:leftChars="-41" w:firstLine="164" w:firstLineChars="68"/>
        <w:rPr>
          <w:rFonts w:ascii="宋体" w:hAnsi="宋体" w:cs="宋体"/>
          <w:b/>
          <w:bCs/>
          <w:color w:val="auto"/>
          <w:kern w:val="0"/>
          <w:sz w:val="24"/>
          <w:szCs w:val="24"/>
          <w:highlight w:val="none"/>
        </w:rPr>
      </w:pPr>
      <w:bookmarkStart w:id="65" w:name="_Toc500346129"/>
      <w:r>
        <w:rPr>
          <w:rFonts w:hint="eastAsia" w:ascii="宋体" w:hAnsi="宋体" w:cs="宋体"/>
          <w:b/>
          <w:bCs/>
          <w:color w:val="auto"/>
          <w:kern w:val="0"/>
          <w:sz w:val="24"/>
          <w:szCs w:val="24"/>
          <w:highlight w:val="none"/>
        </w:rPr>
        <w:t>四、结算原则</w:t>
      </w:r>
      <w:bookmarkEnd w:id="65"/>
      <w:bookmarkStart w:id="66" w:name="_Toc396501789"/>
    </w:p>
    <w:bookmarkEnd w:id="66"/>
    <w:p w14:paraId="4753F0BB">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结算总价=分部分项工程量清单结算价+工程变更或增减部分结算+措施费（除安全文明施工费）+安全文明施工费+规费+税金+合同约定其它费用。</w:t>
      </w:r>
    </w:p>
    <w:p w14:paraId="7E2DA3B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投标人为实施和完成合同工程量清单项目所需的人工费、材料费、机械费、企业管理费、利润、风险费用。</w:t>
      </w:r>
    </w:p>
    <w:p w14:paraId="0FC007E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4225437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69165FB1">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0DCDFF6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综合单价=投标人投标报价中分部分项清单中的综合单价</w:t>
      </w:r>
    </w:p>
    <w:p w14:paraId="0CD9C15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及其配套文件规定的计量规则计算的合格工程量作为结算依据。</w:t>
      </w:r>
    </w:p>
    <w:p w14:paraId="5E83877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2.设计变更、新增项目</w:t>
      </w:r>
    </w:p>
    <w:p w14:paraId="345B00B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当发生设计变更或新增项目，招标人及监理工程师按照下列计价原则结算：</w:t>
      </w:r>
    </w:p>
    <w:p w14:paraId="22113F52">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当发生设计变更或新增项，设计变更或新增项按《南岸区政府投资项目管理办法》（南岸府发【2017】29号文）执行，招标人及监理工程师按照《房屋建筑与装饰工程工程量计算规范》（GB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71F481F1">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A：已标价工程量清单中有适用于变更工作的子目，采用该子目的综合单价。</w:t>
      </w:r>
    </w:p>
    <w:p w14:paraId="03699003">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14:paraId="09C31486">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C：已标价工程量清单中无适用或类似子目的综合单价，结算参照《房屋建筑与装饰工程工程量计算规范》（GB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执行。其中人工工日、材料单价、施工机械使用费的确定原则：投标时有的材料按投标价执行，其中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14:paraId="572679E3">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3.措施项目</w:t>
      </w:r>
    </w:p>
    <w:p w14:paraId="5E3AC270">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①已标价工程量清单范围内以项为计量单位的措施项目费（安全文明施工费除外）包干使用；不以项为计量单位的措施项目费包干使用。</w:t>
      </w:r>
    </w:p>
    <w:p w14:paraId="3D205233">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②工程变更引起施工方案改变使措施项目发生变化的，措施项目费不作调整。</w:t>
      </w:r>
    </w:p>
    <w:p w14:paraId="3EEA3386">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③安全文明施工费按照</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、《重庆市建设工程费用定额》（CQFYDE-2018）、《重庆市城乡建设委员会关于适用增值税新税率调整建设工程计价依据的通知》（渝建〔2019〕143号）、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的规定进行结算。</w:t>
      </w:r>
    </w:p>
    <w:p w14:paraId="50F63FD3">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4.其他项目：</w:t>
      </w:r>
    </w:p>
    <w:p w14:paraId="0E0A879D">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37521B44">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②本工程采用专业工程暂估价或暂列金额采购的，结算时按实结算。其中以暂列金额采购的施工内容实施与否由招标人决定。</w:t>
      </w:r>
    </w:p>
    <w:p w14:paraId="0B31ED6A">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5.规费：为不可竞争费，按投标费率结算，若中标人的投标报价中规费费率高于规定费率，则以规定费率结算，若中标人的投标报价中规费费率低于规定费率，则以投标报价中规费费率结算。</w:t>
      </w:r>
    </w:p>
    <w:p w14:paraId="42084A5A">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6.税金：为不可竞争费，按</w:t>
      </w:r>
      <w:r>
        <w:rPr>
          <w:rFonts w:hint="eastAsia" w:ascii="宋体" w:hAnsi="宋体" w:cs="宋体"/>
          <w:color w:val="auto"/>
          <w:sz w:val="24"/>
          <w:szCs w:val="24"/>
          <w:highlight w:val="none"/>
          <w:lang w:val="zh-CN"/>
        </w:rPr>
        <w:t>《重庆市城乡建设委员会关于建筑业营业税改征增值税调整建设工程计价依据的通知》（渝建（2016）35号）、</w:t>
      </w:r>
      <w:r>
        <w:rPr>
          <w:rFonts w:hint="eastAsia" w:ascii="宋体" w:hAnsi="宋体" w:cs="宋体"/>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1521BBF2">
      <w:pPr>
        <w:snapToGrid w:val="0"/>
        <w:spacing w:line="440" w:lineRule="exact"/>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7.本工程的最终结算总价以相关部门或单位审定的金额为准</w:t>
      </w:r>
      <w:r>
        <w:rPr>
          <w:rFonts w:hint="eastAsia" w:ascii="宋体" w:hAnsi="宋体" w:cs="宋体"/>
          <w:b/>
          <w:bCs/>
          <w:color w:val="auto"/>
          <w:sz w:val="24"/>
          <w:szCs w:val="24"/>
          <w:highlight w:val="none"/>
          <w:lang w:eastAsia="zh-CN"/>
        </w:rPr>
        <w:t>。</w:t>
      </w:r>
    </w:p>
    <w:p w14:paraId="1688B5E9">
      <w:pPr>
        <w:snapToGrid w:val="0"/>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w:t>
      </w:r>
    </w:p>
    <w:p w14:paraId="0FCFED38">
      <w:pPr>
        <w:snapToGrid w:val="0"/>
        <w:spacing w:line="44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3"/>
      <w:bookmarkEnd w:id="54"/>
      <w:bookmarkEnd w:id="55"/>
      <w:bookmarkEnd w:id="56"/>
      <w:bookmarkEnd w:id="57"/>
      <w:bookmarkEnd w:id="58"/>
      <w:bookmarkEnd w:id="59"/>
      <w:bookmarkStart w:id="202" w:name="_GoBack"/>
      <w:bookmarkEnd w:id="202"/>
    </w:p>
    <w:p w14:paraId="68795450">
      <w:pPr>
        <w:snapToGrid w:val="0"/>
        <w:spacing w:line="440" w:lineRule="exact"/>
        <w:ind w:firstLine="480" w:firstLineChars="200"/>
        <w:jc w:val="left"/>
        <w:rPr>
          <w:rFonts w:ascii="宋体" w:hAnsi="宋体" w:cs="宋体"/>
          <w:color w:val="auto"/>
          <w:sz w:val="24"/>
          <w:szCs w:val="24"/>
          <w:highlight w:val="none"/>
        </w:rPr>
      </w:pPr>
      <w:bookmarkStart w:id="67" w:name="_Toc19901"/>
      <w:bookmarkStart w:id="68" w:name="_Toc24569667"/>
      <w:bookmarkStart w:id="69" w:name="_Toc10176"/>
      <w:bookmarkStart w:id="70" w:name="_Toc28250"/>
      <w:r>
        <w:rPr>
          <w:rFonts w:hint="eastAsia" w:ascii="宋体" w:hAnsi="宋体" w:cs="宋体"/>
          <w:color w:val="auto"/>
          <w:sz w:val="24"/>
          <w:szCs w:val="24"/>
          <w:highlight w:val="none"/>
        </w:rPr>
        <w:t>（一）质量要求：符合强制性质量标准，符合国家和重庆市现行有关施工质量验收规范要求，并达到合格标准。</w:t>
      </w:r>
    </w:p>
    <w:p w14:paraId="26A32E1D">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（二）工程质保期需满足重庆市建设工程质量监督总站监制《重庆市建设工程质量保修书》相关要求，缺陷责任期为24个月。</w:t>
      </w:r>
    </w:p>
    <w:p w14:paraId="04DDF644">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（三）在缺陷责任期内，所有施工质量缺陷维修均为现场服务，由此产生的费用由投标人承担，包含在投标报价内，不再另外计费。</w:t>
      </w:r>
    </w:p>
    <w:p w14:paraId="2ECA47F0">
      <w:pPr>
        <w:snapToGrid w:val="0"/>
        <w:spacing w:line="44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7"/>
      <w:bookmarkEnd w:id="68"/>
      <w:bookmarkEnd w:id="69"/>
      <w:bookmarkEnd w:id="70"/>
    </w:p>
    <w:p w14:paraId="02A7CA2F">
      <w:pPr>
        <w:snapToGrid w:val="0"/>
        <w:spacing w:line="440" w:lineRule="exact"/>
        <w:ind w:firstLine="480" w:firstLineChars="200"/>
        <w:jc w:val="left"/>
        <w:rPr>
          <w:rFonts w:ascii="宋体" w:hAnsi="宋体" w:cs="宋体"/>
          <w:color w:val="auto"/>
          <w:sz w:val="24"/>
          <w:szCs w:val="24"/>
          <w:highlight w:val="none"/>
        </w:rPr>
      </w:pPr>
      <w:bookmarkStart w:id="71" w:name="_Toc13040"/>
      <w:bookmarkStart w:id="72" w:name="_Toc4293"/>
      <w:bookmarkStart w:id="73" w:name="_Toc12794"/>
      <w:bookmarkStart w:id="74" w:name="_Toc12582"/>
      <w:bookmarkStart w:id="75" w:name="_Toc520204758"/>
      <w:bookmarkStart w:id="76" w:name="_Toc24569668"/>
      <w:bookmarkStart w:id="77" w:name="_Toc267320052"/>
      <w:bookmarkStart w:id="78" w:name="_Toc31427"/>
      <w:r>
        <w:rPr>
          <w:rFonts w:hint="eastAsia" w:ascii="宋体" w:hAnsi="宋体" w:cs="宋体"/>
          <w:color w:val="auto"/>
          <w:sz w:val="24"/>
          <w:szCs w:val="24"/>
          <w:highlight w:val="none"/>
        </w:rPr>
        <w:t>（一）合同签订前中标人向招标人交纳10%的履约保证金（以支票、汇票、本票或者金融机构、担保机构出具的保函等非现金形式提交），项目验收合格后无息退还；</w:t>
      </w:r>
    </w:p>
    <w:p w14:paraId="4389E6F0">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（二）本项目无预付款，</w:t>
      </w:r>
      <w:r>
        <w:rPr>
          <w:rFonts w:hint="eastAsia" w:ascii="宋体" w:hAnsi="宋体" w:cs="宋体"/>
          <w:color w:val="auto"/>
          <w:sz w:val="24"/>
          <w:szCs w:val="24"/>
          <w:highlight w:val="none"/>
          <w:lang w:eastAsia="zh-CN"/>
        </w:rPr>
        <w:t>由中标人</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人提出支付申请，</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人支付至合同总价的80%，工程经财评中心结算审计后出具审计报告，移交档案资料且通过档案验收后，由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人支付结算审定总额的3%作为质保金后，</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人按合同约定支付至结算审定总额的100%。</w:t>
      </w:r>
    </w:p>
    <w:p w14:paraId="1D8F6999">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（三）缺陷责任期24个月，缺陷责任期到期后1个月内</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人无息退还质保金。</w:t>
      </w:r>
    </w:p>
    <w:p w14:paraId="1444B3C0">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七、其他要求</w:t>
      </w:r>
    </w:p>
    <w:p w14:paraId="21A91F1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（一）中标人在项目施工、安装、维护等工作所涉及所有设备产品、主辅材料、施工工艺、项目管理均须符合国家相关技术规范、安全标准和环保要求。以及招标人合理的特有的管理要求。</w:t>
      </w:r>
    </w:p>
    <w:p w14:paraId="07AE891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（二）施工及维护过程中不得破坏招标人现有附属建筑物等设施设备，同时应加强招标人现有附属建筑物及成品保护，如因施工造成损坏的，由中标人承担由此造成的一切责任。</w:t>
      </w:r>
    </w:p>
    <w:p w14:paraId="322C21C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（三）涉及本次项目建设范围内设备（含附属设备、配件）的外观，要与招标人建筑、绿化、景观布局实际等方面要协调统一，招标人有权选择，中标人应予无条件支持配合。</w:t>
      </w:r>
    </w:p>
    <w:p w14:paraId="4FA06C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（四）对于本项目建设内容及相关技术方案、建设方案等均属于保密信息，中标人应予以保密，不透露给任何其他方。</w:t>
      </w:r>
    </w:p>
    <w:p w14:paraId="42EC85FF">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八、知识产权</w:t>
      </w:r>
      <w:bookmarkEnd w:id="71"/>
      <w:bookmarkEnd w:id="72"/>
      <w:bookmarkEnd w:id="73"/>
      <w:bookmarkEnd w:id="74"/>
      <w:bookmarkEnd w:id="75"/>
      <w:bookmarkEnd w:id="76"/>
      <w:bookmarkEnd w:id="77"/>
      <w:bookmarkEnd w:id="78"/>
    </w:p>
    <w:p w14:paraId="715ACC75">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招标人在中华人民共和国境内使用投标人提供的货物及服务时免受第三方提出的侵犯其专利权或其它知识产权的起诉。如果第三方提出侵权指控，投标人应承担由此而引起的一切法律责任和费用。</w:t>
      </w:r>
    </w:p>
    <w:p w14:paraId="68A82E59">
      <w:pPr>
        <w:pStyle w:val="5"/>
        <w:snapToGrid w:val="0"/>
        <w:spacing w:before="0" w:after="0" w:line="440" w:lineRule="exact"/>
        <w:rPr>
          <w:rFonts w:ascii="宋体" w:hAnsi="宋体" w:cs="宋体"/>
          <w:color w:val="auto"/>
          <w:sz w:val="24"/>
          <w:szCs w:val="24"/>
          <w:highlight w:val="none"/>
        </w:rPr>
      </w:pPr>
      <w:bookmarkStart w:id="79" w:name="_Toc24896"/>
      <w:bookmarkStart w:id="80" w:name="_Toc22916"/>
      <w:bookmarkStart w:id="81" w:name="_Toc23606"/>
      <w:bookmarkStart w:id="82" w:name="_Toc403569795"/>
      <w:bookmarkStart w:id="83" w:name="_Toc24569670"/>
      <w:bookmarkStart w:id="84" w:name="_Toc729"/>
      <w:r>
        <w:rPr>
          <w:rFonts w:hint="eastAsia" w:ascii="宋体" w:hAnsi="宋体" w:cs="宋体"/>
          <w:color w:val="auto"/>
          <w:sz w:val="24"/>
          <w:szCs w:val="24"/>
          <w:highlight w:val="none"/>
        </w:rPr>
        <w:t>九、</w:t>
      </w:r>
      <w:bookmarkStart w:id="85" w:name="_Toc17102"/>
      <w:bookmarkStart w:id="86" w:name="_Toc29578"/>
      <w:bookmarkStart w:id="87" w:name="_Toc16375"/>
      <w:bookmarkStart w:id="88" w:name="_Toc344475125"/>
      <w:r>
        <w:rPr>
          <w:rFonts w:hint="eastAsia" w:ascii="宋体" w:hAnsi="宋体" w:cs="宋体"/>
          <w:color w:val="auto"/>
          <w:sz w:val="24"/>
          <w:szCs w:val="24"/>
          <w:highlight w:val="none"/>
        </w:rPr>
        <w:t>培训</w:t>
      </w:r>
      <w:bookmarkEnd w:id="79"/>
      <w:bookmarkEnd w:id="80"/>
      <w:bookmarkEnd w:id="81"/>
      <w:bookmarkEnd w:id="85"/>
      <w:bookmarkEnd w:id="86"/>
    </w:p>
    <w:p w14:paraId="6EF127B1">
      <w:pPr>
        <w:pStyle w:val="5"/>
        <w:snapToGrid w:val="0"/>
        <w:spacing w:before="0" w:after="0" w:line="440" w:lineRule="exact"/>
        <w:ind w:firstLine="480" w:firstLineChars="200"/>
        <w:rPr>
          <w:rFonts w:ascii="宋体" w:hAnsi="宋体" w:cs="宋体"/>
          <w:b w:val="0"/>
          <w:color w:val="auto"/>
          <w:kern w:val="0"/>
          <w:sz w:val="24"/>
          <w:szCs w:val="24"/>
          <w:highlight w:val="none"/>
        </w:rPr>
      </w:pPr>
      <w:bookmarkStart w:id="89" w:name="_Toc3546"/>
      <w:bookmarkStart w:id="90" w:name="_Toc19328"/>
      <w:bookmarkStart w:id="91" w:name="_Toc16151"/>
      <w:bookmarkStart w:id="92" w:name="_Toc10405"/>
      <w:bookmarkStart w:id="93" w:name="_Toc18676"/>
      <w:bookmarkStart w:id="94" w:name="_Toc22485"/>
      <w:r>
        <w:rPr>
          <w:rFonts w:hint="eastAsia" w:ascii="宋体" w:hAnsi="宋体" w:cs="宋体"/>
          <w:b w:val="0"/>
          <w:color w:val="auto"/>
          <w:kern w:val="0"/>
          <w:sz w:val="24"/>
          <w:szCs w:val="24"/>
          <w:highlight w:val="none"/>
        </w:rPr>
        <w:t>投标人对其提供产品的使用和操作应尽培训义务。投标人应提供对招标人的基本免费培训，使招标人使用人员能够正常操作。</w:t>
      </w:r>
      <w:bookmarkEnd w:id="89"/>
      <w:bookmarkEnd w:id="90"/>
      <w:bookmarkEnd w:id="91"/>
      <w:bookmarkEnd w:id="92"/>
    </w:p>
    <w:p w14:paraId="6F6CEBAA">
      <w:pPr>
        <w:pStyle w:val="5"/>
        <w:snapToGrid w:val="0"/>
        <w:spacing w:before="0" w:after="0" w:line="440" w:lineRule="exact"/>
        <w:rPr>
          <w:rFonts w:ascii="宋体" w:hAnsi="宋体" w:cs="宋体"/>
          <w:color w:val="auto"/>
          <w:sz w:val="24"/>
          <w:szCs w:val="24"/>
          <w:highlight w:val="none"/>
        </w:rPr>
      </w:pPr>
      <w:bookmarkStart w:id="95" w:name="_Toc18376"/>
      <w:r>
        <w:rPr>
          <w:rFonts w:hint="eastAsia" w:ascii="宋体" w:hAnsi="宋体" w:cs="宋体"/>
          <w:color w:val="auto"/>
          <w:sz w:val="24"/>
          <w:szCs w:val="24"/>
          <w:highlight w:val="none"/>
        </w:rPr>
        <w:t>十、违约责任</w:t>
      </w:r>
      <w:bookmarkEnd w:id="87"/>
      <w:bookmarkEnd w:id="93"/>
      <w:bookmarkEnd w:id="94"/>
      <w:bookmarkEnd w:id="95"/>
    </w:p>
    <w:p w14:paraId="31618B7D">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（一）中标人无正当理由逾期竣工的，中标人按要求向招标人支付违约金，具体金额由双方协商决定。如中标人逾期竣工达10天，招标人有权解除合同，招标人解除合同的通知自到达中标人时生效。</w:t>
      </w:r>
    </w:p>
    <w:p w14:paraId="234086BA">
      <w:pPr>
        <w:numPr>
          <w:ilvl w:val="0"/>
          <w:numId w:val="2"/>
        </w:num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投标人所交付的货物不符合本合同规定的，招标人有权拒收，招标人有权要求投标人赔偿因此造成的损失。</w:t>
      </w:r>
    </w:p>
    <w:p w14:paraId="3362C08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（三）招标人无正当理由不得拒收货物、拒付货款。</w:t>
      </w:r>
    </w:p>
    <w:p w14:paraId="49421342">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14:paraId="1D9CF842">
      <w:pPr>
        <w:pStyle w:val="5"/>
        <w:snapToGrid w:val="0"/>
        <w:spacing w:before="0" w:after="0" w:line="440" w:lineRule="exact"/>
        <w:rPr>
          <w:rFonts w:ascii="宋体" w:hAnsi="宋体" w:cs="宋体"/>
          <w:color w:val="auto"/>
          <w:sz w:val="24"/>
          <w:szCs w:val="24"/>
          <w:highlight w:val="none"/>
        </w:rPr>
      </w:pPr>
      <w:bookmarkStart w:id="96" w:name="_Toc25408"/>
      <w:bookmarkStart w:id="97" w:name="_Toc21784"/>
      <w:bookmarkStart w:id="98" w:name="_Toc15269"/>
      <w:r>
        <w:rPr>
          <w:rFonts w:hint="eastAsia" w:ascii="宋体" w:hAnsi="宋体" w:cs="宋体"/>
          <w:color w:val="auto"/>
          <w:sz w:val="24"/>
          <w:szCs w:val="24"/>
          <w:highlight w:val="none"/>
        </w:rPr>
        <w:t>十一、其他</w:t>
      </w:r>
      <w:bookmarkEnd w:id="82"/>
      <w:bookmarkEnd w:id="83"/>
      <w:bookmarkEnd w:id="84"/>
      <w:bookmarkEnd w:id="96"/>
      <w:bookmarkEnd w:id="97"/>
      <w:bookmarkEnd w:id="98"/>
    </w:p>
    <w:bookmarkEnd w:id="88"/>
    <w:p w14:paraId="17999DDF">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（一）中标人确定后，由招标人和中标人按照相关规定和程序办理有关手续，签订合同。</w:t>
      </w:r>
    </w:p>
    <w:p w14:paraId="6710FBC6">
      <w:pPr>
        <w:snapToGrid w:val="0"/>
        <w:spacing w:line="440" w:lineRule="exact"/>
        <w:ind w:firstLine="539"/>
        <w:rPr>
          <w:rFonts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14:paraId="0EF1B12B">
      <w:pPr>
        <w:pStyle w:val="3"/>
        <w:rPr>
          <w:rFonts w:ascii="宋体" w:hAnsi="宋体" w:cs="宋体"/>
          <w:b/>
          <w:bCs/>
          <w:color w:val="auto"/>
          <w:sz w:val="36"/>
          <w:szCs w:val="28"/>
          <w:highlight w:val="none"/>
        </w:rPr>
      </w:pPr>
    </w:p>
    <w:p w14:paraId="073C4632">
      <w:pPr>
        <w:rPr>
          <w:rFonts w:ascii="宋体" w:hAnsi="宋体" w:cs="宋体"/>
          <w:b/>
          <w:bCs/>
          <w:color w:val="auto"/>
          <w:sz w:val="36"/>
          <w:szCs w:val="28"/>
          <w:highlight w:val="none"/>
        </w:rPr>
      </w:pPr>
    </w:p>
    <w:p w14:paraId="7295AFDF">
      <w:pPr>
        <w:rPr>
          <w:rFonts w:ascii="宋体" w:hAnsi="宋体" w:cs="宋体"/>
          <w:color w:val="auto"/>
          <w:sz w:val="36"/>
          <w:szCs w:val="36"/>
          <w:highlight w:val="none"/>
        </w:rPr>
      </w:pPr>
      <w:bookmarkStart w:id="99" w:name="_Toc19698"/>
    </w:p>
    <w:p w14:paraId="64FA6C09">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0014F905">
      <w:pPr>
        <w:pStyle w:val="4"/>
        <w:spacing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8"/>
      <w:r>
        <w:rPr>
          <w:rFonts w:hint="eastAsia" w:ascii="宋体" w:hAnsi="宋体" w:eastAsia="宋体" w:cs="宋体"/>
          <w:color w:val="auto"/>
          <w:sz w:val="36"/>
          <w:szCs w:val="36"/>
          <w:highlight w:val="none"/>
        </w:rPr>
        <w:t>评审程序及方法、评审标准、无效响应和采购终止</w:t>
      </w:r>
      <w:bookmarkEnd w:id="99"/>
    </w:p>
    <w:p w14:paraId="672D397F">
      <w:pPr>
        <w:pStyle w:val="5"/>
        <w:snapToGrid w:val="0"/>
        <w:spacing w:before="0" w:after="0" w:line="360" w:lineRule="auto"/>
        <w:rPr>
          <w:rFonts w:ascii="宋体" w:hAnsi="宋体" w:cs="宋体"/>
          <w:color w:val="auto"/>
          <w:sz w:val="24"/>
          <w:szCs w:val="24"/>
          <w:highlight w:val="none"/>
        </w:rPr>
      </w:pPr>
      <w:bookmarkStart w:id="100" w:name="_Toc9780"/>
      <w:r>
        <w:rPr>
          <w:rFonts w:hint="eastAsia" w:ascii="宋体" w:hAnsi="宋体" w:cs="宋体"/>
          <w:color w:val="auto"/>
          <w:sz w:val="24"/>
          <w:szCs w:val="24"/>
          <w:highlight w:val="none"/>
        </w:rPr>
        <w:t>一、评审程序及方法</w:t>
      </w:r>
      <w:bookmarkEnd w:id="100"/>
    </w:p>
    <w:p w14:paraId="02C6C4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（一）按招标文件规定的评审方式进行，本项目依法组建的评审委员会分别对各投标人的投标文件进行综合评分。</w:t>
      </w:r>
    </w:p>
    <w:p w14:paraId="79BB742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（二）评审委员会对各投标人的资格条件、投标文件的有效性、完整性和响应程度进行审查，各投标人只有完全符合要求的前提下，才能参与投标。</w:t>
      </w:r>
    </w:p>
    <w:p w14:paraId="6D8BFB91">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1.资格审查。依据法律法规和招标文件的规定，对投标文件中的资格证明等进行审查，以确定投标人是否具备投标资格。资格性检查资料表如下：</w:t>
      </w:r>
    </w:p>
    <w:tbl>
      <w:tblPr>
        <w:tblStyle w:val="24"/>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1FB9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74AEE2D9">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14:paraId="5CB453A0">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14:paraId="0A21E468">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271A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2B1D27B6">
            <w:pPr>
              <w:spacing w:line="360" w:lineRule="auto"/>
              <w:jc w:val="center"/>
              <w:rPr>
                <w:rFonts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14:paraId="142C2EB8">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14:paraId="501D9E7C">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14:paraId="3E3F1B0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1.投标人法人营业执照（副本）或事业单位法人证书（副本）或个体工商户营业执照或有效的自然人身份证明或社会团体法人登记证书（提供复印件）。 </w:t>
            </w:r>
          </w:p>
          <w:p w14:paraId="5ECA6AFE">
            <w:pPr>
              <w:snapToGrid w:val="0"/>
              <w:spacing w:line="360" w:lineRule="auto"/>
              <w:rPr>
                <w:rFonts w:ascii="宋体" w:hAnsi="宋体"/>
                <w:color w:val="auto"/>
                <w:highlight w:val="none"/>
              </w:rPr>
            </w:pPr>
            <w:r>
              <w:rPr>
                <w:rFonts w:hint="eastAsia" w:ascii="宋体" w:hAnsi="宋体" w:cs="宋体"/>
                <w:color w:val="auto"/>
                <w:sz w:val="24"/>
                <w:szCs w:val="24"/>
                <w:highlight w:val="none"/>
              </w:rPr>
              <w:t>2.投标人法定代表人身份证明和法定代表人授权代表委托书。</w:t>
            </w:r>
          </w:p>
        </w:tc>
      </w:tr>
      <w:tr w14:paraId="1593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1D89C784">
            <w:pPr>
              <w:snapToGrid w:val="0"/>
              <w:spacing w:line="360" w:lineRule="auto"/>
              <w:jc w:val="center"/>
              <w:rPr>
                <w:rFonts w:ascii="宋体" w:hAnsi="宋体" w:cs="宋体"/>
                <w:color w:val="auto"/>
                <w:sz w:val="24"/>
                <w:szCs w:val="24"/>
                <w:highlight w:val="none"/>
              </w:rPr>
            </w:pPr>
          </w:p>
        </w:tc>
        <w:tc>
          <w:tcPr>
            <w:tcW w:w="814" w:type="dxa"/>
            <w:vMerge w:val="continue"/>
            <w:vAlign w:val="center"/>
          </w:tcPr>
          <w:p w14:paraId="64772F74">
            <w:pPr>
              <w:snapToGrid w:val="0"/>
              <w:spacing w:line="360" w:lineRule="auto"/>
              <w:rPr>
                <w:rFonts w:ascii="宋体" w:hAnsi="宋体" w:cs="宋体"/>
                <w:color w:val="auto"/>
                <w:sz w:val="24"/>
                <w:szCs w:val="24"/>
                <w:highlight w:val="none"/>
                <w:lang w:val="zh-CN"/>
              </w:rPr>
            </w:pPr>
          </w:p>
        </w:tc>
        <w:tc>
          <w:tcPr>
            <w:tcW w:w="2906" w:type="dxa"/>
            <w:vAlign w:val="center"/>
          </w:tcPr>
          <w:p w14:paraId="7133FBA6">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14:paraId="137FCD02">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投标人提供基本资格条件承诺函</w:t>
            </w:r>
            <w:r>
              <w:rPr>
                <w:rFonts w:hint="eastAsia" w:ascii="宋体" w:hAnsi="宋体" w:cs="宋体"/>
                <w:b/>
                <w:bCs/>
                <w:color w:val="auto"/>
                <w:sz w:val="24"/>
                <w:szCs w:val="24"/>
                <w:highlight w:val="none"/>
              </w:rPr>
              <w:t>（格式详见第七篇）</w:t>
            </w:r>
          </w:p>
        </w:tc>
      </w:tr>
      <w:tr w14:paraId="6350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33F68D22">
            <w:pPr>
              <w:snapToGrid w:val="0"/>
              <w:spacing w:line="360" w:lineRule="auto"/>
              <w:jc w:val="center"/>
              <w:rPr>
                <w:rFonts w:ascii="宋体" w:hAnsi="宋体" w:cs="宋体"/>
                <w:color w:val="auto"/>
                <w:sz w:val="24"/>
                <w:szCs w:val="24"/>
                <w:highlight w:val="none"/>
              </w:rPr>
            </w:pPr>
          </w:p>
        </w:tc>
        <w:tc>
          <w:tcPr>
            <w:tcW w:w="814" w:type="dxa"/>
            <w:vMerge w:val="continue"/>
            <w:vAlign w:val="center"/>
          </w:tcPr>
          <w:p w14:paraId="0B8A14C9">
            <w:pPr>
              <w:snapToGrid w:val="0"/>
              <w:spacing w:line="360" w:lineRule="auto"/>
              <w:rPr>
                <w:rFonts w:ascii="宋体" w:hAnsi="宋体" w:cs="宋体"/>
                <w:color w:val="auto"/>
                <w:sz w:val="24"/>
                <w:szCs w:val="24"/>
                <w:highlight w:val="none"/>
                <w:lang w:val="zh-CN"/>
              </w:rPr>
            </w:pPr>
          </w:p>
        </w:tc>
        <w:tc>
          <w:tcPr>
            <w:tcW w:w="2906" w:type="dxa"/>
            <w:vAlign w:val="center"/>
          </w:tcPr>
          <w:p w14:paraId="25FB7004">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14:paraId="5A902F1D">
            <w:pPr>
              <w:snapToGrid w:val="0"/>
              <w:spacing w:line="360" w:lineRule="auto"/>
              <w:rPr>
                <w:rFonts w:ascii="宋体" w:hAnsi="宋体" w:cs="宋体"/>
                <w:color w:val="auto"/>
                <w:sz w:val="24"/>
                <w:szCs w:val="24"/>
                <w:highlight w:val="none"/>
              </w:rPr>
            </w:pPr>
          </w:p>
        </w:tc>
      </w:tr>
      <w:tr w14:paraId="5B91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71C6FDC4">
            <w:pPr>
              <w:snapToGrid w:val="0"/>
              <w:spacing w:line="360" w:lineRule="auto"/>
              <w:jc w:val="center"/>
              <w:rPr>
                <w:rFonts w:ascii="宋体" w:hAnsi="宋体" w:cs="宋体"/>
                <w:color w:val="auto"/>
                <w:sz w:val="24"/>
                <w:szCs w:val="24"/>
                <w:highlight w:val="none"/>
              </w:rPr>
            </w:pPr>
          </w:p>
        </w:tc>
        <w:tc>
          <w:tcPr>
            <w:tcW w:w="814" w:type="dxa"/>
            <w:vMerge w:val="continue"/>
            <w:vAlign w:val="center"/>
          </w:tcPr>
          <w:p w14:paraId="460AEBBA">
            <w:pPr>
              <w:snapToGrid w:val="0"/>
              <w:spacing w:line="360" w:lineRule="auto"/>
              <w:rPr>
                <w:rFonts w:ascii="宋体" w:hAnsi="宋体" w:cs="宋体"/>
                <w:color w:val="auto"/>
                <w:sz w:val="24"/>
                <w:szCs w:val="24"/>
                <w:highlight w:val="none"/>
                <w:lang w:val="zh-CN"/>
              </w:rPr>
            </w:pPr>
          </w:p>
        </w:tc>
        <w:tc>
          <w:tcPr>
            <w:tcW w:w="2906" w:type="dxa"/>
            <w:vAlign w:val="center"/>
          </w:tcPr>
          <w:p w14:paraId="174C03A7">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14:paraId="0DA01A18">
            <w:pPr>
              <w:snapToGrid w:val="0"/>
              <w:spacing w:line="360" w:lineRule="auto"/>
              <w:rPr>
                <w:rFonts w:ascii="宋体" w:hAnsi="宋体" w:cs="宋体"/>
                <w:color w:val="auto"/>
                <w:sz w:val="24"/>
                <w:szCs w:val="24"/>
                <w:highlight w:val="none"/>
              </w:rPr>
            </w:pPr>
          </w:p>
        </w:tc>
      </w:tr>
      <w:tr w14:paraId="4709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3806CB14">
            <w:pPr>
              <w:snapToGrid w:val="0"/>
              <w:spacing w:line="360" w:lineRule="auto"/>
              <w:jc w:val="center"/>
              <w:rPr>
                <w:rFonts w:ascii="宋体" w:hAnsi="宋体" w:cs="宋体"/>
                <w:color w:val="auto"/>
                <w:sz w:val="24"/>
                <w:szCs w:val="24"/>
                <w:highlight w:val="none"/>
              </w:rPr>
            </w:pPr>
          </w:p>
        </w:tc>
        <w:tc>
          <w:tcPr>
            <w:tcW w:w="814" w:type="dxa"/>
            <w:vMerge w:val="continue"/>
            <w:vAlign w:val="center"/>
          </w:tcPr>
          <w:p w14:paraId="24C8D813">
            <w:pPr>
              <w:snapToGrid w:val="0"/>
              <w:spacing w:line="360" w:lineRule="auto"/>
              <w:rPr>
                <w:rFonts w:ascii="宋体" w:hAnsi="宋体" w:cs="宋体"/>
                <w:color w:val="auto"/>
                <w:sz w:val="24"/>
                <w:szCs w:val="24"/>
                <w:highlight w:val="none"/>
                <w:lang w:val="zh-CN"/>
              </w:rPr>
            </w:pPr>
          </w:p>
        </w:tc>
        <w:tc>
          <w:tcPr>
            <w:tcW w:w="2906" w:type="dxa"/>
            <w:vAlign w:val="center"/>
          </w:tcPr>
          <w:p w14:paraId="3FFFE862">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14:paraId="2B8E98D8">
            <w:pPr>
              <w:spacing w:line="360" w:lineRule="auto"/>
              <w:rPr>
                <w:rFonts w:ascii="宋体" w:hAnsi="宋体" w:cs="宋体"/>
                <w:color w:val="auto"/>
                <w:sz w:val="24"/>
                <w:szCs w:val="24"/>
                <w:highlight w:val="none"/>
              </w:rPr>
            </w:pPr>
          </w:p>
        </w:tc>
      </w:tr>
      <w:tr w14:paraId="224C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6321E865">
            <w:pPr>
              <w:snapToGrid w:val="0"/>
              <w:spacing w:line="360" w:lineRule="auto"/>
              <w:jc w:val="center"/>
              <w:rPr>
                <w:rFonts w:ascii="宋体" w:hAnsi="宋体" w:cs="宋体"/>
                <w:color w:val="auto"/>
                <w:sz w:val="24"/>
                <w:szCs w:val="24"/>
                <w:highlight w:val="none"/>
              </w:rPr>
            </w:pPr>
          </w:p>
        </w:tc>
        <w:tc>
          <w:tcPr>
            <w:tcW w:w="814" w:type="dxa"/>
            <w:vMerge w:val="continue"/>
            <w:vAlign w:val="center"/>
          </w:tcPr>
          <w:p w14:paraId="15E92EA6">
            <w:pPr>
              <w:snapToGrid w:val="0"/>
              <w:spacing w:line="360" w:lineRule="auto"/>
              <w:rPr>
                <w:rFonts w:ascii="宋体" w:hAnsi="宋体" w:cs="宋体"/>
                <w:color w:val="auto"/>
                <w:sz w:val="24"/>
                <w:szCs w:val="24"/>
                <w:highlight w:val="none"/>
                <w:lang w:val="zh-CN"/>
              </w:rPr>
            </w:pPr>
          </w:p>
        </w:tc>
        <w:tc>
          <w:tcPr>
            <w:tcW w:w="2906" w:type="dxa"/>
            <w:vAlign w:val="center"/>
          </w:tcPr>
          <w:p w14:paraId="76F6C6B5">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14:paraId="6E2BB4D3">
            <w:pPr>
              <w:snapToGrid w:val="0"/>
              <w:spacing w:line="360" w:lineRule="auto"/>
              <w:rPr>
                <w:rFonts w:ascii="宋体" w:hAnsi="宋体" w:cs="宋体"/>
                <w:color w:val="auto"/>
                <w:sz w:val="24"/>
                <w:szCs w:val="24"/>
                <w:highlight w:val="none"/>
              </w:rPr>
            </w:pPr>
          </w:p>
        </w:tc>
      </w:tr>
      <w:tr w14:paraId="0BDD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666890FB">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14:paraId="567412B5">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14:paraId="5F38F8F0">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按第一篇“三、投标人资格条件 （二）本项目的特定资格要求”的要求提交（如果有）。</w:t>
            </w:r>
          </w:p>
        </w:tc>
      </w:tr>
    </w:tbl>
    <w:p w14:paraId="67C16DC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72EA02C">
      <w:pPr>
        <w:snapToGrid w:val="0"/>
        <w:spacing w:line="360" w:lineRule="auto"/>
        <w:ind w:firstLine="440" w:firstLineChars="200"/>
        <w:rPr>
          <w:rFonts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rPr>
        <w:t>投标人按“多证合一”登记制度办理营业执照的，组织机构代码证、税务登记证（副本）和社会保险登记证以投标人所提供的营业执照（副本）复印件为准。</w:t>
      </w:r>
    </w:p>
    <w:p w14:paraId="70C13B3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ADA15C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14:paraId="518FF08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对符合资格的投标人的投标文件进行符合性审查，以确定其是否满足招标文件的实质性要求。符合性审查资料表如下：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3CDC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12493CF9">
            <w:pPr>
              <w:spacing w:line="360" w:lineRule="auto"/>
              <w:jc w:val="center"/>
              <w:rPr>
                <w:rFonts w:ascii="宋体" w:hAnsi="宋体" w:cs="宋体"/>
                <w:b/>
                <w:color w:val="auto"/>
                <w:kern w:val="0"/>
                <w:sz w:val="24"/>
                <w:szCs w:val="24"/>
                <w:highlight w:val="none"/>
              </w:rPr>
            </w:pPr>
            <w:bookmarkStart w:id="101" w:name="_Toc80104349"/>
            <w:r>
              <w:rPr>
                <w:rFonts w:hint="eastAsia" w:ascii="宋体" w:hAnsi="宋体" w:cs="宋体"/>
                <w:b/>
                <w:color w:val="auto"/>
                <w:kern w:val="0"/>
                <w:sz w:val="24"/>
                <w:szCs w:val="24"/>
                <w:highlight w:val="none"/>
              </w:rPr>
              <w:t>序号</w:t>
            </w:r>
          </w:p>
        </w:tc>
        <w:tc>
          <w:tcPr>
            <w:tcW w:w="4136" w:type="dxa"/>
            <w:gridSpan w:val="2"/>
            <w:vAlign w:val="center"/>
          </w:tcPr>
          <w:p w14:paraId="544FCE9D">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14:paraId="082DB94B">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7478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03955261">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14:paraId="49F0BD6D">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14:paraId="63326D3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投标文件签署或盖章</w:t>
            </w:r>
          </w:p>
        </w:tc>
        <w:tc>
          <w:tcPr>
            <w:tcW w:w="4968" w:type="dxa"/>
            <w:vAlign w:val="center"/>
          </w:tcPr>
          <w:p w14:paraId="5FEE412C">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按招标文件“第七篇 投标文件格式要求”要求签署或盖章。</w:t>
            </w:r>
          </w:p>
        </w:tc>
      </w:tr>
      <w:tr w14:paraId="7C6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32585786">
            <w:pPr>
              <w:spacing w:line="360" w:lineRule="auto"/>
              <w:jc w:val="center"/>
              <w:rPr>
                <w:rFonts w:ascii="宋体" w:hAnsi="宋体" w:cs="宋体"/>
                <w:color w:val="auto"/>
                <w:kern w:val="0"/>
                <w:sz w:val="24"/>
                <w:szCs w:val="24"/>
                <w:highlight w:val="none"/>
              </w:rPr>
            </w:pPr>
          </w:p>
        </w:tc>
        <w:tc>
          <w:tcPr>
            <w:tcW w:w="1528" w:type="dxa"/>
            <w:vMerge w:val="continue"/>
            <w:vAlign w:val="center"/>
          </w:tcPr>
          <w:p w14:paraId="224396D5">
            <w:pPr>
              <w:spacing w:line="360" w:lineRule="auto"/>
              <w:rPr>
                <w:rFonts w:ascii="宋体" w:hAnsi="宋体" w:cs="宋体"/>
                <w:color w:val="auto"/>
                <w:kern w:val="0"/>
                <w:sz w:val="24"/>
                <w:szCs w:val="24"/>
                <w:highlight w:val="none"/>
              </w:rPr>
            </w:pPr>
          </w:p>
        </w:tc>
        <w:tc>
          <w:tcPr>
            <w:tcW w:w="2608" w:type="dxa"/>
            <w:vAlign w:val="center"/>
          </w:tcPr>
          <w:p w14:paraId="3A1D5A3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14:paraId="2291448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法定代表人身份证明及授权委托书有效，符合招标文件规定的格式，签署或盖章齐全。</w:t>
            </w:r>
          </w:p>
        </w:tc>
      </w:tr>
      <w:tr w14:paraId="101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2B7B3757">
            <w:pPr>
              <w:spacing w:line="360" w:lineRule="auto"/>
              <w:jc w:val="center"/>
              <w:rPr>
                <w:rFonts w:ascii="宋体" w:hAnsi="宋体" w:cs="宋体"/>
                <w:color w:val="auto"/>
                <w:kern w:val="0"/>
                <w:sz w:val="24"/>
                <w:szCs w:val="24"/>
                <w:highlight w:val="none"/>
              </w:rPr>
            </w:pPr>
          </w:p>
        </w:tc>
        <w:tc>
          <w:tcPr>
            <w:tcW w:w="1528" w:type="dxa"/>
            <w:vMerge w:val="continue"/>
            <w:vAlign w:val="center"/>
          </w:tcPr>
          <w:p w14:paraId="0B1C072D">
            <w:pPr>
              <w:spacing w:line="360" w:lineRule="auto"/>
              <w:rPr>
                <w:rFonts w:ascii="宋体" w:hAnsi="宋体" w:cs="宋体"/>
                <w:color w:val="auto"/>
                <w:kern w:val="0"/>
                <w:sz w:val="24"/>
                <w:szCs w:val="24"/>
                <w:highlight w:val="none"/>
              </w:rPr>
            </w:pPr>
          </w:p>
        </w:tc>
        <w:tc>
          <w:tcPr>
            <w:tcW w:w="2608" w:type="dxa"/>
            <w:vAlign w:val="center"/>
          </w:tcPr>
          <w:p w14:paraId="31BA314E">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14:paraId="59699415">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585B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2A0B61B0">
            <w:pPr>
              <w:spacing w:line="360" w:lineRule="auto"/>
              <w:jc w:val="center"/>
              <w:rPr>
                <w:rFonts w:ascii="宋体" w:hAnsi="宋体" w:cs="宋体"/>
                <w:color w:val="auto"/>
                <w:kern w:val="0"/>
                <w:sz w:val="24"/>
                <w:szCs w:val="24"/>
                <w:highlight w:val="none"/>
              </w:rPr>
            </w:pPr>
          </w:p>
        </w:tc>
        <w:tc>
          <w:tcPr>
            <w:tcW w:w="1528" w:type="dxa"/>
            <w:vMerge w:val="continue"/>
            <w:vAlign w:val="center"/>
          </w:tcPr>
          <w:p w14:paraId="231AAA4D">
            <w:pPr>
              <w:spacing w:line="360" w:lineRule="auto"/>
              <w:rPr>
                <w:rFonts w:ascii="宋体" w:hAnsi="宋体" w:cs="宋体"/>
                <w:color w:val="auto"/>
                <w:kern w:val="0"/>
                <w:sz w:val="24"/>
                <w:szCs w:val="24"/>
                <w:highlight w:val="none"/>
              </w:rPr>
            </w:pPr>
          </w:p>
        </w:tc>
        <w:tc>
          <w:tcPr>
            <w:tcW w:w="2608" w:type="dxa"/>
            <w:vAlign w:val="center"/>
          </w:tcPr>
          <w:p w14:paraId="63812DE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14:paraId="229826C8">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2F70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5553B767">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14:paraId="50FEF5D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14:paraId="264B11A8">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zh-CN"/>
              </w:rPr>
              <w:t>文件份数</w:t>
            </w:r>
          </w:p>
        </w:tc>
        <w:tc>
          <w:tcPr>
            <w:tcW w:w="4968" w:type="dxa"/>
            <w:vAlign w:val="center"/>
          </w:tcPr>
          <w:p w14:paraId="016E9CB4">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zh-CN"/>
              </w:rPr>
              <w:t>文件数量符合</w:t>
            </w:r>
            <w:r>
              <w:rPr>
                <w:rFonts w:hint="eastAsia" w:ascii="宋体" w:hAnsi="宋体" w:cs="宋体"/>
                <w:color w:val="auto"/>
                <w:kern w:val="0"/>
                <w:sz w:val="24"/>
                <w:szCs w:val="24"/>
                <w:highlight w:val="none"/>
              </w:rPr>
              <w:t>招标文件</w:t>
            </w:r>
            <w:r>
              <w:rPr>
                <w:rFonts w:hint="eastAsia" w:ascii="宋体" w:hAnsi="宋体" w:cs="宋体"/>
                <w:color w:val="auto"/>
                <w:sz w:val="24"/>
                <w:szCs w:val="24"/>
                <w:highlight w:val="none"/>
                <w:lang w:val="zh-CN"/>
              </w:rPr>
              <w:t>要求。</w:t>
            </w:r>
          </w:p>
        </w:tc>
      </w:tr>
      <w:tr w14:paraId="242F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3EDE84B8">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14:paraId="14FE80D9">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招标文件</w:t>
            </w:r>
            <w:r>
              <w:rPr>
                <w:rFonts w:hint="eastAsia" w:ascii="宋体" w:hAnsi="宋体" w:cs="宋体"/>
                <w:color w:val="auto"/>
                <w:kern w:val="0"/>
                <w:sz w:val="24"/>
                <w:szCs w:val="24"/>
                <w:highlight w:val="none"/>
              </w:rPr>
              <w:t>的响应程度审查</w:t>
            </w:r>
          </w:p>
        </w:tc>
        <w:tc>
          <w:tcPr>
            <w:tcW w:w="2608" w:type="dxa"/>
            <w:vAlign w:val="center"/>
          </w:tcPr>
          <w:p w14:paraId="64C13937">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投标文件内容</w:t>
            </w:r>
          </w:p>
        </w:tc>
        <w:tc>
          <w:tcPr>
            <w:tcW w:w="4968" w:type="dxa"/>
            <w:vAlign w:val="center"/>
          </w:tcPr>
          <w:p w14:paraId="677F5DC0">
            <w:pPr>
              <w:pStyle w:val="14"/>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rPr>
              <w:t>招标文件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14:paraId="7F57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053FE560">
            <w:pPr>
              <w:spacing w:line="360" w:lineRule="auto"/>
              <w:jc w:val="center"/>
              <w:rPr>
                <w:rFonts w:ascii="宋体" w:hAnsi="宋体" w:cs="宋体"/>
                <w:color w:val="auto"/>
                <w:kern w:val="0"/>
                <w:sz w:val="24"/>
                <w:szCs w:val="24"/>
                <w:highlight w:val="none"/>
              </w:rPr>
            </w:pPr>
          </w:p>
        </w:tc>
        <w:tc>
          <w:tcPr>
            <w:tcW w:w="1528" w:type="dxa"/>
            <w:vMerge w:val="continue"/>
            <w:vAlign w:val="center"/>
          </w:tcPr>
          <w:p w14:paraId="4248A880">
            <w:pPr>
              <w:spacing w:line="360" w:lineRule="auto"/>
              <w:rPr>
                <w:rFonts w:ascii="宋体" w:hAnsi="宋体" w:cs="宋体"/>
                <w:color w:val="auto"/>
                <w:sz w:val="24"/>
                <w:szCs w:val="24"/>
                <w:highlight w:val="none"/>
                <w:lang w:val="zh-CN"/>
              </w:rPr>
            </w:pPr>
          </w:p>
        </w:tc>
        <w:tc>
          <w:tcPr>
            <w:tcW w:w="2608" w:type="dxa"/>
            <w:vAlign w:val="center"/>
          </w:tcPr>
          <w:p w14:paraId="7A9EAFB4">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14:paraId="2232B3DD">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投标文件及有关承诺文件有效期为提交投标文件截止时间起90天。</w:t>
            </w:r>
          </w:p>
        </w:tc>
      </w:tr>
    </w:tbl>
    <w:p w14:paraId="770F1BBE">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评审委员会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14:paraId="06A9E83C">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2）评审委员会要求投标人澄清、说明或者更正投标文件应当以书面形式作出。投标人的澄清、说明或者更正应当由法定代表人（或其授权代表）或自然人（投标人为自然人）签署或者加盖公章。由授权代表签署的，应当附法定代表人授权书。投标人为自然人的，应当由本人签署并附身份证明。</w:t>
      </w:r>
    </w:p>
    <w:p w14:paraId="64558ECF">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（3）在投标过程中投标的任何一方不得向他人透露与投标有关的技术资料、价格或其他信息。</w:t>
      </w:r>
    </w:p>
    <w:p w14:paraId="495ECF87">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4）在投标过程中，评审委员会可以根据招标文件和投标情况实质性变动采购需求中的服务、商务要求以及合同草案条款，但不得变动招标文件中的其他内容。实质性变动的内容，须经招标人代表确认。对招标文件出的实质性变动是招标文件的有效组成部分，评审委员会应当及时以书面形式同时通知所有参加投标的投标人。</w:t>
      </w:r>
    </w:p>
    <w:tbl>
      <w:tblPr>
        <w:tblStyle w:val="24"/>
        <w:tblpPr w:leftFromText="180" w:rightFromText="180" w:vertAnchor="text" w:horzAnchor="page" w:tblpX="842" w:tblpY="2215"/>
        <w:tblOverlap w:val="never"/>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961"/>
      </w:tblGrid>
      <w:tr w14:paraId="7B6D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2126F2A6">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59" w:type="dxa"/>
            <w:vAlign w:val="center"/>
          </w:tcPr>
          <w:p w14:paraId="2B53F326">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4A833AE2">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7145A109">
            <w:pPr>
              <w:widowControl/>
              <w:wordWrap w:val="0"/>
              <w:spacing w:line="44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1961" w:type="dxa"/>
            <w:vAlign w:val="center"/>
          </w:tcPr>
          <w:p w14:paraId="7154CA4C">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6FE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24A5725D">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6F9BF7DB">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14:paraId="1C4D8F17">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130" w:type="dxa"/>
            <w:vAlign w:val="center"/>
          </w:tcPr>
          <w:p w14:paraId="24210C96">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20分</w:t>
            </w:r>
          </w:p>
        </w:tc>
        <w:tc>
          <w:tcPr>
            <w:tcW w:w="5537" w:type="dxa"/>
            <w:vAlign w:val="center"/>
          </w:tcPr>
          <w:p w14:paraId="7D2F8B9C">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有效的投标报价中最低价为评审基准价，其价格分为满分。其他投标人的价格分统一按照下列公式计算：</w:t>
            </w:r>
          </w:p>
          <w:p w14:paraId="1B5100DD">
            <w:pPr>
              <w:widowControl/>
              <w:wordWrap w:val="0"/>
              <w:spacing w:line="340" w:lineRule="exact"/>
              <w:ind w:firstLine="480" w:firstLineChars="200"/>
              <w:jc w:val="left"/>
              <w:rPr>
                <w:rFonts w:ascii="宋体" w:hAnsi="宋体" w:cs="宋体"/>
                <w:color w:val="auto"/>
                <w:sz w:val="24"/>
                <w:szCs w:val="24"/>
                <w:highlight w:val="none"/>
              </w:rPr>
            </w:pPr>
            <w:r>
              <w:rPr>
                <w:rFonts w:hint="eastAsia"/>
                <w:color w:val="auto"/>
                <w:sz w:val="24"/>
                <w:szCs w:val="24"/>
                <w:highlight w:val="none"/>
              </w:rPr>
              <w:t>投标报价得分＝（评标基准价/投标报价）×价格权重×100。</w:t>
            </w:r>
          </w:p>
        </w:tc>
        <w:tc>
          <w:tcPr>
            <w:tcW w:w="1961" w:type="dxa"/>
            <w:vAlign w:val="center"/>
          </w:tcPr>
          <w:p w14:paraId="01582810">
            <w:pPr>
              <w:widowControl/>
              <w:wordWrap w:val="0"/>
              <w:spacing w:line="400" w:lineRule="exact"/>
              <w:ind w:firstLine="240" w:firstLineChars="100"/>
              <w:jc w:val="left"/>
              <w:rPr>
                <w:rFonts w:ascii="宋体" w:hAnsi="宋体" w:cs="宋体"/>
                <w:color w:val="auto"/>
                <w:sz w:val="24"/>
                <w:szCs w:val="24"/>
                <w:highlight w:val="none"/>
              </w:rPr>
            </w:pPr>
          </w:p>
        </w:tc>
      </w:tr>
      <w:tr w14:paraId="7B0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69518887">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1313237D">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技术部分（60%）</w:t>
            </w:r>
          </w:p>
        </w:tc>
        <w:tc>
          <w:tcPr>
            <w:tcW w:w="1130" w:type="dxa"/>
            <w:vAlign w:val="center"/>
          </w:tcPr>
          <w:p w14:paraId="4FEE0904">
            <w:pPr>
              <w:widowControl/>
              <w:wordWrap w:val="0"/>
              <w:jc w:val="center"/>
              <w:rPr>
                <w:color w:val="auto"/>
                <w:sz w:val="24"/>
                <w:szCs w:val="24"/>
                <w:highlight w:val="none"/>
              </w:rPr>
            </w:pPr>
            <w:r>
              <w:rPr>
                <w:rFonts w:hint="eastAsia"/>
                <w:color w:val="auto"/>
                <w:sz w:val="24"/>
                <w:szCs w:val="24"/>
                <w:highlight w:val="none"/>
              </w:rPr>
              <w:t>项目</w:t>
            </w:r>
          </w:p>
          <w:p w14:paraId="4934BD93">
            <w:pPr>
              <w:widowControl/>
              <w:wordWrap w:val="0"/>
              <w:jc w:val="center"/>
              <w:rPr>
                <w:color w:val="auto"/>
                <w:sz w:val="24"/>
                <w:szCs w:val="24"/>
                <w:highlight w:val="none"/>
              </w:rPr>
            </w:pPr>
            <w:r>
              <w:rPr>
                <w:rFonts w:hint="eastAsia"/>
                <w:color w:val="auto"/>
                <w:sz w:val="24"/>
                <w:szCs w:val="24"/>
                <w:highlight w:val="none"/>
              </w:rPr>
              <w:t>理解</w:t>
            </w:r>
          </w:p>
          <w:p w14:paraId="67EBBF54">
            <w:pPr>
              <w:widowControl/>
              <w:wordWrap w:val="0"/>
              <w:jc w:val="center"/>
              <w:rPr>
                <w:rFonts w:ascii="宋体" w:hAnsi="宋体" w:cs="宋体"/>
                <w:color w:val="auto"/>
                <w:sz w:val="24"/>
                <w:szCs w:val="24"/>
                <w:highlight w:val="none"/>
              </w:rPr>
            </w:pPr>
            <w:r>
              <w:rPr>
                <w:rFonts w:hint="eastAsia"/>
                <w:color w:val="auto"/>
                <w:sz w:val="24"/>
                <w:szCs w:val="24"/>
                <w:highlight w:val="none"/>
              </w:rPr>
              <w:t>（10分）</w:t>
            </w:r>
          </w:p>
        </w:tc>
        <w:tc>
          <w:tcPr>
            <w:tcW w:w="5537" w:type="dxa"/>
            <w:vAlign w:val="center"/>
          </w:tcPr>
          <w:p w14:paraId="199DB948">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根据投标人对项目背景、需求、现状、目标进行分析，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14:paraId="10105039">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14:paraId="1991011F">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优标准：内容完整，科学合理，需求理解强，实施内容可操作性好，符合项目实际情况；</w:t>
            </w:r>
          </w:p>
          <w:p w14:paraId="49125C69">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良标准：内容较完整，较科学合理，需求理解较强，实施内容可操作性较好，较符合项目实际情况；</w:t>
            </w:r>
          </w:p>
          <w:p w14:paraId="224AAB72">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一般标准：内容基本完整，基本科学合理，需求理解一般，实施内容可操作性一般，基本符合项目实际情况；</w:t>
            </w:r>
          </w:p>
          <w:p w14:paraId="6F87F1DB">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差标准：内容不完整，科学合理性较差，需求理解较差，实施内容可操作性较差，方案内容与项目实际情况不符。</w:t>
            </w:r>
          </w:p>
        </w:tc>
        <w:tc>
          <w:tcPr>
            <w:tcW w:w="1961" w:type="dxa"/>
            <w:vMerge w:val="restart"/>
            <w:vAlign w:val="center"/>
          </w:tcPr>
          <w:p w14:paraId="64A87696">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1、技术部分原则上不超过100页。</w:t>
            </w:r>
          </w:p>
          <w:p w14:paraId="21AD4E6B">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2、技术方案格式由投标人自拟。</w:t>
            </w:r>
          </w:p>
          <w:p w14:paraId="411656D2">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3、评标委员会根据投标人提供的技术方案比较，独立评审打分。投标人的技术部分最后得分为各评标委员会成员的平均分。（按四舍五入法保留两位小数）</w:t>
            </w:r>
          </w:p>
        </w:tc>
      </w:tr>
      <w:tr w14:paraId="5D12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14:paraId="4BE30CF2">
            <w:pPr>
              <w:widowControl/>
              <w:wordWrap w:val="0"/>
              <w:spacing w:line="440" w:lineRule="exact"/>
              <w:jc w:val="center"/>
              <w:rPr>
                <w:rFonts w:ascii="宋体" w:hAnsi="宋体" w:cs="宋体"/>
                <w:color w:val="auto"/>
                <w:sz w:val="24"/>
                <w:szCs w:val="24"/>
                <w:highlight w:val="none"/>
              </w:rPr>
            </w:pPr>
          </w:p>
        </w:tc>
        <w:tc>
          <w:tcPr>
            <w:tcW w:w="1259" w:type="dxa"/>
            <w:vMerge w:val="continue"/>
            <w:vAlign w:val="center"/>
          </w:tcPr>
          <w:p w14:paraId="352ECA73">
            <w:pPr>
              <w:widowControl/>
              <w:wordWrap w:val="0"/>
              <w:spacing w:line="440" w:lineRule="exact"/>
              <w:jc w:val="center"/>
              <w:rPr>
                <w:rFonts w:ascii="宋体" w:hAnsi="宋体" w:cs="宋体"/>
                <w:color w:val="auto"/>
                <w:sz w:val="24"/>
                <w:szCs w:val="24"/>
                <w:highlight w:val="none"/>
              </w:rPr>
            </w:pPr>
          </w:p>
        </w:tc>
        <w:tc>
          <w:tcPr>
            <w:tcW w:w="1130" w:type="dxa"/>
            <w:vAlign w:val="center"/>
          </w:tcPr>
          <w:p w14:paraId="4B452996">
            <w:pPr>
              <w:widowControl/>
              <w:wordWrap w:val="0"/>
              <w:jc w:val="center"/>
              <w:rPr>
                <w:color w:val="auto"/>
                <w:sz w:val="24"/>
                <w:szCs w:val="24"/>
                <w:highlight w:val="none"/>
              </w:rPr>
            </w:pPr>
            <w:r>
              <w:rPr>
                <w:rFonts w:hint="eastAsia"/>
                <w:color w:val="auto"/>
                <w:sz w:val="24"/>
                <w:szCs w:val="24"/>
                <w:highlight w:val="none"/>
              </w:rPr>
              <w:t>施工</w:t>
            </w:r>
          </w:p>
          <w:p w14:paraId="47920587">
            <w:pPr>
              <w:widowControl/>
              <w:wordWrap w:val="0"/>
              <w:jc w:val="center"/>
              <w:rPr>
                <w:color w:val="auto"/>
                <w:sz w:val="24"/>
                <w:szCs w:val="24"/>
                <w:highlight w:val="none"/>
              </w:rPr>
            </w:pPr>
            <w:r>
              <w:rPr>
                <w:rFonts w:hint="eastAsia"/>
                <w:color w:val="auto"/>
                <w:sz w:val="24"/>
                <w:szCs w:val="24"/>
                <w:highlight w:val="none"/>
              </w:rPr>
              <w:t>方案</w:t>
            </w:r>
          </w:p>
          <w:p w14:paraId="5399242B">
            <w:pPr>
              <w:widowControl/>
              <w:wordWrap w:val="0"/>
              <w:jc w:val="center"/>
              <w:rPr>
                <w:color w:val="auto"/>
                <w:sz w:val="24"/>
                <w:szCs w:val="24"/>
                <w:highlight w:val="none"/>
              </w:rPr>
            </w:pPr>
            <w:r>
              <w:rPr>
                <w:rFonts w:hint="eastAsia"/>
                <w:color w:val="auto"/>
                <w:sz w:val="24"/>
                <w:szCs w:val="24"/>
                <w:highlight w:val="none"/>
              </w:rPr>
              <w:t>与</w:t>
            </w:r>
          </w:p>
          <w:p w14:paraId="3A768E52">
            <w:pPr>
              <w:widowControl/>
              <w:wordWrap w:val="0"/>
              <w:jc w:val="center"/>
              <w:rPr>
                <w:color w:val="auto"/>
                <w:sz w:val="24"/>
                <w:szCs w:val="24"/>
                <w:highlight w:val="none"/>
              </w:rPr>
            </w:pPr>
            <w:r>
              <w:rPr>
                <w:rFonts w:hint="eastAsia"/>
                <w:color w:val="auto"/>
                <w:sz w:val="24"/>
                <w:szCs w:val="24"/>
                <w:highlight w:val="none"/>
              </w:rPr>
              <w:t>技术</w:t>
            </w:r>
          </w:p>
          <w:p w14:paraId="114BC9A7">
            <w:pPr>
              <w:widowControl/>
              <w:wordWrap w:val="0"/>
              <w:jc w:val="center"/>
              <w:rPr>
                <w:color w:val="auto"/>
                <w:sz w:val="24"/>
                <w:szCs w:val="24"/>
                <w:highlight w:val="none"/>
              </w:rPr>
            </w:pPr>
            <w:r>
              <w:rPr>
                <w:rFonts w:hint="eastAsia"/>
                <w:color w:val="auto"/>
                <w:sz w:val="24"/>
                <w:szCs w:val="24"/>
                <w:highlight w:val="none"/>
              </w:rPr>
              <w:t>措施</w:t>
            </w:r>
          </w:p>
          <w:p w14:paraId="29FA060E">
            <w:pPr>
              <w:widowControl/>
              <w:wordWrap w:val="0"/>
              <w:jc w:val="center"/>
              <w:rPr>
                <w:rFonts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14:paraId="18FC60C7">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根据投标人施工方案中的施工方法、施工设备、项目管理机构配备、劳动力计划，确保工程质量、工期、安全和文明施工的技术、组织措施、施工总进度计划等进行评分。</w:t>
            </w:r>
          </w:p>
          <w:p w14:paraId="695009F0">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优得20分，良得15分，一般得10分，差得5分，未提供得0分。</w:t>
            </w:r>
          </w:p>
          <w:p w14:paraId="2E8DB546">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优标准：内容完整，进度计划科学合理，保护措施可操作性强，符合项目实际情况；</w:t>
            </w:r>
          </w:p>
          <w:p w14:paraId="1DAE4E34">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良标准：内容较完整，进度计划较科学合理，保护措施可操作性较强，较符合项目实际情况；</w:t>
            </w:r>
          </w:p>
          <w:p w14:paraId="7BB10E05">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一般标准：内容基本完整，进度计划基本科学合理，保护措施可操作性一般，基本符合项目实际情况；</w:t>
            </w:r>
          </w:p>
          <w:p w14:paraId="4B7C5898">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差标准：内容不完整，进度计划科学合理性较差，保护措施可操作性较差，方案内容与项目实际情况不符。</w:t>
            </w:r>
          </w:p>
        </w:tc>
        <w:tc>
          <w:tcPr>
            <w:tcW w:w="1961" w:type="dxa"/>
            <w:vMerge w:val="continue"/>
            <w:vAlign w:val="center"/>
          </w:tcPr>
          <w:p w14:paraId="42298CAA">
            <w:pPr>
              <w:widowControl/>
              <w:wordWrap w:val="0"/>
              <w:ind w:firstLine="480" w:firstLineChars="200"/>
              <w:jc w:val="left"/>
              <w:rPr>
                <w:color w:val="auto"/>
                <w:sz w:val="24"/>
                <w:szCs w:val="24"/>
                <w:highlight w:val="none"/>
              </w:rPr>
            </w:pPr>
          </w:p>
        </w:tc>
      </w:tr>
      <w:tr w14:paraId="3C19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787" w:type="dxa"/>
            <w:vMerge w:val="continue"/>
            <w:vAlign w:val="center"/>
          </w:tcPr>
          <w:p w14:paraId="2245A7FE">
            <w:pPr>
              <w:widowControl/>
              <w:wordWrap w:val="0"/>
              <w:spacing w:line="440" w:lineRule="exact"/>
              <w:jc w:val="center"/>
              <w:rPr>
                <w:rFonts w:ascii="宋体" w:hAnsi="宋体" w:cs="宋体"/>
                <w:color w:val="auto"/>
                <w:sz w:val="24"/>
                <w:szCs w:val="24"/>
                <w:highlight w:val="none"/>
              </w:rPr>
            </w:pPr>
          </w:p>
        </w:tc>
        <w:tc>
          <w:tcPr>
            <w:tcW w:w="1259" w:type="dxa"/>
            <w:vMerge w:val="continue"/>
            <w:vAlign w:val="center"/>
          </w:tcPr>
          <w:p w14:paraId="4E58C462">
            <w:pPr>
              <w:widowControl/>
              <w:wordWrap w:val="0"/>
              <w:spacing w:line="440" w:lineRule="exact"/>
              <w:jc w:val="center"/>
              <w:rPr>
                <w:rFonts w:ascii="宋体" w:hAnsi="宋体" w:cs="宋体"/>
                <w:color w:val="auto"/>
                <w:sz w:val="24"/>
                <w:szCs w:val="24"/>
                <w:highlight w:val="none"/>
              </w:rPr>
            </w:pPr>
          </w:p>
        </w:tc>
        <w:tc>
          <w:tcPr>
            <w:tcW w:w="1130" w:type="dxa"/>
            <w:vAlign w:val="center"/>
          </w:tcPr>
          <w:p w14:paraId="48D6FA71">
            <w:pPr>
              <w:pStyle w:val="3"/>
              <w:widowControl/>
              <w:jc w:val="center"/>
              <w:rPr>
                <w:rFonts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14:paraId="3EEFF0DB">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质量管理体系是否健全有效，硬性措施是否切实可行。保证措施具有针对性，材料的质量保证措施满足招标文件所要求的工程质量要求。</w:t>
            </w:r>
          </w:p>
          <w:p w14:paraId="5F229258">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14:paraId="7AF1F3C6">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优标准：质量管理内容完整，科学合理，硬性措施切实可行，保证措施针对性强；</w:t>
            </w:r>
          </w:p>
          <w:p w14:paraId="6E5E49A1">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良标准：质量管理内容较完整，较科学合理，硬性措施较切实可行，保证措施针对性较强；</w:t>
            </w:r>
          </w:p>
          <w:p w14:paraId="7D73BB50">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一般标准：质量管理内容基本完整，基本科学合理，硬性措施一般切实可行，保证措施针对性一般；</w:t>
            </w:r>
          </w:p>
          <w:p w14:paraId="717474E0">
            <w:pPr>
              <w:widowControl/>
              <w:wordWrap w:val="0"/>
              <w:spacing w:line="340" w:lineRule="exact"/>
              <w:ind w:firstLine="480" w:firstLineChars="200"/>
              <w:jc w:val="left"/>
              <w:rPr>
                <w:color w:val="auto"/>
                <w:highlight w:val="none"/>
              </w:rPr>
            </w:pPr>
            <w:r>
              <w:rPr>
                <w:rFonts w:hint="eastAsia"/>
                <w:color w:val="auto"/>
                <w:sz w:val="24"/>
                <w:szCs w:val="24"/>
                <w:highlight w:val="none"/>
              </w:rPr>
              <w:t>差标准：质量管理内容不完整，科学合理性较差，硬性措施较差，方案内容与项目实际情况不符。</w:t>
            </w:r>
          </w:p>
        </w:tc>
        <w:tc>
          <w:tcPr>
            <w:tcW w:w="1961" w:type="dxa"/>
            <w:vMerge w:val="continue"/>
            <w:vAlign w:val="center"/>
          </w:tcPr>
          <w:p w14:paraId="6E7BDA74">
            <w:pPr>
              <w:widowControl/>
              <w:wordWrap w:val="0"/>
              <w:ind w:firstLine="480" w:firstLineChars="200"/>
              <w:jc w:val="left"/>
              <w:rPr>
                <w:color w:val="auto"/>
                <w:sz w:val="24"/>
                <w:szCs w:val="24"/>
                <w:highlight w:val="none"/>
              </w:rPr>
            </w:pPr>
          </w:p>
        </w:tc>
      </w:tr>
      <w:tr w14:paraId="3F1F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787" w:type="dxa"/>
            <w:vMerge w:val="continue"/>
            <w:vAlign w:val="center"/>
          </w:tcPr>
          <w:p w14:paraId="50FB8F1C">
            <w:pPr>
              <w:widowControl/>
              <w:wordWrap w:val="0"/>
              <w:spacing w:line="440" w:lineRule="exact"/>
              <w:jc w:val="center"/>
              <w:rPr>
                <w:rFonts w:ascii="宋体" w:hAnsi="宋体" w:cs="宋体"/>
                <w:color w:val="auto"/>
                <w:sz w:val="24"/>
                <w:szCs w:val="24"/>
                <w:highlight w:val="none"/>
              </w:rPr>
            </w:pPr>
          </w:p>
        </w:tc>
        <w:tc>
          <w:tcPr>
            <w:tcW w:w="1259" w:type="dxa"/>
            <w:vMerge w:val="continue"/>
            <w:vAlign w:val="center"/>
          </w:tcPr>
          <w:p w14:paraId="678FF024">
            <w:pPr>
              <w:widowControl/>
              <w:wordWrap w:val="0"/>
              <w:spacing w:line="440" w:lineRule="exact"/>
              <w:jc w:val="center"/>
              <w:rPr>
                <w:rFonts w:ascii="宋体" w:hAnsi="宋体" w:cs="宋体"/>
                <w:color w:val="auto"/>
                <w:sz w:val="24"/>
                <w:szCs w:val="24"/>
                <w:highlight w:val="none"/>
              </w:rPr>
            </w:pPr>
          </w:p>
        </w:tc>
        <w:tc>
          <w:tcPr>
            <w:tcW w:w="1130" w:type="dxa"/>
            <w:vAlign w:val="center"/>
          </w:tcPr>
          <w:p w14:paraId="59E98322">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14:paraId="68DD4D44">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14:paraId="4E70A85D">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14:paraId="176DD207">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737FCD94">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63D77DD8">
            <w:pPr>
              <w:pStyle w:val="3"/>
              <w:widowControl/>
              <w:jc w:val="center"/>
              <w:rPr>
                <w:rFonts w:ascii="宋体" w:hAnsi="宋体" w:eastAsia="宋体" w:cs="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39FEC33D">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安全管理体系健全有效，施工安全专项方案及安全管理保证措施具有针对性、文明施工是否得当等。</w:t>
            </w:r>
          </w:p>
          <w:p w14:paraId="32812C48">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14:paraId="4415D19A">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优标准：安全管理体系内容完整，科学合理，可操作性强，符合项目实际情况；</w:t>
            </w:r>
          </w:p>
          <w:p w14:paraId="70DD88EE">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良标准：安全管理体系内容较完整，较科学合理，可操作性较强，较符合项目实际情况；</w:t>
            </w:r>
          </w:p>
          <w:p w14:paraId="27812C12">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一般标准：安全管理体系内容基本完整，基本科学合理，可操作性一般，基本符合项目实际情况；</w:t>
            </w:r>
          </w:p>
          <w:p w14:paraId="211734D9">
            <w:pPr>
              <w:widowControl/>
              <w:wordWrap w:val="0"/>
              <w:spacing w:line="340" w:lineRule="exact"/>
              <w:ind w:firstLine="480" w:firstLineChars="200"/>
              <w:jc w:val="left"/>
              <w:rPr>
                <w:color w:val="auto"/>
                <w:highlight w:val="none"/>
              </w:rPr>
            </w:pPr>
            <w:r>
              <w:rPr>
                <w:rFonts w:hint="eastAsia"/>
                <w:color w:val="auto"/>
                <w:sz w:val="24"/>
                <w:szCs w:val="24"/>
                <w:highlight w:val="none"/>
              </w:rPr>
              <w:t>差标准：安全管理体系内容不完整，科学合理性较差，可操作性较差，方案内容与项目实际情况不符。</w:t>
            </w:r>
          </w:p>
        </w:tc>
        <w:tc>
          <w:tcPr>
            <w:tcW w:w="1961" w:type="dxa"/>
            <w:vMerge w:val="continue"/>
            <w:vAlign w:val="center"/>
          </w:tcPr>
          <w:p w14:paraId="32F26283">
            <w:pPr>
              <w:widowControl/>
              <w:wordWrap w:val="0"/>
              <w:ind w:firstLine="480" w:firstLineChars="200"/>
              <w:jc w:val="left"/>
              <w:rPr>
                <w:color w:val="auto"/>
                <w:sz w:val="24"/>
                <w:szCs w:val="24"/>
                <w:highlight w:val="none"/>
              </w:rPr>
            </w:pPr>
          </w:p>
        </w:tc>
      </w:tr>
      <w:tr w14:paraId="7556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787" w:type="dxa"/>
            <w:vMerge w:val="continue"/>
            <w:vAlign w:val="center"/>
          </w:tcPr>
          <w:p w14:paraId="6797C569">
            <w:pPr>
              <w:widowControl/>
              <w:wordWrap w:val="0"/>
              <w:spacing w:line="440" w:lineRule="exact"/>
              <w:jc w:val="center"/>
              <w:rPr>
                <w:rFonts w:ascii="宋体" w:hAnsi="宋体" w:cs="宋体"/>
                <w:color w:val="auto"/>
                <w:sz w:val="24"/>
                <w:szCs w:val="24"/>
                <w:highlight w:val="none"/>
              </w:rPr>
            </w:pPr>
          </w:p>
        </w:tc>
        <w:tc>
          <w:tcPr>
            <w:tcW w:w="1259" w:type="dxa"/>
            <w:vMerge w:val="continue"/>
            <w:vAlign w:val="center"/>
          </w:tcPr>
          <w:p w14:paraId="2E5EBE91">
            <w:pPr>
              <w:widowControl/>
              <w:wordWrap w:val="0"/>
              <w:spacing w:line="440" w:lineRule="exact"/>
              <w:jc w:val="center"/>
              <w:rPr>
                <w:rFonts w:ascii="宋体" w:hAnsi="宋体" w:cs="宋体"/>
                <w:color w:val="auto"/>
                <w:sz w:val="24"/>
                <w:szCs w:val="24"/>
                <w:highlight w:val="none"/>
              </w:rPr>
            </w:pPr>
          </w:p>
        </w:tc>
        <w:tc>
          <w:tcPr>
            <w:tcW w:w="1130" w:type="dxa"/>
            <w:vAlign w:val="center"/>
          </w:tcPr>
          <w:p w14:paraId="79E6B33D">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14:paraId="499BE7F6">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14:paraId="28F609F8">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14:paraId="7C21645F">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7AAF7D11">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4A6CABEB">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56B58EED">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进度安排满足项目进度要求，实现进度安排的保证措施可行，工期安排是否合理可行，在确保质量、提高工效等方面所起的作用进行评审。</w:t>
            </w:r>
          </w:p>
          <w:p w14:paraId="6620B7AB">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14:paraId="16777080">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优标准：内容完整，进度安排科学合理，可操作性强，符合项目实际情况；</w:t>
            </w:r>
          </w:p>
          <w:p w14:paraId="17C6130B">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良标准：内容较完整，进度安排较科学合理，可操作性较强，较符合项目实际情况；</w:t>
            </w:r>
          </w:p>
          <w:p w14:paraId="022EB85E">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一般标准：内容基本完整，进度安排基本科学合理，可操作性一般，基本符合项目实际情况；</w:t>
            </w:r>
          </w:p>
          <w:p w14:paraId="722FDF7E">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差标准：内容不完整，进度安排科学合理性较差，可操作性较差，方案内容与项目实际情况不符。</w:t>
            </w:r>
          </w:p>
        </w:tc>
        <w:tc>
          <w:tcPr>
            <w:tcW w:w="1961" w:type="dxa"/>
            <w:vMerge w:val="continue"/>
            <w:vAlign w:val="center"/>
          </w:tcPr>
          <w:p w14:paraId="4A8B9AEF">
            <w:pPr>
              <w:widowControl/>
              <w:wordWrap w:val="0"/>
              <w:ind w:firstLine="480" w:firstLineChars="200"/>
              <w:jc w:val="left"/>
              <w:rPr>
                <w:color w:val="auto"/>
                <w:sz w:val="24"/>
                <w:szCs w:val="24"/>
                <w:highlight w:val="none"/>
              </w:rPr>
            </w:pPr>
          </w:p>
        </w:tc>
      </w:tr>
      <w:tr w14:paraId="15AE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73D87176">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58E69C14">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p>
          <w:p w14:paraId="6E8FE4C9">
            <w:pPr>
              <w:widowControl/>
              <w:wordWrap w:val="0"/>
              <w:spacing w:line="400" w:lineRule="exact"/>
              <w:jc w:val="center"/>
              <w:rPr>
                <w:color w:val="auto"/>
                <w:highlight w:val="none"/>
              </w:rPr>
            </w:pPr>
            <w:r>
              <w:rPr>
                <w:rFonts w:hint="eastAsia" w:ascii="宋体" w:hAnsi="宋体" w:cs="宋体"/>
                <w:color w:val="auto"/>
                <w:sz w:val="24"/>
                <w:szCs w:val="24"/>
                <w:highlight w:val="none"/>
              </w:rPr>
              <w:t>（20%）</w:t>
            </w:r>
          </w:p>
        </w:tc>
        <w:tc>
          <w:tcPr>
            <w:tcW w:w="1130" w:type="dxa"/>
            <w:vAlign w:val="center"/>
          </w:tcPr>
          <w:p w14:paraId="484A3886">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业绩</w:t>
            </w:r>
          </w:p>
          <w:p w14:paraId="6DBBE574">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（20分）</w:t>
            </w:r>
          </w:p>
        </w:tc>
        <w:tc>
          <w:tcPr>
            <w:tcW w:w="5537" w:type="dxa"/>
            <w:vAlign w:val="center"/>
          </w:tcPr>
          <w:p w14:paraId="6E853D60">
            <w:pPr>
              <w:widowControl/>
              <w:wordWrap w:val="0"/>
              <w:spacing w:line="400" w:lineRule="exact"/>
              <w:ind w:firstLine="480" w:firstLineChars="200"/>
              <w:jc w:val="left"/>
              <w:rPr>
                <w:color w:val="auto"/>
                <w:highlight w:val="none"/>
              </w:rPr>
            </w:pPr>
            <w:r>
              <w:rPr>
                <w:rFonts w:hint="eastAsia"/>
                <w:color w:val="auto"/>
                <w:sz w:val="24"/>
                <w:szCs w:val="24"/>
                <w:highlight w:val="none"/>
              </w:rPr>
              <w:t>2022年1月1日（以合同签订时间为准）以来，投标人完成过建筑工程施工业绩的，每提供1个业绩得5分，本项最多得20分。</w:t>
            </w:r>
          </w:p>
        </w:tc>
        <w:tc>
          <w:tcPr>
            <w:tcW w:w="1961" w:type="dxa"/>
            <w:vAlign w:val="center"/>
          </w:tcPr>
          <w:p w14:paraId="16E56C42">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提供业绩的合同协议书复印件并加盖投标人公章。</w:t>
            </w:r>
          </w:p>
        </w:tc>
      </w:tr>
    </w:tbl>
    <w:p w14:paraId="151659BF">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投标文件满足招标文件全部实质性要求且按照评审因素的量化指标评审得分最高的投标人为中标人的评审方法。投标人总得分为价格、技术、商务等评定因素分别按照相应权重值计算分项得分后相加，满分为100分。（详见评审标准）。</w:t>
      </w:r>
    </w:p>
    <w:p w14:paraId="623FE20D">
      <w:pPr>
        <w:snapToGrid w:val="0"/>
        <w:spacing w:line="360" w:lineRule="auto"/>
        <w:ind w:firstLine="240" w:firstLineChars="100"/>
        <w:rPr>
          <w:rFonts w:ascii="宋体" w:hAnsi="宋体" w:cs="宋体"/>
          <w:color w:val="auto"/>
          <w:highlight w:val="none"/>
        </w:rPr>
      </w:pPr>
      <w:r>
        <w:rPr>
          <w:rFonts w:hint="eastAsia" w:ascii="宋体" w:hAnsi="宋体" w:cs="宋体"/>
          <w:color w:val="auto"/>
          <w:sz w:val="24"/>
          <w:szCs w:val="24"/>
          <w:highlight w:val="none"/>
        </w:rPr>
        <w:t>（6）评审委员会各成员独立对每个满足招标文件实质性要求的投标文件进行评价、打分，然后汇总每个投标人每项评分因素的得分，并根据综合评分情况按照评审得分由高到低顺序推荐3名及以上中标候选人，并编写评审报告。若投标人的评审得分相同的，按照报价由低到高的顺序排列推荐。评审得分且报价相同的，按照服务指标优劣顺序排列推荐。</w:t>
      </w:r>
    </w:p>
    <w:p w14:paraId="7A9A62C3">
      <w:pPr>
        <w:pStyle w:val="5"/>
        <w:snapToGrid w:val="0"/>
        <w:spacing w:before="0" w:after="0" w:line="360" w:lineRule="auto"/>
        <w:rPr>
          <w:rFonts w:hint="eastAsia" w:ascii="宋体" w:hAnsi="宋体" w:cs="宋体"/>
          <w:color w:val="auto"/>
          <w:sz w:val="24"/>
          <w:szCs w:val="24"/>
          <w:highlight w:val="none"/>
        </w:rPr>
      </w:pPr>
      <w:bookmarkStart w:id="102" w:name="_Toc14187"/>
      <w:bookmarkStart w:id="103" w:name="_Toc17411"/>
      <w:bookmarkStart w:id="104" w:name="_Toc1961"/>
    </w:p>
    <w:p w14:paraId="1E06CB64">
      <w:pPr>
        <w:pStyle w:val="5"/>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2"/>
      <w:bookmarkEnd w:id="103"/>
      <w:bookmarkEnd w:id="104"/>
    </w:p>
    <w:bookmarkEnd w:id="101"/>
    <w:p w14:paraId="74E33883">
      <w:pPr>
        <w:snapToGrid w:val="0"/>
        <w:spacing w:line="360" w:lineRule="auto"/>
        <w:ind w:firstLine="465"/>
        <w:rPr>
          <w:color w:val="auto"/>
          <w:highlight w:val="none"/>
        </w:rPr>
      </w:pPr>
      <w:bookmarkStart w:id="105" w:name="_Toc17078"/>
      <w:r>
        <w:rPr>
          <w:rFonts w:hint="eastAsia" w:ascii="宋体" w:hAnsi="宋体"/>
          <w:color w:val="auto"/>
          <w:sz w:val="24"/>
          <w:szCs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673E65">
      <w:pPr>
        <w:pStyle w:val="5"/>
        <w:snapToGrid w:val="0"/>
        <w:spacing w:before="0" w:after="0" w:line="360" w:lineRule="auto"/>
        <w:rPr>
          <w:rFonts w:ascii="宋体" w:hAnsi="宋体" w:cs="宋体"/>
          <w:color w:val="auto"/>
          <w:sz w:val="24"/>
          <w:szCs w:val="24"/>
          <w:highlight w:val="none"/>
        </w:rPr>
      </w:pPr>
      <w:bookmarkStart w:id="106" w:name="_Toc20096"/>
      <w:r>
        <w:rPr>
          <w:rFonts w:hint="eastAsia" w:ascii="宋体" w:hAnsi="宋体" w:cs="宋体"/>
          <w:color w:val="auto"/>
          <w:sz w:val="24"/>
          <w:szCs w:val="24"/>
          <w:highlight w:val="none"/>
        </w:rPr>
        <w:t>三、无效响应</w:t>
      </w:r>
      <w:bookmarkEnd w:id="105"/>
      <w:bookmarkEnd w:id="106"/>
    </w:p>
    <w:p w14:paraId="49F3F490">
      <w:pPr>
        <w:tabs>
          <w:tab w:val="left" w:pos="703"/>
        </w:tabs>
        <w:spacing w:line="360" w:lineRule="auto"/>
        <w:ind w:firstLine="480" w:firstLineChars="200"/>
        <w:rPr>
          <w:rFonts w:ascii="宋体" w:hAnsi="宋体" w:cs="宋体"/>
          <w:color w:val="auto"/>
          <w:sz w:val="24"/>
          <w:szCs w:val="24"/>
          <w:highlight w:val="none"/>
        </w:rPr>
      </w:pPr>
      <w:bookmarkStart w:id="107" w:name="_Toc22128"/>
      <w:bookmarkStart w:id="108" w:name="_Toc9808"/>
      <w:bookmarkStart w:id="109" w:name="_Toc4550"/>
      <w:bookmarkStart w:id="110" w:name="_Toc27033"/>
      <w:r>
        <w:rPr>
          <w:rFonts w:hint="eastAsia" w:ascii="宋体" w:hAnsi="宋体" w:cs="宋体"/>
          <w:color w:val="auto"/>
          <w:sz w:val="24"/>
          <w:szCs w:val="24"/>
          <w:highlight w:val="none"/>
        </w:rPr>
        <w:t>投标人发生以下条款情况之一者，其投标文件作无效响应处理：</w:t>
      </w:r>
    </w:p>
    <w:p w14:paraId="36211170">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（一）投标人未通过资格性检查或投标文件未通过符合性检查的；</w:t>
      </w:r>
    </w:p>
    <w:p w14:paraId="1CB79C77">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（二）投标人所提交的投标文件不按第七篇“投标文件格式要求”规定签字、盖章；</w:t>
      </w:r>
    </w:p>
    <w:p w14:paraId="0F5CD65C">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（三）投标人的报价超过采购预算或最高限价的；投标人的清单综合单价报价超过清单综合单价最高限价的；</w:t>
      </w:r>
    </w:p>
    <w:p w14:paraId="2AF6135D">
      <w:pPr>
        <w:tabs>
          <w:tab w:val="left" w:pos="703"/>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（四）投标人未在投标截止时间前进行线上报价，或者投标人的线上报价与递交的纸质投标文件中的报价不一致的；</w:t>
      </w:r>
    </w:p>
    <w:p w14:paraId="2FEF9552">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（五）投标人在</w:t>
      </w:r>
      <w:r>
        <w:rPr>
          <w:rFonts w:hint="eastAsia" w:ascii="宋体" w:hAnsi="宋体" w:cs="宋体"/>
          <w:color w:val="auto"/>
          <w:kern w:val="0"/>
          <w:sz w:val="24"/>
          <w:szCs w:val="24"/>
          <w:highlight w:val="none"/>
        </w:rPr>
        <w:t>《报价函》中填报的总报价与已标价工程量清单总报价不一致的；投标人在工程量清单中多报了子目和单价或总价；</w:t>
      </w:r>
      <w:r>
        <w:rPr>
          <w:rFonts w:hint="eastAsia" w:ascii="宋体" w:hAnsi="宋体" w:cs="宋体"/>
          <w:color w:val="auto"/>
          <w:sz w:val="24"/>
          <w:szCs w:val="24"/>
          <w:highlight w:val="none"/>
        </w:rPr>
        <w:t>投标人擅自更改了招标人发布的工程量清单内的</w:t>
      </w:r>
      <w:r>
        <w:rPr>
          <w:rFonts w:hint="eastAsia" w:ascii="宋体" w:hAnsi="宋体" w:cs="宋体"/>
          <w:color w:val="auto"/>
          <w:kern w:val="0"/>
          <w:sz w:val="24"/>
          <w:szCs w:val="24"/>
          <w:highlight w:val="none"/>
        </w:rPr>
        <w:t>项目编码、项目名称、项目特征、计量单位、工程量（措施项目清单除外）</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《报价函》中的安全文明施工费金额或工程量清单中安全文明施工费的汇总金额未按照招标人给出的暂定金额填报的</w:t>
      </w:r>
      <w:r>
        <w:rPr>
          <w:rFonts w:hint="eastAsia" w:ascii="宋体" w:hAnsi="宋体" w:cs="宋体"/>
          <w:color w:val="auto"/>
          <w:sz w:val="24"/>
          <w:szCs w:val="24"/>
          <w:highlight w:val="none"/>
        </w:rPr>
        <w:t>；投标人对工程量清单中列出的暂列金额、暂估价等暂定金额进行了修改的。</w:t>
      </w:r>
    </w:p>
    <w:p w14:paraId="149753D6">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（六）单位负责人为同一人或者存在直接控股、管理关系的不同投标人，参加同一合同项下的政府采购活动的；</w:t>
      </w:r>
    </w:p>
    <w:p w14:paraId="6D63DD61">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（七）为采购项目提供整体设计、规范编制或者项目管理、监理、检测等服务的投标人再参加本项目的采购活动的；</w:t>
      </w:r>
    </w:p>
    <w:p w14:paraId="20B2C41B">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（八）投标人投标文件内容有与国家现行法律法规相违背的内容，或附有招标人无法接受的条件；</w:t>
      </w:r>
    </w:p>
    <w:p w14:paraId="16FE926C">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（九）同一合同项（分包）下的货物，制造商参与投标的，再委托代理商参与投标的；</w:t>
      </w:r>
    </w:p>
    <w:p w14:paraId="20990F3C">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（十）投标人以联合体形式参与投标的；</w:t>
      </w:r>
    </w:p>
    <w:p w14:paraId="4F2D246A">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（十一）投标人进行合同分包的；</w:t>
      </w:r>
    </w:p>
    <w:p w14:paraId="1862A41D">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（十二）法律法规和招标文件规定的其他无效响应情形；</w:t>
      </w:r>
    </w:p>
    <w:p w14:paraId="6727DDB3">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（十三）投标人被列入失信被执行人、重大税收违法失信主体、政府采购严重违法失信行为记录名单及其他不符合《中华人民共和国政府采购法》第二十二条规定条件的。</w:t>
      </w:r>
    </w:p>
    <w:p w14:paraId="77CC786B">
      <w:pPr>
        <w:pStyle w:val="5"/>
        <w:snapToGrid w:val="0"/>
        <w:spacing w:before="0" w:after="0" w:line="360" w:lineRule="auto"/>
        <w:rPr>
          <w:rFonts w:ascii="宋体" w:hAnsi="宋体" w:cs="宋体"/>
          <w:color w:val="auto"/>
          <w:sz w:val="28"/>
          <w:szCs w:val="28"/>
          <w:highlight w:val="none"/>
        </w:rPr>
      </w:pPr>
      <w:bookmarkStart w:id="111" w:name="_Toc1028"/>
      <w:r>
        <w:rPr>
          <w:rFonts w:hint="eastAsia" w:ascii="宋体" w:hAnsi="宋体" w:cs="宋体"/>
          <w:color w:val="auto"/>
          <w:sz w:val="24"/>
          <w:szCs w:val="24"/>
          <w:highlight w:val="none"/>
        </w:rPr>
        <w:t>四、采购终止</w:t>
      </w:r>
      <w:bookmarkEnd w:id="107"/>
      <w:bookmarkEnd w:id="108"/>
      <w:bookmarkEnd w:id="109"/>
      <w:bookmarkEnd w:id="110"/>
      <w:bookmarkEnd w:id="111"/>
    </w:p>
    <w:p w14:paraId="7CF893A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出现下列情形之一的，招标人或者招标代理机构应当终止本次采购活动，发布项目终止公告并说明原因，重新开展采购活动：</w:t>
      </w:r>
    </w:p>
    <w:p w14:paraId="5EF3C38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（一）因情况变化，不再符合规定的投标采购采购方式适用情形的；</w:t>
      </w:r>
    </w:p>
    <w:p w14:paraId="0254522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5D73E4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14:paraId="3016E04A">
      <w:pPr>
        <w:snapToGrid w:val="0"/>
        <w:spacing w:line="360" w:lineRule="auto"/>
        <w:ind w:firstLine="480" w:firstLineChars="200"/>
        <w:jc w:val="center"/>
        <w:rPr>
          <w:rFonts w:ascii="宋体" w:hAnsi="宋体" w:cs="宋体"/>
          <w:color w:val="auto"/>
          <w:sz w:val="40"/>
          <w:szCs w:val="32"/>
          <w:highlight w:val="none"/>
        </w:rPr>
      </w:pPr>
      <w:r>
        <w:rPr>
          <w:rFonts w:hint="eastAsia" w:ascii="宋体" w:hAnsi="宋体" w:cs="宋体"/>
          <w:color w:val="auto"/>
          <w:sz w:val="24"/>
          <w:szCs w:val="24"/>
          <w:highlight w:val="none"/>
        </w:rPr>
        <w:t>（四）在采购过程中符合要求的投标人或者报价未超过采购预算的投标人不足3家的。</w:t>
      </w:r>
      <w:bookmarkStart w:id="112" w:name="_Toc21783690"/>
      <w:r>
        <w:rPr>
          <w:rFonts w:hint="eastAsia" w:ascii="宋体" w:hAnsi="宋体" w:cs="宋体"/>
          <w:color w:val="auto"/>
          <w:sz w:val="40"/>
          <w:szCs w:val="32"/>
          <w:highlight w:val="none"/>
        </w:rPr>
        <w:br w:type="page"/>
      </w:r>
      <w:bookmarkStart w:id="113" w:name="_Toc8803"/>
      <w:r>
        <w:rPr>
          <w:rFonts w:hint="eastAsia" w:ascii="宋体" w:hAnsi="宋体" w:cs="宋体"/>
          <w:b/>
          <w:bCs/>
          <w:color w:val="auto"/>
          <w:sz w:val="36"/>
          <w:szCs w:val="28"/>
          <w:highlight w:val="none"/>
        </w:rPr>
        <w:t>第五篇  投标人须知</w:t>
      </w:r>
      <w:bookmarkEnd w:id="112"/>
      <w:bookmarkEnd w:id="113"/>
    </w:p>
    <w:p w14:paraId="7B3BC860">
      <w:pPr>
        <w:pStyle w:val="5"/>
        <w:snapToGrid w:val="0"/>
        <w:spacing w:before="0" w:after="0" w:line="360" w:lineRule="auto"/>
        <w:rPr>
          <w:rFonts w:ascii="宋体" w:hAnsi="宋体" w:cs="宋体"/>
          <w:color w:val="auto"/>
          <w:sz w:val="24"/>
          <w:szCs w:val="24"/>
          <w:highlight w:val="none"/>
        </w:rPr>
      </w:pPr>
      <w:bookmarkStart w:id="114" w:name="_Toc342913389"/>
      <w:bookmarkStart w:id="115" w:name="_Toc15608"/>
      <w:bookmarkStart w:id="116" w:name="_Toc952"/>
      <w:bookmarkStart w:id="117" w:name="_Toc53751346"/>
      <w:bookmarkStart w:id="118" w:name="_Toc507411003"/>
      <w:bookmarkStart w:id="119" w:name="_Toc80104359"/>
      <w:r>
        <w:rPr>
          <w:rFonts w:hint="eastAsia" w:ascii="宋体" w:hAnsi="宋体" w:cs="宋体"/>
          <w:color w:val="auto"/>
          <w:sz w:val="24"/>
          <w:szCs w:val="24"/>
          <w:highlight w:val="none"/>
        </w:rPr>
        <w:t>一、投标费用</w:t>
      </w:r>
      <w:bookmarkEnd w:id="114"/>
      <w:bookmarkEnd w:id="115"/>
      <w:bookmarkEnd w:id="116"/>
      <w:bookmarkEnd w:id="117"/>
    </w:p>
    <w:p w14:paraId="51D667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参与投标的投标人应承担其编制投标文件与递交投标文件所涉及的一切费用，不论结果如何，招标人和招标代理机构在任何情况下无义务也无责任承担这些费用。</w:t>
      </w:r>
    </w:p>
    <w:p w14:paraId="780BDB56">
      <w:pPr>
        <w:pStyle w:val="5"/>
        <w:snapToGrid w:val="0"/>
        <w:spacing w:before="0" w:after="0" w:line="360" w:lineRule="auto"/>
        <w:rPr>
          <w:rFonts w:ascii="宋体" w:hAnsi="宋体" w:cs="宋体"/>
          <w:color w:val="auto"/>
          <w:sz w:val="24"/>
          <w:szCs w:val="24"/>
          <w:highlight w:val="none"/>
        </w:rPr>
      </w:pPr>
      <w:bookmarkStart w:id="120" w:name="_Toc13521"/>
      <w:bookmarkStart w:id="121" w:name="_Toc4017"/>
      <w:bookmarkStart w:id="122" w:name="_Toc53751347"/>
      <w:bookmarkStart w:id="123" w:name="_Toc342913391"/>
      <w:r>
        <w:rPr>
          <w:rFonts w:hint="eastAsia" w:ascii="宋体" w:hAnsi="宋体" w:cs="宋体"/>
          <w:color w:val="auto"/>
          <w:sz w:val="24"/>
          <w:szCs w:val="24"/>
          <w:highlight w:val="none"/>
        </w:rPr>
        <w:t>二、</w:t>
      </w:r>
      <w:bookmarkEnd w:id="120"/>
      <w:bookmarkEnd w:id="121"/>
      <w:bookmarkEnd w:id="122"/>
      <w:bookmarkEnd w:id="123"/>
      <w:r>
        <w:rPr>
          <w:rFonts w:hint="eastAsia" w:ascii="宋体" w:hAnsi="宋体" w:cs="宋体"/>
          <w:color w:val="auto"/>
          <w:sz w:val="24"/>
          <w:szCs w:val="24"/>
          <w:highlight w:val="none"/>
        </w:rPr>
        <w:t>招标文件</w:t>
      </w:r>
    </w:p>
    <w:p w14:paraId="6CA73D9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（一）招标文件由招标公告、项目技术（质量）需求、项目商务需求、评审程序及方法、评审标准、无效响应条款和采购终止、投标人须知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rPr>
        <w:t>投标文件编制要求七部分组成。</w:t>
      </w:r>
    </w:p>
    <w:p w14:paraId="2504BE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（二）招标人（或招标代理机构）所作的一切有效的书面通知、修改及补充，都是招标文件不可分割的部分。</w:t>
      </w:r>
    </w:p>
    <w:p w14:paraId="40526DF3">
      <w:pPr>
        <w:spacing w:line="360" w:lineRule="auto"/>
        <w:ind w:firstLine="480" w:firstLineChars="200"/>
        <w:rPr>
          <w:rFonts w:ascii="宋体" w:hAnsi="宋体" w:cs="宋体"/>
          <w:color w:val="auto"/>
          <w:sz w:val="24"/>
          <w:szCs w:val="24"/>
          <w:highlight w:val="none"/>
        </w:rPr>
      </w:pPr>
      <w:bookmarkStart w:id="124" w:name="_Toc318159349"/>
      <w:bookmarkStart w:id="125" w:name="_Toc318166429"/>
      <w:bookmarkStart w:id="126" w:name="_Toc318159780"/>
      <w:bookmarkStart w:id="127" w:name="_Toc318159160"/>
      <w:r>
        <w:rPr>
          <w:rFonts w:hint="eastAsia" w:ascii="宋体" w:hAnsi="宋体" w:cs="宋体"/>
          <w:color w:val="auto"/>
          <w:sz w:val="24"/>
          <w:szCs w:val="24"/>
          <w:highlight w:val="none"/>
        </w:rPr>
        <w:t>（三）评审的依据为招标文件和投标文件（含有效的书面承诺）。评审委员会判断投标文件对招标文件的响应，仅基于投标文件本身而不靠外部证据。</w:t>
      </w:r>
    </w:p>
    <w:bookmarkEnd w:id="124"/>
    <w:bookmarkEnd w:id="125"/>
    <w:bookmarkEnd w:id="126"/>
    <w:bookmarkEnd w:id="127"/>
    <w:p w14:paraId="313FCAE2">
      <w:pPr>
        <w:pStyle w:val="5"/>
        <w:snapToGrid w:val="0"/>
        <w:spacing w:before="0" w:after="0" w:line="360" w:lineRule="auto"/>
        <w:rPr>
          <w:rFonts w:ascii="宋体" w:hAnsi="宋体" w:cs="宋体"/>
          <w:color w:val="auto"/>
          <w:sz w:val="24"/>
          <w:szCs w:val="24"/>
          <w:highlight w:val="none"/>
        </w:rPr>
      </w:pPr>
      <w:bookmarkStart w:id="128" w:name="_Toc15467"/>
      <w:bookmarkStart w:id="129" w:name="_Toc27179"/>
      <w:bookmarkStart w:id="130" w:name="_Toc53751348"/>
      <w:bookmarkStart w:id="131" w:name="_Toc179714297"/>
      <w:bookmarkStart w:id="132" w:name="_Toc342913392"/>
      <w:bookmarkStart w:id="133" w:name="_Toc102227318"/>
      <w:r>
        <w:rPr>
          <w:rFonts w:hint="eastAsia" w:ascii="宋体" w:hAnsi="宋体" w:cs="宋体"/>
          <w:color w:val="auto"/>
          <w:sz w:val="24"/>
          <w:szCs w:val="24"/>
          <w:highlight w:val="none"/>
        </w:rPr>
        <w:t>三、投标要求</w:t>
      </w:r>
      <w:bookmarkEnd w:id="128"/>
      <w:bookmarkEnd w:id="129"/>
      <w:bookmarkEnd w:id="130"/>
      <w:bookmarkEnd w:id="131"/>
      <w:bookmarkEnd w:id="132"/>
      <w:bookmarkEnd w:id="133"/>
    </w:p>
    <w:p w14:paraId="500FDC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（一）投标文件</w:t>
      </w:r>
    </w:p>
    <w:p w14:paraId="7BB29FBD">
      <w:pPr>
        <w:spacing w:line="360" w:lineRule="auto"/>
        <w:ind w:firstLine="480" w:firstLineChars="200"/>
        <w:rPr>
          <w:rFonts w:ascii="宋体" w:hAnsi="宋体" w:cs="宋体"/>
          <w:color w:val="auto"/>
          <w:sz w:val="24"/>
          <w:szCs w:val="24"/>
          <w:highlight w:val="none"/>
        </w:rPr>
      </w:pPr>
      <w:bookmarkStart w:id="134" w:name="_Toc53751349"/>
      <w:bookmarkStart w:id="135" w:name="_Toc7867"/>
      <w:r>
        <w:rPr>
          <w:rFonts w:hint="eastAsia" w:ascii="宋体" w:hAnsi="宋体" w:cs="宋体"/>
          <w:color w:val="auto"/>
          <w:sz w:val="24"/>
          <w:szCs w:val="24"/>
          <w:highlight w:val="none"/>
        </w:rPr>
        <w:t>1.投标人应当按照招标文件的要求编制投标文件，并对招标文件提出的要求和条件作出实质性响应，投标文件原则上采用软面订本，同时应编制完整的页码、目录。</w:t>
      </w:r>
    </w:p>
    <w:p w14:paraId="0829510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2.投标文件组成</w:t>
      </w:r>
    </w:p>
    <w:p w14:paraId="46F20D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由第七篇“投标文件编制要求”规定的部分和投标人所作的一切有效补充、修改和承诺等文件组成，投标人应按照第七篇“投标文件编制要求”规定的目录顺序组织编写和装订，也可在基本格式基础上对表格进行扩展，未规定格式的由投标人自定格式。</w:t>
      </w:r>
    </w:p>
    <w:p w14:paraId="48B2D8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1320EE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本项目不接受以联合体形式参与投标。</w:t>
      </w:r>
    </w:p>
    <w:p w14:paraId="4BF91E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（三）投标有效期</w:t>
      </w:r>
    </w:p>
    <w:p w14:paraId="526A755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投标文件及有关承诺文件有效期为提交投标文件截止时间起90天。</w:t>
      </w:r>
    </w:p>
    <w:p w14:paraId="22DFE8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482F9F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1.若投标人所递交的投标文件的价格出现大写金额和小写金额不一致的错误，以大写金额修正为准。</w:t>
      </w:r>
    </w:p>
    <w:p w14:paraId="7929384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2.评审委员会按上述修正错误的原则及方法修正投标人的报价，投标人同意并签字确认后，修正后的报价对投标人具有约束作用。如果投标人不接受修正后的价格，将失去成为成交投标人的资格。</w:t>
      </w:r>
    </w:p>
    <w:p w14:paraId="06E043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（五）提交纸质投标文件的份数和签署</w:t>
      </w:r>
    </w:p>
    <w:p w14:paraId="37487C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1.投标人须提供投标文件一式三份，其中正本一份，副本二份，</w:t>
      </w:r>
      <w:r>
        <w:rPr>
          <w:rFonts w:hint="eastAsia" w:ascii="宋体" w:hAnsi="宋体" w:cs="宋体"/>
          <w:color w:val="auto"/>
          <w:sz w:val="24"/>
          <w:highlight w:val="none"/>
        </w:rPr>
        <w:t>副本可为正本的完整复印件，副本与正本不一致时以正本为准</w:t>
      </w:r>
      <w:r>
        <w:rPr>
          <w:rFonts w:hint="eastAsia" w:ascii="宋体" w:hAnsi="宋体" w:cs="宋体"/>
          <w:color w:val="auto"/>
          <w:sz w:val="24"/>
          <w:szCs w:val="24"/>
          <w:highlight w:val="none"/>
        </w:rPr>
        <w:t>。</w:t>
      </w:r>
    </w:p>
    <w:p w14:paraId="663DC8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2.在投标文件正本中，招标文件第七篇 投标文件编制要求中规定签字、盖章的地方必须按其规定签字、盖章。</w:t>
      </w:r>
    </w:p>
    <w:p w14:paraId="6B20FB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（六）投标文件的递交</w:t>
      </w:r>
    </w:p>
    <w:p w14:paraId="4142AC5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投标文件的密封</w:t>
      </w:r>
    </w:p>
    <w:p w14:paraId="6F6D35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1.1投标文件的正本、副本均应密封送达递交投标文件地点，应在封套上注明项目名称、投标人名称。若正本、副本分别进行密封的，还应在封套上注明“正本”、“副本”字样。</w:t>
      </w:r>
    </w:p>
    <w:p w14:paraId="479BB0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1.2封套的封口处应加盖投标人公章或由法定代表人授权代表签字。</w:t>
      </w:r>
    </w:p>
    <w:p w14:paraId="3096FA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2.如果未按上述规定进行密封，招标代理机构对投标文件误投、丢失或提前拆封不负责任。</w:t>
      </w:r>
    </w:p>
    <w:p w14:paraId="199FA2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（七）投标人参与人员</w:t>
      </w:r>
    </w:p>
    <w:p w14:paraId="0A11885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各个投标人可派1名代表参与投标，应为法定代表人或具有法定代表人授权委托书的授权代表。</w:t>
      </w:r>
    </w:p>
    <w:p w14:paraId="1C89B5CE">
      <w:pPr>
        <w:pStyle w:val="5"/>
        <w:snapToGrid w:val="0"/>
        <w:spacing w:before="0" w:after="0" w:line="360" w:lineRule="auto"/>
        <w:rPr>
          <w:rFonts w:ascii="宋体" w:hAnsi="宋体" w:cs="宋体"/>
          <w:color w:val="auto"/>
          <w:sz w:val="24"/>
          <w:szCs w:val="24"/>
          <w:highlight w:val="none"/>
        </w:rPr>
      </w:pPr>
      <w:bookmarkStart w:id="136" w:name="_Toc18010"/>
      <w:r>
        <w:rPr>
          <w:rFonts w:hint="eastAsia" w:ascii="宋体" w:hAnsi="宋体" w:cs="宋体"/>
          <w:color w:val="auto"/>
          <w:sz w:val="24"/>
          <w:szCs w:val="24"/>
          <w:highlight w:val="none"/>
        </w:rPr>
        <w:t>四、中标人的确认和变更</w:t>
      </w:r>
      <w:bookmarkEnd w:id="134"/>
      <w:bookmarkEnd w:id="135"/>
      <w:bookmarkEnd w:id="136"/>
    </w:p>
    <w:p w14:paraId="10F5CE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（一）中标人的确认</w:t>
      </w:r>
    </w:p>
    <w:p w14:paraId="71550A8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代理机构应当在评审结束后2个工作日内将评审报告送招标人确认。招标人应当在收到评审报告后5个工作日内，从评审报告提出的中标候选人中，按照排序由高到低的原则确定中标人，也可以书面授权评审委员会直接确定中标人。招标人逾期未确定中标人且不提出异议的，视为确定评审报告提出的排序第一的投标人为中标人。</w:t>
      </w:r>
    </w:p>
    <w:p w14:paraId="29F4D2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（二）中标人的变更</w:t>
      </w:r>
    </w:p>
    <w:p w14:paraId="6929D29A">
      <w:pPr>
        <w:spacing w:line="360" w:lineRule="auto"/>
        <w:ind w:firstLine="480" w:firstLineChars="200"/>
        <w:rPr>
          <w:rFonts w:ascii="宋体" w:hAnsi="宋体" w:cs="宋体"/>
          <w:color w:val="auto"/>
          <w:sz w:val="24"/>
          <w:szCs w:val="24"/>
          <w:highlight w:val="none"/>
        </w:rPr>
      </w:pPr>
      <w:bookmarkStart w:id="137" w:name="_Toc102227321"/>
      <w:bookmarkStart w:id="138" w:name="_Toc342913395"/>
      <w:r>
        <w:rPr>
          <w:rFonts w:hint="eastAsia" w:ascii="宋体" w:hAnsi="宋体" w:cs="宋体"/>
          <w:color w:val="auto"/>
          <w:sz w:val="24"/>
          <w:szCs w:val="24"/>
          <w:highlight w:val="none"/>
        </w:rPr>
        <w:t>中标人拒绝与招标人签订合同的，招标人可以按照评标报告推荐的中标候选人顺序，确定排名下一位的候选人为中标人，也可以重新开展政府采购活动。</w:t>
      </w:r>
    </w:p>
    <w:p w14:paraId="5936400C">
      <w:pPr>
        <w:pStyle w:val="5"/>
        <w:snapToGrid w:val="0"/>
        <w:spacing w:before="0" w:after="0" w:line="360" w:lineRule="auto"/>
        <w:rPr>
          <w:rFonts w:ascii="宋体" w:hAnsi="宋体" w:cs="宋体"/>
          <w:color w:val="auto"/>
          <w:sz w:val="24"/>
          <w:szCs w:val="24"/>
          <w:highlight w:val="none"/>
        </w:rPr>
      </w:pPr>
      <w:bookmarkStart w:id="139" w:name="_Toc15298"/>
      <w:bookmarkStart w:id="140" w:name="_Toc53751350"/>
      <w:bookmarkStart w:id="141" w:name="_Toc14208"/>
      <w:r>
        <w:rPr>
          <w:rFonts w:hint="eastAsia" w:ascii="宋体" w:hAnsi="宋体" w:cs="宋体"/>
          <w:color w:val="auto"/>
          <w:sz w:val="24"/>
          <w:szCs w:val="24"/>
          <w:highlight w:val="none"/>
        </w:rPr>
        <w:t>五、成交通知</w:t>
      </w:r>
      <w:bookmarkEnd w:id="137"/>
      <w:bookmarkEnd w:id="138"/>
      <w:bookmarkEnd w:id="139"/>
      <w:bookmarkEnd w:id="140"/>
      <w:bookmarkEnd w:id="141"/>
    </w:p>
    <w:p w14:paraId="6CA7F54C">
      <w:pPr>
        <w:spacing w:line="360" w:lineRule="auto"/>
        <w:ind w:firstLine="480"/>
        <w:rPr>
          <w:rFonts w:ascii="宋体" w:hAnsi="宋体" w:cs="宋体"/>
          <w:color w:val="auto"/>
          <w:sz w:val="24"/>
          <w:highlight w:val="none"/>
        </w:rPr>
      </w:pPr>
      <w:bookmarkStart w:id="142" w:name="_Toc53751351"/>
      <w:bookmarkStart w:id="143" w:name="_Toc638"/>
      <w:r>
        <w:rPr>
          <w:rFonts w:hint="eastAsia" w:ascii="宋体" w:hAnsi="宋体" w:cs="宋体"/>
          <w:color w:val="auto"/>
          <w:sz w:val="24"/>
          <w:highlight w:val="none"/>
        </w:rPr>
        <w:t>（一）中标人确定后，招标代理机构将在“行采家”网上发布成交结果公示，公示期为3日。</w:t>
      </w:r>
    </w:p>
    <w:p w14:paraId="7BDBF6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（二）公示期结束没有收到在本次投标过程中有违法行为投诉或相关质疑、或投诉质疑不成立的，招标人将按规定发出成交通知书。</w:t>
      </w:r>
    </w:p>
    <w:p w14:paraId="1622C6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（三）《成交通知书》将作为签订合同的依据。</w:t>
      </w:r>
    </w:p>
    <w:p w14:paraId="491EB424">
      <w:pPr>
        <w:spacing w:line="360" w:lineRule="auto"/>
        <w:ind w:firstLine="480"/>
        <w:rPr>
          <w:rFonts w:ascii="宋体" w:hAnsi="宋体" w:cs="宋体"/>
          <w:color w:val="auto"/>
          <w:highlight w:val="none"/>
        </w:rPr>
      </w:pPr>
      <w:r>
        <w:rPr>
          <w:rFonts w:hint="eastAsia" w:ascii="宋体" w:hAnsi="宋体" w:cs="宋体"/>
          <w:color w:val="auto"/>
          <w:sz w:val="24"/>
          <w:highlight w:val="none"/>
        </w:rPr>
        <w:t>（四）如有投标人对成交结果提出质疑的，在质疑处理完毕后发出成交通知书。</w:t>
      </w:r>
    </w:p>
    <w:p w14:paraId="027ABCF6">
      <w:pPr>
        <w:pStyle w:val="5"/>
        <w:snapToGrid w:val="0"/>
        <w:spacing w:before="0" w:after="0" w:line="360" w:lineRule="auto"/>
        <w:rPr>
          <w:rFonts w:ascii="宋体" w:hAnsi="宋体" w:cs="宋体"/>
          <w:color w:val="auto"/>
          <w:sz w:val="24"/>
          <w:szCs w:val="24"/>
          <w:highlight w:val="none"/>
        </w:rPr>
      </w:pPr>
      <w:bookmarkStart w:id="144" w:name="_Toc416"/>
      <w:r>
        <w:rPr>
          <w:rFonts w:hint="eastAsia" w:ascii="宋体" w:hAnsi="宋体" w:cs="宋体"/>
          <w:color w:val="auto"/>
          <w:sz w:val="24"/>
          <w:szCs w:val="24"/>
          <w:highlight w:val="none"/>
        </w:rPr>
        <w:t>六、关于质疑和投诉</w:t>
      </w:r>
      <w:bookmarkEnd w:id="142"/>
      <w:bookmarkEnd w:id="143"/>
      <w:bookmarkEnd w:id="144"/>
    </w:p>
    <w:p w14:paraId="564B89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（一）质疑内容、时限：投标人对成交结果有异议的，应当在成交结果公示期内以书面形式向招标人提出质疑，并附相关证明材料。</w:t>
      </w:r>
    </w:p>
    <w:p w14:paraId="46713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（二）质疑答复</w:t>
      </w:r>
    </w:p>
    <w:p w14:paraId="59723C6E">
      <w:pPr>
        <w:spacing w:line="360" w:lineRule="auto"/>
        <w:ind w:left="545" w:leftChars="170" w:hanging="69" w:hangingChars="29"/>
        <w:rPr>
          <w:rFonts w:ascii="宋体" w:hAnsi="宋体" w:cs="宋体"/>
          <w:color w:val="auto"/>
          <w:sz w:val="24"/>
          <w:highlight w:val="none"/>
        </w:rPr>
      </w:pPr>
      <w:r>
        <w:rPr>
          <w:rFonts w:hint="eastAsia" w:ascii="宋体" w:hAnsi="宋体" w:cs="宋体"/>
          <w:color w:val="auto"/>
          <w:sz w:val="24"/>
          <w:highlight w:val="none"/>
        </w:rPr>
        <w:t>招标人在收到投标人书面质疑后七个工作日内，对质疑内容作出答复。</w:t>
      </w:r>
    </w:p>
    <w:p w14:paraId="42C8F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（三）不予受理或暂缓受理</w:t>
      </w:r>
    </w:p>
    <w:p w14:paraId="45C4AF1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1.质疑有下列情形之一的，不予受理：</w:t>
      </w:r>
    </w:p>
    <w:p w14:paraId="1DA164D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1.1质疑投标人参与了投标活动后，再对招标文件内容提出质疑的；</w:t>
      </w:r>
    </w:p>
    <w:p w14:paraId="5854920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1.2质疑超过有效期的；</w:t>
      </w:r>
    </w:p>
    <w:p w14:paraId="4FBD07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1.3对同一事项重复质疑的。</w:t>
      </w:r>
    </w:p>
    <w:p w14:paraId="4D8AB47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2.质疑有下列情形之一的，应暂不受理并告知投标人补充材料。投标人及时补充材料的，应予受理；逾期未补充的，不予受理：</w:t>
      </w:r>
    </w:p>
    <w:p w14:paraId="303C02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14:paraId="13C13C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2.2质疑书提供的依据或证明材料不全的；</w:t>
      </w:r>
    </w:p>
    <w:p w14:paraId="1BDA4EF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2.3质疑书副本数量不足的。</w:t>
      </w:r>
    </w:p>
    <w:p w14:paraId="77411947">
      <w:pPr>
        <w:pStyle w:val="5"/>
        <w:snapToGrid w:val="0"/>
        <w:spacing w:before="0" w:after="0" w:line="360" w:lineRule="auto"/>
        <w:rPr>
          <w:rFonts w:ascii="宋体" w:hAnsi="宋体" w:cs="宋体"/>
          <w:color w:val="auto"/>
          <w:sz w:val="24"/>
          <w:szCs w:val="24"/>
          <w:highlight w:val="none"/>
        </w:rPr>
      </w:pPr>
      <w:bookmarkStart w:id="145" w:name="_Toc24251"/>
      <w:r>
        <w:rPr>
          <w:rFonts w:hint="eastAsia" w:ascii="宋体" w:hAnsi="宋体" w:cs="宋体"/>
          <w:color w:val="auto"/>
          <w:sz w:val="24"/>
          <w:szCs w:val="24"/>
          <w:highlight w:val="none"/>
        </w:rPr>
        <w:t>七、招标代理服务费</w:t>
      </w:r>
      <w:bookmarkEnd w:id="118"/>
      <w:bookmarkEnd w:id="119"/>
      <w:bookmarkEnd w:id="145"/>
    </w:p>
    <w:p w14:paraId="43C4680F">
      <w:pPr>
        <w:spacing w:line="360" w:lineRule="auto"/>
        <w:ind w:firstLine="480" w:firstLineChars="200"/>
        <w:rPr>
          <w:rFonts w:ascii="宋体" w:hAnsi="宋体" w:cs="宋体"/>
          <w:color w:val="auto"/>
          <w:sz w:val="24"/>
          <w:highlight w:val="none"/>
        </w:rPr>
      </w:pPr>
      <w:bookmarkStart w:id="146" w:name="_Toc76462345"/>
      <w:bookmarkStart w:id="147" w:name="_Toc106030900"/>
      <w:bookmarkStart w:id="148" w:name="_Toc6265"/>
      <w:bookmarkStart w:id="149" w:name="_Toc21783697"/>
      <w:r>
        <w:rPr>
          <w:rFonts w:hint="eastAsia" w:ascii="宋体" w:hAnsi="宋体" w:cs="宋体"/>
          <w:color w:val="auto"/>
          <w:sz w:val="24"/>
          <w:highlight w:val="none"/>
        </w:rPr>
        <w:t>1.中标人领取中标通知书前，向招标代理机构一次性缴纳招标代理服务费，招标代理服务费按包干价3000.00元（大写：叁仟元整）（含税）收取。</w:t>
      </w:r>
    </w:p>
    <w:p w14:paraId="3FD7E1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2、招标代理服务费缴纳账号：</w:t>
      </w:r>
    </w:p>
    <w:bookmarkEnd w:id="146"/>
    <w:bookmarkEnd w:id="147"/>
    <w:p w14:paraId="18F52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  名：重庆泓展建设工程咨询有限公司</w:t>
      </w:r>
    </w:p>
    <w:p w14:paraId="0A6882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开户行：中国银行股份有限公司重庆金开支行</w:t>
      </w:r>
    </w:p>
    <w:p w14:paraId="460B03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号：108835127964</w:t>
      </w:r>
    </w:p>
    <w:p w14:paraId="2A1A0B1F">
      <w:pPr>
        <w:pStyle w:val="5"/>
        <w:snapToGrid w:val="0"/>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八、签订合同</w:t>
      </w:r>
      <w:bookmarkEnd w:id="148"/>
      <w:bookmarkEnd w:id="149"/>
    </w:p>
    <w:p w14:paraId="246BAE37">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（一）招标人应当自成交通知书发出之日起二十日内，按照招标文件和中标人投标文件的约定，与中标人签订书面合同。所签订的合同不得对招标文件和投标人的投标文件作实质性修改。</w:t>
      </w:r>
    </w:p>
    <w:p w14:paraId="10F222BB">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（二）招标文件、投标人的投标文件及补遗文件等，均为签订政府采购合同的依据。</w:t>
      </w:r>
    </w:p>
    <w:p w14:paraId="4A5DA0F5">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50" w:name="_Toc21783699"/>
    </w:p>
    <w:bookmarkEnd w:id="150"/>
    <w:p w14:paraId="1F101441">
      <w:pPr>
        <w:pStyle w:val="4"/>
        <w:spacing w:line="360" w:lineRule="auto"/>
        <w:jc w:val="center"/>
        <w:rPr>
          <w:rFonts w:ascii="宋体" w:hAnsi="宋体" w:eastAsia="宋体" w:cs="宋体"/>
          <w:color w:val="auto"/>
          <w:kern w:val="0"/>
          <w:sz w:val="24"/>
          <w:szCs w:val="24"/>
          <w:highlight w:val="none"/>
        </w:rPr>
      </w:pPr>
      <w:bookmarkStart w:id="151" w:name="_Toc88569292"/>
      <w:bookmarkStart w:id="152" w:name="_Toc12789072"/>
      <w:r>
        <w:rPr>
          <w:rFonts w:hint="eastAsia" w:ascii="宋体" w:hAnsi="宋体" w:eastAsia="宋体" w:cs="宋体"/>
          <w:color w:val="auto"/>
          <w:sz w:val="36"/>
          <w:szCs w:val="30"/>
          <w:highlight w:val="none"/>
        </w:rPr>
        <w:br w:type="page"/>
      </w:r>
      <w:bookmarkStart w:id="153" w:name="_Toc8319"/>
      <w:r>
        <w:rPr>
          <w:rFonts w:hint="eastAsia" w:ascii="宋体" w:hAnsi="宋体" w:eastAsia="宋体" w:cs="宋体"/>
          <w:color w:val="auto"/>
          <w:sz w:val="36"/>
          <w:szCs w:val="30"/>
          <w:highlight w:val="none"/>
        </w:rPr>
        <w:t>第六篇  合同草案条款</w:t>
      </w:r>
      <w:bookmarkEnd w:id="151"/>
      <w:bookmarkEnd w:id="153"/>
    </w:p>
    <w:p w14:paraId="6544134F">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注：（以下合同格式为通用版本，合同格式的最终版以签订合同时招标人提供的版本为准）</w:t>
      </w:r>
      <w:bookmarkStart w:id="154" w:name="_Toc57820637"/>
      <w:bookmarkStart w:id="155" w:name="_Toc351203494"/>
      <w:bookmarkStart w:id="156" w:name="_Toc424558368"/>
      <w:bookmarkStart w:id="157" w:name="_Toc424558369"/>
      <w:bookmarkStart w:id="158" w:name="_Toc32387"/>
      <w:bookmarkStart w:id="159" w:name="_Toc509390696"/>
      <w:bookmarkStart w:id="160" w:name="_Toc424558728"/>
      <w:bookmarkStart w:id="161" w:name="_Toc144974827"/>
      <w:bookmarkStart w:id="162" w:name="_Toc534185765"/>
      <w:bookmarkStart w:id="163" w:name="_Toc509218786"/>
      <w:bookmarkStart w:id="164" w:name="_Toc424558729"/>
      <w:bookmarkStart w:id="165" w:name="_Toc509390697"/>
      <w:bookmarkStart w:id="166" w:name="_Toc240180917"/>
      <w:bookmarkStart w:id="167" w:name="_Toc467164257"/>
      <w:bookmarkStart w:id="168" w:name="_Toc152045768"/>
      <w:bookmarkStart w:id="169" w:name="_Toc335223532"/>
      <w:bookmarkStart w:id="170" w:name="_Toc240180916"/>
      <w:bookmarkStart w:id="171" w:name="_Toc335223531"/>
      <w:bookmarkStart w:id="172" w:name="_Toc467164258"/>
      <w:bookmarkStart w:id="173" w:name="_Toc152042547"/>
    </w:p>
    <w:p w14:paraId="15551452">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685E8E58">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14:paraId="5B465135">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14:paraId="04B19519">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cs="宋体" w:asciiTheme="minorEastAsia" w:hAnsiTheme="minorEastAsia" w:eastAsiaTheme="minorEastAsia"/>
          <w:color w:val="auto"/>
          <w:sz w:val="24"/>
          <w:szCs w:val="24"/>
          <w:highlight w:val="none"/>
          <w:u w:val="single"/>
        </w:rPr>
        <w:t>重庆市南岸区新城时光幼儿园教职工餐厅改建工程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14:paraId="788228F5">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14:paraId="34FCB086">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1．工程名称：重庆市南岸区新城时光幼儿园教职工餐厅改建工程  </w:t>
      </w:r>
    </w:p>
    <w:p w14:paraId="76907C65">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2．工程地点：重庆市南岸区通江大道103号</w:t>
      </w:r>
    </w:p>
    <w:p w14:paraId="132F27F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3．资金来源：</w:t>
      </w:r>
      <w:r>
        <w:rPr>
          <w:rFonts w:hint="eastAsia" w:ascii="宋体" w:hAnsi="宋体" w:cs="宋体"/>
          <w:color w:val="auto"/>
          <w:sz w:val="24"/>
          <w:szCs w:val="24"/>
          <w:highlight w:val="none"/>
        </w:rPr>
        <w:t>政府专项债和学校自筹资金</w:t>
      </w:r>
    </w:p>
    <w:p w14:paraId="5F58757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4.工程内容：该项目改建面积约60㎡，主要建设内容包括平台封闭、台阶外移、内部装修、水电改造等。</w:t>
      </w:r>
    </w:p>
    <w:p w14:paraId="62982C48">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5.工程承包范围：包括但不限于施工图所示范围内的全部工程内容以及招标文件中补充的工程内容、答疑资料、澄清资料、补遗资料等相关内容，具体以发布的施工图及工程量清单为准。</w:t>
      </w:r>
    </w:p>
    <w:p w14:paraId="54084F7F">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14:paraId="3AFDE971">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74" w:name="_Toc532375574"/>
      <w:bookmarkStart w:id="175" w:name="_Toc351203482"/>
      <w:bookmarkStart w:id="176" w:name="_Toc532377167"/>
      <w:r>
        <w:rPr>
          <w:rFonts w:hint="eastAsia" w:asciiTheme="minorEastAsia" w:hAnsiTheme="minorEastAsia" w:eastAsiaTheme="minorEastAsia"/>
          <w:color w:val="auto"/>
          <w:kern w:val="2"/>
          <w:szCs w:val="24"/>
          <w:highlight w:val="none"/>
        </w:rPr>
        <w:t>二、合同工期</w:t>
      </w:r>
      <w:bookmarkEnd w:id="174"/>
      <w:bookmarkEnd w:id="175"/>
      <w:bookmarkEnd w:id="176"/>
    </w:p>
    <w:p w14:paraId="64DCA7C6">
      <w:pPr>
        <w:pStyle w:val="6"/>
        <w:keepNext/>
        <w:keepLines/>
        <w:spacing w:before="120" w:after="120" w:line="440" w:lineRule="exact"/>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14:paraId="2FAE97E4">
      <w:pPr>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14:paraId="67C4F182">
      <w:pPr>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14:paraId="731B4BFD">
      <w:pPr>
        <w:spacing w:line="440" w:lineRule="exact"/>
        <w:ind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14:paraId="304CEDA6">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77" w:name="_Toc532375575"/>
      <w:bookmarkStart w:id="178" w:name="_Toc351203483"/>
      <w:bookmarkStart w:id="179" w:name="_Toc532377168"/>
      <w:r>
        <w:rPr>
          <w:rFonts w:hint="eastAsia" w:asciiTheme="minorEastAsia" w:hAnsiTheme="minorEastAsia" w:eastAsiaTheme="minorEastAsia"/>
          <w:color w:val="auto"/>
          <w:kern w:val="2"/>
          <w:szCs w:val="24"/>
          <w:highlight w:val="none"/>
        </w:rPr>
        <w:t>三、质量标准</w:t>
      </w:r>
      <w:bookmarkEnd w:id="177"/>
      <w:bookmarkEnd w:id="178"/>
      <w:bookmarkEnd w:id="179"/>
    </w:p>
    <w:p w14:paraId="04E33D35">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14:paraId="4E4E4651">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80" w:name="_Toc351203485"/>
      <w:bookmarkStart w:id="181" w:name="_Toc532375577"/>
      <w:bookmarkStart w:id="182" w:name="_Toc532377170"/>
      <w:r>
        <w:rPr>
          <w:rFonts w:hint="eastAsia" w:asciiTheme="minorEastAsia" w:hAnsiTheme="minorEastAsia" w:eastAsiaTheme="minorEastAsia"/>
          <w:color w:val="auto"/>
          <w:kern w:val="2"/>
          <w:szCs w:val="24"/>
          <w:highlight w:val="none"/>
        </w:rPr>
        <w:t>四、</w:t>
      </w:r>
      <w:bookmarkEnd w:id="180"/>
      <w:r>
        <w:rPr>
          <w:rFonts w:hint="eastAsia" w:asciiTheme="minorEastAsia" w:hAnsiTheme="minorEastAsia" w:eastAsiaTheme="minorEastAsia"/>
          <w:color w:val="auto"/>
          <w:kern w:val="2"/>
          <w:szCs w:val="24"/>
          <w:highlight w:val="none"/>
        </w:rPr>
        <w:t>项目经理及技术负责人</w:t>
      </w:r>
      <w:bookmarkEnd w:id="181"/>
      <w:bookmarkEnd w:id="182"/>
    </w:p>
    <w:p w14:paraId="02585AF0">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乙方投标文件中承诺的项目经理：</w:t>
      </w:r>
    </w:p>
    <w:p w14:paraId="009C510E">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7DCB2CEA">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4C723BB0">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29953A78">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乙方投标文件中承诺的技术负责人：</w:t>
      </w:r>
    </w:p>
    <w:p w14:paraId="13CCB900">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D403B82">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B913F00">
      <w:pPr>
        <w:pStyle w:val="3"/>
        <w:spacing w:line="44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14524A96">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83" w:name="_Toc351203484"/>
      <w:bookmarkStart w:id="184" w:name="_Toc532375576"/>
      <w:bookmarkStart w:id="185" w:name="_Toc532377169"/>
      <w:r>
        <w:rPr>
          <w:rFonts w:hint="eastAsia" w:asciiTheme="minorEastAsia" w:hAnsiTheme="minorEastAsia" w:eastAsiaTheme="minorEastAsia"/>
          <w:color w:val="auto"/>
          <w:kern w:val="2"/>
          <w:szCs w:val="24"/>
          <w:highlight w:val="none"/>
        </w:rPr>
        <w:t>五、签约合同价与合同价格形式</w:t>
      </w:r>
      <w:bookmarkEnd w:id="183"/>
      <w:bookmarkEnd w:id="184"/>
      <w:bookmarkEnd w:id="185"/>
      <w:r>
        <w:rPr>
          <w:rFonts w:hint="eastAsia" w:asciiTheme="minorEastAsia" w:hAnsiTheme="minorEastAsia" w:eastAsiaTheme="minorEastAsia"/>
          <w:color w:val="auto"/>
          <w:kern w:val="2"/>
          <w:szCs w:val="24"/>
          <w:highlight w:val="none"/>
        </w:rPr>
        <w:tab/>
      </w:r>
    </w:p>
    <w:p w14:paraId="0EE32C09">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14:paraId="6FB6AFA9">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14:paraId="5B561D95">
      <w:pPr>
        <w:spacing w:line="440" w:lineRule="exact"/>
        <w:ind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14:paraId="668E80C0">
      <w:pPr>
        <w:spacing w:line="440" w:lineRule="exact"/>
        <w:ind w:firstLine="482" w:firstLineChars="200"/>
        <w:jc w:val="left"/>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14:paraId="64B24498">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（一）合同签订前乙方向甲方交纳10%的履约保证金（以支票、汇票、本票或者金融机构、担保机构出具的保函等非现金形式提交），项目验收合格后无息退还；</w:t>
      </w:r>
    </w:p>
    <w:p w14:paraId="27A4B095">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（二）本项目无预付款，</w:t>
      </w:r>
      <w:r>
        <w:rPr>
          <w:rFonts w:hint="eastAsia" w:ascii="宋体" w:hAnsi="宋体" w:cs="宋体"/>
          <w:color w:val="auto"/>
          <w:sz w:val="24"/>
          <w:szCs w:val="24"/>
          <w:highlight w:val="none"/>
          <w:lang w:eastAsia="zh-CN"/>
        </w:rPr>
        <w:t>由</w:t>
      </w:r>
      <w:r>
        <w:rPr>
          <w:rFonts w:hint="eastAsia" w:ascii="宋体" w:hAnsi="宋体" w:cs="宋体"/>
          <w:color w:val="auto"/>
          <w:sz w:val="24"/>
          <w:szCs w:val="24"/>
          <w:highlight w:val="none"/>
        </w:rPr>
        <w:t>乙方向甲方提出支付申请，甲方支付至合同总价的80%，工程经财评中心结算审计后出具审计报告，移交档案资料且通过档案验收后，由乙方向甲方支付结算审定总额的3%作为质保金后，甲方按合同约定支付至结算审定总额的100%。</w:t>
      </w:r>
    </w:p>
    <w:p w14:paraId="656D2673">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（三）缺陷责任期24个月，缺陷责任期到期后1个月内甲方无息退还质保金。</w:t>
      </w:r>
    </w:p>
    <w:p w14:paraId="54780FBD">
      <w:pPr>
        <w:pStyle w:val="13"/>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14:paraId="0F4115B7">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（一）履约担保的金额：中标合同金额的10% 。</w:t>
      </w:r>
    </w:p>
    <w:p w14:paraId="68472561">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（二）履约担保的形式：转账或履约保函，履约保函包括银行保函、保证保险和担保保函。</w:t>
      </w:r>
    </w:p>
    <w:p w14:paraId="0D0BEAEA">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1、采用转账形式缴纳履约担保的，必须从乙方的基本账户通过银行转账方式直接划付到甲方提供的银行账户，其中产生的手续费由乙方承担。</w:t>
      </w:r>
    </w:p>
    <w:p w14:paraId="322497CB">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用保函形式的，保函必须为不可撤销且见索即付。履约保函必须由合法经营的金融机构、担保机构出具，保函的内容必须符合招标文件和投标承诺的要求。保函的受益人为甲方，保函原件交甲方保存。乙方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乙方对所提交的履约保函的真实性、合法性、有效性负责。</w:t>
      </w:r>
    </w:p>
    <w:p w14:paraId="03F9030A">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履约担保的提交时间：乙方应当自成交通知书（无论乙方领取与否，成交通知书发出时间以成交通知书签发的日期为准）签发后5日内，向甲方提交履约担保，主动联系并与甲方签订施工合同。如乙方未按上述要求及时办理，甲方有权取消其成交资格并上报政府采购主管部门，并追究其法律责任。</w:t>
      </w:r>
    </w:p>
    <w:p w14:paraId="0641FF9D">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（四）履约担保的退还时间：工程竣工验收合格后14天内退还。</w:t>
      </w:r>
    </w:p>
    <w:p w14:paraId="659AEBFA">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14:paraId="1D182F24">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结算总价=分部分项工程量清单结算价+工程变更或增减部分结算+措施费（除安全文明施工费）+安全文明施工费+规费+税金+合同约定其它费用。</w:t>
      </w:r>
    </w:p>
    <w:p w14:paraId="4B20A3C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乙方为实施和完成合同工程量清单项目所需的人工费、材料费、机械费、企业管理费、利润、风险费用。</w:t>
      </w:r>
    </w:p>
    <w:p w14:paraId="7321709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5600D85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591DD14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3F19BCC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综合单价=投标人投标报价中分部分项清单中的综合单价</w:t>
      </w:r>
    </w:p>
    <w:p w14:paraId="5030E7D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及其配套文件规定的计量规则计算的合格工程量作为结算依据。</w:t>
      </w:r>
    </w:p>
    <w:p w14:paraId="7EA2CC7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2.设计变更、新增项目</w:t>
      </w:r>
    </w:p>
    <w:p w14:paraId="059DCBB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当发生设计变更或新增项目，甲方及监理工程师按照下列计价原则结算：</w:t>
      </w:r>
    </w:p>
    <w:p w14:paraId="2F0A913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当发生设计变更或新增项，设计变更或新增项按《南岸区政府投资项目管理办法》（南岸府发【2017】29号文）执行，招标人及监理工程师按照《房屋建筑与装饰工程工程量计算规范》（GB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5EF7D30C">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A：已标价工程量清单中有适用于变更工作的子目，采用该子目的综合单价。</w:t>
      </w:r>
    </w:p>
    <w:p w14:paraId="5933B01D">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14:paraId="04764D2C">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C：已标价工程量清单中无适用或类似子目的综合单价，结算参照《房屋建筑与装饰工程工程量计算规范》（GB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执行。其中人工工日、材料单价、施工机械使用费的确定原则：投标时有的材料按投标价执行，其中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14:paraId="721A112F">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3.措施项目</w:t>
      </w:r>
    </w:p>
    <w:p w14:paraId="0FB9C5D6">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①已标价工程量清单范围内以项为计量单位的措施项目费（安全文明施工费除外）包干使用；不以项为计量单位的措施项目费包干使用。</w:t>
      </w:r>
    </w:p>
    <w:p w14:paraId="1F315383">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②工程变更引起施工方案改变使措施项目发生变化的，措施项目费不作调整。</w:t>
      </w:r>
    </w:p>
    <w:p w14:paraId="38B20889">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③安全文明施工费按照《重庆市建设工程费用定额》（CQFYDE-2018）、《重庆市城乡建设委员会关于适用增值税新税率调整建设工程计价依据的通知》（渝建〔2019〕143号）、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的规定进行结算。</w:t>
      </w:r>
    </w:p>
    <w:p w14:paraId="266F93C8">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4.其他项目：</w:t>
      </w:r>
    </w:p>
    <w:p w14:paraId="02F82C29">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176CA5DD">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②本工程采用专业工程暂估价或暂列金额采购的，结算时按实结算。其中以暂列金额采购的施工内容实施与否由招标人决定。</w:t>
      </w:r>
    </w:p>
    <w:p w14:paraId="1EF52DDF">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5.规费：为不可竞争费，按投标费率结算，若乙方的投标报价中规费费率高于规定费率，则以规定费率结算，若乙方的投标报价中规费费率低于规定费率，则以投标报价中规费费率结算。</w:t>
      </w:r>
    </w:p>
    <w:p w14:paraId="76E1071C">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6.税金：为不可竞争费，按</w:t>
      </w:r>
      <w:r>
        <w:rPr>
          <w:rFonts w:hint="eastAsia" w:ascii="宋体" w:hAnsi="宋体" w:cs="宋体"/>
          <w:color w:val="auto"/>
          <w:sz w:val="24"/>
          <w:szCs w:val="24"/>
          <w:highlight w:val="none"/>
          <w:lang w:val="zh-CN"/>
        </w:rPr>
        <w:t>《重庆市城乡建设委员会关于建筑业营业税改征增值税调整建设工程计价依据的通知》（渝建（2016）35号）、</w:t>
      </w:r>
      <w:r>
        <w:rPr>
          <w:rFonts w:hint="eastAsia" w:ascii="宋体" w:hAnsi="宋体" w:cs="宋体"/>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50DCC7EF">
      <w:pPr>
        <w:spacing w:line="440" w:lineRule="exact"/>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7.本工程的最终结算总价以相关部门或单位审定的金额为准</w:t>
      </w:r>
      <w:r>
        <w:rPr>
          <w:rFonts w:hint="eastAsia" w:ascii="宋体" w:hAnsi="宋体" w:cs="宋体"/>
          <w:b/>
          <w:bCs/>
          <w:color w:val="auto"/>
          <w:sz w:val="24"/>
          <w:szCs w:val="24"/>
          <w:highlight w:val="none"/>
          <w:lang w:eastAsia="zh-CN"/>
        </w:rPr>
        <w:t>。</w:t>
      </w:r>
    </w:p>
    <w:p w14:paraId="3865731F">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ascii="宋体" w:hAnsi="宋体" w:cs="宋体"/>
          <w:b/>
          <w:bCs/>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w:t>
      </w:r>
    </w:p>
    <w:p w14:paraId="1C79828E">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14:paraId="00C7161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14:paraId="255C67DB">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14:paraId="6B8A6AD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14:paraId="3F3D0A5B">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14:paraId="051B298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p>
    <w:p w14:paraId="358DBA49">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2CDD03BD">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14:paraId="6A4B5D1D">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4BAF006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222A3D1">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14:paraId="4A5CDEB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14:paraId="59929526">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FA621F5">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1ED535AB">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14:paraId="26BD3CD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14:paraId="6F45DA45">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2888889F">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3C92371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53F7034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14:paraId="7499BF83">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7DA6950D">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1E71F926">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14:paraId="6A68944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14:paraId="1C242ECA">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F953EED">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703FE0E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8C1AFE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1C06590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14:paraId="7367160B">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14:paraId="2F65B069">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60D0EF62">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14:paraId="70987EFA">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399E73BD">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u w:val="single"/>
        </w:rPr>
        <w:t xml:space="preserve">  2  </w:t>
      </w:r>
      <w:r>
        <w:rPr>
          <w:rFonts w:hint="eastAsia" w:cs="宋体" w:asciiTheme="minorEastAsia" w:hAnsiTheme="minorEastAsia" w:eastAsiaTheme="minorEastAsia"/>
          <w:color w:val="auto"/>
          <w:sz w:val="24"/>
          <w:szCs w:val="24"/>
          <w:highlight w:val="none"/>
        </w:rPr>
        <w:t>年（从验收合格之日起计算）。</w:t>
      </w:r>
    </w:p>
    <w:p w14:paraId="50F26756">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4CE95523">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14:paraId="77F17851">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14:paraId="32CC26FC">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14:paraId="1F6C40B1">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14:paraId="7B792B4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CC2875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14:paraId="757988D3">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1C26CA78">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14:paraId="0F423389">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14:paraId="578EB770">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1D0EBA48">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14:paraId="2F28FFB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招标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52B4405B">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14:paraId="17AF95E8">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5E7808EF">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5135FDE9">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14:paraId="7D69643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14:paraId="1A3B0AB0">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7FBA6B6F">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D35B188">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14:paraId="06177992">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14:paraId="3058A2B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14:paraId="4EAB864C">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14:paraId="2BB2C573">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14:paraId="3B33F4B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份，具同等法律效力。本合同及招标文件未尽事宜，双方本着实事求是的原则协商解决。</w:t>
      </w:r>
    </w:p>
    <w:p w14:paraId="0CBD16A4">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14:paraId="7EA69847">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14:paraId="55820F21">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14:paraId="742E190E">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（2）招标文件，合同未尽事宜，以招标文件为准；</w:t>
      </w:r>
    </w:p>
    <w:p w14:paraId="6FF8DFEA">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（3）乙方参加投标时的投标文件。</w:t>
      </w:r>
    </w:p>
    <w:p w14:paraId="2AF6D302">
      <w:pPr>
        <w:widowControl/>
        <w:spacing w:line="360" w:lineRule="auto"/>
        <w:ind w:firstLine="480" w:firstLineChars="200"/>
        <w:rPr>
          <w:rFonts w:cs="宋体" w:asciiTheme="minorEastAsia" w:hAnsiTheme="minorEastAsia" w:eastAsiaTheme="minorEastAsia"/>
          <w:color w:val="auto"/>
          <w:sz w:val="24"/>
          <w:szCs w:val="24"/>
          <w:highlight w:val="none"/>
        </w:rPr>
      </w:pPr>
    </w:p>
    <w:p w14:paraId="09D43328">
      <w:pPr>
        <w:spacing w:line="360" w:lineRule="auto"/>
        <w:ind w:firstLine="480" w:firstLineChars="200"/>
        <w:rPr>
          <w:rFonts w:cs="宋体" w:asciiTheme="minorEastAsia" w:hAnsiTheme="minorEastAsia" w:eastAsiaTheme="minorEastAsia"/>
          <w:color w:val="auto"/>
          <w:sz w:val="24"/>
          <w:szCs w:val="24"/>
          <w:highlight w:val="none"/>
        </w:rPr>
      </w:pPr>
    </w:p>
    <w:p w14:paraId="245AD087">
      <w:pPr>
        <w:widowControl/>
        <w:spacing w:line="360" w:lineRule="auto"/>
        <w:ind w:firstLine="480" w:firstLineChars="200"/>
        <w:rPr>
          <w:rFonts w:cs="宋体" w:asciiTheme="minorEastAsia" w:hAnsiTheme="minorEastAsia" w:eastAsiaTheme="minorEastAsia"/>
          <w:color w:val="auto"/>
          <w:sz w:val="24"/>
          <w:szCs w:val="24"/>
          <w:highlight w:val="none"/>
        </w:rPr>
      </w:pPr>
    </w:p>
    <w:p w14:paraId="779E8501">
      <w:pP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br w:type="page"/>
      </w:r>
    </w:p>
    <w:p w14:paraId="62C5D6ED">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（本页无正文）</w:t>
      </w:r>
    </w:p>
    <w:p w14:paraId="7D39EA24">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6" w:name="OLE_LINK9"/>
      <w:r>
        <w:rPr>
          <w:rFonts w:hint="eastAsia" w:cs="宋体" w:asciiTheme="minorEastAsia" w:hAnsiTheme="minorEastAsia" w:eastAsiaTheme="minorEastAsia"/>
          <w:color w:val="auto"/>
          <w:sz w:val="24"/>
          <w:szCs w:val="24"/>
          <w:highlight w:val="none"/>
        </w:rPr>
        <w:t xml:space="preserve">              承包人（乙方盖章）：</w:t>
      </w:r>
    </w:p>
    <w:p w14:paraId="0517D578">
      <w:pPr>
        <w:widowControl/>
        <w:spacing w:line="360" w:lineRule="auto"/>
        <w:ind w:firstLine="480" w:firstLineChars="200"/>
        <w:rPr>
          <w:rFonts w:cs="宋体" w:asciiTheme="minorEastAsia" w:hAnsiTheme="minorEastAsia" w:eastAsiaTheme="minorEastAsia"/>
          <w:color w:val="auto"/>
          <w:sz w:val="24"/>
          <w:szCs w:val="24"/>
          <w:highlight w:val="none"/>
        </w:rPr>
      </w:pPr>
    </w:p>
    <w:p w14:paraId="438243A5">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6"/>
      <w:r>
        <w:rPr>
          <w:rFonts w:hint="eastAsia" w:cs="宋体" w:asciiTheme="minorEastAsia" w:hAnsiTheme="minorEastAsia" w:eastAsiaTheme="minorEastAsia"/>
          <w:color w:val="auto"/>
          <w:sz w:val="24"/>
          <w:szCs w:val="24"/>
          <w:highlight w:val="none"/>
        </w:rPr>
        <w:t xml:space="preserve">       </w:t>
      </w:r>
    </w:p>
    <w:p w14:paraId="163EAE39">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14:paraId="213DFC1B">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14:paraId="50B9A389">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14:paraId="367A7ECB">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14:paraId="0792FD8A">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14:paraId="04ABC13C">
      <w:pPr>
        <w:widowControl/>
        <w:spacing w:line="360" w:lineRule="auto"/>
        <w:ind w:firstLine="480" w:firstLineChars="200"/>
        <w:rPr>
          <w:rFonts w:cs="宋体" w:asciiTheme="minorEastAsia" w:hAnsiTheme="minorEastAsia" w:eastAsiaTheme="minorEastAsia"/>
          <w:color w:val="auto"/>
          <w:sz w:val="24"/>
          <w:szCs w:val="24"/>
          <w:highlight w:val="none"/>
        </w:rPr>
      </w:pPr>
    </w:p>
    <w:p w14:paraId="002E8097">
      <w:pPr>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14:paraId="74F1C69F">
      <w:pPr>
        <w:snapToGrid w:val="0"/>
        <w:spacing w:line="360" w:lineRule="auto"/>
        <w:ind w:firstLine="550" w:firstLineChars="250"/>
        <w:rPr>
          <w:rFonts w:ascii="宋体" w:hAnsi="宋体" w:cs="宋体"/>
          <w:bCs/>
          <w:color w:val="auto"/>
          <w:sz w:val="22"/>
          <w:szCs w:val="18"/>
          <w:highlight w:val="none"/>
        </w:rPr>
      </w:pPr>
    </w:p>
    <w:p w14:paraId="7104A17F">
      <w:pPr>
        <w:rPr>
          <w:rFonts w:ascii="宋体" w:hAnsi="宋体" w:cs="宋体"/>
          <w:color w:val="auto"/>
          <w:sz w:val="40"/>
          <w:szCs w:val="32"/>
          <w:highlight w:val="none"/>
        </w:rPr>
      </w:pPr>
      <w:bookmarkStart w:id="187" w:name="_Toc12120"/>
      <w:r>
        <w:rPr>
          <w:rFonts w:hint="eastAsia" w:ascii="宋体" w:hAnsi="宋体" w:cs="宋体"/>
          <w:color w:val="auto"/>
          <w:sz w:val="40"/>
          <w:szCs w:val="32"/>
          <w:highlight w:val="none"/>
        </w:rPr>
        <w:br w:type="page"/>
      </w:r>
    </w:p>
    <w:p w14:paraId="39D56338">
      <w:pPr>
        <w:pStyle w:val="4"/>
        <w:snapToGrid w:val="0"/>
        <w:spacing w:before="0" w:after="0" w:line="360" w:lineRule="auto"/>
        <w:jc w:val="center"/>
        <w:rPr>
          <w:rFonts w:ascii="宋体" w:hAnsi="宋体" w:eastAsia="宋体" w:cs="宋体"/>
          <w:color w:val="auto"/>
          <w:sz w:val="40"/>
          <w:szCs w:val="32"/>
          <w:highlight w:val="none"/>
        </w:rPr>
      </w:pPr>
      <w:r>
        <w:rPr>
          <w:rFonts w:hint="eastAsia" w:ascii="宋体" w:hAnsi="宋体" w:eastAsia="宋体" w:cs="宋体"/>
          <w:color w:val="auto"/>
          <w:sz w:val="40"/>
          <w:szCs w:val="32"/>
          <w:highlight w:val="none"/>
        </w:rPr>
        <w:t>第七篇  投标文件格式要求</w:t>
      </w:r>
      <w:bookmarkEnd w:id="152"/>
      <w:bookmarkEnd w:id="187"/>
    </w:p>
    <w:p w14:paraId="16F0A998">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0433A64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14:paraId="1FF204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14:paraId="4E789E3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37AFE9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31F171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（二）技术方案</w:t>
      </w:r>
    </w:p>
    <w:p w14:paraId="0C7C1F48">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37E3D46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8E7B0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7EC9D0F3">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14:paraId="58DC07A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146A7A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8BFBC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22F6F7A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51FB0B0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4B67246C">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2B7CD283">
      <w:pPr>
        <w:ind w:firstLine="480" w:firstLineChars="200"/>
        <w:rPr>
          <w:color w:val="auto"/>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（一）其他资料</w:t>
      </w:r>
    </w:p>
    <w:p w14:paraId="2E3BF505">
      <w:pPr>
        <w:pStyle w:val="5"/>
        <w:spacing w:before="0" w:after="0" w:line="360" w:lineRule="auto"/>
        <w:rPr>
          <w:rFonts w:ascii="宋体" w:hAnsi="宋体" w:cs="宋体"/>
          <w:color w:val="auto"/>
          <w:sz w:val="28"/>
          <w:szCs w:val="28"/>
          <w:highlight w:val="none"/>
        </w:rPr>
      </w:pPr>
      <w:bookmarkStart w:id="188" w:name="_Toc31231"/>
      <w:r>
        <w:rPr>
          <w:rFonts w:hint="eastAsia" w:ascii="宋体" w:hAnsi="宋体" w:cs="宋体"/>
          <w:color w:val="auto"/>
          <w:sz w:val="28"/>
          <w:szCs w:val="28"/>
          <w:highlight w:val="none"/>
        </w:rPr>
        <w:t>一、经济部分</w:t>
      </w:r>
      <w:bookmarkEnd w:id="188"/>
    </w:p>
    <w:p w14:paraId="493E637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14:paraId="54FA8F83">
      <w:pPr>
        <w:tabs>
          <w:tab w:val="left" w:pos="6300"/>
        </w:tabs>
        <w:snapToGrid w:val="0"/>
        <w:spacing w:line="360" w:lineRule="auto"/>
        <w:jc w:val="center"/>
        <w:rPr>
          <w:rFonts w:ascii="宋体" w:hAnsi="宋体" w:cs="宋体"/>
          <w:b/>
          <w:color w:val="auto"/>
          <w:szCs w:val="28"/>
          <w:highlight w:val="none"/>
        </w:rPr>
      </w:pPr>
      <w:r>
        <w:rPr>
          <w:rFonts w:hint="eastAsia" w:ascii="宋体" w:hAnsi="宋体" w:cs="宋体"/>
          <w:b/>
          <w:color w:val="auto"/>
          <w:szCs w:val="28"/>
          <w:highlight w:val="none"/>
        </w:rPr>
        <w:t>报价函</w:t>
      </w:r>
    </w:p>
    <w:p w14:paraId="045FFCE2">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（招标人名称）  </w:t>
      </w:r>
      <w:r>
        <w:rPr>
          <w:rFonts w:hint="eastAsia" w:ascii="宋体" w:hAnsi="宋体" w:cs="宋体"/>
          <w:color w:val="auto"/>
          <w:sz w:val="24"/>
          <w:szCs w:val="24"/>
          <w:highlight w:val="none"/>
        </w:rPr>
        <w:t>：</w:t>
      </w:r>
    </w:p>
    <w:p w14:paraId="06009DF2">
      <w:pPr>
        <w:tabs>
          <w:tab w:val="left" w:pos="630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我方收到____________________________（项目名称）的招标文件，经详细研究，决定参加该项目的投标。</w:t>
      </w:r>
    </w:p>
    <w:p w14:paraId="617F5F44">
      <w:pPr>
        <w:tabs>
          <w:tab w:val="left" w:pos="630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）的投标总报价进行报价（其中，安全文明施工费暂定金额为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，按合同约定实施和完成承包工程，修补工程中的任何缺陷。</w:t>
      </w:r>
    </w:p>
    <w:p w14:paraId="70F314F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2、我方现提交的投标文件为：投标文件正本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24A570FC">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14:paraId="79A3FEB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4、我方完全理解和接受贵方招标文件的一切规定和要求及评审办法。</w:t>
      </w:r>
    </w:p>
    <w:p w14:paraId="1C3F5EBB">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5、在整个投标过程中，我方若有违规行为，接受按照《中华人民共和国政府采购法》和《招标文件》之规定给予惩罚。</w:t>
      </w:r>
    </w:p>
    <w:p w14:paraId="3C387709">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6、我方若成为中标人，将按照最终投标结果签订合同，并且严格履行合同义务。本承诺函将成为合同不可分割的一部分，与合同具有同等的法律效力。</w:t>
      </w:r>
    </w:p>
    <w:p w14:paraId="08AC94DC">
      <w:pPr>
        <w:tabs>
          <w:tab w:val="left" w:pos="6300"/>
        </w:tabs>
        <w:snapToGrid w:val="0"/>
        <w:spacing w:line="360" w:lineRule="auto"/>
        <w:ind w:firstLine="480" w:firstLineChars="200"/>
        <w:rPr>
          <w:rFonts w:ascii="宋体" w:hAnsi="宋体" w:cs="宋体"/>
          <w:color w:val="auto"/>
          <w:sz w:val="24"/>
          <w:szCs w:val="24"/>
          <w:highlight w:val="none"/>
        </w:rPr>
      </w:pPr>
    </w:p>
    <w:p w14:paraId="54527D54">
      <w:pPr>
        <w:tabs>
          <w:tab w:val="left" w:pos="6300"/>
        </w:tabs>
        <w:snapToGrid w:val="0"/>
        <w:spacing w:line="360" w:lineRule="auto"/>
        <w:ind w:firstLine="480" w:firstLineChars="200"/>
        <w:rPr>
          <w:rFonts w:ascii="宋体" w:hAnsi="宋体" w:cs="宋体"/>
          <w:color w:val="auto"/>
          <w:sz w:val="24"/>
          <w:szCs w:val="24"/>
          <w:highlight w:val="none"/>
        </w:rPr>
      </w:pPr>
    </w:p>
    <w:p w14:paraId="05091250">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14:paraId="29183C04">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D3F2CAD">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27EAB67D">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邮编：</w:t>
      </w:r>
    </w:p>
    <w:p w14:paraId="07C03918">
      <w:pPr>
        <w:tabs>
          <w:tab w:val="left" w:pos="6300"/>
        </w:tabs>
        <w:snapToGrid w:val="0"/>
        <w:spacing w:line="360" w:lineRule="auto"/>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7FD14AF2">
      <w:pPr>
        <w:snapToGrid w:val="0"/>
        <w:spacing w:line="360" w:lineRule="auto"/>
        <w:ind w:firstLine="480" w:firstLineChars="200"/>
        <w:rPr>
          <w:rFonts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0263AA60">
      <w:pPr>
        <w:snapToGrid w:val="0"/>
        <w:spacing w:line="360" w:lineRule="auto"/>
        <w:ind w:firstLine="480" w:firstLineChars="200"/>
        <w:rPr>
          <w:rFonts w:cs="宋体" w:asciiTheme="minorEastAsia" w:hAnsiTheme="minorEastAsia" w:eastAsiaTheme="minorEastAsia"/>
          <w:color w:val="auto"/>
          <w:sz w:val="24"/>
          <w:szCs w:val="24"/>
          <w:highlight w:val="none"/>
        </w:rPr>
      </w:pPr>
      <w:bookmarkStart w:id="189" w:name="_Toc161727399"/>
      <w:r>
        <w:rPr>
          <w:rFonts w:hint="eastAsia"/>
          <w:color w:val="auto"/>
          <w:sz w:val="24"/>
          <w:szCs w:val="18"/>
          <w:highlight w:val="none"/>
        </w:rPr>
        <w:t>（二）</w:t>
      </w:r>
      <w:bookmarkEnd w:id="189"/>
      <w:r>
        <w:rPr>
          <w:rFonts w:hint="eastAsia" w:cs="宋体" w:asciiTheme="minorEastAsia" w:hAnsiTheme="minorEastAsia" w:eastAsiaTheme="minorEastAsia"/>
          <w:color w:val="auto"/>
          <w:sz w:val="24"/>
          <w:szCs w:val="24"/>
          <w:highlight w:val="none"/>
        </w:rPr>
        <w:t>已标价工程量清单</w:t>
      </w:r>
    </w:p>
    <w:p w14:paraId="1FDEF0D2">
      <w:pPr>
        <w:snapToGrid w:val="0"/>
        <w:spacing w:line="500" w:lineRule="exact"/>
        <w:ind w:firstLine="480" w:firstLineChars="200"/>
        <w:jc w:val="center"/>
        <w:rPr>
          <w:rFonts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根据本项目提供的工程量清单报价并加盖投标人公章。</w:t>
      </w:r>
    </w:p>
    <w:p w14:paraId="139CC921">
      <w:pPr>
        <w:snapToGrid w:val="0"/>
        <w:spacing w:line="500" w:lineRule="exact"/>
        <w:ind w:firstLine="480" w:firstLineChars="200"/>
        <w:rPr>
          <w:rFonts w:ascii="宋体" w:hAnsi="宋体" w:cs="宋体"/>
          <w:color w:val="auto"/>
          <w:sz w:val="24"/>
          <w:szCs w:val="24"/>
          <w:highlight w:val="none"/>
        </w:rPr>
      </w:pPr>
      <w:r>
        <w:rPr>
          <w:rFonts w:hint="eastAsia" w:ascii="宋体" w:hAnsi="宋体" w:cs="MingLiU"/>
          <w:color w:val="auto"/>
          <w:kern w:val="0"/>
          <w:sz w:val="24"/>
          <w:szCs w:val="24"/>
          <w:highlight w:val="none"/>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14:paraId="1FF02D11">
      <w:pPr>
        <w:snapToGrid w:val="0"/>
        <w:spacing w:line="500" w:lineRule="exact"/>
        <w:ind w:firstLine="480" w:firstLineChars="200"/>
        <w:rPr>
          <w:rFonts w:ascii="宋体" w:hAnsi="宋体" w:cs="宋体"/>
          <w:color w:val="auto"/>
          <w:sz w:val="24"/>
          <w:szCs w:val="24"/>
          <w:highlight w:val="none"/>
        </w:rPr>
      </w:pPr>
    </w:p>
    <w:p w14:paraId="46115AEA">
      <w:pPr>
        <w:snapToGrid w:val="0"/>
        <w:spacing w:line="500" w:lineRule="exact"/>
        <w:ind w:firstLine="480" w:firstLineChars="200"/>
        <w:rPr>
          <w:rFonts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14:paraId="0AE66B6E">
      <w:pPr>
        <w:pStyle w:val="5"/>
        <w:spacing w:before="0" w:after="0" w:line="360" w:lineRule="auto"/>
        <w:rPr>
          <w:rFonts w:ascii="宋体" w:hAnsi="宋体" w:cs="宋体"/>
          <w:color w:val="auto"/>
          <w:sz w:val="28"/>
          <w:szCs w:val="28"/>
          <w:highlight w:val="none"/>
        </w:rPr>
      </w:pPr>
      <w:bookmarkStart w:id="190" w:name="_Toc313008357"/>
      <w:bookmarkStart w:id="191" w:name="_Toc313888361"/>
      <w:bookmarkStart w:id="192" w:name="_Toc342913420"/>
      <w:bookmarkStart w:id="193" w:name="_Toc12453"/>
      <w:r>
        <w:rPr>
          <w:rFonts w:hint="eastAsia" w:ascii="宋体" w:hAnsi="宋体" w:cs="宋体"/>
          <w:color w:val="auto"/>
          <w:sz w:val="28"/>
          <w:szCs w:val="28"/>
          <w:highlight w:val="none"/>
        </w:rPr>
        <w:t>二、</w:t>
      </w:r>
      <w:bookmarkEnd w:id="190"/>
      <w:bookmarkEnd w:id="191"/>
      <w:bookmarkEnd w:id="192"/>
      <w:r>
        <w:rPr>
          <w:rFonts w:hint="eastAsia" w:ascii="宋体" w:hAnsi="宋体" w:cs="宋体"/>
          <w:color w:val="auto"/>
          <w:sz w:val="28"/>
          <w:szCs w:val="28"/>
          <w:highlight w:val="none"/>
        </w:rPr>
        <w:t>技术部分</w:t>
      </w:r>
      <w:bookmarkEnd w:id="193"/>
    </w:p>
    <w:p w14:paraId="031EE97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279ADFEF">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310C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14:paraId="5F844932">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14:paraId="4510E56F">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项目技术（质量）需求</w:t>
            </w:r>
          </w:p>
        </w:tc>
        <w:tc>
          <w:tcPr>
            <w:tcW w:w="2520" w:type="dxa"/>
            <w:vAlign w:val="center"/>
          </w:tcPr>
          <w:p w14:paraId="395DDC0D">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49AFC7A6">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43ED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43E07B6D">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16F72CB3">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6368679">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26B31BF2">
            <w:pPr>
              <w:tabs>
                <w:tab w:val="left" w:pos="6300"/>
              </w:tabs>
              <w:snapToGrid w:val="0"/>
              <w:spacing w:line="500" w:lineRule="exact"/>
              <w:jc w:val="center"/>
              <w:outlineLvl w:val="0"/>
              <w:rPr>
                <w:rFonts w:ascii="宋体" w:hAnsi="宋体" w:cs="宋体"/>
                <w:color w:val="auto"/>
                <w:sz w:val="24"/>
                <w:szCs w:val="24"/>
                <w:highlight w:val="none"/>
              </w:rPr>
            </w:pPr>
          </w:p>
        </w:tc>
      </w:tr>
      <w:tr w14:paraId="2BD6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19ADB5AB">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1A914BFC">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0B9CB366">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6C39036E">
            <w:pPr>
              <w:tabs>
                <w:tab w:val="left" w:pos="6300"/>
              </w:tabs>
              <w:snapToGrid w:val="0"/>
              <w:spacing w:line="500" w:lineRule="exact"/>
              <w:jc w:val="center"/>
              <w:outlineLvl w:val="0"/>
              <w:rPr>
                <w:rFonts w:ascii="宋体" w:hAnsi="宋体" w:cs="宋体"/>
                <w:color w:val="auto"/>
                <w:sz w:val="24"/>
                <w:szCs w:val="24"/>
                <w:highlight w:val="none"/>
              </w:rPr>
            </w:pPr>
          </w:p>
        </w:tc>
      </w:tr>
      <w:tr w14:paraId="696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BC2D94D">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16368E54">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084577F4">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0EE442BA">
            <w:pPr>
              <w:tabs>
                <w:tab w:val="left" w:pos="6300"/>
              </w:tabs>
              <w:snapToGrid w:val="0"/>
              <w:spacing w:line="500" w:lineRule="exact"/>
              <w:jc w:val="center"/>
              <w:outlineLvl w:val="0"/>
              <w:rPr>
                <w:rFonts w:ascii="宋体" w:hAnsi="宋体" w:cs="宋体"/>
                <w:color w:val="auto"/>
                <w:sz w:val="24"/>
                <w:szCs w:val="24"/>
                <w:highlight w:val="none"/>
              </w:rPr>
            </w:pPr>
          </w:p>
        </w:tc>
      </w:tr>
      <w:tr w14:paraId="520D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154D04A3">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0F45E705">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60B93CEC">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28C72BAE">
            <w:pPr>
              <w:tabs>
                <w:tab w:val="left" w:pos="6300"/>
              </w:tabs>
              <w:snapToGrid w:val="0"/>
              <w:spacing w:line="500" w:lineRule="exact"/>
              <w:jc w:val="center"/>
              <w:outlineLvl w:val="0"/>
              <w:rPr>
                <w:rFonts w:ascii="宋体" w:hAnsi="宋体" w:cs="宋体"/>
                <w:color w:val="auto"/>
                <w:sz w:val="24"/>
                <w:szCs w:val="24"/>
                <w:highlight w:val="none"/>
              </w:rPr>
            </w:pPr>
          </w:p>
        </w:tc>
      </w:tr>
      <w:tr w14:paraId="091A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931927D">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669B3946">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32979A32">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3370902D">
            <w:pPr>
              <w:tabs>
                <w:tab w:val="left" w:pos="6300"/>
              </w:tabs>
              <w:snapToGrid w:val="0"/>
              <w:spacing w:line="500" w:lineRule="exact"/>
              <w:jc w:val="center"/>
              <w:outlineLvl w:val="0"/>
              <w:rPr>
                <w:rFonts w:ascii="宋体" w:hAnsi="宋体" w:cs="宋体"/>
                <w:color w:val="auto"/>
                <w:sz w:val="24"/>
                <w:szCs w:val="24"/>
                <w:highlight w:val="none"/>
              </w:rPr>
            </w:pPr>
          </w:p>
        </w:tc>
      </w:tr>
      <w:tr w14:paraId="5E57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1285B7F">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2BBAA7CC">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1A72705">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63B99637">
            <w:pPr>
              <w:tabs>
                <w:tab w:val="left" w:pos="6300"/>
              </w:tabs>
              <w:snapToGrid w:val="0"/>
              <w:spacing w:line="500" w:lineRule="exact"/>
              <w:jc w:val="center"/>
              <w:outlineLvl w:val="0"/>
              <w:rPr>
                <w:rFonts w:ascii="宋体" w:hAnsi="宋体" w:cs="宋体"/>
                <w:color w:val="auto"/>
                <w:sz w:val="24"/>
                <w:szCs w:val="24"/>
                <w:highlight w:val="none"/>
              </w:rPr>
            </w:pPr>
          </w:p>
        </w:tc>
      </w:tr>
      <w:tr w14:paraId="4F7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43BA41A0">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5FC86EE0">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6226EA3F">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49175075">
            <w:pPr>
              <w:tabs>
                <w:tab w:val="left" w:pos="6300"/>
              </w:tabs>
              <w:snapToGrid w:val="0"/>
              <w:spacing w:line="500" w:lineRule="exact"/>
              <w:jc w:val="center"/>
              <w:outlineLvl w:val="0"/>
              <w:rPr>
                <w:rFonts w:ascii="宋体" w:hAnsi="宋体" w:cs="宋体"/>
                <w:color w:val="auto"/>
                <w:sz w:val="24"/>
                <w:szCs w:val="24"/>
                <w:highlight w:val="none"/>
              </w:rPr>
            </w:pPr>
          </w:p>
        </w:tc>
      </w:tr>
      <w:tr w14:paraId="4526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11954BD7">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11458DD2">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6B57CA2C">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15464519">
            <w:pPr>
              <w:tabs>
                <w:tab w:val="left" w:pos="6300"/>
              </w:tabs>
              <w:snapToGrid w:val="0"/>
              <w:spacing w:line="500" w:lineRule="exact"/>
              <w:jc w:val="center"/>
              <w:outlineLvl w:val="0"/>
              <w:rPr>
                <w:rFonts w:ascii="宋体" w:hAnsi="宋体" w:cs="宋体"/>
                <w:color w:val="auto"/>
                <w:sz w:val="24"/>
                <w:szCs w:val="24"/>
                <w:highlight w:val="none"/>
              </w:rPr>
            </w:pPr>
          </w:p>
        </w:tc>
      </w:tr>
      <w:tr w14:paraId="7987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DEF8650">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2B96F36E">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46A8320C">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7951285E">
            <w:pPr>
              <w:tabs>
                <w:tab w:val="left" w:pos="6300"/>
              </w:tabs>
              <w:snapToGrid w:val="0"/>
              <w:spacing w:line="500" w:lineRule="exact"/>
              <w:jc w:val="center"/>
              <w:outlineLvl w:val="0"/>
              <w:rPr>
                <w:rFonts w:ascii="宋体" w:hAnsi="宋体" w:cs="宋体"/>
                <w:color w:val="auto"/>
                <w:sz w:val="24"/>
                <w:szCs w:val="24"/>
                <w:highlight w:val="none"/>
              </w:rPr>
            </w:pPr>
          </w:p>
        </w:tc>
      </w:tr>
      <w:tr w14:paraId="2025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18950578">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6F177B04">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386FDA92">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58B687D3">
            <w:pPr>
              <w:tabs>
                <w:tab w:val="left" w:pos="6300"/>
              </w:tabs>
              <w:snapToGrid w:val="0"/>
              <w:spacing w:line="500" w:lineRule="exact"/>
              <w:jc w:val="center"/>
              <w:outlineLvl w:val="0"/>
              <w:rPr>
                <w:rFonts w:ascii="宋体" w:hAnsi="宋体" w:cs="宋体"/>
                <w:color w:val="auto"/>
                <w:sz w:val="24"/>
                <w:szCs w:val="24"/>
                <w:highlight w:val="none"/>
              </w:rPr>
            </w:pPr>
          </w:p>
        </w:tc>
      </w:tr>
      <w:tr w14:paraId="7886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A429D02">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14:paraId="771111A1">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2FFE10D">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7739B484">
            <w:pPr>
              <w:tabs>
                <w:tab w:val="left" w:pos="6300"/>
              </w:tabs>
              <w:snapToGrid w:val="0"/>
              <w:spacing w:line="500" w:lineRule="exact"/>
              <w:jc w:val="center"/>
              <w:outlineLvl w:val="0"/>
              <w:rPr>
                <w:rFonts w:ascii="宋体" w:hAnsi="宋体" w:cs="宋体"/>
                <w:color w:val="auto"/>
                <w:sz w:val="24"/>
                <w:szCs w:val="24"/>
                <w:highlight w:val="none"/>
              </w:rPr>
            </w:pPr>
          </w:p>
        </w:tc>
      </w:tr>
    </w:tbl>
    <w:p w14:paraId="3969E187">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投标人：                 法定代表人（或法定代表人授权代表）：</w:t>
      </w:r>
    </w:p>
    <w:p w14:paraId="22537F60">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B26CAE">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（投标人公章）                                 （签字或盖章）</w:t>
      </w:r>
    </w:p>
    <w:p w14:paraId="34FF36F1">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634C3C9">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注：</w:t>
      </w:r>
    </w:p>
    <w:p w14:paraId="6E75EBAF">
      <w:pPr>
        <w:tabs>
          <w:tab w:val="left" w:pos="6300"/>
        </w:tabs>
        <w:snapToGrid w:val="0"/>
        <w:spacing w:line="360" w:lineRule="auto"/>
        <w:ind w:firstLine="570"/>
        <w:jc w:val="left"/>
        <w:rPr>
          <w:rFonts w:ascii="宋体" w:hAnsi="宋体" w:cs="宋体"/>
          <w:color w:val="auto"/>
          <w:sz w:val="24"/>
          <w:szCs w:val="24"/>
          <w:highlight w:val="none"/>
        </w:rPr>
      </w:pPr>
      <w:bookmarkStart w:id="194" w:name="_Toc80104370"/>
      <w:r>
        <w:rPr>
          <w:rFonts w:hint="eastAsia" w:ascii="宋体" w:hAnsi="宋体" w:cs="宋体"/>
          <w:color w:val="auto"/>
          <w:sz w:val="24"/>
          <w:szCs w:val="24"/>
          <w:highlight w:val="none"/>
        </w:rPr>
        <w:t>1.本表即为对本项目“第二篇  项目技术需求”中所列条款进行比较和响应；</w:t>
      </w:r>
    </w:p>
    <w:p w14:paraId="4ED8318D">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该表必须按照招标文件要求逐条如实填写，根据响应情况在“差异说明”项填写正偏离或负偏离及原因，完全符合的填写“无差异”。</w:t>
      </w:r>
    </w:p>
    <w:p w14:paraId="4D42EC4D">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14:paraId="7DA22F14">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14:paraId="128ACF71">
      <w:pPr>
        <w:pStyle w:val="5"/>
        <w:spacing w:before="0" w:after="0" w:line="360" w:lineRule="auto"/>
        <w:jc w:val="center"/>
        <w:rPr>
          <w:rFonts w:ascii="宋体" w:hAnsi="宋体" w:cs="宋体"/>
          <w:b w:val="0"/>
          <w:color w:val="auto"/>
          <w:sz w:val="24"/>
          <w:szCs w:val="24"/>
          <w:highlight w:val="none"/>
        </w:rPr>
      </w:pPr>
    </w:p>
    <w:p w14:paraId="04E0624B">
      <w:pPr>
        <w:spacing w:line="360" w:lineRule="auto"/>
        <w:ind w:firstLine="480" w:firstLineChars="200"/>
        <w:outlineLvl w:val="1"/>
        <w:rPr>
          <w:rFonts w:ascii="宋体" w:hAnsi="宋体" w:cs="宋体"/>
          <w:color w:val="auto"/>
          <w:sz w:val="24"/>
          <w:szCs w:val="24"/>
          <w:highlight w:val="none"/>
        </w:rPr>
      </w:pPr>
      <w:bookmarkStart w:id="195" w:name="_Toc5199"/>
      <w:r>
        <w:rPr>
          <w:rFonts w:hint="eastAsia" w:ascii="宋体" w:hAnsi="宋体" w:cs="宋体"/>
          <w:color w:val="auto"/>
          <w:sz w:val="24"/>
          <w:szCs w:val="24"/>
          <w:highlight w:val="none"/>
        </w:rPr>
        <w:t>投标人根据招标文件“评审程序及方法、评审标准、无效响应和采购终止”中技术部分的评审标准编制，格式自拟。</w:t>
      </w:r>
    </w:p>
    <w:p w14:paraId="3EB45A19">
      <w:pPr>
        <w:pStyle w:val="5"/>
        <w:spacing w:before="0" w:after="0" w:line="360" w:lineRule="auto"/>
        <w:jc w:val="left"/>
        <w:rPr>
          <w:rFonts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94"/>
      <w:bookmarkEnd w:id="195"/>
    </w:p>
    <w:p w14:paraId="74AB3EA4">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6B9856D">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24F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E372FFA">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14:paraId="40C85262">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14:paraId="394DB3E0">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2383C4F9">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6E37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FFB0CCD">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5AF9A5C2">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2D9DB38F">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539181B0">
            <w:pPr>
              <w:tabs>
                <w:tab w:val="left" w:pos="6300"/>
              </w:tabs>
              <w:snapToGrid w:val="0"/>
              <w:spacing w:line="500" w:lineRule="exact"/>
              <w:jc w:val="center"/>
              <w:outlineLvl w:val="0"/>
              <w:rPr>
                <w:rFonts w:ascii="宋体" w:hAnsi="宋体" w:cs="宋体"/>
                <w:color w:val="auto"/>
                <w:sz w:val="24"/>
                <w:szCs w:val="24"/>
                <w:highlight w:val="none"/>
              </w:rPr>
            </w:pPr>
          </w:p>
        </w:tc>
      </w:tr>
      <w:tr w14:paraId="0DCD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AE0123C">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3E60327B">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08DFE19F">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07CAEFED">
            <w:pPr>
              <w:tabs>
                <w:tab w:val="left" w:pos="6300"/>
              </w:tabs>
              <w:snapToGrid w:val="0"/>
              <w:spacing w:line="500" w:lineRule="exact"/>
              <w:jc w:val="center"/>
              <w:outlineLvl w:val="0"/>
              <w:rPr>
                <w:rFonts w:ascii="宋体" w:hAnsi="宋体" w:cs="宋体"/>
                <w:color w:val="auto"/>
                <w:sz w:val="24"/>
                <w:szCs w:val="24"/>
                <w:highlight w:val="none"/>
              </w:rPr>
            </w:pPr>
          </w:p>
        </w:tc>
      </w:tr>
      <w:tr w14:paraId="0ABB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7BC0356">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7395E85E">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29FBF88F">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1927C4FF">
            <w:pPr>
              <w:tabs>
                <w:tab w:val="left" w:pos="6300"/>
              </w:tabs>
              <w:snapToGrid w:val="0"/>
              <w:spacing w:line="500" w:lineRule="exact"/>
              <w:jc w:val="center"/>
              <w:outlineLvl w:val="0"/>
              <w:rPr>
                <w:rFonts w:ascii="宋体" w:hAnsi="宋体" w:cs="宋体"/>
                <w:color w:val="auto"/>
                <w:sz w:val="24"/>
                <w:szCs w:val="24"/>
                <w:highlight w:val="none"/>
              </w:rPr>
            </w:pPr>
          </w:p>
        </w:tc>
      </w:tr>
      <w:tr w14:paraId="5DC7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2F8324">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5B297AEB">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5244859">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52EAE3A0">
            <w:pPr>
              <w:tabs>
                <w:tab w:val="left" w:pos="6300"/>
              </w:tabs>
              <w:snapToGrid w:val="0"/>
              <w:spacing w:line="500" w:lineRule="exact"/>
              <w:jc w:val="center"/>
              <w:outlineLvl w:val="0"/>
              <w:rPr>
                <w:rFonts w:ascii="宋体" w:hAnsi="宋体" w:cs="宋体"/>
                <w:color w:val="auto"/>
                <w:sz w:val="24"/>
                <w:szCs w:val="24"/>
                <w:highlight w:val="none"/>
              </w:rPr>
            </w:pPr>
          </w:p>
        </w:tc>
      </w:tr>
      <w:tr w14:paraId="01D3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AC6DA11">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13313B53">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5A280D56">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08CC58A2">
            <w:pPr>
              <w:tabs>
                <w:tab w:val="left" w:pos="6300"/>
              </w:tabs>
              <w:snapToGrid w:val="0"/>
              <w:spacing w:line="500" w:lineRule="exact"/>
              <w:jc w:val="center"/>
              <w:outlineLvl w:val="0"/>
              <w:rPr>
                <w:rFonts w:ascii="宋体" w:hAnsi="宋体" w:cs="宋体"/>
                <w:color w:val="auto"/>
                <w:sz w:val="24"/>
                <w:szCs w:val="24"/>
                <w:highlight w:val="none"/>
              </w:rPr>
            </w:pPr>
          </w:p>
        </w:tc>
      </w:tr>
      <w:tr w14:paraId="00F8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48D3205">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37693050">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59B2C3D0">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0458C0F3">
            <w:pPr>
              <w:tabs>
                <w:tab w:val="left" w:pos="6300"/>
              </w:tabs>
              <w:snapToGrid w:val="0"/>
              <w:spacing w:line="500" w:lineRule="exact"/>
              <w:jc w:val="center"/>
              <w:outlineLvl w:val="0"/>
              <w:rPr>
                <w:rFonts w:ascii="宋体" w:hAnsi="宋体" w:cs="宋体"/>
                <w:color w:val="auto"/>
                <w:sz w:val="24"/>
                <w:szCs w:val="24"/>
                <w:highlight w:val="none"/>
              </w:rPr>
            </w:pPr>
          </w:p>
        </w:tc>
      </w:tr>
      <w:tr w14:paraId="0B0A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4924FD1">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08084DA1">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D6D5A04">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754F9831">
            <w:pPr>
              <w:tabs>
                <w:tab w:val="left" w:pos="6300"/>
              </w:tabs>
              <w:snapToGrid w:val="0"/>
              <w:spacing w:line="500" w:lineRule="exact"/>
              <w:jc w:val="center"/>
              <w:outlineLvl w:val="0"/>
              <w:rPr>
                <w:rFonts w:ascii="宋体" w:hAnsi="宋体" w:cs="宋体"/>
                <w:color w:val="auto"/>
                <w:sz w:val="24"/>
                <w:szCs w:val="24"/>
                <w:highlight w:val="none"/>
              </w:rPr>
            </w:pPr>
          </w:p>
        </w:tc>
      </w:tr>
      <w:tr w14:paraId="62AB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06CB0F7">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57694CED">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0484E6C">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38757BDD">
            <w:pPr>
              <w:tabs>
                <w:tab w:val="left" w:pos="6300"/>
              </w:tabs>
              <w:snapToGrid w:val="0"/>
              <w:spacing w:line="500" w:lineRule="exact"/>
              <w:jc w:val="center"/>
              <w:outlineLvl w:val="0"/>
              <w:rPr>
                <w:rFonts w:ascii="宋体" w:hAnsi="宋体" w:cs="宋体"/>
                <w:color w:val="auto"/>
                <w:sz w:val="24"/>
                <w:szCs w:val="24"/>
                <w:highlight w:val="none"/>
              </w:rPr>
            </w:pPr>
          </w:p>
        </w:tc>
      </w:tr>
      <w:tr w14:paraId="449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808BAF1">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06291212">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026631ED">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760D9DBC">
            <w:pPr>
              <w:tabs>
                <w:tab w:val="left" w:pos="6300"/>
              </w:tabs>
              <w:snapToGrid w:val="0"/>
              <w:spacing w:line="500" w:lineRule="exact"/>
              <w:jc w:val="center"/>
              <w:outlineLvl w:val="0"/>
              <w:rPr>
                <w:rFonts w:ascii="宋体" w:hAnsi="宋体" w:cs="宋体"/>
                <w:color w:val="auto"/>
                <w:sz w:val="24"/>
                <w:szCs w:val="24"/>
                <w:highlight w:val="none"/>
              </w:rPr>
            </w:pPr>
          </w:p>
        </w:tc>
      </w:tr>
      <w:tr w14:paraId="13BE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3C78AF7">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79E9B7D9">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49429CE">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768B909F">
            <w:pPr>
              <w:tabs>
                <w:tab w:val="left" w:pos="6300"/>
              </w:tabs>
              <w:snapToGrid w:val="0"/>
              <w:spacing w:line="500" w:lineRule="exact"/>
              <w:jc w:val="center"/>
              <w:outlineLvl w:val="0"/>
              <w:rPr>
                <w:rFonts w:ascii="宋体" w:hAnsi="宋体" w:cs="宋体"/>
                <w:color w:val="auto"/>
                <w:sz w:val="24"/>
                <w:szCs w:val="24"/>
                <w:highlight w:val="none"/>
              </w:rPr>
            </w:pPr>
          </w:p>
        </w:tc>
      </w:tr>
      <w:tr w14:paraId="7F2C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25FCD45">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14:paraId="5209E776">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14:paraId="1BB8D21C">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14:paraId="04ADF380">
            <w:pPr>
              <w:tabs>
                <w:tab w:val="left" w:pos="6300"/>
              </w:tabs>
              <w:snapToGrid w:val="0"/>
              <w:spacing w:line="500" w:lineRule="exact"/>
              <w:jc w:val="center"/>
              <w:outlineLvl w:val="0"/>
              <w:rPr>
                <w:rFonts w:ascii="宋体" w:hAnsi="宋体" w:cs="宋体"/>
                <w:color w:val="auto"/>
                <w:sz w:val="24"/>
                <w:szCs w:val="24"/>
                <w:highlight w:val="none"/>
              </w:rPr>
            </w:pPr>
          </w:p>
        </w:tc>
      </w:tr>
    </w:tbl>
    <w:p w14:paraId="42839F7B">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投标人：               法定代表人（或法定代表人授权代表）：</w:t>
      </w:r>
    </w:p>
    <w:p w14:paraId="68F85179">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F6C223E">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（投标人公章）                                 （签字或盖章）</w:t>
      </w:r>
    </w:p>
    <w:p w14:paraId="54FDF73A">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3120A82">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注：</w:t>
      </w:r>
    </w:p>
    <w:p w14:paraId="5F257BB8">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1A561F25">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该表必须按照招标文件要求逐条如实填写，根据响应情况在“差异说明”项填写正偏离或负偏离及原因，完全符合的填写“无差异”</w:t>
      </w:r>
    </w:p>
    <w:p w14:paraId="105809FB">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14:paraId="1B32882F">
      <w:pPr>
        <w:spacing w:line="360" w:lineRule="auto"/>
        <w:ind w:firstLine="560" w:firstLineChars="200"/>
        <w:outlineLvl w:val="1"/>
        <w:rPr>
          <w:rFonts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6" w:name="_Toc313888362"/>
      <w:bookmarkStart w:id="197" w:name="_Toc313008358"/>
      <w:bookmarkStart w:id="198" w:name="_Toc342913421"/>
      <w:bookmarkStart w:id="199" w:name="_Toc12335"/>
      <w:bookmarkStart w:id="200" w:name="_Toc80104371"/>
      <w:r>
        <w:rPr>
          <w:rFonts w:hint="eastAsia" w:ascii="宋体" w:hAnsi="宋体" w:cs="宋体"/>
          <w:color w:val="auto"/>
          <w:sz w:val="24"/>
          <w:szCs w:val="24"/>
          <w:highlight w:val="none"/>
        </w:rPr>
        <w:t>商务部分其他资料（格式自拟）</w:t>
      </w:r>
    </w:p>
    <w:p w14:paraId="37F83C1B">
      <w:pPr>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投标人根据招标文件“评审程序及方法、评审标准、无效响应和采购终止”中商务部分的评审标准编制，格式自拟。</w:t>
      </w:r>
    </w:p>
    <w:p w14:paraId="6258DD31">
      <w:pPr>
        <w:pStyle w:val="5"/>
        <w:spacing w:before="0" w:after="0" w:line="360" w:lineRule="auto"/>
        <w:rPr>
          <w:rFonts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6"/>
      <w:bookmarkEnd w:id="197"/>
      <w:bookmarkEnd w:id="198"/>
      <w:r>
        <w:rPr>
          <w:rFonts w:hint="eastAsia" w:ascii="宋体" w:hAnsi="宋体" w:cs="宋体"/>
          <w:color w:val="auto"/>
          <w:sz w:val="28"/>
          <w:szCs w:val="28"/>
          <w:highlight w:val="none"/>
        </w:rPr>
        <w:t>资格条件</w:t>
      </w:r>
      <w:bookmarkEnd w:id="199"/>
      <w:bookmarkEnd w:id="200"/>
      <w:r>
        <w:rPr>
          <w:rFonts w:hint="eastAsia" w:ascii="宋体" w:hAnsi="宋体" w:cs="宋体"/>
          <w:color w:val="auto"/>
          <w:sz w:val="28"/>
          <w:szCs w:val="28"/>
          <w:highlight w:val="none"/>
        </w:rPr>
        <w:t>部分</w:t>
      </w:r>
    </w:p>
    <w:p w14:paraId="1B0F7840">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DDF7955">
      <w:pPr>
        <w:tabs>
          <w:tab w:val="left" w:pos="6300"/>
        </w:tabs>
        <w:snapToGrid w:val="0"/>
        <w:spacing w:line="500" w:lineRule="exact"/>
        <w:ind w:firstLine="570"/>
        <w:rPr>
          <w:rFonts w:ascii="宋体" w:hAnsi="宋体" w:cs="宋体"/>
          <w:color w:val="auto"/>
          <w:sz w:val="32"/>
          <w:szCs w:val="32"/>
          <w:highlight w:val="none"/>
        </w:rPr>
      </w:pPr>
    </w:p>
    <w:p w14:paraId="34440680">
      <w:pPr>
        <w:tabs>
          <w:tab w:val="left" w:pos="6300"/>
        </w:tabs>
        <w:snapToGrid w:val="0"/>
        <w:spacing w:line="500" w:lineRule="exact"/>
        <w:ind w:firstLine="570"/>
        <w:rPr>
          <w:rFonts w:ascii="宋体" w:hAnsi="宋体" w:cs="宋体"/>
          <w:color w:val="auto"/>
          <w:sz w:val="32"/>
          <w:szCs w:val="32"/>
          <w:highlight w:val="none"/>
        </w:rPr>
      </w:pPr>
    </w:p>
    <w:p w14:paraId="5D6D6419">
      <w:pPr>
        <w:tabs>
          <w:tab w:val="left" w:pos="6300"/>
        </w:tabs>
        <w:snapToGrid w:val="0"/>
        <w:spacing w:line="500" w:lineRule="exact"/>
        <w:ind w:firstLine="570"/>
        <w:rPr>
          <w:rFonts w:ascii="宋体" w:hAnsi="宋体" w:cs="宋体"/>
          <w:color w:val="auto"/>
          <w:sz w:val="32"/>
          <w:szCs w:val="32"/>
          <w:highlight w:val="none"/>
        </w:rPr>
      </w:pPr>
    </w:p>
    <w:p w14:paraId="5EEF8A45">
      <w:pPr>
        <w:widowControl/>
        <w:ind w:firstLine="640" w:firstLineChars="200"/>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14:paraId="2638CD99">
      <w:pPr>
        <w:tabs>
          <w:tab w:val="left" w:pos="6300"/>
        </w:tabs>
        <w:snapToGrid w:val="0"/>
        <w:spacing w:line="500" w:lineRule="exact"/>
        <w:ind w:firstLine="570"/>
        <w:rPr>
          <w:rFonts w:ascii="宋体" w:hAnsi="宋体" w:cs="宋体"/>
          <w:color w:val="auto"/>
          <w:sz w:val="32"/>
          <w:szCs w:val="32"/>
          <w:highlight w:val="none"/>
        </w:rPr>
      </w:pPr>
    </w:p>
    <w:p w14:paraId="54820690">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6A8D55FD">
      <w:pPr>
        <w:tabs>
          <w:tab w:val="left" w:pos="6300"/>
        </w:tabs>
        <w:snapToGrid w:val="0"/>
        <w:spacing w:line="500" w:lineRule="exact"/>
        <w:ind w:firstLine="570"/>
        <w:rPr>
          <w:rFonts w:ascii="宋体" w:hAnsi="宋体" w:cs="宋体"/>
          <w:color w:val="auto"/>
          <w:sz w:val="24"/>
          <w:szCs w:val="24"/>
          <w:highlight w:val="none"/>
        </w:rPr>
      </w:pPr>
    </w:p>
    <w:p w14:paraId="46EAC835">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3376150D">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20195DDE">
      <w:pPr>
        <w:tabs>
          <w:tab w:val="left" w:pos="6300"/>
        </w:tabs>
        <w:snapToGrid w:val="0"/>
        <w:spacing w:line="500" w:lineRule="exact"/>
        <w:ind w:firstLine="570"/>
        <w:rPr>
          <w:rFonts w:ascii="宋体" w:hAnsi="宋体" w:cs="宋体"/>
          <w:color w:val="auto"/>
          <w:sz w:val="24"/>
          <w:szCs w:val="24"/>
          <w:highlight w:val="none"/>
        </w:rPr>
      </w:pPr>
    </w:p>
    <w:p w14:paraId="44A46689">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4B8DC9AD">
      <w:pPr>
        <w:tabs>
          <w:tab w:val="left" w:pos="6300"/>
        </w:tabs>
        <w:snapToGrid w:val="0"/>
        <w:spacing w:line="500" w:lineRule="exact"/>
        <w:ind w:firstLine="570"/>
        <w:rPr>
          <w:rFonts w:ascii="宋体" w:hAnsi="宋体" w:cs="宋体"/>
          <w:color w:val="auto"/>
          <w:sz w:val="24"/>
          <w:szCs w:val="24"/>
          <w:highlight w:val="none"/>
        </w:rPr>
      </w:pPr>
    </w:p>
    <w:p w14:paraId="5BD38695">
      <w:pPr>
        <w:tabs>
          <w:tab w:val="left" w:pos="6300"/>
        </w:tabs>
        <w:snapToGrid w:val="0"/>
        <w:spacing w:line="500" w:lineRule="exact"/>
        <w:ind w:firstLine="570"/>
        <w:rPr>
          <w:rFonts w:ascii="宋体" w:hAnsi="宋体" w:cs="宋体"/>
          <w:color w:val="auto"/>
          <w:sz w:val="24"/>
          <w:szCs w:val="24"/>
          <w:highlight w:val="none"/>
        </w:rPr>
      </w:pPr>
    </w:p>
    <w:p w14:paraId="23518E5F">
      <w:pPr>
        <w:tabs>
          <w:tab w:val="left" w:pos="6300"/>
        </w:tabs>
        <w:snapToGrid w:val="0"/>
        <w:spacing w:line="500" w:lineRule="exact"/>
        <w:ind w:firstLine="570"/>
        <w:rPr>
          <w:rFonts w:ascii="宋体" w:hAnsi="宋体" w:cs="宋体"/>
          <w:color w:val="auto"/>
          <w:sz w:val="24"/>
          <w:szCs w:val="24"/>
          <w:highlight w:val="none"/>
        </w:rPr>
      </w:pPr>
    </w:p>
    <w:p w14:paraId="2D5F3C2B">
      <w:pPr>
        <w:tabs>
          <w:tab w:val="left" w:pos="6300"/>
        </w:tabs>
        <w:snapToGrid w:val="0"/>
        <w:spacing w:line="500" w:lineRule="exact"/>
        <w:ind w:firstLine="570"/>
        <w:jc w:val="center"/>
        <w:rPr>
          <w:rFonts w:ascii="宋体" w:hAnsi="宋体" w:cs="宋体"/>
          <w:color w:val="auto"/>
          <w:sz w:val="24"/>
          <w:szCs w:val="24"/>
          <w:highlight w:val="none"/>
        </w:rPr>
      </w:pPr>
    </w:p>
    <w:p w14:paraId="246D5BFA">
      <w:pPr>
        <w:tabs>
          <w:tab w:val="left" w:pos="6300"/>
        </w:tabs>
        <w:snapToGrid w:val="0"/>
        <w:spacing w:line="500" w:lineRule="exact"/>
        <w:ind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（投标人公章）</w:t>
      </w:r>
    </w:p>
    <w:p w14:paraId="2E69AA55">
      <w:pPr>
        <w:tabs>
          <w:tab w:val="left" w:pos="6300"/>
        </w:tabs>
        <w:snapToGrid w:val="0"/>
        <w:spacing w:line="500" w:lineRule="exact"/>
        <w:ind w:firstLine="570"/>
        <w:rPr>
          <w:rFonts w:ascii="宋体" w:hAnsi="宋体" w:cs="宋体"/>
          <w:color w:val="auto"/>
          <w:sz w:val="24"/>
          <w:szCs w:val="24"/>
          <w:highlight w:val="none"/>
        </w:rPr>
      </w:pPr>
    </w:p>
    <w:p w14:paraId="38E9E82F">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BF9C33B">
      <w:pPr>
        <w:tabs>
          <w:tab w:val="left" w:pos="6300"/>
        </w:tabs>
        <w:snapToGrid w:val="0"/>
        <w:spacing w:line="500" w:lineRule="exact"/>
        <w:ind w:firstLine="570"/>
        <w:rPr>
          <w:rFonts w:ascii="宋体" w:hAnsi="宋体" w:cs="宋体"/>
          <w:color w:val="auto"/>
          <w:sz w:val="24"/>
          <w:szCs w:val="24"/>
          <w:highlight w:val="none"/>
        </w:rPr>
      </w:pPr>
    </w:p>
    <w:p w14:paraId="2216B5A3">
      <w:pPr>
        <w:pStyle w:val="19"/>
        <w:rPr>
          <w:rFonts w:ascii="宋体" w:hAnsi="宋体" w:cs="宋体"/>
          <w:color w:val="auto"/>
          <w:sz w:val="24"/>
          <w:szCs w:val="24"/>
          <w:highlight w:val="none"/>
        </w:rPr>
      </w:pPr>
    </w:p>
    <w:p w14:paraId="3DE978AA">
      <w:pPr>
        <w:rPr>
          <w:rFonts w:ascii="宋体" w:hAnsi="宋体" w:cs="宋体"/>
          <w:color w:val="auto"/>
          <w:sz w:val="24"/>
          <w:szCs w:val="24"/>
          <w:highlight w:val="none"/>
        </w:rPr>
      </w:pPr>
    </w:p>
    <w:p w14:paraId="5AA14642">
      <w:pPr>
        <w:pStyle w:val="19"/>
        <w:rPr>
          <w:rFonts w:ascii="宋体" w:hAnsi="宋体"/>
          <w:color w:val="auto"/>
          <w:highlight w:val="none"/>
        </w:rPr>
      </w:pPr>
    </w:p>
    <w:p w14:paraId="07CF2D9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14:paraId="50F90A66">
      <w:pPr>
        <w:tabs>
          <w:tab w:val="left" w:pos="6300"/>
        </w:tabs>
        <w:snapToGrid w:val="0"/>
        <w:spacing w:line="500" w:lineRule="exact"/>
        <w:ind w:firstLine="570"/>
        <w:rPr>
          <w:rFonts w:ascii="宋体" w:hAnsi="宋体" w:cs="宋体"/>
          <w:color w:val="auto"/>
          <w:sz w:val="24"/>
          <w:szCs w:val="24"/>
          <w:highlight w:val="none"/>
        </w:rPr>
      </w:pPr>
    </w:p>
    <w:p w14:paraId="084C4141">
      <w:pPr>
        <w:tabs>
          <w:tab w:val="left" w:pos="6300"/>
        </w:tabs>
        <w:snapToGrid w:val="0"/>
        <w:spacing w:line="500" w:lineRule="exact"/>
        <w:ind w:firstLine="570"/>
        <w:rPr>
          <w:rFonts w:ascii="宋体" w:hAnsi="宋体" w:cs="宋体"/>
          <w:color w:val="auto"/>
          <w:sz w:val="32"/>
          <w:szCs w:val="32"/>
          <w:highlight w:val="none"/>
        </w:rPr>
      </w:pPr>
    </w:p>
    <w:p w14:paraId="5BBDF629">
      <w:pPr>
        <w:tabs>
          <w:tab w:val="left" w:pos="6300"/>
        </w:tabs>
        <w:snapToGrid w:val="0"/>
        <w:spacing w:line="500" w:lineRule="exact"/>
        <w:ind w:firstLine="570"/>
        <w:rPr>
          <w:rFonts w:ascii="宋体" w:hAnsi="宋体" w:cs="宋体"/>
          <w:color w:val="auto"/>
          <w:sz w:val="32"/>
          <w:szCs w:val="32"/>
          <w:highlight w:val="none"/>
        </w:rPr>
      </w:pPr>
    </w:p>
    <w:p w14:paraId="77A8CF7F">
      <w:pPr>
        <w:tabs>
          <w:tab w:val="left" w:pos="6300"/>
        </w:tabs>
        <w:snapToGrid w:val="0"/>
        <w:spacing w:line="500" w:lineRule="exact"/>
        <w:ind w:firstLine="570"/>
        <w:rPr>
          <w:rFonts w:ascii="宋体" w:hAnsi="宋体" w:cs="宋体"/>
          <w:color w:val="auto"/>
          <w:sz w:val="32"/>
          <w:szCs w:val="32"/>
          <w:highlight w:val="none"/>
        </w:rPr>
      </w:pPr>
    </w:p>
    <w:p w14:paraId="4103845C">
      <w:pPr>
        <w:tabs>
          <w:tab w:val="left" w:pos="6300"/>
        </w:tabs>
        <w:snapToGrid w:val="0"/>
        <w:spacing w:line="500" w:lineRule="exact"/>
        <w:ind w:firstLine="570"/>
        <w:rPr>
          <w:rFonts w:ascii="宋体" w:hAnsi="宋体" w:cs="宋体"/>
          <w:color w:val="auto"/>
          <w:sz w:val="32"/>
          <w:szCs w:val="32"/>
          <w:highlight w:val="none"/>
        </w:rPr>
      </w:pPr>
    </w:p>
    <w:p w14:paraId="5FF9AEE1">
      <w:pPr>
        <w:tabs>
          <w:tab w:val="left" w:pos="6300"/>
        </w:tabs>
        <w:snapToGrid w:val="0"/>
        <w:spacing w:line="500" w:lineRule="exact"/>
        <w:ind w:firstLine="570"/>
        <w:rPr>
          <w:rFonts w:ascii="宋体" w:hAnsi="宋体" w:cs="宋体"/>
          <w:color w:val="auto"/>
          <w:sz w:val="32"/>
          <w:szCs w:val="32"/>
          <w:highlight w:val="none"/>
        </w:rPr>
      </w:pPr>
    </w:p>
    <w:p w14:paraId="28CA01CF">
      <w:pPr>
        <w:tabs>
          <w:tab w:val="left" w:pos="6300"/>
        </w:tabs>
        <w:snapToGrid w:val="0"/>
        <w:spacing w:line="500" w:lineRule="exact"/>
        <w:ind w:firstLine="570"/>
        <w:jc w:val="center"/>
        <w:rPr>
          <w:rFonts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14:paraId="36879FC3">
      <w:pPr>
        <w:tabs>
          <w:tab w:val="left" w:pos="6300"/>
        </w:tabs>
        <w:snapToGrid w:val="0"/>
        <w:spacing w:line="500" w:lineRule="exact"/>
        <w:ind w:firstLine="570"/>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14:paraId="47A99ACB">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42DBE872">
      <w:pPr>
        <w:tabs>
          <w:tab w:val="left" w:pos="6300"/>
        </w:tabs>
        <w:snapToGrid w:val="0"/>
        <w:spacing w:line="500" w:lineRule="exact"/>
        <w:ind w:firstLine="570"/>
        <w:rPr>
          <w:rFonts w:ascii="宋体" w:hAnsi="宋体" w:cs="宋体"/>
          <w:color w:val="auto"/>
          <w:sz w:val="24"/>
          <w:szCs w:val="24"/>
          <w:highlight w:val="none"/>
        </w:rPr>
      </w:pPr>
    </w:p>
    <w:p w14:paraId="0A54CA2A">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18187A19">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（被授权人姓名及身份证代码）代表我单位全权办理上述项目的投标、签约等具体工作，并签署全部有关文件、协议及合同。</w:t>
      </w:r>
    </w:p>
    <w:p w14:paraId="15BB1472">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78866BC5">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71032614">
      <w:pPr>
        <w:tabs>
          <w:tab w:val="left" w:pos="6300"/>
        </w:tabs>
        <w:snapToGrid w:val="0"/>
        <w:spacing w:line="500" w:lineRule="exact"/>
        <w:ind w:firstLine="570"/>
        <w:rPr>
          <w:rFonts w:ascii="宋体" w:hAnsi="宋体" w:cs="宋体"/>
          <w:color w:val="auto"/>
          <w:sz w:val="24"/>
          <w:szCs w:val="24"/>
          <w:highlight w:val="none"/>
        </w:rPr>
      </w:pPr>
    </w:p>
    <w:p w14:paraId="1049556F">
      <w:pPr>
        <w:tabs>
          <w:tab w:val="left" w:pos="6300"/>
        </w:tabs>
        <w:snapToGrid w:val="0"/>
        <w:spacing w:line="500" w:lineRule="exact"/>
        <w:ind w:firstLine="570"/>
        <w:rPr>
          <w:rFonts w:ascii="宋体" w:hAnsi="宋体" w:cs="宋体"/>
          <w:color w:val="auto"/>
          <w:sz w:val="24"/>
          <w:szCs w:val="24"/>
          <w:highlight w:val="none"/>
        </w:rPr>
      </w:pPr>
    </w:p>
    <w:p w14:paraId="08077D4F">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投标人法定代表人：</w:t>
      </w:r>
    </w:p>
    <w:p w14:paraId="01D8F551">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2604792D">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6743FA03">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E1ECF55">
      <w:pPr>
        <w:tabs>
          <w:tab w:val="left" w:pos="6300"/>
        </w:tabs>
        <w:snapToGrid w:val="0"/>
        <w:spacing w:line="500" w:lineRule="exact"/>
        <w:ind w:firstLine="570"/>
        <w:rPr>
          <w:rFonts w:ascii="宋体" w:hAnsi="宋体" w:cs="宋体"/>
          <w:color w:val="auto"/>
          <w:sz w:val="24"/>
          <w:szCs w:val="24"/>
          <w:highlight w:val="none"/>
        </w:rPr>
      </w:pPr>
    </w:p>
    <w:p w14:paraId="49D80F2D">
      <w:pPr>
        <w:tabs>
          <w:tab w:val="left" w:pos="6300"/>
        </w:tabs>
        <w:snapToGrid w:val="0"/>
        <w:spacing w:line="500" w:lineRule="exact"/>
        <w:ind w:firstLine="570"/>
        <w:rPr>
          <w:rFonts w:ascii="宋体" w:hAnsi="宋体" w:cs="宋体"/>
          <w:color w:val="auto"/>
          <w:sz w:val="24"/>
          <w:szCs w:val="24"/>
          <w:highlight w:val="none"/>
        </w:rPr>
      </w:pPr>
    </w:p>
    <w:p w14:paraId="519F77DB">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14:paraId="62CB5656">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197DD6E">
      <w:pPr>
        <w:tabs>
          <w:tab w:val="left" w:pos="6300"/>
        </w:tabs>
        <w:snapToGrid w:val="0"/>
        <w:spacing w:line="500" w:lineRule="exact"/>
        <w:ind w:firstLine="570"/>
        <w:rPr>
          <w:rFonts w:ascii="宋体" w:hAnsi="宋体" w:cs="宋体"/>
          <w:color w:val="auto"/>
          <w:sz w:val="24"/>
          <w:szCs w:val="24"/>
          <w:highlight w:val="none"/>
        </w:rPr>
      </w:pPr>
    </w:p>
    <w:p w14:paraId="2DA68A0F">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120C4F41">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D2D7766">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2A1712B9">
      <w:pPr>
        <w:tabs>
          <w:tab w:val="left" w:pos="6300"/>
        </w:tabs>
        <w:snapToGrid w:val="0"/>
        <w:spacing w:line="500" w:lineRule="exact"/>
        <w:ind w:firstLine="570"/>
        <w:jc w:val="center"/>
        <w:rPr>
          <w:rFonts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3E5DC966">
      <w:pPr>
        <w:tabs>
          <w:tab w:val="left" w:pos="6300"/>
        </w:tabs>
        <w:snapToGrid w:val="0"/>
        <w:spacing w:line="530" w:lineRule="exact"/>
        <w:rPr>
          <w:rFonts w:ascii="宋体" w:hAnsi="宋体" w:cs="宋体"/>
          <w:color w:val="auto"/>
          <w:sz w:val="24"/>
          <w:szCs w:val="24"/>
          <w:highlight w:val="none"/>
        </w:rPr>
      </w:pPr>
    </w:p>
    <w:p w14:paraId="32C6FAD6">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590C4872">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（投标人名称）郑重承诺：</w:t>
      </w:r>
    </w:p>
    <w:p w14:paraId="6B1178AE">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50E27D97">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2.我方未列入在信用中国网站（www.creditchina.gov.cn）“失信被执行人”、“重大税收违法失信主体”中，也未列入中国政府采购网（www.ccgp.gov.cn）“政府采购严重违法失信行为记录名单”中。</w:t>
      </w:r>
    </w:p>
    <w:p w14:paraId="12A16D2F">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3.我方在采购项目评审（评标）环节结束后，随时接受招标人、招标代理机构的检查验证，配合提供相关证明材料，证明符合《中华人民共和国政府采购法》规定的投标人基本资格条件。</w:t>
      </w:r>
    </w:p>
    <w:p w14:paraId="7BC5DD04">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1AAB0591">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4C03FDBF">
      <w:pPr>
        <w:tabs>
          <w:tab w:val="left" w:pos="6300"/>
        </w:tabs>
        <w:snapToGrid w:val="0"/>
        <w:spacing w:line="530" w:lineRule="exact"/>
        <w:rPr>
          <w:rFonts w:ascii="宋体" w:hAnsi="宋体" w:cs="宋体"/>
          <w:color w:val="auto"/>
          <w:sz w:val="24"/>
          <w:szCs w:val="24"/>
          <w:highlight w:val="none"/>
        </w:rPr>
      </w:pPr>
    </w:p>
    <w:p w14:paraId="33F38871">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14:paraId="3C6EF4CA">
      <w:pPr>
        <w:pStyle w:val="2"/>
        <w:jc w:val="right"/>
        <w:rPr>
          <w:rFonts w:eastAsia="宋体" w:cs="宋体"/>
          <w:color w:val="auto"/>
          <w:szCs w:val="24"/>
          <w:highlight w:val="none"/>
        </w:rPr>
      </w:pPr>
    </w:p>
    <w:p w14:paraId="62C95570">
      <w:pPr>
        <w:pStyle w:val="2"/>
        <w:jc w:val="center"/>
        <w:rPr>
          <w:rFonts w:eastAsia="宋体" w:cs="宋体"/>
          <w:color w:val="auto"/>
          <w:sz w:val="32"/>
          <w:szCs w:val="32"/>
          <w:highlight w:val="none"/>
        </w:rPr>
      </w:pPr>
      <w:r>
        <w:rPr>
          <w:rFonts w:hint="eastAsia" w:eastAsia="宋体" w:cs="宋体"/>
          <w:color w:val="auto"/>
          <w:szCs w:val="24"/>
          <w:highlight w:val="none"/>
        </w:rPr>
        <w:t xml:space="preserve">                                                       年   月   日</w:t>
      </w:r>
    </w:p>
    <w:p w14:paraId="6226B635">
      <w:pPr>
        <w:pStyle w:val="2"/>
        <w:rPr>
          <w:rFonts w:eastAsia="宋体" w:cs="宋体"/>
          <w:color w:val="auto"/>
          <w:sz w:val="32"/>
          <w:szCs w:val="32"/>
          <w:highlight w:val="none"/>
        </w:rPr>
      </w:pPr>
    </w:p>
    <w:p w14:paraId="0B1F7109">
      <w:pPr>
        <w:pStyle w:val="2"/>
        <w:rPr>
          <w:rFonts w:eastAsia="宋体" w:cs="宋体"/>
          <w:color w:val="auto"/>
          <w:sz w:val="32"/>
          <w:szCs w:val="32"/>
          <w:highlight w:val="none"/>
        </w:rPr>
      </w:pPr>
    </w:p>
    <w:p w14:paraId="5199916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249F03E">
      <w:pPr>
        <w:rPr>
          <w:rFonts w:ascii="宋体" w:hAnsi="宋体" w:cs="宋体"/>
          <w:color w:val="auto"/>
          <w:szCs w:val="28"/>
          <w:highlight w:val="none"/>
        </w:rPr>
      </w:pPr>
      <w:bookmarkStart w:id="201" w:name="_Toc12008"/>
      <w:r>
        <w:rPr>
          <w:rFonts w:hint="eastAsia" w:ascii="宋体" w:hAnsi="宋体" w:cs="宋体"/>
          <w:color w:val="auto"/>
          <w:sz w:val="24"/>
          <w:szCs w:val="24"/>
          <w:highlight w:val="none"/>
        </w:rPr>
        <w:t>（五）特定资格条件证书或证明文件（如果有）</w:t>
      </w:r>
      <w:r>
        <w:rPr>
          <w:rFonts w:hint="eastAsia" w:ascii="宋体" w:hAnsi="宋体" w:cs="宋体"/>
          <w:color w:val="auto"/>
          <w:szCs w:val="28"/>
          <w:highlight w:val="none"/>
        </w:rPr>
        <w:br w:type="page"/>
      </w:r>
    </w:p>
    <w:p w14:paraId="401E6B04">
      <w:pPr>
        <w:pStyle w:val="5"/>
        <w:spacing w:before="0" w:after="0" w:line="360" w:lineRule="auto"/>
        <w:rPr>
          <w:rFonts w:ascii="宋体" w:hAnsi="宋体" w:cs="宋体"/>
          <w:color w:val="auto"/>
          <w:sz w:val="28"/>
          <w:szCs w:val="28"/>
          <w:highlight w:val="none"/>
        </w:rPr>
      </w:pPr>
      <w:r>
        <w:rPr>
          <w:rFonts w:hint="eastAsia" w:ascii="宋体" w:hAnsi="宋体" w:cs="宋体"/>
          <w:color w:val="auto"/>
          <w:sz w:val="28"/>
          <w:szCs w:val="28"/>
          <w:highlight w:val="none"/>
        </w:rPr>
        <w:t>五、其他应提供的资料</w:t>
      </w:r>
      <w:bookmarkEnd w:id="201"/>
    </w:p>
    <w:p w14:paraId="772DB412">
      <w:pPr>
        <w:spacing w:line="360" w:lineRule="auto"/>
        <w:ind w:firstLine="640" w:firstLineChars="200"/>
        <w:jc w:val="center"/>
        <w:rPr>
          <w:rFonts w:ascii="宋体" w:hAnsi="宋体" w:cs="宋体"/>
          <w:color w:val="auto"/>
          <w:sz w:val="32"/>
          <w:szCs w:val="32"/>
          <w:highlight w:val="none"/>
        </w:rPr>
      </w:pPr>
    </w:p>
    <w:p w14:paraId="6B76B0D6">
      <w:pPr>
        <w:ind w:firstLine="539"/>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14:paraId="45DCAE36">
      <w:pPr>
        <w:pStyle w:val="2"/>
        <w:ind w:firstLine="0"/>
        <w:rPr>
          <w:color w:val="auto"/>
          <w:highlight w:val="none"/>
        </w:rPr>
      </w:pPr>
    </w:p>
    <w:p w14:paraId="4E99314E">
      <w:pPr>
        <w:rPr>
          <w:color w:val="auto"/>
          <w:highlight w:val="none"/>
        </w:rPr>
      </w:pPr>
    </w:p>
    <w:p w14:paraId="6AC6C2E0">
      <w:pPr>
        <w:pStyle w:val="2"/>
        <w:rPr>
          <w:color w:val="auto"/>
          <w:highlight w:val="none"/>
        </w:rPr>
      </w:pPr>
    </w:p>
    <w:p w14:paraId="6E0D02D2">
      <w:pPr>
        <w:jc w:val="center"/>
        <w:rPr>
          <w:color w:val="auto"/>
          <w:highlight w:val="none"/>
        </w:rPr>
      </w:pPr>
    </w:p>
    <w:p w14:paraId="03D586B2">
      <w:pPr>
        <w:jc w:val="center"/>
        <w:rPr>
          <w:color w:val="auto"/>
          <w:highlight w:val="none"/>
        </w:rPr>
      </w:pPr>
    </w:p>
    <w:p w14:paraId="169B5BBB">
      <w:pPr>
        <w:jc w:val="center"/>
        <w:rPr>
          <w:color w:val="auto"/>
          <w:highlight w:val="none"/>
        </w:rPr>
      </w:pPr>
    </w:p>
    <w:p w14:paraId="1C4491EB">
      <w:pPr>
        <w:jc w:val="center"/>
        <w:rPr>
          <w:color w:val="auto"/>
          <w:highlight w:val="none"/>
        </w:rPr>
      </w:pPr>
    </w:p>
    <w:p w14:paraId="5996BB28">
      <w:pPr>
        <w:jc w:val="center"/>
        <w:rPr>
          <w:color w:val="auto"/>
          <w:highlight w:val="none"/>
        </w:rPr>
      </w:pPr>
    </w:p>
    <w:p w14:paraId="621709BC">
      <w:pPr>
        <w:jc w:val="center"/>
        <w:rPr>
          <w:color w:val="auto"/>
          <w:highlight w:val="none"/>
        </w:rPr>
      </w:pPr>
    </w:p>
    <w:p w14:paraId="2FBE2133">
      <w:pPr>
        <w:jc w:val="center"/>
        <w:rPr>
          <w:color w:val="auto"/>
          <w:highlight w:val="none"/>
        </w:rPr>
      </w:pPr>
    </w:p>
    <w:p w14:paraId="637BA913">
      <w:pPr>
        <w:jc w:val="center"/>
        <w:rPr>
          <w:color w:val="auto"/>
          <w:highlight w:val="none"/>
        </w:rPr>
      </w:pPr>
    </w:p>
    <w:p w14:paraId="38A62EA9">
      <w:pPr>
        <w:jc w:val="center"/>
        <w:rPr>
          <w:color w:val="auto"/>
          <w:highlight w:val="none"/>
        </w:rPr>
      </w:pPr>
    </w:p>
    <w:p w14:paraId="5537191C">
      <w:pPr>
        <w:jc w:val="center"/>
        <w:rPr>
          <w:color w:val="auto"/>
          <w:highlight w:val="none"/>
        </w:rPr>
      </w:pPr>
    </w:p>
    <w:p w14:paraId="41755ED6">
      <w:pPr>
        <w:jc w:val="center"/>
        <w:rPr>
          <w:color w:val="auto"/>
          <w:highlight w:val="none"/>
        </w:rPr>
      </w:pPr>
    </w:p>
    <w:p w14:paraId="0D2C2058">
      <w:pPr>
        <w:jc w:val="center"/>
        <w:rPr>
          <w:color w:val="auto"/>
          <w:highlight w:val="none"/>
        </w:rPr>
      </w:pPr>
    </w:p>
    <w:p w14:paraId="29AEBC1C">
      <w:pPr>
        <w:jc w:val="center"/>
        <w:rPr>
          <w:color w:val="auto"/>
          <w:highlight w:val="none"/>
        </w:rPr>
      </w:pPr>
    </w:p>
    <w:p w14:paraId="6E1BAE32">
      <w:pPr>
        <w:jc w:val="center"/>
        <w:rPr>
          <w:color w:val="auto"/>
          <w:highlight w:val="none"/>
        </w:rPr>
      </w:pPr>
    </w:p>
    <w:p w14:paraId="76C50E00">
      <w:pPr>
        <w:jc w:val="center"/>
        <w:rPr>
          <w:color w:val="auto"/>
          <w:highlight w:val="none"/>
        </w:rPr>
      </w:pPr>
    </w:p>
    <w:p w14:paraId="66CF34C1">
      <w:pPr>
        <w:jc w:val="center"/>
        <w:rPr>
          <w:color w:val="auto"/>
          <w:highlight w:val="none"/>
        </w:rPr>
      </w:pPr>
    </w:p>
    <w:p w14:paraId="24E908CC">
      <w:pPr>
        <w:jc w:val="center"/>
        <w:rPr>
          <w:color w:val="auto"/>
          <w:highlight w:val="none"/>
        </w:rPr>
      </w:pPr>
    </w:p>
    <w:p w14:paraId="16F54EBB">
      <w:pPr>
        <w:jc w:val="center"/>
        <w:rPr>
          <w:color w:val="auto"/>
          <w:highlight w:val="none"/>
        </w:rPr>
      </w:pPr>
    </w:p>
    <w:p w14:paraId="3602022D">
      <w:pPr>
        <w:jc w:val="center"/>
        <w:rPr>
          <w:color w:val="auto"/>
          <w:highlight w:val="none"/>
        </w:rPr>
      </w:pPr>
    </w:p>
    <w:p w14:paraId="53A1A224">
      <w:pPr>
        <w:jc w:val="center"/>
        <w:rPr>
          <w:color w:val="auto"/>
          <w:highlight w:val="none"/>
        </w:rPr>
      </w:pPr>
    </w:p>
    <w:p w14:paraId="4EE75D0A">
      <w:pPr>
        <w:jc w:val="center"/>
        <w:rPr>
          <w:color w:val="auto"/>
          <w:highlight w:val="none"/>
        </w:rPr>
      </w:pPr>
    </w:p>
    <w:p w14:paraId="375FFEA3">
      <w:pPr>
        <w:jc w:val="center"/>
        <w:rPr>
          <w:color w:val="auto"/>
          <w:highlight w:val="none"/>
        </w:rPr>
      </w:pPr>
    </w:p>
    <w:p w14:paraId="2FA39082">
      <w:pPr>
        <w:jc w:val="center"/>
        <w:rPr>
          <w:rFonts w:ascii="宋体" w:hAnsi="宋体" w:cs="宋体"/>
          <w:color w:val="auto"/>
          <w:sz w:val="36"/>
          <w:szCs w:val="22"/>
          <w:highlight w:val="none"/>
        </w:rPr>
      </w:pPr>
      <w:r>
        <w:rPr>
          <w:rFonts w:hint="eastAsia"/>
          <w:color w:val="auto"/>
          <w:highlight w:val="none"/>
        </w:rPr>
        <w:t>（结束）</w:t>
      </w:r>
    </w:p>
    <w:sectPr>
      <w:headerReference r:id="rId16" w:type="default"/>
      <w:footerReference r:id="rId1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936A">
    <w:pPr>
      <w:pStyle w:val="17"/>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ADF2">
    <w:pPr>
      <w:pStyle w:val="17"/>
      <w:framePr w:wrap="around" w:vAnchor="text" w:hAnchor="margin" w:xAlign="center" w:yAlign="top"/>
      <w:tabs>
        <w:tab w:val="center" w:pos="4153"/>
        <w:tab w:val="right" w:pos="8306"/>
        <w:tab w:val="clear" w:pos="4140"/>
        <w:tab w:val="clear" w:pos="8300"/>
      </w:tabs>
      <w:rPr>
        <w:rStyle w:val="27"/>
      </w:rPr>
    </w:pPr>
    <w:r>
      <w:fldChar w:fldCharType="begin"/>
    </w:r>
    <w:r>
      <w:rPr>
        <w:rStyle w:val="27"/>
      </w:rPr>
      <w:instrText xml:space="preserve">PAGE  </w:instrText>
    </w:r>
    <w:r>
      <w:fldChar w:fldCharType="end"/>
    </w:r>
  </w:p>
  <w:p w14:paraId="1C2A105B">
    <w:pPr>
      <w:pStyle w:val="17"/>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1B3D">
    <w:pPr>
      <w:pStyle w:val="17"/>
      <w:tabs>
        <w:tab w:val="center" w:pos="4153"/>
        <w:tab w:val="right" w:pos="8306"/>
        <w:tab w:val="clear" w:pos="4140"/>
        <w:tab w:val="clear" w:pos="8300"/>
      </w:tabs>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ABDA">
    <w:pPr>
      <w:pStyle w:val="17"/>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566E">
    <w:pPr>
      <w:pStyle w:val="17"/>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99EF6">
                          <w:pPr>
                            <w:pStyle w:val="17"/>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28099EF6">
                    <w:pPr>
                      <w:pStyle w:val="17"/>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4468">
    <w:pPr>
      <w:pStyle w:val="17"/>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BDDDB">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3DBDDDB">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3F8F">
    <w:pPr>
      <w:pStyle w:val="17"/>
      <w:tabs>
        <w:tab w:val="center" w:pos="4153"/>
        <w:tab w:val="right" w:pos="8306"/>
        <w:tab w:val="clear" w:pos="4140"/>
        <w:tab w:val="clear" w:pos="8300"/>
      </w:tabs>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D5E40">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D3D5E40">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41FD">
    <w:pPr>
      <w:pStyle w:val="17"/>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02BCB">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D02BCB">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4DEA">
    <w:pPr>
      <w:pStyle w:val="18"/>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2322">
    <w:pPr>
      <w:pStyle w:val="18"/>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2FFF">
    <w:pPr>
      <w:pStyle w:val="18"/>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0E30AA89">
    <w:pPr>
      <w:pStyle w:val="18"/>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2204">
    <w:pPr>
      <w:pStyle w:val="18"/>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25C5">
    <w:pPr>
      <w:pStyle w:val="18"/>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612B2">
    <w:pPr>
      <w:pStyle w:val="18"/>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6258">
    <w:pPr>
      <w:pStyle w:val="18"/>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abstractNum w:abstractNumId="1">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WEyMDNmOWU0NjUwMDY1MzdjNTZlMTA0ZTA0ZjAifQ=="/>
  </w:docVars>
  <w:rsids>
    <w:rsidRoot w:val="7C270787"/>
    <w:rsid w:val="000E5BF5"/>
    <w:rsid w:val="001D49DB"/>
    <w:rsid w:val="00251EBA"/>
    <w:rsid w:val="00315103"/>
    <w:rsid w:val="003469B1"/>
    <w:rsid w:val="00417CA3"/>
    <w:rsid w:val="00426D89"/>
    <w:rsid w:val="004616D7"/>
    <w:rsid w:val="00497EBF"/>
    <w:rsid w:val="004B7E5C"/>
    <w:rsid w:val="00512A32"/>
    <w:rsid w:val="005E5A57"/>
    <w:rsid w:val="006461A2"/>
    <w:rsid w:val="0066728C"/>
    <w:rsid w:val="00683AD8"/>
    <w:rsid w:val="00691A27"/>
    <w:rsid w:val="0069496C"/>
    <w:rsid w:val="006F7819"/>
    <w:rsid w:val="00721D9A"/>
    <w:rsid w:val="007B752A"/>
    <w:rsid w:val="007D208B"/>
    <w:rsid w:val="00820767"/>
    <w:rsid w:val="00827548"/>
    <w:rsid w:val="00846C27"/>
    <w:rsid w:val="008A4493"/>
    <w:rsid w:val="0096711D"/>
    <w:rsid w:val="00975A7E"/>
    <w:rsid w:val="009B2126"/>
    <w:rsid w:val="009D4BE2"/>
    <w:rsid w:val="00A36C21"/>
    <w:rsid w:val="00A64BF0"/>
    <w:rsid w:val="00A72464"/>
    <w:rsid w:val="00A77D5E"/>
    <w:rsid w:val="00AB0D3B"/>
    <w:rsid w:val="00AB21F2"/>
    <w:rsid w:val="00B02C72"/>
    <w:rsid w:val="00B3336B"/>
    <w:rsid w:val="00B61EBD"/>
    <w:rsid w:val="00BF2AF3"/>
    <w:rsid w:val="00CC7C4B"/>
    <w:rsid w:val="00D126F0"/>
    <w:rsid w:val="00D1656C"/>
    <w:rsid w:val="00D97652"/>
    <w:rsid w:val="00E962CD"/>
    <w:rsid w:val="00FB3B89"/>
    <w:rsid w:val="00FD5A15"/>
    <w:rsid w:val="01093658"/>
    <w:rsid w:val="0123615B"/>
    <w:rsid w:val="017D0B70"/>
    <w:rsid w:val="025355CB"/>
    <w:rsid w:val="034A0E4B"/>
    <w:rsid w:val="03D53359"/>
    <w:rsid w:val="046C4114"/>
    <w:rsid w:val="057407DA"/>
    <w:rsid w:val="074A1902"/>
    <w:rsid w:val="091A12E3"/>
    <w:rsid w:val="0AE027F4"/>
    <w:rsid w:val="0AEE3090"/>
    <w:rsid w:val="0BB73761"/>
    <w:rsid w:val="0C9341B4"/>
    <w:rsid w:val="0CA175D8"/>
    <w:rsid w:val="0FAE7D89"/>
    <w:rsid w:val="12475522"/>
    <w:rsid w:val="14885C9A"/>
    <w:rsid w:val="155142DE"/>
    <w:rsid w:val="15E51CAB"/>
    <w:rsid w:val="16070C25"/>
    <w:rsid w:val="172A3039"/>
    <w:rsid w:val="183759B6"/>
    <w:rsid w:val="1849101F"/>
    <w:rsid w:val="19335911"/>
    <w:rsid w:val="19B96255"/>
    <w:rsid w:val="1C600287"/>
    <w:rsid w:val="1D7F49E4"/>
    <w:rsid w:val="1E302225"/>
    <w:rsid w:val="1E426EBA"/>
    <w:rsid w:val="1F666789"/>
    <w:rsid w:val="20654120"/>
    <w:rsid w:val="2226297A"/>
    <w:rsid w:val="24D871B2"/>
    <w:rsid w:val="251E1983"/>
    <w:rsid w:val="27093453"/>
    <w:rsid w:val="291E18BF"/>
    <w:rsid w:val="2ABD04A9"/>
    <w:rsid w:val="2C2D676D"/>
    <w:rsid w:val="2C38225D"/>
    <w:rsid w:val="2CE66878"/>
    <w:rsid w:val="2EA94D33"/>
    <w:rsid w:val="31B44D18"/>
    <w:rsid w:val="36803668"/>
    <w:rsid w:val="384B29B7"/>
    <w:rsid w:val="391123F0"/>
    <w:rsid w:val="39E06EC6"/>
    <w:rsid w:val="3A72624F"/>
    <w:rsid w:val="3C67792D"/>
    <w:rsid w:val="3C891294"/>
    <w:rsid w:val="3CB74ABF"/>
    <w:rsid w:val="3FAD044A"/>
    <w:rsid w:val="40FE2CBD"/>
    <w:rsid w:val="41982859"/>
    <w:rsid w:val="482B25AB"/>
    <w:rsid w:val="4CFE114E"/>
    <w:rsid w:val="4FBC446F"/>
    <w:rsid w:val="50351759"/>
    <w:rsid w:val="518C0E41"/>
    <w:rsid w:val="51F3451D"/>
    <w:rsid w:val="53FC139F"/>
    <w:rsid w:val="546F5165"/>
    <w:rsid w:val="54D961C1"/>
    <w:rsid w:val="55430AA5"/>
    <w:rsid w:val="5603579C"/>
    <w:rsid w:val="592C0886"/>
    <w:rsid w:val="5C5978A0"/>
    <w:rsid w:val="60844B35"/>
    <w:rsid w:val="608E02A7"/>
    <w:rsid w:val="60CB6489"/>
    <w:rsid w:val="60D1764E"/>
    <w:rsid w:val="62CA6F20"/>
    <w:rsid w:val="6A2C4F62"/>
    <w:rsid w:val="6BA546C2"/>
    <w:rsid w:val="6DF56452"/>
    <w:rsid w:val="6E3C607C"/>
    <w:rsid w:val="6F873F7E"/>
    <w:rsid w:val="6FF375E1"/>
    <w:rsid w:val="721F139F"/>
    <w:rsid w:val="728124EA"/>
    <w:rsid w:val="73E10D40"/>
    <w:rsid w:val="73E86D31"/>
    <w:rsid w:val="75B2773F"/>
    <w:rsid w:val="75C7149C"/>
    <w:rsid w:val="75F23D5C"/>
    <w:rsid w:val="76523F0C"/>
    <w:rsid w:val="78152011"/>
    <w:rsid w:val="78B00E0E"/>
    <w:rsid w:val="7AF1471D"/>
    <w:rsid w:val="7B4119B6"/>
    <w:rsid w:val="7C270787"/>
    <w:rsid w:val="7CCA1120"/>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Document Map"/>
    <w:basedOn w:val="1"/>
    <w:next w:val="1"/>
    <w:qFormat/>
    <w:uiPriority w:val="0"/>
    <w:pPr>
      <w:shd w:val="clear" w:color="auto" w:fill="000080"/>
    </w:pPr>
  </w:style>
  <w:style w:type="paragraph" w:styleId="9">
    <w:name w:val="annotation text"/>
    <w:basedOn w:val="1"/>
    <w:link w:val="35"/>
    <w:qFormat/>
    <w:uiPriority w:val="0"/>
    <w:pPr>
      <w:jc w:val="left"/>
    </w:pPr>
  </w:style>
  <w:style w:type="paragraph" w:styleId="10">
    <w:name w:val="Body Text Indent"/>
    <w:basedOn w:val="1"/>
    <w:next w:val="11"/>
    <w:qFormat/>
    <w:uiPriority w:val="0"/>
    <w:pPr>
      <w:spacing w:line="700" w:lineRule="exact"/>
      <w:ind w:left="960"/>
    </w:pPr>
    <w:rPr>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39"/>
    <w:pPr>
      <w:ind w:left="840" w:leftChars="400"/>
    </w:pPr>
  </w:style>
  <w:style w:type="paragraph" w:styleId="13">
    <w:name w:val="Plain Text"/>
    <w:basedOn w:val="1"/>
    <w:next w:val="8"/>
    <w:qFormat/>
    <w:uiPriority w:val="0"/>
    <w:rPr>
      <w:rFonts w:ascii="宋体" w:hAnsi="Courier New"/>
      <w:sz w:val="21"/>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Balloon Text"/>
    <w:basedOn w:val="1"/>
    <w:qFormat/>
    <w:uiPriority w:val="0"/>
    <w:rPr>
      <w:sz w:val="18"/>
    </w:rPr>
  </w:style>
  <w:style w:type="paragraph" w:styleId="17">
    <w:name w:val="footer"/>
    <w:basedOn w:val="1"/>
    <w:qFormat/>
    <w:uiPriority w:val="99"/>
    <w:pPr>
      <w:tabs>
        <w:tab w:val="center" w:pos="4140"/>
        <w:tab w:val="right" w:pos="8300"/>
      </w:tabs>
      <w:snapToGrid w:val="0"/>
      <w:jc w:val="left"/>
    </w:pPr>
    <w:rPr>
      <w:sz w:val="18"/>
    </w:rPr>
  </w:style>
  <w:style w:type="paragraph" w:styleId="18">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9">
    <w:name w:val="toc 1"/>
    <w:basedOn w:val="1"/>
    <w:next w:val="1"/>
    <w:qFormat/>
    <w:uiPriority w:val="39"/>
    <w:pPr>
      <w:spacing w:line="180" w:lineRule="auto"/>
      <w:jc w:val="center"/>
    </w:pPr>
    <w:rPr>
      <w:sz w:val="30"/>
    </w:rPr>
  </w:style>
  <w:style w:type="paragraph" w:styleId="20">
    <w:name w:val="index 7"/>
    <w:basedOn w:val="1"/>
    <w:next w:val="1"/>
    <w:qFormat/>
    <w:uiPriority w:val="0"/>
    <w:pPr>
      <w:ind w:left="2520"/>
    </w:pPr>
  </w:style>
  <w:style w:type="paragraph" w:styleId="21">
    <w:name w:val="toc 2"/>
    <w:basedOn w:val="1"/>
    <w:next w:val="1"/>
    <w:qFormat/>
    <w:uiPriority w:val="39"/>
    <w:pPr>
      <w:ind w:left="420" w:leftChars="200"/>
    </w:pPr>
  </w:style>
  <w:style w:type="paragraph" w:styleId="22">
    <w:name w:val="Body Text 2"/>
    <w:basedOn w:val="1"/>
    <w:qFormat/>
    <w:uiPriority w:val="0"/>
    <w:pPr>
      <w:adjustRightInd w:val="0"/>
      <w:snapToGrid w:val="0"/>
      <w:spacing w:after="120" w:line="480" w:lineRule="auto"/>
    </w:pPr>
    <w:rPr>
      <w:sz w:val="24"/>
    </w:rPr>
  </w:style>
  <w:style w:type="paragraph" w:styleId="23">
    <w:name w:val="annotation subject"/>
    <w:basedOn w:val="9"/>
    <w:next w:val="9"/>
    <w:link w:val="36"/>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rFonts w:ascii="Times New Roman" w:hAnsi="Times New Roman" w:eastAsia="宋体" w:cs="Times New Roman"/>
      <w:color w:val="0000FF"/>
      <w:u w:val="single"/>
    </w:rPr>
  </w:style>
  <w:style w:type="character" w:styleId="29">
    <w:name w:val="annotation reference"/>
    <w:basedOn w:val="26"/>
    <w:qFormat/>
    <w:uiPriority w:val="0"/>
    <w:rPr>
      <w:sz w:val="21"/>
      <w:szCs w:val="21"/>
    </w:rPr>
  </w:style>
  <w:style w:type="paragraph" w:customStyle="1" w:styleId="30">
    <w:name w:val="标准正文"/>
    <w:basedOn w:val="10"/>
    <w:qFormat/>
    <w:uiPriority w:val="0"/>
    <w:pPr>
      <w:spacing w:before="60" w:after="60" w:line="360" w:lineRule="auto"/>
      <w:ind w:left="0" w:firstLine="482"/>
    </w:pPr>
    <w:rPr>
      <w:rFonts w:ascii="Arial" w:hAnsi="Arial"/>
      <w:sz w:val="24"/>
    </w:rPr>
  </w:style>
  <w:style w:type="paragraph" w:customStyle="1" w:styleId="31">
    <w:name w:val="样式 正文首行缩进 + 首行缩进:  2 字符1 Char Char"/>
    <w:basedOn w:val="2"/>
    <w:qFormat/>
    <w:uiPriority w:val="0"/>
    <w:pPr>
      <w:adjustRightInd w:val="0"/>
      <w:spacing w:line="400" w:lineRule="exact"/>
      <w:ind w:firstLine="480" w:firstLineChars="200"/>
      <w:textAlignment w:val="baseline"/>
    </w:pPr>
    <w:rPr>
      <w:rFonts w:cs="宋体"/>
      <w:color w:val="000000"/>
      <w:szCs w:val="24"/>
    </w:rPr>
  </w:style>
  <w:style w:type="paragraph" w:customStyle="1" w:styleId="3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图例"/>
    <w:basedOn w:val="1"/>
    <w:qFormat/>
    <w:uiPriority w:val="0"/>
    <w:pPr>
      <w:spacing w:before="120" w:after="120" w:line="360" w:lineRule="auto"/>
      <w:jc w:val="center"/>
    </w:pPr>
    <w:rPr>
      <w:rFonts w:eastAsia="仿宋_GB2312"/>
      <w:b/>
      <w:sz w:val="24"/>
    </w:rPr>
  </w:style>
  <w:style w:type="paragraph" w:customStyle="1" w:styleId="34">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character" w:customStyle="1" w:styleId="35">
    <w:name w:val="批注文字 Char"/>
    <w:basedOn w:val="26"/>
    <w:link w:val="9"/>
    <w:qFormat/>
    <w:uiPriority w:val="0"/>
    <w:rPr>
      <w:kern w:val="2"/>
      <w:sz w:val="28"/>
    </w:rPr>
  </w:style>
  <w:style w:type="character" w:customStyle="1" w:styleId="36">
    <w:name w:val="批注主题 Char"/>
    <w:basedOn w:val="35"/>
    <w:link w:val="23"/>
    <w:qFormat/>
    <w:uiPriority w:val="0"/>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12319</Words>
  <Characters>13371</Characters>
  <Lines>236</Lines>
  <Paragraphs>66</Paragraphs>
  <TotalTime>2</TotalTime>
  <ScaleCrop>false</ScaleCrop>
  <LinksUpToDate>false</LinksUpToDate>
  <CharactersWithSpaces>13466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2025-06-25T06:03:00Z</dcterms:created>
  <dc:creator>ZB</dc:creator>
  <cp:lastModifiedBy>杨童</cp:lastModifiedBy>
  <dcterms:modified xsi:type="dcterms:W3CDTF">2025-06-27T10:49:30Z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0D4A0988A5214418BCFF29E3F5445115_13</vt:lpwstr>
  </property>
  <property fmtid="{D5CDD505-2E9C-101B-9397-08002B2CF9AE}" pid="4" name="KSOTemplateDocerSaveRecord">
    <vt:lpwstr>eyJoZGlkIjoiMGFlYzJhMjQyMjZlM2RjYTYwZWUxMWI5M2U2MDVhMWIifQ==</vt:lpwstr>
  </property>
</Properties>
</file>