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B950">
      <w:pPr>
        <w:pStyle w:val="43"/>
        <w:spacing w:line="240" w:lineRule="auto"/>
        <w:ind w:firstLine="0"/>
        <w:rPr>
          <w:rStyle w:val="25"/>
          <w:rFonts w:hint="default" w:ascii="宋体" w:hAnsi="宋体" w:eastAsia="宋体" w:cs="宋体"/>
          <w:b w:val="0"/>
          <w:color w:val="auto"/>
          <w:sz w:val="48"/>
          <w:szCs w:val="48"/>
          <w:highlight w:val="none"/>
          <w:lang w:val="en-US"/>
        </w:rPr>
      </w:pPr>
      <w:r>
        <w:rPr>
          <w:rFonts w:hint="eastAsia" w:ascii="宋体" w:hAnsi="宋体" w:eastAsia="宋体" w:cs="宋体"/>
          <w:b/>
          <w:color w:val="auto"/>
          <w:kern w:val="0"/>
          <w:sz w:val="36"/>
          <w:szCs w:val="36"/>
          <w:highlight w:val="none"/>
          <w:lang w:val="en-US" w:eastAsia="zh-CN" w:bidi="ar-SA"/>
        </w:rPr>
        <w:t>合川区合阳城街道五显村小微湿地工程</w:t>
      </w:r>
    </w:p>
    <w:p w14:paraId="7AE8B5D5">
      <w:pPr>
        <w:pStyle w:val="43"/>
        <w:spacing w:line="240" w:lineRule="auto"/>
        <w:ind w:firstLine="0"/>
        <w:jc w:val="both"/>
        <w:rPr>
          <w:rStyle w:val="25"/>
          <w:rFonts w:hint="eastAsia" w:ascii="宋体" w:hAnsi="宋体" w:eastAsia="宋体" w:cs="宋体"/>
          <w:b w:val="0"/>
          <w:color w:val="auto"/>
          <w:sz w:val="48"/>
          <w:szCs w:val="48"/>
          <w:highlight w:val="none"/>
        </w:rPr>
      </w:pPr>
    </w:p>
    <w:p w14:paraId="0EFF7048">
      <w:pPr>
        <w:pStyle w:val="43"/>
        <w:spacing w:line="240" w:lineRule="auto"/>
        <w:ind w:firstLine="0"/>
        <w:jc w:val="both"/>
        <w:rPr>
          <w:rStyle w:val="25"/>
          <w:rFonts w:hint="eastAsia" w:ascii="宋体" w:hAnsi="宋体" w:eastAsia="宋体" w:cs="宋体"/>
          <w:b w:val="0"/>
          <w:color w:val="auto"/>
          <w:sz w:val="48"/>
          <w:szCs w:val="48"/>
          <w:highlight w:val="none"/>
        </w:rPr>
      </w:pPr>
    </w:p>
    <w:p w14:paraId="04F53057">
      <w:pPr>
        <w:pStyle w:val="43"/>
        <w:spacing w:line="240" w:lineRule="auto"/>
        <w:ind w:firstLine="0"/>
        <w:rPr>
          <w:rStyle w:val="25"/>
          <w:rFonts w:hint="eastAsia" w:ascii="宋体" w:hAnsi="宋体" w:eastAsia="宋体" w:cs="宋体"/>
          <w:b w:val="0"/>
          <w:color w:val="auto"/>
          <w:sz w:val="48"/>
          <w:szCs w:val="48"/>
          <w:highlight w:val="none"/>
        </w:rPr>
      </w:pPr>
    </w:p>
    <w:p w14:paraId="07C83F08">
      <w:pPr>
        <w:autoSpaceDE w:val="0"/>
        <w:autoSpaceDN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96"/>
          <w:szCs w:val="96"/>
          <w:highlight w:val="none"/>
        </w:rPr>
        <w:t>竞争性</w:t>
      </w:r>
      <w:r>
        <w:rPr>
          <w:rFonts w:hint="eastAsia" w:ascii="宋体" w:hAnsi="宋体" w:eastAsia="宋体" w:cs="宋体"/>
          <w:b/>
          <w:color w:val="auto"/>
          <w:sz w:val="96"/>
          <w:szCs w:val="96"/>
          <w:highlight w:val="none"/>
          <w:lang w:val="en-US" w:eastAsia="zh-CN"/>
        </w:rPr>
        <w:t>比选</w:t>
      </w:r>
      <w:r>
        <w:rPr>
          <w:rFonts w:hint="eastAsia" w:ascii="宋体" w:hAnsi="宋体" w:eastAsia="宋体" w:cs="宋体"/>
          <w:b/>
          <w:color w:val="auto"/>
          <w:sz w:val="96"/>
          <w:szCs w:val="96"/>
          <w:highlight w:val="none"/>
        </w:rPr>
        <w:t>文件</w:t>
      </w:r>
    </w:p>
    <w:p w14:paraId="05F199C7">
      <w:pPr>
        <w:pStyle w:val="30"/>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项目编号：YHY202507021</w:t>
      </w:r>
    </w:p>
    <w:p w14:paraId="42EBB1F4">
      <w:pPr>
        <w:pStyle w:val="30"/>
        <w:rPr>
          <w:rFonts w:hint="eastAsia" w:ascii="宋体" w:hAnsi="宋体" w:eastAsia="宋体" w:cs="宋体"/>
          <w:color w:val="auto"/>
          <w:highlight w:val="none"/>
        </w:rPr>
      </w:pPr>
    </w:p>
    <w:p w14:paraId="59CA60E0">
      <w:pPr>
        <w:pStyle w:val="30"/>
        <w:rPr>
          <w:rFonts w:hint="eastAsia" w:ascii="宋体" w:hAnsi="宋体" w:eastAsia="宋体" w:cs="宋体"/>
          <w:color w:val="auto"/>
          <w:highlight w:val="none"/>
        </w:rPr>
      </w:pPr>
    </w:p>
    <w:p w14:paraId="0B7AD97D">
      <w:pPr>
        <w:pStyle w:val="30"/>
        <w:rPr>
          <w:rFonts w:hint="eastAsia" w:ascii="宋体" w:hAnsi="宋体" w:eastAsia="宋体" w:cs="宋体"/>
          <w:color w:val="auto"/>
          <w:highlight w:val="none"/>
        </w:rPr>
      </w:pPr>
    </w:p>
    <w:p w14:paraId="3ACF093F">
      <w:pPr>
        <w:pStyle w:val="30"/>
        <w:rPr>
          <w:rFonts w:hint="eastAsia" w:ascii="宋体" w:hAnsi="宋体" w:eastAsia="宋体" w:cs="宋体"/>
          <w:color w:val="auto"/>
          <w:highlight w:val="none"/>
        </w:rPr>
      </w:pPr>
    </w:p>
    <w:p w14:paraId="6F552810">
      <w:pPr>
        <w:pStyle w:val="30"/>
        <w:rPr>
          <w:rFonts w:hint="eastAsia" w:ascii="宋体" w:hAnsi="宋体" w:eastAsia="宋体" w:cs="宋体"/>
          <w:color w:val="auto"/>
          <w:highlight w:val="none"/>
        </w:rPr>
      </w:pPr>
    </w:p>
    <w:p w14:paraId="15299363">
      <w:pPr>
        <w:pStyle w:val="30"/>
        <w:rPr>
          <w:rFonts w:hint="eastAsia" w:ascii="宋体" w:hAnsi="宋体" w:eastAsia="宋体" w:cs="宋体"/>
          <w:color w:val="auto"/>
          <w:highlight w:val="none"/>
        </w:rPr>
      </w:pPr>
    </w:p>
    <w:p w14:paraId="3410A86D">
      <w:pPr>
        <w:pStyle w:val="30"/>
        <w:rPr>
          <w:rFonts w:hint="eastAsia" w:ascii="宋体" w:hAnsi="宋体" w:eastAsia="宋体" w:cs="宋体"/>
          <w:color w:val="auto"/>
          <w:highlight w:val="none"/>
        </w:rPr>
      </w:pPr>
    </w:p>
    <w:p w14:paraId="0558640C">
      <w:pPr>
        <w:pStyle w:val="30"/>
        <w:rPr>
          <w:rFonts w:hint="eastAsia" w:ascii="宋体" w:hAnsi="宋体" w:eastAsia="宋体" w:cs="宋体"/>
          <w:color w:val="auto"/>
          <w:highlight w:val="none"/>
        </w:rPr>
      </w:pPr>
    </w:p>
    <w:p w14:paraId="0D2BB1F0">
      <w:pPr>
        <w:pStyle w:val="30"/>
        <w:rPr>
          <w:rFonts w:hint="eastAsia" w:ascii="宋体" w:hAnsi="宋体" w:eastAsia="宋体" w:cs="宋体"/>
          <w:color w:val="auto"/>
          <w:highlight w:val="none"/>
        </w:rPr>
      </w:pPr>
    </w:p>
    <w:p w14:paraId="712457F8">
      <w:pPr>
        <w:pStyle w:val="30"/>
        <w:rPr>
          <w:rFonts w:hint="eastAsia" w:ascii="宋体" w:hAnsi="宋体" w:eastAsia="宋体" w:cs="宋体"/>
          <w:color w:val="auto"/>
          <w:highlight w:val="none"/>
        </w:rPr>
      </w:pPr>
    </w:p>
    <w:p w14:paraId="5918ADB9">
      <w:pPr>
        <w:pStyle w:val="30"/>
        <w:rPr>
          <w:rFonts w:hint="eastAsia" w:ascii="宋体" w:hAnsi="宋体" w:eastAsia="宋体" w:cs="宋体"/>
          <w:color w:val="auto"/>
          <w:highlight w:val="none"/>
        </w:rPr>
      </w:pPr>
    </w:p>
    <w:p w14:paraId="596532D1">
      <w:pPr>
        <w:pStyle w:val="30"/>
        <w:rPr>
          <w:rFonts w:hint="eastAsia" w:ascii="宋体" w:hAnsi="宋体" w:eastAsia="宋体" w:cs="宋体"/>
          <w:color w:val="auto"/>
          <w:highlight w:val="none"/>
        </w:rPr>
      </w:pPr>
    </w:p>
    <w:p w14:paraId="33BD3262">
      <w:pPr>
        <w:pStyle w:val="30"/>
        <w:rPr>
          <w:rFonts w:hint="eastAsia" w:ascii="宋体" w:hAnsi="宋体" w:eastAsia="宋体" w:cs="宋体"/>
          <w:color w:val="auto"/>
          <w:highlight w:val="none"/>
        </w:rPr>
      </w:pPr>
    </w:p>
    <w:p w14:paraId="42DC1720">
      <w:pPr>
        <w:pStyle w:val="30"/>
        <w:rPr>
          <w:rFonts w:hint="eastAsia" w:ascii="宋体" w:hAnsi="宋体" w:eastAsia="宋体" w:cs="宋体"/>
          <w:color w:val="auto"/>
          <w:highlight w:val="none"/>
        </w:rPr>
      </w:pPr>
    </w:p>
    <w:p w14:paraId="6BCA3FB8">
      <w:pPr>
        <w:tabs>
          <w:tab w:val="left" w:pos="6219"/>
        </w:tabs>
        <w:autoSpaceDE w:val="0"/>
        <w:autoSpaceDN w:val="0"/>
        <w:snapToGrid w:val="0"/>
        <w:spacing w:line="360" w:lineRule="auto"/>
        <w:rPr>
          <w:rFonts w:hint="eastAsia" w:ascii="宋体" w:hAnsi="宋体" w:eastAsia="宋体" w:cs="宋体"/>
          <w:b/>
          <w:color w:val="auto"/>
          <w:w w:val="99"/>
          <w:sz w:val="28"/>
          <w:szCs w:val="28"/>
          <w:highlight w:val="none"/>
        </w:rPr>
      </w:pPr>
      <w:r>
        <w:rPr>
          <w:rFonts w:hint="eastAsia" w:ascii="宋体" w:hAnsi="宋体" w:eastAsia="宋体" w:cs="宋体"/>
          <w:b/>
          <w:color w:val="auto"/>
          <w:w w:val="99"/>
          <w:sz w:val="28"/>
          <w:szCs w:val="28"/>
          <w:highlight w:val="none"/>
        </w:rPr>
        <w:t>比 选 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重庆市合川区人民政府合阳城街道办事处   </w:t>
      </w:r>
      <w:r>
        <w:rPr>
          <w:rFonts w:hint="eastAsia" w:ascii="宋体" w:hAnsi="宋体" w:eastAsia="宋体" w:cs="宋体"/>
          <w:b/>
          <w:color w:val="auto"/>
          <w:w w:val="99"/>
          <w:sz w:val="28"/>
          <w:szCs w:val="28"/>
          <w:highlight w:val="none"/>
        </w:rPr>
        <w:t>（盖单位章）</w:t>
      </w:r>
    </w:p>
    <w:p w14:paraId="57F99EBF">
      <w:pPr>
        <w:tabs>
          <w:tab w:val="left" w:pos="6252"/>
        </w:tabs>
        <w:autoSpaceDE w:val="0"/>
        <w:autoSpaceDN w:val="0"/>
        <w:snapToGrid w:val="0"/>
        <w:spacing w:line="360" w:lineRule="auto"/>
        <w:jc w:val="left"/>
        <w:rPr>
          <w:rFonts w:hint="eastAsia" w:ascii="宋体" w:hAnsi="宋体" w:eastAsia="宋体" w:cs="宋体"/>
          <w:b/>
          <w:color w:val="auto"/>
          <w:spacing w:val="8"/>
          <w:sz w:val="28"/>
          <w:szCs w:val="28"/>
          <w:highlight w:val="none"/>
        </w:rPr>
      </w:pPr>
    </w:p>
    <w:p w14:paraId="393CFFD3">
      <w:pPr>
        <w:tabs>
          <w:tab w:val="left" w:pos="6252"/>
        </w:tabs>
        <w:autoSpaceDE w:val="0"/>
        <w:autoSpaceDN w:val="0"/>
        <w:snapToGrid w:val="0"/>
        <w:spacing w:line="360" w:lineRule="auto"/>
        <w:rPr>
          <w:rFonts w:hint="eastAsia" w:ascii="宋体" w:hAnsi="宋体" w:eastAsia="宋体" w:cs="宋体"/>
          <w:b/>
          <w:color w:val="auto"/>
          <w:w w:val="99"/>
          <w:sz w:val="28"/>
          <w:szCs w:val="28"/>
          <w:highlight w:val="none"/>
        </w:rPr>
      </w:pPr>
      <w:r>
        <w:rPr>
          <w:rFonts w:hint="eastAsia" w:ascii="宋体" w:hAnsi="宋体" w:eastAsia="宋体" w:cs="宋体"/>
          <w:b/>
          <w:color w:val="auto"/>
          <w:spacing w:val="8"/>
          <w:sz w:val="28"/>
          <w:szCs w:val="28"/>
          <w:highlight w:val="none"/>
          <w:lang w:eastAsia="zh-CN"/>
        </w:rPr>
        <w:t>比选</w:t>
      </w:r>
      <w:r>
        <w:rPr>
          <w:rFonts w:hint="eastAsia" w:ascii="宋体" w:hAnsi="宋体" w:eastAsia="宋体" w:cs="宋体"/>
          <w:b/>
          <w:color w:val="auto"/>
          <w:spacing w:val="8"/>
          <w:sz w:val="28"/>
          <w:szCs w:val="28"/>
          <w:highlight w:val="none"/>
        </w:rPr>
        <w:t>代理机构：</w:t>
      </w:r>
      <w:r>
        <w:rPr>
          <w:rFonts w:hint="eastAsia" w:ascii="宋体" w:hAnsi="宋体" w:eastAsia="宋体" w:cs="宋体"/>
          <w:b/>
          <w:color w:val="auto"/>
          <w:sz w:val="28"/>
          <w:szCs w:val="28"/>
          <w:highlight w:val="none"/>
          <w:u w:val="single"/>
          <w:lang w:eastAsia="zh-CN"/>
        </w:rPr>
        <w:t>重庆</w:t>
      </w:r>
      <w:r>
        <w:rPr>
          <w:rFonts w:hint="eastAsia" w:ascii="宋体" w:hAnsi="宋体" w:eastAsia="宋体" w:cs="宋体"/>
          <w:b/>
          <w:color w:val="auto"/>
          <w:sz w:val="28"/>
          <w:szCs w:val="28"/>
          <w:highlight w:val="none"/>
          <w:u w:val="single"/>
          <w:lang w:val="en-US" w:eastAsia="zh-CN"/>
        </w:rPr>
        <w:t xml:space="preserve">渝皓阳建设工程咨询有限公司 </w:t>
      </w:r>
      <w:r>
        <w:rPr>
          <w:rFonts w:hint="eastAsia" w:ascii="宋体" w:hAnsi="宋体" w:eastAsia="宋体" w:cs="宋体"/>
          <w:b/>
          <w:color w:val="auto"/>
          <w:w w:val="99"/>
          <w:sz w:val="28"/>
          <w:szCs w:val="28"/>
          <w:highlight w:val="none"/>
        </w:rPr>
        <w:t>（盖单位章）</w:t>
      </w:r>
    </w:p>
    <w:p w14:paraId="2235486C">
      <w:pPr>
        <w:pStyle w:val="30"/>
        <w:rPr>
          <w:rFonts w:hint="eastAsia" w:ascii="宋体" w:hAnsi="宋体" w:eastAsia="宋体" w:cs="宋体"/>
        </w:rPr>
      </w:pPr>
    </w:p>
    <w:p w14:paraId="79D02C27">
      <w:pPr>
        <w:widowControl/>
        <w:snapToGrid w:val="0"/>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2025</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rPr>
        <w:t>月</w:t>
      </w:r>
    </w:p>
    <w:p w14:paraId="57BBDE4F">
      <w:pPr>
        <w:widowControl/>
        <w:snapToGrid w:val="0"/>
        <w:spacing w:line="360" w:lineRule="auto"/>
        <w:jc w:val="center"/>
        <w:rPr>
          <w:rFonts w:hint="eastAsia" w:ascii="方正仿宋_GBK" w:hAnsi="方正仿宋_GBK" w:eastAsia="方正仿宋_GBK" w:cs="方正仿宋_GBK"/>
          <w:b/>
          <w:color w:val="auto"/>
          <w:sz w:val="30"/>
          <w:highlight w:val="none"/>
        </w:rPr>
        <w:sectPr>
          <w:footerReference r:id="rId5" w:type="default"/>
          <w:pgSz w:w="11906" w:h="16838"/>
          <w:pgMar w:top="1418" w:right="1555" w:bottom="1418" w:left="1531" w:header="851" w:footer="992" w:gutter="0"/>
          <w:pgNumType w:fmt="decimal"/>
          <w:cols w:space="720" w:num="1"/>
          <w:docGrid w:type="lines" w:linePitch="312" w:charSpace="0"/>
        </w:sectPr>
      </w:pPr>
    </w:p>
    <w:p w14:paraId="1B86CDDB">
      <w:pPr>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重庆</w:t>
      </w:r>
      <w:r>
        <w:rPr>
          <w:rFonts w:hint="eastAsia" w:ascii="仿宋" w:hAnsi="仿宋" w:eastAsia="仿宋" w:cs="仿宋"/>
          <w:b/>
          <w:bCs/>
          <w:color w:val="auto"/>
          <w:sz w:val="40"/>
          <w:szCs w:val="40"/>
          <w:highlight w:val="none"/>
          <w:lang w:val="en-US" w:eastAsia="zh-CN"/>
        </w:rPr>
        <w:t>渝皓阳建设工程咨询</w:t>
      </w:r>
      <w:r>
        <w:rPr>
          <w:rFonts w:hint="eastAsia" w:ascii="仿宋" w:hAnsi="仿宋" w:eastAsia="仿宋" w:cs="仿宋"/>
          <w:b/>
          <w:bCs/>
          <w:color w:val="auto"/>
          <w:sz w:val="40"/>
          <w:szCs w:val="40"/>
          <w:highlight w:val="none"/>
          <w:lang w:eastAsia="zh-CN"/>
        </w:rPr>
        <w:t>有限公司</w:t>
      </w:r>
    </w:p>
    <w:p w14:paraId="39E55054">
      <w:pP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lang w:val="en-US" w:eastAsia="zh-CN"/>
        </w:rPr>
        <w:t>比选</w:t>
      </w:r>
      <w:r>
        <w:rPr>
          <w:rFonts w:hint="eastAsia" w:ascii="仿宋" w:hAnsi="仿宋" w:eastAsia="仿宋" w:cs="仿宋"/>
          <w:b/>
          <w:bCs/>
          <w:color w:val="auto"/>
          <w:sz w:val="40"/>
          <w:szCs w:val="40"/>
          <w:highlight w:val="none"/>
        </w:rPr>
        <w:t>文件发售登记表</w:t>
      </w:r>
    </w:p>
    <w:p w14:paraId="20101977">
      <w:pPr>
        <w:pStyle w:val="2"/>
        <w:rPr>
          <w:rFonts w:hint="eastAsia"/>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281"/>
        <w:gridCol w:w="1972"/>
        <w:gridCol w:w="2450"/>
      </w:tblGrid>
      <w:tr w14:paraId="0B90C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076155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703" w:type="dxa"/>
            <w:gridSpan w:val="3"/>
            <w:noWrap w:val="0"/>
            <w:vAlign w:val="center"/>
          </w:tcPr>
          <w:p w14:paraId="7ED9A744">
            <w:pPr>
              <w:jc w:val="left"/>
              <w:rPr>
                <w:rFonts w:hint="eastAsia" w:ascii="仿宋" w:hAnsi="仿宋" w:eastAsia="仿宋" w:cs="仿宋"/>
                <w:color w:val="auto"/>
                <w:sz w:val="24"/>
                <w:szCs w:val="24"/>
                <w:highlight w:val="none"/>
              </w:rPr>
            </w:pPr>
          </w:p>
        </w:tc>
      </w:tr>
      <w:tr w14:paraId="33B6D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1FE0A9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703" w:type="dxa"/>
            <w:gridSpan w:val="3"/>
            <w:noWrap w:val="0"/>
            <w:vAlign w:val="center"/>
          </w:tcPr>
          <w:p w14:paraId="212550B2">
            <w:pPr>
              <w:jc w:val="left"/>
              <w:rPr>
                <w:rFonts w:hint="eastAsia" w:ascii="仿宋" w:hAnsi="仿宋" w:eastAsia="仿宋" w:cs="仿宋"/>
                <w:color w:val="auto"/>
                <w:sz w:val="24"/>
                <w:szCs w:val="24"/>
                <w:highlight w:val="none"/>
              </w:rPr>
            </w:pPr>
          </w:p>
        </w:tc>
      </w:tr>
      <w:tr w14:paraId="67DAB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823" w:type="dxa"/>
            <w:noWrap w:val="0"/>
            <w:vAlign w:val="center"/>
          </w:tcPr>
          <w:p w14:paraId="3A4C41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竞标人</w:t>
            </w:r>
            <w:r>
              <w:rPr>
                <w:rFonts w:hint="eastAsia" w:ascii="仿宋" w:hAnsi="仿宋" w:eastAsia="仿宋" w:cs="仿宋"/>
                <w:color w:val="auto"/>
                <w:sz w:val="24"/>
                <w:szCs w:val="24"/>
                <w:highlight w:val="none"/>
              </w:rPr>
              <w:t>名称</w:t>
            </w:r>
          </w:p>
        </w:tc>
        <w:tc>
          <w:tcPr>
            <w:tcW w:w="6703" w:type="dxa"/>
            <w:gridSpan w:val="3"/>
            <w:noWrap w:val="0"/>
            <w:vAlign w:val="bottom"/>
          </w:tcPr>
          <w:p w14:paraId="298208E7">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竞标人</w:t>
            </w:r>
            <w:r>
              <w:rPr>
                <w:rFonts w:hint="eastAsia" w:ascii="仿宋" w:hAnsi="仿宋" w:eastAsia="仿宋" w:cs="仿宋"/>
                <w:color w:val="auto"/>
                <w:sz w:val="24"/>
                <w:szCs w:val="24"/>
                <w:highlight w:val="none"/>
              </w:rPr>
              <w:t>公章）</w:t>
            </w:r>
          </w:p>
        </w:tc>
      </w:tr>
      <w:tr w14:paraId="2AA5E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40A33A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281" w:type="dxa"/>
            <w:noWrap w:val="0"/>
            <w:vAlign w:val="center"/>
          </w:tcPr>
          <w:p w14:paraId="78E47A9C">
            <w:pPr>
              <w:jc w:val="left"/>
              <w:rPr>
                <w:rFonts w:hint="eastAsia" w:ascii="仿宋" w:hAnsi="仿宋" w:eastAsia="仿宋" w:cs="仿宋"/>
                <w:color w:val="auto"/>
                <w:sz w:val="24"/>
                <w:szCs w:val="24"/>
                <w:highlight w:val="none"/>
              </w:rPr>
            </w:pPr>
          </w:p>
        </w:tc>
        <w:tc>
          <w:tcPr>
            <w:tcW w:w="1972" w:type="dxa"/>
            <w:noWrap w:val="0"/>
            <w:vAlign w:val="center"/>
          </w:tcPr>
          <w:p w14:paraId="1E74C3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2450" w:type="dxa"/>
            <w:noWrap w:val="0"/>
            <w:vAlign w:val="center"/>
          </w:tcPr>
          <w:p w14:paraId="31A799A5">
            <w:pPr>
              <w:jc w:val="left"/>
              <w:rPr>
                <w:rFonts w:hint="eastAsia" w:ascii="仿宋" w:hAnsi="仿宋" w:eastAsia="仿宋" w:cs="仿宋"/>
                <w:color w:val="auto"/>
                <w:sz w:val="24"/>
                <w:szCs w:val="24"/>
                <w:highlight w:val="none"/>
              </w:rPr>
            </w:pPr>
          </w:p>
        </w:tc>
      </w:tr>
      <w:tr w14:paraId="42180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152AA1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6703" w:type="dxa"/>
            <w:gridSpan w:val="3"/>
            <w:noWrap w:val="0"/>
            <w:vAlign w:val="center"/>
          </w:tcPr>
          <w:p w14:paraId="63C86C95">
            <w:pPr>
              <w:jc w:val="left"/>
              <w:rPr>
                <w:rFonts w:hint="eastAsia" w:ascii="仿宋" w:hAnsi="仿宋" w:eastAsia="仿宋" w:cs="仿宋"/>
                <w:color w:val="auto"/>
                <w:sz w:val="24"/>
                <w:szCs w:val="24"/>
                <w:highlight w:val="none"/>
              </w:rPr>
            </w:pPr>
          </w:p>
        </w:tc>
      </w:tr>
      <w:tr w14:paraId="57B08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039AB5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6703" w:type="dxa"/>
            <w:gridSpan w:val="3"/>
            <w:noWrap w:val="0"/>
            <w:vAlign w:val="center"/>
          </w:tcPr>
          <w:p w14:paraId="6046399B">
            <w:pPr>
              <w:jc w:val="left"/>
              <w:rPr>
                <w:rFonts w:hint="eastAsia" w:ascii="仿宋" w:hAnsi="仿宋" w:eastAsia="仿宋" w:cs="仿宋"/>
                <w:color w:val="auto"/>
                <w:sz w:val="24"/>
                <w:szCs w:val="24"/>
                <w:highlight w:val="none"/>
              </w:rPr>
            </w:pPr>
          </w:p>
        </w:tc>
      </w:tr>
      <w:tr w14:paraId="48332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23060D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6703" w:type="dxa"/>
            <w:gridSpan w:val="3"/>
            <w:noWrap w:val="0"/>
            <w:vAlign w:val="center"/>
          </w:tcPr>
          <w:p w14:paraId="37F16251">
            <w:pPr>
              <w:jc w:val="left"/>
              <w:rPr>
                <w:rFonts w:hint="eastAsia" w:ascii="仿宋" w:hAnsi="仿宋" w:eastAsia="仿宋" w:cs="仿宋"/>
                <w:color w:val="auto"/>
                <w:sz w:val="24"/>
                <w:szCs w:val="24"/>
                <w:highlight w:val="none"/>
              </w:rPr>
            </w:pPr>
          </w:p>
        </w:tc>
      </w:tr>
      <w:tr w14:paraId="1C868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53645A08">
            <w:pPr>
              <w:jc w:val="left"/>
              <w:rPr>
                <w:rFonts w:hint="eastAsia" w:ascii="仿宋" w:hAnsi="仿宋" w:eastAsia="仿宋" w:cs="仿宋"/>
                <w:color w:val="auto"/>
                <w:sz w:val="24"/>
                <w:szCs w:val="24"/>
                <w:highlight w:val="none"/>
              </w:rPr>
            </w:pPr>
          </w:p>
        </w:tc>
        <w:tc>
          <w:tcPr>
            <w:tcW w:w="6703" w:type="dxa"/>
            <w:gridSpan w:val="3"/>
            <w:noWrap w:val="0"/>
            <w:vAlign w:val="center"/>
          </w:tcPr>
          <w:p w14:paraId="4A7E06E6">
            <w:pPr>
              <w:jc w:val="left"/>
              <w:rPr>
                <w:rFonts w:hint="eastAsia" w:ascii="仿宋" w:hAnsi="仿宋" w:eastAsia="仿宋" w:cs="仿宋"/>
                <w:color w:val="auto"/>
                <w:sz w:val="24"/>
                <w:szCs w:val="24"/>
                <w:highlight w:val="none"/>
              </w:rPr>
            </w:pPr>
          </w:p>
        </w:tc>
      </w:tr>
      <w:tr w14:paraId="08265D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26" w:type="dxa"/>
            <w:gridSpan w:val="4"/>
            <w:noWrap w:val="0"/>
            <w:vAlign w:val="center"/>
          </w:tcPr>
          <w:p w14:paraId="6172AAB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购分包号为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的标书，共计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14:paraId="16B9F3BF">
      <w:pPr>
        <w:pStyle w:val="2"/>
        <w:ind w:firstLine="1680" w:firstLineChars="700"/>
        <w:rPr>
          <w:rFonts w:hint="eastAsia" w:ascii="仿宋" w:hAnsi="仿宋" w:eastAsia="仿宋" w:cs="仿宋"/>
          <w:color w:val="auto"/>
          <w:sz w:val="24"/>
          <w:highlight w:val="none"/>
        </w:rPr>
      </w:pPr>
    </w:p>
    <w:p w14:paraId="55650019">
      <w:pPr>
        <w:pStyle w:val="2"/>
        <w:ind w:firstLine="1680" w:firstLineChars="700"/>
        <w:rPr>
          <w:rFonts w:hint="eastAsia"/>
          <w:color w:val="auto"/>
          <w:sz w:val="24"/>
          <w:szCs w:val="24"/>
          <w:highlight w:val="none"/>
        </w:rPr>
        <w:sectPr>
          <w:footerReference r:id="rId6" w:type="default"/>
          <w:pgSz w:w="11907" w:h="16840"/>
          <w:pgMar w:top="1134" w:right="1191" w:bottom="1134" w:left="1304" w:header="851" w:footer="992" w:gutter="0"/>
          <w:pgNumType w:start="1"/>
          <w:cols w:space="720" w:num="1"/>
          <w:docGrid w:linePitch="381" w:charSpace="-5735"/>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年  月  日</w:t>
      </w:r>
    </w:p>
    <w:p w14:paraId="22FB8A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目  录</w:t>
      </w:r>
    </w:p>
    <w:p w14:paraId="7969B1BE">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TOC \o "1-2" \h \z \u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_Toc8157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lang w:val="en-US" w:eastAsia="zh-CN"/>
        </w:rPr>
        <w:t>公告</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bCs/>
          <w:color w:val="auto"/>
          <w:sz w:val="21"/>
          <w:szCs w:val="21"/>
          <w:highlight w:val="none"/>
        </w:rPr>
        <w:fldChar w:fldCharType="end"/>
      </w:r>
    </w:p>
    <w:p w14:paraId="16C1CA6D">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_Toc7190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bCs/>
          <w:color w:val="auto"/>
          <w:sz w:val="21"/>
          <w:szCs w:val="21"/>
          <w:highlight w:val="none"/>
        </w:rPr>
        <w:fldChar w:fldCharType="end"/>
      </w:r>
    </w:p>
    <w:p w14:paraId="4E2CA667">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_Toc20173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snapToGrid w:val="0"/>
          <w:color w:val="auto"/>
          <w:kern w:val="0"/>
          <w:sz w:val="21"/>
          <w:szCs w:val="21"/>
          <w:highlight w:val="none"/>
        </w:rPr>
        <w:t xml:space="preserve">第三章  </w:t>
      </w:r>
      <w:r>
        <w:rPr>
          <w:rFonts w:hint="eastAsia" w:ascii="宋体" w:hAnsi="宋体" w:eastAsia="宋体" w:cs="宋体"/>
          <w:bCs/>
          <w:snapToGrid w:val="0"/>
          <w:color w:val="auto"/>
          <w:kern w:val="0"/>
          <w:sz w:val="21"/>
          <w:szCs w:val="21"/>
          <w:highlight w:val="none"/>
          <w:lang w:eastAsia="zh-CN"/>
        </w:rPr>
        <w:t>竞争性比选</w:t>
      </w:r>
      <w:r>
        <w:rPr>
          <w:rFonts w:hint="eastAsia" w:ascii="宋体" w:hAnsi="宋体" w:eastAsia="宋体" w:cs="宋体"/>
          <w:bCs/>
          <w:snapToGrid w:val="0"/>
          <w:color w:val="auto"/>
          <w:kern w:val="0"/>
          <w:sz w:val="21"/>
          <w:szCs w:val="21"/>
          <w:highlight w:val="none"/>
          <w:lang w:val="en-US" w:eastAsia="zh-CN"/>
        </w:rPr>
        <w:t>评标</w:t>
      </w:r>
      <w:r>
        <w:rPr>
          <w:rFonts w:hint="eastAsia" w:ascii="宋体" w:hAnsi="宋体" w:eastAsia="宋体" w:cs="宋体"/>
          <w:bCs/>
          <w:snapToGrid w:val="0"/>
          <w:color w:val="auto"/>
          <w:kern w:val="0"/>
          <w:sz w:val="21"/>
          <w:szCs w:val="21"/>
          <w:highlight w:val="none"/>
        </w:rPr>
        <w:t>办法（</w:t>
      </w:r>
      <w:r>
        <w:rPr>
          <w:rFonts w:hint="eastAsia" w:ascii="宋体" w:hAnsi="宋体" w:eastAsia="宋体" w:cs="宋体"/>
          <w:bCs/>
          <w:snapToGrid w:val="0"/>
          <w:color w:val="auto"/>
          <w:kern w:val="0"/>
          <w:sz w:val="21"/>
          <w:szCs w:val="21"/>
          <w:highlight w:val="none"/>
          <w:lang w:val="en-US" w:eastAsia="zh-CN"/>
        </w:rPr>
        <w:t>综合评估法</w:t>
      </w:r>
      <w:r>
        <w:rPr>
          <w:rFonts w:hint="eastAsia" w:ascii="宋体" w:hAnsi="宋体" w:eastAsia="宋体" w:cs="宋体"/>
          <w:bCs/>
          <w:snapToGrid w:val="0"/>
          <w:color w:val="auto"/>
          <w:kern w:val="0"/>
          <w:sz w:val="21"/>
          <w:szCs w:val="21"/>
          <w:highlight w:val="none"/>
        </w:rPr>
        <w:t>）</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1</w:t>
      </w:r>
    </w:p>
    <w:p w14:paraId="42E0633C">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_Toc24518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kern w:val="0"/>
          <w:sz w:val="21"/>
          <w:szCs w:val="21"/>
          <w:highlight w:val="none"/>
        </w:rPr>
        <w:t>第四章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_Toc24518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r>
        <w:rPr>
          <w:rFonts w:hint="eastAsia" w:ascii="宋体" w:hAnsi="宋体" w:eastAsia="宋体" w:cs="宋体"/>
          <w:bCs/>
          <w:color w:val="auto"/>
          <w:sz w:val="21"/>
          <w:szCs w:val="21"/>
          <w:highlight w:val="none"/>
        </w:rPr>
        <w:fldChar w:fldCharType="end"/>
      </w:r>
    </w:p>
    <w:p w14:paraId="4E9D5993">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_Toc32226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kern w:val="0"/>
          <w:sz w:val="21"/>
          <w:szCs w:val="21"/>
        </w:rPr>
        <w:t xml:space="preserve">第五章 </w:t>
      </w:r>
      <w:r>
        <w:rPr>
          <w:rFonts w:hint="eastAsia" w:ascii="宋体" w:hAnsi="宋体" w:eastAsia="宋体" w:cs="宋体"/>
          <w:color w:val="auto"/>
          <w:kern w:val="0"/>
          <w:sz w:val="21"/>
          <w:szCs w:val="21"/>
          <w:highlight w:val="none"/>
        </w:rPr>
        <w:t>工程量清单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7</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7</w:t>
      </w:r>
    </w:p>
    <w:p w14:paraId="2F73C2B4">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_Toc31719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kern w:val="0"/>
          <w:sz w:val="21"/>
          <w:szCs w:val="21"/>
          <w:highlight w:val="none"/>
        </w:rPr>
        <w:t>第六章  图纸</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7</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8</w:t>
      </w:r>
    </w:p>
    <w:p w14:paraId="2B89A0ED">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_Toc23294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kern w:val="0"/>
          <w:sz w:val="21"/>
          <w:szCs w:val="21"/>
          <w:highlight w:val="none"/>
        </w:rPr>
        <w:t>第七章  技术标准和要求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7</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9</w:t>
      </w:r>
    </w:p>
    <w:p w14:paraId="5820E39D">
      <w:pPr>
        <w:pStyle w:val="16"/>
        <w:keepNext w:val="0"/>
        <w:keepLines w:val="0"/>
        <w:pageBreakBefore w:val="0"/>
        <w:tabs>
          <w:tab w:val="right" w:leader="dot" w:pos="8714"/>
        </w:tabs>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_Toc6967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kern w:val="0"/>
          <w:sz w:val="21"/>
          <w:szCs w:val="21"/>
          <w:highlight w:val="none"/>
        </w:rPr>
        <w:t xml:space="preserve">第八章  </w:t>
      </w:r>
      <w:r>
        <w:rPr>
          <w:rFonts w:hint="eastAsia" w:ascii="宋体" w:hAnsi="宋体" w:eastAsia="宋体" w:cs="宋体"/>
          <w:color w:val="auto"/>
          <w:kern w:val="0"/>
          <w:sz w:val="21"/>
          <w:szCs w:val="21"/>
          <w:highlight w:val="none"/>
          <w:lang w:eastAsia="zh-CN"/>
        </w:rPr>
        <w:t>竞标文件</w:t>
      </w:r>
      <w:r>
        <w:rPr>
          <w:rFonts w:hint="eastAsia" w:ascii="宋体" w:hAnsi="宋体" w:eastAsia="宋体" w:cs="宋体"/>
          <w:color w:val="auto"/>
          <w:kern w:val="0"/>
          <w:sz w:val="21"/>
          <w:szCs w:val="21"/>
          <w:highlight w:val="none"/>
        </w:rPr>
        <w:t>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lang w:val="en-US" w:eastAsia="zh-CN"/>
        </w:rPr>
        <w:t>0</w:t>
      </w:r>
    </w:p>
    <w:p w14:paraId="64881EF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方正仿宋_GBK" w:hAnsi="方正仿宋_GBK" w:eastAsia="方正仿宋_GBK" w:cs="方正仿宋_GBK"/>
          <w:bCs/>
          <w:color w:val="auto"/>
          <w:sz w:val="32"/>
          <w:szCs w:val="32"/>
          <w:highlight w:val="none"/>
        </w:rPr>
      </w:pPr>
      <w:r>
        <w:rPr>
          <w:rFonts w:hint="eastAsia" w:ascii="宋体" w:hAnsi="宋体" w:eastAsia="宋体" w:cs="宋体"/>
          <w:bCs/>
          <w:color w:val="auto"/>
          <w:sz w:val="21"/>
          <w:szCs w:val="21"/>
          <w:highlight w:val="none"/>
        </w:rPr>
        <w:fldChar w:fldCharType="end"/>
      </w:r>
    </w:p>
    <w:p w14:paraId="7B445C94">
      <w:pPr>
        <w:widowControl/>
        <w:snapToGrid w:val="0"/>
        <w:jc w:val="center"/>
        <w:outlineLvl w:val="9"/>
        <w:rPr>
          <w:rFonts w:hint="eastAsia" w:ascii="方正仿宋_GBK" w:hAnsi="方正仿宋_GBK" w:eastAsia="方正仿宋_GBK" w:cs="方正仿宋_GBK"/>
          <w:bCs/>
          <w:color w:val="auto"/>
          <w:szCs w:val="24"/>
          <w:highlight w:val="none"/>
        </w:rPr>
        <w:sectPr>
          <w:headerReference r:id="rId7" w:type="default"/>
          <w:footerReference r:id="rId8" w:type="default"/>
          <w:footerReference r:id="rId9" w:type="even"/>
          <w:pgSz w:w="11906" w:h="16838"/>
          <w:pgMar w:top="935" w:right="1616" w:bottom="936" w:left="1576" w:header="851" w:footer="992" w:gutter="0"/>
          <w:pgNumType w:fmt="decimal" w:start="1"/>
          <w:cols w:space="720" w:num="1"/>
          <w:docGrid w:linePitch="312" w:charSpace="0"/>
        </w:sectPr>
      </w:pPr>
    </w:p>
    <w:p w14:paraId="7C6E46F1">
      <w:pPr>
        <w:widowControl/>
        <w:snapToGrid w:val="0"/>
        <w:spacing w:line="360" w:lineRule="auto"/>
        <w:jc w:val="center"/>
        <w:outlineLvl w:val="0"/>
        <w:rPr>
          <w:rFonts w:hint="eastAsia" w:ascii="宋体" w:hAnsi="宋体" w:eastAsia="宋体" w:cs="宋体"/>
          <w:b/>
          <w:snapToGrid w:val="0"/>
          <w:color w:val="auto"/>
          <w:highlight w:val="none"/>
          <w:lang w:eastAsia="zh-CN"/>
        </w:rPr>
      </w:pPr>
      <w:bookmarkStart w:id="0" w:name="_Toc8157"/>
      <w:r>
        <w:rPr>
          <w:rFonts w:hint="eastAsia" w:ascii="宋体" w:hAnsi="宋体" w:eastAsia="宋体" w:cs="宋体"/>
          <w:b/>
          <w:color w:val="auto"/>
          <w:sz w:val="36"/>
          <w:szCs w:val="36"/>
          <w:highlight w:val="none"/>
        </w:rPr>
        <w:t xml:space="preserve">第一章  </w:t>
      </w:r>
      <w:r>
        <w:rPr>
          <w:rFonts w:hint="eastAsia" w:ascii="宋体" w:hAnsi="宋体" w:eastAsia="宋体" w:cs="宋体"/>
          <w:b/>
          <w:color w:val="auto"/>
          <w:sz w:val="36"/>
          <w:szCs w:val="36"/>
          <w:highlight w:val="none"/>
          <w:lang w:eastAsia="zh-CN"/>
        </w:rPr>
        <w:t>竞争性</w:t>
      </w:r>
      <w:bookmarkEnd w:id="0"/>
      <w:r>
        <w:rPr>
          <w:rFonts w:hint="eastAsia" w:ascii="宋体" w:hAnsi="宋体" w:eastAsia="宋体" w:cs="宋体"/>
          <w:b/>
          <w:color w:val="auto"/>
          <w:sz w:val="36"/>
          <w:szCs w:val="36"/>
          <w:highlight w:val="none"/>
          <w:lang w:eastAsia="zh-CN"/>
        </w:rPr>
        <w:t>比选</w:t>
      </w:r>
      <w:r>
        <w:rPr>
          <w:rFonts w:hint="eastAsia" w:ascii="宋体" w:hAnsi="宋体" w:eastAsia="宋体" w:cs="宋体"/>
          <w:b/>
          <w:color w:val="auto"/>
          <w:sz w:val="36"/>
          <w:szCs w:val="36"/>
          <w:highlight w:val="none"/>
          <w:lang w:val="en-US" w:eastAsia="zh-CN"/>
        </w:rPr>
        <w:t>公告</w:t>
      </w:r>
    </w:p>
    <w:p w14:paraId="2CF16008">
      <w:pPr>
        <w:pageBreakBefore w:val="0"/>
        <w:widowControl w:val="0"/>
        <w:kinsoku/>
        <w:wordWrap/>
        <w:overflowPunct/>
        <w:topLinePunct w:val="0"/>
        <w:bidi w:val="0"/>
        <w:adjustRightInd w:val="0"/>
        <w:spacing w:line="440" w:lineRule="exact"/>
        <w:jc w:val="center"/>
        <w:textAlignment w:val="auto"/>
        <w:outlineLvl w:val="1"/>
        <w:rPr>
          <w:rFonts w:hint="eastAsia" w:ascii="宋体" w:hAnsi="宋体" w:eastAsia="宋体" w:cs="宋体"/>
          <w:b w:val="0"/>
          <w:color w:val="auto"/>
          <w:kern w:val="0"/>
          <w:sz w:val="21"/>
          <w:szCs w:val="21"/>
          <w:highlight w:val="none"/>
          <w:u w:val="single"/>
          <w:lang w:val="en-US" w:eastAsia="zh-CN" w:bidi="ar-SA"/>
        </w:rPr>
      </w:pPr>
      <w:bookmarkStart w:id="1" w:name="_Toc12835"/>
      <w:bookmarkStart w:id="2" w:name="_Toc3352"/>
      <w:r>
        <w:rPr>
          <w:rFonts w:hint="eastAsia" w:ascii="宋体" w:hAnsi="宋体" w:eastAsia="宋体" w:cs="宋体"/>
          <w:b/>
          <w:color w:val="auto"/>
          <w:kern w:val="0"/>
          <w:sz w:val="32"/>
          <w:szCs w:val="32"/>
          <w:highlight w:val="none"/>
          <w:u w:val="single"/>
          <w:lang w:val="en-US" w:eastAsia="zh-CN" w:bidi="ar-SA"/>
        </w:rPr>
        <w:t>合川区合阳城街道五显村小微湿地工程</w:t>
      </w:r>
      <w:r>
        <w:rPr>
          <w:rFonts w:hint="eastAsia" w:ascii="宋体" w:hAnsi="宋体" w:eastAsia="宋体" w:cs="宋体"/>
          <w:b/>
          <w:color w:val="auto"/>
          <w:sz w:val="28"/>
          <w:szCs w:val="28"/>
          <w:highlight w:val="none"/>
          <w:lang w:eastAsia="zh-CN"/>
        </w:rPr>
        <w:t>竞争性</w:t>
      </w:r>
      <w:bookmarkEnd w:id="1"/>
      <w:bookmarkEnd w:id="2"/>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lang w:val="en-US" w:eastAsia="zh-CN"/>
        </w:rPr>
        <w:t>公告</w:t>
      </w:r>
      <w:bookmarkStart w:id="3" w:name="_Toc1571"/>
    </w:p>
    <w:p w14:paraId="5F52CDCE">
      <w:pPr>
        <w:pStyle w:val="5"/>
        <w:pageBreakBefore w:val="0"/>
        <w:widowControl w:val="0"/>
        <w:kinsoku/>
        <w:wordWrap/>
        <w:overflowPunct/>
        <w:topLinePunct w:val="0"/>
        <w:bidi w:val="0"/>
        <w:adjustRightInd w:val="0"/>
        <w:spacing w:line="44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bookmarkEnd w:id="3"/>
    </w:p>
    <w:p w14:paraId="0F040F53">
      <w:pPr>
        <w:pStyle w:val="43"/>
        <w:pageBreakBefore w:val="0"/>
        <w:widowControl w:val="0"/>
        <w:kinsoku/>
        <w:wordWrap/>
        <w:overflowPunct/>
        <w:topLinePunct w:val="0"/>
        <w:bidi w:val="0"/>
        <w:adjustRightInd w:val="0"/>
        <w:spacing w:line="440" w:lineRule="exact"/>
        <w:ind w:firstLine="420" w:firstLineChars="200"/>
        <w:jc w:val="both"/>
        <w:textAlignment w:val="auto"/>
        <w:rPr>
          <w:rFonts w:hint="eastAsia" w:ascii="宋体" w:hAnsi="宋体" w:eastAsia="宋体" w:cs="宋体"/>
          <w:b w:val="0"/>
          <w:bCs/>
          <w:color w:val="auto"/>
          <w:sz w:val="21"/>
          <w:szCs w:val="21"/>
          <w:highlight w:val="none"/>
        </w:rPr>
      </w:pPr>
      <w:bookmarkStart w:id="4" w:name="_Toc184704554"/>
      <w:bookmarkStart w:id="5" w:name="_Toc16681"/>
      <w:bookmarkStart w:id="6" w:name="_Toc429471767"/>
      <w:bookmarkStart w:id="7" w:name="_Toc263326659"/>
      <w:r>
        <w:rPr>
          <w:rFonts w:hint="eastAsia" w:ascii="宋体" w:hAnsi="宋体" w:eastAsia="宋体" w:cs="宋体"/>
          <w:b w:val="0"/>
          <w:bCs/>
          <w:color w:val="auto"/>
          <w:sz w:val="21"/>
          <w:szCs w:val="21"/>
          <w:highlight w:val="none"/>
        </w:rPr>
        <w:t>本</w:t>
      </w:r>
      <w:r>
        <w:rPr>
          <w:rFonts w:hint="eastAsia" w:ascii="宋体" w:hAnsi="宋体" w:eastAsia="宋体" w:cs="宋体"/>
          <w:b w:val="0"/>
          <w:bCs/>
          <w:color w:val="auto"/>
          <w:sz w:val="21"/>
          <w:szCs w:val="21"/>
          <w:highlight w:val="none"/>
          <w:lang w:eastAsia="zh-CN"/>
        </w:rPr>
        <w:t>比选</w:t>
      </w:r>
      <w:r>
        <w:rPr>
          <w:rFonts w:hint="eastAsia" w:ascii="宋体" w:hAnsi="宋体" w:eastAsia="宋体" w:cs="宋体"/>
          <w:b w:val="0"/>
          <w:bCs/>
          <w:color w:val="auto"/>
          <w:sz w:val="21"/>
          <w:szCs w:val="21"/>
          <w:highlight w:val="none"/>
        </w:rPr>
        <w:t>项目</w:t>
      </w:r>
      <w:r>
        <w:rPr>
          <w:rFonts w:hint="eastAsia" w:ascii="宋体" w:hAnsi="宋体" w:eastAsia="宋体" w:cs="宋体"/>
          <w:b w:val="0"/>
          <w:bCs/>
          <w:color w:val="auto"/>
          <w:sz w:val="21"/>
          <w:szCs w:val="21"/>
          <w:highlight w:val="none"/>
          <w:u w:val="single"/>
          <w:lang w:val="en-US" w:eastAsia="zh-CN"/>
        </w:rPr>
        <w:t>合川区合阳城街道五显村小微湿地工程</w:t>
      </w:r>
      <w:r>
        <w:rPr>
          <w:rFonts w:hint="eastAsia" w:ascii="宋体" w:hAnsi="宋体" w:eastAsia="宋体" w:cs="宋体"/>
          <w:b w:val="0"/>
          <w:bCs/>
          <w:color w:val="auto"/>
          <w:sz w:val="21"/>
          <w:szCs w:val="21"/>
          <w:highlight w:val="none"/>
        </w:rPr>
        <w:t>已批准建设，</w:t>
      </w:r>
      <w:r>
        <w:rPr>
          <w:rFonts w:hint="eastAsia" w:ascii="宋体" w:hAnsi="宋体" w:eastAsia="宋体" w:cs="宋体"/>
          <w:b w:val="0"/>
          <w:bCs/>
          <w:color w:val="auto"/>
          <w:sz w:val="21"/>
          <w:szCs w:val="21"/>
          <w:highlight w:val="none"/>
          <w:lang w:eastAsia="zh-CN"/>
        </w:rPr>
        <w:t>比选</w:t>
      </w:r>
      <w:r>
        <w:rPr>
          <w:rFonts w:hint="eastAsia" w:ascii="宋体" w:hAnsi="宋体" w:eastAsia="宋体" w:cs="宋体"/>
          <w:b w:val="0"/>
          <w:bCs/>
          <w:color w:val="auto"/>
          <w:sz w:val="21"/>
          <w:szCs w:val="21"/>
          <w:highlight w:val="none"/>
        </w:rPr>
        <w:t>人</w:t>
      </w:r>
      <w:r>
        <w:rPr>
          <w:rFonts w:hint="eastAsia" w:ascii="宋体" w:hAnsi="宋体" w:eastAsia="宋体" w:cs="宋体"/>
          <w:b w:val="0"/>
          <w:bCs/>
          <w:color w:val="auto"/>
          <w:sz w:val="21"/>
          <w:szCs w:val="21"/>
          <w:highlight w:val="none"/>
          <w:lang w:val="en-US" w:eastAsia="zh-CN"/>
        </w:rPr>
        <w:t>为</w:t>
      </w:r>
      <w:r>
        <w:rPr>
          <w:rFonts w:hint="eastAsia" w:ascii="宋体" w:hAnsi="宋体" w:eastAsia="宋体" w:cs="宋体"/>
          <w:b w:val="0"/>
          <w:bCs/>
          <w:color w:val="auto"/>
          <w:sz w:val="21"/>
          <w:szCs w:val="21"/>
          <w:highlight w:val="none"/>
          <w:u w:val="single"/>
          <w:lang w:val="en-US" w:eastAsia="zh-CN"/>
        </w:rPr>
        <w:t>重庆市合川区人民政府合阳城街道办事处</w:t>
      </w:r>
      <w:r>
        <w:rPr>
          <w:rFonts w:hint="eastAsia" w:ascii="宋体" w:hAnsi="宋体" w:eastAsia="宋体" w:cs="宋体"/>
          <w:b w:val="0"/>
          <w:bCs/>
          <w:color w:val="auto"/>
          <w:sz w:val="21"/>
          <w:szCs w:val="21"/>
          <w:highlight w:val="none"/>
        </w:rPr>
        <w:t>，建设资金来源为</w:t>
      </w:r>
      <w:r>
        <w:rPr>
          <w:rFonts w:hint="eastAsia" w:ascii="宋体" w:hAnsi="宋体" w:eastAsia="宋体" w:cs="宋体"/>
          <w:b w:val="0"/>
          <w:bCs/>
          <w:color w:val="auto"/>
          <w:sz w:val="21"/>
          <w:szCs w:val="21"/>
          <w:highlight w:val="none"/>
          <w:u w:val="single"/>
          <w:lang w:val="en-US" w:eastAsia="zh-CN"/>
        </w:rPr>
        <w:t>上级补助资金</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rPr>
        <w:t>项目出资比例</w:t>
      </w:r>
      <w:r>
        <w:rPr>
          <w:rFonts w:hint="eastAsia" w:ascii="宋体" w:hAnsi="宋体" w:eastAsia="宋体" w:cs="宋体"/>
          <w:b w:val="0"/>
          <w:bCs/>
          <w:color w:val="auto"/>
          <w:sz w:val="21"/>
          <w:szCs w:val="21"/>
          <w:highlight w:val="none"/>
          <w:u w:val="single"/>
        </w:rPr>
        <w:t>为100%</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rPr>
        <w:t>项目已具备</w:t>
      </w:r>
      <w:r>
        <w:rPr>
          <w:rFonts w:hint="eastAsia" w:ascii="宋体" w:hAnsi="宋体" w:eastAsia="宋体" w:cs="宋体"/>
          <w:b w:val="0"/>
          <w:bCs/>
          <w:color w:val="auto"/>
          <w:sz w:val="21"/>
          <w:szCs w:val="21"/>
          <w:highlight w:val="none"/>
          <w:lang w:eastAsia="zh-CN"/>
        </w:rPr>
        <w:t>比选</w:t>
      </w:r>
      <w:r>
        <w:rPr>
          <w:rFonts w:hint="eastAsia" w:ascii="宋体" w:hAnsi="宋体" w:eastAsia="宋体" w:cs="宋体"/>
          <w:b w:val="0"/>
          <w:bCs/>
          <w:color w:val="auto"/>
          <w:sz w:val="21"/>
          <w:szCs w:val="21"/>
          <w:highlight w:val="none"/>
        </w:rPr>
        <w:t>条件，现</w:t>
      </w:r>
      <w:r>
        <w:rPr>
          <w:rFonts w:hint="eastAsia" w:ascii="宋体" w:hAnsi="宋体" w:eastAsia="宋体" w:cs="宋体"/>
          <w:b w:val="0"/>
          <w:bCs/>
          <w:color w:val="auto"/>
          <w:sz w:val="21"/>
          <w:szCs w:val="21"/>
          <w:highlight w:val="none"/>
          <w:lang w:val="en-US" w:eastAsia="zh-CN"/>
        </w:rPr>
        <w:t>对</w:t>
      </w:r>
      <w:r>
        <w:rPr>
          <w:rFonts w:hint="eastAsia" w:ascii="宋体" w:hAnsi="宋体" w:eastAsia="宋体" w:cs="宋体"/>
          <w:b w:val="0"/>
          <w:bCs/>
          <w:color w:val="auto"/>
          <w:sz w:val="21"/>
          <w:szCs w:val="21"/>
          <w:highlight w:val="none"/>
          <w:u w:val="single"/>
          <w:lang w:val="en-US" w:eastAsia="zh-CN"/>
        </w:rPr>
        <w:t>合川区合阳城街道五显村小微湿地工程</w:t>
      </w:r>
      <w:r>
        <w:rPr>
          <w:rFonts w:hint="eastAsia" w:ascii="宋体" w:hAnsi="宋体" w:eastAsia="宋体" w:cs="宋体"/>
          <w:b w:val="0"/>
          <w:bCs/>
          <w:color w:val="auto"/>
          <w:sz w:val="21"/>
          <w:szCs w:val="21"/>
          <w:highlight w:val="none"/>
        </w:rPr>
        <w:t>的施工进行公开</w:t>
      </w:r>
      <w:r>
        <w:rPr>
          <w:rFonts w:hint="eastAsia" w:ascii="宋体" w:hAnsi="宋体" w:eastAsia="宋体" w:cs="宋体"/>
          <w:b w:val="0"/>
          <w:bCs/>
          <w:color w:val="auto"/>
          <w:sz w:val="21"/>
          <w:szCs w:val="21"/>
          <w:highlight w:val="none"/>
          <w:lang w:val="en-US" w:eastAsia="zh-CN"/>
        </w:rPr>
        <w:t>比选</w:t>
      </w:r>
      <w:r>
        <w:rPr>
          <w:rFonts w:hint="eastAsia" w:ascii="宋体" w:hAnsi="宋体" w:eastAsia="宋体" w:cs="宋体"/>
          <w:b w:val="0"/>
          <w:bCs/>
          <w:color w:val="auto"/>
          <w:sz w:val="21"/>
          <w:szCs w:val="21"/>
          <w:highlight w:val="none"/>
        </w:rPr>
        <w:t>。</w:t>
      </w:r>
    </w:p>
    <w:p w14:paraId="4E1A0601">
      <w:pPr>
        <w:pStyle w:val="5"/>
        <w:pageBreakBefore w:val="0"/>
        <w:widowControl w:val="0"/>
        <w:kinsoku/>
        <w:wordWrap/>
        <w:overflowPunct/>
        <w:topLinePunct w:val="0"/>
        <w:bidi w:val="0"/>
        <w:adjustRightInd w:val="0"/>
        <w:spacing w:line="440" w:lineRule="exact"/>
        <w:textAlignment w:val="auto"/>
        <w:outlineLvl w:val="1"/>
        <w:rPr>
          <w:rFonts w:hint="eastAsia" w:ascii="宋体" w:hAnsi="宋体" w:eastAsia="宋体" w:cs="宋体"/>
          <w:color w:val="auto"/>
          <w:sz w:val="21"/>
          <w:szCs w:val="21"/>
          <w:highlight w:val="none"/>
        </w:rPr>
      </w:pPr>
      <w:bookmarkStart w:id="8" w:name="_Toc12608"/>
      <w:r>
        <w:rPr>
          <w:rFonts w:hint="eastAsia" w:ascii="宋体" w:hAnsi="宋体" w:eastAsia="宋体" w:cs="宋体"/>
          <w:color w:val="auto"/>
          <w:sz w:val="21"/>
          <w:szCs w:val="21"/>
          <w:highlight w:val="none"/>
        </w:rPr>
        <w:t>2</w:t>
      </w:r>
      <w:r>
        <w:rPr>
          <w:rFonts w:hint="eastAsia" w:ascii="宋体" w:hAnsi="宋体" w:eastAsia="宋体" w:cs="宋体"/>
          <w:b w:val="0"/>
          <w:color w:val="auto"/>
          <w:sz w:val="21"/>
          <w:szCs w:val="21"/>
          <w:highlight w:val="none"/>
          <w:shd w:val="clear" w:color="auto" w:fill="FFFFFF"/>
        </w:rPr>
        <w:t>.</w:t>
      </w:r>
      <w:r>
        <w:rPr>
          <w:rFonts w:hint="eastAsia" w:ascii="宋体" w:hAnsi="宋体" w:eastAsia="宋体" w:cs="宋体"/>
          <w:color w:val="auto"/>
          <w:sz w:val="21"/>
          <w:szCs w:val="21"/>
          <w:highlight w:val="none"/>
        </w:rPr>
        <w:t>项目概况与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bookmarkEnd w:id="4"/>
      <w:bookmarkEnd w:id="5"/>
      <w:bookmarkEnd w:id="6"/>
      <w:bookmarkEnd w:id="7"/>
      <w:bookmarkEnd w:id="8"/>
    </w:p>
    <w:p w14:paraId="2B3AD82C">
      <w:pPr>
        <w:pageBreakBefore w:val="0"/>
        <w:widowControl w:val="0"/>
        <w:kinsoku/>
        <w:wordWrap/>
        <w:overflowPunct/>
        <w:topLinePunct w:val="0"/>
        <w:bidi w:val="0"/>
        <w:adjustRightInd w:val="0"/>
        <w:spacing w:line="440" w:lineRule="exact"/>
        <w:ind w:firstLine="420" w:firstLineChars="200"/>
        <w:jc w:val="left"/>
        <w:textAlignment w:val="auto"/>
        <w:rPr>
          <w:rFonts w:hint="eastAsia" w:ascii="宋体" w:hAnsi="宋体" w:eastAsia="宋体" w:cs="宋体"/>
          <w:color w:val="auto"/>
          <w:sz w:val="21"/>
          <w:szCs w:val="21"/>
          <w:highlight w:val="none"/>
        </w:rPr>
      </w:pPr>
      <w:bookmarkStart w:id="9" w:name="_Toc429471768"/>
      <w:bookmarkStart w:id="10" w:name="_Toc263326660"/>
      <w:bookmarkStart w:id="11" w:name="_Toc16761"/>
      <w:bookmarkStart w:id="12" w:name="_Toc184704555"/>
      <w:r>
        <w:rPr>
          <w:rFonts w:hint="eastAsia" w:ascii="宋体" w:hAnsi="宋体" w:eastAsia="宋体" w:cs="宋体"/>
          <w:color w:val="auto"/>
          <w:sz w:val="21"/>
          <w:szCs w:val="21"/>
          <w:highlight w:val="none"/>
        </w:rPr>
        <w:t>2.1项目地点：</w:t>
      </w:r>
      <w:r>
        <w:rPr>
          <w:rFonts w:hint="eastAsia" w:ascii="宋体" w:hAnsi="宋体" w:eastAsia="宋体" w:cs="宋体"/>
          <w:color w:val="auto"/>
          <w:sz w:val="21"/>
          <w:szCs w:val="21"/>
          <w:highlight w:val="none"/>
          <w:lang w:val="en-US" w:eastAsia="zh-CN"/>
        </w:rPr>
        <w:t>重庆市合川区</w:t>
      </w:r>
      <w:r>
        <w:rPr>
          <w:rFonts w:hint="eastAsia" w:ascii="宋体" w:hAnsi="宋体" w:eastAsia="宋体" w:cs="宋体"/>
          <w:b w:val="0"/>
          <w:color w:val="auto"/>
          <w:kern w:val="0"/>
          <w:sz w:val="21"/>
          <w:szCs w:val="21"/>
          <w:highlight w:val="none"/>
          <w:u w:val="none"/>
          <w:lang w:val="en-US" w:eastAsia="zh-CN" w:bidi="ar-SA"/>
        </w:rPr>
        <w:t>合阳城街道五显村</w:t>
      </w:r>
      <w:r>
        <w:rPr>
          <w:rFonts w:hint="eastAsia" w:ascii="宋体" w:hAnsi="宋体" w:eastAsia="宋体" w:cs="宋体"/>
          <w:color w:val="auto"/>
          <w:sz w:val="21"/>
          <w:szCs w:val="21"/>
          <w:highlight w:val="none"/>
          <w:lang w:eastAsia="zh-CN"/>
        </w:rPr>
        <w:t>。</w:t>
      </w:r>
    </w:p>
    <w:p w14:paraId="11C64EC7">
      <w:pPr>
        <w:pageBreakBefore w:val="0"/>
        <w:widowControl w:val="0"/>
        <w:kinsoku/>
        <w:wordWrap/>
        <w:overflowPunct/>
        <w:topLinePunct w:val="0"/>
        <w:bidi w:val="0"/>
        <w:adjustRightInd w:val="0"/>
        <w:spacing w:line="440" w:lineRule="exact"/>
        <w:ind w:firstLine="420" w:firstLineChars="200"/>
        <w:jc w:val="left"/>
        <w:textAlignment w:val="auto"/>
        <w:rPr>
          <w:rFonts w:hint="eastAsia" w:ascii="宋体" w:hAnsi="宋体" w:eastAsia="宋体" w:cs="宋体"/>
          <w:b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2.2项目概况与建设规模：</w:t>
      </w:r>
      <w:r>
        <w:rPr>
          <w:rFonts w:hint="eastAsia" w:ascii="宋体" w:hAnsi="宋体" w:eastAsia="宋体" w:cs="宋体"/>
          <w:color w:val="auto"/>
          <w:sz w:val="21"/>
          <w:szCs w:val="21"/>
          <w:highlight w:val="none"/>
          <w:lang w:val="en-US" w:eastAsia="zh-CN"/>
        </w:rPr>
        <w:t>本工程主</w:t>
      </w:r>
      <w:r>
        <w:rPr>
          <w:rFonts w:hint="eastAsia" w:ascii="宋体" w:hAnsi="宋体" w:eastAsia="宋体" w:cs="宋体"/>
          <w:b w:val="0"/>
          <w:color w:val="auto"/>
          <w:kern w:val="0"/>
          <w:sz w:val="21"/>
          <w:szCs w:val="21"/>
          <w:highlight w:val="none"/>
          <w:u w:val="none"/>
          <w:lang w:val="en-US" w:eastAsia="zh-CN" w:bidi="ar-SA"/>
        </w:rPr>
        <w:t>要内容包括整理绿化用地、河道清淤清杂、新建田坎、新建人行步道及栽植绿植等。</w:t>
      </w:r>
    </w:p>
    <w:p w14:paraId="1CC17FC1">
      <w:pPr>
        <w:pageBreakBefore w:val="0"/>
        <w:widowControl w:val="0"/>
        <w:kinsoku/>
        <w:wordWrap/>
        <w:overflowPunct/>
        <w:topLinePunct w:val="0"/>
        <w:bidi w:val="0"/>
        <w:adjustRightInd w:val="0"/>
        <w:spacing w:line="4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2.3工期</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120日历天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缺陷责任期12个月。</w:t>
      </w:r>
    </w:p>
    <w:p w14:paraId="42E09A2F">
      <w:pPr>
        <w:pageBreakBefore w:val="0"/>
        <w:widowControl w:val="0"/>
        <w:kinsoku/>
        <w:wordWrap/>
        <w:overflowPunct/>
        <w:topLinePunct w:val="0"/>
        <w:bidi w:val="0"/>
        <w:adjustRightInd w:val="0"/>
        <w:spacing w:line="440" w:lineRule="exact"/>
        <w:ind w:firstLine="420" w:firstLineChars="200"/>
        <w:jc w:val="left"/>
        <w:textAlignment w:val="auto"/>
        <w:rPr>
          <w:rFonts w:hint="eastAsia" w:ascii="宋体" w:hAnsi="宋体" w:eastAsia="宋体" w:cs="宋体"/>
          <w:b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r>
        <w:rPr>
          <w:rFonts w:hint="eastAsia" w:ascii="宋体" w:hAnsi="宋体" w:eastAsia="宋体" w:cs="宋体"/>
          <w:b w:val="0"/>
          <w:color w:val="auto"/>
          <w:kern w:val="0"/>
          <w:sz w:val="21"/>
          <w:szCs w:val="21"/>
          <w:highlight w:val="none"/>
          <w:u w:val="none"/>
          <w:lang w:val="en-US" w:eastAsia="zh-CN" w:bidi="ar-SA"/>
        </w:rPr>
        <w:t>具体以比选人发出的施工图、工程量清单、竞争性比选文件以及补遗、答疑、澄清中补充的全部工程内容为准。</w:t>
      </w:r>
    </w:p>
    <w:p w14:paraId="05655C8F">
      <w:pPr>
        <w:pStyle w:val="5"/>
        <w:pageBreakBefore w:val="0"/>
        <w:widowControl w:val="0"/>
        <w:kinsoku/>
        <w:wordWrap/>
        <w:overflowPunct/>
        <w:topLinePunct w:val="0"/>
        <w:bidi w:val="0"/>
        <w:adjustRightInd w:val="0"/>
        <w:spacing w:line="440" w:lineRule="exact"/>
        <w:textAlignment w:val="auto"/>
        <w:outlineLvl w:val="1"/>
        <w:rPr>
          <w:rFonts w:hint="eastAsia" w:ascii="宋体" w:hAnsi="宋体" w:eastAsia="宋体" w:cs="宋体"/>
          <w:color w:val="auto"/>
          <w:sz w:val="21"/>
          <w:szCs w:val="21"/>
          <w:highlight w:val="none"/>
        </w:rPr>
      </w:pPr>
      <w:bookmarkStart w:id="13" w:name="_Toc9181"/>
      <w:r>
        <w:rPr>
          <w:rFonts w:hint="eastAsia" w:ascii="宋体" w:hAnsi="宋体" w:eastAsia="宋体" w:cs="宋体"/>
          <w:color w:val="auto"/>
          <w:sz w:val="21"/>
          <w:szCs w:val="21"/>
          <w:highlight w:val="none"/>
        </w:rPr>
        <w:t>3</w:t>
      </w:r>
      <w:bookmarkEnd w:id="9"/>
      <w:bookmarkEnd w:id="10"/>
      <w:bookmarkEnd w:id="11"/>
      <w:bookmarkEnd w:id="1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资格要求</w:t>
      </w:r>
      <w:bookmarkEnd w:id="13"/>
    </w:p>
    <w:p w14:paraId="65301F8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kern w:val="0"/>
          <w:sz w:val="21"/>
          <w:szCs w:val="21"/>
          <w:highlight w:val="none"/>
        </w:rPr>
      </w:pPr>
      <w:bookmarkStart w:id="14" w:name="_Toc429471769"/>
      <w:bookmarkStart w:id="15" w:name="_Toc198022728"/>
      <w:bookmarkStart w:id="16" w:name="_Toc2979"/>
      <w:bookmarkStart w:id="17" w:name="_Toc3091"/>
      <w:bookmarkStart w:id="18" w:name="_Toc263326661"/>
      <w:bookmarkStart w:id="19" w:name="_Toc239574469"/>
      <w:bookmarkStart w:id="20" w:name="_Toc184704558"/>
      <w:r>
        <w:rPr>
          <w:rFonts w:hint="eastAsia" w:ascii="宋体" w:hAnsi="宋体" w:eastAsia="宋体" w:cs="宋体"/>
          <w:snapToGrid w:val="0"/>
          <w:kern w:val="0"/>
          <w:sz w:val="21"/>
          <w:szCs w:val="21"/>
          <w:highlight w:val="none"/>
        </w:rPr>
        <w:t>3.1  本次</w:t>
      </w:r>
      <w:r>
        <w:rPr>
          <w:rFonts w:hint="eastAsia" w:ascii="宋体" w:hAnsi="宋体" w:eastAsia="宋体" w:cs="宋体"/>
          <w:snapToGrid w:val="0"/>
          <w:kern w:val="0"/>
          <w:sz w:val="21"/>
          <w:szCs w:val="21"/>
          <w:highlight w:val="none"/>
          <w:lang w:eastAsia="zh-CN"/>
        </w:rPr>
        <w:t>比选</w:t>
      </w:r>
      <w:r>
        <w:rPr>
          <w:rFonts w:hint="eastAsia" w:ascii="宋体" w:hAnsi="宋体" w:eastAsia="宋体" w:cs="宋体"/>
          <w:snapToGrid w:val="0"/>
          <w:kern w:val="0"/>
          <w:sz w:val="21"/>
          <w:szCs w:val="21"/>
          <w:highlight w:val="none"/>
        </w:rPr>
        <w:t>要求竞标人须具备以下条件：</w:t>
      </w:r>
    </w:p>
    <w:p w14:paraId="0E9E19E5">
      <w:pPr>
        <w:pStyle w:val="20"/>
        <w:spacing w:before="0" w:beforeAutospacing="0" w:after="0" w:afterAutospacing="0" w:line="445" w:lineRule="exact"/>
        <w:ind w:firstLine="42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3.1.1 本次</w:t>
      </w:r>
      <w:r>
        <w:rPr>
          <w:rFonts w:hint="eastAsia" w:ascii="宋体" w:hAnsi="宋体" w:eastAsia="宋体" w:cs="宋体"/>
          <w:snapToGrid w:val="0"/>
          <w:sz w:val="21"/>
          <w:szCs w:val="21"/>
          <w:highlight w:val="none"/>
          <w:lang w:eastAsia="zh-CN"/>
        </w:rPr>
        <w:t>比选</w:t>
      </w:r>
      <w:r>
        <w:rPr>
          <w:rFonts w:hint="eastAsia" w:ascii="宋体" w:hAnsi="宋体" w:eastAsia="宋体" w:cs="宋体"/>
          <w:snapToGrid w:val="0"/>
          <w:sz w:val="21"/>
          <w:szCs w:val="21"/>
          <w:highlight w:val="none"/>
        </w:rPr>
        <w:t>要求竞标人具备以下资质条件：具备建设行政主管部门颁发的有效的市政公用工程施工总承包三级及以上资质；</w:t>
      </w:r>
    </w:p>
    <w:p w14:paraId="7AB2238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napToGrid w:val="0"/>
          <w:kern w:val="0"/>
          <w:sz w:val="21"/>
          <w:szCs w:val="21"/>
          <w:highlight w:val="none"/>
        </w:rPr>
        <w:t>3.1.2 竞标人还应在人员、设备、资金等方面具有相应的施工能力，详见</w:t>
      </w:r>
      <w:r>
        <w:rPr>
          <w:rFonts w:hint="eastAsia" w:ascii="宋体" w:hAnsi="宋体" w:eastAsia="宋体" w:cs="宋体"/>
          <w:snapToGrid w:val="0"/>
          <w:kern w:val="0"/>
          <w:sz w:val="21"/>
          <w:szCs w:val="21"/>
          <w:highlight w:val="none"/>
          <w:lang w:eastAsia="zh-CN"/>
        </w:rPr>
        <w:t>比选</w:t>
      </w:r>
      <w:r>
        <w:rPr>
          <w:rFonts w:hint="eastAsia" w:ascii="宋体" w:hAnsi="宋体" w:eastAsia="宋体" w:cs="宋体"/>
          <w:snapToGrid w:val="0"/>
          <w:kern w:val="0"/>
          <w:sz w:val="21"/>
          <w:szCs w:val="21"/>
          <w:highlight w:val="none"/>
        </w:rPr>
        <w:t>文件第二章竞标人须知前附表第1.4.1项内容。</w:t>
      </w:r>
    </w:p>
    <w:p w14:paraId="36C0A888">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3.2  本次</w:t>
      </w:r>
      <w:r>
        <w:rPr>
          <w:rFonts w:hint="eastAsia" w:ascii="宋体" w:hAnsi="宋体" w:eastAsia="宋体" w:cs="宋体"/>
          <w:snapToGrid w:val="0"/>
          <w:kern w:val="0"/>
          <w:sz w:val="21"/>
          <w:szCs w:val="21"/>
          <w:highlight w:val="none"/>
          <w:lang w:eastAsia="zh-CN"/>
        </w:rPr>
        <w:t>比选</w:t>
      </w:r>
      <w:r>
        <w:rPr>
          <w:rFonts w:hint="eastAsia" w:ascii="宋体" w:hAnsi="宋体" w:eastAsia="宋体" w:cs="宋体"/>
          <w:snapToGrid w:val="0"/>
          <w:kern w:val="0"/>
          <w:sz w:val="21"/>
          <w:szCs w:val="21"/>
          <w:highlight w:val="none"/>
        </w:rPr>
        <w:t>不接受联合体竞标。</w:t>
      </w:r>
    </w:p>
    <w:p w14:paraId="7D6B0E39">
      <w:pPr>
        <w:pStyle w:val="5"/>
        <w:pageBreakBefore w:val="0"/>
        <w:widowControl w:val="0"/>
        <w:kinsoku/>
        <w:wordWrap/>
        <w:overflowPunct/>
        <w:topLinePunct w:val="0"/>
        <w:bidi w:val="0"/>
        <w:adjustRightInd w:val="0"/>
        <w:spacing w:line="44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文件的获取</w:t>
      </w:r>
      <w:bookmarkEnd w:id="14"/>
      <w:bookmarkEnd w:id="15"/>
      <w:bookmarkEnd w:id="16"/>
      <w:bookmarkEnd w:id="17"/>
      <w:bookmarkEnd w:id="18"/>
      <w:bookmarkEnd w:id="19"/>
    </w:p>
    <w:bookmarkEnd w:id="20"/>
    <w:p w14:paraId="137ED9D2">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bookmarkStart w:id="21" w:name="_Toc11484"/>
      <w:bookmarkStart w:id="22" w:name="_Toc429471772"/>
      <w:bookmarkStart w:id="23" w:name="_Toc1249"/>
      <w:bookmarkStart w:id="24" w:name="_Toc184704560"/>
      <w:bookmarkStart w:id="25" w:name="_Toc263326663"/>
      <w:r>
        <w:rPr>
          <w:rFonts w:hint="eastAsia" w:ascii="宋体" w:hAnsi="宋体" w:eastAsia="宋体" w:cs="宋体"/>
          <w:color w:val="auto"/>
          <w:sz w:val="21"/>
          <w:szCs w:val="21"/>
          <w:highlight w:val="none"/>
          <w:lang w:val="en-US" w:eastAsia="zh-CN"/>
        </w:rPr>
        <w:t>4.1凡有意参加本项目的竞标人，请于公告发布之日起在行采家（https://www.gec123.com/）下载查阅本项目比选文件、工程量清单、图纸、补遗等全部内容。不管竞标人下载查阅与否，比选人和比选代理机构都视为竞标人已收到以上资料并全部知晓有关比选过程和事宜。</w:t>
      </w:r>
    </w:p>
    <w:p w14:paraId="43D7EAA2">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4.2本比选公告开始发布至比选截止时间止，各竞标人应随时关注行采（https://www.gec123.com/）上关于本比选项目相关修改或补充内容。</w:t>
      </w:r>
    </w:p>
    <w:p w14:paraId="10F288CA">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比选文件每套售价300元/包（售后不退）。</w:t>
      </w:r>
    </w:p>
    <w:p w14:paraId="665CC708">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 报名和比选文件购买方式</w:t>
      </w:r>
      <w:r>
        <w:rPr>
          <w:rFonts w:hint="eastAsia" w:ascii="宋体" w:hAnsi="宋体" w:eastAsia="宋体" w:cs="宋体"/>
          <w:color w:val="auto"/>
          <w:sz w:val="21"/>
          <w:szCs w:val="21"/>
          <w:highlight w:val="none"/>
        </w:rPr>
        <w:t>：</w:t>
      </w:r>
    </w:p>
    <w:p w14:paraId="6DF0AC64">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4.4.1比选文件提供期限：2025年7月16日至2025年7月18日17:30(北京时间，下同)。</w:t>
      </w:r>
    </w:p>
    <w:p w14:paraId="64BB22A2">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4.4.2报名和购买方式：</w:t>
      </w:r>
    </w:p>
    <w:p w14:paraId="38E5B3C4">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期内，</w:t>
      </w:r>
      <w:r>
        <w:rPr>
          <w:rFonts w:hint="eastAsia" w:ascii="宋体" w:hAnsi="宋体" w:eastAsia="宋体" w:cs="宋体"/>
          <w:color w:val="auto"/>
          <w:sz w:val="21"/>
          <w:szCs w:val="21"/>
          <w:highlight w:val="none"/>
          <w:lang w:val="en-US" w:eastAsia="zh-CN"/>
        </w:rPr>
        <w:t>竞标人应</w:t>
      </w:r>
      <w:r>
        <w:rPr>
          <w:rFonts w:hint="eastAsia" w:ascii="宋体" w:hAnsi="宋体" w:eastAsia="宋体" w:cs="宋体"/>
          <w:color w:val="auto"/>
          <w:sz w:val="21"/>
          <w:szCs w:val="21"/>
          <w:highlight w:val="none"/>
        </w:rPr>
        <w:t>按时缴纳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文件购买费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汇至以下账户，</w:t>
      </w:r>
      <w:r>
        <w:rPr>
          <w:rFonts w:hint="eastAsia" w:ascii="宋体" w:hAnsi="宋体" w:eastAsia="宋体" w:cs="宋体"/>
          <w:color w:val="auto"/>
          <w:sz w:val="21"/>
          <w:szCs w:val="21"/>
          <w:highlight w:val="none"/>
          <w:lang w:val="en-US" w:eastAsia="zh-CN"/>
        </w:rPr>
        <w:t>汇款</w:t>
      </w:r>
      <w:r>
        <w:rPr>
          <w:rFonts w:hint="eastAsia" w:ascii="宋体" w:hAnsi="宋体" w:eastAsia="宋体" w:cs="宋体"/>
          <w:color w:val="auto"/>
          <w:sz w:val="21"/>
          <w:szCs w:val="21"/>
          <w:highlight w:val="none"/>
        </w:rPr>
        <w:t>凭证（汇款时需注明项目名称</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项目编号）及</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文件发售登记表（加盖</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公章）扫描后发送至：</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"mailto:1983517329@qq.com"</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32794292</w:t>
      </w:r>
      <w:r>
        <w:rPr>
          <w:rFonts w:hint="eastAsia" w:ascii="宋体" w:hAnsi="宋体" w:eastAsia="宋体" w:cs="宋体"/>
          <w:color w:val="auto"/>
          <w:sz w:val="21"/>
          <w:szCs w:val="21"/>
          <w:highlight w:val="none"/>
        </w:rPr>
        <w:t>@qq.com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从基本账户将</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费汇入代理机构账户，否则不予受理</w:t>
      </w:r>
      <w:r>
        <w:rPr>
          <w:rFonts w:hint="eastAsia" w:ascii="宋体" w:hAnsi="宋体" w:eastAsia="宋体" w:cs="宋体"/>
          <w:color w:val="auto"/>
          <w:sz w:val="21"/>
          <w:szCs w:val="21"/>
          <w:highlight w:val="none"/>
          <w:lang w:eastAsia="zh-CN"/>
        </w:rPr>
        <w:t>。</w:t>
      </w:r>
    </w:p>
    <w:p w14:paraId="079A9456">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文件购买费用汇款账户信息：</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5913"/>
      </w:tblGrid>
      <w:tr w14:paraId="12E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24" w:type="dxa"/>
            <w:noWrap w:val="0"/>
            <w:vAlign w:val="center"/>
          </w:tcPr>
          <w:p w14:paraId="43CAF32A">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913" w:type="dxa"/>
            <w:noWrap w:val="0"/>
            <w:vAlign w:val="center"/>
          </w:tcPr>
          <w:p w14:paraId="2DAABB3B">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Cs/>
                <w:sz w:val="21"/>
                <w:szCs w:val="21"/>
              </w:rPr>
              <w:t>重庆渝皓阳建设工程咨询有限公司</w:t>
            </w:r>
          </w:p>
        </w:tc>
      </w:tr>
      <w:tr w14:paraId="129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24" w:type="dxa"/>
            <w:noWrap w:val="0"/>
            <w:vAlign w:val="center"/>
          </w:tcPr>
          <w:p w14:paraId="21BD0B7E">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913" w:type="dxa"/>
            <w:noWrap w:val="0"/>
            <w:vAlign w:val="center"/>
          </w:tcPr>
          <w:p w14:paraId="57B60D69">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Cs/>
                <w:sz w:val="21"/>
                <w:szCs w:val="21"/>
              </w:rPr>
              <w:t>重庆农村商业银行股份有限公司合川分行</w:t>
            </w:r>
          </w:p>
        </w:tc>
      </w:tr>
      <w:tr w14:paraId="490A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24" w:type="dxa"/>
            <w:noWrap w:val="0"/>
            <w:vAlign w:val="center"/>
          </w:tcPr>
          <w:p w14:paraId="760AF377">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5913" w:type="dxa"/>
            <w:noWrap w:val="0"/>
            <w:vAlign w:val="center"/>
          </w:tcPr>
          <w:p w14:paraId="6B0720BD">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bCs/>
                <w:sz w:val="21"/>
                <w:szCs w:val="21"/>
              </w:rPr>
              <w:t>1601010120010024816</w:t>
            </w:r>
          </w:p>
        </w:tc>
      </w:tr>
    </w:tbl>
    <w:p w14:paraId="43523D5A">
      <w:pPr>
        <w:pageBreakBefore w:val="0"/>
        <w:widowControl w:val="0"/>
        <w:kinsoku/>
        <w:wordWrap/>
        <w:overflowPunct/>
        <w:topLinePunct w:val="0"/>
        <w:bidi w:val="0"/>
        <w:adjustRightInd w:val="0"/>
        <w:spacing w:line="440" w:lineRule="exact"/>
        <w:jc w:val="left"/>
        <w:textAlignment w:val="auto"/>
        <w:outlineLvl w:val="2"/>
        <w:rPr>
          <w:rFonts w:hint="default" w:ascii="宋体" w:hAnsi="宋体" w:eastAsia="宋体" w:cs="宋体"/>
          <w:b/>
          <w:bCs/>
          <w:color w:val="auto"/>
          <w:sz w:val="21"/>
          <w:szCs w:val="21"/>
          <w:highlight w:val="none"/>
          <w:lang w:val="en-US"/>
        </w:rPr>
      </w:pPr>
      <w:bookmarkStart w:id="26" w:name="_Toc3491"/>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线上报价及文件上传</w:t>
      </w:r>
      <w:bookmarkEnd w:id="26"/>
    </w:p>
    <w:p w14:paraId="18281B56">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线上报价时间：2025年7月21日09:00-11:00。</w:t>
      </w:r>
    </w:p>
    <w:p w14:paraId="200C1380">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5.2线上报价要求：按本项目规定的时间在“行采家”平台（https://www.gec123.com）进行网上报价并按要求上传签字盖章完毕的竞标文件电子档（PDF格式）。</w:t>
      </w:r>
    </w:p>
    <w:p w14:paraId="04A3DE4A">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362D2A0">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①竞标人上传的竞标文件应按照竞标文件编制要求制作，规定签字、盖章的地方必须按规定签字、盖章，未按要求制作竞标文件的按否决投标处理。</w:t>
      </w:r>
    </w:p>
    <w:p w14:paraId="4F300BBB">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②网上报价应与竞标文件中报价一致，若不一致按否决投标处理。</w:t>
      </w:r>
    </w:p>
    <w:p w14:paraId="49A59C8A">
      <w:pPr>
        <w:pageBreakBefore w:val="0"/>
        <w:widowControl w:val="0"/>
        <w:kinsoku/>
        <w:wordWrap/>
        <w:overflowPunct/>
        <w:topLinePunct w:val="0"/>
        <w:bidi w:val="0"/>
        <w:adjustRightInd w:val="0"/>
        <w:spacing w:line="440" w:lineRule="exact"/>
        <w:jc w:val="left"/>
        <w:textAlignment w:val="auto"/>
        <w:outlineLvl w:val="2"/>
        <w:rPr>
          <w:rFonts w:hint="eastAsia" w:ascii="宋体" w:hAnsi="宋体" w:eastAsia="宋体" w:cs="宋体"/>
          <w:b/>
          <w:bCs/>
          <w:color w:val="auto"/>
          <w:sz w:val="21"/>
          <w:szCs w:val="21"/>
          <w:highlight w:val="none"/>
        </w:rPr>
      </w:pPr>
      <w:bookmarkStart w:id="27" w:name="_Toc100"/>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线下竞标文件</w:t>
      </w:r>
      <w:r>
        <w:rPr>
          <w:rFonts w:hint="eastAsia" w:ascii="宋体" w:hAnsi="宋体" w:eastAsia="宋体" w:cs="宋体"/>
          <w:b/>
          <w:bCs/>
          <w:color w:val="auto"/>
          <w:sz w:val="21"/>
          <w:szCs w:val="21"/>
          <w:highlight w:val="none"/>
        </w:rPr>
        <w:t>的递交</w:t>
      </w:r>
      <w:bookmarkEnd w:id="27"/>
    </w:p>
    <w:p w14:paraId="34CC6BED">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en-US" w:eastAsia="zh-CN"/>
        </w:rPr>
        <w:t>线下竞标文件</w:t>
      </w:r>
      <w:r>
        <w:rPr>
          <w:rFonts w:hint="eastAsia" w:ascii="宋体" w:hAnsi="宋体" w:eastAsia="宋体" w:cs="宋体"/>
          <w:color w:val="auto"/>
          <w:sz w:val="21"/>
          <w:szCs w:val="21"/>
          <w:highlight w:val="none"/>
        </w:rPr>
        <w:t>递交时间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7月21日14：00-14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p w14:paraId="17F9CFF6">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截止时间为20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7月21日14：3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p w14:paraId="02A9EEF2">
      <w:pPr>
        <w:pageBreakBefore w:val="0"/>
        <w:widowControl w:val="0"/>
        <w:kinsoku/>
        <w:wordWrap/>
        <w:overflowPunct/>
        <w:topLinePunct w:val="0"/>
        <w:bidi w:val="0"/>
        <w:adjustRightInd w:val="0"/>
        <w:spacing w:line="440" w:lineRule="exact"/>
        <w:ind w:left="416" w:leftChars="130" w:firstLine="0" w:firstLineChars="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w:t>
      </w:r>
      <w:r>
        <w:rPr>
          <w:rFonts w:hint="eastAsia" w:ascii="宋体" w:hAnsi="宋体" w:eastAsia="宋体" w:cs="宋体"/>
          <w:b w:val="0"/>
          <w:bCs/>
          <w:kern w:val="2"/>
          <w:sz w:val="21"/>
          <w:szCs w:val="21"/>
          <w:lang w:val="en-US" w:eastAsia="zh-CN" w:bidi="ar-SA"/>
        </w:rPr>
        <w:t>重庆渝皓阳建设工程咨询有限公司（地址：重庆市合川区南津街街道499号17栋21-3）</w:t>
      </w:r>
      <w:r>
        <w:rPr>
          <w:rFonts w:hint="eastAsia" w:ascii="宋体" w:hAnsi="宋体" w:eastAsia="宋体" w:cs="宋体"/>
          <w:color w:val="auto"/>
          <w:sz w:val="21"/>
          <w:szCs w:val="21"/>
          <w:highlight w:val="none"/>
          <w:lang w:val="en-US" w:eastAsia="zh-CN"/>
        </w:rPr>
        <w:t>。6.2 未递交或逾期送达的或未送达指定地点的竞标文件将被拒收，按否决投标处</w:t>
      </w:r>
      <w:bookmarkStart w:id="28" w:name="_Toc224103304"/>
      <w:bookmarkStart w:id="29" w:name="_Toc357623641"/>
      <w:bookmarkStart w:id="30" w:name="_Toc287607733"/>
      <w:bookmarkStart w:id="31" w:name="_Toc341529881"/>
      <w:bookmarkStart w:id="32" w:name="_Toc277082541"/>
      <w:r>
        <w:rPr>
          <w:rFonts w:hint="eastAsia" w:ascii="宋体" w:hAnsi="宋体" w:eastAsia="宋体" w:cs="宋体"/>
          <w:color w:val="auto"/>
          <w:sz w:val="21"/>
          <w:szCs w:val="21"/>
          <w:highlight w:val="none"/>
          <w:lang w:val="en-US" w:eastAsia="zh-CN"/>
        </w:rPr>
        <w:t>。</w:t>
      </w:r>
    </w:p>
    <w:p w14:paraId="6827BA0A">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6.3线下纸质竞标文件应与行采家平台上传电子竞标文件一致，如出现不一致情况以纸质竞标文件正本为准（若报价不一致则按否决投标处理）。</w:t>
      </w:r>
    </w:p>
    <w:p w14:paraId="7C6B5060">
      <w:pPr>
        <w:pageBreakBefore w:val="0"/>
        <w:widowControl w:val="0"/>
        <w:kinsoku/>
        <w:wordWrap/>
        <w:overflowPunct/>
        <w:topLinePunct w:val="0"/>
        <w:bidi w:val="0"/>
        <w:adjustRightInd w:val="0"/>
        <w:spacing w:line="440" w:lineRule="exact"/>
        <w:jc w:val="left"/>
        <w:textAlignment w:val="auto"/>
        <w:outlineLvl w:val="2"/>
        <w:rPr>
          <w:rFonts w:hint="eastAsia" w:ascii="宋体" w:hAnsi="宋体" w:eastAsia="宋体" w:cs="宋体"/>
          <w:b/>
          <w:bCs/>
          <w:color w:val="auto"/>
          <w:kern w:val="0"/>
          <w:sz w:val="21"/>
          <w:szCs w:val="21"/>
          <w:highlight w:val="none"/>
          <w:lang w:val="en-US" w:eastAsia="zh-CN" w:bidi="ar-SA"/>
        </w:rPr>
      </w:pPr>
      <w:bookmarkStart w:id="33" w:name="_Toc14212"/>
      <w:r>
        <w:rPr>
          <w:rFonts w:hint="eastAsia" w:ascii="宋体" w:hAnsi="宋体" w:eastAsia="宋体" w:cs="宋体"/>
          <w:b/>
          <w:bCs/>
          <w:color w:val="auto"/>
          <w:kern w:val="0"/>
          <w:sz w:val="21"/>
          <w:szCs w:val="21"/>
          <w:highlight w:val="none"/>
          <w:lang w:val="en-US" w:eastAsia="zh-CN" w:bidi="ar-SA"/>
        </w:rPr>
        <w:t>7.</w:t>
      </w:r>
      <w:bookmarkStart w:id="34" w:name="_Toc200359243"/>
      <w:bookmarkStart w:id="35" w:name="_Toc430530421"/>
      <w:bookmarkStart w:id="36" w:name="_Toc59810282"/>
      <w:bookmarkStart w:id="37" w:name="_Toc509218697"/>
      <w:bookmarkStart w:id="38" w:name="_Toc287620672"/>
      <w:bookmarkStart w:id="39" w:name="_Toc200359432"/>
      <w:r>
        <w:rPr>
          <w:rFonts w:hint="eastAsia" w:ascii="宋体" w:hAnsi="宋体" w:eastAsia="宋体" w:cs="宋体"/>
          <w:b/>
          <w:bCs/>
          <w:color w:val="auto"/>
          <w:kern w:val="0"/>
          <w:sz w:val="21"/>
          <w:szCs w:val="21"/>
          <w:highlight w:val="none"/>
          <w:lang w:val="en-US" w:eastAsia="zh-CN" w:bidi="ar-SA"/>
        </w:rPr>
        <w:t>发布公告的媒介</w:t>
      </w:r>
      <w:bookmarkEnd w:id="33"/>
      <w:bookmarkEnd w:id="34"/>
      <w:bookmarkEnd w:id="35"/>
      <w:bookmarkEnd w:id="36"/>
      <w:bookmarkEnd w:id="37"/>
      <w:bookmarkEnd w:id="38"/>
      <w:bookmarkEnd w:id="39"/>
    </w:p>
    <w:p w14:paraId="7F311BC8">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本次比选公告在行采家（https://www.gec123.com/）上发布。</w:t>
      </w:r>
      <w:bookmarkEnd w:id="28"/>
      <w:bookmarkEnd w:id="29"/>
      <w:bookmarkEnd w:id="30"/>
      <w:bookmarkEnd w:id="31"/>
      <w:bookmarkEnd w:id="32"/>
    </w:p>
    <w:p w14:paraId="411B08C4">
      <w:pPr>
        <w:pageBreakBefore w:val="0"/>
        <w:widowControl w:val="0"/>
        <w:kinsoku/>
        <w:wordWrap/>
        <w:overflowPunct/>
        <w:topLinePunct w:val="0"/>
        <w:bidi w:val="0"/>
        <w:adjustRightInd w:val="0"/>
        <w:spacing w:line="440" w:lineRule="exact"/>
        <w:jc w:val="left"/>
        <w:textAlignment w:val="auto"/>
        <w:outlineLvl w:val="2"/>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8.联系方式</w:t>
      </w:r>
      <w:bookmarkEnd w:id="21"/>
      <w:bookmarkEnd w:id="22"/>
      <w:bookmarkEnd w:id="23"/>
      <w:bookmarkEnd w:id="24"/>
      <w:bookmarkEnd w:id="25"/>
    </w:p>
    <w:p w14:paraId="03BB352F">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bookmarkStart w:id="40" w:name="_Toc430205966"/>
      <w:bookmarkStart w:id="41" w:name="_Toc492244441"/>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重庆市合川区人民政府合阳城街道办事处</w:t>
      </w:r>
      <w:r>
        <w:rPr>
          <w:rFonts w:hint="eastAsia" w:ascii="宋体" w:hAnsi="宋体" w:eastAsia="宋体" w:cs="宋体"/>
          <w:color w:val="auto"/>
          <w:sz w:val="21"/>
          <w:szCs w:val="21"/>
          <w:highlight w:val="none"/>
        </w:rPr>
        <w:t xml:space="preserve">                      </w:t>
      </w:r>
    </w:p>
    <w:p w14:paraId="73503200">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重庆市合川区合阳城街道营盘街99号</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宋体"/>
          <w:color w:val="auto"/>
          <w:sz w:val="21"/>
          <w:szCs w:val="21"/>
          <w:highlight w:val="none"/>
          <w:lang w:eastAsia="zh-CN"/>
        </w:rPr>
        <w:t xml:space="preserve">                 </w:t>
      </w:r>
    </w:p>
    <w:p w14:paraId="7CE3AC35">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auto"/>
          <w:sz w:val="21"/>
          <w:szCs w:val="21"/>
          <w:highlight w:val="none"/>
        </w:rPr>
        <w:t xml:space="preserve">老师                                </w:t>
      </w:r>
    </w:p>
    <w:p w14:paraId="229BAA2C">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18983968272</w:t>
      </w:r>
    </w:p>
    <w:p w14:paraId="051E150F">
      <w:pPr>
        <w:pStyle w:val="2"/>
        <w:rPr>
          <w:rFonts w:hint="eastAsia" w:ascii="宋体" w:hAnsi="宋体" w:eastAsia="宋体" w:cs="宋体"/>
          <w:lang w:val="en-US" w:eastAsia="zh-CN"/>
        </w:rPr>
      </w:pPr>
    </w:p>
    <w:p w14:paraId="176F4B01">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比选代理机构： 重庆渝皓阳建设工程咨询有限公司</w:t>
      </w:r>
    </w:p>
    <w:p w14:paraId="6054D7D8">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址：重庆市合川区南津街街道499号17栋21-3 </w:t>
      </w:r>
    </w:p>
    <w:p w14:paraId="770FCADC">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联系人：向老师 </w:t>
      </w:r>
    </w:p>
    <w:p w14:paraId="3600C47D">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话：19908325353</w:t>
      </w:r>
    </w:p>
    <w:p w14:paraId="5EDEC3B4">
      <w:pPr>
        <w:widowControl/>
        <w:snapToGrid w:val="0"/>
        <w:jc w:val="center"/>
        <w:outlineLvl w:val="9"/>
        <w:rPr>
          <w:rFonts w:hint="eastAsia" w:ascii="宋体" w:hAnsi="宋体" w:eastAsia="宋体" w:cs="宋体"/>
          <w:b/>
          <w:color w:val="auto"/>
          <w:sz w:val="36"/>
          <w:szCs w:val="36"/>
          <w:highlight w:val="none"/>
        </w:rPr>
      </w:pPr>
    </w:p>
    <w:p w14:paraId="2D0D9264">
      <w:pPr>
        <w:pStyle w:val="2"/>
        <w:rPr>
          <w:rFonts w:hint="eastAsia" w:ascii="宋体" w:hAnsi="宋体" w:eastAsia="宋体" w:cs="宋体"/>
          <w:b/>
          <w:color w:val="auto"/>
          <w:sz w:val="36"/>
          <w:szCs w:val="36"/>
          <w:highlight w:val="none"/>
        </w:rPr>
      </w:pPr>
    </w:p>
    <w:p w14:paraId="7AA7ACB8">
      <w:pPr>
        <w:rPr>
          <w:rFonts w:hint="eastAsia" w:ascii="宋体" w:hAnsi="宋体" w:eastAsia="宋体" w:cs="宋体"/>
          <w:b/>
          <w:color w:val="auto"/>
          <w:sz w:val="36"/>
          <w:szCs w:val="36"/>
          <w:highlight w:val="none"/>
        </w:rPr>
      </w:pPr>
      <w:bookmarkStart w:id="42" w:name="_Toc7190"/>
      <w:r>
        <w:rPr>
          <w:rFonts w:hint="eastAsia" w:ascii="宋体" w:hAnsi="宋体" w:eastAsia="宋体" w:cs="宋体"/>
          <w:b/>
          <w:color w:val="auto"/>
          <w:sz w:val="36"/>
          <w:szCs w:val="36"/>
          <w:highlight w:val="none"/>
        </w:rPr>
        <w:br w:type="page"/>
      </w:r>
    </w:p>
    <w:p w14:paraId="7E49125B">
      <w:pPr>
        <w:widowControl/>
        <w:snapToGrid w:val="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第二章  </w:t>
      </w:r>
      <w:r>
        <w:rPr>
          <w:rFonts w:hint="eastAsia" w:ascii="宋体" w:hAnsi="宋体" w:eastAsia="宋体" w:cs="宋体"/>
          <w:b/>
          <w:color w:val="auto"/>
          <w:sz w:val="36"/>
          <w:szCs w:val="36"/>
          <w:highlight w:val="none"/>
          <w:lang w:val="en-US" w:eastAsia="zh-CN"/>
        </w:rPr>
        <w:t>竞标人</w:t>
      </w:r>
      <w:r>
        <w:rPr>
          <w:rFonts w:hint="eastAsia" w:ascii="宋体" w:hAnsi="宋体" w:eastAsia="宋体" w:cs="宋体"/>
          <w:b/>
          <w:color w:val="auto"/>
          <w:sz w:val="36"/>
          <w:szCs w:val="36"/>
          <w:highlight w:val="none"/>
        </w:rPr>
        <w:t>须知</w:t>
      </w:r>
      <w:bookmarkEnd w:id="40"/>
      <w:bookmarkEnd w:id="41"/>
      <w:bookmarkEnd w:id="42"/>
    </w:p>
    <w:p w14:paraId="3A68439A">
      <w:pPr>
        <w:spacing w:line="380" w:lineRule="exact"/>
        <w:outlineLvl w:val="1"/>
        <w:rPr>
          <w:rFonts w:hint="eastAsia" w:ascii="宋体" w:hAnsi="宋体" w:eastAsia="宋体" w:cs="宋体"/>
          <w:b/>
          <w:color w:val="auto"/>
          <w:sz w:val="24"/>
          <w:highlight w:val="none"/>
        </w:rPr>
      </w:pPr>
      <w:bookmarkStart w:id="43" w:name="_Toc430205967"/>
      <w:bookmarkStart w:id="44" w:name="_Toc492244442"/>
      <w:bookmarkStart w:id="45" w:name="_Toc10682"/>
      <w:bookmarkStart w:id="46" w:name="_Toc21666"/>
      <w:r>
        <w:rPr>
          <w:rFonts w:hint="eastAsia" w:ascii="宋体" w:hAnsi="宋体" w:eastAsia="宋体" w:cs="宋体"/>
          <w:b/>
          <w:color w:val="auto"/>
          <w:sz w:val="24"/>
          <w:highlight w:val="none"/>
          <w:lang w:eastAsia="zh-CN"/>
        </w:rPr>
        <w:t>竞标人</w:t>
      </w:r>
      <w:r>
        <w:rPr>
          <w:rFonts w:hint="eastAsia" w:ascii="宋体" w:hAnsi="宋体" w:eastAsia="宋体" w:cs="宋体"/>
          <w:b/>
          <w:color w:val="auto"/>
          <w:sz w:val="24"/>
          <w:highlight w:val="none"/>
        </w:rPr>
        <w:t>须知前附表</w:t>
      </w:r>
      <w:bookmarkEnd w:id="43"/>
      <w:bookmarkEnd w:id="44"/>
      <w:bookmarkEnd w:id="45"/>
      <w:bookmarkEnd w:id="46"/>
    </w:p>
    <w:tbl>
      <w:tblPr>
        <w:tblStyle w:val="22"/>
        <w:tblpPr w:leftFromText="180" w:rightFromText="180" w:vertAnchor="text" w:horzAnchor="page" w:tblpX="1578" w:tblpY="99"/>
        <w:tblOverlap w:val="never"/>
        <w:tblW w:w="9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1404"/>
        <w:gridCol w:w="6908"/>
      </w:tblGrid>
      <w:tr w14:paraId="1851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tcPr>
          <w:p w14:paraId="39BAE1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1"/>
                <w:szCs w:val="21"/>
                <w:highlight w:val="none"/>
              </w:rPr>
              <w:t>条款号</w:t>
            </w:r>
          </w:p>
        </w:tc>
        <w:tc>
          <w:tcPr>
            <w:tcW w:w="1404" w:type="dxa"/>
          </w:tcPr>
          <w:p w14:paraId="31EE4B7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6908" w:type="dxa"/>
          </w:tcPr>
          <w:p w14:paraId="537FB07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0E07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39D2B2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404" w:type="dxa"/>
            <w:vAlign w:val="center"/>
          </w:tcPr>
          <w:p w14:paraId="57CD3E9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908" w:type="dxa"/>
            <w:vAlign w:val="center"/>
          </w:tcPr>
          <w:p w14:paraId="1B7FB024">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重庆市合川区人民政府合阳城街道办事处</w:t>
            </w:r>
            <w:r>
              <w:rPr>
                <w:rFonts w:hint="eastAsia" w:ascii="宋体" w:hAnsi="宋体" w:eastAsia="宋体" w:cs="宋体"/>
                <w:color w:val="auto"/>
                <w:sz w:val="21"/>
                <w:szCs w:val="21"/>
                <w:highlight w:val="none"/>
              </w:rPr>
              <w:t xml:space="preserve">                      </w:t>
            </w:r>
          </w:p>
          <w:p w14:paraId="4CA9CD13">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重庆市合川区合阳城街道营盘街99号</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i w:val="0"/>
                <w:iCs w:val="0"/>
                <w:caps w:val="0"/>
                <w:color w:val="333333"/>
                <w:spacing w:val="0"/>
                <w:sz w:val="14"/>
                <w:szCs w:val="14"/>
                <w:shd w:val="clear" w:fill="FFFFFF"/>
              </w:rPr>
              <w:t> </w:t>
            </w:r>
            <w:r>
              <w:rPr>
                <w:rFonts w:hint="eastAsia" w:ascii="宋体" w:hAnsi="宋体" w:eastAsia="宋体" w:cs="宋体"/>
                <w:color w:val="auto"/>
                <w:sz w:val="21"/>
                <w:szCs w:val="21"/>
                <w:highlight w:val="none"/>
                <w:lang w:eastAsia="zh-CN"/>
              </w:rPr>
              <w:t xml:space="preserve">                 </w:t>
            </w:r>
          </w:p>
          <w:p w14:paraId="09C5625E">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auto"/>
                <w:sz w:val="21"/>
                <w:szCs w:val="21"/>
                <w:highlight w:val="none"/>
              </w:rPr>
              <w:t xml:space="preserve">老师                                </w:t>
            </w:r>
          </w:p>
          <w:p w14:paraId="5FC1EC36">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18983968272</w:t>
            </w:r>
          </w:p>
        </w:tc>
      </w:tr>
      <w:tr w14:paraId="399B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2915EB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404" w:type="dxa"/>
            <w:vAlign w:val="center"/>
          </w:tcPr>
          <w:p w14:paraId="09D340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908" w:type="dxa"/>
            <w:vAlign w:val="center"/>
          </w:tcPr>
          <w:p w14:paraId="2135F606">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比选代理机构： 重庆渝皓阳建设工程咨询有限公司</w:t>
            </w:r>
          </w:p>
          <w:p w14:paraId="182B6ED6">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址：重庆市合川区南津街街道499号17栋21-3 </w:t>
            </w:r>
          </w:p>
          <w:p w14:paraId="342F9CA0">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联系人：向老师 </w:t>
            </w:r>
          </w:p>
          <w:p w14:paraId="4E55AEC0">
            <w:pPr>
              <w:pageBreakBefore w:val="0"/>
              <w:widowControl w:val="0"/>
              <w:tabs>
                <w:tab w:val="left" w:pos="5140"/>
                <w:tab w:val="left" w:pos="842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话：19908325353</w:t>
            </w:r>
          </w:p>
        </w:tc>
      </w:tr>
      <w:tr w14:paraId="7C3D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113" w:type="dxa"/>
            <w:vAlign w:val="center"/>
          </w:tcPr>
          <w:p w14:paraId="28D9EF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404" w:type="dxa"/>
            <w:vAlign w:val="center"/>
          </w:tcPr>
          <w:p w14:paraId="5E5E5F6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08" w:type="dxa"/>
            <w:vAlign w:val="center"/>
          </w:tcPr>
          <w:p w14:paraId="6BDB65DA">
            <w:pPr>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 w:val="0"/>
                <w:color w:val="auto"/>
                <w:kern w:val="0"/>
                <w:sz w:val="21"/>
                <w:szCs w:val="21"/>
                <w:highlight w:val="none"/>
                <w:u w:val="none"/>
                <w:lang w:val="en-US" w:eastAsia="zh-CN" w:bidi="ar-SA"/>
              </w:rPr>
              <w:t>合川区合阳城街道五显村小微湿地工程</w:t>
            </w:r>
          </w:p>
        </w:tc>
      </w:tr>
      <w:tr w14:paraId="78A1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33B97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404" w:type="dxa"/>
            <w:vAlign w:val="center"/>
          </w:tcPr>
          <w:p w14:paraId="57DEBB6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908" w:type="dxa"/>
            <w:vAlign w:val="center"/>
          </w:tcPr>
          <w:p w14:paraId="41C6341E">
            <w:pPr>
              <w:spacing w:line="240" w:lineRule="auto"/>
              <w:ind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重庆市合川区</w:t>
            </w:r>
            <w:r>
              <w:rPr>
                <w:rFonts w:hint="eastAsia" w:ascii="宋体" w:hAnsi="宋体" w:eastAsia="宋体" w:cs="宋体"/>
                <w:b w:val="0"/>
                <w:color w:val="auto"/>
                <w:kern w:val="0"/>
                <w:sz w:val="21"/>
                <w:szCs w:val="21"/>
                <w:highlight w:val="none"/>
                <w:u w:val="none"/>
                <w:lang w:val="en-US" w:eastAsia="zh-CN" w:bidi="ar-SA"/>
              </w:rPr>
              <w:t>合阳城街道五显村</w:t>
            </w:r>
            <w:r>
              <w:rPr>
                <w:rFonts w:hint="eastAsia" w:ascii="宋体" w:hAnsi="宋体" w:eastAsia="宋体" w:cs="宋体"/>
                <w:color w:val="auto"/>
                <w:sz w:val="21"/>
                <w:szCs w:val="21"/>
                <w:highlight w:val="none"/>
                <w:lang w:eastAsia="zh-CN"/>
              </w:rPr>
              <w:t>。</w:t>
            </w:r>
          </w:p>
        </w:tc>
      </w:tr>
      <w:tr w14:paraId="0734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3E304372">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1.1.6</w:t>
            </w:r>
          </w:p>
        </w:tc>
        <w:tc>
          <w:tcPr>
            <w:tcW w:w="1404" w:type="dxa"/>
            <w:vAlign w:val="center"/>
          </w:tcPr>
          <w:p w14:paraId="3914B89F">
            <w:pPr>
              <w:autoSpaceDE w:val="0"/>
              <w:autoSpaceDN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6908" w:type="dxa"/>
            <w:vAlign w:val="center"/>
          </w:tcPr>
          <w:p w14:paraId="1A5DD5F3">
            <w:pPr>
              <w:pageBreakBefore w:val="0"/>
              <w:widowControl w:val="0"/>
              <w:kinsoku/>
              <w:wordWrap/>
              <w:overflowPunct/>
              <w:topLinePunct w:val="0"/>
              <w:bidi w:val="0"/>
              <w:adjustRightInd w:val="0"/>
              <w:spacing w:line="440" w:lineRule="exact"/>
              <w:ind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val="0"/>
                <w:color w:val="auto"/>
                <w:kern w:val="0"/>
                <w:sz w:val="21"/>
                <w:szCs w:val="21"/>
                <w:highlight w:val="none"/>
                <w:u w:val="none"/>
                <w:lang w:val="en-US" w:eastAsia="zh-CN" w:bidi="ar-SA"/>
              </w:rPr>
              <w:t>本工程主要内容包括整理绿化用地、河道清淤清杂、新建田坎、新建人行步道及栽植绿植等。</w:t>
            </w:r>
          </w:p>
        </w:tc>
      </w:tr>
      <w:tr w14:paraId="47ED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15C22E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404" w:type="dxa"/>
            <w:vAlign w:val="center"/>
          </w:tcPr>
          <w:p w14:paraId="59F51EA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908" w:type="dxa"/>
            <w:vAlign w:val="bottom"/>
          </w:tcPr>
          <w:p w14:paraId="212708AA">
            <w:p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上级补助</w:t>
            </w:r>
            <w:r>
              <w:rPr>
                <w:rFonts w:hint="eastAsia" w:ascii="宋体" w:hAnsi="宋体" w:eastAsia="宋体" w:cs="宋体"/>
                <w:color w:val="auto"/>
                <w:sz w:val="21"/>
                <w:szCs w:val="21"/>
                <w:highlight w:val="none"/>
                <w:lang w:eastAsia="zh-CN"/>
              </w:rPr>
              <w:t>资金。</w:t>
            </w:r>
          </w:p>
        </w:tc>
      </w:tr>
      <w:tr w14:paraId="59AE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2F4A570B">
            <w:pPr>
              <w:snapToGrid w:val="0"/>
              <w:spacing w:line="400" w:lineRule="exact"/>
              <w:jc w:val="center"/>
              <w:rPr>
                <w:rFonts w:hint="eastAsia" w:ascii="宋体" w:hAnsi="宋体" w:eastAsia="宋体" w:cs="宋体"/>
                <w:color w:val="auto"/>
                <w:sz w:val="21"/>
                <w:szCs w:val="21"/>
                <w:highlight w:val="none"/>
              </w:rPr>
            </w:pPr>
            <w:r>
              <w:rPr>
                <w:rFonts w:ascii="宋体" w:hAnsi="宋体"/>
                <w:kern w:val="0"/>
                <w:sz w:val="21"/>
                <w:szCs w:val="21"/>
              </w:rPr>
              <w:t>1.2.2</w:t>
            </w:r>
          </w:p>
        </w:tc>
        <w:tc>
          <w:tcPr>
            <w:tcW w:w="1404" w:type="dxa"/>
            <w:vAlign w:val="center"/>
          </w:tcPr>
          <w:p w14:paraId="6C083096">
            <w:pPr>
              <w:snapToGrid w:val="0"/>
              <w:spacing w:line="400" w:lineRule="exact"/>
              <w:jc w:val="center"/>
              <w:rPr>
                <w:rFonts w:hint="eastAsia" w:ascii="宋体" w:hAnsi="宋体" w:eastAsia="宋体" w:cs="宋体"/>
                <w:color w:val="auto"/>
                <w:sz w:val="21"/>
                <w:szCs w:val="21"/>
                <w:highlight w:val="none"/>
              </w:rPr>
            </w:pPr>
            <w:r>
              <w:rPr>
                <w:rFonts w:ascii="宋体" w:hAnsi="宋体"/>
                <w:kern w:val="0"/>
                <w:sz w:val="21"/>
                <w:szCs w:val="21"/>
              </w:rPr>
              <w:t>出资比例</w:t>
            </w:r>
          </w:p>
        </w:tc>
        <w:tc>
          <w:tcPr>
            <w:tcW w:w="6908" w:type="dxa"/>
            <w:vAlign w:val="center"/>
          </w:tcPr>
          <w:p w14:paraId="5F86E348">
            <w:pPr>
              <w:snapToGrid w:val="0"/>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sz w:val="21"/>
                <w:szCs w:val="21"/>
                <w:u w:val="single"/>
              </w:rPr>
              <w:t>100%</w:t>
            </w:r>
          </w:p>
        </w:tc>
      </w:tr>
      <w:tr w14:paraId="4CBA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3" w:type="dxa"/>
            <w:vAlign w:val="center"/>
          </w:tcPr>
          <w:p w14:paraId="29C7D6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404" w:type="dxa"/>
            <w:vAlign w:val="center"/>
          </w:tcPr>
          <w:p w14:paraId="2246E32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908" w:type="dxa"/>
            <w:vAlign w:val="center"/>
          </w:tcPr>
          <w:p w14:paraId="00DA537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1F26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1113" w:type="dxa"/>
            <w:vAlign w:val="center"/>
          </w:tcPr>
          <w:p w14:paraId="00874A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404" w:type="dxa"/>
            <w:vAlign w:val="center"/>
          </w:tcPr>
          <w:p w14:paraId="3BF159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908" w:type="dxa"/>
            <w:vAlign w:val="center"/>
          </w:tcPr>
          <w:p w14:paraId="788059D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u w:val="none"/>
                <w:lang w:val="en-US" w:eastAsia="zh-CN" w:bidi="ar-SA"/>
              </w:rPr>
              <w:t>具体以比选人发出的施工图、工程量清单、竞争性比选文件以及补遗、答疑、澄清中补充的全部工程内容为准。</w:t>
            </w:r>
          </w:p>
        </w:tc>
      </w:tr>
      <w:tr w14:paraId="6B6F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779C25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404" w:type="dxa"/>
            <w:vAlign w:val="center"/>
          </w:tcPr>
          <w:p w14:paraId="1C45903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p>
          <w:p w14:paraId="7655FB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缺陷责任期</w:t>
            </w:r>
          </w:p>
        </w:tc>
        <w:tc>
          <w:tcPr>
            <w:tcW w:w="6908" w:type="dxa"/>
            <w:vAlign w:val="center"/>
          </w:tcPr>
          <w:p w14:paraId="20929FF7">
            <w:pPr>
              <w:spacing w:line="24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lang w:val="en-US" w:eastAsia="zh-CN"/>
              </w:rPr>
              <w:t>120日历天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缺陷责任期：12个月。</w:t>
            </w:r>
          </w:p>
        </w:tc>
      </w:tr>
      <w:tr w14:paraId="7D66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113" w:type="dxa"/>
            <w:vAlign w:val="center"/>
          </w:tcPr>
          <w:p w14:paraId="4661E6E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404" w:type="dxa"/>
            <w:vAlign w:val="center"/>
          </w:tcPr>
          <w:p w14:paraId="009EA34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908" w:type="dxa"/>
            <w:vAlign w:val="center"/>
          </w:tcPr>
          <w:p w14:paraId="400927F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符合强制性质量标准，符合国家和重庆市现行有关施工质量验收规范要求，并达到合格标准。绿化植物养护期自项目竣工验收合格之日起 1 年，栽植及养护期间成活率要求达到100%。</w:t>
            </w:r>
          </w:p>
        </w:tc>
      </w:tr>
      <w:tr w14:paraId="6CB0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28C32C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404" w:type="dxa"/>
            <w:vAlign w:val="center"/>
          </w:tcPr>
          <w:p w14:paraId="4ADE3728">
            <w:pPr>
              <w:autoSpaceDE w:val="0"/>
              <w:autoSpaceDN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lang w:val="en-US" w:eastAsia="zh-CN"/>
              </w:rPr>
              <w:t>竞标人</w:t>
            </w:r>
            <w:r>
              <w:rPr>
                <w:rFonts w:hint="eastAsia" w:ascii="宋体" w:hAnsi="宋体" w:eastAsia="宋体" w:cs="宋体"/>
                <w:snapToGrid w:val="0"/>
                <w:color w:val="auto"/>
                <w:sz w:val="21"/>
                <w:szCs w:val="21"/>
                <w:highlight w:val="none"/>
              </w:rPr>
              <w:t>的资格条件、能力和信誉</w:t>
            </w:r>
          </w:p>
        </w:tc>
        <w:tc>
          <w:tcPr>
            <w:tcW w:w="6908" w:type="dxa"/>
            <w:vAlign w:val="center"/>
          </w:tcPr>
          <w:p w14:paraId="2A74250A">
            <w:pPr>
              <w:pStyle w:val="51"/>
              <w:pBdr>
                <w:top w:val="none" w:color="auto" w:sz="0" w:space="0"/>
                <w:left w:val="none" w:color="auto" w:sz="0" w:space="0"/>
                <w:bottom w:val="none" w:color="auto" w:sz="0" w:space="0"/>
                <w:right w:val="none" w:color="auto" w:sz="0" w:space="0"/>
              </w:pBdr>
              <w:spacing w:line="360" w:lineRule="auto"/>
              <w:ind w:firstLine="420" w:firstLineChars="200"/>
              <w:jc w:val="left"/>
              <w:rPr>
                <w:rFonts w:hint="eastAsia" w:ascii="宋体" w:hAnsi="宋体" w:eastAsia="宋体" w:cs="宋体"/>
                <w:b/>
                <w:color w:val="auto"/>
                <w:sz w:val="21"/>
                <w:szCs w:val="21"/>
                <w:highlight w:val="none"/>
              </w:rPr>
            </w:pPr>
            <w:r>
              <w:rPr>
                <w:rStyle w:val="26"/>
                <w:rFonts w:hint="eastAsia" w:cs="宋体"/>
                <w:sz w:val="21"/>
                <w:szCs w:val="21"/>
                <w:lang w:val="zh-TW" w:eastAsia="zh-TW"/>
              </w:rPr>
              <w:t>本工程</w:t>
            </w:r>
            <w:r>
              <w:rPr>
                <w:rStyle w:val="26"/>
                <w:rFonts w:hint="eastAsia" w:cs="宋体"/>
                <w:sz w:val="21"/>
                <w:szCs w:val="21"/>
                <w:lang w:val="en-US" w:eastAsia="zh-CN"/>
              </w:rPr>
              <w:t>施工</w:t>
            </w:r>
            <w:r>
              <w:rPr>
                <w:rStyle w:val="26"/>
                <w:rFonts w:hint="eastAsia" w:cs="宋体"/>
                <w:sz w:val="21"/>
                <w:szCs w:val="21"/>
                <w:lang w:val="zh-TW" w:eastAsia="zh-CN"/>
              </w:rPr>
              <w:t>比选</w:t>
            </w:r>
            <w:r>
              <w:rPr>
                <w:rStyle w:val="26"/>
                <w:rFonts w:hint="eastAsia" w:cs="宋体"/>
                <w:sz w:val="21"/>
                <w:szCs w:val="21"/>
                <w:lang w:val="zh-TW" w:eastAsia="zh-TW"/>
              </w:rPr>
              <w:t>实行资格后审，</w:t>
            </w:r>
            <w:r>
              <w:rPr>
                <w:rStyle w:val="26"/>
                <w:rFonts w:hint="eastAsia" w:cs="宋体"/>
                <w:sz w:val="21"/>
                <w:szCs w:val="21"/>
                <w:lang w:val="en-US" w:eastAsia="zh-CN"/>
              </w:rPr>
              <w:t>竞标人</w:t>
            </w:r>
            <w:r>
              <w:rPr>
                <w:rStyle w:val="26"/>
                <w:rFonts w:hint="eastAsia" w:cs="宋体"/>
                <w:sz w:val="21"/>
                <w:szCs w:val="21"/>
                <w:lang w:val="zh-TW" w:eastAsia="zh-TW"/>
              </w:rPr>
              <w:t>应具备以下资格条件：</w:t>
            </w:r>
          </w:p>
          <w:p w14:paraId="1358767C">
            <w:pPr>
              <w:pStyle w:val="51"/>
              <w:pBdr>
                <w:top w:val="none" w:color="auto" w:sz="0" w:space="0"/>
                <w:left w:val="none" w:color="auto" w:sz="0" w:space="0"/>
                <w:bottom w:val="none" w:color="auto" w:sz="0" w:space="0"/>
                <w:right w:val="none" w:color="auto" w:sz="0" w:space="0"/>
              </w:pBdr>
              <w:spacing w:line="360" w:lineRule="auto"/>
              <w:ind w:firstLine="416"/>
              <w:jc w:val="left"/>
              <w:rPr>
                <w:rStyle w:val="26"/>
                <w:rFonts w:hint="eastAsia" w:cs="宋体"/>
                <w:b/>
                <w:bCs/>
                <w:sz w:val="21"/>
                <w:szCs w:val="21"/>
              </w:rPr>
            </w:pPr>
            <w:r>
              <w:rPr>
                <w:rStyle w:val="26"/>
                <w:rFonts w:hint="eastAsia" w:cs="宋体"/>
                <w:b/>
                <w:bCs/>
                <w:sz w:val="21"/>
                <w:szCs w:val="21"/>
              </w:rPr>
              <w:t>1.</w:t>
            </w:r>
            <w:r>
              <w:rPr>
                <w:rStyle w:val="26"/>
                <w:rFonts w:hint="eastAsia" w:cs="宋体"/>
                <w:b/>
                <w:bCs/>
                <w:sz w:val="21"/>
                <w:szCs w:val="21"/>
                <w:lang w:val="zh-TW" w:eastAsia="zh-TW"/>
              </w:rPr>
              <w:t>资质条件、营业执照及安全生产条件</w:t>
            </w:r>
          </w:p>
          <w:p w14:paraId="2658D9C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（1）具备建设行政主管部门颁发的</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u w:val="single"/>
                <w:lang w:val="en-US" w:eastAsia="zh-CN"/>
              </w:rPr>
              <w:t>市政公用</w:t>
            </w:r>
            <w:r>
              <w:rPr>
                <w:rFonts w:hint="eastAsia" w:ascii="宋体" w:hAnsi="宋体" w:eastAsia="宋体" w:cs="宋体"/>
                <w:color w:val="auto"/>
                <w:sz w:val="21"/>
                <w:szCs w:val="21"/>
                <w:highlight w:val="none"/>
                <w:u w:val="single"/>
              </w:rPr>
              <w:t>工程施工总承包</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级及以上</w:t>
            </w:r>
            <w:r>
              <w:rPr>
                <w:rFonts w:hint="eastAsia" w:ascii="宋体" w:hAnsi="宋体" w:eastAsia="宋体" w:cs="宋体"/>
                <w:color w:val="auto"/>
                <w:sz w:val="21"/>
                <w:szCs w:val="21"/>
                <w:highlight w:val="none"/>
              </w:rPr>
              <w:t>资质。</w:t>
            </w:r>
          </w:p>
          <w:p w14:paraId="7DBF1326">
            <w:pPr>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竞标人</w:t>
            </w:r>
            <w:r>
              <w:rPr>
                <w:rFonts w:hint="eastAsia" w:ascii="宋体" w:hAnsi="宋体" w:eastAsia="宋体" w:cs="宋体"/>
                <w:b/>
                <w:bCs/>
                <w:color w:val="auto"/>
                <w:sz w:val="21"/>
                <w:szCs w:val="21"/>
                <w:highlight w:val="none"/>
              </w:rPr>
              <w:t>须在</w:t>
            </w:r>
            <w:r>
              <w:rPr>
                <w:rFonts w:hint="eastAsia" w:ascii="宋体" w:hAnsi="宋体" w:eastAsia="宋体" w:cs="宋体"/>
                <w:b/>
                <w:bCs/>
                <w:color w:val="auto"/>
                <w:sz w:val="21"/>
                <w:szCs w:val="21"/>
                <w:highlight w:val="none"/>
                <w:lang w:val="en-US" w:eastAsia="zh-CN"/>
              </w:rPr>
              <w:t>竞标文件</w:t>
            </w:r>
            <w:r>
              <w:rPr>
                <w:rFonts w:hint="eastAsia" w:ascii="宋体" w:hAnsi="宋体" w:eastAsia="宋体" w:cs="宋体"/>
                <w:b/>
                <w:bCs/>
                <w:color w:val="auto"/>
                <w:sz w:val="21"/>
                <w:szCs w:val="21"/>
                <w:highlight w:val="none"/>
              </w:rPr>
              <w:t>资格审查部分提供有效的资质证书。</w:t>
            </w:r>
          </w:p>
          <w:p w14:paraId="70EB919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（2）具备有效的营业执照。</w:t>
            </w:r>
          </w:p>
          <w:p w14:paraId="2E3305D7">
            <w:pPr>
              <w:spacing w:line="360" w:lineRule="auto"/>
              <w:ind w:left="416" w:leftChars="13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竞标人须在竞标文件资格审查部分提供有效的营业执照。</w:t>
            </w:r>
            <w:r>
              <w:rPr>
                <w:rFonts w:hint="eastAsia" w:ascii="宋体" w:hAnsi="宋体" w:eastAsia="宋体" w:cs="宋体"/>
                <w:color w:val="auto"/>
                <w:sz w:val="21"/>
                <w:szCs w:val="21"/>
                <w:highlight w:val="none"/>
                <w:lang w:val="en-US" w:eastAsia="zh-CN"/>
              </w:rPr>
              <w:t>注：不得将竞标人营业执照记载的经营范围作为评审因素。</w:t>
            </w:r>
          </w:p>
          <w:p w14:paraId="446A7C1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（3）具备建设行政主管部门颁发的有效的安全生产许可证，企业主要负责人、拟担任该项目项目经理具备相应的由建设行政主管部门颁发的有效的安全生产考核合格证书。</w:t>
            </w:r>
          </w:p>
          <w:p w14:paraId="05BB640E">
            <w:pPr>
              <w:spacing w:line="360" w:lineRule="auto"/>
              <w:ind w:firstLine="422" w:firstLineChars="200"/>
              <w:jc w:val="left"/>
              <w:rPr>
                <w:rFonts w:ascii="宋体" w:hAnsi="宋体"/>
                <w:b/>
                <w:bCs/>
                <w:szCs w:val="21"/>
              </w:rPr>
            </w:pPr>
            <w:r>
              <w:rPr>
                <w:rFonts w:hint="eastAsia" w:ascii="宋体" w:hAnsi="宋体" w:eastAsia="宋体" w:cs="宋体"/>
                <w:b/>
                <w:bCs/>
                <w:color w:val="auto"/>
                <w:sz w:val="21"/>
                <w:szCs w:val="21"/>
                <w:highlight w:val="none"/>
                <w:lang w:val="en-US" w:eastAsia="zh-CN"/>
              </w:rPr>
              <w:t>竞标人须在竞标文件资格审查部分提供有效的安全生产许可证及安全生产考核合格证书。</w:t>
            </w:r>
          </w:p>
          <w:p w14:paraId="1A328D55">
            <w:pPr>
              <w:autoSpaceDE w:val="0"/>
              <w:autoSpaceDN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截止日</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资格情况</w:t>
            </w:r>
          </w:p>
          <w:p w14:paraId="16F5C64A">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2668B592">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（2）被列入《重庆市工程建设领域招标</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信用管理暂行办法》规定的重点关注名单且记分达到12分且在记分有效期内；</w:t>
            </w:r>
          </w:p>
          <w:p w14:paraId="6E33EF1A">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（3）被列入《重庆市工程建设领域招标</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信用管理暂行办法》规定的重庆市工程建设领域招标</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失信惩戒对象名单（以下称黑名单）且在有效期内；</w:t>
            </w:r>
          </w:p>
          <w:p w14:paraId="334053D2">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资格行政处罚，且在处罚期限内；</w:t>
            </w:r>
          </w:p>
          <w:p w14:paraId="6DF4AA6F">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（5）被重庆市</w:t>
            </w:r>
            <w:r>
              <w:rPr>
                <w:rFonts w:hint="eastAsia" w:ascii="宋体" w:hAnsi="宋体" w:eastAsia="宋体" w:cs="宋体"/>
                <w:color w:val="auto"/>
                <w:sz w:val="21"/>
                <w:szCs w:val="21"/>
                <w:highlight w:val="none"/>
                <w:lang w:eastAsia="zh-CN"/>
              </w:rPr>
              <w:t>市级有关行业</w:t>
            </w:r>
            <w:r>
              <w:rPr>
                <w:rFonts w:hint="eastAsia" w:ascii="宋体" w:hAnsi="宋体" w:eastAsia="宋体" w:cs="宋体"/>
                <w:color w:val="auto"/>
                <w:sz w:val="21"/>
                <w:szCs w:val="21"/>
                <w:highlight w:val="none"/>
              </w:rPr>
              <w:t>主管部门暂停在渝承揽新业务</w:t>
            </w:r>
            <w:bookmarkStart w:id="47" w:name="_Hlk45899808"/>
            <w:r>
              <w:rPr>
                <w:rFonts w:hint="eastAsia" w:ascii="宋体" w:hAnsi="宋体" w:eastAsia="宋体" w:cs="宋体"/>
                <w:color w:val="auto"/>
                <w:sz w:val="21"/>
                <w:szCs w:val="21"/>
                <w:highlight w:val="none"/>
              </w:rPr>
              <w:t>且在暂停期内</w:t>
            </w:r>
            <w:bookmarkEnd w:id="47"/>
            <w:r>
              <w:rPr>
                <w:rFonts w:hint="eastAsia" w:ascii="宋体" w:hAnsi="宋体" w:eastAsia="宋体" w:cs="宋体"/>
                <w:color w:val="auto"/>
                <w:sz w:val="21"/>
                <w:szCs w:val="21"/>
                <w:highlight w:val="none"/>
              </w:rPr>
              <w:t>。</w:t>
            </w:r>
          </w:p>
          <w:p w14:paraId="591D9D55">
            <w:pPr>
              <w:autoSpaceDE w:val="0"/>
              <w:autoSpaceDN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竞标人</w:t>
            </w:r>
            <w:r>
              <w:rPr>
                <w:rFonts w:hint="eastAsia" w:ascii="宋体" w:hAnsi="宋体" w:eastAsia="宋体" w:cs="宋体"/>
                <w:b/>
                <w:bCs/>
                <w:color w:val="auto"/>
                <w:sz w:val="21"/>
                <w:szCs w:val="21"/>
                <w:highlight w:val="none"/>
              </w:rPr>
              <w:t>须在</w:t>
            </w:r>
            <w:r>
              <w:rPr>
                <w:rFonts w:hint="eastAsia" w:ascii="宋体" w:hAnsi="宋体" w:eastAsia="宋体" w:cs="宋体"/>
                <w:b/>
                <w:bCs/>
                <w:color w:val="auto"/>
                <w:sz w:val="21"/>
                <w:szCs w:val="21"/>
                <w:highlight w:val="none"/>
                <w:lang w:val="en-US" w:eastAsia="zh-CN"/>
              </w:rPr>
              <w:t>竞标文件</w:t>
            </w:r>
            <w:r>
              <w:rPr>
                <w:rFonts w:hint="eastAsia" w:ascii="宋体" w:hAnsi="宋体" w:eastAsia="宋体" w:cs="宋体"/>
                <w:b/>
                <w:bCs/>
                <w:color w:val="auto"/>
                <w:sz w:val="21"/>
                <w:szCs w:val="21"/>
                <w:highlight w:val="none"/>
              </w:rPr>
              <w:t>资格审查部分提供承诺。</w:t>
            </w:r>
          </w:p>
          <w:p w14:paraId="68A9C48D">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36EE0B84">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（1）上述所须提交的相关证明材料复印件均应加盖</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章并装入</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资格审查部分中。有一条不满足则</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作否决投标处理。</w:t>
            </w:r>
          </w:p>
          <w:p w14:paraId="3FD9B9CF">
            <w:pPr>
              <w:autoSpaceDE w:val="0"/>
              <w:autoSpaceDN w:val="0"/>
              <w:snapToGrid w:val="0"/>
              <w:spacing w:line="360" w:lineRule="auto"/>
              <w:ind w:firstLine="420" w:firstLineChars="200"/>
              <w:rPr>
                <w:rFonts w:hint="eastAsi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须自行承诺其提供的上述相关证明材料真实有效，不存在弄虚作假情形（格式见第八章</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人在合同签订前均有权对</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提供的资料进行核实，若发现弄虚作假，取消其</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资格，其竞选保证金不予退还，</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承担因此造成的相关责任并赔偿相应损失。</w:t>
            </w:r>
          </w:p>
        </w:tc>
      </w:tr>
      <w:tr w14:paraId="41CD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0DDFB7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404" w:type="dxa"/>
            <w:vAlign w:val="center"/>
          </w:tcPr>
          <w:p w14:paraId="3A67FC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55FFCA5E">
            <w:pPr>
              <w:spacing w:line="360" w:lineRule="auto"/>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val="en-US" w:eastAsia="zh-CN"/>
              </w:rPr>
              <w:t>比选</w:t>
            </w:r>
          </w:p>
        </w:tc>
        <w:tc>
          <w:tcPr>
            <w:tcW w:w="6908" w:type="dxa"/>
            <w:vAlign w:val="center"/>
          </w:tcPr>
          <w:p w14:paraId="02A728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76F64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489B51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404" w:type="dxa"/>
            <w:vAlign w:val="center"/>
          </w:tcPr>
          <w:p w14:paraId="72A6B527">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踏勘现场</w:t>
            </w:r>
          </w:p>
        </w:tc>
        <w:tc>
          <w:tcPr>
            <w:tcW w:w="6908" w:type="dxa"/>
            <w:vAlign w:val="center"/>
          </w:tcPr>
          <w:p w14:paraId="6C728B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135E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7BA7BB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404" w:type="dxa"/>
            <w:vAlign w:val="center"/>
          </w:tcPr>
          <w:p w14:paraId="068410A2">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预备会</w:t>
            </w:r>
          </w:p>
        </w:tc>
        <w:tc>
          <w:tcPr>
            <w:tcW w:w="6908" w:type="dxa"/>
            <w:vAlign w:val="center"/>
          </w:tcPr>
          <w:p w14:paraId="75CEA5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7D22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trPr>
        <w:tc>
          <w:tcPr>
            <w:tcW w:w="1113" w:type="dxa"/>
            <w:vAlign w:val="center"/>
          </w:tcPr>
          <w:p w14:paraId="7040DC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1404" w:type="dxa"/>
            <w:vAlign w:val="center"/>
          </w:tcPr>
          <w:p w14:paraId="369CD7EA">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提出问题的截止时间</w:t>
            </w:r>
          </w:p>
        </w:tc>
        <w:tc>
          <w:tcPr>
            <w:tcW w:w="6908" w:type="dxa"/>
            <w:vAlign w:val="center"/>
          </w:tcPr>
          <w:p w14:paraId="2200C996">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2025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 xml:space="preserve">:00 </w:t>
            </w:r>
            <w:r>
              <w:rPr>
                <w:rFonts w:hint="eastAsia" w:ascii="宋体" w:hAnsi="宋体" w:eastAsia="宋体" w:cs="宋体"/>
                <w:color w:val="auto"/>
                <w:sz w:val="21"/>
                <w:szCs w:val="21"/>
                <w:highlight w:val="none"/>
              </w:rPr>
              <w:t>前。</w:t>
            </w:r>
          </w:p>
        </w:tc>
      </w:tr>
      <w:tr w14:paraId="08D9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0ED4CD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1404" w:type="dxa"/>
            <w:vAlign w:val="center"/>
          </w:tcPr>
          <w:p w14:paraId="47AEB599">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人澄清的截止时间</w:t>
            </w:r>
          </w:p>
        </w:tc>
        <w:tc>
          <w:tcPr>
            <w:tcW w:w="6908" w:type="dxa"/>
            <w:vAlign w:val="center"/>
          </w:tcPr>
          <w:p w14:paraId="6E92C0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18</w:t>
            </w:r>
            <w:r>
              <w:rPr>
                <w:rFonts w:hint="eastAsia" w:ascii="宋体" w:hAnsi="宋体" w:eastAsia="宋体" w:cs="宋体"/>
                <w:color w:val="auto"/>
                <w:sz w:val="21"/>
                <w:szCs w:val="21"/>
                <w:highlight w:val="none"/>
              </w:rPr>
              <w:t>日1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时00分（北京时间）</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w:t>
            </w:r>
          </w:p>
        </w:tc>
      </w:tr>
      <w:tr w14:paraId="7619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2342A0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w:t>
            </w:r>
          </w:p>
        </w:tc>
        <w:tc>
          <w:tcPr>
            <w:tcW w:w="1404" w:type="dxa"/>
            <w:vAlign w:val="center"/>
          </w:tcPr>
          <w:p w14:paraId="41484E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文件进行补遗</w:t>
            </w:r>
          </w:p>
        </w:tc>
        <w:tc>
          <w:tcPr>
            <w:tcW w:w="6908" w:type="dxa"/>
            <w:vAlign w:val="center"/>
          </w:tcPr>
          <w:p w14:paraId="451A6F9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人应在202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日1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时00分前，在</w:t>
            </w:r>
            <w:r>
              <w:rPr>
                <w:rFonts w:hint="eastAsia" w:ascii="宋体" w:hAnsi="宋体" w:eastAsia="宋体" w:cs="宋体"/>
                <w:color w:val="auto"/>
                <w:sz w:val="21"/>
                <w:szCs w:val="21"/>
                <w:highlight w:val="none"/>
                <w:lang w:val="en-US" w:eastAsia="zh-CN"/>
              </w:rPr>
              <w:t>行采家（https://www.gec123.com/）</w:t>
            </w:r>
            <w:r>
              <w:rPr>
                <w:rFonts w:hint="eastAsia" w:ascii="宋体" w:hAnsi="宋体" w:eastAsia="宋体" w:cs="宋体"/>
                <w:color w:val="auto"/>
                <w:sz w:val="21"/>
                <w:szCs w:val="21"/>
                <w:highlight w:val="none"/>
              </w:rPr>
              <w:t>发布澄清。</w:t>
            </w:r>
          </w:p>
        </w:tc>
      </w:tr>
      <w:tr w14:paraId="220E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7B5663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404" w:type="dxa"/>
            <w:vAlign w:val="center"/>
          </w:tcPr>
          <w:p w14:paraId="296355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w:t>
            </w:r>
          </w:p>
        </w:tc>
        <w:tc>
          <w:tcPr>
            <w:tcW w:w="6908" w:type="dxa"/>
            <w:vAlign w:val="center"/>
          </w:tcPr>
          <w:p w14:paraId="3DFC184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公告规定的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截止时间。</w:t>
            </w:r>
          </w:p>
        </w:tc>
      </w:tr>
      <w:tr w14:paraId="70AB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52D015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1404" w:type="dxa"/>
            <w:vAlign w:val="center"/>
          </w:tcPr>
          <w:p w14:paraId="79D4BF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val="en-US" w:eastAsia="zh-CN"/>
              </w:rPr>
              <w:t>公开</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908" w:type="dxa"/>
            <w:vAlign w:val="center"/>
          </w:tcPr>
          <w:p w14:paraId="645CF6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澄清、说明、补遗等材料（但不能改变实质性内容）</w:t>
            </w:r>
          </w:p>
        </w:tc>
      </w:tr>
      <w:tr w14:paraId="01E56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3E7675D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404" w:type="dxa"/>
            <w:vAlign w:val="center"/>
          </w:tcPr>
          <w:p w14:paraId="44D152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w:t>
            </w:r>
          </w:p>
        </w:tc>
        <w:tc>
          <w:tcPr>
            <w:tcW w:w="6908" w:type="dxa"/>
            <w:vAlign w:val="center"/>
          </w:tcPr>
          <w:p w14:paraId="73BDB08D">
            <w:pPr>
              <w:pStyle w:val="2"/>
              <w:tabs>
                <w:tab w:val="left" w:pos="546"/>
                <w:tab w:val="left" w:pos="711"/>
              </w:tabs>
              <w:snapToGrid w:val="0"/>
              <w:spacing w:after="0"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1.使用国有资金投资的建设工程发承包，必须采用工程量清单计价。工程量清单应采用综合单价计价。</w:t>
            </w:r>
          </w:p>
          <w:p w14:paraId="42A1B457">
            <w:pPr>
              <w:pStyle w:val="2"/>
              <w:tabs>
                <w:tab w:val="left" w:pos="546"/>
                <w:tab w:val="left" w:pos="711"/>
              </w:tabs>
              <w:snapToGrid w:val="0"/>
              <w:spacing w:after="0" w:line="400" w:lineRule="exact"/>
              <w:ind w:left="10" w:leftChars="3"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竞标人应按《建设工程工程量清单计价规范》（GB50500-2013）及重庆市相关工程量清单计价规则的要求填写相应清单表格。竞标人应按本须知、《重庆市建设工程费用定额》（CQFYDE-2018）、《重庆市住房和城乡建设委员会关于适用增值税新税率调整建设工程计价依据的通知》（渝建〔2019〕143号）和第五章“工程量清单”的要求填写相应清单表格。竞标人的竞标报价应是本章竞标人须知前附表第1.3.1项中所述的本工程合同段比选范围内的全部工程的竞标找总报价，并以竞标人在工程量清单中提出的单价或总价1</w:t>
            </w:r>
            <w:r>
              <w:rPr>
                <w:rStyle w:val="29"/>
                <w:rFonts w:hint="eastAsia" w:ascii="宋体" w:hAnsi="宋体" w:eastAsia="宋体" w:cs="宋体"/>
                <w:color w:val="auto"/>
                <w:kern w:val="0"/>
                <w:sz w:val="21"/>
                <w:szCs w:val="21"/>
                <w:highlight w:val="none"/>
                <w:lang w:val="en-US" w:eastAsia="zh-CN" w:bidi="ar-SA"/>
              </w:rPr>
              <w:footnoteReference w:id="0"/>
            </w:r>
            <w:r>
              <w:rPr>
                <w:rStyle w:val="29"/>
                <w:rFonts w:hint="eastAsia" w:ascii="宋体" w:hAnsi="宋体" w:eastAsia="宋体" w:cs="宋体"/>
                <w:color w:val="auto"/>
                <w:kern w:val="0"/>
                <w:sz w:val="21"/>
                <w:szCs w:val="21"/>
                <w:highlight w:val="none"/>
                <w:lang w:val="en-US" w:eastAsia="zh-CN" w:bidi="ar-SA"/>
              </w:rPr>
              <w:footnoteReference w:id="1"/>
            </w:r>
            <w:r>
              <w:rPr>
                <w:rFonts w:hint="eastAsia" w:ascii="宋体" w:hAnsi="宋体" w:eastAsia="宋体" w:cs="宋体"/>
                <w:color w:val="auto"/>
                <w:kern w:val="0"/>
                <w:sz w:val="21"/>
                <w:szCs w:val="21"/>
                <w:highlight w:val="none"/>
                <w:lang w:val="en-US" w:eastAsia="zh-CN" w:bidi="ar-SA"/>
              </w:rPr>
              <w:t>为依据。</w:t>
            </w:r>
          </w:p>
          <w:p w14:paraId="554A75BF">
            <w:pPr>
              <w:tabs>
                <w:tab w:val="left" w:pos="546"/>
                <w:tab w:val="left" w:pos="711"/>
              </w:tabs>
              <w:snapToGrid w:val="0"/>
              <w:spacing w:line="400" w:lineRule="exact"/>
              <w:ind w:left="10" w:leftChars="3"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竞标人应认真填写工程量清单中所列的本合同各工程子目的单价或总价。竞标人没有填入单价或总价的工程子目，比选人将认为该子目的价款已包括在工程量清单其他子目的单价和总价中。竞标人必须按比选工程量清单填报价格。项目编码、项目名称、项目特征、计量单位、工程量必须与比选工程量清单一致。</w:t>
            </w:r>
          </w:p>
          <w:p w14:paraId="319C6338">
            <w:pPr>
              <w:tabs>
                <w:tab w:val="left" w:pos="546"/>
                <w:tab w:val="left" w:pos="711"/>
              </w:tabs>
              <w:snapToGrid w:val="0"/>
              <w:spacing w:line="400" w:lineRule="exact"/>
              <w:ind w:left="10" w:leftChars="3"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4.竞标函中的总报价必须与已标价工程量清单总报价一致。否则由评标委员会作否决竞标处理。</w:t>
            </w:r>
          </w:p>
          <w:p w14:paraId="4D751157">
            <w:pPr>
              <w:pStyle w:val="2"/>
              <w:tabs>
                <w:tab w:val="left" w:pos="546"/>
                <w:tab w:val="left" w:pos="711"/>
              </w:tabs>
              <w:snapToGrid w:val="0"/>
              <w:spacing w:after="0" w:line="400" w:lineRule="exact"/>
              <w:ind w:left="10" w:leftChars="3"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5.（1）在合同</w:t>
            </w:r>
            <w:r>
              <w:rPr>
                <w:rStyle w:val="35"/>
                <w:rFonts w:hint="eastAsia" w:asciiTheme="minorEastAsia" w:hAnsiTheme="minorEastAsia" w:eastAsiaTheme="minorEastAsia" w:cstheme="minorEastAsia"/>
                <w:sz w:val="21"/>
                <w:szCs w:val="21"/>
                <w:lang w:val="en-US" w:eastAsia="zh-CN"/>
              </w:rPr>
              <w:t>实施</w:t>
            </w:r>
            <w:r>
              <w:rPr>
                <w:rFonts w:hint="eastAsia" w:ascii="宋体" w:hAnsi="宋体" w:eastAsia="宋体" w:cs="宋体"/>
                <w:color w:val="auto"/>
                <w:kern w:val="0"/>
                <w:sz w:val="21"/>
                <w:szCs w:val="21"/>
                <w:highlight w:val="none"/>
                <w:lang w:val="en-US" w:eastAsia="zh-CN" w:bidi="ar-SA"/>
              </w:rPr>
              <w:t>期间，单价和总价按专用合同条款第11条的规定可调整。</w:t>
            </w:r>
          </w:p>
          <w:p w14:paraId="0BF37903">
            <w:pPr>
              <w:pStyle w:val="2"/>
              <w:tabs>
                <w:tab w:val="left" w:pos="546"/>
                <w:tab w:val="left" w:pos="711"/>
              </w:tabs>
              <w:snapToGrid w:val="0"/>
              <w:spacing w:after="0" w:line="400" w:lineRule="exact"/>
              <w:ind w:left="10" w:leftChars="3"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（2）增值税计税方法由招标人依据国家税法规定选择：一般计税法</w:t>
            </w:r>
          </w:p>
          <w:p w14:paraId="3985233A">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6比选人在工程量清单中所列出的暂列金额、暂估价等暂定金额，竞标人不得修改。</w:t>
            </w:r>
          </w:p>
          <w:p w14:paraId="243CB5C4">
            <w:pPr>
              <w:tabs>
                <w:tab w:val="left" w:pos="546"/>
                <w:tab w:val="left" w:pos="711"/>
              </w:tabs>
              <w:snapToGrid w:val="0"/>
              <w:spacing w:line="400" w:lineRule="exact"/>
              <w:ind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b/>
                <w:bCs/>
                <w:color w:val="auto"/>
                <w:kern w:val="0"/>
                <w:sz w:val="21"/>
                <w:szCs w:val="21"/>
                <w:highlight w:val="none"/>
                <w:lang w:val="en-US" w:eastAsia="zh-CN" w:bidi="ar-SA"/>
              </w:rPr>
              <w:t>本工程比选将设置竞标总报价最高限价，竞标总报价最高限价为</w:t>
            </w:r>
            <w:r>
              <w:rPr>
                <w:rFonts w:hint="eastAsia" w:ascii="宋体" w:hAnsi="宋体" w:eastAsia="宋体" w:cs="宋体"/>
                <w:b/>
                <w:bCs/>
                <w:color w:val="auto"/>
                <w:kern w:val="0"/>
                <w:sz w:val="21"/>
                <w:szCs w:val="21"/>
                <w:highlight w:val="none"/>
                <w:u w:val="single"/>
                <w:lang w:val="en-US" w:eastAsia="zh-CN" w:bidi="ar-SA"/>
              </w:rPr>
              <w:t>462551元</w:t>
            </w:r>
            <w:r>
              <w:rPr>
                <w:rFonts w:hint="eastAsia" w:ascii="宋体" w:hAnsi="宋体" w:eastAsia="宋体" w:cs="宋体"/>
                <w:b/>
                <w:bCs/>
                <w:color w:val="auto"/>
                <w:kern w:val="0"/>
                <w:sz w:val="21"/>
                <w:szCs w:val="21"/>
                <w:highlight w:val="none"/>
                <w:lang w:val="en-US" w:eastAsia="zh-CN" w:bidi="ar-SA"/>
              </w:rPr>
              <w:t>（其中含安全文明施工费暂定金额</w:t>
            </w:r>
            <w:r>
              <w:rPr>
                <w:rFonts w:hint="eastAsia" w:ascii="宋体" w:hAnsi="宋体" w:eastAsia="宋体" w:cs="宋体"/>
                <w:b/>
                <w:bCs/>
                <w:color w:val="auto"/>
                <w:kern w:val="0"/>
                <w:sz w:val="21"/>
                <w:szCs w:val="21"/>
                <w:highlight w:val="none"/>
                <w:u w:val="single"/>
                <w:lang w:val="en-US" w:eastAsia="zh-CN" w:bidi="ar-SA"/>
              </w:rPr>
              <w:t>12807.59元</w:t>
            </w:r>
            <w:r>
              <w:rPr>
                <w:rFonts w:hint="eastAsia" w:ascii="宋体" w:hAnsi="宋体" w:eastAsia="宋体" w:cs="宋体"/>
                <w:b/>
                <w:bCs/>
                <w:color w:val="auto"/>
                <w:kern w:val="0"/>
                <w:sz w:val="21"/>
                <w:szCs w:val="21"/>
                <w:highlight w:val="none"/>
                <w:lang w:val="en-US" w:eastAsia="zh-CN" w:bidi="ar-SA"/>
              </w:rPr>
              <w:t>），竞标人的竞标总报价不得超过竞标总报价最高限价，否则由评标委员会作否决竞标处理。</w:t>
            </w:r>
          </w:p>
          <w:p w14:paraId="67F01307">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本工程比选将设置全部工程量清单综合单价最高限价，竞标人的每项清单综合单价报价不得超过每项清单综合单价最高限价。</w:t>
            </w:r>
          </w:p>
          <w:p w14:paraId="4ED58795">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比选人在合同签订前将对中选人已标价工程量清单进行清标。若发现中选人的工程量清单综合单价报价超过比选时给出的工程量清单综合单价最高限价的，在工程结算时比选人将以发出的工程量清单综合单价最高限价为基础，按照中选人的中选总报价与本工程的总价最高限价的下浮比例进行同比例下调，中选人必须无条件接受，否则按中选人违约处理。竞标人须在竞标文件资格审查部分提供承诺函，承诺函包括以下内容：</w:t>
            </w:r>
          </w:p>
          <w:p w14:paraId="02F50D20">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（1）符合第五章“工程量清单”给出的范围及数量。</w:t>
            </w:r>
          </w:p>
          <w:p w14:paraId="6CDAEFD7">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（2）竞争性比选文件中规定工程量清单不允许修改的内容不得修改。</w:t>
            </w:r>
          </w:p>
          <w:p w14:paraId="32383FE1">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（3）每项工程量清单综合单价报价不得高于对应工程量清单综合单价最高限价。</w:t>
            </w:r>
          </w:p>
          <w:p w14:paraId="34513836">
            <w:pPr>
              <w:pStyle w:val="2"/>
              <w:spacing w:after="0"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8.安全文明施工费：</w:t>
            </w:r>
          </w:p>
          <w:p w14:paraId="58DAFE4E">
            <w:pPr>
              <w:pStyle w:val="2"/>
              <w:tabs>
                <w:tab w:val="left" w:pos="546"/>
                <w:tab w:val="left" w:pos="711"/>
              </w:tabs>
              <w:snapToGrid w:val="0"/>
              <w:spacing w:after="0"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8.1根据《重庆城乡建设委员会关于印发&lt;重庆市建设工程安全文明施工费计取及使用管理规定&gt;的通知》（渝建发〔2024〕38号）规定，安全文明施工费由安全施工费、文明施工费、环境保护费及临时设施费组成。</w:t>
            </w:r>
          </w:p>
          <w:p w14:paraId="1FDE0F74">
            <w:pPr>
              <w:pStyle w:val="47"/>
              <w:spacing w:line="400" w:lineRule="exact"/>
              <w:ind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8.2本工程安全文明施工费由</w:t>
            </w:r>
            <w:r>
              <w:rPr>
                <w:rFonts w:hint="eastAsia" w:eastAsia="宋体" w:cs="宋体"/>
                <w:color w:val="auto"/>
                <w:kern w:val="0"/>
                <w:sz w:val="21"/>
                <w:szCs w:val="21"/>
                <w:highlight w:val="none"/>
                <w:lang w:val="en-US" w:eastAsia="zh-CN" w:bidi="ar-SA"/>
              </w:rPr>
              <w:t>比选</w:t>
            </w:r>
            <w:r>
              <w:rPr>
                <w:rFonts w:hint="eastAsia" w:ascii="宋体" w:hAnsi="宋体" w:eastAsia="宋体" w:cs="宋体"/>
                <w:color w:val="auto"/>
                <w:kern w:val="0"/>
                <w:sz w:val="21"/>
                <w:szCs w:val="21"/>
                <w:highlight w:val="none"/>
                <w:lang w:val="en-US" w:eastAsia="zh-CN" w:bidi="ar-SA"/>
              </w:rPr>
              <w:t>人根据《建设工程工程量清单计价规范》（GB50500-2013）、《重庆市建设工程工程量清单计价规则》（CQJJGZ-2013）、《重庆市城乡建设委员会关于印发&lt;重庆市建设工程安全文明施工费计取及使用管理规定&gt;的通知》（渝建发〔2024〕38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w:t>
            </w:r>
            <w:r>
              <w:rPr>
                <w:rFonts w:hint="eastAsia" w:eastAsia="宋体" w:cs="宋体"/>
                <w:color w:val="auto"/>
                <w:kern w:val="0"/>
                <w:sz w:val="21"/>
                <w:szCs w:val="21"/>
                <w:highlight w:val="none"/>
                <w:lang w:val="en-US" w:eastAsia="zh-CN" w:bidi="ar-SA"/>
              </w:rPr>
              <w:t>竞标</w:t>
            </w:r>
            <w:r>
              <w:rPr>
                <w:rFonts w:hint="eastAsia" w:ascii="宋体" w:hAnsi="宋体" w:eastAsia="宋体" w:cs="宋体"/>
                <w:color w:val="auto"/>
                <w:kern w:val="0"/>
                <w:sz w:val="21"/>
                <w:szCs w:val="21"/>
                <w:highlight w:val="none"/>
                <w:lang w:val="en-US" w:eastAsia="zh-CN" w:bidi="ar-SA"/>
              </w:rPr>
              <w:t>函》中的安全文明施工费金额或工程量清单中安全文明施工费的汇总金额未按照</w:t>
            </w:r>
            <w:r>
              <w:rPr>
                <w:rFonts w:hint="eastAsia" w:eastAsia="宋体" w:cs="宋体"/>
                <w:color w:val="auto"/>
                <w:kern w:val="0"/>
                <w:sz w:val="21"/>
                <w:szCs w:val="21"/>
                <w:highlight w:val="none"/>
                <w:lang w:val="en-US" w:eastAsia="zh-CN" w:bidi="ar-SA"/>
              </w:rPr>
              <w:t>比选</w:t>
            </w:r>
            <w:r>
              <w:rPr>
                <w:rFonts w:hint="eastAsia" w:ascii="宋体" w:hAnsi="宋体" w:eastAsia="宋体" w:cs="宋体"/>
                <w:color w:val="auto"/>
                <w:kern w:val="0"/>
                <w:sz w:val="21"/>
                <w:szCs w:val="21"/>
                <w:highlight w:val="none"/>
                <w:lang w:val="en-US" w:eastAsia="zh-CN" w:bidi="ar-SA"/>
              </w:rPr>
              <w:t>人给出的暂定金额填报的，视为对竞争性</w:t>
            </w:r>
            <w:r>
              <w:rPr>
                <w:rFonts w:hint="eastAsia" w:eastAsia="宋体" w:cs="宋体"/>
                <w:color w:val="auto"/>
                <w:kern w:val="0"/>
                <w:sz w:val="21"/>
                <w:szCs w:val="21"/>
                <w:highlight w:val="none"/>
                <w:lang w:val="en-US" w:eastAsia="zh-CN" w:bidi="ar-SA"/>
              </w:rPr>
              <w:t>比选</w:t>
            </w:r>
            <w:r>
              <w:rPr>
                <w:rFonts w:hint="eastAsia" w:ascii="宋体" w:hAnsi="宋体" w:eastAsia="宋体" w:cs="宋体"/>
                <w:color w:val="auto"/>
                <w:kern w:val="0"/>
                <w:sz w:val="21"/>
                <w:szCs w:val="21"/>
                <w:highlight w:val="none"/>
                <w:lang w:val="en-US" w:eastAsia="zh-CN" w:bidi="ar-SA"/>
              </w:rPr>
              <w:t>文件不作实质性响应，其</w:t>
            </w:r>
            <w:r>
              <w:rPr>
                <w:rFonts w:hint="eastAsia" w:eastAsia="宋体" w:cs="宋体"/>
                <w:color w:val="auto"/>
                <w:kern w:val="0"/>
                <w:sz w:val="21"/>
                <w:szCs w:val="21"/>
                <w:highlight w:val="none"/>
                <w:lang w:val="en-US" w:eastAsia="zh-CN" w:bidi="ar-SA"/>
              </w:rPr>
              <w:t>竞标文件</w:t>
            </w:r>
            <w:r>
              <w:rPr>
                <w:rFonts w:hint="eastAsia" w:ascii="宋体" w:hAnsi="宋体" w:eastAsia="宋体" w:cs="宋体"/>
                <w:color w:val="auto"/>
                <w:kern w:val="0"/>
                <w:sz w:val="21"/>
                <w:szCs w:val="21"/>
                <w:highlight w:val="none"/>
                <w:lang w:val="en-US" w:eastAsia="zh-CN" w:bidi="ar-SA"/>
              </w:rPr>
              <w:t>由</w:t>
            </w:r>
            <w:r>
              <w:rPr>
                <w:rFonts w:hint="eastAsia" w:eastAsia="宋体" w:cs="宋体"/>
                <w:color w:val="auto"/>
                <w:kern w:val="0"/>
                <w:sz w:val="21"/>
                <w:szCs w:val="21"/>
                <w:highlight w:val="none"/>
                <w:lang w:val="en-US" w:eastAsia="zh-CN" w:bidi="ar-SA"/>
              </w:rPr>
              <w:t>评标委员会</w:t>
            </w:r>
            <w:r>
              <w:rPr>
                <w:rFonts w:hint="eastAsia" w:ascii="宋体" w:hAnsi="宋体" w:eastAsia="宋体" w:cs="宋体"/>
                <w:color w:val="auto"/>
                <w:kern w:val="0"/>
                <w:sz w:val="21"/>
                <w:szCs w:val="21"/>
                <w:highlight w:val="none"/>
                <w:lang w:val="en-US" w:eastAsia="zh-CN" w:bidi="ar-SA"/>
              </w:rPr>
              <w:t>作否决</w:t>
            </w:r>
            <w:r>
              <w:rPr>
                <w:rFonts w:hint="eastAsia" w:eastAsia="宋体" w:cs="宋体"/>
                <w:color w:val="auto"/>
                <w:kern w:val="0"/>
                <w:sz w:val="21"/>
                <w:szCs w:val="21"/>
                <w:highlight w:val="none"/>
                <w:lang w:val="en-US" w:eastAsia="zh-CN" w:bidi="ar-SA"/>
              </w:rPr>
              <w:t>比选</w:t>
            </w:r>
            <w:r>
              <w:rPr>
                <w:rFonts w:hint="eastAsia" w:ascii="宋体" w:hAnsi="宋体" w:eastAsia="宋体" w:cs="宋体"/>
                <w:color w:val="auto"/>
                <w:kern w:val="0"/>
                <w:sz w:val="21"/>
                <w:szCs w:val="21"/>
                <w:highlight w:val="none"/>
                <w:lang w:val="en-US" w:eastAsia="zh-CN" w:bidi="ar-SA"/>
              </w:rPr>
              <w:t>处理。注：采用全费用清单计价的项目，安全文明施工费仅针对《</w:t>
            </w:r>
            <w:r>
              <w:rPr>
                <w:rFonts w:hint="eastAsia" w:eastAsia="宋体" w:cs="宋体"/>
                <w:color w:val="auto"/>
                <w:kern w:val="0"/>
                <w:sz w:val="21"/>
                <w:szCs w:val="21"/>
                <w:highlight w:val="none"/>
                <w:lang w:val="en-US" w:eastAsia="zh-CN" w:bidi="ar-SA"/>
              </w:rPr>
              <w:t>竞标</w:t>
            </w:r>
            <w:r>
              <w:rPr>
                <w:rFonts w:hint="eastAsia" w:ascii="宋体" w:hAnsi="宋体" w:eastAsia="宋体" w:cs="宋体"/>
                <w:color w:val="auto"/>
                <w:kern w:val="0"/>
                <w:sz w:val="21"/>
                <w:szCs w:val="21"/>
                <w:highlight w:val="none"/>
                <w:lang w:val="en-US" w:eastAsia="zh-CN" w:bidi="ar-SA"/>
              </w:rPr>
              <w:t>函》中的安全文明施工费进行</w:t>
            </w:r>
            <w:r>
              <w:rPr>
                <w:rFonts w:hint="eastAsia" w:eastAsia="宋体" w:cs="宋体"/>
                <w:color w:val="auto"/>
                <w:kern w:val="0"/>
                <w:sz w:val="21"/>
                <w:szCs w:val="21"/>
                <w:highlight w:val="none"/>
                <w:lang w:val="en-US" w:eastAsia="zh-CN" w:bidi="ar-SA"/>
              </w:rPr>
              <w:t>比选</w:t>
            </w:r>
            <w:r>
              <w:rPr>
                <w:rFonts w:hint="eastAsia" w:ascii="宋体" w:hAnsi="宋体" w:eastAsia="宋体" w:cs="宋体"/>
                <w:color w:val="auto"/>
                <w:kern w:val="0"/>
                <w:sz w:val="21"/>
                <w:szCs w:val="21"/>
                <w:highlight w:val="none"/>
                <w:lang w:val="en-US" w:eastAsia="zh-CN" w:bidi="ar-SA"/>
              </w:rPr>
              <w:t>。</w:t>
            </w:r>
          </w:p>
          <w:p w14:paraId="38DE3CF7">
            <w:pPr>
              <w:tabs>
                <w:tab w:val="left" w:pos="546"/>
                <w:tab w:val="left" w:pos="711"/>
              </w:tabs>
              <w:snapToGrid w:val="0"/>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本工程所需材料（含设备）价格由竞标人参照重庆市建设工程造价管理总站发布的《重庆工程造价信息》或工程造价管理机构发布的工程造价信息（造价信息引用时限为比选邀请书发出日期前一期），并结合市场行情及自身实力进行自主报价。</w:t>
            </w:r>
          </w:p>
          <w:p w14:paraId="26A5BB7E">
            <w:pPr>
              <w:pStyle w:val="2"/>
              <w:tabs>
                <w:tab w:val="left" w:pos="546"/>
                <w:tab w:val="left" w:pos="711"/>
              </w:tabs>
              <w:snapToGrid w:val="0"/>
              <w:spacing w:after="0"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本项目建筑安装材料价格风险按照《重庆市城乡建设委员会关于进一步加强建筑安装材料价格风险管控的指导意见》（渝建〔2018〕61号）执行。本项目主要材料及设备价格风险内容、范围及调整方法为：不调整。        </w:t>
            </w:r>
          </w:p>
          <w:p w14:paraId="4A61293E">
            <w:pPr>
              <w:pStyle w:val="2"/>
              <w:tabs>
                <w:tab w:val="left" w:pos="546"/>
                <w:tab w:val="left" w:pos="711"/>
              </w:tabs>
              <w:snapToGrid w:val="0"/>
              <w:spacing w:after="0"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11.本项目所采用技术、工艺和产品等必须执行重庆市住房和城乡建设委员会关于发布《重庆市建设领域禁止、限制使用落后技术通告（2019年版）（渝建发〔2019〕25号）的规定。</w:t>
            </w:r>
          </w:p>
          <w:p w14:paraId="3333698A">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12.本工程主体结构若需混凝土，则必须使用商品混凝土，不得自建搅拌站。</w:t>
            </w:r>
          </w:p>
        </w:tc>
      </w:tr>
      <w:tr w14:paraId="6E94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113" w:type="dxa"/>
            <w:vAlign w:val="center"/>
          </w:tcPr>
          <w:p w14:paraId="56C58D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404" w:type="dxa"/>
            <w:vAlign w:val="center"/>
          </w:tcPr>
          <w:p w14:paraId="6E5CB9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有效期</w:t>
            </w:r>
          </w:p>
        </w:tc>
        <w:tc>
          <w:tcPr>
            <w:tcW w:w="6908" w:type="dxa"/>
            <w:vAlign w:val="center"/>
          </w:tcPr>
          <w:p w14:paraId="68A943C5">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 xml:space="preserve"> 90</w:t>
            </w:r>
            <w:r>
              <w:rPr>
                <w:rFonts w:hint="eastAsia" w:ascii="宋体" w:hAnsi="宋体" w:eastAsia="宋体" w:cs="宋体"/>
                <w:b/>
                <w:color w:val="auto"/>
                <w:sz w:val="21"/>
                <w:szCs w:val="21"/>
                <w:highlight w:val="none"/>
              </w:rPr>
              <w:t>日历天</w:t>
            </w: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截止日起计算）</w:t>
            </w:r>
          </w:p>
        </w:tc>
      </w:tr>
      <w:tr w14:paraId="7891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371BA3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404" w:type="dxa"/>
            <w:vAlign w:val="center"/>
          </w:tcPr>
          <w:p w14:paraId="42FE74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保证金</w:t>
            </w:r>
          </w:p>
        </w:tc>
        <w:tc>
          <w:tcPr>
            <w:tcW w:w="6908" w:type="dxa"/>
            <w:vAlign w:val="center"/>
          </w:tcPr>
          <w:p w14:paraId="140B145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竞标</w:t>
            </w:r>
            <w:r>
              <w:rPr>
                <w:rFonts w:hint="eastAsia" w:ascii="宋体" w:hAnsi="宋体" w:eastAsia="宋体" w:cs="宋体"/>
                <w:b w:val="0"/>
                <w:bCs w:val="0"/>
                <w:color w:val="auto"/>
                <w:kern w:val="0"/>
                <w:sz w:val="21"/>
                <w:szCs w:val="21"/>
                <w:highlight w:val="none"/>
              </w:rPr>
              <w:t>保证金的缴纳</w:t>
            </w:r>
          </w:p>
          <w:p w14:paraId="51BDF70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48" w:name="_Toc373860294"/>
            <w:bookmarkStart w:id="49" w:name="_Toc498595490"/>
            <w:r>
              <w:rPr>
                <w:rFonts w:hint="eastAsia" w:ascii="宋体" w:hAnsi="宋体" w:eastAsia="宋体" w:cs="宋体"/>
                <w:color w:val="auto"/>
                <w:sz w:val="21"/>
                <w:szCs w:val="21"/>
                <w:highlight w:val="none"/>
                <w:lang w:val="en-US" w:eastAsia="zh-CN"/>
              </w:rPr>
              <w:t>（一）竞标保证金缴纳方式</w:t>
            </w:r>
          </w:p>
          <w:bookmarkEnd w:id="48"/>
          <w:bookmarkEnd w:id="49"/>
          <w:p w14:paraId="533FC863">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本项目</w:t>
            </w:r>
            <w:r>
              <w:rPr>
                <w:rFonts w:hint="eastAsia" w:ascii="宋体" w:hAnsi="宋体" w:eastAsia="宋体" w:cs="宋体"/>
                <w:b/>
                <w:bCs w:val="0"/>
                <w:color w:val="auto"/>
                <w:kern w:val="0"/>
                <w:sz w:val="21"/>
                <w:szCs w:val="21"/>
                <w:highlight w:val="none"/>
              </w:rPr>
              <w:t>保证金为人民币</w:t>
            </w:r>
            <w:r>
              <w:rPr>
                <w:rFonts w:hint="eastAsia" w:ascii="宋体" w:hAnsi="宋体" w:eastAsia="宋体" w:cs="宋体"/>
                <w:b/>
                <w:bCs w:val="0"/>
                <w:color w:val="auto"/>
                <w:kern w:val="0"/>
                <w:sz w:val="21"/>
                <w:szCs w:val="21"/>
                <w:highlight w:val="none"/>
                <w:lang w:val="en-US" w:eastAsia="zh-CN"/>
              </w:rPr>
              <w:t>5000.00</w:t>
            </w:r>
            <w:r>
              <w:rPr>
                <w:rFonts w:hint="eastAsia" w:ascii="宋体" w:hAnsi="宋体" w:eastAsia="宋体" w:cs="宋体"/>
                <w:b/>
                <w:bCs w:val="0"/>
                <w:color w:val="auto"/>
                <w:kern w:val="0"/>
                <w:sz w:val="21"/>
                <w:szCs w:val="21"/>
                <w:highlight w:val="none"/>
              </w:rPr>
              <w:t>元（大写：</w:t>
            </w:r>
            <w:r>
              <w:rPr>
                <w:rFonts w:hint="eastAsia" w:ascii="宋体" w:hAnsi="宋体" w:eastAsia="宋体" w:cs="宋体"/>
                <w:b/>
                <w:bCs w:val="0"/>
                <w:color w:val="auto"/>
                <w:kern w:val="0"/>
                <w:sz w:val="21"/>
                <w:szCs w:val="21"/>
                <w:highlight w:val="none"/>
                <w:lang w:val="en-US" w:eastAsia="zh-CN"/>
              </w:rPr>
              <w:t>伍仟</w:t>
            </w:r>
            <w:r>
              <w:rPr>
                <w:rFonts w:hint="eastAsia" w:ascii="宋体" w:hAnsi="宋体" w:eastAsia="宋体" w:cs="宋体"/>
                <w:b/>
                <w:bCs w:val="0"/>
                <w:color w:val="auto"/>
                <w:kern w:val="0"/>
                <w:sz w:val="21"/>
                <w:szCs w:val="21"/>
                <w:highlight w:val="none"/>
              </w:rPr>
              <w:t>元整）</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竞标</w:t>
            </w:r>
            <w:r>
              <w:rPr>
                <w:rFonts w:hint="eastAsia" w:ascii="宋体" w:hAnsi="宋体" w:eastAsia="宋体" w:cs="宋体"/>
                <w:b w:val="0"/>
                <w:bCs/>
                <w:color w:val="auto"/>
                <w:kern w:val="0"/>
                <w:sz w:val="21"/>
                <w:szCs w:val="21"/>
                <w:highlight w:val="none"/>
              </w:rPr>
              <w:t>人以银行转账（电汇提交（需注明XX单位XX项目内容）。</w:t>
            </w:r>
            <w:r>
              <w:rPr>
                <w:rFonts w:hint="eastAsia" w:ascii="宋体" w:hAnsi="宋体" w:eastAsia="宋体" w:cs="宋体"/>
                <w:b w:val="0"/>
                <w:bCs/>
                <w:color w:val="auto"/>
                <w:kern w:val="0"/>
                <w:sz w:val="21"/>
                <w:szCs w:val="21"/>
                <w:highlight w:val="none"/>
                <w:lang w:val="en-US" w:eastAsia="zh-CN"/>
              </w:rPr>
              <w:t>竞标</w:t>
            </w:r>
            <w:r>
              <w:rPr>
                <w:rFonts w:hint="eastAsia" w:ascii="宋体" w:hAnsi="宋体" w:eastAsia="宋体" w:cs="宋体"/>
                <w:b w:val="0"/>
                <w:bCs/>
                <w:color w:val="auto"/>
                <w:kern w:val="0"/>
                <w:sz w:val="21"/>
                <w:szCs w:val="21"/>
                <w:highlight w:val="none"/>
              </w:rPr>
              <w:t>人应足额交纳保证金，并汇至以下账户。保证金的到账截止时间同</w:t>
            </w:r>
            <w:r>
              <w:rPr>
                <w:rFonts w:hint="eastAsia" w:ascii="宋体" w:hAnsi="宋体" w:eastAsia="宋体" w:cs="宋体"/>
                <w:b w:val="0"/>
                <w:bCs/>
                <w:color w:val="auto"/>
                <w:kern w:val="0"/>
                <w:sz w:val="21"/>
                <w:szCs w:val="21"/>
                <w:highlight w:val="none"/>
                <w:u w:val="single"/>
                <w:lang w:val="en-US" w:eastAsia="zh-CN"/>
              </w:rPr>
              <w:t>在线</w:t>
            </w:r>
            <w:r>
              <w:rPr>
                <w:rFonts w:hint="eastAsia" w:ascii="宋体" w:hAnsi="宋体" w:eastAsia="宋体" w:cs="宋体"/>
                <w:b w:val="0"/>
                <w:bCs/>
                <w:color w:val="auto"/>
                <w:kern w:val="0"/>
                <w:sz w:val="21"/>
                <w:szCs w:val="21"/>
                <w:highlight w:val="none"/>
                <w:u w:val="single"/>
              </w:rPr>
              <w:t>投标</w:t>
            </w:r>
            <w:r>
              <w:rPr>
                <w:rFonts w:hint="eastAsia" w:ascii="宋体" w:hAnsi="宋体" w:eastAsia="宋体" w:cs="宋体"/>
                <w:b w:val="0"/>
                <w:bCs/>
                <w:color w:val="auto"/>
                <w:kern w:val="0"/>
                <w:sz w:val="21"/>
                <w:szCs w:val="21"/>
                <w:highlight w:val="none"/>
                <w:u w:val="single"/>
                <w:lang w:val="en-US" w:eastAsia="zh-CN"/>
              </w:rPr>
              <w:t>报价</w:t>
            </w:r>
            <w:r>
              <w:rPr>
                <w:rFonts w:hint="eastAsia" w:ascii="宋体" w:hAnsi="宋体" w:eastAsia="宋体" w:cs="宋体"/>
                <w:b w:val="0"/>
                <w:bCs/>
                <w:color w:val="auto"/>
                <w:kern w:val="0"/>
                <w:sz w:val="21"/>
                <w:szCs w:val="21"/>
                <w:highlight w:val="none"/>
                <w:u w:val="single"/>
              </w:rPr>
              <w:t>截止时间</w:t>
            </w:r>
            <w:r>
              <w:rPr>
                <w:rFonts w:hint="eastAsia" w:ascii="宋体" w:hAnsi="宋体" w:eastAsia="宋体" w:cs="宋体"/>
                <w:b w:val="0"/>
                <w:bCs/>
                <w:color w:val="auto"/>
                <w:kern w:val="0"/>
                <w:sz w:val="21"/>
                <w:szCs w:val="21"/>
                <w:highlight w:val="none"/>
              </w:rPr>
              <w:t>。</w:t>
            </w:r>
          </w:p>
          <w:tbl>
            <w:tblPr>
              <w:tblStyle w:val="22"/>
              <w:tblW w:w="4447" w:type="pct"/>
              <w:tblInd w:w="471" w:type="dxa"/>
              <w:tblLayout w:type="fixed"/>
              <w:tblCellMar>
                <w:top w:w="0" w:type="dxa"/>
                <w:left w:w="0" w:type="dxa"/>
                <w:bottom w:w="0" w:type="dxa"/>
                <w:right w:w="0" w:type="dxa"/>
              </w:tblCellMar>
            </w:tblPr>
            <w:tblGrid>
              <w:gridCol w:w="1583"/>
              <w:gridCol w:w="4369"/>
            </w:tblGrid>
            <w:tr w14:paraId="38283402">
              <w:tblPrEx>
                <w:tblCellMar>
                  <w:top w:w="0" w:type="dxa"/>
                  <w:left w:w="0" w:type="dxa"/>
                  <w:bottom w:w="0" w:type="dxa"/>
                  <w:right w:w="0" w:type="dxa"/>
                </w:tblCellMar>
              </w:tblPrEx>
              <w:trPr>
                <w:trHeight w:val="551" w:hRule="exact"/>
              </w:trPr>
              <w:tc>
                <w:tcPr>
                  <w:tcW w:w="1622" w:type="dxa"/>
                  <w:tcBorders>
                    <w:top w:val="single" w:color="696969" w:sz="4" w:space="0"/>
                    <w:left w:val="single" w:color="696969" w:sz="4" w:space="0"/>
                    <w:bottom w:val="single" w:color="auto" w:sz="4" w:space="0"/>
                    <w:right w:val="single" w:color="696969" w:sz="4" w:space="0"/>
                  </w:tcBorders>
                  <w:shd w:val="clear" w:color="auto" w:fill="FFFFFF"/>
                  <w:vAlign w:val="center"/>
                </w:tcPr>
                <w:p w14:paraId="0DC9FE09">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rPr>
                    <w:t>开户名称</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67FCEDD6">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bCs/>
                      <w:sz w:val="21"/>
                      <w:szCs w:val="21"/>
                    </w:rPr>
                    <w:t>重庆渝皓阳建设工程咨询有限公司</w:t>
                  </w:r>
                </w:p>
              </w:tc>
            </w:tr>
            <w:tr w14:paraId="28F587A7">
              <w:tblPrEx>
                <w:tblCellMar>
                  <w:top w:w="0" w:type="dxa"/>
                  <w:left w:w="0" w:type="dxa"/>
                  <w:bottom w:w="0" w:type="dxa"/>
                  <w:right w:w="0" w:type="dxa"/>
                </w:tblCellMar>
              </w:tblPrEx>
              <w:trPr>
                <w:trHeight w:val="546" w:hRule="exact"/>
              </w:trPr>
              <w:tc>
                <w:tcPr>
                  <w:tcW w:w="1622" w:type="dxa"/>
                  <w:tcBorders>
                    <w:top w:val="single" w:color="auto" w:sz="4" w:space="0"/>
                    <w:left w:val="single" w:color="696969" w:sz="4" w:space="0"/>
                    <w:bottom w:val="single" w:color="696969" w:sz="4" w:space="0"/>
                    <w:right w:val="single" w:color="696969" w:sz="4" w:space="0"/>
                  </w:tcBorders>
                  <w:shd w:val="clear" w:color="auto" w:fill="FFFFFF"/>
                  <w:vAlign w:val="center"/>
                </w:tcPr>
                <w:p w14:paraId="0BA1E1ED">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rPr>
                    <w:t>开户银行</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27729FD2">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bCs/>
                      <w:sz w:val="21"/>
                      <w:szCs w:val="21"/>
                    </w:rPr>
                    <w:t>重庆农村商业银行股份有限公司合川分行</w:t>
                  </w:r>
                </w:p>
              </w:tc>
            </w:tr>
            <w:tr w14:paraId="15C6CF8B">
              <w:tblPrEx>
                <w:tblCellMar>
                  <w:top w:w="0" w:type="dxa"/>
                  <w:left w:w="0" w:type="dxa"/>
                  <w:bottom w:w="0" w:type="dxa"/>
                  <w:right w:w="0" w:type="dxa"/>
                </w:tblCellMar>
              </w:tblPrEx>
              <w:trPr>
                <w:trHeight w:val="553" w:hRule="exact"/>
              </w:trPr>
              <w:tc>
                <w:tcPr>
                  <w:tcW w:w="1622"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2BB10A8E">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rPr>
                    <w:t>银行账号</w:t>
                  </w:r>
                </w:p>
              </w:tc>
              <w:tc>
                <w:tcPr>
                  <w:tcW w:w="42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5F8D6E62">
                  <w:pPr>
                    <w:pageBreakBefore w:val="0"/>
                    <w:widowControl w:val="0"/>
                    <w:kinsoku/>
                    <w:wordWrap/>
                    <w:overflowPunct/>
                    <w:topLinePunct w:val="0"/>
                    <w:bidi w:val="0"/>
                    <w:adjustRightInd w:val="0"/>
                    <w:spacing w:line="440" w:lineRule="exact"/>
                    <w:ind w:firstLine="420" w:firstLineChars="200"/>
                    <w:jc w:val="left"/>
                    <w:textAlignment w:val="auto"/>
                    <w:outlineLvl w:val="2"/>
                    <w:rPr>
                      <w:rFonts w:hint="eastAsia" w:ascii="宋体" w:hAnsi="宋体" w:eastAsia="宋体" w:cs="宋体"/>
                      <w:b w:val="0"/>
                      <w:bCs/>
                      <w:color w:val="auto"/>
                      <w:kern w:val="0"/>
                      <w:sz w:val="21"/>
                      <w:szCs w:val="21"/>
                      <w:highlight w:val="none"/>
                    </w:rPr>
                  </w:pPr>
                  <w:r>
                    <w:rPr>
                      <w:rFonts w:hint="eastAsia" w:ascii="宋体" w:hAnsi="宋体" w:eastAsia="宋体" w:cs="宋体"/>
                      <w:bCs/>
                      <w:sz w:val="21"/>
                      <w:szCs w:val="21"/>
                    </w:rPr>
                    <w:t>1601010120010024816</w:t>
                  </w:r>
                </w:p>
              </w:tc>
            </w:tr>
          </w:tbl>
          <w:p w14:paraId="4536499D">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1.各</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在银行转账（电汇）时，须充分考虑银行转账（电汇）的时间差风险，如同城转账、异地转账或汇款、跨行转账或电汇的时间要求;请</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使用网银及柜台转账方式缴纳保证金，本项目不接受柜台现金存款，结算卡、刷POS机及通过第三方支付平台缴纳保证金（如：微信支付、支付宝支付等方式），如果由于</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未按照以上约定方式缴纳保证金导致投标无效和无法退还保证金等后果由</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自行承担。</w:t>
            </w:r>
          </w:p>
          <w:p w14:paraId="6CEF77D8">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2.超过</w:t>
            </w:r>
            <w:r>
              <w:rPr>
                <w:rFonts w:hint="eastAsia" w:ascii="宋体" w:hAnsi="宋体" w:eastAsia="宋体" w:cs="宋体"/>
                <w:b w:val="0"/>
                <w:bCs/>
                <w:color w:val="auto"/>
                <w:kern w:val="0"/>
                <w:sz w:val="21"/>
                <w:szCs w:val="21"/>
                <w:highlight w:val="none"/>
                <w:lang w:val="en-US" w:eastAsia="zh-CN"/>
              </w:rPr>
              <w:t>规定</w:t>
            </w:r>
            <w:r>
              <w:rPr>
                <w:rFonts w:hint="eastAsia" w:ascii="宋体" w:hAnsi="宋体" w:eastAsia="宋体" w:cs="宋体"/>
                <w:b w:val="0"/>
                <w:bCs/>
                <w:color w:val="auto"/>
                <w:kern w:val="0"/>
                <w:sz w:val="21"/>
                <w:szCs w:val="21"/>
                <w:highlight w:val="none"/>
              </w:rPr>
              <w:t>投标截止时间提交保证金的</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，将视为无效</w:t>
            </w:r>
            <w:r>
              <w:rPr>
                <w:rFonts w:hint="eastAsia" w:ascii="宋体" w:hAnsi="宋体" w:eastAsia="宋体" w:cs="宋体"/>
                <w:b w:val="0"/>
                <w:bCs/>
                <w:color w:val="auto"/>
                <w:kern w:val="0"/>
                <w:sz w:val="21"/>
                <w:szCs w:val="21"/>
                <w:highlight w:val="none"/>
                <w:lang w:val="en-US" w:eastAsia="zh-CN"/>
              </w:rPr>
              <w:t>投标</w:t>
            </w:r>
            <w:r>
              <w:rPr>
                <w:rFonts w:hint="eastAsia" w:ascii="宋体" w:hAnsi="宋体" w:eastAsia="宋体" w:cs="宋体"/>
                <w:b w:val="0"/>
                <w:bCs/>
                <w:color w:val="auto"/>
                <w:kern w:val="0"/>
                <w:sz w:val="21"/>
                <w:szCs w:val="21"/>
                <w:highlight w:val="none"/>
              </w:rPr>
              <w:t>，其造成的一切后果自负。</w:t>
            </w:r>
          </w:p>
          <w:p w14:paraId="373D75F1">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（二）保证金退还方式</w:t>
            </w:r>
          </w:p>
          <w:p w14:paraId="5044D5A9">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1.未</w:t>
            </w:r>
            <w:r>
              <w:rPr>
                <w:rFonts w:hint="eastAsia" w:ascii="宋体" w:hAnsi="宋体" w:eastAsia="宋体" w:cs="宋体"/>
                <w:b w:val="0"/>
                <w:bCs/>
                <w:color w:val="auto"/>
                <w:kern w:val="0"/>
                <w:sz w:val="21"/>
                <w:szCs w:val="21"/>
                <w:highlight w:val="none"/>
                <w:lang w:eastAsia="zh-CN"/>
              </w:rPr>
              <w:t>中选</w:t>
            </w:r>
            <w:r>
              <w:rPr>
                <w:rFonts w:hint="eastAsia" w:ascii="宋体" w:hAnsi="宋体" w:eastAsia="宋体" w:cs="宋体"/>
                <w:b w:val="0"/>
                <w:bCs/>
                <w:color w:val="auto"/>
                <w:kern w:val="0"/>
                <w:sz w:val="21"/>
                <w:szCs w:val="21"/>
                <w:highlight w:val="none"/>
              </w:rPr>
              <w:t>的所有</w:t>
            </w:r>
            <w:r>
              <w:rPr>
                <w:rFonts w:hint="eastAsia" w:ascii="宋体" w:hAnsi="宋体" w:eastAsia="宋体" w:cs="宋体"/>
                <w:b w:val="0"/>
                <w:bCs/>
                <w:color w:val="auto"/>
                <w:kern w:val="0"/>
                <w:sz w:val="21"/>
                <w:szCs w:val="21"/>
                <w:highlight w:val="none"/>
                <w:lang w:eastAsia="zh-CN"/>
              </w:rPr>
              <w:t>竞标人</w:t>
            </w:r>
            <w:r>
              <w:rPr>
                <w:rFonts w:hint="eastAsia" w:ascii="宋体" w:hAnsi="宋体" w:eastAsia="宋体" w:cs="宋体"/>
                <w:b w:val="0"/>
                <w:bCs/>
                <w:color w:val="auto"/>
                <w:kern w:val="0"/>
                <w:sz w:val="21"/>
                <w:szCs w:val="21"/>
                <w:highlight w:val="none"/>
              </w:rPr>
              <w:t>交纳的保证金，由</w:t>
            </w:r>
            <w:r>
              <w:rPr>
                <w:rFonts w:hint="eastAsia" w:ascii="宋体" w:hAnsi="宋体" w:eastAsia="宋体" w:cs="宋体"/>
                <w:b w:val="0"/>
                <w:bCs/>
                <w:color w:val="auto"/>
                <w:kern w:val="0"/>
                <w:sz w:val="21"/>
                <w:szCs w:val="21"/>
                <w:highlight w:val="none"/>
                <w:lang w:eastAsia="zh-CN"/>
              </w:rPr>
              <w:t>比选</w:t>
            </w:r>
            <w:r>
              <w:rPr>
                <w:rFonts w:hint="eastAsia" w:ascii="宋体" w:hAnsi="宋体" w:eastAsia="宋体" w:cs="宋体"/>
                <w:b w:val="0"/>
                <w:bCs/>
                <w:color w:val="auto"/>
                <w:kern w:val="0"/>
                <w:sz w:val="21"/>
                <w:szCs w:val="21"/>
                <w:highlight w:val="none"/>
              </w:rPr>
              <w:t>代理机构于本项目《</w:t>
            </w:r>
            <w:r>
              <w:rPr>
                <w:rFonts w:hint="eastAsia" w:ascii="宋体" w:hAnsi="宋体" w:eastAsia="宋体" w:cs="宋体"/>
                <w:b w:val="0"/>
                <w:bCs/>
                <w:color w:val="auto"/>
                <w:kern w:val="0"/>
                <w:sz w:val="21"/>
                <w:szCs w:val="21"/>
                <w:highlight w:val="none"/>
                <w:lang w:eastAsia="zh-CN"/>
              </w:rPr>
              <w:t>中选</w:t>
            </w:r>
            <w:r>
              <w:rPr>
                <w:rFonts w:hint="eastAsia" w:ascii="宋体" w:hAnsi="宋体" w:eastAsia="宋体" w:cs="宋体"/>
                <w:b w:val="0"/>
                <w:bCs/>
                <w:color w:val="auto"/>
                <w:kern w:val="0"/>
                <w:sz w:val="21"/>
                <w:szCs w:val="21"/>
                <w:highlight w:val="none"/>
              </w:rPr>
              <w:t>通知书》发出后5个工作日内全额退还。</w:t>
            </w:r>
          </w:p>
          <w:p w14:paraId="63BE50B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2.本项目</w:t>
            </w:r>
            <w:r>
              <w:rPr>
                <w:rFonts w:hint="eastAsia" w:ascii="宋体" w:hAnsi="宋体" w:eastAsia="宋体" w:cs="宋体"/>
                <w:b w:val="0"/>
                <w:bCs/>
                <w:color w:val="auto"/>
                <w:kern w:val="0"/>
                <w:sz w:val="21"/>
                <w:szCs w:val="21"/>
                <w:highlight w:val="none"/>
                <w:lang w:eastAsia="zh-CN"/>
              </w:rPr>
              <w:t>中选</w:t>
            </w:r>
            <w:r>
              <w:rPr>
                <w:rFonts w:hint="eastAsia" w:ascii="宋体" w:hAnsi="宋体" w:eastAsia="宋体" w:cs="宋体"/>
                <w:b w:val="0"/>
                <w:bCs/>
                <w:color w:val="auto"/>
                <w:kern w:val="0"/>
                <w:sz w:val="21"/>
                <w:szCs w:val="21"/>
                <w:highlight w:val="none"/>
              </w:rPr>
              <w:t>人交纳的保证金，在其与</w:t>
            </w:r>
            <w:r>
              <w:rPr>
                <w:rFonts w:hint="eastAsia" w:ascii="宋体" w:hAnsi="宋体" w:eastAsia="宋体" w:cs="宋体"/>
                <w:b w:val="0"/>
                <w:bCs/>
                <w:color w:val="auto"/>
                <w:kern w:val="0"/>
                <w:sz w:val="21"/>
                <w:szCs w:val="21"/>
                <w:highlight w:val="none"/>
                <w:lang w:eastAsia="zh-CN"/>
              </w:rPr>
              <w:t>比选</w:t>
            </w:r>
            <w:r>
              <w:rPr>
                <w:rFonts w:hint="eastAsia" w:ascii="宋体" w:hAnsi="宋体" w:eastAsia="宋体" w:cs="宋体"/>
                <w:b w:val="0"/>
                <w:bCs/>
                <w:color w:val="auto"/>
                <w:kern w:val="0"/>
                <w:sz w:val="21"/>
                <w:szCs w:val="21"/>
                <w:highlight w:val="none"/>
              </w:rPr>
              <w:t>人签订项目合同后，凭签订的项目合同由</w:t>
            </w:r>
            <w:r>
              <w:rPr>
                <w:rFonts w:hint="eastAsia" w:ascii="宋体" w:hAnsi="宋体" w:eastAsia="宋体" w:cs="宋体"/>
                <w:b w:val="0"/>
                <w:bCs/>
                <w:color w:val="auto"/>
                <w:kern w:val="0"/>
                <w:sz w:val="21"/>
                <w:szCs w:val="21"/>
                <w:highlight w:val="none"/>
                <w:lang w:eastAsia="zh-CN"/>
              </w:rPr>
              <w:t>比选</w:t>
            </w:r>
            <w:r>
              <w:rPr>
                <w:rFonts w:hint="eastAsia" w:ascii="宋体" w:hAnsi="宋体" w:eastAsia="宋体" w:cs="宋体"/>
                <w:b w:val="0"/>
                <w:bCs/>
                <w:color w:val="auto"/>
                <w:kern w:val="0"/>
                <w:sz w:val="21"/>
                <w:szCs w:val="21"/>
                <w:highlight w:val="none"/>
              </w:rPr>
              <w:t>代理机构在5个工作日内全额退还。</w:t>
            </w:r>
          </w:p>
        </w:tc>
      </w:tr>
      <w:tr w14:paraId="0929A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599537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1404" w:type="dxa"/>
            <w:vAlign w:val="center"/>
          </w:tcPr>
          <w:p w14:paraId="009840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908" w:type="dxa"/>
            <w:vAlign w:val="center"/>
          </w:tcPr>
          <w:p w14:paraId="181AFC3A">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竞标文件应用不褪色的材料书写或打印，并由竞标人的法定代表人或其委托代理人在比选文件规定的位置按比选文件要求签名或盖章、盖单位法人章。委托代理人签名的，竞标文件应附法定代表人签署的授权委托书。竞标文件应尽量避免涂改、行间插字或删除。如果出现上述情况，改动之处应加盖单位法人章或由竞标人的法定代表人或其授权的代理人签名确认。</w:t>
            </w:r>
          </w:p>
          <w:p w14:paraId="1CB014BC">
            <w:pPr>
              <w:keepNext w:val="0"/>
              <w:keepLines w:val="0"/>
              <w:pageBreakBefore w:val="0"/>
              <w:widowControl w:val="0"/>
              <w:kinsoku/>
              <w:wordWrap/>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未按上述规定执行的，交由</w:t>
            </w:r>
            <w:r>
              <w:rPr>
                <w:rFonts w:hint="eastAsia" w:ascii="宋体" w:hAnsi="宋体" w:eastAsia="宋体" w:cs="宋体"/>
                <w:b w:val="0"/>
                <w:bCs/>
                <w:color w:val="auto"/>
                <w:kern w:val="0"/>
                <w:sz w:val="21"/>
                <w:szCs w:val="21"/>
                <w:highlight w:val="none"/>
                <w:lang w:val="en-US" w:eastAsia="zh-CN"/>
              </w:rPr>
              <w:t>评标委员会</w:t>
            </w:r>
            <w:r>
              <w:rPr>
                <w:rFonts w:hint="eastAsia" w:ascii="宋体" w:hAnsi="宋体" w:eastAsia="宋体" w:cs="宋体"/>
                <w:b w:val="0"/>
                <w:bCs/>
                <w:color w:val="auto"/>
                <w:kern w:val="0"/>
                <w:sz w:val="21"/>
                <w:szCs w:val="21"/>
                <w:highlight w:val="none"/>
              </w:rPr>
              <w:t>作否决竞标处理。</w:t>
            </w:r>
          </w:p>
        </w:tc>
      </w:tr>
      <w:tr w14:paraId="69F1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6D8AAD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1404" w:type="dxa"/>
            <w:vAlign w:val="center"/>
          </w:tcPr>
          <w:p w14:paraId="3D32900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份数</w:t>
            </w:r>
          </w:p>
        </w:tc>
        <w:tc>
          <w:tcPr>
            <w:tcW w:w="6908" w:type="dxa"/>
            <w:vAlign w:val="center"/>
          </w:tcPr>
          <w:p w14:paraId="3424098D">
            <w:pPr>
              <w:pStyle w:val="2"/>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竞标文件：</w:t>
            </w:r>
            <w:r>
              <w:rPr>
                <w:rFonts w:hint="eastAsia" w:ascii="宋体" w:hAnsi="宋体" w:eastAsia="宋体" w:cs="宋体"/>
                <w:b/>
                <w:bCs/>
                <w:sz w:val="21"/>
                <w:szCs w:val="21"/>
                <w:highlight w:val="none"/>
              </w:rPr>
              <w:t>正本1份，副本</w:t>
            </w:r>
            <w:r>
              <w:rPr>
                <w:rFonts w:hint="eastAsia" w:ascii="宋体" w:hAnsi="宋体" w:eastAsia="宋体" w:cs="宋体"/>
                <w:b/>
                <w:bCs/>
                <w:sz w:val="21"/>
                <w:szCs w:val="21"/>
                <w:highlight w:val="none"/>
                <w:lang w:val="en-US" w:eastAsia="zh-CN"/>
              </w:rPr>
              <w:t>1</w:t>
            </w:r>
            <w:r>
              <w:rPr>
                <w:rFonts w:hint="eastAsia" w:ascii="宋体" w:hAnsi="宋体" w:eastAsia="宋体" w:cs="宋体"/>
                <w:sz w:val="21"/>
                <w:szCs w:val="21"/>
                <w:highlight w:val="none"/>
                <w:lang w:val="en-US" w:eastAsia="zh-CN"/>
              </w:rPr>
              <w:t>份，《技术方案》不分正副本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当副本和正本不一致时，以正本为准。</w:t>
            </w:r>
          </w:p>
          <w:p w14:paraId="1A385FDA">
            <w:pPr>
              <w:pStyle w:val="2"/>
              <w:keepNext w:val="0"/>
              <w:keepLines w:val="0"/>
              <w:pageBreakBefore w:val="0"/>
              <w:widowControl w:val="0"/>
              <w:kinsoku/>
              <w:wordWrap/>
              <w:overflowPunct/>
              <w:topLinePunct w:val="0"/>
              <w:bidi w:val="0"/>
              <w:adjustRightInd w:val="0"/>
              <w:snapToGrid/>
              <w:spacing w:line="440" w:lineRule="atLeast"/>
              <w:ind w:firstLine="420" w:firstLineChars="200"/>
              <w:textAlignment w:val="auto"/>
              <w:rPr>
                <w:rFonts w:hint="eastAsia"/>
              </w:rPr>
            </w:pPr>
            <w:r>
              <w:rPr>
                <w:rFonts w:hint="eastAsia" w:ascii="宋体" w:hAnsi="宋体" w:eastAsia="宋体" w:cs="宋体"/>
                <w:sz w:val="21"/>
                <w:szCs w:val="21"/>
                <w:highlight w:val="none"/>
                <w:lang w:val="en-US" w:eastAsia="zh-CN"/>
              </w:rPr>
              <w:t>电子版</w:t>
            </w:r>
            <w:r>
              <w:rPr>
                <w:rFonts w:hint="eastAsia" w:ascii="宋体" w:hAnsi="宋体" w:eastAsia="宋体" w:cs="宋体"/>
                <w:sz w:val="21"/>
                <w:szCs w:val="21"/>
                <w:highlight w:val="none"/>
              </w:rPr>
              <w:t>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行采家网上上传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请</w:t>
            </w:r>
            <w:r>
              <w:rPr>
                <w:rFonts w:hint="eastAsia" w:ascii="宋体" w:hAnsi="宋体" w:eastAsia="宋体" w:cs="宋体"/>
                <w:b w:val="0"/>
                <w:bCs w:val="0"/>
                <w:sz w:val="21"/>
                <w:szCs w:val="21"/>
                <w:highlight w:val="none"/>
              </w:rPr>
              <w:t>提供与纸质件</w:t>
            </w:r>
            <w:r>
              <w:rPr>
                <w:rFonts w:hint="eastAsia" w:ascii="宋体" w:hAnsi="宋体" w:eastAsia="宋体" w:cs="宋体"/>
                <w:b w:val="0"/>
                <w:bCs w:val="0"/>
                <w:sz w:val="21"/>
                <w:szCs w:val="21"/>
                <w:highlight w:val="none"/>
                <w:lang w:val="en-US" w:eastAsia="zh-CN"/>
              </w:rPr>
              <w:t>正本（已签名盖章）</w:t>
            </w:r>
            <w:r>
              <w:rPr>
                <w:rFonts w:hint="eastAsia" w:ascii="宋体" w:hAnsi="宋体" w:eastAsia="宋体" w:cs="宋体"/>
                <w:b w:val="0"/>
                <w:bCs w:val="0"/>
                <w:sz w:val="21"/>
                <w:szCs w:val="21"/>
                <w:highlight w:val="none"/>
              </w:rPr>
              <w:t>内容完全一致的</w:t>
            </w:r>
            <w:r>
              <w:rPr>
                <w:rFonts w:hint="eastAsia" w:ascii="宋体" w:hAnsi="宋体" w:eastAsia="宋体" w:cs="宋体"/>
                <w:b w:val="0"/>
                <w:bCs w:val="0"/>
                <w:sz w:val="21"/>
                <w:szCs w:val="21"/>
                <w:highlight w:val="none"/>
                <w:lang w:val="en-US" w:eastAsia="zh-CN"/>
              </w:rPr>
              <w:t>PDF格式</w:t>
            </w:r>
            <w:r>
              <w:rPr>
                <w:rFonts w:hint="eastAsia" w:ascii="宋体" w:hAnsi="宋体" w:eastAsia="宋体" w:cs="宋体"/>
                <w:b w:val="0"/>
                <w:bCs w:val="0"/>
                <w:sz w:val="21"/>
                <w:szCs w:val="21"/>
                <w:highlight w:val="none"/>
              </w:rPr>
              <w:t>电子文</w:t>
            </w:r>
            <w:r>
              <w:rPr>
                <w:rFonts w:hint="eastAsia" w:ascii="宋体" w:hAnsi="宋体" w:eastAsia="宋体" w:cs="宋体"/>
                <w:sz w:val="21"/>
                <w:szCs w:val="21"/>
                <w:highlight w:val="none"/>
              </w:rPr>
              <w:t>档。</w:t>
            </w:r>
          </w:p>
        </w:tc>
      </w:tr>
      <w:tr w14:paraId="747A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113" w:type="dxa"/>
            <w:vAlign w:val="center"/>
          </w:tcPr>
          <w:p w14:paraId="4C5066B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404" w:type="dxa"/>
            <w:vAlign w:val="center"/>
          </w:tcPr>
          <w:p w14:paraId="08F886D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908" w:type="dxa"/>
            <w:vAlign w:val="center"/>
          </w:tcPr>
          <w:p w14:paraId="06289BE3">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1、本工程应将竞标函部分、经济部分、技术部分、</w:t>
            </w:r>
            <w:r>
              <w:rPr>
                <w:rFonts w:hint="eastAsia" w:ascii="宋体" w:hAnsi="宋体" w:eastAsia="宋体" w:cs="宋体"/>
                <w:kern w:val="0"/>
                <w:sz w:val="21"/>
                <w:szCs w:val="21"/>
                <w:highlight w:val="none"/>
              </w:rPr>
              <w:t>资格审查部分</w:t>
            </w:r>
            <w:r>
              <w:rPr>
                <w:rFonts w:hint="eastAsia" w:ascii="宋体" w:hAnsi="宋体" w:eastAsia="宋体" w:cs="宋体"/>
                <w:sz w:val="21"/>
                <w:szCs w:val="21"/>
                <w:highlight w:val="none"/>
              </w:rPr>
              <w:t>各自分别装订成册。</w:t>
            </w:r>
          </w:p>
          <w:p w14:paraId="5C77927C">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2、装订</w:t>
            </w:r>
          </w:p>
          <w:p w14:paraId="4BB8E70E">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（1）竞标函部分的装订要求</w:t>
            </w:r>
          </w:p>
          <w:p w14:paraId="30BDD646">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应按照第八章规定格式装订成册，并应编制目录。</w:t>
            </w:r>
          </w:p>
          <w:p w14:paraId="6F3B76A4">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（2）经济部分的装订要求</w:t>
            </w:r>
          </w:p>
          <w:p w14:paraId="706F97B2">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应按照第八章规定格式装订成册，并应编制目录。</w:t>
            </w:r>
          </w:p>
          <w:p w14:paraId="4C2D02C4">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（3）技术部分的装订要求</w:t>
            </w:r>
          </w:p>
          <w:p w14:paraId="06C2C980">
            <w:pPr>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《技术方案》面页使用A4厚型白纸面页，用初号仿宋字体居中标明“技术方案”，在面页右下角加盖投标单位章，按照第八章规定格式装订成册，</w:t>
            </w:r>
            <w:r>
              <w:rPr>
                <w:rFonts w:hint="eastAsia" w:ascii="宋体" w:hAnsi="宋体" w:eastAsia="宋体" w:cs="宋体"/>
                <w:kern w:val="0"/>
                <w:sz w:val="21"/>
                <w:szCs w:val="21"/>
                <w:highlight w:val="none"/>
                <w:lang w:val="en-US" w:eastAsia="zh-CN"/>
              </w:rPr>
              <w:t>原则上</w:t>
            </w:r>
            <w:r>
              <w:rPr>
                <w:rFonts w:hint="eastAsia" w:ascii="宋体" w:hAnsi="宋体" w:eastAsia="宋体" w:cs="宋体"/>
                <w:kern w:val="0"/>
                <w:sz w:val="21"/>
                <w:szCs w:val="21"/>
                <w:highlight w:val="none"/>
              </w:rPr>
              <w:t>应编制目录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但不得将目录编制作为评审因素</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，逐页标注页码。注：技术部分采用明标评审时，不因形式评审的问题（包括但不限于封面、页码、目录、字体、格式等）而被否决投标。</w:t>
            </w:r>
          </w:p>
          <w:p w14:paraId="0613848A">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（技术方</w:t>
            </w:r>
            <w:r>
              <w:rPr>
                <w:rFonts w:hint="eastAsia" w:ascii="宋体" w:hAnsi="宋体" w:eastAsia="宋体" w:cs="宋体"/>
                <w:kern w:val="0"/>
                <w:sz w:val="21"/>
                <w:szCs w:val="21"/>
                <w:highlight w:val="none"/>
              </w:rPr>
              <w:t>案原则上不超过</w:t>
            </w:r>
            <w:r>
              <w:rPr>
                <w:rFonts w:hint="eastAsia" w:ascii="宋体" w:hAnsi="宋体" w:eastAsia="宋体" w:cs="宋体"/>
                <w:kern w:val="0"/>
                <w:sz w:val="21"/>
                <w:szCs w:val="21"/>
                <w:highlight w:val="none"/>
                <w:u w:val="single"/>
              </w:rPr>
              <w:t>200</w:t>
            </w:r>
            <w:r>
              <w:rPr>
                <w:rFonts w:hint="eastAsia" w:ascii="宋体" w:hAnsi="宋体" w:eastAsia="宋体" w:cs="宋体"/>
                <w:kern w:val="0"/>
                <w:sz w:val="21"/>
                <w:szCs w:val="21"/>
                <w:highlight w:val="none"/>
              </w:rPr>
              <w:t>页</w:t>
            </w:r>
            <w:r>
              <w:rPr>
                <w:rFonts w:hint="eastAsia" w:ascii="宋体" w:hAnsi="宋体" w:eastAsia="宋体" w:cs="宋体"/>
                <w:sz w:val="21"/>
                <w:szCs w:val="21"/>
                <w:highlight w:val="none"/>
              </w:rPr>
              <w:t>。）</w:t>
            </w:r>
          </w:p>
          <w:p w14:paraId="3F0439B7">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（4）资格审查部分的装订要求</w:t>
            </w:r>
          </w:p>
          <w:p w14:paraId="251F92A2">
            <w:pPr>
              <w:spacing w:line="400" w:lineRule="exact"/>
              <w:ind w:firstLine="210" w:firstLineChars="100"/>
              <w:rPr>
                <w:rFonts w:hint="eastAsia" w:ascii="宋体" w:hAnsi="宋体" w:eastAsia="宋体" w:cs="宋体"/>
                <w:color w:val="auto"/>
                <w:highlight w:val="none"/>
              </w:rPr>
            </w:pPr>
            <w:r>
              <w:rPr>
                <w:rFonts w:hint="eastAsia" w:ascii="宋体" w:hAnsi="宋体" w:eastAsia="宋体" w:cs="宋体"/>
                <w:sz w:val="21"/>
                <w:szCs w:val="21"/>
                <w:highlight w:val="none"/>
              </w:rPr>
              <w:t>应按照第八章规定格式装订成册，并应编制目录。</w:t>
            </w:r>
          </w:p>
        </w:tc>
      </w:tr>
      <w:tr w14:paraId="7728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65B5F5E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404" w:type="dxa"/>
            <w:vAlign w:val="center"/>
          </w:tcPr>
          <w:p w14:paraId="07EC853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的密封</w:t>
            </w:r>
          </w:p>
        </w:tc>
        <w:tc>
          <w:tcPr>
            <w:tcW w:w="6908" w:type="dxa"/>
            <w:vAlign w:val="center"/>
          </w:tcPr>
          <w:p w14:paraId="1DF7D04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竞标文件袋使用 “竞标函部分”袋、“经济部分”袋、“技术部分”袋、“资格审查部分”袋以及“竞标文件”大袋。</w:t>
            </w:r>
          </w:p>
          <w:p w14:paraId="557001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竞标函部分装入“竞标函部分”袋中，密封并在袋上加盖竞标人单位法人章。</w:t>
            </w:r>
          </w:p>
          <w:p w14:paraId="3BD0AE7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spacing w:val="4"/>
                <w:sz w:val="21"/>
                <w:szCs w:val="21"/>
                <w:highlight w:val="none"/>
              </w:rPr>
              <w:t>经济部分装入“经济部分”袋中，密封并在袋上加盖竞标人单</w:t>
            </w:r>
            <w:r>
              <w:rPr>
                <w:rFonts w:hint="eastAsia" w:ascii="宋体" w:hAnsi="宋体" w:eastAsia="宋体" w:cs="宋体"/>
                <w:sz w:val="21"/>
                <w:szCs w:val="21"/>
                <w:highlight w:val="none"/>
              </w:rPr>
              <w:t>位法人章。</w:t>
            </w:r>
          </w:p>
          <w:p w14:paraId="23F2F66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 本次比选技术部分采用</w:t>
            </w:r>
            <w:r>
              <w:rPr>
                <w:rFonts w:hint="eastAsia" w:ascii="宋体" w:hAnsi="宋体" w:eastAsia="宋体" w:cs="宋体"/>
                <w:sz w:val="21"/>
                <w:szCs w:val="21"/>
                <w:highlight w:val="none"/>
                <w:lang w:val="en-US" w:eastAsia="zh-CN"/>
              </w:rPr>
              <w:t>明</w:t>
            </w:r>
            <w:r>
              <w:rPr>
                <w:rFonts w:hint="eastAsia" w:ascii="宋体" w:hAnsi="宋体" w:eastAsia="宋体" w:cs="宋体"/>
                <w:sz w:val="21"/>
                <w:szCs w:val="21"/>
                <w:highlight w:val="none"/>
              </w:rPr>
              <w:t>标评审，技术部分装入“技术部分”袋中，密封</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加盖</w:t>
            </w:r>
            <w:r>
              <w:rPr>
                <w:rFonts w:hint="eastAsia" w:ascii="宋体" w:hAnsi="宋体" w:eastAsia="宋体" w:cs="宋体"/>
                <w:sz w:val="21"/>
                <w:szCs w:val="21"/>
                <w:highlight w:val="none"/>
                <w:lang w:val="en-US" w:eastAsia="zh-CN"/>
              </w:rPr>
              <w:t>竞标人单位法人章</w:t>
            </w:r>
            <w:r>
              <w:rPr>
                <w:rFonts w:hint="eastAsia" w:ascii="宋体" w:hAnsi="宋体" w:eastAsia="宋体" w:cs="宋体"/>
                <w:sz w:val="21"/>
                <w:szCs w:val="21"/>
                <w:highlight w:val="none"/>
              </w:rPr>
              <w:t>。</w:t>
            </w:r>
          </w:p>
          <w:p w14:paraId="1B5E0C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5.资格审查部分装入“资格审查部分”袋中，密封并在袋上加盖竞标人单位法人章。</w:t>
            </w:r>
          </w:p>
          <w:p w14:paraId="1B1E33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 “竞标函部分”、“经济部分”、“技术部分”、 “资格审查部分”等小袋装入“竞标文件”大袋中，密封并在大袋上加盖竞标人单位法人章，同时“竞标文件”大袋应按本表第4.1.2项的规定写明相应内容。一个大袋装不下的，可使用多个大袋分册封装。大袋未按要求密封的，比选人或代理机构应该拒收。</w:t>
            </w:r>
          </w:p>
          <w:p w14:paraId="629967FA">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注：“竞标函部分”袋、“技术部分”袋、“经济部分”袋、“资格审查部分”袋只为方便竞标文件分装，不作为判定密封合格与否的条件。但为了方便开标，请各竞标人主动配合，按要求分装。</w:t>
            </w:r>
          </w:p>
        </w:tc>
      </w:tr>
      <w:tr w14:paraId="14E5E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212B84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404" w:type="dxa"/>
            <w:vAlign w:val="center"/>
          </w:tcPr>
          <w:p w14:paraId="6D757F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6908" w:type="dxa"/>
            <w:vAlign w:val="center"/>
          </w:tcPr>
          <w:p w14:paraId="34FE0CF1">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应在“竞标文件”大袋封套上写明如下内容：</w:t>
            </w:r>
          </w:p>
          <w:p w14:paraId="7872A814">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比选人名称：</w:t>
            </w:r>
            <w:r>
              <w:rPr>
                <w:rFonts w:hint="eastAsia" w:ascii="宋体" w:hAnsi="宋体" w:eastAsia="宋体" w:cs="宋体"/>
                <w:kern w:val="0"/>
                <w:sz w:val="21"/>
                <w:szCs w:val="21"/>
                <w:highlight w:val="none"/>
                <w:u w:val="single"/>
              </w:rPr>
              <w:t xml:space="preserve">            </w:t>
            </w:r>
          </w:p>
          <w:p w14:paraId="0E8104E5">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竞标人名称：</w:t>
            </w:r>
            <w:r>
              <w:rPr>
                <w:rFonts w:hint="eastAsia" w:ascii="宋体" w:hAnsi="宋体" w:eastAsia="宋体" w:cs="宋体"/>
                <w:kern w:val="0"/>
                <w:sz w:val="21"/>
                <w:szCs w:val="21"/>
                <w:highlight w:val="none"/>
                <w:u w:val="single"/>
              </w:rPr>
              <w:t xml:space="preserve">            </w:t>
            </w:r>
          </w:p>
          <w:p w14:paraId="2E046F64">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rPr>
              <w:t xml:space="preserve">                （项目名称）</w:t>
            </w:r>
            <w:r>
              <w:rPr>
                <w:rFonts w:hint="eastAsia" w:ascii="宋体" w:hAnsi="宋体" w:eastAsia="宋体" w:cs="宋体"/>
                <w:kern w:val="0"/>
                <w:sz w:val="21"/>
                <w:szCs w:val="21"/>
                <w:highlight w:val="none"/>
              </w:rPr>
              <w:t>竞标文件</w:t>
            </w:r>
          </w:p>
          <w:p w14:paraId="05E216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在</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时</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分前不得开启</w:t>
            </w:r>
          </w:p>
        </w:tc>
      </w:tr>
      <w:tr w14:paraId="14A3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0E020C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404" w:type="dxa"/>
            <w:vAlign w:val="center"/>
          </w:tcPr>
          <w:p w14:paraId="4A831D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地点</w:t>
            </w:r>
          </w:p>
        </w:tc>
        <w:tc>
          <w:tcPr>
            <w:tcW w:w="6908" w:type="dxa"/>
            <w:vAlign w:val="center"/>
          </w:tcPr>
          <w:p w14:paraId="508D481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渝皓阳建设</w:t>
            </w:r>
            <w:r>
              <w:rPr>
                <w:rFonts w:hint="eastAsia" w:ascii="宋体" w:hAnsi="宋体" w:eastAsia="宋体" w:cs="宋体"/>
                <w:color w:val="auto"/>
                <w:sz w:val="21"/>
                <w:szCs w:val="21"/>
                <w:highlight w:val="none"/>
              </w:rPr>
              <w:t>工程咨询有限公司会议</w:t>
            </w:r>
            <w:r>
              <w:rPr>
                <w:rFonts w:hint="eastAsia" w:ascii="宋体" w:hAnsi="宋体" w:eastAsia="宋体" w:cs="宋体"/>
                <w:color w:val="auto"/>
                <w:sz w:val="21"/>
                <w:szCs w:val="21"/>
                <w:highlight w:val="none"/>
                <w:lang w:val="en-US" w:eastAsia="zh-CN"/>
              </w:rPr>
              <w:t>室</w:t>
            </w:r>
          </w:p>
        </w:tc>
      </w:tr>
      <w:tr w14:paraId="2D24F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1BE8F1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404" w:type="dxa"/>
            <w:vAlign w:val="center"/>
          </w:tcPr>
          <w:p w14:paraId="07CA0E2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是否退还</w:t>
            </w:r>
            <w:r>
              <w:rPr>
                <w:rFonts w:hint="eastAsia" w:ascii="宋体" w:hAnsi="宋体" w:eastAsia="宋体" w:cs="宋体"/>
                <w:color w:val="auto"/>
                <w:sz w:val="21"/>
                <w:szCs w:val="21"/>
                <w:highlight w:val="none"/>
                <w:lang w:eastAsia="zh-CN"/>
              </w:rPr>
              <w:t>竞标文件</w:t>
            </w:r>
          </w:p>
        </w:tc>
        <w:tc>
          <w:tcPr>
            <w:tcW w:w="6908" w:type="dxa"/>
            <w:vAlign w:val="center"/>
          </w:tcPr>
          <w:p w14:paraId="6B6012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288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5A9461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404" w:type="dxa"/>
            <w:vAlign w:val="center"/>
          </w:tcPr>
          <w:p w14:paraId="09E4BA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时间和地点</w:t>
            </w:r>
          </w:p>
        </w:tc>
        <w:tc>
          <w:tcPr>
            <w:tcW w:w="6908" w:type="dxa"/>
            <w:vAlign w:val="center"/>
          </w:tcPr>
          <w:p w14:paraId="45FEAC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时间：同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截止时间</w:t>
            </w:r>
          </w:p>
          <w:p w14:paraId="3B520DD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地点：重庆</w:t>
            </w:r>
            <w:r>
              <w:rPr>
                <w:rFonts w:hint="eastAsia" w:ascii="宋体" w:hAnsi="宋体" w:eastAsia="宋体" w:cs="宋体"/>
                <w:color w:val="auto"/>
                <w:sz w:val="21"/>
                <w:szCs w:val="21"/>
                <w:highlight w:val="none"/>
                <w:lang w:val="en-US" w:eastAsia="zh-CN"/>
              </w:rPr>
              <w:t>渝皓阳建设</w:t>
            </w:r>
            <w:r>
              <w:rPr>
                <w:rFonts w:hint="eastAsia" w:ascii="宋体" w:hAnsi="宋体" w:eastAsia="宋体" w:cs="宋体"/>
                <w:color w:val="auto"/>
                <w:sz w:val="21"/>
                <w:szCs w:val="21"/>
                <w:highlight w:val="none"/>
              </w:rPr>
              <w:t>工程咨询有限公司会议</w:t>
            </w:r>
            <w:r>
              <w:rPr>
                <w:rFonts w:hint="eastAsia" w:ascii="宋体" w:hAnsi="宋体" w:eastAsia="宋体" w:cs="宋体"/>
                <w:color w:val="auto"/>
                <w:sz w:val="21"/>
                <w:szCs w:val="21"/>
                <w:highlight w:val="none"/>
                <w:lang w:val="en-US" w:eastAsia="zh-CN"/>
              </w:rPr>
              <w:t>室</w:t>
            </w:r>
          </w:p>
        </w:tc>
      </w:tr>
      <w:tr w14:paraId="5322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7ADF09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404" w:type="dxa"/>
            <w:vAlign w:val="center"/>
          </w:tcPr>
          <w:p w14:paraId="280162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程序</w:t>
            </w:r>
          </w:p>
        </w:tc>
        <w:tc>
          <w:tcPr>
            <w:tcW w:w="6908" w:type="dxa"/>
            <w:vAlign w:val="center"/>
          </w:tcPr>
          <w:p w14:paraId="6BF7E5F5">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主持人按下列程序进行比选：</w:t>
            </w:r>
          </w:p>
          <w:p w14:paraId="64F710B2">
            <w:pPr>
              <w:keepNext w:val="0"/>
              <w:keepLines w:val="0"/>
              <w:pageBreakBefore w:val="0"/>
              <w:widowControl w:val="0"/>
              <w:numPr>
                <w:ilvl w:val="0"/>
                <w:numId w:val="0"/>
              </w:numPr>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lang w:val="en-US" w:eastAsia="zh-CN" w:bidi="ar-SA"/>
              </w:rPr>
              <w:t>1.</w:t>
            </w:r>
            <w:r>
              <w:rPr>
                <w:rFonts w:hint="eastAsia" w:ascii="宋体" w:hAnsi="宋体" w:eastAsia="宋体" w:cs="宋体"/>
                <w:bCs/>
                <w:kern w:val="0"/>
                <w:sz w:val="21"/>
                <w:szCs w:val="21"/>
                <w:highlight w:val="none"/>
              </w:rPr>
              <w:t>宣布比选纪律；</w:t>
            </w:r>
          </w:p>
          <w:p w14:paraId="7BB179F3">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.宣布开标人、唱标人、记录人、监标人等有关人员姓名；</w:t>
            </w:r>
          </w:p>
          <w:p w14:paraId="315E0090">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.公布在比选截止时间前递交</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文件的</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人名称，并点名确认</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人是否派人到场；</w:t>
            </w:r>
          </w:p>
          <w:p w14:paraId="23D0A0C0">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.核验</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保证金缴款情况，未在规定时间缴纳</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保证金的，当场退还其</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文件。</w:t>
            </w:r>
          </w:p>
          <w:p w14:paraId="6BBFFBEA">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.密封情况检查：</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人或者其推选的</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人代表检查</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文件的密封情况并确认。</w:t>
            </w:r>
          </w:p>
          <w:p w14:paraId="7D1E95F6">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6.</w:t>
            </w:r>
            <w:r>
              <w:rPr>
                <w:rFonts w:hint="eastAsia" w:ascii="宋体" w:hAnsi="宋体" w:eastAsia="宋体" w:cs="宋体"/>
                <w:bCs/>
                <w:kern w:val="0"/>
                <w:sz w:val="21"/>
                <w:szCs w:val="21"/>
                <w:highlight w:val="none"/>
              </w:rPr>
              <w:t>设有最高限价的，公布</w:t>
            </w:r>
            <w:r>
              <w:rPr>
                <w:rFonts w:hint="eastAsia" w:ascii="宋体" w:hAnsi="宋体" w:eastAsia="宋体" w:cs="宋体"/>
                <w:bCs/>
                <w:kern w:val="0"/>
                <w:sz w:val="21"/>
                <w:szCs w:val="21"/>
                <w:highlight w:val="none"/>
                <w:lang w:val="en-US" w:eastAsia="zh-CN"/>
              </w:rPr>
              <w:t>最高限价</w:t>
            </w:r>
            <w:r>
              <w:rPr>
                <w:rFonts w:hint="eastAsia" w:ascii="宋体" w:hAnsi="宋体" w:eastAsia="宋体" w:cs="宋体"/>
                <w:bCs/>
                <w:kern w:val="0"/>
                <w:sz w:val="21"/>
                <w:szCs w:val="21"/>
                <w:highlight w:val="none"/>
              </w:rPr>
              <w:t>；</w:t>
            </w:r>
          </w:p>
          <w:p w14:paraId="1D0EF5F1">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7</w:t>
            </w:r>
            <w:r>
              <w:rPr>
                <w:rFonts w:hint="eastAsia" w:ascii="宋体" w:hAnsi="宋体" w:eastAsia="宋体" w:cs="宋体"/>
                <w:bCs/>
                <w:kern w:val="0"/>
                <w:sz w:val="21"/>
                <w:szCs w:val="21"/>
                <w:highlight w:val="none"/>
              </w:rPr>
              <w:t>.开启投标文件顺序：随机开启；</w:t>
            </w:r>
          </w:p>
          <w:p w14:paraId="1345453E">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8</w:t>
            </w:r>
            <w:r>
              <w:rPr>
                <w:rFonts w:hint="eastAsia" w:ascii="宋体" w:hAnsi="宋体" w:eastAsia="宋体" w:cs="宋体"/>
                <w:bCs/>
                <w:kern w:val="0"/>
                <w:sz w:val="21"/>
                <w:szCs w:val="21"/>
                <w:highlight w:val="none"/>
              </w:rPr>
              <w:t>.按照宣布的比选顺序当众比选，开启</w:t>
            </w:r>
            <w:r>
              <w:rPr>
                <w:rFonts w:hint="eastAsia" w:ascii="宋体" w:hAnsi="宋体" w:eastAsia="宋体" w:cs="宋体"/>
                <w:bCs/>
                <w:kern w:val="0"/>
                <w:sz w:val="21"/>
                <w:szCs w:val="21"/>
                <w:highlight w:val="none"/>
                <w:lang w:val="en-US" w:eastAsia="zh-CN"/>
              </w:rPr>
              <w:t>竞标文件</w:t>
            </w:r>
            <w:r>
              <w:rPr>
                <w:rFonts w:hint="eastAsia" w:ascii="宋体" w:hAnsi="宋体" w:eastAsia="宋体" w:cs="宋体"/>
                <w:bCs/>
                <w:kern w:val="0"/>
                <w:sz w:val="21"/>
                <w:szCs w:val="21"/>
                <w:highlight w:val="none"/>
              </w:rPr>
              <w:t>袋并公布</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人名称、投标报价、质量目标、工期及其他内容。</w:t>
            </w:r>
          </w:p>
          <w:p w14:paraId="7689AB0A">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9</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竞标</w:t>
            </w:r>
            <w:r>
              <w:rPr>
                <w:rFonts w:hint="eastAsia" w:ascii="宋体" w:hAnsi="宋体" w:eastAsia="宋体" w:cs="宋体"/>
                <w:bCs/>
                <w:kern w:val="0"/>
                <w:sz w:val="21"/>
                <w:szCs w:val="21"/>
                <w:highlight w:val="none"/>
              </w:rPr>
              <w:t>人代表、 比选人代表、监标人、记录人等有关人员在</w:t>
            </w:r>
            <w:r>
              <w:rPr>
                <w:rFonts w:hint="eastAsia" w:ascii="宋体" w:hAnsi="宋体" w:eastAsia="宋体" w:cs="宋体"/>
                <w:bCs/>
                <w:kern w:val="0"/>
                <w:sz w:val="21"/>
                <w:szCs w:val="21"/>
                <w:highlight w:val="none"/>
                <w:lang w:val="en-US" w:eastAsia="zh-CN"/>
              </w:rPr>
              <w:t>开标</w:t>
            </w:r>
            <w:r>
              <w:rPr>
                <w:rFonts w:hint="eastAsia" w:ascii="宋体" w:hAnsi="宋体" w:eastAsia="宋体" w:cs="宋体"/>
                <w:bCs/>
                <w:kern w:val="0"/>
                <w:sz w:val="21"/>
                <w:szCs w:val="21"/>
                <w:highlight w:val="none"/>
              </w:rPr>
              <w:t>记录上签字确认；</w:t>
            </w:r>
          </w:p>
          <w:p w14:paraId="2E5853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.比选结束。</w:t>
            </w:r>
          </w:p>
        </w:tc>
      </w:tr>
      <w:tr w14:paraId="79C8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586AE6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404" w:type="dxa"/>
            <w:vAlign w:val="center"/>
          </w:tcPr>
          <w:p w14:paraId="1E2645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的组建</w:t>
            </w:r>
          </w:p>
        </w:tc>
        <w:tc>
          <w:tcPr>
            <w:tcW w:w="6908" w:type="dxa"/>
            <w:vAlign w:val="center"/>
          </w:tcPr>
          <w:p w14:paraId="1DFFF467">
            <w:pPr>
              <w:autoSpaceDE w:val="0"/>
              <w:autoSpaceDN w:val="0"/>
              <w:spacing w:line="360" w:lineRule="auto"/>
              <w:ind w:right="-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构成：3人</w:t>
            </w:r>
          </w:p>
          <w:p w14:paraId="0781E026">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专家确定方式：</w:t>
            </w:r>
            <w:r>
              <w:rPr>
                <w:rFonts w:hint="eastAsia" w:ascii="宋体" w:hAnsi="宋体" w:eastAsia="宋体" w:cs="宋体"/>
                <w:color w:val="auto"/>
                <w:sz w:val="21"/>
                <w:szCs w:val="21"/>
                <w:highlight w:val="none"/>
                <w:lang w:eastAsia="zh-CN"/>
              </w:rPr>
              <w:t>由比选人按法律法规及相关规定依法组建评标委员会。</w:t>
            </w:r>
          </w:p>
        </w:tc>
      </w:tr>
      <w:tr w14:paraId="7349B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shd w:val="clear" w:color="auto" w:fill="auto"/>
            <w:vAlign w:val="center"/>
          </w:tcPr>
          <w:p w14:paraId="682ECE02">
            <w:pPr>
              <w:snapToGrid w:val="0"/>
              <w:spacing w:line="360" w:lineRule="auto"/>
              <w:jc w:val="center"/>
              <w:rPr>
                <w:rFonts w:hint="eastAsia" w:ascii="宋体" w:hAnsi="宋体" w:eastAsia="宋体" w:cs="宋体"/>
                <w:kern w:val="0"/>
                <w:sz w:val="32"/>
                <w:szCs w:val="21"/>
                <w:lang w:val="en-US" w:eastAsia="zh-CN" w:bidi="ar-SA"/>
              </w:rPr>
            </w:pPr>
            <w:r>
              <w:rPr>
                <w:rFonts w:hint="eastAsia" w:ascii="宋体" w:hAnsi="宋体" w:eastAsia="宋体" w:cs="宋体"/>
                <w:color w:val="auto"/>
                <w:sz w:val="21"/>
                <w:szCs w:val="21"/>
                <w:highlight w:val="none"/>
              </w:rPr>
              <w:t>7.1</w:t>
            </w:r>
          </w:p>
        </w:tc>
        <w:tc>
          <w:tcPr>
            <w:tcW w:w="1404" w:type="dxa"/>
            <w:shd w:val="clear" w:color="auto" w:fill="auto"/>
            <w:vAlign w:val="center"/>
          </w:tcPr>
          <w:p w14:paraId="099B385B">
            <w:pPr>
              <w:snapToGrid w:val="0"/>
              <w:spacing w:line="360" w:lineRule="auto"/>
              <w:jc w:val="center"/>
              <w:rPr>
                <w:rFonts w:hint="eastAsia" w:ascii="宋体" w:hAnsi="宋体" w:eastAsia="宋体" w:cs="宋体"/>
                <w:kern w:val="0"/>
                <w:sz w:val="32"/>
                <w:szCs w:val="21"/>
                <w:lang w:val="en-US" w:eastAsia="zh-CN" w:bidi="ar-SA"/>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w:t>
            </w:r>
          </w:p>
        </w:tc>
        <w:tc>
          <w:tcPr>
            <w:tcW w:w="6908" w:type="dxa"/>
            <w:shd w:val="clear" w:color="auto" w:fill="auto"/>
            <w:vAlign w:val="center"/>
          </w:tcPr>
          <w:p w14:paraId="156BA034">
            <w:pPr>
              <w:snapToGrid w:val="0"/>
              <w:spacing w:line="360" w:lineRule="auto"/>
              <w:ind w:left="372" w:leftChars="50" w:hanging="212" w:hangingChars="101"/>
              <w:rPr>
                <w:rFonts w:hint="eastAsia" w:ascii="宋体" w:hAnsi="宋体" w:eastAsia="宋体" w:cs="宋体"/>
                <w:kern w:val="0"/>
                <w:sz w:val="32"/>
                <w:szCs w:val="21"/>
                <w:lang w:val="en-US" w:eastAsia="zh-CN" w:bidi="ar-SA"/>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lang w:eastAsia="zh-CN"/>
              </w:rPr>
              <w:t>否，推荐的中选候选人数：3名。</w:t>
            </w:r>
          </w:p>
        </w:tc>
      </w:tr>
      <w:tr w14:paraId="00917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13" w:type="dxa"/>
            <w:vAlign w:val="center"/>
          </w:tcPr>
          <w:p w14:paraId="476C79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w:t>
            </w:r>
          </w:p>
        </w:tc>
        <w:tc>
          <w:tcPr>
            <w:tcW w:w="1404" w:type="dxa"/>
            <w:vAlign w:val="center"/>
          </w:tcPr>
          <w:p w14:paraId="6B284A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908" w:type="dxa"/>
            <w:vAlign w:val="center"/>
          </w:tcPr>
          <w:p w14:paraId="1CA17139">
            <w:pPr>
              <w:autoSpaceDE w:val="0"/>
              <w:autoSpaceDN w:val="0"/>
              <w:spacing w:line="360" w:lineRule="auto"/>
              <w:ind w:right="-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1.担保形式：现金或不可撤销的见索即付银行保函</w:t>
            </w:r>
          </w:p>
          <w:p w14:paraId="1F45FF07">
            <w:pPr>
              <w:autoSpaceDE w:val="0"/>
              <w:autoSpaceDN w:val="0"/>
              <w:spacing w:line="360" w:lineRule="auto"/>
              <w:ind w:right="-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2.担保金额：</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合同价的10%。</w:t>
            </w:r>
          </w:p>
          <w:p w14:paraId="6E9DAD29">
            <w:pPr>
              <w:autoSpaceDE w:val="0"/>
              <w:autoSpaceDN w:val="0"/>
              <w:spacing w:line="360" w:lineRule="auto"/>
              <w:ind w:right="-2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3.提交时间：</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人收到</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通知书后3日内递交给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人。未按约定时间办理的，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人有权取消其</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资格并不予退还其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p>
          <w:p w14:paraId="5AAECF6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4.履约担保金退还方式：工程竣工验收合格后十日内一次性无息退还或工程竣工验收合格后十日内解保。</w:t>
            </w:r>
          </w:p>
        </w:tc>
      </w:tr>
      <w:tr w14:paraId="50812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113" w:type="dxa"/>
            <w:vAlign w:val="center"/>
          </w:tcPr>
          <w:p w14:paraId="00A1646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404" w:type="dxa"/>
            <w:vAlign w:val="center"/>
          </w:tcPr>
          <w:p w14:paraId="256771D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重新竞争性</w:t>
            </w:r>
            <w:r>
              <w:rPr>
                <w:rFonts w:hint="eastAsia" w:ascii="宋体" w:hAnsi="宋体" w:eastAsia="宋体" w:cs="宋体"/>
                <w:color w:val="auto"/>
                <w:sz w:val="21"/>
                <w:szCs w:val="21"/>
                <w:highlight w:val="none"/>
                <w:lang w:eastAsia="zh-CN"/>
              </w:rPr>
              <w:t>比选</w:t>
            </w:r>
          </w:p>
        </w:tc>
        <w:tc>
          <w:tcPr>
            <w:tcW w:w="6908" w:type="dxa"/>
            <w:vAlign w:val="center"/>
          </w:tcPr>
          <w:p w14:paraId="3EE543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须知第8.1（1）执行；</w:t>
            </w:r>
          </w:p>
          <w:p w14:paraId="08B9B9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须知第8.1（2）执行；</w:t>
            </w:r>
          </w:p>
          <w:p w14:paraId="761E75A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须知第8.1（3）执行；</w:t>
            </w:r>
          </w:p>
          <w:p w14:paraId="1521F96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须知第8.1（4）执行。</w:t>
            </w:r>
          </w:p>
        </w:tc>
      </w:tr>
      <w:tr w14:paraId="383A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1113" w:type="dxa"/>
            <w:vAlign w:val="center"/>
          </w:tcPr>
          <w:p w14:paraId="5C4405D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w:t>
            </w:r>
          </w:p>
        </w:tc>
        <w:tc>
          <w:tcPr>
            <w:tcW w:w="8312" w:type="dxa"/>
            <w:gridSpan w:val="2"/>
            <w:vAlign w:val="center"/>
          </w:tcPr>
          <w:p w14:paraId="677AF4B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需要补充的其他内容</w:t>
            </w:r>
          </w:p>
        </w:tc>
      </w:tr>
      <w:tr w14:paraId="17B45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vAlign w:val="center"/>
          </w:tcPr>
          <w:p w14:paraId="2A3F71B2">
            <w:pPr>
              <w:tabs>
                <w:tab w:val="left" w:pos="2000"/>
                <w:tab w:val="left" w:pos="5580"/>
                <w:tab w:val="left" w:pos="6220"/>
                <w:tab w:val="left" w:pos="6840"/>
                <w:tab w:val="left" w:pos="7460"/>
                <w:tab w:val="left" w:pos="8100"/>
              </w:tabs>
              <w:autoSpaceDE w:val="0"/>
              <w:autoSpaceDN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404" w:type="dxa"/>
            <w:vAlign w:val="center"/>
          </w:tcPr>
          <w:p w14:paraId="2B23FE8A">
            <w:pPr>
              <w:tabs>
                <w:tab w:val="left" w:pos="2032"/>
              </w:tabs>
              <w:autoSpaceDE w:val="0"/>
              <w:autoSpaceDN w:val="0"/>
              <w:spacing w:line="360" w:lineRule="auto"/>
              <w:ind w:right="-127"/>
              <w:jc w:val="center"/>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工程款支付方式</w:t>
            </w:r>
          </w:p>
        </w:tc>
        <w:tc>
          <w:tcPr>
            <w:tcW w:w="6908" w:type="dxa"/>
            <w:vAlign w:val="center"/>
          </w:tcPr>
          <w:p w14:paraId="33E489CD">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u w:val="single"/>
                <w:lang w:val="en-US" w:eastAsia="zh-CN" w:bidi="ar-SA"/>
              </w:rPr>
              <w:t>本工程不支付预付款， 工程竣工验收合格且审计结算后，并缴纳审计结算价款的3%作为质保金后，支付至审计结算价款的100%，3%的质保金待缺陷责任期满1年后无息退还。</w:t>
            </w:r>
          </w:p>
        </w:tc>
      </w:tr>
      <w:tr w14:paraId="66FC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vAlign w:val="center"/>
          </w:tcPr>
          <w:p w14:paraId="1912A6E1">
            <w:pPr>
              <w:tabs>
                <w:tab w:val="left" w:pos="2000"/>
                <w:tab w:val="left" w:pos="5580"/>
                <w:tab w:val="left" w:pos="6220"/>
                <w:tab w:val="left" w:pos="6840"/>
                <w:tab w:val="left" w:pos="7460"/>
                <w:tab w:val="left" w:pos="8100"/>
              </w:tabs>
              <w:autoSpaceDE w:val="0"/>
              <w:autoSpaceDN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404" w:type="dxa"/>
            <w:vAlign w:val="center"/>
          </w:tcPr>
          <w:p w14:paraId="16C8B142">
            <w:pPr>
              <w:tabs>
                <w:tab w:val="left" w:pos="2032"/>
              </w:tabs>
              <w:autoSpaceDE w:val="0"/>
              <w:autoSpaceDN w:val="0"/>
              <w:spacing w:line="360" w:lineRule="auto"/>
              <w:ind w:right="-1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代理服务费</w:t>
            </w:r>
          </w:p>
        </w:tc>
        <w:tc>
          <w:tcPr>
            <w:tcW w:w="6908" w:type="dxa"/>
            <w:vAlign w:val="center"/>
          </w:tcPr>
          <w:p w14:paraId="2F9B9E54">
            <w:pPr>
              <w:tabs>
                <w:tab w:val="left" w:pos="2032"/>
              </w:tabs>
              <w:autoSpaceDE w:val="0"/>
              <w:autoSpaceDN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 xml:space="preserve"> 本工程比选代理服务费为</w:t>
            </w:r>
            <w:r>
              <w:rPr>
                <w:rFonts w:hint="eastAsia" w:ascii="宋体" w:hAnsi="宋体" w:eastAsia="宋体" w:cs="宋体"/>
                <w:color w:val="auto"/>
                <w:sz w:val="21"/>
                <w:szCs w:val="21"/>
                <w:highlight w:val="none"/>
                <w:u w:val="single"/>
                <w:lang w:val="en-US" w:eastAsia="zh-CN"/>
              </w:rPr>
              <w:t>5000元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由中选人在领取中选通知书时一次性支付给代理机构。</w:t>
            </w:r>
          </w:p>
        </w:tc>
      </w:tr>
      <w:tr w14:paraId="586C5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3" w:type="dxa"/>
            <w:shd w:val="clear" w:color="auto" w:fill="auto"/>
            <w:vAlign w:val="center"/>
          </w:tcPr>
          <w:p w14:paraId="1412B8CF">
            <w:pPr>
              <w:tabs>
                <w:tab w:val="left" w:pos="2000"/>
                <w:tab w:val="left" w:pos="5580"/>
                <w:tab w:val="left" w:pos="6220"/>
                <w:tab w:val="left" w:pos="6840"/>
                <w:tab w:val="left" w:pos="7460"/>
                <w:tab w:val="left" w:pos="8100"/>
              </w:tabs>
              <w:autoSpaceDE w:val="0"/>
              <w:autoSpaceDN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404" w:type="dxa"/>
            <w:shd w:val="clear" w:color="auto" w:fill="auto"/>
            <w:vAlign w:val="center"/>
          </w:tcPr>
          <w:p w14:paraId="214328A3">
            <w:pPr>
              <w:tabs>
                <w:tab w:val="left" w:pos="2000"/>
                <w:tab w:val="left" w:pos="5580"/>
                <w:tab w:val="left" w:pos="6220"/>
                <w:tab w:val="left" w:pos="6840"/>
                <w:tab w:val="left" w:pos="7460"/>
                <w:tab w:val="left" w:pos="8100"/>
              </w:tabs>
              <w:autoSpaceDE w:val="0"/>
              <w:autoSpaceDN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关于对</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争议的解释</w:t>
            </w:r>
          </w:p>
        </w:tc>
        <w:tc>
          <w:tcPr>
            <w:tcW w:w="6908" w:type="dxa"/>
            <w:shd w:val="clear" w:color="auto" w:fill="auto"/>
            <w:vAlign w:val="center"/>
          </w:tcPr>
          <w:p w14:paraId="346942C9">
            <w:pPr>
              <w:tabs>
                <w:tab w:val="left" w:pos="2000"/>
                <w:tab w:val="left" w:pos="5580"/>
                <w:tab w:val="left" w:pos="6220"/>
                <w:tab w:val="left" w:pos="6840"/>
                <w:tab w:val="left" w:pos="7460"/>
                <w:tab w:val="left" w:pos="8100"/>
              </w:tabs>
              <w:autoSpaceDE w:val="0"/>
              <w:autoSpaceDN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标准和方法，以及资格审查和否决</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条款理解有争议的，应当作出不利于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人的解释，但违背国家利益、社会公共利益的除外。</w:t>
            </w:r>
          </w:p>
          <w:p w14:paraId="2258048C">
            <w:pPr>
              <w:tabs>
                <w:tab w:val="left" w:pos="2000"/>
                <w:tab w:val="left" w:pos="5580"/>
                <w:tab w:val="left" w:pos="6220"/>
                <w:tab w:val="left" w:pos="6840"/>
                <w:tab w:val="left" w:pos="7460"/>
                <w:tab w:val="left" w:pos="8100"/>
              </w:tabs>
              <w:autoSpaceDE w:val="0"/>
              <w:autoSpaceDN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理解有争议的，应当作出不利于提交该</w:t>
            </w:r>
            <w:r>
              <w:rPr>
                <w:rFonts w:hint="eastAsia" w:ascii="宋体" w:hAnsi="宋体" w:eastAsia="宋体" w:cs="宋体"/>
                <w:color w:val="auto"/>
                <w:sz w:val="21"/>
                <w:szCs w:val="21"/>
                <w:highlight w:val="none"/>
                <w:lang w:val="en-US" w:eastAsia="zh-CN"/>
              </w:rPr>
              <w:t>竞标文件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的解释。</w:t>
            </w:r>
          </w:p>
        </w:tc>
      </w:tr>
    </w:tbl>
    <w:p w14:paraId="730C3754">
      <w:pPr>
        <w:spacing w:line="380" w:lineRule="exact"/>
        <w:outlineLvl w:val="9"/>
        <w:rPr>
          <w:rFonts w:hint="eastAsia" w:ascii="宋体" w:hAnsi="宋体" w:eastAsia="宋体" w:cs="宋体"/>
          <w:b/>
          <w:color w:val="auto"/>
          <w:sz w:val="21"/>
          <w:szCs w:val="21"/>
          <w:highlight w:val="none"/>
        </w:rPr>
      </w:pPr>
      <w:bookmarkStart w:id="50" w:name="_Toc430205968"/>
      <w:bookmarkStart w:id="51" w:name="_Toc492244444"/>
      <w:bookmarkStart w:id="52" w:name="_Toc3970"/>
    </w:p>
    <w:p w14:paraId="2366EC3C">
      <w:pPr>
        <w:rPr>
          <w:rFonts w:hint="eastAsia" w:ascii="宋体" w:hAnsi="宋体" w:eastAsia="宋体" w:cs="宋体"/>
          <w:b/>
          <w:color w:val="auto"/>
          <w:sz w:val="21"/>
          <w:szCs w:val="21"/>
          <w:highlight w:val="none"/>
        </w:rPr>
      </w:pPr>
      <w:bookmarkStart w:id="53" w:name="_Toc32074"/>
      <w:r>
        <w:rPr>
          <w:rFonts w:hint="eastAsia" w:ascii="宋体" w:hAnsi="宋体" w:eastAsia="宋体" w:cs="宋体"/>
          <w:b/>
          <w:color w:val="auto"/>
          <w:sz w:val="21"/>
          <w:szCs w:val="21"/>
          <w:highlight w:val="none"/>
        </w:rPr>
        <w:br w:type="page"/>
      </w:r>
    </w:p>
    <w:p w14:paraId="500C1BB3">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总则</w:t>
      </w:r>
      <w:bookmarkEnd w:id="50"/>
      <w:bookmarkEnd w:id="51"/>
      <w:bookmarkEnd w:id="52"/>
      <w:bookmarkEnd w:id="53"/>
    </w:p>
    <w:p w14:paraId="7F9D5D5F">
      <w:pPr>
        <w:spacing w:line="380" w:lineRule="exact"/>
        <w:outlineLvl w:val="3"/>
        <w:rPr>
          <w:rFonts w:hint="eastAsia" w:ascii="宋体" w:hAnsi="宋体" w:eastAsia="宋体" w:cs="宋体"/>
          <w:b/>
          <w:color w:val="auto"/>
          <w:sz w:val="21"/>
          <w:szCs w:val="21"/>
          <w:highlight w:val="none"/>
        </w:rPr>
      </w:pPr>
      <w:bookmarkStart w:id="54" w:name="_Toc200513127"/>
      <w:bookmarkStart w:id="55" w:name="_Toc277082553"/>
      <w:bookmarkStart w:id="56" w:name="_Toc224103318"/>
      <w:bookmarkStart w:id="57" w:name="_Toc326274487"/>
      <w:bookmarkStart w:id="58" w:name="_Toc287607747"/>
      <w:bookmarkStart w:id="59" w:name="_Toc430205969"/>
      <w:bookmarkStart w:id="60" w:name="_Toc9441"/>
      <w:r>
        <w:rPr>
          <w:rFonts w:hint="eastAsia" w:ascii="宋体" w:hAnsi="宋体" w:eastAsia="宋体" w:cs="宋体"/>
          <w:b/>
          <w:color w:val="auto"/>
          <w:sz w:val="21"/>
          <w:szCs w:val="21"/>
          <w:highlight w:val="none"/>
        </w:rPr>
        <w:t>1.1  项目概况</w:t>
      </w:r>
      <w:bookmarkEnd w:id="54"/>
      <w:bookmarkEnd w:id="55"/>
      <w:bookmarkEnd w:id="56"/>
      <w:bookmarkEnd w:id="57"/>
      <w:bookmarkEnd w:id="58"/>
      <w:bookmarkEnd w:id="59"/>
      <w:bookmarkEnd w:id="60"/>
    </w:p>
    <w:p w14:paraId="3E27716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根据有关</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和规章的规定，本项目已具备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条件，现对本项目进行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p w14:paraId="2C15A86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36EE390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本项目代理机构：见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151A408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06713B9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本项目地点：见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384F66D8">
      <w:pPr>
        <w:spacing w:line="380" w:lineRule="exact"/>
        <w:outlineLvl w:val="3"/>
        <w:rPr>
          <w:rFonts w:hint="eastAsia" w:ascii="宋体" w:hAnsi="宋体" w:eastAsia="宋体" w:cs="宋体"/>
          <w:b/>
          <w:color w:val="auto"/>
          <w:sz w:val="21"/>
          <w:szCs w:val="21"/>
          <w:highlight w:val="none"/>
        </w:rPr>
      </w:pPr>
      <w:bookmarkStart w:id="61" w:name="_Toc200513128"/>
      <w:bookmarkStart w:id="62" w:name="_Toc287607748"/>
      <w:bookmarkStart w:id="63" w:name="_Toc430205970"/>
      <w:bookmarkStart w:id="64" w:name="_Toc326274488"/>
      <w:bookmarkStart w:id="65" w:name="_Toc277082554"/>
      <w:bookmarkStart w:id="66" w:name="_Toc224103319"/>
      <w:bookmarkStart w:id="67" w:name="_Toc27954"/>
      <w:r>
        <w:rPr>
          <w:rFonts w:hint="eastAsia" w:ascii="宋体" w:hAnsi="宋体" w:eastAsia="宋体" w:cs="宋体"/>
          <w:b/>
          <w:color w:val="auto"/>
          <w:sz w:val="21"/>
          <w:szCs w:val="21"/>
          <w:highlight w:val="none"/>
        </w:rPr>
        <w:t>1.2  资金来源和落实情况</w:t>
      </w:r>
      <w:bookmarkEnd w:id="61"/>
      <w:bookmarkEnd w:id="62"/>
      <w:bookmarkEnd w:id="63"/>
      <w:bookmarkEnd w:id="64"/>
      <w:bookmarkEnd w:id="65"/>
      <w:bookmarkEnd w:id="66"/>
      <w:bookmarkEnd w:id="67"/>
    </w:p>
    <w:p w14:paraId="2F04017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本项目的资金来源：见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0B351E3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本项目的资金落实情况：见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57B3A213">
      <w:pPr>
        <w:spacing w:line="380" w:lineRule="exact"/>
        <w:outlineLvl w:val="3"/>
        <w:rPr>
          <w:rFonts w:hint="eastAsia" w:ascii="宋体" w:hAnsi="宋体" w:eastAsia="宋体" w:cs="宋体"/>
          <w:b/>
          <w:color w:val="auto"/>
          <w:sz w:val="21"/>
          <w:szCs w:val="21"/>
          <w:highlight w:val="none"/>
        </w:rPr>
      </w:pPr>
      <w:bookmarkStart w:id="68" w:name="_Toc326274489"/>
      <w:bookmarkStart w:id="69" w:name="_Toc277082555"/>
      <w:bookmarkStart w:id="70" w:name="_Toc287607749"/>
      <w:bookmarkStart w:id="71" w:name="_Toc2340"/>
      <w:bookmarkStart w:id="72" w:name="_Toc200513129"/>
      <w:bookmarkStart w:id="73" w:name="_Toc224103320"/>
      <w:bookmarkStart w:id="74" w:name="_Toc430205971"/>
      <w:r>
        <w:rPr>
          <w:rFonts w:hint="eastAsia" w:ascii="宋体" w:hAnsi="宋体" w:eastAsia="宋体" w:cs="宋体"/>
          <w:b/>
          <w:color w:val="auto"/>
          <w:sz w:val="21"/>
          <w:szCs w:val="21"/>
          <w:highlight w:val="none"/>
        </w:rPr>
        <w:t xml:space="preserve">1.3  </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范围、计划工期和质量要求</w:t>
      </w:r>
      <w:bookmarkEnd w:id="68"/>
      <w:bookmarkEnd w:id="69"/>
      <w:bookmarkEnd w:id="70"/>
      <w:bookmarkEnd w:id="71"/>
      <w:bookmarkEnd w:id="72"/>
      <w:bookmarkEnd w:id="73"/>
      <w:bookmarkEnd w:id="74"/>
    </w:p>
    <w:p w14:paraId="080E2F1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32CFEC8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本项目的工期：见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171B56F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本项目的质量要求：见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23EC9857">
      <w:pPr>
        <w:spacing w:line="380" w:lineRule="exact"/>
        <w:outlineLvl w:val="3"/>
        <w:rPr>
          <w:rFonts w:hint="eastAsia" w:ascii="宋体" w:hAnsi="宋体" w:eastAsia="宋体" w:cs="宋体"/>
          <w:b/>
          <w:color w:val="auto"/>
          <w:sz w:val="21"/>
          <w:szCs w:val="21"/>
          <w:highlight w:val="none"/>
        </w:rPr>
      </w:pPr>
      <w:bookmarkStart w:id="75" w:name="_Toc27658"/>
      <w:bookmarkStart w:id="76" w:name="_Toc287607751"/>
      <w:bookmarkStart w:id="77" w:name="_Toc326274490"/>
      <w:bookmarkStart w:id="78" w:name="_Toc430205972"/>
      <w:bookmarkStart w:id="79" w:name="_Toc200513131"/>
      <w:bookmarkStart w:id="80" w:name="_Toc277082557"/>
      <w:bookmarkStart w:id="81" w:name="_Toc224103322"/>
      <w:r>
        <w:rPr>
          <w:rFonts w:hint="eastAsia" w:ascii="宋体" w:hAnsi="宋体" w:eastAsia="宋体" w:cs="宋体"/>
          <w:b/>
          <w:color w:val="auto"/>
          <w:sz w:val="21"/>
          <w:szCs w:val="21"/>
          <w:highlight w:val="none"/>
        </w:rPr>
        <w:t xml:space="preserve">1.4  </w:t>
      </w:r>
      <w:r>
        <w:rPr>
          <w:rFonts w:hint="eastAsia" w:ascii="宋体" w:hAnsi="宋体" w:eastAsia="宋体" w:cs="宋体"/>
          <w:b/>
          <w:color w:val="auto"/>
          <w:sz w:val="21"/>
          <w:szCs w:val="21"/>
          <w:highlight w:val="none"/>
          <w:lang w:eastAsia="zh-CN"/>
        </w:rPr>
        <w:t>竞标人</w:t>
      </w:r>
      <w:r>
        <w:rPr>
          <w:rFonts w:hint="eastAsia" w:ascii="宋体" w:hAnsi="宋体" w:eastAsia="宋体" w:cs="宋体"/>
          <w:b/>
          <w:color w:val="auto"/>
          <w:sz w:val="21"/>
          <w:szCs w:val="21"/>
          <w:highlight w:val="none"/>
        </w:rPr>
        <w:t>资格要求</w:t>
      </w:r>
      <w:bookmarkEnd w:id="75"/>
      <w:bookmarkEnd w:id="76"/>
      <w:bookmarkEnd w:id="77"/>
      <w:bookmarkEnd w:id="78"/>
      <w:bookmarkEnd w:id="79"/>
      <w:bookmarkEnd w:id="80"/>
      <w:bookmarkEnd w:id="81"/>
    </w:p>
    <w:p w14:paraId="2E7BD0F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应具备承担本项目的资质条件、能力和信誉（见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544ECDD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资质条件及安全生产条件：见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7F8BBC3C">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截止日</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资格情况：见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1ADE166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）其他要求：见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0583A55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1.4.2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须知前附表规定不接受联合体</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711722A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不得存在下列情形之一：</w:t>
      </w:r>
    </w:p>
    <w:p w14:paraId="046D1230">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bookmarkStart w:id="82" w:name="_Toc430205973"/>
      <w:bookmarkStart w:id="83" w:name="_Toc224103323"/>
      <w:bookmarkStart w:id="84" w:name="_Toc7893"/>
      <w:bookmarkStart w:id="85" w:name="_Toc200513132"/>
      <w:bookmarkStart w:id="86" w:name="_Toc287607752"/>
      <w:bookmarkStart w:id="87" w:name="_Toc277082558"/>
      <w:bookmarkStart w:id="88" w:name="_Toc326274491"/>
      <w:r>
        <w:rPr>
          <w:rFonts w:hint="eastAsia" w:ascii="宋体" w:hAnsi="宋体" w:eastAsia="宋体" w:cs="宋体"/>
          <w:snapToGrid w:val="0"/>
          <w:color w:val="auto"/>
          <w:position w:val="-2"/>
          <w:sz w:val="21"/>
          <w:szCs w:val="21"/>
          <w:highlight w:val="none"/>
        </w:rPr>
        <w:t>（1）与</w:t>
      </w:r>
      <w:r>
        <w:rPr>
          <w:rFonts w:hint="eastAsia" w:ascii="宋体" w:hAnsi="宋体" w:eastAsia="宋体" w:cs="宋体"/>
          <w:snapToGrid w:val="0"/>
          <w:color w:val="auto"/>
          <w:position w:val="-2"/>
          <w:sz w:val="21"/>
          <w:szCs w:val="21"/>
          <w:highlight w:val="none"/>
          <w:lang w:eastAsia="zh-CN"/>
        </w:rPr>
        <w:t>比选</w:t>
      </w:r>
      <w:r>
        <w:rPr>
          <w:rFonts w:hint="eastAsia" w:ascii="宋体" w:hAnsi="宋体" w:eastAsia="宋体" w:cs="宋体"/>
          <w:snapToGrid w:val="0"/>
          <w:color w:val="auto"/>
          <w:position w:val="-2"/>
          <w:sz w:val="21"/>
          <w:szCs w:val="21"/>
          <w:highlight w:val="none"/>
        </w:rPr>
        <w:t>人存在利害关系可能影响</w:t>
      </w:r>
      <w:r>
        <w:rPr>
          <w:rFonts w:hint="eastAsia" w:ascii="宋体" w:hAnsi="宋体" w:eastAsia="宋体" w:cs="宋体"/>
          <w:snapToGrid w:val="0"/>
          <w:color w:val="auto"/>
          <w:position w:val="-2"/>
          <w:sz w:val="21"/>
          <w:szCs w:val="21"/>
          <w:highlight w:val="none"/>
          <w:lang w:eastAsia="zh-CN"/>
        </w:rPr>
        <w:t>比选</w:t>
      </w:r>
      <w:r>
        <w:rPr>
          <w:rFonts w:hint="eastAsia" w:ascii="宋体" w:hAnsi="宋体" w:eastAsia="宋体" w:cs="宋体"/>
          <w:snapToGrid w:val="0"/>
          <w:color w:val="auto"/>
          <w:position w:val="-2"/>
          <w:sz w:val="21"/>
          <w:szCs w:val="21"/>
          <w:highlight w:val="none"/>
        </w:rPr>
        <w:t>公正性的法人、其他组织或者个人；</w:t>
      </w:r>
    </w:p>
    <w:p w14:paraId="7CFE59A3">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（2）为本标段前期准备提供设计或咨询服务的，但设计施工总承包的除外；</w:t>
      </w:r>
    </w:p>
    <w:p w14:paraId="63DE3617">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（3）为本标段的监理人；</w:t>
      </w:r>
    </w:p>
    <w:p w14:paraId="450FC087">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（4）为本标段的代建人；</w:t>
      </w:r>
    </w:p>
    <w:p w14:paraId="61004220">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（5）为本标段提供</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代理服务的；</w:t>
      </w:r>
    </w:p>
    <w:p w14:paraId="1165870F">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（6）与本标段的监理人或代建人或</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代理机构同为一个法定代表人的；</w:t>
      </w:r>
    </w:p>
    <w:p w14:paraId="79351AC6">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（7）与本标段的监理人或代建人或</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代理机构相互控股或参股的；</w:t>
      </w:r>
    </w:p>
    <w:p w14:paraId="23BACEB3">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（8）与本标段的监理人或代建人或</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代理机构相互任职或工作的；</w:t>
      </w:r>
    </w:p>
    <w:p w14:paraId="39D8F5F1">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（9）被责令停业的；</w:t>
      </w:r>
    </w:p>
    <w:p w14:paraId="4D6B2CFC">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（10）被暂停或取消</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资格的；</w:t>
      </w:r>
    </w:p>
    <w:p w14:paraId="58144212">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（11）财产被接管或冻结的；</w:t>
      </w:r>
    </w:p>
    <w:p w14:paraId="227C5D83">
      <w:pPr>
        <w:autoSpaceDE w:val="0"/>
        <w:autoSpaceDN w:val="0"/>
        <w:snapToGrid w:val="0"/>
        <w:spacing w:line="418" w:lineRule="exact"/>
        <w:ind w:firstLine="359" w:firstLineChars="171"/>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（12）单位负责人为同一人或者存在控股、管理关系的不同单位，不得在同一标段中同时</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w:t>
      </w:r>
    </w:p>
    <w:p w14:paraId="5F187153">
      <w:pPr>
        <w:spacing w:line="380" w:lineRule="exact"/>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费用承担</w:t>
      </w:r>
      <w:bookmarkEnd w:id="82"/>
      <w:bookmarkEnd w:id="83"/>
      <w:bookmarkEnd w:id="84"/>
      <w:bookmarkEnd w:id="85"/>
      <w:bookmarkEnd w:id="86"/>
      <w:bookmarkEnd w:id="87"/>
      <w:bookmarkEnd w:id="88"/>
    </w:p>
    <w:p w14:paraId="4D5063B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准备和参加</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活动发生的费用自理。</w:t>
      </w:r>
    </w:p>
    <w:p w14:paraId="348C9C78">
      <w:pPr>
        <w:spacing w:line="380" w:lineRule="exact"/>
        <w:outlineLvl w:val="3"/>
        <w:rPr>
          <w:rFonts w:hint="eastAsia" w:ascii="宋体" w:hAnsi="宋体" w:eastAsia="宋体" w:cs="宋体"/>
          <w:b/>
          <w:color w:val="auto"/>
          <w:sz w:val="21"/>
          <w:szCs w:val="21"/>
          <w:highlight w:val="none"/>
        </w:rPr>
      </w:pPr>
      <w:bookmarkStart w:id="89" w:name="_Toc287607753"/>
      <w:bookmarkStart w:id="90" w:name="_Toc13552"/>
      <w:bookmarkStart w:id="91" w:name="_Toc224103324"/>
      <w:bookmarkStart w:id="92" w:name="_Toc326274492"/>
      <w:bookmarkStart w:id="93" w:name="_Toc200513133"/>
      <w:bookmarkStart w:id="94" w:name="_Toc430205974"/>
      <w:bookmarkStart w:id="95" w:name="_Toc277082559"/>
      <w:r>
        <w:rPr>
          <w:rFonts w:hint="eastAsia" w:ascii="宋体" w:hAnsi="宋体" w:eastAsia="宋体" w:cs="宋体"/>
          <w:b/>
          <w:color w:val="auto"/>
          <w:sz w:val="21"/>
          <w:szCs w:val="21"/>
          <w:highlight w:val="none"/>
        </w:rPr>
        <w:t>1.6  保密</w:t>
      </w:r>
      <w:bookmarkEnd w:id="89"/>
      <w:bookmarkEnd w:id="90"/>
      <w:bookmarkEnd w:id="91"/>
      <w:bookmarkEnd w:id="92"/>
      <w:bookmarkEnd w:id="93"/>
      <w:bookmarkEnd w:id="94"/>
      <w:bookmarkEnd w:id="95"/>
    </w:p>
    <w:p w14:paraId="2101BCA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活动的各方应对</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中的商业和技术等秘密保密，违者应对由此造成的后果承担法律责任。</w:t>
      </w:r>
    </w:p>
    <w:p w14:paraId="5B41881F">
      <w:pPr>
        <w:spacing w:line="380" w:lineRule="exact"/>
        <w:outlineLvl w:val="3"/>
        <w:rPr>
          <w:rFonts w:hint="eastAsia" w:ascii="宋体" w:hAnsi="宋体" w:eastAsia="宋体" w:cs="宋体"/>
          <w:b/>
          <w:color w:val="auto"/>
          <w:sz w:val="21"/>
          <w:szCs w:val="21"/>
          <w:highlight w:val="none"/>
        </w:rPr>
      </w:pPr>
      <w:bookmarkStart w:id="96" w:name="_Toc25687"/>
      <w:bookmarkStart w:id="97" w:name="_Toc287607754"/>
      <w:bookmarkStart w:id="98" w:name="_Toc200513134"/>
      <w:bookmarkStart w:id="99" w:name="_Toc224103325"/>
      <w:bookmarkStart w:id="100" w:name="_Toc430205975"/>
      <w:bookmarkStart w:id="101" w:name="_Toc277082560"/>
      <w:bookmarkStart w:id="102" w:name="_Toc326274493"/>
      <w:r>
        <w:rPr>
          <w:rFonts w:hint="eastAsia" w:ascii="宋体" w:hAnsi="宋体" w:eastAsia="宋体" w:cs="宋体"/>
          <w:b/>
          <w:color w:val="auto"/>
          <w:sz w:val="21"/>
          <w:szCs w:val="21"/>
          <w:highlight w:val="none"/>
        </w:rPr>
        <w:t>1.7  语言文字</w:t>
      </w:r>
      <w:bookmarkEnd w:id="96"/>
      <w:bookmarkEnd w:id="97"/>
      <w:bookmarkEnd w:id="98"/>
      <w:bookmarkEnd w:id="99"/>
      <w:bookmarkEnd w:id="100"/>
      <w:bookmarkEnd w:id="101"/>
      <w:bookmarkEnd w:id="102"/>
    </w:p>
    <w:p w14:paraId="3B2CD4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有关的语言均使用中文。必要时专用术语应附有中文注释。</w:t>
      </w:r>
    </w:p>
    <w:p w14:paraId="16F9B677">
      <w:pPr>
        <w:spacing w:line="380" w:lineRule="exact"/>
        <w:outlineLvl w:val="3"/>
        <w:rPr>
          <w:rFonts w:hint="eastAsia" w:ascii="宋体" w:hAnsi="宋体" w:eastAsia="宋体" w:cs="宋体"/>
          <w:b/>
          <w:color w:val="auto"/>
          <w:sz w:val="21"/>
          <w:szCs w:val="21"/>
          <w:highlight w:val="none"/>
        </w:rPr>
      </w:pPr>
      <w:bookmarkStart w:id="103" w:name="_Toc18797"/>
      <w:bookmarkStart w:id="104" w:name="_Toc277082561"/>
      <w:bookmarkStart w:id="105" w:name="_Toc224103326"/>
      <w:bookmarkStart w:id="106" w:name="_Toc287607755"/>
      <w:bookmarkStart w:id="107" w:name="_Toc326274494"/>
      <w:bookmarkStart w:id="108" w:name="_Toc430205976"/>
      <w:bookmarkStart w:id="109" w:name="_Toc200513135"/>
      <w:r>
        <w:rPr>
          <w:rFonts w:hint="eastAsia" w:ascii="宋体" w:hAnsi="宋体" w:eastAsia="宋体" w:cs="宋体"/>
          <w:b/>
          <w:color w:val="auto"/>
          <w:sz w:val="21"/>
          <w:szCs w:val="21"/>
          <w:highlight w:val="none"/>
        </w:rPr>
        <w:t>1.8  计量单位</w:t>
      </w:r>
      <w:bookmarkEnd w:id="103"/>
      <w:bookmarkEnd w:id="104"/>
      <w:bookmarkEnd w:id="105"/>
      <w:bookmarkEnd w:id="106"/>
      <w:bookmarkEnd w:id="107"/>
      <w:bookmarkEnd w:id="108"/>
      <w:bookmarkEnd w:id="109"/>
    </w:p>
    <w:p w14:paraId="09A251D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71B4858B">
      <w:pPr>
        <w:spacing w:line="380" w:lineRule="exact"/>
        <w:outlineLvl w:val="3"/>
        <w:rPr>
          <w:rFonts w:hint="eastAsia" w:ascii="宋体" w:hAnsi="宋体" w:eastAsia="宋体" w:cs="宋体"/>
          <w:b/>
          <w:color w:val="auto"/>
          <w:sz w:val="21"/>
          <w:szCs w:val="21"/>
          <w:highlight w:val="none"/>
        </w:rPr>
      </w:pPr>
      <w:bookmarkStart w:id="110" w:name="_Toc287607756"/>
      <w:bookmarkStart w:id="111" w:name="_Toc9981"/>
      <w:bookmarkStart w:id="112" w:name="_Toc430205977"/>
      <w:bookmarkStart w:id="113" w:name="_Toc200513136"/>
      <w:bookmarkStart w:id="114" w:name="_Toc224103327"/>
      <w:bookmarkStart w:id="115" w:name="_Toc277082562"/>
      <w:bookmarkStart w:id="116" w:name="_Toc326274495"/>
      <w:r>
        <w:rPr>
          <w:rFonts w:hint="eastAsia" w:ascii="宋体" w:hAnsi="宋体" w:eastAsia="宋体" w:cs="宋体"/>
          <w:b/>
          <w:color w:val="auto"/>
          <w:sz w:val="21"/>
          <w:szCs w:val="21"/>
          <w:highlight w:val="none"/>
        </w:rPr>
        <w:t>1.9  踏勘现场</w:t>
      </w:r>
      <w:bookmarkEnd w:id="110"/>
      <w:bookmarkEnd w:id="111"/>
      <w:bookmarkEnd w:id="112"/>
      <w:bookmarkEnd w:id="113"/>
      <w:bookmarkEnd w:id="114"/>
      <w:bookmarkEnd w:id="115"/>
      <w:bookmarkEnd w:id="116"/>
    </w:p>
    <w:p w14:paraId="16E156D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不组织踏勘现场，由</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自行踏勘。</w:t>
      </w:r>
    </w:p>
    <w:p w14:paraId="7034F64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踏勘现场发生的费用自理。</w:t>
      </w:r>
    </w:p>
    <w:p w14:paraId="71AE169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1.9.3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自行负责在踏勘现场中所发生的人员伤亡和财产损失。</w:t>
      </w:r>
    </w:p>
    <w:p w14:paraId="7B7E6EC5">
      <w:pPr>
        <w:spacing w:line="380" w:lineRule="exact"/>
        <w:outlineLvl w:val="3"/>
        <w:rPr>
          <w:rFonts w:hint="eastAsia" w:ascii="宋体" w:hAnsi="宋体" w:eastAsia="宋体" w:cs="宋体"/>
          <w:b/>
          <w:color w:val="auto"/>
          <w:sz w:val="21"/>
          <w:szCs w:val="21"/>
          <w:highlight w:val="none"/>
        </w:rPr>
      </w:pPr>
      <w:bookmarkStart w:id="117" w:name="_Toc277082563"/>
      <w:bookmarkStart w:id="118" w:name="_Toc29639"/>
      <w:bookmarkStart w:id="119" w:name="_Toc224103328"/>
      <w:bookmarkStart w:id="120" w:name="_Toc200513137"/>
      <w:bookmarkStart w:id="121" w:name="_Toc287607757"/>
      <w:bookmarkStart w:id="122" w:name="_Toc430205978"/>
      <w:bookmarkStart w:id="123" w:name="_Toc224103331"/>
      <w:bookmarkStart w:id="124" w:name="_Toc287607760"/>
      <w:bookmarkStart w:id="125" w:name="_Toc200513140"/>
      <w:bookmarkStart w:id="126" w:name="_Toc326274499"/>
      <w:bookmarkStart w:id="127" w:name="_Toc277082566"/>
      <w:r>
        <w:rPr>
          <w:rFonts w:hint="eastAsia" w:ascii="宋体" w:hAnsi="宋体" w:eastAsia="宋体" w:cs="宋体"/>
          <w:b/>
          <w:color w:val="auto"/>
          <w:sz w:val="21"/>
          <w:szCs w:val="21"/>
          <w:highlight w:val="none"/>
        </w:rPr>
        <w:t xml:space="preserve">1.10  </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预备会</w:t>
      </w:r>
      <w:bookmarkEnd w:id="117"/>
      <w:bookmarkEnd w:id="118"/>
      <w:bookmarkEnd w:id="119"/>
      <w:bookmarkEnd w:id="120"/>
      <w:bookmarkEnd w:id="121"/>
      <w:bookmarkEnd w:id="122"/>
    </w:p>
    <w:p w14:paraId="0FF0098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不召开。</w:t>
      </w:r>
    </w:p>
    <w:p w14:paraId="740D8994">
      <w:pPr>
        <w:spacing w:line="380" w:lineRule="exact"/>
        <w:outlineLvl w:val="3"/>
        <w:rPr>
          <w:rFonts w:hint="eastAsia" w:ascii="宋体" w:hAnsi="宋体" w:eastAsia="宋体" w:cs="宋体"/>
          <w:b/>
          <w:color w:val="auto"/>
          <w:sz w:val="21"/>
          <w:szCs w:val="21"/>
          <w:highlight w:val="none"/>
        </w:rPr>
      </w:pPr>
      <w:bookmarkStart w:id="128" w:name="_Toc277082564"/>
      <w:bookmarkStart w:id="129" w:name="_Toc287607758"/>
      <w:bookmarkStart w:id="130" w:name="_Toc31020"/>
      <w:bookmarkStart w:id="131" w:name="_Toc200513138"/>
      <w:bookmarkStart w:id="132" w:name="_Toc430205979"/>
      <w:bookmarkStart w:id="133" w:name="_Toc224103329"/>
      <w:r>
        <w:rPr>
          <w:rFonts w:hint="eastAsia" w:ascii="宋体" w:hAnsi="宋体" w:eastAsia="宋体" w:cs="宋体"/>
          <w:b/>
          <w:color w:val="auto"/>
          <w:sz w:val="21"/>
          <w:szCs w:val="21"/>
          <w:highlight w:val="none"/>
        </w:rPr>
        <w:t>1.11  分包</w:t>
      </w:r>
      <w:bookmarkEnd w:id="128"/>
      <w:bookmarkEnd w:id="129"/>
      <w:bookmarkEnd w:id="130"/>
      <w:bookmarkEnd w:id="131"/>
      <w:bookmarkEnd w:id="132"/>
      <w:bookmarkEnd w:id="133"/>
    </w:p>
    <w:p w14:paraId="17C9511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不允许分包。</w:t>
      </w:r>
    </w:p>
    <w:p w14:paraId="135998FB">
      <w:pPr>
        <w:spacing w:line="380" w:lineRule="exact"/>
        <w:outlineLvl w:val="3"/>
        <w:rPr>
          <w:rFonts w:hint="eastAsia" w:ascii="宋体" w:hAnsi="宋体" w:eastAsia="宋体" w:cs="宋体"/>
          <w:b/>
          <w:color w:val="auto"/>
          <w:sz w:val="21"/>
          <w:szCs w:val="21"/>
          <w:highlight w:val="none"/>
        </w:rPr>
      </w:pPr>
      <w:bookmarkStart w:id="134" w:name="_Toc287607759"/>
      <w:bookmarkStart w:id="135" w:name="_Toc200513139"/>
      <w:bookmarkStart w:id="136" w:name="_Toc277082565"/>
      <w:bookmarkStart w:id="137" w:name="_Toc4386"/>
      <w:bookmarkStart w:id="138" w:name="_Toc224103330"/>
      <w:bookmarkStart w:id="139" w:name="_Toc430205980"/>
      <w:r>
        <w:rPr>
          <w:rFonts w:hint="eastAsia" w:ascii="宋体" w:hAnsi="宋体" w:eastAsia="宋体" w:cs="宋体"/>
          <w:b/>
          <w:color w:val="auto"/>
          <w:sz w:val="21"/>
          <w:szCs w:val="21"/>
          <w:highlight w:val="none"/>
        </w:rPr>
        <w:t>1.12  偏离</w:t>
      </w:r>
      <w:bookmarkEnd w:id="134"/>
      <w:bookmarkEnd w:id="135"/>
      <w:bookmarkEnd w:id="136"/>
      <w:bookmarkEnd w:id="137"/>
      <w:bookmarkEnd w:id="138"/>
      <w:bookmarkEnd w:id="139"/>
    </w:p>
    <w:p w14:paraId="02BB540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1DF8501C">
      <w:pPr>
        <w:spacing w:line="380" w:lineRule="exact"/>
        <w:outlineLvl w:val="1"/>
        <w:rPr>
          <w:rFonts w:hint="eastAsia" w:ascii="宋体" w:hAnsi="宋体" w:eastAsia="宋体" w:cs="宋体"/>
          <w:b/>
          <w:color w:val="auto"/>
          <w:sz w:val="21"/>
          <w:szCs w:val="21"/>
          <w:highlight w:val="none"/>
        </w:rPr>
      </w:pPr>
      <w:bookmarkStart w:id="140" w:name="_Toc20100"/>
      <w:bookmarkStart w:id="141" w:name="_Toc8656"/>
      <w:bookmarkStart w:id="142" w:name="_Toc430205981"/>
      <w:bookmarkStart w:id="143" w:name="_Toc492244445"/>
      <w:r>
        <w:rPr>
          <w:rFonts w:hint="eastAsia" w:ascii="宋体" w:hAnsi="宋体" w:eastAsia="宋体" w:cs="宋体"/>
          <w:b/>
          <w:color w:val="auto"/>
          <w:sz w:val="21"/>
          <w:szCs w:val="21"/>
          <w:highlight w:val="none"/>
        </w:rPr>
        <w:t xml:space="preserve">2.  </w:t>
      </w:r>
      <w:r>
        <w:rPr>
          <w:rFonts w:hint="eastAsia" w:ascii="宋体" w:hAnsi="宋体" w:eastAsia="宋体" w:cs="宋体"/>
          <w:b/>
          <w:color w:val="auto"/>
          <w:sz w:val="21"/>
          <w:szCs w:val="21"/>
          <w:highlight w:val="none"/>
          <w:lang w:eastAsia="zh-CN"/>
        </w:rPr>
        <w:t>竞争性比选</w:t>
      </w:r>
      <w:r>
        <w:rPr>
          <w:rFonts w:hint="eastAsia" w:ascii="宋体" w:hAnsi="宋体" w:eastAsia="宋体" w:cs="宋体"/>
          <w:b/>
          <w:color w:val="auto"/>
          <w:sz w:val="21"/>
          <w:szCs w:val="21"/>
          <w:highlight w:val="none"/>
        </w:rPr>
        <w:t>文件</w:t>
      </w:r>
      <w:bookmarkEnd w:id="123"/>
      <w:bookmarkEnd w:id="124"/>
      <w:bookmarkEnd w:id="125"/>
      <w:bookmarkEnd w:id="126"/>
      <w:bookmarkEnd w:id="127"/>
      <w:bookmarkEnd w:id="140"/>
      <w:bookmarkEnd w:id="141"/>
      <w:bookmarkEnd w:id="142"/>
      <w:bookmarkEnd w:id="143"/>
    </w:p>
    <w:p w14:paraId="5283AAAB">
      <w:pPr>
        <w:spacing w:line="380" w:lineRule="exact"/>
        <w:outlineLvl w:val="2"/>
        <w:rPr>
          <w:rFonts w:hint="eastAsia" w:ascii="宋体" w:hAnsi="宋体" w:eastAsia="宋体" w:cs="宋体"/>
          <w:b/>
          <w:color w:val="auto"/>
          <w:sz w:val="21"/>
          <w:szCs w:val="21"/>
          <w:highlight w:val="none"/>
        </w:rPr>
      </w:pPr>
      <w:bookmarkStart w:id="144" w:name="_Toc430205982"/>
      <w:bookmarkStart w:id="145" w:name="_Toc287607761"/>
      <w:bookmarkStart w:id="146" w:name="_Toc200513141"/>
      <w:bookmarkStart w:id="147" w:name="_Toc277082567"/>
      <w:bookmarkStart w:id="148" w:name="_Toc224103332"/>
      <w:bookmarkStart w:id="149" w:name="_Toc19838"/>
      <w:bookmarkStart w:id="150" w:name="_Toc326274500"/>
      <w:r>
        <w:rPr>
          <w:rFonts w:hint="eastAsia" w:ascii="宋体" w:hAnsi="宋体" w:eastAsia="宋体" w:cs="宋体"/>
          <w:b/>
          <w:color w:val="auto"/>
          <w:sz w:val="21"/>
          <w:szCs w:val="21"/>
          <w:highlight w:val="none"/>
        </w:rPr>
        <w:t xml:space="preserve">2.1  </w:t>
      </w:r>
      <w:r>
        <w:rPr>
          <w:rFonts w:hint="eastAsia" w:ascii="宋体" w:hAnsi="宋体" w:eastAsia="宋体" w:cs="宋体"/>
          <w:b/>
          <w:color w:val="auto"/>
          <w:sz w:val="21"/>
          <w:szCs w:val="21"/>
          <w:highlight w:val="none"/>
          <w:lang w:eastAsia="zh-CN"/>
        </w:rPr>
        <w:t>竞争性比选</w:t>
      </w:r>
      <w:r>
        <w:rPr>
          <w:rFonts w:hint="eastAsia" w:ascii="宋体" w:hAnsi="宋体" w:eastAsia="宋体" w:cs="宋体"/>
          <w:b/>
          <w:color w:val="auto"/>
          <w:sz w:val="21"/>
          <w:szCs w:val="21"/>
          <w:highlight w:val="none"/>
        </w:rPr>
        <w:t>文件的组成</w:t>
      </w:r>
      <w:bookmarkEnd w:id="144"/>
      <w:bookmarkEnd w:id="145"/>
      <w:bookmarkEnd w:id="146"/>
      <w:bookmarkEnd w:id="147"/>
      <w:bookmarkEnd w:id="148"/>
      <w:bookmarkEnd w:id="149"/>
      <w:bookmarkEnd w:id="150"/>
    </w:p>
    <w:p w14:paraId="27B60EA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文件包括：</w:t>
      </w:r>
    </w:p>
    <w:p w14:paraId="26CCB3E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竞争性比选公告</w:t>
      </w:r>
    </w:p>
    <w:p w14:paraId="317150C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w:t>
      </w:r>
    </w:p>
    <w:p w14:paraId="3067A28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rPr>
        <w:t>办法；</w:t>
      </w:r>
    </w:p>
    <w:p w14:paraId="281A9E3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6D77A02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（5）清单；</w:t>
      </w:r>
    </w:p>
    <w:p w14:paraId="6B70ADE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62F624F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14:paraId="5B3E3C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格式；</w:t>
      </w:r>
    </w:p>
    <w:p w14:paraId="1341741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须知前附表规定的其他材料。</w:t>
      </w:r>
    </w:p>
    <w:p w14:paraId="6437BBD7">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根据本章第1.10款对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文件所</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的澄清、修改，构成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文件的组成部分。</w:t>
      </w:r>
    </w:p>
    <w:p w14:paraId="51EBC51C">
      <w:pPr>
        <w:spacing w:line="380" w:lineRule="exact"/>
        <w:outlineLvl w:val="2"/>
        <w:rPr>
          <w:rFonts w:hint="eastAsia" w:ascii="宋体" w:hAnsi="宋体" w:eastAsia="宋体" w:cs="宋体"/>
          <w:b/>
          <w:color w:val="auto"/>
          <w:sz w:val="21"/>
          <w:szCs w:val="21"/>
          <w:highlight w:val="none"/>
        </w:rPr>
      </w:pPr>
      <w:bookmarkStart w:id="151" w:name="_Toc326274501"/>
      <w:bookmarkStart w:id="152" w:name="_Toc277082568"/>
      <w:bookmarkStart w:id="153" w:name="_Toc430205983"/>
      <w:bookmarkStart w:id="154" w:name="_Toc200513142"/>
      <w:bookmarkStart w:id="155" w:name="_Toc224103333"/>
      <w:bookmarkStart w:id="156" w:name="_Toc287607762"/>
      <w:bookmarkStart w:id="157" w:name="_Toc5725"/>
      <w:r>
        <w:rPr>
          <w:rFonts w:hint="eastAsia" w:ascii="宋体" w:hAnsi="宋体" w:eastAsia="宋体" w:cs="宋体"/>
          <w:b/>
          <w:color w:val="auto"/>
          <w:sz w:val="21"/>
          <w:szCs w:val="21"/>
          <w:highlight w:val="none"/>
        </w:rPr>
        <w:t xml:space="preserve">2.2 </w:t>
      </w:r>
      <w:r>
        <w:rPr>
          <w:rFonts w:hint="eastAsia" w:ascii="宋体" w:hAnsi="宋体" w:eastAsia="宋体" w:cs="宋体"/>
          <w:b/>
          <w:color w:val="auto"/>
          <w:sz w:val="21"/>
          <w:szCs w:val="21"/>
          <w:highlight w:val="none"/>
          <w:lang w:eastAsia="zh-CN"/>
        </w:rPr>
        <w:t>竞争性比选</w:t>
      </w:r>
      <w:r>
        <w:rPr>
          <w:rFonts w:hint="eastAsia" w:ascii="宋体" w:hAnsi="宋体" w:eastAsia="宋体" w:cs="宋体"/>
          <w:b/>
          <w:color w:val="auto"/>
          <w:sz w:val="21"/>
          <w:szCs w:val="21"/>
          <w:highlight w:val="none"/>
        </w:rPr>
        <w:t>文件的澄清</w:t>
      </w:r>
      <w:bookmarkEnd w:id="151"/>
      <w:bookmarkEnd w:id="152"/>
      <w:bookmarkEnd w:id="153"/>
      <w:bookmarkEnd w:id="154"/>
      <w:bookmarkEnd w:id="155"/>
      <w:bookmarkEnd w:id="156"/>
      <w:bookmarkEnd w:id="157"/>
    </w:p>
    <w:p w14:paraId="04F79C94">
      <w:pPr>
        <w:spacing w:line="380" w:lineRule="exact"/>
        <w:ind w:firstLine="420" w:firstLineChars="200"/>
        <w:rPr>
          <w:rFonts w:hint="eastAsia" w:ascii="宋体" w:hAnsi="宋体" w:eastAsia="宋体" w:cs="宋体"/>
          <w:color w:val="auto"/>
          <w:sz w:val="21"/>
          <w:szCs w:val="21"/>
          <w:highlight w:val="none"/>
        </w:rPr>
      </w:pPr>
      <w:bookmarkStart w:id="158" w:name="_Toc277082569"/>
      <w:bookmarkStart w:id="159" w:name="_Toc26826"/>
      <w:bookmarkStart w:id="160" w:name="_Toc287607763"/>
      <w:bookmarkStart w:id="161" w:name="_Toc224103334"/>
      <w:bookmarkStart w:id="162" w:name="_Toc326274502"/>
      <w:bookmarkStart w:id="163" w:name="_Toc200513143"/>
      <w:bookmarkStart w:id="164" w:name="_Toc430205984"/>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6A21CC7F">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2.3  </w:t>
      </w:r>
      <w:r>
        <w:rPr>
          <w:rFonts w:hint="eastAsia" w:ascii="宋体" w:hAnsi="宋体" w:eastAsia="宋体" w:cs="宋体"/>
          <w:b/>
          <w:color w:val="auto"/>
          <w:sz w:val="21"/>
          <w:szCs w:val="21"/>
          <w:highlight w:val="none"/>
          <w:lang w:eastAsia="zh-CN"/>
        </w:rPr>
        <w:t>竞争性</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文件的修改</w:t>
      </w:r>
      <w:bookmarkEnd w:id="158"/>
      <w:bookmarkEnd w:id="159"/>
      <w:bookmarkEnd w:id="160"/>
      <w:bookmarkEnd w:id="161"/>
      <w:bookmarkEnd w:id="162"/>
      <w:bookmarkEnd w:id="163"/>
      <w:bookmarkEnd w:id="164"/>
    </w:p>
    <w:p w14:paraId="543F5E79">
      <w:pPr>
        <w:spacing w:line="380" w:lineRule="exact"/>
        <w:ind w:firstLine="420" w:firstLineChars="200"/>
        <w:rPr>
          <w:rFonts w:hint="eastAsia" w:ascii="宋体" w:hAnsi="宋体" w:eastAsia="宋体" w:cs="宋体"/>
          <w:color w:val="auto"/>
          <w:sz w:val="21"/>
          <w:szCs w:val="21"/>
          <w:highlight w:val="none"/>
        </w:rPr>
      </w:pPr>
      <w:bookmarkStart w:id="165" w:name="_Toc12056"/>
      <w:bookmarkStart w:id="166" w:name="_Toc326274503"/>
      <w:bookmarkStart w:id="167" w:name="_Toc224103335"/>
      <w:bookmarkStart w:id="168" w:name="_Toc200513144"/>
      <w:bookmarkStart w:id="169" w:name="_Toc287607764"/>
      <w:bookmarkStart w:id="170" w:name="_Toc492244446"/>
      <w:bookmarkStart w:id="171" w:name="_Toc277082570"/>
      <w:bookmarkStart w:id="172" w:name="_Toc22663"/>
      <w:bookmarkStart w:id="173" w:name="_Toc430205985"/>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5CFAB35A">
      <w:pPr>
        <w:spacing w:line="380" w:lineRule="exact"/>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3.  </w:t>
      </w:r>
      <w:bookmarkEnd w:id="165"/>
      <w:bookmarkEnd w:id="166"/>
      <w:bookmarkEnd w:id="167"/>
      <w:bookmarkEnd w:id="168"/>
      <w:bookmarkEnd w:id="169"/>
      <w:bookmarkEnd w:id="170"/>
      <w:bookmarkEnd w:id="171"/>
      <w:bookmarkEnd w:id="172"/>
      <w:bookmarkEnd w:id="173"/>
      <w:r>
        <w:rPr>
          <w:rFonts w:hint="eastAsia" w:ascii="宋体" w:hAnsi="宋体" w:eastAsia="宋体" w:cs="宋体"/>
          <w:b/>
          <w:color w:val="auto"/>
          <w:sz w:val="21"/>
          <w:szCs w:val="21"/>
          <w:highlight w:val="none"/>
          <w:lang w:eastAsia="zh-CN"/>
        </w:rPr>
        <w:t>竞标文件</w:t>
      </w:r>
    </w:p>
    <w:p w14:paraId="52AADE96">
      <w:pPr>
        <w:spacing w:line="380" w:lineRule="exact"/>
        <w:outlineLvl w:val="2"/>
        <w:rPr>
          <w:rFonts w:hint="eastAsia" w:ascii="宋体" w:hAnsi="宋体" w:eastAsia="宋体" w:cs="宋体"/>
          <w:b/>
          <w:color w:val="auto"/>
          <w:sz w:val="21"/>
          <w:szCs w:val="21"/>
          <w:highlight w:val="none"/>
        </w:rPr>
      </w:pPr>
      <w:bookmarkStart w:id="174" w:name="_Toc200513145"/>
      <w:bookmarkStart w:id="175" w:name="_Toc277082571"/>
      <w:bookmarkStart w:id="176" w:name="_Toc326274504"/>
      <w:bookmarkStart w:id="177" w:name="_Toc224103336"/>
      <w:bookmarkStart w:id="178" w:name="_Toc287607765"/>
      <w:bookmarkStart w:id="179" w:name="_Toc430205986"/>
      <w:bookmarkStart w:id="180" w:name="_Toc5474"/>
      <w:r>
        <w:rPr>
          <w:rFonts w:hint="eastAsia" w:ascii="宋体" w:hAnsi="宋体" w:eastAsia="宋体" w:cs="宋体"/>
          <w:b/>
          <w:color w:val="auto"/>
          <w:sz w:val="21"/>
          <w:szCs w:val="21"/>
          <w:highlight w:val="none"/>
        </w:rPr>
        <w:t xml:space="preserve">3.1  </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的组成</w:t>
      </w:r>
      <w:bookmarkEnd w:id="174"/>
      <w:bookmarkEnd w:id="175"/>
      <w:bookmarkEnd w:id="176"/>
      <w:bookmarkEnd w:id="177"/>
      <w:bookmarkEnd w:id="178"/>
      <w:bookmarkEnd w:id="179"/>
      <w:bookmarkEnd w:id="180"/>
    </w:p>
    <w:p w14:paraId="65081A2F">
      <w:pPr>
        <w:spacing w:line="380" w:lineRule="exact"/>
        <w:ind w:firstLine="420" w:firstLineChars="200"/>
        <w:rPr>
          <w:rFonts w:hint="eastAsia" w:ascii="宋体" w:hAnsi="宋体" w:eastAsia="宋体" w:cs="宋体"/>
          <w:snapToGrid w:val="0"/>
          <w:color w:val="auto"/>
          <w:sz w:val="21"/>
          <w:szCs w:val="21"/>
          <w:highlight w:val="none"/>
        </w:rPr>
      </w:pPr>
      <w:bookmarkStart w:id="181" w:name="_Toc287607766"/>
      <w:bookmarkStart w:id="182" w:name="_Toc200513146"/>
      <w:bookmarkStart w:id="183" w:name="_Toc430205987"/>
      <w:bookmarkStart w:id="184" w:name="_Toc326274505"/>
      <w:bookmarkStart w:id="185" w:name="_Toc224103337"/>
      <w:bookmarkStart w:id="186" w:name="_Toc277082572"/>
      <w:bookmarkStart w:id="187" w:name="_Toc8470"/>
      <w:r>
        <w:rPr>
          <w:rFonts w:hint="eastAsia" w:ascii="宋体" w:hAnsi="宋体" w:eastAsia="宋体" w:cs="宋体"/>
          <w:snapToGrid w:val="0"/>
          <w:color w:val="auto"/>
          <w:sz w:val="21"/>
          <w:szCs w:val="21"/>
          <w:highlight w:val="none"/>
        </w:rPr>
        <w:t xml:space="preserve">3.1.1 </w:t>
      </w:r>
      <w:r>
        <w:rPr>
          <w:rFonts w:hint="eastAsia" w:ascii="宋体" w:hAnsi="宋体" w:eastAsia="宋体" w:cs="宋体"/>
          <w:snapToGrid w:val="0"/>
          <w:color w:val="auto"/>
          <w:sz w:val="21"/>
          <w:szCs w:val="21"/>
          <w:highlight w:val="none"/>
          <w:lang w:val="en-US" w:eastAsia="zh-CN"/>
        </w:rPr>
        <w:t>竞标文件</w:t>
      </w:r>
      <w:r>
        <w:rPr>
          <w:rFonts w:hint="eastAsia" w:ascii="宋体" w:hAnsi="宋体" w:eastAsia="宋体" w:cs="宋体"/>
          <w:snapToGrid w:val="0"/>
          <w:color w:val="auto"/>
          <w:sz w:val="21"/>
          <w:szCs w:val="21"/>
          <w:highlight w:val="none"/>
        </w:rPr>
        <w:t>应包括下列内容：</w:t>
      </w:r>
    </w:p>
    <w:p w14:paraId="4E805653">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w:t>
      </w:r>
      <w:r>
        <w:rPr>
          <w:rFonts w:hint="eastAsia" w:ascii="宋体" w:hAnsi="宋体" w:eastAsia="宋体" w:cs="宋体"/>
          <w:snapToGrid w:val="0"/>
          <w:color w:val="auto"/>
          <w:sz w:val="21"/>
          <w:szCs w:val="21"/>
          <w:highlight w:val="none"/>
          <w:lang w:eastAsia="zh-CN"/>
        </w:rPr>
        <w:t>竞标函</w:t>
      </w:r>
      <w:r>
        <w:rPr>
          <w:rFonts w:hint="eastAsia" w:ascii="宋体" w:hAnsi="宋体" w:eastAsia="宋体" w:cs="宋体"/>
          <w:snapToGrid w:val="0"/>
          <w:color w:val="auto"/>
          <w:sz w:val="21"/>
          <w:szCs w:val="21"/>
          <w:highlight w:val="none"/>
        </w:rPr>
        <w:t>部分</w:t>
      </w:r>
    </w:p>
    <w:p w14:paraId="2D225C6C">
      <w:pPr>
        <w:spacing w:line="380" w:lineRule="exact"/>
        <w:ind w:firstLine="420" w:firstLineChars="20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（一）</w:t>
      </w:r>
      <w:r>
        <w:rPr>
          <w:rFonts w:hint="eastAsia" w:ascii="宋体" w:hAnsi="宋体" w:eastAsia="宋体" w:cs="宋体"/>
          <w:snapToGrid w:val="0"/>
          <w:color w:val="auto"/>
          <w:sz w:val="21"/>
          <w:szCs w:val="21"/>
          <w:highlight w:val="none"/>
          <w:lang w:val="en-US" w:eastAsia="zh-CN"/>
        </w:rPr>
        <w:t>竞标</w:t>
      </w:r>
      <w:r>
        <w:rPr>
          <w:rFonts w:hint="eastAsia" w:ascii="宋体" w:hAnsi="宋体" w:eastAsia="宋体" w:cs="宋体"/>
          <w:snapToGrid w:val="0"/>
          <w:color w:val="auto"/>
          <w:sz w:val="21"/>
          <w:szCs w:val="21"/>
          <w:highlight w:val="none"/>
          <w:lang w:eastAsia="zh-CN"/>
        </w:rPr>
        <w:t>函</w:t>
      </w:r>
    </w:p>
    <w:p w14:paraId="45930355">
      <w:pPr>
        <w:spacing w:line="380" w:lineRule="exact"/>
        <w:ind w:firstLine="420" w:firstLineChars="200"/>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二</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竞标函附录</w:t>
      </w:r>
    </w:p>
    <w:p w14:paraId="485D6998">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三</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法定代表人身份证明及授权委托书</w:t>
      </w:r>
    </w:p>
    <w:p w14:paraId="47ED266B">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二、</w:t>
      </w:r>
      <w:r>
        <w:rPr>
          <w:rFonts w:hint="eastAsia" w:ascii="宋体" w:hAnsi="宋体" w:eastAsia="宋体" w:cs="宋体"/>
          <w:snapToGrid w:val="0"/>
          <w:color w:val="auto"/>
          <w:sz w:val="21"/>
          <w:szCs w:val="21"/>
          <w:highlight w:val="none"/>
          <w:lang w:val="en-US" w:eastAsia="zh-CN"/>
        </w:rPr>
        <w:t>经济</w:t>
      </w:r>
      <w:r>
        <w:rPr>
          <w:rFonts w:hint="eastAsia" w:ascii="宋体" w:hAnsi="宋体" w:eastAsia="宋体" w:cs="宋体"/>
          <w:snapToGrid w:val="0"/>
          <w:color w:val="auto"/>
          <w:sz w:val="21"/>
          <w:szCs w:val="21"/>
          <w:highlight w:val="none"/>
        </w:rPr>
        <w:t>部分</w:t>
      </w:r>
    </w:p>
    <w:p w14:paraId="41DBF357">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已标价工程量清单</w:t>
      </w:r>
    </w:p>
    <w:p w14:paraId="2AECB560">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三、资格审查资料</w:t>
      </w:r>
    </w:p>
    <w:p w14:paraId="4591F87A">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（一）法定代表人身份证明及授权委托书</w:t>
      </w:r>
    </w:p>
    <w:p w14:paraId="2C2FDF6C">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基本情况表</w:t>
      </w:r>
    </w:p>
    <w:p w14:paraId="315A09E6">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三</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承诺</w:t>
      </w:r>
    </w:p>
    <w:p w14:paraId="6FCD94AD">
      <w:pPr>
        <w:spacing w:line="380"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四</w:t>
      </w:r>
      <w:r>
        <w:rPr>
          <w:rFonts w:hint="eastAsia" w:ascii="宋体" w:hAnsi="宋体" w:eastAsia="宋体" w:cs="宋体"/>
          <w:snapToGrid w:val="0"/>
          <w:color w:val="auto"/>
          <w:sz w:val="21"/>
          <w:szCs w:val="21"/>
          <w:highlight w:val="none"/>
        </w:rPr>
        <w:t>）其他资料</w:t>
      </w:r>
    </w:p>
    <w:p w14:paraId="426F154E">
      <w:pPr>
        <w:spacing w:line="380" w:lineRule="exact"/>
        <w:ind w:firstLine="420" w:firstLineChars="200"/>
        <w:rPr>
          <w:rFonts w:hint="default" w:eastAsia="宋体"/>
          <w:lang w:val="en-US" w:eastAsia="zh-CN"/>
        </w:rPr>
      </w:pPr>
      <w:r>
        <w:rPr>
          <w:rFonts w:hint="eastAsia" w:ascii="宋体" w:hAnsi="宋体" w:eastAsia="宋体" w:cs="宋体"/>
          <w:snapToGrid w:val="0"/>
          <w:color w:val="auto"/>
          <w:sz w:val="21"/>
          <w:szCs w:val="21"/>
          <w:highlight w:val="none"/>
          <w:lang w:val="en-US" w:eastAsia="zh-CN"/>
        </w:rPr>
        <w:t xml:space="preserve">  四、技术部分</w:t>
      </w:r>
    </w:p>
    <w:p w14:paraId="343836A7">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3.2  </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报价</w:t>
      </w:r>
      <w:bookmarkEnd w:id="181"/>
      <w:bookmarkEnd w:id="182"/>
      <w:bookmarkEnd w:id="183"/>
      <w:bookmarkEnd w:id="184"/>
      <w:bookmarkEnd w:id="185"/>
      <w:bookmarkEnd w:id="186"/>
      <w:bookmarkEnd w:id="187"/>
    </w:p>
    <w:p w14:paraId="46C766B8">
      <w:pPr>
        <w:spacing w:line="380" w:lineRule="exact"/>
        <w:ind w:firstLine="420" w:firstLineChars="200"/>
        <w:rPr>
          <w:rFonts w:hint="eastAsia" w:ascii="宋体" w:hAnsi="宋体" w:eastAsia="宋体" w:cs="宋体"/>
          <w:color w:val="auto"/>
          <w:sz w:val="21"/>
          <w:szCs w:val="21"/>
          <w:highlight w:val="none"/>
        </w:rPr>
      </w:pPr>
      <w:bookmarkStart w:id="188" w:name="_Toc224103338"/>
      <w:bookmarkStart w:id="189" w:name="_Toc287607767"/>
      <w:bookmarkStart w:id="190" w:name="_Toc277082573"/>
      <w:bookmarkStart w:id="191" w:name="_Toc200513147"/>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526B54CE">
      <w:pPr>
        <w:spacing w:line="380" w:lineRule="exact"/>
        <w:outlineLvl w:val="2"/>
        <w:rPr>
          <w:rFonts w:hint="eastAsia" w:ascii="宋体" w:hAnsi="宋体" w:eastAsia="宋体" w:cs="宋体"/>
          <w:b/>
          <w:color w:val="auto"/>
          <w:sz w:val="21"/>
          <w:szCs w:val="21"/>
          <w:highlight w:val="none"/>
        </w:rPr>
      </w:pPr>
      <w:bookmarkStart w:id="192" w:name="_Toc326274506"/>
      <w:bookmarkStart w:id="193" w:name="_Toc17333"/>
      <w:bookmarkStart w:id="194" w:name="_Toc430205988"/>
      <w:r>
        <w:rPr>
          <w:rFonts w:hint="eastAsia" w:ascii="宋体" w:hAnsi="宋体" w:eastAsia="宋体" w:cs="宋体"/>
          <w:b/>
          <w:color w:val="auto"/>
          <w:sz w:val="21"/>
          <w:szCs w:val="21"/>
          <w:highlight w:val="none"/>
        </w:rPr>
        <w:t xml:space="preserve">3.3  </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有效期</w:t>
      </w:r>
      <w:bookmarkEnd w:id="188"/>
      <w:bookmarkEnd w:id="189"/>
      <w:bookmarkEnd w:id="190"/>
      <w:bookmarkEnd w:id="191"/>
      <w:bookmarkEnd w:id="192"/>
      <w:bookmarkEnd w:id="193"/>
      <w:bookmarkEnd w:id="194"/>
    </w:p>
    <w:p w14:paraId="6FF498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不得要求撤销或修改其</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p>
    <w:p w14:paraId="550D0EA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人以书面形式通知所有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同意延长的，应相应延长其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保证金的有效期，但不得要求或被允许修改或撤销其</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失效，但</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有权收回其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p>
    <w:p w14:paraId="59E86AA1">
      <w:pPr>
        <w:spacing w:line="380" w:lineRule="exact"/>
        <w:outlineLvl w:val="2"/>
        <w:rPr>
          <w:rFonts w:hint="eastAsia" w:ascii="宋体" w:hAnsi="宋体" w:eastAsia="宋体" w:cs="宋体"/>
          <w:b/>
          <w:color w:val="auto"/>
          <w:sz w:val="21"/>
          <w:szCs w:val="21"/>
          <w:highlight w:val="none"/>
        </w:rPr>
      </w:pPr>
      <w:bookmarkStart w:id="195" w:name="_Toc224103339"/>
      <w:bookmarkStart w:id="196" w:name="_Toc326274507"/>
      <w:bookmarkStart w:id="197" w:name="_Toc18006"/>
      <w:bookmarkStart w:id="198" w:name="_Toc430205989"/>
      <w:bookmarkStart w:id="199" w:name="_Toc200513148"/>
      <w:bookmarkStart w:id="200" w:name="_Toc277082574"/>
      <w:bookmarkStart w:id="201" w:name="_Toc287607768"/>
      <w:r>
        <w:rPr>
          <w:rFonts w:hint="eastAsia" w:ascii="宋体" w:hAnsi="宋体" w:eastAsia="宋体" w:cs="宋体"/>
          <w:b/>
          <w:color w:val="auto"/>
          <w:sz w:val="21"/>
          <w:szCs w:val="21"/>
          <w:highlight w:val="none"/>
        </w:rPr>
        <w:t xml:space="preserve">3.4  </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保证金</w:t>
      </w:r>
      <w:bookmarkEnd w:id="195"/>
      <w:bookmarkEnd w:id="196"/>
      <w:bookmarkEnd w:id="197"/>
      <w:bookmarkEnd w:id="198"/>
      <w:bookmarkEnd w:id="199"/>
      <w:bookmarkEnd w:id="200"/>
      <w:bookmarkEnd w:id="201"/>
    </w:p>
    <w:p w14:paraId="50B2D385">
      <w:pPr>
        <w:spacing w:line="380" w:lineRule="exact"/>
        <w:ind w:firstLine="420" w:firstLineChars="200"/>
        <w:rPr>
          <w:rFonts w:hint="eastAsia" w:ascii="宋体" w:hAnsi="宋体" w:eastAsia="宋体" w:cs="宋体"/>
          <w:color w:val="auto"/>
          <w:sz w:val="21"/>
          <w:szCs w:val="21"/>
          <w:highlight w:val="none"/>
        </w:rPr>
      </w:pPr>
      <w:bookmarkStart w:id="202" w:name="_Toc277082576"/>
      <w:bookmarkStart w:id="203" w:name="_Toc430205990"/>
      <w:bookmarkStart w:id="204" w:name="_Toc224103341"/>
      <w:bookmarkStart w:id="205" w:name="_Toc326274508"/>
      <w:bookmarkStart w:id="206" w:name="_Toc200513150"/>
      <w:bookmarkStart w:id="207" w:name="_Toc287607770"/>
      <w:bookmarkStart w:id="208" w:name="_Toc3048"/>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在递交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的同时，应按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须知前附表规定的金额、担保形式规定的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保证金格式递交</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w:t>
      </w:r>
    </w:p>
    <w:p w14:paraId="1552A3E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不按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须知前附表第 3.4 项要求提交</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作否决</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处理。</w:t>
      </w:r>
    </w:p>
    <w:p w14:paraId="5BD6077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3.4.3  </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保证金退还：见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480D73D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  有下列情形之一的，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保证金将不予退还：</w:t>
      </w:r>
    </w:p>
    <w:p w14:paraId="38E9B0C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在规定的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有效期内撤销或修改其</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p>
    <w:p w14:paraId="565C984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通知书后，无正当理由拒签合同协议书或未按</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文件规定提交履约担保。</w:t>
      </w:r>
    </w:p>
    <w:p w14:paraId="212F40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（3）法律法规和竞争性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文件规定的其他情形。</w:t>
      </w:r>
    </w:p>
    <w:p w14:paraId="3F1D66E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w:t>
      </w:r>
    </w:p>
    <w:p w14:paraId="2D184DB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保证金为无条件担保；</w:t>
      </w:r>
    </w:p>
    <w:p w14:paraId="6CEBED5D">
      <w:pPr>
        <w:spacing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保证金的受益人为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p>
    <w:p w14:paraId="5D2D2F70">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  资格审查资料</w:t>
      </w:r>
      <w:bookmarkEnd w:id="202"/>
      <w:bookmarkEnd w:id="203"/>
      <w:bookmarkEnd w:id="204"/>
      <w:bookmarkEnd w:id="205"/>
      <w:bookmarkEnd w:id="206"/>
      <w:bookmarkEnd w:id="207"/>
      <w:bookmarkEnd w:id="208"/>
    </w:p>
    <w:p w14:paraId="5B778259">
      <w:pPr>
        <w:spacing w:line="380" w:lineRule="exact"/>
        <w:outlineLvl w:val="2"/>
        <w:rPr>
          <w:rFonts w:hint="eastAsia" w:ascii="宋体" w:hAnsi="宋体" w:eastAsia="宋体" w:cs="宋体"/>
          <w:b/>
          <w:color w:val="auto"/>
          <w:sz w:val="21"/>
          <w:szCs w:val="21"/>
          <w:highlight w:val="none"/>
        </w:rPr>
      </w:pPr>
      <w:bookmarkStart w:id="209" w:name="_Toc224103342"/>
      <w:bookmarkStart w:id="210" w:name="_Toc27652"/>
      <w:bookmarkStart w:id="211" w:name="_Toc326274509"/>
      <w:bookmarkStart w:id="212" w:name="_Toc430205991"/>
      <w:bookmarkStart w:id="213" w:name="_Toc277082577"/>
      <w:bookmarkStart w:id="214" w:name="_Toc287607771"/>
      <w:bookmarkStart w:id="215" w:name="_Toc200513151"/>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方案</w:t>
      </w:r>
      <w:bookmarkEnd w:id="209"/>
      <w:bookmarkEnd w:id="210"/>
      <w:bookmarkEnd w:id="211"/>
      <w:bookmarkEnd w:id="212"/>
      <w:bookmarkEnd w:id="213"/>
      <w:bookmarkEnd w:id="214"/>
      <w:bookmarkEnd w:id="215"/>
    </w:p>
    <w:p w14:paraId="15D18224">
      <w:pPr>
        <w:spacing w:line="380" w:lineRule="exact"/>
        <w:ind w:firstLine="420" w:firstLineChars="200"/>
        <w:rPr>
          <w:rFonts w:hint="eastAsia" w:ascii="宋体" w:hAnsi="宋体" w:eastAsia="宋体" w:cs="宋体"/>
          <w:color w:val="auto"/>
          <w:sz w:val="21"/>
          <w:szCs w:val="21"/>
          <w:highlight w:val="none"/>
        </w:rPr>
      </w:pPr>
      <w:bookmarkStart w:id="216" w:name="_Toc287607772"/>
      <w:bookmarkStart w:id="217" w:name="_Toc11688"/>
      <w:bookmarkStart w:id="218" w:name="_Toc224103343"/>
      <w:bookmarkStart w:id="219" w:name="_Toc200513152"/>
      <w:bookmarkStart w:id="220" w:name="_Toc326274510"/>
      <w:bookmarkStart w:id="221" w:name="_Toc430205992"/>
      <w:bookmarkStart w:id="222" w:name="_Toc277082578"/>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不得递交备选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方案。</w:t>
      </w:r>
    </w:p>
    <w:p w14:paraId="3F660627">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的编制</w:t>
      </w:r>
      <w:bookmarkEnd w:id="216"/>
      <w:bookmarkEnd w:id="217"/>
      <w:bookmarkEnd w:id="218"/>
      <w:bookmarkEnd w:id="219"/>
      <w:bookmarkEnd w:id="220"/>
      <w:bookmarkEnd w:id="221"/>
      <w:bookmarkEnd w:id="222"/>
      <w:r>
        <w:rPr>
          <w:rFonts w:hint="eastAsia" w:ascii="宋体" w:hAnsi="宋体" w:eastAsia="宋体" w:cs="宋体"/>
          <w:b/>
          <w:color w:val="auto"/>
          <w:sz w:val="21"/>
          <w:szCs w:val="21"/>
          <w:highlight w:val="none"/>
        </w:rPr>
        <w:t xml:space="preserve"> </w:t>
      </w:r>
    </w:p>
    <w:p w14:paraId="322F631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3.7.1  </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应按第八章“</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格式”进行编写，如有必要，可以增加附页，作为</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的组成部分。</w:t>
      </w:r>
    </w:p>
    <w:p w14:paraId="560DB4A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3.7.2  </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应当对</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文件有关工期、</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有效期、质量要求、技术标准和要求、</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范围等实质性内容做出响应。</w:t>
      </w:r>
    </w:p>
    <w:p w14:paraId="2B30CA37">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应用不褪色的材料书写或打印，</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中授权委托书及承诺书</w:t>
      </w:r>
      <w:r>
        <w:rPr>
          <w:rFonts w:hint="eastAsia" w:ascii="宋体" w:hAnsi="宋体" w:eastAsia="宋体" w:cs="宋体"/>
          <w:color w:val="auto"/>
          <w:sz w:val="21"/>
          <w:szCs w:val="21"/>
          <w:highlight w:val="none"/>
          <w:lang w:eastAsia="zh-CN"/>
        </w:rPr>
        <w:t>必</w:t>
      </w:r>
      <w:r>
        <w:rPr>
          <w:rFonts w:hint="eastAsia" w:ascii="宋体" w:hAnsi="宋体" w:eastAsia="宋体" w:cs="宋体"/>
          <w:color w:val="auto"/>
          <w:sz w:val="21"/>
          <w:szCs w:val="21"/>
          <w:highlight w:val="none"/>
        </w:rPr>
        <w:t>须由法定代表人签字确认，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应尽量避免涂改、行间插字或删除，如果出现上述情况，改动之处应加盖单位公章或由</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的法定代表人或其授权的代理人签字确认。签字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盖章的具体要求见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3C4ED7F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3.7.4  </w:t>
      </w:r>
      <w:r>
        <w:rPr>
          <w:rFonts w:hint="eastAsia" w:ascii="宋体" w:hAnsi="宋体" w:eastAsia="宋体" w:cs="宋体"/>
          <w:snapToGrid w:val="0"/>
          <w:color w:val="auto"/>
          <w:sz w:val="21"/>
          <w:szCs w:val="21"/>
          <w:highlight w:val="none"/>
          <w:lang w:eastAsia="zh-CN"/>
        </w:rPr>
        <w:t>竞标文件</w:t>
      </w:r>
      <w:r>
        <w:rPr>
          <w:rFonts w:hint="eastAsia" w:ascii="宋体" w:hAnsi="宋体" w:eastAsia="宋体" w:cs="宋体"/>
          <w:snapToGrid w:val="0"/>
          <w:color w:val="auto"/>
          <w:sz w:val="21"/>
          <w:szCs w:val="21"/>
          <w:highlight w:val="none"/>
        </w:rPr>
        <w:t>的份数见</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须知前附表</w:t>
      </w:r>
      <w:r>
        <w:rPr>
          <w:rFonts w:hint="eastAsia" w:ascii="宋体" w:hAnsi="宋体" w:eastAsia="宋体" w:cs="宋体"/>
          <w:color w:val="auto"/>
          <w:sz w:val="21"/>
          <w:szCs w:val="21"/>
          <w:highlight w:val="none"/>
        </w:rPr>
        <w:t>。</w:t>
      </w:r>
    </w:p>
    <w:p w14:paraId="0F5B22FD">
      <w:pPr>
        <w:autoSpaceDE w:val="0"/>
        <w:autoSpaceDN w:val="0"/>
        <w:snapToGrid w:val="0"/>
        <w:spacing w:line="415" w:lineRule="exact"/>
        <w:ind w:right="-109"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3.7.5  </w:t>
      </w:r>
      <w:bookmarkStart w:id="223" w:name="_Toc224103344"/>
      <w:bookmarkStart w:id="224" w:name="_Toc430205993"/>
      <w:bookmarkStart w:id="225" w:name="_Toc9602"/>
      <w:bookmarkStart w:id="226" w:name="_Toc200513153"/>
      <w:bookmarkStart w:id="227" w:name="_Toc492244447"/>
      <w:bookmarkStart w:id="228" w:name="_Toc287607773"/>
      <w:bookmarkStart w:id="229" w:name="_Toc326274511"/>
      <w:bookmarkStart w:id="230" w:name="_Toc277082579"/>
      <w:r>
        <w:rPr>
          <w:rFonts w:hint="eastAsia" w:ascii="宋体" w:hAnsi="宋体" w:eastAsia="宋体" w:cs="宋体"/>
          <w:snapToGrid w:val="0"/>
          <w:color w:val="auto"/>
          <w:sz w:val="21"/>
          <w:szCs w:val="21"/>
          <w:highlight w:val="none"/>
          <w:lang w:eastAsia="zh-CN"/>
        </w:rPr>
        <w:t>竞标文件</w:t>
      </w:r>
      <w:r>
        <w:rPr>
          <w:rFonts w:hint="eastAsia" w:ascii="宋体" w:hAnsi="宋体" w:eastAsia="宋体" w:cs="宋体"/>
          <w:snapToGrid w:val="0"/>
          <w:color w:val="auto"/>
          <w:sz w:val="21"/>
          <w:szCs w:val="21"/>
          <w:highlight w:val="none"/>
        </w:rPr>
        <w:t>的正本与副本应分别装订成册，并编制目录，具体装订要求见</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须知前附表规定。</w:t>
      </w:r>
    </w:p>
    <w:p w14:paraId="27C5FA0E">
      <w:pPr>
        <w:spacing w:line="380" w:lineRule="exact"/>
        <w:outlineLvl w:val="1"/>
        <w:rPr>
          <w:rFonts w:hint="eastAsia" w:ascii="宋体" w:hAnsi="宋体" w:eastAsia="宋体" w:cs="宋体"/>
          <w:b/>
          <w:color w:val="auto"/>
          <w:sz w:val="21"/>
          <w:szCs w:val="21"/>
          <w:highlight w:val="none"/>
          <w:lang w:eastAsia="zh-CN"/>
        </w:rPr>
      </w:pPr>
      <w:bookmarkStart w:id="231" w:name="_Toc441"/>
      <w:r>
        <w:rPr>
          <w:rFonts w:hint="eastAsia" w:ascii="宋体" w:hAnsi="宋体" w:eastAsia="宋体" w:cs="宋体"/>
          <w:b/>
          <w:color w:val="auto"/>
          <w:sz w:val="21"/>
          <w:szCs w:val="21"/>
          <w:highlight w:val="none"/>
        </w:rPr>
        <w:t xml:space="preserve">4.  </w:t>
      </w:r>
      <w:bookmarkEnd w:id="223"/>
      <w:bookmarkEnd w:id="224"/>
      <w:bookmarkEnd w:id="225"/>
      <w:bookmarkEnd w:id="226"/>
      <w:bookmarkEnd w:id="227"/>
      <w:bookmarkEnd w:id="228"/>
      <w:bookmarkEnd w:id="229"/>
      <w:bookmarkEnd w:id="230"/>
      <w:bookmarkEnd w:id="231"/>
      <w:r>
        <w:rPr>
          <w:rFonts w:hint="eastAsia" w:ascii="宋体" w:hAnsi="宋体" w:eastAsia="宋体" w:cs="宋体"/>
          <w:b/>
          <w:color w:val="auto"/>
          <w:sz w:val="21"/>
          <w:szCs w:val="21"/>
          <w:highlight w:val="none"/>
          <w:lang w:eastAsia="zh-CN"/>
        </w:rPr>
        <w:t>竞标</w:t>
      </w:r>
    </w:p>
    <w:p w14:paraId="7EDF92DD">
      <w:pPr>
        <w:spacing w:line="380" w:lineRule="exact"/>
        <w:outlineLvl w:val="2"/>
        <w:rPr>
          <w:rFonts w:hint="eastAsia" w:ascii="宋体" w:hAnsi="宋体" w:eastAsia="宋体" w:cs="宋体"/>
          <w:b/>
          <w:color w:val="auto"/>
          <w:sz w:val="21"/>
          <w:szCs w:val="21"/>
          <w:highlight w:val="none"/>
        </w:rPr>
      </w:pPr>
      <w:bookmarkStart w:id="232" w:name="_Toc326274512"/>
      <w:bookmarkStart w:id="233" w:name="_Toc277082580"/>
      <w:bookmarkStart w:id="234" w:name="_Toc430205994"/>
      <w:bookmarkStart w:id="235" w:name="_Toc200513154"/>
      <w:bookmarkStart w:id="236" w:name="_Toc287607774"/>
      <w:bookmarkStart w:id="237" w:name="_Toc224103345"/>
      <w:bookmarkStart w:id="238" w:name="_Toc8083"/>
      <w:r>
        <w:rPr>
          <w:rFonts w:hint="eastAsia" w:ascii="宋体" w:hAnsi="宋体" w:eastAsia="宋体" w:cs="宋体"/>
          <w:b/>
          <w:color w:val="auto"/>
          <w:sz w:val="21"/>
          <w:szCs w:val="21"/>
          <w:highlight w:val="none"/>
        </w:rPr>
        <w:t xml:space="preserve">4.1  </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的密封和标记</w:t>
      </w:r>
      <w:bookmarkEnd w:id="232"/>
      <w:bookmarkEnd w:id="233"/>
      <w:bookmarkEnd w:id="234"/>
      <w:bookmarkEnd w:id="235"/>
      <w:bookmarkEnd w:id="236"/>
      <w:bookmarkEnd w:id="237"/>
      <w:bookmarkEnd w:id="238"/>
    </w:p>
    <w:p w14:paraId="4E3CDFD5">
      <w:pPr>
        <w:spacing w:line="380" w:lineRule="exact"/>
        <w:ind w:firstLine="420" w:firstLineChars="200"/>
        <w:rPr>
          <w:rFonts w:hint="eastAsia" w:ascii="宋体" w:hAnsi="宋体" w:eastAsia="宋体" w:cs="宋体"/>
          <w:color w:val="auto"/>
          <w:sz w:val="21"/>
          <w:szCs w:val="21"/>
          <w:highlight w:val="none"/>
        </w:rPr>
      </w:pPr>
      <w:bookmarkStart w:id="239" w:name="_Toc277082581"/>
      <w:bookmarkStart w:id="240" w:name="_Toc224103346"/>
      <w:bookmarkStart w:id="241" w:name="_Toc287607775"/>
      <w:bookmarkStart w:id="242" w:name="_Toc326274513"/>
      <w:bookmarkStart w:id="243" w:name="_Toc200513155"/>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的正本与副本密封见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57DD7FA3">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的封套上应写明的内容见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4CDB4CDD">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4.1.1 项或第 4.1.2 项要求密封和加写标记的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4A61B189">
      <w:pPr>
        <w:spacing w:line="380" w:lineRule="exact"/>
        <w:outlineLvl w:val="2"/>
        <w:rPr>
          <w:rFonts w:hint="eastAsia" w:ascii="宋体" w:hAnsi="宋体" w:eastAsia="宋体" w:cs="宋体"/>
          <w:b/>
          <w:color w:val="auto"/>
          <w:sz w:val="21"/>
          <w:szCs w:val="21"/>
          <w:highlight w:val="none"/>
        </w:rPr>
      </w:pPr>
      <w:bookmarkStart w:id="244" w:name="_Toc430205995"/>
      <w:bookmarkStart w:id="245" w:name="_Toc1200"/>
      <w:r>
        <w:rPr>
          <w:rFonts w:hint="eastAsia" w:ascii="宋体" w:hAnsi="宋体" w:eastAsia="宋体" w:cs="宋体"/>
          <w:b/>
          <w:color w:val="auto"/>
          <w:sz w:val="21"/>
          <w:szCs w:val="21"/>
          <w:highlight w:val="none"/>
        </w:rPr>
        <w:t xml:space="preserve">4.2  </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的递交</w:t>
      </w:r>
      <w:bookmarkEnd w:id="239"/>
      <w:bookmarkEnd w:id="240"/>
      <w:bookmarkEnd w:id="241"/>
      <w:bookmarkEnd w:id="242"/>
      <w:bookmarkEnd w:id="243"/>
      <w:bookmarkEnd w:id="244"/>
      <w:bookmarkEnd w:id="245"/>
    </w:p>
    <w:p w14:paraId="10E2F0BC">
      <w:pPr>
        <w:spacing w:line="380" w:lineRule="exact"/>
        <w:ind w:firstLine="420" w:firstLineChars="200"/>
        <w:rPr>
          <w:rFonts w:hint="eastAsia" w:ascii="宋体" w:hAnsi="宋体" w:eastAsia="宋体" w:cs="宋体"/>
          <w:color w:val="auto"/>
          <w:sz w:val="21"/>
          <w:szCs w:val="21"/>
          <w:highlight w:val="none"/>
        </w:rPr>
      </w:pPr>
      <w:bookmarkStart w:id="246" w:name="_Toc277082582"/>
      <w:bookmarkStart w:id="247" w:name="_Toc287607776"/>
      <w:bookmarkStart w:id="248" w:name="_Toc326274514"/>
      <w:bookmarkStart w:id="249" w:name="_Toc200513156"/>
      <w:bookmarkStart w:id="250" w:name="_Toc224103347"/>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 xml:space="preserve">应在本章第 2.2.2 项规定的 </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p>
    <w:p w14:paraId="404A826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的地点：</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2431BF4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所递交的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不予退还。</w:t>
      </w:r>
    </w:p>
    <w:p w14:paraId="5B7A7A7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44E88541">
      <w:pPr>
        <w:spacing w:line="380" w:lineRule="exact"/>
        <w:outlineLvl w:val="2"/>
        <w:rPr>
          <w:rFonts w:hint="eastAsia" w:ascii="宋体" w:hAnsi="宋体" w:eastAsia="宋体" w:cs="宋体"/>
          <w:b/>
          <w:color w:val="auto"/>
          <w:sz w:val="21"/>
          <w:szCs w:val="21"/>
          <w:highlight w:val="none"/>
        </w:rPr>
      </w:pPr>
      <w:bookmarkStart w:id="251" w:name="_Toc13021"/>
      <w:bookmarkStart w:id="252" w:name="_Toc430205996"/>
      <w:r>
        <w:rPr>
          <w:rFonts w:hint="eastAsia" w:ascii="宋体" w:hAnsi="宋体" w:eastAsia="宋体" w:cs="宋体"/>
          <w:b/>
          <w:color w:val="auto"/>
          <w:sz w:val="21"/>
          <w:szCs w:val="21"/>
          <w:highlight w:val="none"/>
        </w:rPr>
        <w:t xml:space="preserve">4.3  </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的修改与撤回</w:t>
      </w:r>
      <w:bookmarkEnd w:id="246"/>
      <w:bookmarkEnd w:id="247"/>
      <w:bookmarkEnd w:id="248"/>
      <w:bookmarkEnd w:id="249"/>
      <w:bookmarkEnd w:id="250"/>
      <w:bookmarkEnd w:id="251"/>
      <w:bookmarkEnd w:id="252"/>
    </w:p>
    <w:p w14:paraId="24F66E50">
      <w:pPr>
        <w:spacing w:line="380" w:lineRule="exact"/>
        <w:ind w:firstLine="420" w:firstLineChars="200"/>
        <w:rPr>
          <w:rFonts w:hint="eastAsia" w:ascii="宋体" w:hAnsi="宋体" w:eastAsia="宋体" w:cs="宋体"/>
          <w:color w:val="auto"/>
          <w:sz w:val="21"/>
          <w:szCs w:val="21"/>
          <w:highlight w:val="none"/>
        </w:rPr>
      </w:pPr>
      <w:bookmarkStart w:id="253" w:name="_Toc326274515"/>
      <w:bookmarkStart w:id="254" w:name="_Toc277082583"/>
      <w:bookmarkStart w:id="255" w:name="_Toc224103348"/>
      <w:bookmarkStart w:id="256" w:name="_Toc200513157"/>
      <w:bookmarkStart w:id="257" w:name="_Toc287607777"/>
      <w:r>
        <w:rPr>
          <w:rFonts w:hint="eastAsia" w:ascii="宋体" w:hAnsi="宋体" w:eastAsia="宋体" w:cs="宋体"/>
          <w:color w:val="auto"/>
          <w:sz w:val="21"/>
          <w:szCs w:val="21"/>
          <w:highlight w:val="none"/>
        </w:rPr>
        <w:t>4.3.1  在本章第2.2.2项规定的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截止时间前，</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可以修改或撤回已递交的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，但应以书面形式通知</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p w14:paraId="762B89F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修改或撤回已递交</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的书面通知应按照本章第3.7.3项的要求签字或盖章。</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人收到书面通知后，向</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出具签收凭证。</w:t>
      </w:r>
    </w:p>
    <w:p w14:paraId="292F31C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的组成部分。修改的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应按照本章第3条、第4条规定进行编制、密封、标记和递交，并标明“修改”字样。</w:t>
      </w:r>
    </w:p>
    <w:p w14:paraId="3DE34098">
      <w:pPr>
        <w:spacing w:line="380" w:lineRule="exact"/>
        <w:outlineLvl w:val="1"/>
        <w:rPr>
          <w:rFonts w:hint="eastAsia" w:ascii="宋体" w:hAnsi="宋体" w:eastAsia="宋体" w:cs="宋体"/>
          <w:b/>
          <w:color w:val="auto"/>
          <w:sz w:val="21"/>
          <w:szCs w:val="21"/>
          <w:highlight w:val="none"/>
          <w:lang w:eastAsia="zh-CN"/>
        </w:rPr>
      </w:pPr>
      <w:bookmarkStart w:id="258" w:name="_Toc492244448"/>
      <w:bookmarkStart w:id="259" w:name="_Toc18812"/>
      <w:bookmarkStart w:id="260" w:name="_Toc12180"/>
      <w:bookmarkStart w:id="261" w:name="_Toc430205997"/>
      <w:r>
        <w:rPr>
          <w:rFonts w:hint="eastAsia" w:ascii="宋体" w:hAnsi="宋体" w:eastAsia="宋体" w:cs="宋体"/>
          <w:b/>
          <w:color w:val="auto"/>
          <w:sz w:val="21"/>
          <w:szCs w:val="21"/>
          <w:highlight w:val="none"/>
        </w:rPr>
        <w:t xml:space="preserve">5. </w:t>
      </w:r>
      <w:bookmarkEnd w:id="253"/>
      <w:bookmarkEnd w:id="254"/>
      <w:bookmarkEnd w:id="255"/>
      <w:bookmarkEnd w:id="256"/>
      <w:bookmarkEnd w:id="257"/>
      <w:bookmarkEnd w:id="258"/>
      <w:bookmarkEnd w:id="259"/>
      <w:bookmarkEnd w:id="260"/>
      <w:bookmarkEnd w:id="261"/>
      <w:r>
        <w:rPr>
          <w:rFonts w:hint="eastAsia" w:ascii="宋体" w:hAnsi="宋体" w:eastAsia="宋体" w:cs="宋体"/>
          <w:b/>
          <w:color w:val="auto"/>
          <w:sz w:val="21"/>
          <w:szCs w:val="21"/>
          <w:highlight w:val="none"/>
          <w:lang w:val="en-US" w:eastAsia="zh-CN"/>
        </w:rPr>
        <w:t>开标</w:t>
      </w:r>
    </w:p>
    <w:p w14:paraId="61793DB2">
      <w:pPr>
        <w:spacing w:line="380" w:lineRule="exact"/>
        <w:outlineLvl w:val="2"/>
        <w:rPr>
          <w:rFonts w:hint="eastAsia" w:ascii="宋体" w:hAnsi="宋体" w:eastAsia="宋体" w:cs="宋体"/>
          <w:b/>
          <w:color w:val="auto"/>
          <w:sz w:val="21"/>
          <w:szCs w:val="21"/>
          <w:highlight w:val="none"/>
        </w:rPr>
      </w:pPr>
      <w:bookmarkStart w:id="262" w:name="_Toc13592"/>
      <w:bookmarkStart w:id="263" w:name="_Toc200513158"/>
      <w:bookmarkStart w:id="264" w:name="_Toc430205998"/>
      <w:bookmarkStart w:id="265" w:name="_Toc326274516"/>
      <w:bookmarkStart w:id="266" w:name="_Toc224103349"/>
      <w:bookmarkStart w:id="267" w:name="_Toc277082584"/>
      <w:bookmarkStart w:id="268" w:name="_Toc287607778"/>
      <w:r>
        <w:rPr>
          <w:rFonts w:hint="eastAsia" w:ascii="宋体" w:hAnsi="宋体" w:eastAsia="宋体" w:cs="宋体"/>
          <w:b/>
          <w:color w:val="auto"/>
          <w:sz w:val="21"/>
          <w:szCs w:val="21"/>
          <w:highlight w:val="none"/>
        </w:rPr>
        <w:t xml:space="preserve">5.1  </w:t>
      </w:r>
      <w:r>
        <w:rPr>
          <w:rFonts w:hint="eastAsia" w:ascii="宋体" w:hAnsi="宋体" w:eastAsia="宋体" w:cs="宋体"/>
          <w:b/>
          <w:color w:val="auto"/>
          <w:sz w:val="21"/>
          <w:szCs w:val="21"/>
          <w:highlight w:val="none"/>
          <w:lang w:val="en-US" w:eastAsia="zh-CN"/>
        </w:rPr>
        <w:t>开标</w:t>
      </w:r>
      <w:r>
        <w:rPr>
          <w:rFonts w:hint="eastAsia" w:ascii="宋体" w:hAnsi="宋体" w:eastAsia="宋体" w:cs="宋体"/>
          <w:b/>
          <w:color w:val="auto"/>
          <w:sz w:val="21"/>
          <w:szCs w:val="21"/>
          <w:highlight w:val="none"/>
        </w:rPr>
        <w:t>时间和地点</w:t>
      </w:r>
      <w:bookmarkEnd w:id="262"/>
      <w:bookmarkEnd w:id="263"/>
      <w:bookmarkEnd w:id="264"/>
      <w:bookmarkEnd w:id="265"/>
      <w:bookmarkEnd w:id="266"/>
      <w:bookmarkEnd w:id="267"/>
      <w:bookmarkEnd w:id="268"/>
    </w:p>
    <w:p w14:paraId="543612B3">
      <w:pPr>
        <w:spacing w:line="380" w:lineRule="exact"/>
        <w:ind w:firstLine="420" w:firstLineChars="200"/>
        <w:rPr>
          <w:rFonts w:hint="eastAsia" w:ascii="宋体" w:hAnsi="宋体" w:eastAsia="宋体" w:cs="宋体"/>
          <w:color w:val="auto"/>
          <w:sz w:val="21"/>
          <w:szCs w:val="21"/>
          <w:highlight w:val="none"/>
        </w:rPr>
      </w:pPr>
      <w:bookmarkStart w:id="269" w:name="_Toc200513159"/>
      <w:bookmarkStart w:id="270" w:name="_Toc287607779"/>
      <w:bookmarkStart w:id="271" w:name="_Toc277082585"/>
      <w:bookmarkStart w:id="272" w:name="_Toc326274517"/>
      <w:bookmarkStart w:id="273" w:name="_Toc224103350"/>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人在本章第 2.2.2 项规定的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须知前附表规定的地点公开</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，并邀请所有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的法定代表人或其委托代理人准时参加。</w:t>
      </w:r>
    </w:p>
    <w:p w14:paraId="02F7F979">
      <w:pPr>
        <w:spacing w:line="380" w:lineRule="exact"/>
        <w:outlineLvl w:val="2"/>
        <w:rPr>
          <w:rFonts w:hint="eastAsia" w:ascii="宋体" w:hAnsi="宋体" w:eastAsia="宋体" w:cs="宋体"/>
          <w:b/>
          <w:color w:val="auto"/>
          <w:sz w:val="21"/>
          <w:szCs w:val="21"/>
          <w:highlight w:val="none"/>
        </w:rPr>
      </w:pPr>
      <w:bookmarkStart w:id="274" w:name="_Toc430205999"/>
      <w:bookmarkStart w:id="275" w:name="_Toc27403"/>
      <w:r>
        <w:rPr>
          <w:rFonts w:hint="eastAsia" w:ascii="宋体" w:hAnsi="宋体" w:eastAsia="宋体" w:cs="宋体"/>
          <w:b/>
          <w:color w:val="auto"/>
          <w:sz w:val="21"/>
          <w:szCs w:val="21"/>
          <w:highlight w:val="none"/>
        </w:rPr>
        <w:t xml:space="preserve">5.2  </w:t>
      </w:r>
      <w:r>
        <w:rPr>
          <w:rFonts w:hint="eastAsia" w:ascii="宋体" w:hAnsi="宋体" w:eastAsia="宋体" w:cs="宋体"/>
          <w:b/>
          <w:color w:val="auto"/>
          <w:sz w:val="21"/>
          <w:szCs w:val="21"/>
          <w:highlight w:val="none"/>
          <w:lang w:val="en-US" w:eastAsia="zh-CN"/>
        </w:rPr>
        <w:t>开标</w:t>
      </w:r>
      <w:r>
        <w:rPr>
          <w:rFonts w:hint="eastAsia" w:ascii="宋体" w:hAnsi="宋体" w:eastAsia="宋体" w:cs="宋体"/>
          <w:b/>
          <w:color w:val="auto"/>
          <w:sz w:val="21"/>
          <w:szCs w:val="21"/>
          <w:highlight w:val="none"/>
        </w:rPr>
        <w:t>选程序</w:t>
      </w:r>
      <w:bookmarkEnd w:id="269"/>
      <w:bookmarkEnd w:id="270"/>
      <w:bookmarkEnd w:id="271"/>
      <w:bookmarkEnd w:id="272"/>
      <w:bookmarkEnd w:id="273"/>
      <w:bookmarkEnd w:id="274"/>
      <w:bookmarkEnd w:id="275"/>
    </w:p>
    <w:p w14:paraId="398F93B6">
      <w:pPr>
        <w:spacing w:line="380" w:lineRule="exact"/>
        <w:ind w:firstLine="420" w:firstLineChars="200"/>
        <w:rPr>
          <w:rFonts w:hint="eastAsia" w:ascii="宋体" w:hAnsi="宋体" w:eastAsia="宋体" w:cs="宋体"/>
          <w:color w:val="auto"/>
          <w:sz w:val="21"/>
          <w:szCs w:val="21"/>
          <w:highlight w:val="none"/>
        </w:rPr>
      </w:pPr>
      <w:bookmarkStart w:id="276" w:name="_Toc224103351"/>
      <w:bookmarkStart w:id="277" w:name="_Toc200513160"/>
      <w:bookmarkStart w:id="278" w:name="_Toc287607780"/>
      <w:bookmarkStart w:id="279" w:name="_Toc277082586"/>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bookmarkEnd w:id="276"/>
    <w:bookmarkEnd w:id="277"/>
    <w:bookmarkEnd w:id="278"/>
    <w:bookmarkEnd w:id="279"/>
    <w:p w14:paraId="52C7C118">
      <w:pPr>
        <w:spacing w:line="380" w:lineRule="exact"/>
        <w:outlineLvl w:val="1"/>
        <w:rPr>
          <w:rFonts w:hint="eastAsia" w:ascii="宋体" w:hAnsi="宋体" w:eastAsia="宋体" w:cs="宋体"/>
          <w:b/>
          <w:color w:val="auto"/>
          <w:sz w:val="21"/>
          <w:szCs w:val="21"/>
          <w:highlight w:val="none"/>
          <w:lang w:eastAsia="zh-CN"/>
        </w:rPr>
      </w:pPr>
      <w:bookmarkStart w:id="280" w:name="_Toc430206000"/>
      <w:bookmarkStart w:id="281" w:name="_Toc492244449"/>
      <w:bookmarkStart w:id="282" w:name="_Toc13669"/>
      <w:bookmarkStart w:id="283" w:name="_Toc24361"/>
      <w:bookmarkStart w:id="284" w:name="_Toc277082595"/>
      <w:bookmarkStart w:id="285" w:name="_Toc287607789"/>
      <w:bookmarkStart w:id="286" w:name="_Toc224103360"/>
      <w:bookmarkStart w:id="287" w:name="_Toc200513169"/>
      <w:bookmarkStart w:id="288" w:name="_Toc326274527"/>
      <w:r>
        <w:rPr>
          <w:rFonts w:hint="eastAsia" w:ascii="宋体" w:hAnsi="宋体" w:eastAsia="宋体" w:cs="宋体"/>
          <w:b/>
          <w:color w:val="auto"/>
          <w:sz w:val="21"/>
          <w:szCs w:val="21"/>
          <w:highlight w:val="none"/>
        </w:rPr>
        <w:t xml:space="preserve">6. </w:t>
      </w:r>
      <w:bookmarkEnd w:id="280"/>
      <w:bookmarkEnd w:id="281"/>
      <w:bookmarkEnd w:id="282"/>
      <w:r>
        <w:rPr>
          <w:rFonts w:hint="eastAsia" w:ascii="宋体" w:hAnsi="宋体" w:eastAsia="宋体" w:cs="宋体"/>
          <w:b/>
          <w:color w:val="auto"/>
          <w:sz w:val="21"/>
          <w:szCs w:val="21"/>
          <w:highlight w:val="none"/>
          <w:lang w:val="en-US" w:eastAsia="zh-CN"/>
        </w:rPr>
        <w:t>评标</w:t>
      </w:r>
    </w:p>
    <w:p w14:paraId="27A5D245">
      <w:pPr>
        <w:spacing w:line="380" w:lineRule="exact"/>
        <w:outlineLvl w:val="2"/>
        <w:rPr>
          <w:rFonts w:hint="eastAsia" w:ascii="宋体" w:hAnsi="宋体" w:eastAsia="宋体" w:cs="宋体"/>
          <w:b/>
          <w:color w:val="auto"/>
          <w:sz w:val="21"/>
          <w:szCs w:val="21"/>
          <w:highlight w:val="none"/>
        </w:rPr>
      </w:pPr>
      <w:bookmarkStart w:id="289" w:name="_Toc430206001"/>
      <w:bookmarkStart w:id="290" w:name="_Toc492244450"/>
      <w:r>
        <w:rPr>
          <w:rFonts w:hint="eastAsia" w:ascii="宋体" w:hAnsi="宋体" w:eastAsia="宋体" w:cs="宋体"/>
          <w:b/>
          <w:color w:val="auto"/>
          <w:sz w:val="21"/>
          <w:szCs w:val="21"/>
          <w:highlight w:val="none"/>
        </w:rPr>
        <w:t xml:space="preserve">6.1  </w:t>
      </w:r>
      <w:bookmarkEnd w:id="289"/>
      <w:bookmarkEnd w:id="290"/>
      <w:r>
        <w:rPr>
          <w:rFonts w:hint="eastAsia" w:ascii="宋体" w:hAnsi="宋体" w:eastAsia="宋体" w:cs="宋体"/>
          <w:b/>
          <w:color w:val="auto"/>
          <w:sz w:val="21"/>
          <w:szCs w:val="21"/>
          <w:highlight w:val="none"/>
          <w:lang w:eastAsia="zh-CN"/>
        </w:rPr>
        <w:t>评标委员会</w:t>
      </w:r>
    </w:p>
    <w:p w14:paraId="3A8380C8">
      <w:pPr>
        <w:autoSpaceDE w:val="0"/>
        <w:autoSpaceDN w:val="0"/>
        <w:snapToGrid w:val="0"/>
        <w:spacing w:line="380" w:lineRule="exact"/>
        <w:ind w:firstLine="420"/>
        <w:rPr>
          <w:rFonts w:hint="eastAsia" w:ascii="宋体" w:hAnsi="宋体" w:eastAsia="宋体" w:cs="宋体"/>
          <w:snapToGrid w:val="0"/>
          <w:color w:val="auto"/>
          <w:sz w:val="21"/>
          <w:szCs w:val="21"/>
          <w:highlight w:val="none"/>
        </w:rPr>
      </w:pPr>
      <w:bookmarkStart w:id="291" w:name="_Toc200513162"/>
      <w:r>
        <w:rPr>
          <w:rFonts w:hint="eastAsia" w:ascii="宋体" w:hAnsi="宋体" w:eastAsia="宋体" w:cs="宋体"/>
          <w:snapToGrid w:val="0"/>
          <w:color w:val="auto"/>
          <w:sz w:val="21"/>
          <w:szCs w:val="21"/>
          <w:highlight w:val="none"/>
        </w:rPr>
        <w:t xml:space="preserve">6.1.1  </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由</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人依法组建的</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负责。</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由熟悉相关业务的代表，以及有关技术、经济等方面的专家组成。</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成员人数以及技术、经济等方面专家的确定方式见</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须知前附表。</w:t>
      </w:r>
    </w:p>
    <w:p w14:paraId="2C1F2441">
      <w:pPr>
        <w:autoSpaceDE w:val="0"/>
        <w:autoSpaceDN w:val="0"/>
        <w:snapToGrid w:val="0"/>
        <w:spacing w:line="380" w:lineRule="exact"/>
        <w:ind w:firstLine="420" w:firstLineChars="2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6.1.2  </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成员有下列情形之一的，应当回避：</w:t>
      </w:r>
    </w:p>
    <w:p w14:paraId="084A4B8F">
      <w:pPr>
        <w:autoSpaceDE w:val="0"/>
        <w:autoSpaceDN w:val="0"/>
        <w:snapToGrid w:val="0"/>
        <w:spacing w:line="380" w:lineRule="exact"/>
        <w:ind w:firstLine="420" w:firstLineChars="200"/>
        <w:jc w:val="left"/>
        <w:rPr>
          <w:rFonts w:hint="eastAsia" w:ascii="宋体" w:hAnsi="宋体" w:eastAsia="宋体" w:cs="宋体"/>
          <w:snapToGrid w:val="0"/>
          <w:color w:val="auto"/>
          <w:sz w:val="21"/>
          <w:szCs w:val="21"/>
          <w:highlight w:val="none"/>
        </w:rPr>
      </w:pPr>
      <w:bookmarkStart w:id="292" w:name="_Toc421694758"/>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或</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的主要负责人的近亲属；</w:t>
      </w:r>
    </w:p>
    <w:p w14:paraId="2C4B1F91">
      <w:pPr>
        <w:autoSpaceDE w:val="0"/>
        <w:autoSpaceDN w:val="0"/>
        <w:snapToGrid w:val="0"/>
        <w:spacing w:line="380" w:lineRule="exact"/>
        <w:ind w:firstLine="420" w:firstLineChars="2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（2）项目主管部门或者行政监督部门的人员；</w:t>
      </w:r>
    </w:p>
    <w:p w14:paraId="5922FC67">
      <w:pPr>
        <w:autoSpaceDE w:val="0"/>
        <w:autoSpaceDN w:val="0"/>
        <w:snapToGrid w:val="0"/>
        <w:spacing w:line="380" w:lineRule="exact"/>
        <w:ind w:firstLine="420" w:firstLineChars="2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（3）与</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有利害关系，可能影响对</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公正</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的；</w:t>
      </w:r>
    </w:p>
    <w:p w14:paraId="71227DDA">
      <w:pPr>
        <w:autoSpaceDE w:val="0"/>
        <w:autoSpaceDN w:val="0"/>
        <w:snapToGrid w:val="0"/>
        <w:spacing w:line="380" w:lineRule="exact"/>
        <w:ind w:firstLine="420" w:firstLineChars="200"/>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（4）曾因在招标、</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以及其他与招标</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有关活动中从事违法行为而受过行政处罚或刑罚。</w:t>
      </w:r>
    </w:p>
    <w:p w14:paraId="4118D08A">
      <w:pPr>
        <w:spacing w:line="380" w:lineRule="exact"/>
        <w:outlineLvl w:val="2"/>
        <w:rPr>
          <w:rFonts w:hint="eastAsia" w:ascii="宋体" w:hAnsi="宋体" w:eastAsia="宋体" w:cs="宋体"/>
          <w:b/>
          <w:snapToGrid w:val="0"/>
          <w:color w:val="auto"/>
          <w:sz w:val="21"/>
          <w:szCs w:val="21"/>
          <w:highlight w:val="none"/>
        </w:rPr>
      </w:pPr>
      <w:r>
        <w:rPr>
          <w:rFonts w:hint="eastAsia" w:ascii="宋体" w:hAnsi="宋体" w:eastAsia="宋体" w:cs="宋体"/>
          <w:b/>
          <w:bCs/>
          <w:color w:val="auto"/>
          <w:sz w:val="21"/>
          <w:szCs w:val="21"/>
          <w:highlight w:val="none"/>
        </w:rPr>
        <w:t xml:space="preserve">6.2  </w:t>
      </w:r>
      <w:r>
        <w:rPr>
          <w:rFonts w:hint="eastAsia" w:ascii="宋体" w:hAnsi="宋体" w:eastAsia="宋体" w:cs="宋体"/>
          <w:b/>
          <w:color w:val="auto"/>
          <w:sz w:val="21"/>
          <w:szCs w:val="21"/>
          <w:highlight w:val="none"/>
          <w:lang w:eastAsia="zh-CN"/>
        </w:rPr>
        <w:t>评标</w:t>
      </w:r>
      <w:r>
        <w:rPr>
          <w:rFonts w:hint="eastAsia" w:ascii="宋体" w:hAnsi="宋体" w:eastAsia="宋体" w:cs="宋体"/>
          <w:b/>
          <w:bCs/>
          <w:color w:val="auto"/>
          <w:sz w:val="21"/>
          <w:szCs w:val="21"/>
          <w:highlight w:val="none"/>
        </w:rPr>
        <w:t>原则</w:t>
      </w:r>
      <w:bookmarkEnd w:id="291"/>
      <w:bookmarkEnd w:id="292"/>
    </w:p>
    <w:p w14:paraId="11A28466">
      <w:pPr>
        <w:spacing w:line="380" w:lineRule="exact"/>
        <w:ind w:firstLine="420" w:firstLineChars="200"/>
        <w:outlineLvl w:val="2"/>
        <w:rPr>
          <w:rFonts w:hint="eastAsia" w:ascii="宋体" w:hAnsi="宋体" w:eastAsia="宋体" w:cs="宋体"/>
          <w:snapToGrid w:val="0"/>
          <w:color w:val="auto"/>
          <w:sz w:val="21"/>
          <w:szCs w:val="21"/>
          <w:highlight w:val="none"/>
        </w:rPr>
      </w:pPr>
      <w:bookmarkStart w:id="293" w:name="_Toc200513163"/>
      <w:bookmarkStart w:id="294" w:name="_Toc421694759"/>
      <w:r>
        <w:rPr>
          <w:rFonts w:hint="eastAsia" w:ascii="宋体" w:hAnsi="宋体" w:eastAsia="宋体" w:cs="宋体"/>
          <w:snapToGrid w:val="0"/>
          <w:color w:val="auto"/>
          <w:sz w:val="21"/>
          <w:szCs w:val="21"/>
          <w:highlight w:val="none"/>
        </w:rPr>
        <w:t>评标活动遵循公平、公正、科学和择优的原则。</w:t>
      </w:r>
    </w:p>
    <w:p w14:paraId="2AB66BDF">
      <w:pPr>
        <w:spacing w:line="380" w:lineRule="exact"/>
        <w:outlineLvl w:val="2"/>
        <w:rPr>
          <w:rFonts w:hint="eastAsia" w:ascii="宋体" w:hAnsi="宋体" w:eastAsia="宋体" w:cs="宋体"/>
          <w:b/>
          <w:snapToGrid w:val="0"/>
          <w:color w:val="auto"/>
          <w:sz w:val="21"/>
          <w:szCs w:val="21"/>
          <w:highlight w:val="none"/>
          <w:lang w:eastAsia="zh-CN"/>
        </w:rPr>
      </w:pPr>
      <w:r>
        <w:rPr>
          <w:rFonts w:hint="eastAsia" w:ascii="宋体" w:hAnsi="宋体" w:eastAsia="宋体" w:cs="宋体"/>
          <w:b/>
          <w:snapToGrid w:val="0"/>
          <w:color w:val="auto"/>
          <w:sz w:val="21"/>
          <w:szCs w:val="21"/>
          <w:highlight w:val="none"/>
        </w:rPr>
        <w:t xml:space="preserve">6.3  </w:t>
      </w:r>
      <w:bookmarkEnd w:id="293"/>
      <w:bookmarkEnd w:id="294"/>
      <w:r>
        <w:rPr>
          <w:rFonts w:hint="eastAsia" w:ascii="宋体" w:hAnsi="宋体" w:eastAsia="宋体" w:cs="宋体"/>
          <w:b/>
          <w:color w:val="auto"/>
          <w:sz w:val="21"/>
          <w:szCs w:val="21"/>
          <w:highlight w:val="none"/>
          <w:lang w:eastAsia="zh-CN"/>
        </w:rPr>
        <w:t>评标</w:t>
      </w:r>
    </w:p>
    <w:p w14:paraId="1577E52D">
      <w:pPr>
        <w:spacing w:line="380" w:lineRule="exact"/>
        <w:ind w:firstLine="420" w:firstLineChars="200"/>
        <w:outlineLvl w:val="2"/>
        <w:rPr>
          <w:rFonts w:hint="eastAsia" w:ascii="宋体" w:hAnsi="宋体" w:eastAsia="宋体" w:cs="宋体"/>
          <w:snapToGrid w:val="0"/>
          <w:color w:val="auto"/>
          <w:sz w:val="21"/>
          <w:szCs w:val="21"/>
          <w:highlight w:val="none"/>
        </w:rPr>
      </w:pPr>
      <w:bookmarkStart w:id="295" w:name="_Toc492244451"/>
      <w:bookmarkStart w:id="296" w:name="_Toc4794"/>
      <w:bookmarkStart w:id="297" w:name="_Toc430206002"/>
      <w:r>
        <w:rPr>
          <w:rFonts w:hint="eastAsia" w:ascii="宋体" w:hAnsi="宋体" w:eastAsia="宋体" w:cs="宋体"/>
          <w:snapToGrid w:val="0"/>
          <w:color w:val="auto"/>
          <w:sz w:val="21"/>
          <w:szCs w:val="21"/>
          <w:highlight w:val="none"/>
        </w:rPr>
        <w:t>评标委员会按照第三章“评标办法”规定的方法、评审因素、标准和程序对投标文件进行评审。第三章“评标办法”没有规定的方法、评审因素和标准，不得作为评标依据。</w:t>
      </w:r>
    </w:p>
    <w:p w14:paraId="2122B45B">
      <w:pPr>
        <w:spacing w:line="38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合同授予</w:t>
      </w:r>
      <w:bookmarkEnd w:id="283"/>
      <w:bookmarkEnd w:id="295"/>
      <w:bookmarkEnd w:id="296"/>
      <w:bookmarkEnd w:id="297"/>
    </w:p>
    <w:p w14:paraId="344C8AF0">
      <w:pPr>
        <w:spacing w:line="380" w:lineRule="exact"/>
        <w:outlineLvl w:val="2"/>
        <w:rPr>
          <w:rFonts w:hint="eastAsia" w:ascii="宋体" w:hAnsi="宋体" w:eastAsia="宋体" w:cs="宋体"/>
          <w:b/>
          <w:color w:val="auto"/>
          <w:sz w:val="21"/>
          <w:szCs w:val="21"/>
          <w:highlight w:val="none"/>
        </w:rPr>
      </w:pPr>
      <w:bookmarkStart w:id="298" w:name="_Toc200513165"/>
      <w:bookmarkStart w:id="299" w:name="_Toc30412"/>
      <w:bookmarkStart w:id="300" w:name="_Toc224103356"/>
      <w:bookmarkStart w:id="301" w:name="_Toc277082591"/>
      <w:bookmarkStart w:id="302" w:name="_Toc430206003"/>
      <w:bookmarkStart w:id="303" w:name="_Toc287607785"/>
      <w:r>
        <w:rPr>
          <w:rFonts w:hint="eastAsia" w:ascii="宋体" w:hAnsi="宋体" w:eastAsia="宋体" w:cs="宋体"/>
          <w:b/>
          <w:color w:val="auto"/>
          <w:sz w:val="21"/>
          <w:szCs w:val="21"/>
          <w:highlight w:val="none"/>
        </w:rPr>
        <w:t>7.1  定标方式</w:t>
      </w:r>
      <w:bookmarkEnd w:id="298"/>
      <w:bookmarkEnd w:id="299"/>
      <w:bookmarkEnd w:id="300"/>
      <w:bookmarkEnd w:id="301"/>
      <w:bookmarkEnd w:id="302"/>
      <w:bookmarkEnd w:id="303"/>
    </w:p>
    <w:p w14:paraId="67F05A3E">
      <w:pPr>
        <w:autoSpaceDE w:val="0"/>
        <w:autoSpaceDN w:val="0"/>
        <w:snapToGrid w:val="0"/>
        <w:spacing w:line="380" w:lineRule="exact"/>
        <w:ind w:firstLine="405"/>
        <w:jc w:val="left"/>
        <w:rPr>
          <w:rFonts w:hint="eastAsia" w:ascii="宋体" w:hAnsi="宋体" w:eastAsia="宋体" w:cs="宋体"/>
          <w:color w:val="auto"/>
          <w:sz w:val="21"/>
          <w:szCs w:val="21"/>
          <w:highlight w:val="none"/>
        </w:rPr>
      </w:pPr>
      <w:bookmarkStart w:id="304" w:name="_Toc430206004"/>
      <w:bookmarkStart w:id="305" w:name="_Toc200513166"/>
      <w:bookmarkStart w:id="306" w:name="_Toc2831"/>
      <w:bookmarkStart w:id="307" w:name="_Toc287607786"/>
      <w:bookmarkStart w:id="308" w:name="_Toc277082592"/>
      <w:bookmarkStart w:id="309" w:name="_Toc224103357"/>
      <w:r>
        <w:rPr>
          <w:rFonts w:hint="eastAsia" w:ascii="宋体" w:hAnsi="宋体" w:eastAsia="宋体" w:cs="宋体"/>
          <w:color w:val="auto"/>
          <w:sz w:val="21"/>
          <w:szCs w:val="21"/>
          <w:highlight w:val="none"/>
        </w:rPr>
        <w:t>国有资金占控股或者主导地位的依法必须进行招标的项目，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人应当确定排名第一的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候选人为</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人。排名第一的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候选人放弃</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、因不可抗力不能履行合同、不按照竞争性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文件要求提交履约保证金，或者被查实存在影响</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结果的违法行为等情形，不符合</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条件的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人可以按照</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提出的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候选人名单排序依次确定其他</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候选人为</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人，也可以重新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p w14:paraId="647AEFFD">
      <w:pPr>
        <w:autoSpaceDE w:val="0"/>
        <w:autoSpaceDN w:val="0"/>
        <w:snapToGrid w:val="0"/>
        <w:spacing w:line="38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候选人的人数见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p>
    <w:p w14:paraId="4A4F14C5">
      <w:pPr>
        <w:pStyle w:val="5"/>
        <w:snapToGrid w:val="0"/>
        <w:spacing w:before="0" w:after="0" w:line="360" w:lineRule="auto"/>
        <w:rPr>
          <w:rFonts w:hint="eastAsia" w:ascii="宋体" w:hAnsi="宋体" w:eastAsia="宋体" w:cs="宋体"/>
          <w:b/>
          <w:color w:val="auto"/>
          <w:sz w:val="21"/>
          <w:szCs w:val="21"/>
          <w:highlight w:val="none"/>
        </w:rPr>
      </w:pPr>
      <w:r>
        <w:rPr>
          <w:rFonts w:hint="eastAsia" w:ascii="宋体" w:hAnsi="宋体" w:eastAsia="宋体" w:cs="宋体"/>
          <w:b/>
          <w:bCs w:val="0"/>
          <w:color w:val="auto"/>
          <w:kern w:val="0"/>
          <w:sz w:val="21"/>
          <w:szCs w:val="21"/>
          <w:highlight w:val="none"/>
          <w:lang w:val="en-US" w:eastAsia="zh-CN" w:bidi="ar-SA"/>
        </w:rPr>
        <w:t>7.2  中选公示及中选</w:t>
      </w:r>
      <w:r>
        <w:rPr>
          <w:rFonts w:hint="eastAsia" w:ascii="宋体" w:hAnsi="宋体" w:eastAsia="宋体" w:cs="宋体"/>
          <w:b/>
          <w:color w:val="auto"/>
          <w:sz w:val="21"/>
          <w:szCs w:val="21"/>
          <w:highlight w:val="none"/>
        </w:rPr>
        <w:t>通知</w:t>
      </w:r>
      <w:bookmarkEnd w:id="304"/>
      <w:bookmarkEnd w:id="305"/>
      <w:bookmarkEnd w:id="306"/>
      <w:bookmarkEnd w:id="307"/>
      <w:bookmarkEnd w:id="308"/>
      <w:bookmarkEnd w:id="309"/>
    </w:p>
    <w:p w14:paraId="6C036D72">
      <w:pPr>
        <w:spacing w:line="400" w:lineRule="exact"/>
        <w:ind w:firstLine="420" w:firstLineChars="200"/>
        <w:rPr>
          <w:rFonts w:hint="eastAsia" w:ascii="宋体" w:hAnsi="宋体" w:eastAsia="宋体" w:cs="宋体"/>
          <w:color w:val="auto"/>
          <w:sz w:val="21"/>
          <w:szCs w:val="21"/>
          <w:highlight w:val="none"/>
        </w:rPr>
      </w:pPr>
      <w:bookmarkStart w:id="310" w:name="_Toc200513167"/>
      <w:bookmarkStart w:id="311" w:name="_Toc29171"/>
      <w:bookmarkStart w:id="312" w:name="_Toc224103358"/>
      <w:bookmarkStart w:id="313" w:name="_Toc277082593"/>
      <w:bookmarkStart w:id="314" w:name="_Toc287607787"/>
      <w:bookmarkStart w:id="315" w:name="_Toc430206005"/>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报告之日起3日内公示</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w:t>
      </w:r>
    </w:p>
    <w:p w14:paraId="29D1FB7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 w:val="21"/>
          <w:szCs w:val="21"/>
          <w:highlight w:val="none"/>
        </w:rPr>
        <w:t>在本章第3.3款规定的</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有异议与投诉的，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人应在异议与投诉处理完毕后以书面形式向</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w:t>
      </w:r>
    </w:p>
    <w:p w14:paraId="4A6941FE">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7.3  履约担保</w:t>
      </w:r>
      <w:bookmarkEnd w:id="310"/>
      <w:bookmarkEnd w:id="311"/>
      <w:bookmarkEnd w:id="312"/>
      <w:bookmarkEnd w:id="313"/>
      <w:bookmarkEnd w:id="314"/>
      <w:bookmarkEnd w:id="315"/>
    </w:p>
    <w:p w14:paraId="7FC72582">
      <w:pPr>
        <w:spacing w:line="380" w:lineRule="exact"/>
        <w:ind w:firstLine="420" w:firstLineChars="200"/>
        <w:rPr>
          <w:rFonts w:hint="eastAsia" w:ascii="宋体" w:hAnsi="宋体" w:eastAsia="宋体" w:cs="宋体"/>
          <w:color w:val="auto"/>
          <w:sz w:val="21"/>
          <w:szCs w:val="21"/>
          <w:highlight w:val="none"/>
        </w:rPr>
      </w:pPr>
      <w:bookmarkStart w:id="316" w:name="_Toc277082594"/>
      <w:bookmarkStart w:id="317" w:name="_Toc430206006"/>
      <w:bookmarkStart w:id="318" w:name="_Toc200513168"/>
      <w:bookmarkStart w:id="319" w:name="_Toc287607788"/>
      <w:bookmarkStart w:id="320" w:name="_Toc29358"/>
      <w:bookmarkStart w:id="321" w:name="_Toc224103359"/>
      <w:r>
        <w:rPr>
          <w:rFonts w:hint="eastAsia" w:ascii="宋体" w:hAnsi="宋体" w:eastAsia="宋体" w:cs="宋体"/>
          <w:color w:val="auto"/>
          <w:sz w:val="21"/>
          <w:szCs w:val="21"/>
          <w:highlight w:val="none"/>
        </w:rPr>
        <w:t>7.3.1  在签订合同前，</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人应按</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须知前附表规定的金额、担保形式和竞争性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人提交履约担保。</w:t>
      </w:r>
    </w:p>
    <w:p w14:paraId="33BFE3F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7.3.2  </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人不能按本章第 7.3.1 项要求提交履约担保的，视为放弃</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保证金不予退还，给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人造成的损失超过</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保证金数额的，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人还应当对超过部分予以赔偿。</w:t>
      </w:r>
    </w:p>
    <w:p w14:paraId="6F59D6D1">
      <w:pPr>
        <w:spacing w:line="380" w:lineRule="exac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7.4  签订合同</w:t>
      </w:r>
      <w:bookmarkEnd w:id="316"/>
      <w:bookmarkEnd w:id="317"/>
      <w:bookmarkEnd w:id="318"/>
      <w:bookmarkEnd w:id="319"/>
      <w:bookmarkEnd w:id="320"/>
      <w:bookmarkEnd w:id="321"/>
    </w:p>
    <w:p w14:paraId="44028C1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人和</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人应当自</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通知书发出之日起30天内，根据竞争性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订立书面合同。</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人无正当理由拒签合同的，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人取消其</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资格，其</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保证金不予退还；给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人造成的损失超过</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保证金数额的，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人还应当对超过部分予以赔偿。</w:t>
      </w:r>
    </w:p>
    <w:p w14:paraId="78DC2EC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人无正当理由拒签合同的，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人向</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人退还</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保证金；给</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人造成损失的，还应当赔偿损失。</w:t>
      </w:r>
    </w:p>
    <w:bookmarkEnd w:id="284"/>
    <w:bookmarkEnd w:id="285"/>
    <w:bookmarkEnd w:id="286"/>
    <w:bookmarkEnd w:id="287"/>
    <w:bookmarkEnd w:id="288"/>
    <w:p w14:paraId="04BF95DA">
      <w:pPr>
        <w:spacing w:line="380" w:lineRule="exact"/>
        <w:outlineLvl w:val="1"/>
        <w:rPr>
          <w:rFonts w:hint="eastAsia" w:ascii="宋体" w:hAnsi="宋体" w:eastAsia="宋体" w:cs="宋体"/>
          <w:b/>
          <w:color w:val="auto"/>
          <w:sz w:val="21"/>
          <w:szCs w:val="21"/>
          <w:highlight w:val="none"/>
          <w:lang w:eastAsia="zh-CN"/>
        </w:rPr>
      </w:pPr>
      <w:bookmarkStart w:id="322" w:name="_Toc12023"/>
      <w:bookmarkStart w:id="323" w:name="_Toc492244452"/>
      <w:bookmarkStart w:id="324" w:name="_Toc430206007"/>
      <w:bookmarkStart w:id="325" w:name="_Toc6033"/>
      <w:r>
        <w:rPr>
          <w:rFonts w:hint="eastAsia" w:ascii="宋体" w:hAnsi="宋体" w:eastAsia="宋体" w:cs="宋体"/>
          <w:b/>
          <w:color w:val="auto"/>
          <w:sz w:val="21"/>
          <w:szCs w:val="21"/>
          <w:highlight w:val="none"/>
        </w:rPr>
        <w:t>8.  重新</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和不再</w:t>
      </w:r>
      <w:bookmarkEnd w:id="322"/>
      <w:bookmarkEnd w:id="323"/>
      <w:bookmarkEnd w:id="324"/>
      <w:bookmarkEnd w:id="325"/>
      <w:r>
        <w:rPr>
          <w:rFonts w:hint="eastAsia" w:ascii="宋体" w:hAnsi="宋体" w:eastAsia="宋体" w:cs="宋体"/>
          <w:b/>
          <w:color w:val="auto"/>
          <w:sz w:val="21"/>
          <w:szCs w:val="21"/>
          <w:highlight w:val="none"/>
          <w:lang w:eastAsia="zh-CN"/>
        </w:rPr>
        <w:t>比选</w:t>
      </w:r>
    </w:p>
    <w:p w14:paraId="44584AC9">
      <w:pPr>
        <w:spacing w:line="380" w:lineRule="exact"/>
        <w:outlineLvl w:val="2"/>
        <w:rPr>
          <w:rFonts w:hint="eastAsia" w:ascii="宋体" w:hAnsi="宋体" w:eastAsia="宋体" w:cs="宋体"/>
          <w:b/>
          <w:color w:val="auto"/>
          <w:sz w:val="21"/>
          <w:szCs w:val="21"/>
          <w:highlight w:val="none"/>
          <w:lang w:eastAsia="zh-CN"/>
        </w:rPr>
      </w:pPr>
      <w:bookmarkStart w:id="326" w:name="_Toc200513170"/>
      <w:bookmarkStart w:id="327" w:name="_Toc224103361"/>
      <w:bookmarkStart w:id="328" w:name="_Toc287607790"/>
      <w:bookmarkStart w:id="329" w:name="_Toc277082596"/>
      <w:bookmarkStart w:id="330" w:name="_Toc25251"/>
      <w:bookmarkStart w:id="331" w:name="_Toc430206008"/>
      <w:r>
        <w:rPr>
          <w:rFonts w:hint="eastAsia" w:ascii="宋体" w:hAnsi="宋体" w:eastAsia="宋体" w:cs="宋体"/>
          <w:b/>
          <w:color w:val="auto"/>
          <w:sz w:val="21"/>
          <w:szCs w:val="21"/>
          <w:highlight w:val="none"/>
        </w:rPr>
        <w:t xml:space="preserve">8.1  </w:t>
      </w:r>
      <w:bookmarkEnd w:id="326"/>
      <w:bookmarkEnd w:id="327"/>
      <w:bookmarkEnd w:id="328"/>
      <w:bookmarkEnd w:id="329"/>
      <w:bookmarkEnd w:id="330"/>
      <w:bookmarkEnd w:id="331"/>
      <w:r>
        <w:rPr>
          <w:rFonts w:hint="eastAsia" w:ascii="宋体" w:hAnsi="宋体" w:eastAsia="宋体" w:cs="宋体"/>
          <w:b/>
          <w:color w:val="auto"/>
          <w:sz w:val="21"/>
          <w:szCs w:val="21"/>
          <w:highlight w:val="none"/>
        </w:rPr>
        <w:t>重</w:t>
      </w:r>
      <w:r>
        <w:rPr>
          <w:rFonts w:hint="eastAsia" w:ascii="宋体" w:hAnsi="宋体" w:eastAsia="宋体" w:cs="宋体"/>
          <w:b/>
          <w:color w:val="auto"/>
          <w:sz w:val="21"/>
          <w:szCs w:val="21"/>
          <w:highlight w:val="none"/>
          <w:lang w:eastAsia="zh-CN"/>
        </w:rPr>
        <w:t>新比选</w:t>
      </w:r>
    </w:p>
    <w:p w14:paraId="7B818CCB">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人将重新公开</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p w14:paraId="79E066E1">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少于 3 个的；</w:t>
      </w:r>
    </w:p>
    <w:p w14:paraId="7E4F77C3">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评标委员会比选</w:t>
      </w:r>
      <w:r>
        <w:rPr>
          <w:rFonts w:hint="eastAsia" w:ascii="宋体" w:hAnsi="宋体" w:eastAsia="宋体" w:cs="宋体"/>
          <w:color w:val="auto"/>
          <w:sz w:val="21"/>
          <w:szCs w:val="21"/>
          <w:highlight w:val="none"/>
        </w:rPr>
        <w:t>后否决所有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的；</w:t>
      </w:r>
    </w:p>
    <w:p w14:paraId="7393F704">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后部分</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被否决，导致有效</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不足三个的，</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应当否决所有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。但是有效</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的经济、技术等指标仍然具有市场竞争力，能够满足</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文件要求的，</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可以继续</w:t>
      </w:r>
      <w:r>
        <w:rPr>
          <w:rFonts w:hint="eastAsia" w:ascii="宋体" w:hAnsi="宋体" w:eastAsia="宋体" w:cs="宋体"/>
          <w:color w:val="auto"/>
          <w:sz w:val="21"/>
          <w:szCs w:val="21"/>
          <w:highlight w:val="none"/>
          <w:lang w:val="en-US" w:eastAsia="zh-CN"/>
        </w:rPr>
        <w:t>评标</w:t>
      </w:r>
      <w:r>
        <w:rPr>
          <w:rFonts w:hint="eastAsia" w:ascii="宋体" w:hAnsi="宋体" w:eastAsia="宋体" w:cs="宋体"/>
          <w:color w:val="auto"/>
          <w:sz w:val="21"/>
          <w:szCs w:val="21"/>
          <w:highlight w:val="none"/>
        </w:rPr>
        <w:t>并确定</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候选人；</w:t>
      </w:r>
    </w:p>
    <w:p w14:paraId="3B81C948">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（4）法律法规规定的其他情形。</w:t>
      </w:r>
    </w:p>
    <w:p w14:paraId="24C2399F">
      <w:pPr>
        <w:spacing w:line="380" w:lineRule="exact"/>
        <w:outlineLvl w:val="1"/>
        <w:rPr>
          <w:rFonts w:hint="eastAsia" w:ascii="宋体" w:hAnsi="宋体" w:eastAsia="宋体" w:cs="宋体"/>
          <w:b/>
          <w:color w:val="auto"/>
          <w:sz w:val="21"/>
          <w:szCs w:val="21"/>
          <w:highlight w:val="none"/>
        </w:rPr>
      </w:pPr>
      <w:bookmarkStart w:id="332" w:name="_Toc430206010"/>
      <w:bookmarkStart w:id="333" w:name="_Toc287607792"/>
      <w:bookmarkStart w:id="334" w:name="_Toc277082598"/>
      <w:bookmarkStart w:id="335" w:name="_Toc22298"/>
      <w:bookmarkStart w:id="336" w:name="_Toc200513172"/>
      <w:bookmarkStart w:id="337" w:name="_Toc14073"/>
      <w:bookmarkStart w:id="338" w:name="_Toc224103363"/>
      <w:bookmarkStart w:id="339" w:name="_Toc492244453"/>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纪律和监督</w:t>
      </w:r>
      <w:bookmarkEnd w:id="332"/>
      <w:bookmarkEnd w:id="333"/>
      <w:bookmarkEnd w:id="334"/>
      <w:bookmarkEnd w:id="335"/>
      <w:bookmarkEnd w:id="336"/>
      <w:bookmarkEnd w:id="337"/>
      <w:bookmarkEnd w:id="338"/>
      <w:bookmarkEnd w:id="339"/>
    </w:p>
    <w:p w14:paraId="78DB717F">
      <w:pPr>
        <w:spacing w:line="380" w:lineRule="exact"/>
        <w:outlineLvl w:val="2"/>
        <w:rPr>
          <w:rFonts w:hint="eastAsia" w:ascii="宋体" w:hAnsi="宋体" w:eastAsia="宋体" w:cs="宋体"/>
          <w:b/>
          <w:color w:val="auto"/>
          <w:sz w:val="21"/>
          <w:szCs w:val="21"/>
          <w:highlight w:val="none"/>
        </w:rPr>
      </w:pPr>
      <w:bookmarkStart w:id="340" w:name="_Toc430530482"/>
      <w:bookmarkStart w:id="341" w:name="_Toc287620732"/>
      <w:bookmarkStart w:id="342" w:name="_Toc200513173"/>
      <w:bookmarkStart w:id="343" w:name="_Toc224103364"/>
      <w:bookmarkStart w:id="344" w:name="_Toc277082599"/>
      <w:bookmarkStart w:id="345" w:name="_Toc287607793"/>
      <w:bookmarkStart w:id="346" w:name="_Toc277082604"/>
      <w:bookmarkStart w:id="347" w:name="_Toc200513178"/>
      <w:bookmarkStart w:id="348" w:name="_Toc287607798"/>
      <w:bookmarkStart w:id="349" w:name="_Toc11976"/>
      <w:bookmarkStart w:id="350" w:name="_Toc430206013"/>
      <w:bookmarkStart w:id="351" w:name="_Toc224103369"/>
      <w:bookmarkStart w:id="352" w:name="_Toc492244454"/>
      <w:bookmarkStart w:id="353" w:name="_Toc287620737"/>
      <w:r>
        <w:rPr>
          <w:rFonts w:hint="eastAsia" w:ascii="宋体" w:hAnsi="宋体" w:eastAsia="宋体" w:cs="宋体"/>
          <w:b/>
          <w:color w:val="auto"/>
          <w:sz w:val="21"/>
          <w:szCs w:val="21"/>
          <w:highlight w:val="none"/>
        </w:rPr>
        <w:t>9.1  对</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人的纪律要求</w:t>
      </w:r>
      <w:bookmarkEnd w:id="340"/>
      <w:bookmarkEnd w:id="341"/>
      <w:bookmarkEnd w:id="342"/>
      <w:bookmarkEnd w:id="343"/>
      <w:bookmarkEnd w:id="344"/>
      <w:bookmarkEnd w:id="345"/>
    </w:p>
    <w:p w14:paraId="7BE1B56C">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人</w:t>
      </w:r>
      <w:r>
        <w:rPr>
          <w:rFonts w:hint="eastAsia" w:ascii="宋体" w:hAnsi="宋体" w:eastAsia="宋体" w:cs="宋体"/>
          <w:snapToGrid w:val="0"/>
          <w:color w:val="auto"/>
          <w:sz w:val="21"/>
          <w:szCs w:val="21"/>
          <w:highlight w:val="none"/>
          <w:lang w:eastAsia="zh-CN"/>
        </w:rPr>
        <w:t>不得泄露竞标</w:t>
      </w:r>
      <w:r>
        <w:rPr>
          <w:rFonts w:hint="eastAsia" w:ascii="宋体" w:hAnsi="宋体" w:eastAsia="宋体" w:cs="宋体"/>
          <w:snapToGrid w:val="0"/>
          <w:color w:val="auto"/>
          <w:sz w:val="21"/>
          <w:szCs w:val="21"/>
          <w:highlight w:val="none"/>
        </w:rPr>
        <w:t>活动中应当保密的情况和资料，不得与</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人与</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串通</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3DAA5C33">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人与</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串通</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44962260">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人在开标前开启</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并将有关信息泄露给其他</w:t>
      </w:r>
      <w:r>
        <w:rPr>
          <w:rFonts w:hint="eastAsia" w:ascii="宋体" w:hAnsi="宋体" w:eastAsia="宋体" w:cs="宋体"/>
          <w:color w:val="auto"/>
          <w:sz w:val="21"/>
          <w:szCs w:val="21"/>
          <w:highlight w:val="none"/>
          <w:lang w:eastAsia="zh-CN"/>
        </w:rPr>
        <w:t>竞标人；</w:t>
      </w:r>
    </w:p>
    <w:p w14:paraId="48D300B9">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人直接或者间接向</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泄露标底、</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成员等信息；</w:t>
      </w:r>
    </w:p>
    <w:p w14:paraId="23023408">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人明示或者暗示</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w:t>
      </w:r>
    </w:p>
    <w:p w14:paraId="1702A274">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人授意</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撤换、修改</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p>
    <w:p w14:paraId="545F0E80">
      <w:pPr>
        <w:autoSpaceDE w:val="0"/>
        <w:autoSpaceDN w:val="0"/>
        <w:snapToGrid w:val="0"/>
        <w:spacing w:line="418"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人明示或者暗示</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竞标人中选</w:t>
      </w:r>
      <w:r>
        <w:rPr>
          <w:rFonts w:hint="eastAsia" w:ascii="宋体" w:hAnsi="宋体" w:eastAsia="宋体" w:cs="宋体"/>
          <w:color w:val="auto"/>
          <w:sz w:val="21"/>
          <w:szCs w:val="21"/>
          <w:highlight w:val="none"/>
        </w:rPr>
        <w:t>提供方便；</w:t>
      </w:r>
    </w:p>
    <w:p w14:paraId="55E71D90">
      <w:pPr>
        <w:autoSpaceDE w:val="0"/>
        <w:autoSpaceDN w:val="0"/>
        <w:snapToGrid w:val="0"/>
        <w:spacing w:line="418" w:lineRule="exact"/>
        <w:ind w:firstLine="4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人与</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竞标人中选</w:t>
      </w:r>
      <w:r>
        <w:rPr>
          <w:rFonts w:hint="eastAsia" w:ascii="宋体" w:hAnsi="宋体" w:eastAsia="宋体" w:cs="宋体"/>
          <w:color w:val="auto"/>
          <w:sz w:val="21"/>
          <w:szCs w:val="21"/>
          <w:highlight w:val="none"/>
        </w:rPr>
        <w:t>而采取的其他串通行为。</w:t>
      </w:r>
    </w:p>
    <w:p w14:paraId="7897C7A5">
      <w:pPr>
        <w:spacing w:line="380" w:lineRule="exact"/>
        <w:outlineLvl w:val="2"/>
        <w:rPr>
          <w:rFonts w:hint="eastAsia" w:ascii="宋体" w:hAnsi="宋体" w:eastAsia="宋体" w:cs="宋体"/>
          <w:b/>
          <w:color w:val="auto"/>
          <w:sz w:val="21"/>
          <w:szCs w:val="21"/>
          <w:highlight w:val="none"/>
        </w:rPr>
      </w:pPr>
      <w:bookmarkStart w:id="354" w:name="_Toc200513174"/>
      <w:bookmarkStart w:id="355" w:name="_Toc287607794"/>
      <w:bookmarkStart w:id="356" w:name="_Toc224103365"/>
      <w:bookmarkStart w:id="357" w:name="_Toc430530483"/>
      <w:bookmarkStart w:id="358" w:name="_Toc277082600"/>
      <w:bookmarkStart w:id="359" w:name="_Toc287620733"/>
      <w:r>
        <w:rPr>
          <w:rFonts w:hint="eastAsia" w:ascii="宋体" w:hAnsi="宋体" w:eastAsia="宋体" w:cs="宋体"/>
          <w:b/>
          <w:color w:val="auto"/>
          <w:sz w:val="21"/>
          <w:szCs w:val="21"/>
          <w:highlight w:val="none"/>
        </w:rPr>
        <w:t>9.2  对</w:t>
      </w:r>
      <w:r>
        <w:rPr>
          <w:rFonts w:hint="eastAsia" w:ascii="宋体" w:hAnsi="宋体" w:eastAsia="宋体" w:cs="宋体"/>
          <w:b/>
          <w:color w:val="auto"/>
          <w:sz w:val="21"/>
          <w:szCs w:val="21"/>
          <w:highlight w:val="none"/>
          <w:lang w:eastAsia="zh-CN"/>
        </w:rPr>
        <w:t>竞标人</w:t>
      </w:r>
      <w:r>
        <w:rPr>
          <w:rFonts w:hint="eastAsia" w:ascii="宋体" w:hAnsi="宋体" w:eastAsia="宋体" w:cs="宋体"/>
          <w:b/>
          <w:color w:val="auto"/>
          <w:sz w:val="21"/>
          <w:szCs w:val="21"/>
          <w:highlight w:val="none"/>
        </w:rPr>
        <w:t>的纪律要求</w:t>
      </w:r>
      <w:bookmarkEnd w:id="354"/>
      <w:bookmarkEnd w:id="355"/>
      <w:bookmarkEnd w:id="356"/>
      <w:bookmarkEnd w:id="357"/>
      <w:bookmarkEnd w:id="358"/>
      <w:bookmarkEnd w:id="359"/>
    </w:p>
    <w:p w14:paraId="2E0AE871">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不得相互串通</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或者与</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人串通</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，不得向</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人或者</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成员行贿谋取</w:t>
      </w:r>
      <w:r>
        <w:rPr>
          <w:rFonts w:hint="eastAsia" w:ascii="宋体" w:hAnsi="宋体" w:eastAsia="宋体" w:cs="宋体"/>
          <w:snapToGrid w:val="0"/>
          <w:color w:val="auto"/>
          <w:sz w:val="21"/>
          <w:szCs w:val="21"/>
          <w:highlight w:val="none"/>
          <w:lang w:eastAsia="zh-CN"/>
        </w:rPr>
        <w:t>中选</w:t>
      </w:r>
      <w:r>
        <w:rPr>
          <w:rFonts w:hint="eastAsia" w:ascii="宋体" w:hAnsi="宋体" w:eastAsia="宋体" w:cs="宋体"/>
          <w:snapToGrid w:val="0"/>
          <w:color w:val="auto"/>
          <w:sz w:val="21"/>
          <w:szCs w:val="21"/>
          <w:highlight w:val="none"/>
        </w:rPr>
        <w:t>，不得以他人名义</w:t>
      </w:r>
      <w:r>
        <w:rPr>
          <w:rFonts w:hint="eastAsia" w:ascii="宋体" w:hAnsi="宋体" w:eastAsia="宋体" w:cs="宋体"/>
          <w:snapToGrid w:val="0"/>
          <w:color w:val="auto"/>
          <w:sz w:val="21"/>
          <w:szCs w:val="21"/>
          <w:highlight w:val="none"/>
          <w:lang w:eastAsia="zh-CN"/>
        </w:rPr>
        <w:t>竞标</w:t>
      </w:r>
      <w:r>
        <w:rPr>
          <w:rFonts w:hint="eastAsia" w:ascii="宋体" w:hAnsi="宋体" w:eastAsia="宋体" w:cs="宋体"/>
          <w:snapToGrid w:val="0"/>
          <w:color w:val="auto"/>
          <w:sz w:val="21"/>
          <w:szCs w:val="21"/>
          <w:highlight w:val="none"/>
        </w:rPr>
        <w:t>或者以其他方式弄虚作假骗取</w:t>
      </w:r>
      <w:r>
        <w:rPr>
          <w:rFonts w:hint="eastAsia" w:ascii="宋体" w:hAnsi="宋体" w:eastAsia="宋体" w:cs="宋体"/>
          <w:snapToGrid w:val="0"/>
          <w:color w:val="auto"/>
          <w:sz w:val="21"/>
          <w:szCs w:val="21"/>
          <w:highlight w:val="none"/>
          <w:lang w:eastAsia="zh-CN"/>
        </w:rPr>
        <w:t>中选</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不得以任何方式干扰、影响</w:t>
      </w:r>
      <w:r>
        <w:rPr>
          <w:rFonts w:hint="eastAsia" w:ascii="宋体" w:hAnsi="宋体" w:eastAsia="宋体" w:cs="宋体"/>
          <w:snapToGrid w:val="0"/>
          <w:color w:val="auto"/>
          <w:sz w:val="21"/>
          <w:szCs w:val="21"/>
          <w:highlight w:val="none"/>
          <w:lang w:eastAsia="zh-CN"/>
        </w:rPr>
        <w:t>比选</w:t>
      </w:r>
      <w:r>
        <w:rPr>
          <w:rFonts w:hint="eastAsia" w:ascii="宋体" w:hAnsi="宋体" w:eastAsia="宋体" w:cs="宋体"/>
          <w:snapToGrid w:val="0"/>
          <w:color w:val="auto"/>
          <w:sz w:val="21"/>
          <w:szCs w:val="21"/>
          <w:highlight w:val="none"/>
        </w:rPr>
        <w:t>工作。</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29AF671D">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报价等</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的实质性内容；</w:t>
      </w:r>
    </w:p>
    <w:p w14:paraId="7063765A">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之间约定</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人；</w:t>
      </w:r>
    </w:p>
    <w:p w14:paraId="63681107">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放弃</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w:t>
      </w:r>
    </w:p>
    <w:p w14:paraId="5B713629">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按照该组织要求协同</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4A1FD42B">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之间为谋取</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或者排斥特定</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而采取的其他联合行动。</w:t>
      </w:r>
    </w:p>
    <w:p w14:paraId="4E6A1462">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5D09B47B">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由同一单位或者个人编制；</w:t>
      </w:r>
    </w:p>
    <w:p w14:paraId="72B166D9">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事宜；</w:t>
      </w:r>
    </w:p>
    <w:p w14:paraId="149756D9">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载明的项目管理成员为同一人；</w:t>
      </w:r>
    </w:p>
    <w:p w14:paraId="0DBBBBC3">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异常一致或者</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报价呈规律性差异；</w:t>
      </w:r>
    </w:p>
    <w:p w14:paraId="4374C4A3">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相互混装；</w:t>
      </w:r>
    </w:p>
    <w:p w14:paraId="7ACAD900">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保证金从同一单位或者个人的账户转出。</w:t>
      </w:r>
    </w:p>
    <w:p w14:paraId="58447014">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的，属于以他人名义</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w:t>
      </w:r>
    </w:p>
    <w:p w14:paraId="71C2E84A">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有下列情形之一的，属于以其他方式弄虚作假的行为：</w:t>
      </w:r>
    </w:p>
    <w:p w14:paraId="4C743BBB">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669E749C">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1F578678">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7711AA67">
      <w:pPr>
        <w:autoSpaceDE w:val="0"/>
        <w:autoSpaceDN w:val="0"/>
        <w:snapToGrid w:val="0"/>
        <w:spacing w:line="41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359D60C9">
      <w:pPr>
        <w:autoSpaceDE w:val="0"/>
        <w:autoSpaceDN w:val="0"/>
        <w:snapToGrid w:val="0"/>
        <w:spacing w:line="418"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（五）其他弄虚作假的行为。</w:t>
      </w:r>
    </w:p>
    <w:p w14:paraId="346654D2">
      <w:pPr>
        <w:spacing w:line="380" w:lineRule="exact"/>
        <w:outlineLvl w:val="2"/>
        <w:rPr>
          <w:rFonts w:hint="eastAsia" w:ascii="宋体" w:hAnsi="宋体" w:eastAsia="宋体" w:cs="宋体"/>
          <w:b/>
          <w:color w:val="auto"/>
          <w:sz w:val="21"/>
          <w:szCs w:val="21"/>
          <w:highlight w:val="none"/>
        </w:rPr>
      </w:pPr>
      <w:bookmarkStart w:id="360" w:name="_Toc287607795"/>
      <w:bookmarkStart w:id="361" w:name="_Toc277082601"/>
      <w:bookmarkStart w:id="362" w:name="_Toc224103366"/>
      <w:bookmarkStart w:id="363" w:name="_Toc287620734"/>
      <w:bookmarkStart w:id="364" w:name="_Toc200513175"/>
      <w:bookmarkStart w:id="365" w:name="_Toc430530484"/>
      <w:r>
        <w:rPr>
          <w:rFonts w:hint="eastAsia" w:ascii="宋体" w:hAnsi="宋体" w:eastAsia="宋体" w:cs="宋体"/>
          <w:b/>
          <w:color w:val="auto"/>
          <w:sz w:val="21"/>
          <w:szCs w:val="21"/>
          <w:highlight w:val="none"/>
        </w:rPr>
        <w:t>9.3  对</w:t>
      </w:r>
      <w:r>
        <w:rPr>
          <w:rFonts w:hint="eastAsia" w:ascii="宋体" w:hAnsi="宋体" w:eastAsia="宋体" w:cs="宋体"/>
          <w:b/>
          <w:color w:val="auto"/>
          <w:sz w:val="21"/>
          <w:szCs w:val="21"/>
          <w:highlight w:val="none"/>
          <w:lang w:eastAsia="zh-CN"/>
        </w:rPr>
        <w:t>评标委员会</w:t>
      </w:r>
      <w:r>
        <w:rPr>
          <w:rFonts w:hint="eastAsia" w:ascii="宋体" w:hAnsi="宋体" w:eastAsia="宋体" w:cs="宋体"/>
          <w:b/>
          <w:color w:val="auto"/>
          <w:sz w:val="21"/>
          <w:szCs w:val="21"/>
          <w:highlight w:val="none"/>
        </w:rPr>
        <w:t>成员的纪律要求</w:t>
      </w:r>
      <w:bookmarkEnd w:id="360"/>
      <w:bookmarkEnd w:id="361"/>
      <w:bookmarkEnd w:id="362"/>
      <w:bookmarkEnd w:id="363"/>
      <w:bookmarkEnd w:id="364"/>
      <w:bookmarkEnd w:id="365"/>
    </w:p>
    <w:p w14:paraId="19A56134">
      <w:pPr>
        <w:autoSpaceDE w:val="0"/>
        <w:autoSpaceDN w:val="0"/>
        <w:snapToGrid w:val="0"/>
        <w:spacing w:line="418"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成员不得收受他人的财物或者其他好处，不得向他人</w:t>
      </w:r>
      <w:r>
        <w:rPr>
          <w:rFonts w:hint="eastAsia" w:ascii="宋体" w:hAnsi="宋体" w:eastAsia="宋体" w:cs="宋体"/>
          <w:snapToGrid w:val="0"/>
          <w:color w:val="auto"/>
          <w:sz w:val="21"/>
          <w:szCs w:val="21"/>
          <w:highlight w:val="none"/>
          <w:lang w:eastAsia="zh-CN"/>
        </w:rPr>
        <w:t>透露</w:t>
      </w:r>
      <w:r>
        <w:rPr>
          <w:rFonts w:hint="eastAsia" w:ascii="宋体" w:hAnsi="宋体" w:eastAsia="宋体" w:cs="宋体"/>
          <w:snapToGrid w:val="0"/>
          <w:color w:val="auto"/>
          <w:sz w:val="21"/>
          <w:szCs w:val="21"/>
          <w:highlight w:val="none"/>
        </w:rPr>
        <w:t>对</w:t>
      </w:r>
      <w:r>
        <w:rPr>
          <w:rFonts w:hint="eastAsia" w:ascii="宋体" w:hAnsi="宋体" w:eastAsia="宋体" w:cs="宋体"/>
          <w:snapToGrid w:val="0"/>
          <w:color w:val="auto"/>
          <w:sz w:val="21"/>
          <w:szCs w:val="21"/>
          <w:highlight w:val="none"/>
          <w:lang w:eastAsia="zh-CN"/>
        </w:rPr>
        <w:t>竞标文件</w:t>
      </w:r>
      <w:r>
        <w:rPr>
          <w:rFonts w:hint="eastAsia" w:ascii="宋体" w:hAnsi="宋体" w:eastAsia="宋体" w:cs="宋体"/>
          <w:snapToGrid w:val="0"/>
          <w:color w:val="auto"/>
          <w:sz w:val="21"/>
          <w:szCs w:val="21"/>
          <w:highlight w:val="none"/>
        </w:rPr>
        <w:t>的评审和比较、</w:t>
      </w:r>
      <w:r>
        <w:rPr>
          <w:rFonts w:hint="eastAsia" w:ascii="宋体" w:hAnsi="宋体" w:eastAsia="宋体" w:cs="宋体"/>
          <w:snapToGrid w:val="0"/>
          <w:color w:val="auto"/>
          <w:sz w:val="21"/>
          <w:szCs w:val="21"/>
          <w:highlight w:val="none"/>
          <w:lang w:eastAsia="zh-CN"/>
        </w:rPr>
        <w:t>中选</w:t>
      </w:r>
      <w:r>
        <w:rPr>
          <w:rFonts w:hint="eastAsia" w:ascii="宋体" w:hAnsi="宋体" w:eastAsia="宋体" w:cs="宋体"/>
          <w:snapToGrid w:val="0"/>
          <w:color w:val="auto"/>
          <w:sz w:val="21"/>
          <w:szCs w:val="21"/>
          <w:highlight w:val="none"/>
        </w:rPr>
        <w:t>候选人的推荐情况以及评标有关的其他情况。在评标活动中，</w:t>
      </w:r>
      <w:r>
        <w:rPr>
          <w:rFonts w:hint="eastAsia" w:ascii="宋体" w:hAnsi="宋体" w:eastAsia="宋体" w:cs="宋体"/>
          <w:snapToGrid w:val="0"/>
          <w:color w:val="auto"/>
          <w:sz w:val="21"/>
          <w:szCs w:val="21"/>
          <w:highlight w:val="none"/>
          <w:lang w:eastAsia="zh-CN"/>
        </w:rPr>
        <w:t>评标委员会</w:t>
      </w:r>
      <w:r>
        <w:rPr>
          <w:rFonts w:hint="eastAsia" w:ascii="宋体" w:hAnsi="宋体" w:eastAsia="宋体" w:cs="宋体"/>
          <w:snapToGrid w:val="0"/>
          <w:color w:val="auto"/>
          <w:sz w:val="21"/>
          <w:szCs w:val="21"/>
          <w:highlight w:val="none"/>
        </w:rPr>
        <w:t>成员不得擅离职守，影响评标程序正常进行，不得使用第三章“评标办法”没有规定的评标因素和标准进行评</w:t>
      </w:r>
      <w:r>
        <w:rPr>
          <w:rFonts w:hint="eastAsia" w:ascii="宋体" w:hAnsi="宋体" w:eastAsia="宋体" w:cs="宋体"/>
          <w:snapToGrid w:val="0"/>
          <w:color w:val="auto"/>
          <w:sz w:val="21"/>
          <w:szCs w:val="21"/>
          <w:highlight w:val="none"/>
          <w:lang w:val="en-US" w:eastAsia="zh-CN"/>
        </w:rPr>
        <w:t>审</w:t>
      </w:r>
      <w:r>
        <w:rPr>
          <w:rFonts w:hint="eastAsia" w:ascii="宋体" w:hAnsi="宋体" w:eastAsia="宋体" w:cs="宋体"/>
          <w:snapToGrid w:val="0"/>
          <w:color w:val="auto"/>
          <w:sz w:val="21"/>
          <w:szCs w:val="21"/>
          <w:highlight w:val="none"/>
        </w:rPr>
        <w:t>。</w:t>
      </w:r>
    </w:p>
    <w:p w14:paraId="4A2DE0C4">
      <w:pPr>
        <w:tabs>
          <w:tab w:val="left" w:pos="5490"/>
        </w:tabs>
        <w:spacing w:line="380" w:lineRule="exact"/>
        <w:outlineLvl w:val="2"/>
        <w:rPr>
          <w:rFonts w:hint="eastAsia" w:ascii="宋体" w:hAnsi="宋体" w:eastAsia="宋体" w:cs="宋体"/>
          <w:b/>
          <w:snapToGrid w:val="0"/>
          <w:color w:val="auto"/>
          <w:sz w:val="21"/>
          <w:szCs w:val="21"/>
          <w:highlight w:val="none"/>
          <w:lang w:eastAsia="zh-CN"/>
        </w:rPr>
      </w:pPr>
      <w:bookmarkStart w:id="366" w:name="_Toc224103367"/>
      <w:bookmarkStart w:id="367" w:name="_Toc430530485"/>
      <w:bookmarkStart w:id="368" w:name="_Toc287607796"/>
      <w:bookmarkStart w:id="369" w:name="_Toc200513176"/>
      <w:bookmarkStart w:id="370" w:name="_Toc287620735"/>
      <w:bookmarkStart w:id="371" w:name="_Toc277082602"/>
      <w:r>
        <w:rPr>
          <w:rFonts w:hint="eastAsia" w:ascii="宋体" w:hAnsi="宋体" w:eastAsia="宋体" w:cs="宋体"/>
          <w:b/>
          <w:color w:val="auto"/>
          <w:sz w:val="21"/>
          <w:szCs w:val="21"/>
          <w:highlight w:val="none"/>
        </w:rPr>
        <w:t>9.4  对与</w:t>
      </w:r>
      <w:r>
        <w:rPr>
          <w:rFonts w:hint="eastAsia" w:ascii="宋体" w:hAnsi="宋体" w:eastAsia="宋体" w:cs="宋体"/>
          <w:b/>
          <w:color w:val="auto"/>
          <w:sz w:val="21"/>
          <w:szCs w:val="21"/>
          <w:highlight w:val="none"/>
          <w:lang w:val="en-US" w:eastAsia="zh-CN"/>
        </w:rPr>
        <w:t>评标</w:t>
      </w:r>
      <w:r>
        <w:rPr>
          <w:rFonts w:hint="eastAsia" w:ascii="宋体" w:hAnsi="宋体" w:eastAsia="宋体" w:cs="宋体"/>
          <w:b/>
          <w:color w:val="auto"/>
          <w:sz w:val="21"/>
          <w:szCs w:val="21"/>
          <w:highlight w:val="none"/>
        </w:rPr>
        <w:t>活动有关的工作人员的纪律要求</w:t>
      </w:r>
      <w:bookmarkEnd w:id="366"/>
      <w:bookmarkEnd w:id="367"/>
      <w:bookmarkEnd w:id="368"/>
      <w:bookmarkEnd w:id="369"/>
      <w:bookmarkEnd w:id="370"/>
      <w:bookmarkEnd w:id="371"/>
      <w:r>
        <w:rPr>
          <w:rFonts w:hint="eastAsia" w:ascii="宋体" w:hAnsi="宋体" w:eastAsia="宋体" w:cs="宋体"/>
          <w:b/>
          <w:color w:val="auto"/>
          <w:sz w:val="21"/>
          <w:szCs w:val="21"/>
          <w:highlight w:val="none"/>
          <w:lang w:eastAsia="zh-CN"/>
        </w:rPr>
        <w:tab/>
      </w:r>
    </w:p>
    <w:p w14:paraId="105129F0">
      <w:pPr>
        <w:autoSpaceDE w:val="0"/>
        <w:autoSpaceDN w:val="0"/>
        <w:snapToGrid w:val="0"/>
        <w:spacing w:line="418"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与</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活动有关的工作人员不得收受他人的财物或者其他好处，不得向他人</w:t>
      </w:r>
      <w:r>
        <w:rPr>
          <w:rFonts w:hint="eastAsia" w:ascii="宋体" w:hAnsi="宋体" w:eastAsia="宋体" w:cs="宋体"/>
          <w:snapToGrid w:val="0"/>
          <w:color w:val="auto"/>
          <w:sz w:val="21"/>
          <w:szCs w:val="21"/>
          <w:highlight w:val="none"/>
          <w:lang w:eastAsia="zh-CN"/>
        </w:rPr>
        <w:t>透露</w:t>
      </w:r>
      <w:r>
        <w:rPr>
          <w:rFonts w:hint="eastAsia" w:ascii="宋体" w:hAnsi="宋体" w:eastAsia="宋体" w:cs="宋体"/>
          <w:snapToGrid w:val="0"/>
          <w:color w:val="auto"/>
          <w:sz w:val="21"/>
          <w:szCs w:val="21"/>
          <w:highlight w:val="none"/>
        </w:rPr>
        <w:t>对</w:t>
      </w:r>
      <w:r>
        <w:rPr>
          <w:rFonts w:hint="eastAsia" w:ascii="宋体" w:hAnsi="宋体" w:eastAsia="宋体" w:cs="宋体"/>
          <w:snapToGrid w:val="0"/>
          <w:color w:val="auto"/>
          <w:sz w:val="21"/>
          <w:szCs w:val="21"/>
          <w:highlight w:val="none"/>
          <w:lang w:eastAsia="zh-CN"/>
        </w:rPr>
        <w:t>竞标文件</w:t>
      </w:r>
      <w:r>
        <w:rPr>
          <w:rFonts w:hint="eastAsia" w:ascii="宋体" w:hAnsi="宋体" w:eastAsia="宋体" w:cs="宋体"/>
          <w:snapToGrid w:val="0"/>
          <w:color w:val="auto"/>
          <w:sz w:val="21"/>
          <w:szCs w:val="21"/>
          <w:highlight w:val="none"/>
        </w:rPr>
        <w:t>的</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和比较、</w:t>
      </w:r>
      <w:r>
        <w:rPr>
          <w:rFonts w:hint="eastAsia" w:ascii="宋体" w:hAnsi="宋体" w:eastAsia="宋体" w:cs="宋体"/>
          <w:snapToGrid w:val="0"/>
          <w:color w:val="auto"/>
          <w:sz w:val="21"/>
          <w:szCs w:val="21"/>
          <w:highlight w:val="none"/>
          <w:lang w:eastAsia="zh-CN"/>
        </w:rPr>
        <w:t>中选</w:t>
      </w:r>
      <w:r>
        <w:rPr>
          <w:rFonts w:hint="eastAsia" w:ascii="宋体" w:hAnsi="宋体" w:eastAsia="宋体" w:cs="宋体"/>
          <w:snapToGrid w:val="0"/>
          <w:color w:val="auto"/>
          <w:sz w:val="21"/>
          <w:szCs w:val="21"/>
          <w:highlight w:val="none"/>
        </w:rPr>
        <w:t>候选人的推荐情况以及与</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有关的其他情况。在</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活动中，与</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napToGrid w:val="0"/>
          <w:color w:val="auto"/>
          <w:sz w:val="21"/>
          <w:szCs w:val="21"/>
          <w:highlight w:val="none"/>
        </w:rPr>
        <w:t>活动有关的工作人员不得擅离职守，影响</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b w:val="0"/>
          <w:bCs/>
          <w:color w:val="auto"/>
          <w:sz w:val="21"/>
          <w:szCs w:val="21"/>
          <w:highlight w:val="none"/>
          <w:lang w:eastAsia="zh-CN"/>
        </w:rPr>
        <w:t>选</w:t>
      </w:r>
      <w:r>
        <w:rPr>
          <w:rFonts w:hint="eastAsia" w:ascii="宋体" w:hAnsi="宋体" w:eastAsia="宋体" w:cs="宋体"/>
          <w:snapToGrid w:val="0"/>
          <w:color w:val="auto"/>
          <w:sz w:val="21"/>
          <w:szCs w:val="21"/>
          <w:highlight w:val="none"/>
        </w:rPr>
        <w:t>程序正常进行。</w:t>
      </w:r>
    </w:p>
    <w:p w14:paraId="0017BCCC">
      <w:pPr>
        <w:spacing w:line="380" w:lineRule="exact"/>
        <w:outlineLvl w:val="2"/>
        <w:rPr>
          <w:rFonts w:hint="eastAsia" w:ascii="宋体" w:hAnsi="宋体" w:eastAsia="宋体" w:cs="宋体"/>
          <w:b/>
          <w:color w:val="auto"/>
          <w:sz w:val="21"/>
          <w:szCs w:val="21"/>
          <w:highlight w:val="none"/>
        </w:rPr>
      </w:pPr>
      <w:bookmarkStart w:id="372" w:name="_Toc224103368"/>
      <w:bookmarkStart w:id="373" w:name="_Toc277082603"/>
      <w:bookmarkStart w:id="374" w:name="_Toc287620736"/>
      <w:bookmarkStart w:id="375" w:name="_Toc430530486"/>
      <w:bookmarkStart w:id="376" w:name="_Toc200513177"/>
      <w:bookmarkStart w:id="377" w:name="_Toc287607797"/>
      <w:r>
        <w:rPr>
          <w:rFonts w:hint="eastAsia" w:ascii="宋体" w:hAnsi="宋体" w:eastAsia="宋体" w:cs="宋体"/>
          <w:b/>
          <w:color w:val="auto"/>
          <w:sz w:val="21"/>
          <w:szCs w:val="21"/>
          <w:highlight w:val="none"/>
        </w:rPr>
        <w:t>9.5  投诉</w:t>
      </w:r>
      <w:bookmarkEnd w:id="372"/>
      <w:bookmarkEnd w:id="373"/>
      <w:bookmarkEnd w:id="374"/>
      <w:bookmarkEnd w:id="375"/>
      <w:bookmarkEnd w:id="376"/>
      <w:bookmarkEnd w:id="377"/>
    </w:p>
    <w:p w14:paraId="6BD50442">
      <w:pPr>
        <w:autoSpaceDE w:val="0"/>
        <w:autoSpaceDN w:val="0"/>
        <w:snapToGrid w:val="0"/>
        <w:spacing w:line="418" w:lineRule="exact"/>
        <w:ind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和其他利害关系人认为本次招标活动违反</w:t>
      </w:r>
      <w:r>
        <w:rPr>
          <w:rFonts w:hint="eastAsia" w:ascii="宋体" w:hAnsi="宋体" w:eastAsia="宋体" w:cs="宋体"/>
          <w:snapToGrid w:val="0"/>
          <w:color w:val="auto"/>
          <w:sz w:val="21"/>
          <w:szCs w:val="21"/>
          <w:highlight w:val="none"/>
          <w:lang w:eastAsia="zh-CN"/>
        </w:rPr>
        <w:t>法律法规</w:t>
      </w:r>
      <w:r>
        <w:rPr>
          <w:rFonts w:hint="eastAsia" w:ascii="宋体" w:hAnsi="宋体" w:eastAsia="宋体" w:cs="宋体"/>
          <w:snapToGrid w:val="0"/>
          <w:color w:val="auto"/>
          <w:sz w:val="21"/>
          <w:szCs w:val="21"/>
          <w:highlight w:val="none"/>
        </w:rPr>
        <w:t>和规章规定的，有权向有关行政监督部门投诉。</w:t>
      </w:r>
    </w:p>
    <w:p w14:paraId="6C4D3B20">
      <w:pPr>
        <w:spacing w:line="380" w:lineRule="exact"/>
        <w:outlineLvl w:val="1"/>
        <w:rPr>
          <w:rFonts w:hint="eastAsia" w:ascii="宋体" w:hAnsi="宋体" w:eastAsia="宋体" w:cs="宋体"/>
          <w:b/>
          <w:color w:val="auto"/>
          <w:sz w:val="21"/>
          <w:szCs w:val="21"/>
          <w:highlight w:val="none"/>
        </w:rPr>
      </w:pPr>
      <w:bookmarkStart w:id="378" w:name="_Toc425"/>
      <w:r>
        <w:rPr>
          <w:rFonts w:hint="eastAsia" w:ascii="宋体" w:hAnsi="宋体" w:eastAsia="宋体" w:cs="宋体"/>
          <w:b/>
          <w:color w:val="auto"/>
          <w:sz w:val="21"/>
          <w:szCs w:val="21"/>
          <w:highlight w:val="none"/>
        </w:rPr>
        <w:t>10. 需要补充的其他内容</w:t>
      </w:r>
      <w:bookmarkEnd w:id="346"/>
      <w:bookmarkEnd w:id="347"/>
      <w:bookmarkEnd w:id="348"/>
      <w:bookmarkEnd w:id="349"/>
      <w:bookmarkEnd w:id="350"/>
      <w:bookmarkEnd w:id="351"/>
      <w:bookmarkEnd w:id="352"/>
      <w:bookmarkEnd w:id="353"/>
      <w:bookmarkEnd w:id="378"/>
    </w:p>
    <w:p w14:paraId="28FEADAD">
      <w:pPr>
        <w:spacing w:line="380" w:lineRule="exact"/>
        <w:ind w:firstLine="420" w:firstLineChars="200"/>
        <w:rPr>
          <w:rFonts w:hint="eastAsia" w:ascii="宋体" w:hAnsi="宋体" w:eastAsia="宋体" w:cs="MingLiU"/>
          <w:snapToGrid w:val="0"/>
          <w:w w:val="200"/>
          <w:kern w:val="0"/>
          <w:szCs w:val="21"/>
          <w:u w:val="single"/>
          <w:lang w:eastAsia="zh-CN"/>
        </w:rPr>
        <w:sectPr>
          <w:footerReference r:id="rId10" w:type="default"/>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sz w:val="21"/>
          <w:szCs w:val="21"/>
          <w:highlight w:val="none"/>
        </w:rPr>
        <w:t>需要补充的其他内容：见</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须知前附表</w:t>
      </w:r>
      <w:bookmarkStart w:id="379" w:name="_Toc37869687"/>
      <w:bookmarkStart w:id="380" w:name="_Toc51099119"/>
      <w:bookmarkStart w:id="381" w:name="_Toc20173"/>
      <w:bookmarkStart w:id="382" w:name="_Toc6936"/>
      <w:bookmarkStart w:id="383" w:name="_Toc296890982"/>
      <w:bookmarkStart w:id="384" w:name="_Toc380397274"/>
      <w:bookmarkStart w:id="385" w:name="_Toc296503025"/>
      <w:bookmarkStart w:id="386" w:name="_Toc433623100"/>
      <w:bookmarkStart w:id="387" w:name="_Toc351203480"/>
      <w:bookmarkStart w:id="388" w:name="_Toc233044199"/>
      <w:bookmarkStart w:id="389" w:name="_Toc430206082"/>
      <w:r>
        <w:rPr>
          <w:rFonts w:hint="eastAsia" w:ascii="宋体" w:hAnsi="宋体" w:eastAsia="宋体" w:cs="宋体"/>
          <w:color w:val="auto"/>
          <w:sz w:val="21"/>
          <w:szCs w:val="21"/>
          <w:highlight w:val="none"/>
          <w:lang w:eastAsia="zh-CN"/>
        </w:rPr>
        <w:t>。</w:t>
      </w:r>
    </w:p>
    <w:bookmarkEnd w:id="379"/>
    <w:bookmarkEnd w:id="380"/>
    <w:bookmarkEnd w:id="381"/>
    <w:bookmarkEnd w:id="382"/>
    <w:p w14:paraId="6C859CDC">
      <w:pPr>
        <w:pStyle w:val="3"/>
        <w:spacing w:line="360" w:lineRule="auto"/>
        <w:jc w:val="center"/>
        <w:rPr>
          <w:rFonts w:ascii="宋体" w:hAnsi="宋体"/>
          <w:snapToGrid w:val="0"/>
          <w:kern w:val="0"/>
          <w:highlight w:val="none"/>
        </w:rPr>
      </w:pPr>
      <w:bookmarkStart w:id="390" w:name="_Toc104554752"/>
      <w:bookmarkStart w:id="391" w:name="_Toc20466"/>
      <w:bookmarkStart w:id="392" w:name="_Toc37869689"/>
      <w:bookmarkStart w:id="393" w:name="_Toc29771"/>
      <w:bookmarkStart w:id="394" w:name="_Toc51099121"/>
      <w:bookmarkStart w:id="395" w:name="_Toc16946"/>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hint="eastAsia" w:ascii="宋体" w:hAnsi="宋体"/>
          <w:snapToGrid w:val="0"/>
          <w:kern w:val="0"/>
          <w:highlight w:val="none"/>
          <w:lang w:val="en-US" w:eastAsia="zh-CN"/>
        </w:rPr>
        <w:t>评标</w:t>
      </w:r>
      <w:r>
        <w:rPr>
          <w:rFonts w:ascii="宋体" w:hAnsi="宋体"/>
          <w:snapToGrid w:val="0"/>
          <w:kern w:val="0"/>
          <w:highlight w:val="none"/>
        </w:rPr>
        <w:t>办法（</w:t>
      </w:r>
      <w:r>
        <w:rPr>
          <w:rFonts w:hint="eastAsia" w:ascii="宋体" w:hAnsi="宋体"/>
          <w:snapToGrid w:val="0"/>
          <w:kern w:val="0"/>
          <w:highlight w:val="none"/>
        </w:rPr>
        <w:t>综合评估法</w:t>
      </w:r>
      <w:r>
        <w:rPr>
          <w:rFonts w:ascii="宋体" w:hAnsi="宋体"/>
          <w:snapToGrid w:val="0"/>
          <w:kern w:val="0"/>
          <w:highlight w:val="none"/>
        </w:rPr>
        <w:t>）</w:t>
      </w:r>
      <w:bookmarkEnd w:id="390"/>
      <w:bookmarkEnd w:id="391"/>
    </w:p>
    <w:p w14:paraId="474A2D7D">
      <w:pPr>
        <w:keepNext/>
        <w:keepLines/>
        <w:spacing w:before="100" w:after="100" w:line="360" w:lineRule="auto"/>
        <w:outlineLvl w:val="1"/>
        <w:rPr>
          <w:rFonts w:hint="eastAsia" w:ascii="宋体" w:hAnsi="宋体" w:eastAsia="宋体" w:cs="宋体"/>
          <w:b/>
          <w:sz w:val="21"/>
          <w:szCs w:val="21"/>
          <w:highlight w:val="none"/>
        </w:rPr>
      </w:pPr>
      <w:bookmarkStart w:id="396" w:name="_Toc104554753"/>
      <w:bookmarkStart w:id="397" w:name="_Toc14792"/>
      <w:r>
        <w:rPr>
          <w:rFonts w:hint="eastAsia" w:ascii="宋体" w:hAnsi="宋体" w:eastAsia="宋体" w:cs="宋体"/>
          <w:b/>
          <w:sz w:val="21"/>
          <w:szCs w:val="21"/>
          <w:highlight w:val="none"/>
          <w:lang w:val="en-US" w:eastAsia="zh-CN"/>
        </w:rPr>
        <w:t>评标</w:t>
      </w:r>
      <w:r>
        <w:rPr>
          <w:rFonts w:hint="eastAsia" w:ascii="宋体" w:hAnsi="宋体" w:eastAsia="宋体" w:cs="宋体"/>
          <w:b/>
          <w:sz w:val="21"/>
          <w:szCs w:val="21"/>
          <w:highlight w:val="none"/>
        </w:rPr>
        <w:t>办法前附表</w:t>
      </w:r>
      <w:bookmarkEnd w:id="396"/>
      <w:bookmarkEnd w:id="397"/>
    </w:p>
    <w:p w14:paraId="6617EDC6">
      <w:pPr>
        <w:spacing w:line="400" w:lineRule="exact"/>
        <w:ind w:firstLine="427" w:firstLineChars="196"/>
        <w:rPr>
          <w:rFonts w:hint="eastAsia" w:ascii="宋体" w:hAnsi="宋体" w:eastAsia="宋体" w:cs="宋体"/>
          <w:spacing w:val="4"/>
          <w:kern w:val="0"/>
          <w:sz w:val="21"/>
          <w:szCs w:val="21"/>
          <w:highlight w:val="none"/>
        </w:rPr>
      </w:pPr>
      <w:bookmarkStart w:id="398" w:name="_Toc13210726"/>
      <w:r>
        <w:rPr>
          <w:rFonts w:hint="eastAsia" w:ascii="宋体" w:hAnsi="宋体" w:eastAsia="宋体" w:cs="宋体"/>
          <w:spacing w:val="4"/>
          <w:kern w:val="0"/>
          <w:sz w:val="21"/>
          <w:szCs w:val="21"/>
          <w:highlight w:val="none"/>
          <w:lang w:val="en-US" w:eastAsia="zh-CN"/>
        </w:rPr>
        <w:t>评标</w:t>
      </w:r>
      <w:r>
        <w:rPr>
          <w:rFonts w:hint="eastAsia" w:ascii="宋体" w:hAnsi="宋体" w:eastAsia="宋体" w:cs="宋体"/>
          <w:spacing w:val="4"/>
          <w:kern w:val="0"/>
          <w:sz w:val="21"/>
          <w:szCs w:val="21"/>
          <w:highlight w:val="none"/>
        </w:rPr>
        <w:t>办法中的评审内容必须和竞标人须知中的对应内容一致，若竞标人须知中未作要求的内容，不得列入</w:t>
      </w: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spacing w:val="4"/>
          <w:kern w:val="0"/>
          <w:sz w:val="21"/>
          <w:szCs w:val="21"/>
          <w:highlight w:val="none"/>
        </w:rPr>
        <w:t>办法作为评定依据。</w:t>
      </w:r>
      <w:bookmarkEnd w:id="398"/>
    </w:p>
    <w:tbl>
      <w:tblPr>
        <w:tblStyle w:val="22"/>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51C23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FCAA34C">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条款号</w:t>
            </w:r>
          </w:p>
        </w:tc>
        <w:tc>
          <w:tcPr>
            <w:tcW w:w="2559" w:type="dxa"/>
            <w:gridSpan w:val="3"/>
            <w:vAlign w:val="center"/>
          </w:tcPr>
          <w:p w14:paraId="5A14C547">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5493" w:type="dxa"/>
            <w:vAlign w:val="center"/>
          </w:tcPr>
          <w:p w14:paraId="3A231CD2">
            <w:pPr>
              <w:spacing w:line="4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06A9D1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413578A">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559" w:type="dxa"/>
            <w:gridSpan w:val="3"/>
            <w:vAlign w:val="center"/>
          </w:tcPr>
          <w:p w14:paraId="30AE4848">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snapToGrid w:val="0"/>
                <w:color w:val="auto"/>
                <w:sz w:val="21"/>
                <w:szCs w:val="21"/>
                <w:highlight w:val="none"/>
                <w:lang w:val="en-US" w:eastAsia="zh-CN"/>
              </w:rPr>
              <w:t>评标</w:t>
            </w:r>
            <w:r>
              <w:rPr>
                <w:rFonts w:hint="eastAsia" w:ascii="宋体" w:hAnsi="宋体" w:eastAsia="宋体" w:cs="宋体"/>
                <w:kern w:val="0"/>
                <w:sz w:val="21"/>
                <w:szCs w:val="21"/>
                <w:highlight w:val="none"/>
              </w:rPr>
              <w:t>办法</w:t>
            </w:r>
          </w:p>
        </w:tc>
        <w:tc>
          <w:tcPr>
            <w:tcW w:w="5493" w:type="dxa"/>
            <w:vAlign w:val="center"/>
          </w:tcPr>
          <w:p w14:paraId="78A03AA3">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采用综合评估法</w:t>
            </w:r>
            <w:r>
              <w:rPr>
                <w:rFonts w:hint="eastAsia" w:ascii="宋体" w:hAnsi="宋体" w:eastAsia="宋体" w:cs="宋体"/>
                <w:spacing w:val="-47"/>
                <w:kern w:val="0"/>
                <w:sz w:val="21"/>
                <w:szCs w:val="21"/>
                <w:highlight w:val="none"/>
              </w:rPr>
              <w:t>。</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 xml:space="preserve">按照本章第 </w:t>
            </w:r>
            <w:r>
              <w:rPr>
                <w:rFonts w:hint="eastAsia" w:ascii="宋体" w:hAnsi="宋体" w:eastAsia="宋体" w:cs="宋体"/>
                <w:spacing w:val="1"/>
                <w:kern w:val="0"/>
                <w:sz w:val="21"/>
                <w:szCs w:val="21"/>
                <w:highlight w:val="none"/>
              </w:rPr>
              <w:t>2</w:t>
            </w:r>
            <w:r>
              <w:rPr>
                <w:rFonts w:hint="eastAsia" w:ascii="宋体" w:hAnsi="宋体" w:eastAsia="宋体" w:cs="宋体"/>
                <w:spacing w:val="-1"/>
                <w:kern w:val="0"/>
                <w:sz w:val="21"/>
                <w:szCs w:val="21"/>
                <w:highlight w:val="none"/>
              </w:rPr>
              <w:t>.</w:t>
            </w:r>
            <w:r>
              <w:rPr>
                <w:rFonts w:hint="eastAsia" w:ascii="宋体" w:hAnsi="宋体" w:eastAsia="宋体" w:cs="宋体"/>
                <w:kern w:val="0"/>
                <w:sz w:val="21"/>
                <w:szCs w:val="21"/>
                <w:highlight w:val="none"/>
              </w:rPr>
              <w:t>2</w:t>
            </w:r>
            <w:r>
              <w:rPr>
                <w:rFonts w:hint="eastAsia" w:ascii="宋体" w:hAnsi="宋体" w:eastAsia="宋体" w:cs="宋体"/>
                <w:spacing w:val="1"/>
                <w:kern w:val="0"/>
                <w:sz w:val="21"/>
                <w:szCs w:val="21"/>
                <w:highlight w:val="none"/>
              </w:rPr>
              <w:t xml:space="preserve"> </w:t>
            </w:r>
            <w:r>
              <w:rPr>
                <w:rFonts w:hint="eastAsia" w:ascii="宋体" w:hAnsi="宋体" w:eastAsia="宋体" w:cs="宋体"/>
                <w:kern w:val="0"/>
                <w:sz w:val="21"/>
                <w:szCs w:val="21"/>
                <w:highlight w:val="none"/>
              </w:rPr>
              <w:t>款</w:t>
            </w:r>
            <w:r>
              <w:rPr>
                <w:rFonts w:hint="eastAsia" w:ascii="宋体" w:hAnsi="宋体" w:eastAsia="宋体" w:cs="宋体"/>
                <w:spacing w:val="-1"/>
                <w:kern w:val="0"/>
                <w:sz w:val="21"/>
                <w:szCs w:val="21"/>
                <w:highlight w:val="none"/>
              </w:rPr>
              <w:t>规</w:t>
            </w:r>
            <w:r>
              <w:rPr>
                <w:rFonts w:hint="eastAsia" w:ascii="宋体" w:hAnsi="宋体" w:eastAsia="宋体" w:cs="宋体"/>
                <w:kern w:val="0"/>
                <w:sz w:val="21"/>
                <w:szCs w:val="21"/>
                <w:highlight w:val="none"/>
              </w:rPr>
              <w:t>定的评分标准进行打分，按得分由高到低顺序推荐</w:t>
            </w:r>
            <w:r>
              <w:rPr>
                <w:rFonts w:hint="eastAsia" w:ascii="宋体" w:hAnsi="宋体" w:eastAsia="宋体" w:cs="宋体"/>
                <w:kern w:val="0"/>
                <w:sz w:val="21"/>
                <w:szCs w:val="21"/>
                <w:highlight w:val="none"/>
                <w:lang w:eastAsia="zh-CN"/>
              </w:rPr>
              <w:t>中选</w:t>
            </w:r>
            <w:r>
              <w:rPr>
                <w:rFonts w:hint="eastAsia" w:ascii="宋体" w:hAnsi="宋体" w:eastAsia="宋体" w:cs="宋体"/>
                <w:kern w:val="0"/>
                <w:sz w:val="21"/>
                <w:szCs w:val="21"/>
                <w:highlight w:val="none"/>
              </w:rPr>
              <w:t>候选人</w:t>
            </w:r>
            <w:r>
              <w:rPr>
                <w:rFonts w:hint="eastAsia" w:ascii="宋体" w:hAnsi="宋体" w:eastAsia="宋体" w:cs="宋体"/>
                <w:spacing w:val="-20"/>
                <w:kern w:val="0"/>
                <w:sz w:val="21"/>
                <w:szCs w:val="21"/>
                <w:highlight w:val="none"/>
              </w:rPr>
              <w:t>，</w:t>
            </w:r>
            <w:r>
              <w:rPr>
                <w:rFonts w:hint="eastAsia" w:ascii="宋体" w:hAnsi="宋体" w:eastAsia="宋体" w:cs="宋体"/>
                <w:kern w:val="0"/>
                <w:sz w:val="21"/>
                <w:szCs w:val="21"/>
                <w:highlight w:val="none"/>
              </w:rPr>
              <w:t>或根据</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人授权直接确定</w:t>
            </w:r>
            <w:r>
              <w:rPr>
                <w:rFonts w:hint="eastAsia" w:ascii="宋体" w:hAnsi="宋体" w:eastAsia="宋体" w:cs="宋体"/>
                <w:kern w:val="0"/>
                <w:sz w:val="21"/>
                <w:szCs w:val="21"/>
                <w:highlight w:val="none"/>
                <w:lang w:eastAsia="zh-CN"/>
              </w:rPr>
              <w:t>中选</w:t>
            </w:r>
            <w:r>
              <w:rPr>
                <w:rFonts w:hint="eastAsia" w:ascii="宋体" w:hAnsi="宋体" w:eastAsia="宋体" w:cs="宋体"/>
                <w:kern w:val="0"/>
                <w:sz w:val="21"/>
                <w:szCs w:val="21"/>
                <w:highlight w:val="none"/>
              </w:rPr>
              <w:t>人</w:t>
            </w:r>
            <w:r>
              <w:rPr>
                <w:rFonts w:hint="eastAsia" w:ascii="宋体" w:hAnsi="宋体" w:eastAsia="宋体" w:cs="宋体"/>
                <w:spacing w:val="-31"/>
                <w:kern w:val="0"/>
                <w:sz w:val="21"/>
                <w:szCs w:val="21"/>
                <w:highlight w:val="none"/>
              </w:rPr>
              <w:t>。</w:t>
            </w:r>
            <w:r>
              <w:rPr>
                <w:rFonts w:hint="eastAsia" w:ascii="宋体" w:hAnsi="宋体" w:eastAsia="宋体" w:cs="宋体"/>
                <w:kern w:val="0"/>
                <w:sz w:val="21"/>
                <w:szCs w:val="21"/>
                <w:highlight w:val="none"/>
              </w:rPr>
              <w:t>综合评分相等时</w:t>
            </w:r>
            <w:r>
              <w:rPr>
                <w:rFonts w:hint="eastAsia" w:ascii="宋体" w:hAnsi="宋体" w:eastAsia="宋体" w:cs="宋体"/>
                <w:spacing w:val="-31"/>
                <w:kern w:val="0"/>
                <w:sz w:val="21"/>
                <w:szCs w:val="21"/>
                <w:highlight w:val="none"/>
              </w:rPr>
              <w:t>，</w:t>
            </w:r>
            <w:r>
              <w:rPr>
                <w:rFonts w:hint="eastAsia" w:ascii="宋体" w:hAnsi="宋体" w:eastAsia="宋体" w:cs="宋体"/>
                <w:kern w:val="0"/>
                <w:sz w:val="21"/>
                <w:szCs w:val="21"/>
                <w:highlight w:val="none"/>
              </w:rPr>
              <w:t>以竞标报价低的优先；竞标报价相等的，由</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u w:val="single"/>
              </w:rPr>
              <w:t>技术部分得分由高到低的</w:t>
            </w:r>
            <w:r>
              <w:rPr>
                <w:rFonts w:hint="eastAsia" w:ascii="宋体" w:hAnsi="宋体" w:eastAsia="宋体" w:cs="宋体"/>
                <w:kern w:val="0"/>
                <w:sz w:val="21"/>
                <w:szCs w:val="21"/>
                <w:highlight w:val="none"/>
              </w:rPr>
              <w:t>原则排序。</w:t>
            </w:r>
          </w:p>
        </w:tc>
      </w:tr>
      <w:tr w14:paraId="50A5D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301F70F">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2.1.1</w:t>
            </w:r>
          </w:p>
        </w:tc>
        <w:tc>
          <w:tcPr>
            <w:tcW w:w="567" w:type="dxa"/>
            <w:vMerge w:val="restart"/>
            <w:vAlign w:val="center"/>
          </w:tcPr>
          <w:p w14:paraId="35DD43C1">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资格评审标准</w:t>
            </w:r>
          </w:p>
        </w:tc>
        <w:tc>
          <w:tcPr>
            <w:tcW w:w="2559" w:type="dxa"/>
            <w:gridSpan w:val="3"/>
            <w:tcBorders>
              <w:bottom w:val="single" w:color="auto" w:sz="4" w:space="0"/>
            </w:tcBorders>
            <w:vAlign w:val="center"/>
          </w:tcPr>
          <w:p w14:paraId="5A137319">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资质条件</w:t>
            </w:r>
          </w:p>
        </w:tc>
        <w:tc>
          <w:tcPr>
            <w:tcW w:w="5493" w:type="dxa"/>
            <w:vAlign w:val="center"/>
          </w:tcPr>
          <w:p w14:paraId="6CE4BB0F">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符合第二章“竞标人须知”第1.4.1项规定。</w:t>
            </w:r>
          </w:p>
        </w:tc>
      </w:tr>
      <w:tr w14:paraId="444A9D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9A794F7">
            <w:pPr>
              <w:spacing w:line="400" w:lineRule="exact"/>
              <w:rPr>
                <w:rFonts w:hint="eastAsia" w:ascii="宋体" w:hAnsi="宋体" w:eastAsia="宋体" w:cs="宋体"/>
                <w:sz w:val="21"/>
                <w:szCs w:val="21"/>
                <w:highlight w:val="none"/>
              </w:rPr>
            </w:pPr>
          </w:p>
        </w:tc>
        <w:tc>
          <w:tcPr>
            <w:tcW w:w="567" w:type="dxa"/>
            <w:vMerge w:val="continue"/>
          </w:tcPr>
          <w:p w14:paraId="55BB58CF">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tcPr>
          <w:p w14:paraId="4449C267">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w:t>
            </w:r>
          </w:p>
        </w:tc>
        <w:tc>
          <w:tcPr>
            <w:tcW w:w="5493" w:type="dxa"/>
            <w:vAlign w:val="center"/>
          </w:tcPr>
          <w:p w14:paraId="6AACD999">
            <w:pPr>
              <w:autoSpaceDE w:val="0"/>
              <w:autoSpaceDN w:val="0"/>
              <w:adjustRightIn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符合第二章“竞标人须知”第1.4.1项规定。</w:t>
            </w:r>
          </w:p>
        </w:tc>
      </w:tr>
      <w:tr w14:paraId="16F951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8D050F2">
            <w:pPr>
              <w:spacing w:line="400" w:lineRule="exact"/>
              <w:rPr>
                <w:rFonts w:hint="eastAsia" w:ascii="宋体" w:hAnsi="宋体" w:eastAsia="宋体" w:cs="宋体"/>
                <w:sz w:val="21"/>
                <w:szCs w:val="21"/>
                <w:highlight w:val="none"/>
              </w:rPr>
            </w:pPr>
          </w:p>
        </w:tc>
        <w:tc>
          <w:tcPr>
            <w:tcW w:w="567" w:type="dxa"/>
            <w:vMerge w:val="continue"/>
          </w:tcPr>
          <w:p w14:paraId="30B4BA9F">
            <w:pPr>
              <w:spacing w:line="400" w:lineRule="exact"/>
              <w:rPr>
                <w:rFonts w:hint="eastAsia" w:ascii="宋体" w:hAnsi="宋体" w:eastAsia="宋体" w:cs="宋体"/>
                <w:sz w:val="21"/>
                <w:szCs w:val="21"/>
                <w:highlight w:val="none"/>
              </w:rPr>
            </w:pPr>
          </w:p>
        </w:tc>
        <w:tc>
          <w:tcPr>
            <w:tcW w:w="2559" w:type="dxa"/>
            <w:gridSpan w:val="3"/>
            <w:tcBorders>
              <w:top w:val="single" w:color="auto" w:sz="4" w:space="0"/>
            </w:tcBorders>
          </w:tcPr>
          <w:p w14:paraId="05D44994">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安全生产条件</w:t>
            </w:r>
          </w:p>
        </w:tc>
        <w:tc>
          <w:tcPr>
            <w:tcW w:w="5493" w:type="dxa"/>
            <w:vAlign w:val="center"/>
          </w:tcPr>
          <w:p w14:paraId="57291C2B">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符合第二章“竞标人须知”第1.4.1项规定</w:t>
            </w:r>
          </w:p>
        </w:tc>
      </w:tr>
      <w:tr w14:paraId="4D947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77" w:hRule="atLeast"/>
          <w:jc w:val="center"/>
        </w:trPr>
        <w:tc>
          <w:tcPr>
            <w:tcW w:w="851" w:type="dxa"/>
            <w:gridSpan w:val="2"/>
            <w:vMerge w:val="continue"/>
          </w:tcPr>
          <w:p w14:paraId="7544D062">
            <w:pPr>
              <w:spacing w:line="400" w:lineRule="exact"/>
              <w:rPr>
                <w:rFonts w:hint="eastAsia" w:ascii="宋体" w:hAnsi="宋体" w:eastAsia="宋体" w:cs="宋体"/>
                <w:sz w:val="21"/>
                <w:szCs w:val="21"/>
                <w:highlight w:val="none"/>
              </w:rPr>
            </w:pPr>
          </w:p>
        </w:tc>
        <w:tc>
          <w:tcPr>
            <w:tcW w:w="567" w:type="dxa"/>
            <w:vMerge w:val="continue"/>
          </w:tcPr>
          <w:p w14:paraId="04FAF845">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tcPr>
          <w:p w14:paraId="1E29D5B8">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snapToGrid w:val="0"/>
                <w:kern w:val="0"/>
                <w:sz w:val="21"/>
                <w:szCs w:val="21"/>
                <w:highlight w:val="none"/>
              </w:rPr>
              <w:t>竞标截止日</w:t>
            </w:r>
            <w:r>
              <w:rPr>
                <w:rFonts w:hint="eastAsia" w:ascii="宋体" w:hAnsi="宋体" w:eastAsia="宋体" w:cs="宋体"/>
                <w:sz w:val="21"/>
                <w:szCs w:val="21"/>
                <w:highlight w:val="none"/>
              </w:rPr>
              <w:t>竞标</w:t>
            </w:r>
            <w:r>
              <w:rPr>
                <w:rFonts w:hint="eastAsia" w:ascii="宋体" w:hAnsi="宋体" w:eastAsia="宋体" w:cs="宋体"/>
                <w:snapToGrid w:val="0"/>
                <w:kern w:val="0"/>
                <w:sz w:val="21"/>
                <w:szCs w:val="21"/>
                <w:highlight w:val="none"/>
              </w:rPr>
              <w:t>资格情况</w:t>
            </w:r>
          </w:p>
        </w:tc>
        <w:tc>
          <w:tcPr>
            <w:tcW w:w="5493" w:type="dxa"/>
            <w:vAlign w:val="center"/>
          </w:tcPr>
          <w:p w14:paraId="1F36D719">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符合第二章“竞标人须知”第1.4.1项规定</w:t>
            </w:r>
          </w:p>
        </w:tc>
      </w:tr>
      <w:tr w14:paraId="07E8E9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7DBD393">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2.1.2</w:t>
            </w:r>
          </w:p>
        </w:tc>
        <w:tc>
          <w:tcPr>
            <w:tcW w:w="567" w:type="dxa"/>
            <w:vMerge w:val="restart"/>
            <w:vAlign w:val="center"/>
          </w:tcPr>
          <w:p w14:paraId="0EC729FE">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形式评审标准</w:t>
            </w:r>
          </w:p>
        </w:tc>
        <w:tc>
          <w:tcPr>
            <w:tcW w:w="2559" w:type="dxa"/>
            <w:gridSpan w:val="3"/>
            <w:tcBorders>
              <w:top w:val="single" w:color="auto" w:sz="4" w:space="0"/>
              <w:bottom w:val="single" w:color="auto" w:sz="4" w:space="0"/>
            </w:tcBorders>
            <w:vAlign w:val="center"/>
          </w:tcPr>
          <w:p w14:paraId="02B08788">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竞标人名称</w:t>
            </w:r>
          </w:p>
        </w:tc>
        <w:tc>
          <w:tcPr>
            <w:tcW w:w="5493" w:type="dxa"/>
            <w:vAlign w:val="center"/>
          </w:tcPr>
          <w:p w14:paraId="26D7D561">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与营业执照、资质证书、安全生产许可证一致，依法变更名称的应提交相应证明材料。</w:t>
            </w:r>
          </w:p>
        </w:tc>
      </w:tr>
      <w:tr w14:paraId="698D14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786C00E">
            <w:pPr>
              <w:spacing w:line="400" w:lineRule="exact"/>
              <w:rPr>
                <w:rFonts w:hint="eastAsia" w:ascii="宋体" w:hAnsi="宋体" w:eastAsia="宋体" w:cs="宋体"/>
                <w:sz w:val="21"/>
                <w:szCs w:val="21"/>
                <w:highlight w:val="none"/>
              </w:rPr>
            </w:pPr>
          </w:p>
        </w:tc>
        <w:tc>
          <w:tcPr>
            <w:tcW w:w="567" w:type="dxa"/>
            <w:vMerge w:val="continue"/>
          </w:tcPr>
          <w:p w14:paraId="47B84754">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5DF89B9A">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竞标函签名盖章</w:t>
            </w:r>
          </w:p>
        </w:tc>
        <w:tc>
          <w:tcPr>
            <w:tcW w:w="5493" w:type="dxa"/>
            <w:vAlign w:val="center"/>
          </w:tcPr>
          <w:p w14:paraId="6DE9A356">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竞标函格式规定签名、盖章的位置有法定代表人或其委托代理人签名（或盖章）、加盖单位法人章。</w:t>
            </w:r>
          </w:p>
        </w:tc>
      </w:tr>
      <w:tr w14:paraId="1610E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CD2B5DA">
            <w:pPr>
              <w:spacing w:line="400" w:lineRule="exact"/>
              <w:rPr>
                <w:rFonts w:hint="eastAsia" w:ascii="宋体" w:hAnsi="宋体" w:eastAsia="宋体" w:cs="宋体"/>
                <w:sz w:val="21"/>
                <w:szCs w:val="21"/>
                <w:highlight w:val="none"/>
              </w:rPr>
            </w:pPr>
          </w:p>
        </w:tc>
        <w:tc>
          <w:tcPr>
            <w:tcW w:w="567" w:type="dxa"/>
            <w:vMerge w:val="continue"/>
          </w:tcPr>
          <w:p w14:paraId="77CFCD12">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44855861">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竞标文件格式</w:t>
            </w:r>
          </w:p>
        </w:tc>
        <w:tc>
          <w:tcPr>
            <w:tcW w:w="5493" w:type="dxa"/>
            <w:vAlign w:val="center"/>
          </w:tcPr>
          <w:p w14:paraId="2956FE7C">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符合第二章“竞标人须知”第3.7款的要求。</w:t>
            </w:r>
          </w:p>
        </w:tc>
      </w:tr>
      <w:tr w14:paraId="2E1459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4154F16">
            <w:pPr>
              <w:spacing w:line="400" w:lineRule="exact"/>
              <w:rPr>
                <w:rFonts w:hint="eastAsia" w:ascii="宋体" w:hAnsi="宋体" w:eastAsia="宋体" w:cs="宋体"/>
                <w:sz w:val="21"/>
                <w:szCs w:val="21"/>
                <w:highlight w:val="none"/>
              </w:rPr>
            </w:pPr>
          </w:p>
        </w:tc>
        <w:tc>
          <w:tcPr>
            <w:tcW w:w="567" w:type="dxa"/>
            <w:vMerge w:val="continue"/>
          </w:tcPr>
          <w:p w14:paraId="3F72DC4E">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53765493">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竞标文件份数</w:t>
            </w:r>
          </w:p>
        </w:tc>
        <w:tc>
          <w:tcPr>
            <w:tcW w:w="5493" w:type="dxa"/>
            <w:vAlign w:val="center"/>
          </w:tcPr>
          <w:p w14:paraId="3D909DDE">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符合第二章“竞标人须知”第3.7.4项规定。</w:t>
            </w:r>
          </w:p>
        </w:tc>
      </w:tr>
      <w:tr w14:paraId="042AB4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A26234">
            <w:pPr>
              <w:spacing w:line="400" w:lineRule="exact"/>
              <w:rPr>
                <w:rFonts w:hint="eastAsia" w:ascii="宋体" w:hAnsi="宋体" w:eastAsia="宋体" w:cs="宋体"/>
                <w:sz w:val="21"/>
                <w:szCs w:val="21"/>
                <w:highlight w:val="none"/>
              </w:rPr>
            </w:pPr>
          </w:p>
        </w:tc>
        <w:tc>
          <w:tcPr>
            <w:tcW w:w="567" w:type="dxa"/>
            <w:vMerge w:val="continue"/>
          </w:tcPr>
          <w:p w14:paraId="4810E8D5">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2A3ECE94">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报价唯一</w:t>
            </w:r>
          </w:p>
        </w:tc>
        <w:tc>
          <w:tcPr>
            <w:tcW w:w="5493" w:type="dxa"/>
            <w:vAlign w:val="center"/>
          </w:tcPr>
          <w:p w14:paraId="03A4F3BA">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只能有一个有效报价，在</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文件没有规定的情况下，不得提交选择性报价。</w:t>
            </w:r>
          </w:p>
        </w:tc>
      </w:tr>
      <w:tr w14:paraId="7B1089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24A7A6C">
            <w:pPr>
              <w:spacing w:line="400" w:lineRule="exact"/>
              <w:rPr>
                <w:rFonts w:hint="eastAsia" w:ascii="宋体" w:hAnsi="宋体" w:eastAsia="宋体" w:cs="宋体"/>
                <w:sz w:val="21"/>
                <w:szCs w:val="21"/>
                <w:highlight w:val="none"/>
              </w:rPr>
            </w:pPr>
          </w:p>
        </w:tc>
        <w:tc>
          <w:tcPr>
            <w:tcW w:w="567" w:type="dxa"/>
            <w:vMerge w:val="continue"/>
          </w:tcPr>
          <w:p w14:paraId="3AEE5CAF">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5A1195F9">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竞标文件的签署</w:t>
            </w:r>
          </w:p>
        </w:tc>
        <w:tc>
          <w:tcPr>
            <w:tcW w:w="5493" w:type="dxa"/>
            <w:vAlign w:val="center"/>
          </w:tcPr>
          <w:p w14:paraId="2A9F6B8B">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第八章 竞标文件格式要求法定代表人或其委托代理人签名（或盖章）的须齐全。</w:t>
            </w:r>
          </w:p>
        </w:tc>
      </w:tr>
      <w:tr w14:paraId="3D3292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D0D9571">
            <w:pPr>
              <w:spacing w:line="400" w:lineRule="exact"/>
              <w:rPr>
                <w:rFonts w:hint="eastAsia" w:ascii="宋体" w:hAnsi="宋体" w:eastAsia="宋体" w:cs="宋体"/>
                <w:sz w:val="21"/>
                <w:szCs w:val="21"/>
                <w:highlight w:val="none"/>
              </w:rPr>
            </w:pPr>
          </w:p>
        </w:tc>
        <w:tc>
          <w:tcPr>
            <w:tcW w:w="567" w:type="dxa"/>
            <w:vMerge w:val="continue"/>
          </w:tcPr>
          <w:p w14:paraId="0C65DEC0">
            <w:pPr>
              <w:spacing w:line="400" w:lineRule="exact"/>
              <w:rPr>
                <w:rFonts w:hint="eastAsia" w:ascii="宋体" w:hAnsi="宋体" w:eastAsia="宋体" w:cs="宋体"/>
                <w:sz w:val="21"/>
                <w:szCs w:val="21"/>
                <w:highlight w:val="none"/>
              </w:rPr>
            </w:pPr>
          </w:p>
        </w:tc>
        <w:tc>
          <w:tcPr>
            <w:tcW w:w="2559" w:type="dxa"/>
            <w:gridSpan w:val="3"/>
            <w:tcBorders>
              <w:top w:val="single" w:color="auto" w:sz="4" w:space="0"/>
              <w:bottom w:val="single" w:color="auto" w:sz="4" w:space="0"/>
            </w:tcBorders>
            <w:vAlign w:val="center"/>
          </w:tcPr>
          <w:p w14:paraId="7A260E01">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委托代理人</w:t>
            </w:r>
          </w:p>
        </w:tc>
        <w:tc>
          <w:tcPr>
            <w:tcW w:w="5493" w:type="dxa"/>
            <w:vAlign w:val="center"/>
          </w:tcPr>
          <w:p w14:paraId="78131DA4">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竞标人法定代表人的委托代理人有法定代表人签署的授权委托书。</w:t>
            </w:r>
          </w:p>
        </w:tc>
      </w:tr>
      <w:tr w14:paraId="6EF105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FEFE1A1">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2.1.3</w:t>
            </w:r>
          </w:p>
        </w:tc>
        <w:tc>
          <w:tcPr>
            <w:tcW w:w="567" w:type="dxa"/>
            <w:vMerge w:val="restart"/>
            <w:vAlign w:val="center"/>
          </w:tcPr>
          <w:p w14:paraId="44332014">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响应性评审标准</w:t>
            </w:r>
          </w:p>
        </w:tc>
        <w:tc>
          <w:tcPr>
            <w:tcW w:w="2559" w:type="dxa"/>
            <w:gridSpan w:val="3"/>
            <w:vAlign w:val="center"/>
          </w:tcPr>
          <w:p w14:paraId="60029DE1">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竞标总报价</w:t>
            </w:r>
          </w:p>
        </w:tc>
        <w:tc>
          <w:tcPr>
            <w:tcW w:w="5493" w:type="dxa"/>
            <w:vAlign w:val="center"/>
          </w:tcPr>
          <w:p w14:paraId="2893E4FA">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rPr>
              <w:t>竞标总报价必须与已标价工程量清单总报价一致。</w:t>
            </w:r>
          </w:p>
          <w:p w14:paraId="11F5C4E6">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2.竞标总报价不得高于</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人公布的竞标总报价最高限价。</w:t>
            </w:r>
          </w:p>
        </w:tc>
      </w:tr>
      <w:tr w14:paraId="125614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6DEFFA23">
            <w:pPr>
              <w:spacing w:line="400" w:lineRule="exact"/>
              <w:jc w:val="center"/>
              <w:rPr>
                <w:rFonts w:hint="eastAsia" w:ascii="宋体" w:hAnsi="宋体" w:eastAsia="宋体" w:cs="宋体"/>
                <w:kern w:val="0"/>
                <w:sz w:val="21"/>
                <w:szCs w:val="21"/>
                <w:highlight w:val="none"/>
              </w:rPr>
            </w:pPr>
          </w:p>
        </w:tc>
        <w:tc>
          <w:tcPr>
            <w:tcW w:w="567" w:type="dxa"/>
            <w:vMerge w:val="continue"/>
            <w:textDirection w:val="tbRlV"/>
            <w:vAlign w:val="center"/>
          </w:tcPr>
          <w:p w14:paraId="705BB723">
            <w:pPr>
              <w:spacing w:line="400" w:lineRule="exact"/>
              <w:jc w:val="center"/>
              <w:rPr>
                <w:rFonts w:hint="eastAsia" w:ascii="宋体" w:hAnsi="宋体" w:eastAsia="宋体" w:cs="宋体"/>
                <w:kern w:val="0"/>
                <w:sz w:val="21"/>
                <w:szCs w:val="21"/>
                <w:highlight w:val="none"/>
              </w:rPr>
            </w:pPr>
          </w:p>
        </w:tc>
        <w:tc>
          <w:tcPr>
            <w:tcW w:w="2559" w:type="dxa"/>
            <w:gridSpan w:val="3"/>
            <w:vAlign w:val="center"/>
          </w:tcPr>
          <w:p w14:paraId="3F4EAAE2">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竞标内容</w:t>
            </w:r>
          </w:p>
        </w:tc>
        <w:tc>
          <w:tcPr>
            <w:tcW w:w="5493" w:type="dxa"/>
            <w:vAlign w:val="center"/>
          </w:tcPr>
          <w:p w14:paraId="234F95EF">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符合第二章“竞标人须知”第1.3.1项规定</w:t>
            </w:r>
          </w:p>
        </w:tc>
      </w:tr>
      <w:tr w14:paraId="3AED6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F1E6C40">
            <w:pPr>
              <w:spacing w:line="400" w:lineRule="exact"/>
              <w:jc w:val="center"/>
              <w:rPr>
                <w:rFonts w:hint="eastAsia" w:ascii="宋体" w:hAnsi="宋体" w:eastAsia="宋体" w:cs="宋体"/>
                <w:sz w:val="21"/>
                <w:szCs w:val="21"/>
                <w:highlight w:val="none"/>
              </w:rPr>
            </w:pPr>
          </w:p>
        </w:tc>
        <w:tc>
          <w:tcPr>
            <w:tcW w:w="567" w:type="dxa"/>
            <w:vMerge w:val="continue"/>
          </w:tcPr>
          <w:p w14:paraId="33BC7E65">
            <w:pPr>
              <w:spacing w:line="400" w:lineRule="exact"/>
              <w:jc w:val="center"/>
              <w:rPr>
                <w:rFonts w:hint="eastAsia" w:ascii="宋体" w:hAnsi="宋体" w:eastAsia="宋体" w:cs="宋体"/>
                <w:sz w:val="21"/>
                <w:szCs w:val="21"/>
                <w:highlight w:val="none"/>
              </w:rPr>
            </w:pPr>
          </w:p>
        </w:tc>
        <w:tc>
          <w:tcPr>
            <w:tcW w:w="2559" w:type="dxa"/>
            <w:gridSpan w:val="3"/>
            <w:vAlign w:val="center"/>
          </w:tcPr>
          <w:p w14:paraId="259B03FD">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工期</w:t>
            </w:r>
          </w:p>
        </w:tc>
        <w:tc>
          <w:tcPr>
            <w:tcW w:w="5493" w:type="dxa"/>
            <w:vAlign w:val="center"/>
          </w:tcPr>
          <w:p w14:paraId="42028AD6">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符合第二章“竞标人须知”第1.3.2项规定</w:t>
            </w:r>
          </w:p>
        </w:tc>
      </w:tr>
      <w:tr w14:paraId="14C2E1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4CF0E35">
            <w:pPr>
              <w:spacing w:line="400" w:lineRule="exact"/>
              <w:jc w:val="center"/>
              <w:rPr>
                <w:rFonts w:hint="eastAsia" w:ascii="宋体" w:hAnsi="宋体" w:eastAsia="宋体" w:cs="宋体"/>
                <w:sz w:val="21"/>
                <w:szCs w:val="21"/>
                <w:highlight w:val="none"/>
              </w:rPr>
            </w:pPr>
          </w:p>
        </w:tc>
        <w:tc>
          <w:tcPr>
            <w:tcW w:w="567" w:type="dxa"/>
            <w:vMerge w:val="continue"/>
          </w:tcPr>
          <w:p w14:paraId="1A3CA616">
            <w:pPr>
              <w:spacing w:line="400" w:lineRule="exact"/>
              <w:jc w:val="center"/>
              <w:rPr>
                <w:rFonts w:hint="eastAsia" w:ascii="宋体" w:hAnsi="宋体" w:eastAsia="宋体" w:cs="宋体"/>
                <w:sz w:val="21"/>
                <w:szCs w:val="21"/>
                <w:highlight w:val="none"/>
              </w:rPr>
            </w:pPr>
          </w:p>
        </w:tc>
        <w:tc>
          <w:tcPr>
            <w:tcW w:w="2559" w:type="dxa"/>
            <w:gridSpan w:val="3"/>
            <w:vAlign w:val="center"/>
          </w:tcPr>
          <w:p w14:paraId="311115D8">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工程质量</w:t>
            </w:r>
          </w:p>
        </w:tc>
        <w:tc>
          <w:tcPr>
            <w:tcW w:w="5493" w:type="dxa"/>
            <w:vAlign w:val="center"/>
          </w:tcPr>
          <w:p w14:paraId="74589294">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符合第二章“竞标人须知”第1.3.3项规定</w:t>
            </w:r>
          </w:p>
        </w:tc>
      </w:tr>
      <w:tr w14:paraId="792F61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19FA8AC">
            <w:pPr>
              <w:spacing w:line="400" w:lineRule="exact"/>
              <w:jc w:val="center"/>
              <w:rPr>
                <w:rFonts w:hint="eastAsia" w:ascii="宋体" w:hAnsi="宋体" w:eastAsia="宋体" w:cs="宋体"/>
                <w:sz w:val="21"/>
                <w:szCs w:val="21"/>
                <w:highlight w:val="none"/>
              </w:rPr>
            </w:pPr>
          </w:p>
        </w:tc>
        <w:tc>
          <w:tcPr>
            <w:tcW w:w="567" w:type="dxa"/>
            <w:vMerge w:val="continue"/>
          </w:tcPr>
          <w:p w14:paraId="7472014A">
            <w:pPr>
              <w:spacing w:line="400" w:lineRule="exact"/>
              <w:jc w:val="center"/>
              <w:rPr>
                <w:rFonts w:hint="eastAsia" w:ascii="宋体" w:hAnsi="宋体" w:eastAsia="宋体" w:cs="宋体"/>
                <w:sz w:val="21"/>
                <w:szCs w:val="21"/>
                <w:highlight w:val="none"/>
              </w:rPr>
            </w:pPr>
          </w:p>
        </w:tc>
        <w:tc>
          <w:tcPr>
            <w:tcW w:w="2559" w:type="dxa"/>
            <w:gridSpan w:val="3"/>
            <w:vAlign w:val="center"/>
          </w:tcPr>
          <w:p w14:paraId="47F580AF">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竞标有效期</w:t>
            </w:r>
          </w:p>
        </w:tc>
        <w:tc>
          <w:tcPr>
            <w:tcW w:w="5493" w:type="dxa"/>
            <w:vAlign w:val="center"/>
          </w:tcPr>
          <w:p w14:paraId="5020EA28">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符合第二章“竞标人须知”第3.3.1项规定</w:t>
            </w:r>
          </w:p>
        </w:tc>
      </w:tr>
      <w:tr w14:paraId="60C48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2DB8A53">
            <w:pPr>
              <w:spacing w:line="400" w:lineRule="exact"/>
              <w:jc w:val="center"/>
              <w:rPr>
                <w:rFonts w:hint="eastAsia" w:ascii="宋体" w:hAnsi="宋体" w:eastAsia="宋体" w:cs="宋体"/>
                <w:sz w:val="21"/>
                <w:szCs w:val="21"/>
                <w:highlight w:val="none"/>
              </w:rPr>
            </w:pPr>
          </w:p>
        </w:tc>
        <w:tc>
          <w:tcPr>
            <w:tcW w:w="567" w:type="dxa"/>
            <w:vMerge w:val="continue"/>
          </w:tcPr>
          <w:p w14:paraId="22FFF5A2">
            <w:pPr>
              <w:spacing w:line="400" w:lineRule="exact"/>
              <w:jc w:val="center"/>
              <w:rPr>
                <w:rFonts w:hint="eastAsia" w:ascii="宋体" w:hAnsi="宋体" w:eastAsia="宋体" w:cs="宋体"/>
                <w:sz w:val="21"/>
                <w:szCs w:val="21"/>
                <w:highlight w:val="none"/>
              </w:rPr>
            </w:pPr>
          </w:p>
        </w:tc>
        <w:tc>
          <w:tcPr>
            <w:tcW w:w="2559" w:type="dxa"/>
            <w:gridSpan w:val="3"/>
            <w:vAlign w:val="center"/>
          </w:tcPr>
          <w:p w14:paraId="5ED00C99">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竞标保证金</w:t>
            </w:r>
          </w:p>
        </w:tc>
        <w:tc>
          <w:tcPr>
            <w:tcW w:w="5493" w:type="dxa"/>
            <w:vAlign w:val="center"/>
          </w:tcPr>
          <w:p w14:paraId="6E84195E">
            <w:pPr>
              <w:tabs>
                <w:tab w:val="left" w:pos="601"/>
                <w:tab w:val="left" w:pos="669"/>
              </w:tabs>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符合第二章竞标人须知前附表第3.4款规定</w:t>
            </w:r>
          </w:p>
        </w:tc>
      </w:tr>
      <w:tr w14:paraId="7ED55F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6D0FAE7">
            <w:pPr>
              <w:spacing w:line="400" w:lineRule="exact"/>
              <w:jc w:val="center"/>
              <w:rPr>
                <w:rFonts w:hint="eastAsia" w:ascii="宋体" w:hAnsi="宋体" w:eastAsia="宋体" w:cs="宋体"/>
                <w:sz w:val="21"/>
                <w:szCs w:val="21"/>
                <w:highlight w:val="none"/>
              </w:rPr>
            </w:pPr>
          </w:p>
        </w:tc>
        <w:tc>
          <w:tcPr>
            <w:tcW w:w="567" w:type="dxa"/>
            <w:vMerge w:val="continue"/>
          </w:tcPr>
          <w:p w14:paraId="4013D878">
            <w:pPr>
              <w:spacing w:line="400" w:lineRule="exact"/>
              <w:jc w:val="center"/>
              <w:rPr>
                <w:rFonts w:hint="eastAsia" w:ascii="宋体" w:hAnsi="宋体" w:eastAsia="宋体" w:cs="宋体"/>
                <w:sz w:val="21"/>
                <w:szCs w:val="21"/>
                <w:highlight w:val="none"/>
              </w:rPr>
            </w:pPr>
          </w:p>
        </w:tc>
        <w:tc>
          <w:tcPr>
            <w:tcW w:w="2559" w:type="dxa"/>
            <w:gridSpan w:val="3"/>
            <w:vAlign w:val="center"/>
          </w:tcPr>
          <w:p w14:paraId="29ED12FB">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权利义务</w:t>
            </w:r>
          </w:p>
        </w:tc>
        <w:tc>
          <w:tcPr>
            <w:tcW w:w="5493" w:type="dxa"/>
            <w:vAlign w:val="center"/>
          </w:tcPr>
          <w:p w14:paraId="6DD2A57D">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符合第四章“合同条款及格式”规定，竞标文件不应附有</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人不能接受的条件。（由竞标人承诺，承诺书格式详见第八章竞标文件格式。）</w:t>
            </w:r>
          </w:p>
        </w:tc>
      </w:tr>
      <w:tr w14:paraId="6C6DB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14D7886">
            <w:pPr>
              <w:spacing w:line="400" w:lineRule="exact"/>
              <w:jc w:val="center"/>
              <w:rPr>
                <w:rFonts w:hint="eastAsia" w:ascii="宋体" w:hAnsi="宋体" w:eastAsia="宋体" w:cs="宋体"/>
                <w:sz w:val="21"/>
                <w:szCs w:val="21"/>
                <w:highlight w:val="none"/>
              </w:rPr>
            </w:pPr>
          </w:p>
        </w:tc>
        <w:tc>
          <w:tcPr>
            <w:tcW w:w="567" w:type="dxa"/>
            <w:vMerge w:val="continue"/>
          </w:tcPr>
          <w:p w14:paraId="594DCE37">
            <w:pPr>
              <w:spacing w:line="400" w:lineRule="exact"/>
              <w:jc w:val="center"/>
              <w:rPr>
                <w:rFonts w:hint="eastAsia" w:ascii="宋体" w:hAnsi="宋体" w:eastAsia="宋体" w:cs="宋体"/>
                <w:sz w:val="21"/>
                <w:szCs w:val="21"/>
                <w:highlight w:val="none"/>
              </w:rPr>
            </w:pPr>
          </w:p>
        </w:tc>
        <w:tc>
          <w:tcPr>
            <w:tcW w:w="2559" w:type="dxa"/>
            <w:gridSpan w:val="3"/>
            <w:vAlign w:val="center"/>
          </w:tcPr>
          <w:p w14:paraId="5E76F9FA">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技术标准和要求</w:t>
            </w:r>
          </w:p>
        </w:tc>
        <w:tc>
          <w:tcPr>
            <w:tcW w:w="5493" w:type="dxa"/>
            <w:vAlign w:val="center"/>
          </w:tcPr>
          <w:p w14:paraId="1D7904E5">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符合第七章“技术标准和要求”规定。（由竞标人承诺，承诺书格式详见第八章竞标文件格式。）</w:t>
            </w:r>
          </w:p>
        </w:tc>
      </w:tr>
      <w:tr w14:paraId="5E5E8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AC93372">
            <w:pPr>
              <w:spacing w:line="400" w:lineRule="exact"/>
              <w:jc w:val="center"/>
              <w:rPr>
                <w:rFonts w:hint="eastAsia" w:ascii="宋体" w:hAnsi="宋体" w:eastAsia="宋体" w:cs="宋体"/>
                <w:sz w:val="21"/>
                <w:szCs w:val="21"/>
                <w:highlight w:val="none"/>
              </w:rPr>
            </w:pPr>
          </w:p>
        </w:tc>
        <w:tc>
          <w:tcPr>
            <w:tcW w:w="567" w:type="dxa"/>
            <w:vMerge w:val="continue"/>
            <w:vAlign w:val="center"/>
          </w:tcPr>
          <w:p w14:paraId="60C7E767">
            <w:pPr>
              <w:spacing w:line="400" w:lineRule="exact"/>
              <w:jc w:val="center"/>
              <w:rPr>
                <w:rFonts w:hint="eastAsia" w:ascii="宋体" w:hAnsi="宋体" w:eastAsia="宋体" w:cs="宋体"/>
                <w:sz w:val="21"/>
                <w:szCs w:val="21"/>
                <w:highlight w:val="none"/>
              </w:rPr>
            </w:pPr>
          </w:p>
        </w:tc>
        <w:tc>
          <w:tcPr>
            <w:tcW w:w="2559" w:type="dxa"/>
            <w:gridSpan w:val="3"/>
            <w:vAlign w:val="center"/>
          </w:tcPr>
          <w:p w14:paraId="37CD93BE">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已标价工程量清单</w:t>
            </w:r>
          </w:p>
        </w:tc>
        <w:tc>
          <w:tcPr>
            <w:tcW w:w="5493" w:type="dxa"/>
            <w:vAlign w:val="center"/>
          </w:tcPr>
          <w:p w14:paraId="29E1CADF">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1.竞标人</w:t>
            </w:r>
            <w:r>
              <w:rPr>
                <w:rFonts w:hint="eastAsia" w:ascii="宋体" w:hAnsi="宋体" w:eastAsia="宋体" w:cs="宋体"/>
                <w:sz w:val="21"/>
                <w:szCs w:val="21"/>
                <w:highlight w:val="none"/>
              </w:rPr>
              <w:t>应当按招标工程量清单填报价格。项目编码、项目名称、项目特征、计量单位、工程量应当与招标工程量清单一致</w:t>
            </w:r>
            <w:r>
              <w:rPr>
                <w:rFonts w:hint="eastAsia" w:ascii="宋体" w:hAnsi="宋体" w:eastAsia="宋体" w:cs="宋体"/>
                <w:kern w:val="0"/>
                <w:sz w:val="21"/>
                <w:szCs w:val="21"/>
                <w:highlight w:val="none"/>
              </w:rPr>
              <w:t>。</w:t>
            </w:r>
          </w:p>
          <w:p w14:paraId="679BABF7">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2.每项清单综合单价报价不得高于每项清单综合单价最高限价。</w:t>
            </w:r>
          </w:p>
        </w:tc>
      </w:tr>
      <w:tr w14:paraId="588E77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BFA74C8">
            <w:pPr>
              <w:spacing w:line="400" w:lineRule="exact"/>
              <w:rPr>
                <w:rFonts w:hint="eastAsia" w:ascii="宋体" w:hAnsi="宋体" w:eastAsia="宋体" w:cs="宋体"/>
                <w:sz w:val="21"/>
                <w:szCs w:val="21"/>
                <w:highlight w:val="none"/>
              </w:rPr>
            </w:pPr>
          </w:p>
        </w:tc>
        <w:tc>
          <w:tcPr>
            <w:tcW w:w="567" w:type="dxa"/>
            <w:vMerge w:val="continue"/>
          </w:tcPr>
          <w:p w14:paraId="02BEAB1B">
            <w:pPr>
              <w:spacing w:line="400" w:lineRule="exact"/>
              <w:rPr>
                <w:rFonts w:hint="eastAsia" w:ascii="宋体" w:hAnsi="宋体" w:eastAsia="宋体" w:cs="宋体"/>
                <w:sz w:val="21"/>
                <w:szCs w:val="21"/>
                <w:highlight w:val="none"/>
              </w:rPr>
            </w:pPr>
          </w:p>
        </w:tc>
        <w:tc>
          <w:tcPr>
            <w:tcW w:w="2559" w:type="dxa"/>
            <w:gridSpan w:val="3"/>
            <w:vAlign w:val="center"/>
          </w:tcPr>
          <w:p w14:paraId="6FE0A12E">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竞标报价算术错误修正</w:t>
            </w:r>
          </w:p>
        </w:tc>
        <w:tc>
          <w:tcPr>
            <w:tcW w:w="5493" w:type="dxa"/>
            <w:vAlign w:val="center"/>
          </w:tcPr>
          <w:p w14:paraId="478F66CA">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符合第三章3.</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程序第3.1.3项规定。</w:t>
            </w:r>
          </w:p>
        </w:tc>
      </w:tr>
      <w:tr w14:paraId="6CCFB5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1D2FDD4">
            <w:pPr>
              <w:spacing w:line="400" w:lineRule="exact"/>
              <w:rPr>
                <w:rFonts w:hint="eastAsia" w:ascii="宋体" w:hAnsi="宋体" w:eastAsia="宋体" w:cs="宋体"/>
                <w:sz w:val="21"/>
                <w:szCs w:val="21"/>
                <w:highlight w:val="none"/>
              </w:rPr>
            </w:pPr>
          </w:p>
        </w:tc>
        <w:tc>
          <w:tcPr>
            <w:tcW w:w="567" w:type="dxa"/>
            <w:vMerge w:val="continue"/>
          </w:tcPr>
          <w:p w14:paraId="419EDB38">
            <w:pPr>
              <w:spacing w:line="400" w:lineRule="exact"/>
              <w:rPr>
                <w:rFonts w:hint="eastAsia" w:ascii="宋体" w:hAnsi="宋体" w:eastAsia="宋体" w:cs="宋体"/>
                <w:sz w:val="21"/>
                <w:szCs w:val="21"/>
                <w:highlight w:val="none"/>
              </w:rPr>
            </w:pPr>
          </w:p>
        </w:tc>
        <w:tc>
          <w:tcPr>
            <w:tcW w:w="2559" w:type="dxa"/>
            <w:gridSpan w:val="3"/>
            <w:vAlign w:val="center"/>
          </w:tcPr>
          <w:p w14:paraId="08D3E252">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实质性要求</w:t>
            </w:r>
          </w:p>
        </w:tc>
        <w:tc>
          <w:tcPr>
            <w:tcW w:w="5493" w:type="dxa"/>
            <w:vAlign w:val="center"/>
          </w:tcPr>
          <w:p w14:paraId="53FDD7A6">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符合第二章“竞标人须知”第1.4.3项规定。</w:t>
            </w:r>
          </w:p>
          <w:p w14:paraId="46AF369A">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本次竞标不得有串通竞标、弄虚作假等其他违反招投标相关法律、法规行为。</w:t>
            </w:r>
          </w:p>
          <w:p w14:paraId="6F66AC2E">
            <w:pPr>
              <w:spacing w:after="62" w:afterLines="20"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要求澄清、说明或补正。</w:t>
            </w:r>
          </w:p>
        </w:tc>
      </w:tr>
      <w:tr w14:paraId="518AEB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AF20D50">
            <w:pPr>
              <w:spacing w:line="400" w:lineRule="exact"/>
              <w:ind w:firstLine="210" w:firstLineChars="10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2.2.1</w:t>
            </w:r>
          </w:p>
        </w:tc>
        <w:tc>
          <w:tcPr>
            <w:tcW w:w="2559" w:type="dxa"/>
            <w:gridSpan w:val="3"/>
            <w:vAlign w:val="center"/>
          </w:tcPr>
          <w:p w14:paraId="6B90CEFF">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分值构成 （总分100分）</w:t>
            </w:r>
          </w:p>
        </w:tc>
        <w:tc>
          <w:tcPr>
            <w:tcW w:w="5493" w:type="dxa"/>
            <w:vAlign w:val="center"/>
          </w:tcPr>
          <w:p w14:paraId="652052C5">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1.技术部分</w:t>
            </w:r>
            <w:r>
              <w:rPr>
                <w:rFonts w:hint="eastAsia" w:ascii="宋体" w:hAnsi="宋体" w:eastAsia="宋体" w:cs="宋体"/>
                <w:kern w:val="0"/>
                <w:sz w:val="21"/>
                <w:szCs w:val="21"/>
                <w:highlight w:val="none"/>
                <w:u w:val="single"/>
              </w:rPr>
              <w:t>30</w:t>
            </w:r>
            <w:r>
              <w:rPr>
                <w:rFonts w:hint="eastAsia" w:ascii="宋体" w:hAnsi="宋体" w:eastAsia="宋体" w:cs="宋体"/>
                <w:kern w:val="0"/>
                <w:sz w:val="21"/>
                <w:szCs w:val="21"/>
                <w:highlight w:val="none"/>
              </w:rPr>
              <w:t>分；</w:t>
            </w:r>
          </w:p>
          <w:p w14:paraId="58C58708">
            <w:pPr>
              <w:snapToGrid w:val="0"/>
              <w:spacing w:line="400" w:lineRule="exact"/>
              <w:ind w:firstLine="420" w:firstLineChars="200"/>
              <w:rPr>
                <w:rFonts w:hint="eastAsia" w:ascii="宋体" w:hAnsi="宋体" w:eastAsia="宋体" w:cs="宋体"/>
                <w:i/>
                <w:kern w:val="0"/>
                <w:sz w:val="21"/>
                <w:szCs w:val="21"/>
                <w:highlight w:val="none"/>
              </w:rPr>
            </w:pPr>
            <w:r>
              <w:rPr>
                <w:rFonts w:hint="eastAsia" w:ascii="宋体" w:hAnsi="宋体" w:eastAsia="宋体" w:cs="宋体"/>
                <w:kern w:val="0"/>
                <w:sz w:val="21"/>
                <w:szCs w:val="21"/>
                <w:highlight w:val="none"/>
              </w:rPr>
              <w:t>2.竞标总报价</w:t>
            </w:r>
            <w:r>
              <w:rPr>
                <w:rFonts w:hint="eastAsia" w:ascii="宋体" w:hAnsi="宋体" w:eastAsia="宋体" w:cs="宋体"/>
                <w:kern w:val="0"/>
                <w:sz w:val="21"/>
                <w:szCs w:val="21"/>
                <w:highlight w:val="none"/>
                <w:u w:val="single"/>
              </w:rPr>
              <w:t>70</w:t>
            </w:r>
            <w:r>
              <w:rPr>
                <w:rFonts w:hint="eastAsia" w:ascii="宋体" w:hAnsi="宋体" w:eastAsia="宋体" w:cs="宋体"/>
                <w:kern w:val="0"/>
                <w:sz w:val="21"/>
                <w:szCs w:val="21"/>
                <w:highlight w:val="none"/>
              </w:rPr>
              <w:t>分。</w:t>
            </w:r>
          </w:p>
        </w:tc>
      </w:tr>
      <w:tr w14:paraId="1AE50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280A3E93">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2.2.2</w:t>
            </w:r>
          </w:p>
        </w:tc>
        <w:tc>
          <w:tcPr>
            <w:tcW w:w="585" w:type="dxa"/>
            <w:gridSpan w:val="2"/>
            <w:vMerge w:val="restart"/>
            <w:tcBorders>
              <w:left w:val="single" w:color="auto" w:sz="4" w:space="0"/>
            </w:tcBorders>
            <w:vAlign w:val="center"/>
          </w:tcPr>
          <w:p w14:paraId="2A7C298A">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技术部分评分标准</w:t>
            </w:r>
          </w:p>
        </w:tc>
        <w:tc>
          <w:tcPr>
            <w:tcW w:w="568" w:type="dxa"/>
            <w:vMerge w:val="restart"/>
            <w:tcBorders>
              <w:right w:val="single" w:color="auto" w:sz="4" w:space="0"/>
            </w:tcBorders>
            <w:vAlign w:val="center"/>
          </w:tcPr>
          <w:p w14:paraId="3EE21F81">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w:t>
            </w:r>
          </w:p>
          <w:p w14:paraId="5BD11C69">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术</w:t>
            </w:r>
          </w:p>
          <w:p w14:paraId="7267D8A6">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w:t>
            </w:r>
          </w:p>
          <w:p w14:paraId="2299D829">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案</w:t>
            </w:r>
          </w:p>
          <w:p w14:paraId="1C733031">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w:t>
            </w:r>
          </w:p>
          <w:p w14:paraId="3611138E">
            <w:pPr>
              <w:tabs>
                <w:tab w:val="left" w:pos="1875"/>
              </w:tabs>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审</w:t>
            </w:r>
          </w:p>
        </w:tc>
        <w:tc>
          <w:tcPr>
            <w:tcW w:w="1991" w:type="dxa"/>
            <w:gridSpan w:val="2"/>
            <w:tcBorders>
              <w:left w:val="single" w:color="auto" w:sz="4" w:space="0"/>
            </w:tcBorders>
            <w:vAlign w:val="center"/>
          </w:tcPr>
          <w:p w14:paraId="0AB73D22">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内容完整性和编制水平</w:t>
            </w:r>
          </w:p>
        </w:tc>
        <w:tc>
          <w:tcPr>
            <w:tcW w:w="5493" w:type="dxa"/>
            <w:vAlign w:val="center"/>
          </w:tcPr>
          <w:p w14:paraId="079E82AF">
            <w:pPr>
              <w:snapToGrid w:val="0"/>
              <w:spacing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0-4</w:t>
            </w:r>
            <w:r>
              <w:rPr>
                <w:rFonts w:hint="eastAsia" w:ascii="宋体" w:hAnsi="宋体" w:eastAsia="宋体" w:cs="宋体"/>
                <w:sz w:val="21"/>
                <w:szCs w:val="21"/>
                <w:highlight w:val="none"/>
              </w:rPr>
              <w:t>分。 编制要点：内容齐全，符合相关规定，语言简明、准确、规范。</w:t>
            </w:r>
          </w:p>
        </w:tc>
      </w:tr>
      <w:tr w14:paraId="02265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FBBEF61">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002C5284">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1AA1733B">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46A40254">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施工方案与技术措施</w:t>
            </w:r>
          </w:p>
        </w:tc>
        <w:tc>
          <w:tcPr>
            <w:tcW w:w="5493" w:type="dxa"/>
            <w:vAlign w:val="center"/>
          </w:tcPr>
          <w:p w14:paraId="2A06D928">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0-4</w:t>
            </w:r>
            <w:r>
              <w:rPr>
                <w:rFonts w:hint="eastAsia" w:ascii="宋体" w:hAnsi="宋体" w:eastAsia="宋体" w:cs="宋体"/>
                <w:sz w:val="21"/>
                <w:szCs w:val="21"/>
                <w:highlight w:val="none"/>
              </w:rPr>
              <w:t>分。编制要点：施工组织设计、规程措施针对性强，便于施工，施工技术适用性强。</w:t>
            </w:r>
          </w:p>
        </w:tc>
      </w:tr>
      <w:tr w14:paraId="4C500A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B5A86CC">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1F343932">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064B25DC">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2506A75C">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质量管理体系与措施</w:t>
            </w:r>
          </w:p>
        </w:tc>
        <w:tc>
          <w:tcPr>
            <w:tcW w:w="5493" w:type="dxa"/>
            <w:vAlign w:val="center"/>
          </w:tcPr>
          <w:p w14:paraId="4579F16C">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0-5</w:t>
            </w:r>
            <w:r>
              <w:rPr>
                <w:rFonts w:hint="eastAsia" w:ascii="宋体" w:hAnsi="宋体" w:eastAsia="宋体" w:cs="宋体"/>
                <w:sz w:val="21"/>
                <w:szCs w:val="21"/>
                <w:highlight w:val="none"/>
              </w:rPr>
              <w:t>分。编制要点：施工质量保证体系和质量检查监督机构健全，并有有效的控制措施和手段。</w:t>
            </w:r>
          </w:p>
        </w:tc>
      </w:tr>
      <w:tr w14:paraId="66B65C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0F0B455">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6F5E9C60">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00C6EB32">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720274B7">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安全管理体系与措施</w:t>
            </w:r>
          </w:p>
        </w:tc>
        <w:tc>
          <w:tcPr>
            <w:tcW w:w="5493" w:type="dxa"/>
            <w:vAlign w:val="center"/>
          </w:tcPr>
          <w:p w14:paraId="7CE76E8F">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0-5</w:t>
            </w:r>
            <w:r>
              <w:rPr>
                <w:rFonts w:hint="eastAsia" w:ascii="宋体" w:hAnsi="宋体" w:eastAsia="宋体" w:cs="宋体"/>
                <w:sz w:val="21"/>
                <w:szCs w:val="21"/>
                <w:highlight w:val="none"/>
              </w:rPr>
              <w:t>分。编制要点：建立了施工安全保障体系，施工现场管理人员安全生产职责明确、施工安全保证目标明确，针对工程特点、周边环境和施工工艺，确定危险源并制定具体的防护措施。</w:t>
            </w:r>
          </w:p>
        </w:tc>
      </w:tr>
      <w:tr w14:paraId="5167C2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B39B19B">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378EFD99">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79475433">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13E226FE">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环境保护管理体系措施</w:t>
            </w:r>
          </w:p>
        </w:tc>
        <w:tc>
          <w:tcPr>
            <w:tcW w:w="5493" w:type="dxa"/>
            <w:vAlign w:val="center"/>
          </w:tcPr>
          <w:p w14:paraId="5443AA53">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0-4</w:t>
            </w:r>
            <w:r>
              <w:rPr>
                <w:rFonts w:hint="eastAsia" w:ascii="宋体" w:hAnsi="宋体" w:eastAsia="宋体" w:cs="宋体"/>
                <w:sz w:val="21"/>
                <w:szCs w:val="21"/>
                <w:highlight w:val="none"/>
              </w:rPr>
              <w:t>分。编制要点：对废弃物的管理和处理措施妥当，对施工车辆有效控制。</w:t>
            </w:r>
          </w:p>
        </w:tc>
      </w:tr>
      <w:tr w14:paraId="79CF73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DE177FE">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6E66EC60">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22ABCBE7">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0A34272C">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工程进度计划与措施</w:t>
            </w:r>
          </w:p>
        </w:tc>
        <w:tc>
          <w:tcPr>
            <w:tcW w:w="5493" w:type="dxa"/>
            <w:vAlign w:val="center"/>
          </w:tcPr>
          <w:p w14:paraId="1E6F8F03">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0-4</w:t>
            </w:r>
            <w:r>
              <w:rPr>
                <w:rFonts w:hint="eastAsia" w:ascii="宋体" w:hAnsi="宋体" w:eastAsia="宋体" w:cs="宋体"/>
                <w:sz w:val="21"/>
                <w:szCs w:val="21"/>
                <w:highlight w:val="none"/>
              </w:rPr>
              <w:t>分。编制要点：具备有效的进度控制计划、赶工方案，雨季专项施工方案。</w:t>
            </w:r>
          </w:p>
        </w:tc>
      </w:tr>
      <w:tr w14:paraId="76B85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AE9DEBF">
            <w:pPr>
              <w:spacing w:line="400" w:lineRule="exact"/>
              <w:ind w:firstLine="210" w:firstLineChars="100"/>
              <w:jc w:val="center"/>
              <w:rPr>
                <w:rFonts w:hint="eastAsia" w:ascii="宋体" w:hAnsi="宋体" w:eastAsia="宋体" w:cs="宋体"/>
                <w:kern w:val="0"/>
                <w:sz w:val="21"/>
                <w:szCs w:val="21"/>
                <w:highlight w:val="none"/>
              </w:rPr>
            </w:pPr>
          </w:p>
        </w:tc>
        <w:tc>
          <w:tcPr>
            <w:tcW w:w="585" w:type="dxa"/>
            <w:gridSpan w:val="2"/>
            <w:vMerge w:val="continue"/>
            <w:tcBorders>
              <w:left w:val="single" w:color="auto" w:sz="4" w:space="0"/>
            </w:tcBorders>
            <w:vAlign w:val="center"/>
          </w:tcPr>
          <w:p w14:paraId="072325A9">
            <w:pPr>
              <w:spacing w:line="400" w:lineRule="exact"/>
              <w:ind w:firstLine="210" w:firstLineChars="100"/>
              <w:jc w:val="center"/>
              <w:rPr>
                <w:rFonts w:hint="eastAsia" w:ascii="宋体" w:hAnsi="宋体" w:eastAsia="宋体" w:cs="宋体"/>
                <w:kern w:val="0"/>
                <w:sz w:val="21"/>
                <w:szCs w:val="21"/>
                <w:highlight w:val="none"/>
              </w:rPr>
            </w:pPr>
          </w:p>
        </w:tc>
        <w:tc>
          <w:tcPr>
            <w:tcW w:w="568" w:type="dxa"/>
            <w:vMerge w:val="continue"/>
            <w:tcBorders>
              <w:right w:val="single" w:color="auto" w:sz="4" w:space="0"/>
            </w:tcBorders>
            <w:vAlign w:val="center"/>
          </w:tcPr>
          <w:p w14:paraId="72C1CC1A">
            <w:pPr>
              <w:tabs>
                <w:tab w:val="left" w:pos="1875"/>
              </w:tabs>
              <w:spacing w:line="400" w:lineRule="exact"/>
              <w:jc w:val="left"/>
              <w:rPr>
                <w:rFonts w:hint="eastAsia" w:ascii="宋体" w:hAnsi="宋体" w:eastAsia="宋体" w:cs="宋体"/>
                <w:kern w:val="0"/>
                <w:sz w:val="21"/>
                <w:szCs w:val="21"/>
                <w:highlight w:val="none"/>
              </w:rPr>
            </w:pPr>
          </w:p>
        </w:tc>
        <w:tc>
          <w:tcPr>
            <w:tcW w:w="1991" w:type="dxa"/>
            <w:gridSpan w:val="2"/>
            <w:tcBorders>
              <w:left w:val="single" w:color="auto" w:sz="4" w:space="0"/>
            </w:tcBorders>
            <w:vAlign w:val="center"/>
          </w:tcPr>
          <w:p w14:paraId="6183F60B">
            <w:pPr>
              <w:tabs>
                <w:tab w:val="left" w:pos="1875"/>
              </w:tabs>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资源配备计划与先进性</w:t>
            </w:r>
          </w:p>
        </w:tc>
        <w:tc>
          <w:tcPr>
            <w:tcW w:w="5493" w:type="dxa"/>
            <w:vAlign w:val="center"/>
          </w:tcPr>
          <w:p w14:paraId="1FA7F65D">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0-4</w:t>
            </w:r>
            <w:r>
              <w:rPr>
                <w:rFonts w:hint="eastAsia" w:ascii="宋体" w:hAnsi="宋体" w:eastAsia="宋体" w:cs="宋体"/>
                <w:sz w:val="21"/>
                <w:szCs w:val="21"/>
                <w:highlight w:val="none"/>
              </w:rPr>
              <w:t>分。 编制要点：施工设备、材料和人力能保证施工顺畅，有备用计划。</w:t>
            </w:r>
          </w:p>
        </w:tc>
      </w:tr>
      <w:tr w14:paraId="17B42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F1FC6A9">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2.2.3</w:t>
            </w:r>
          </w:p>
        </w:tc>
        <w:tc>
          <w:tcPr>
            <w:tcW w:w="2113" w:type="dxa"/>
            <w:gridSpan w:val="3"/>
            <w:vAlign w:val="center"/>
          </w:tcPr>
          <w:p w14:paraId="2B6D0C60">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基准价计算方法</w:t>
            </w:r>
          </w:p>
        </w:tc>
        <w:tc>
          <w:tcPr>
            <w:tcW w:w="1013" w:type="dxa"/>
            <w:vAlign w:val="center"/>
          </w:tcPr>
          <w:p w14:paraId="5D19DB75">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竞标总报价</w:t>
            </w:r>
          </w:p>
        </w:tc>
        <w:tc>
          <w:tcPr>
            <w:tcW w:w="5493" w:type="dxa"/>
          </w:tcPr>
          <w:p w14:paraId="0418CF28">
            <w:pPr>
              <w:snapToGrid w:val="0"/>
              <w:spacing w:line="400" w:lineRule="exact"/>
              <w:ind w:firstLine="420" w:firstLineChars="200"/>
              <w:rPr>
                <w:rFonts w:hint="eastAsia" w:ascii="宋体" w:hAnsi="宋体" w:eastAsia="宋体" w:cs="宋体"/>
                <w:i/>
                <w:kern w:val="0"/>
                <w:sz w:val="21"/>
                <w:szCs w:val="21"/>
                <w:highlight w:val="none"/>
              </w:rPr>
            </w:pPr>
            <w:r>
              <w:rPr>
                <w:rFonts w:hint="eastAsia" w:ascii="宋体" w:hAnsi="宋体" w:eastAsia="宋体" w:cs="宋体"/>
                <w:kern w:val="0"/>
                <w:sz w:val="21"/>
                <w:szCs w:val="21"/>
                <w:highlight w:val="none"/>
              </w:rPr>
              <w:t>所有通过初步评审合格的竞标人</w:t>
            </w:r>
            <w:r>
              <w:rPr>
                <w:rFonts w:hint="eastAsia" w:ascii="宋体" w:hAnsi="宋体" w:eastAsia="宋体" w:cs="宋体"/>
                <w:sz w:val="21"/>
                <w:szCs w:val="21"/>
                <w:highlight w:val="none"/>
              </w:rPr>
              <w:t>的竞标总报价</w:t>
            </w:r>
            <w:r>
              <w:rPr>
                <w:rFonts w:hint="eastAsia" w:ascii="宋体" w:hAnsi="宋体" w:eastAsia="宋体" w:cs="宋体"/>
                <w:kern w:val="0"/>
                <w:sz w:val="21"/>
                <w:szCs w:val="21"/>
                <w:highlight w:val="none"/>
              </w:rPr>
              <w:t>中去掉六分之一（不能整除的按小数点前整数取整，不足六家报价则不去掉）的最低价和相同家数的最高价后的算术平均值，即为本项目的竞标总报价的</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w:t>
            </w:r>
          </w:p>
          <w:p w14:paraId="151DFDDA">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基准价计算的最终结果取小数点后两位，第三位四舍五入。</w:t>
            </w:r>
          </w:p>
          <w:p w14:paraId="4A5D1800">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基准价计算完成后（除计算错误外），在后续的评审中不得再对其做出调整。</w:t>
            </w:r>
          </w:p>
        </w:tc>
      </w:tr>
      <w:tr w14:paraId="2F1DA3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Merge w:val="restart"/>
            <w:vAlign w:val="center"/>
          </w:tcPr>
          <w:p w14:paraId="5A9F1D33">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w:t>
            </w:r>
          </w:p>
          <w:p w14:paraId="42BB3224">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126" w:type="dxa"/>
            <w:gridSpan w:val="4"/>
            <w:vMerge w:val="restart"/>
            <w:vAlign w:val="center"/>
          </w:tcPr>
          <w:p w14:paraId="709DDF25">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允许偏差率</w:t>
            </w:r>
          </w:p>
        </w:tc>
        <w:tc>
          <w:tcPr>
            <w:tcW w:w="5493" w:type="dxa"/>
            <w:vAlign w:val="center"/>
          </w:tcPr>
          <w:p w14:paraId="3A2C6832">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竞标总报价的偏差率计算公式</w:t>
            </w:r>
          </w:p>
          <w:p w14:paraId="5A667694">
            <w:pPr>
              <w:spacing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偏差率=100％×（竞标人报价一</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基准价）／</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基准价</w:t>
            </w:r>
          </w:p>
          <w:p w14:paraId="2938E3F2">
            <w:pPr>
              <w:spacing w:line="400" w:lineRule="exact"/>
              <w:ind w:firstLine="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偏差率计算的最终结果取小数点后两位，小数点后第三位“四舍五入”。</w:t>
            </w:r>
          </w:p>
        </w:tc>
      </w:tr>
      <w:tr w14:paraId="0542C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Merge w:val="continue"/>
            <w:vAlign w:val="center"/>
          </w:tcPr>
          <w:p w14:paraId="2BF5C3BA">
            <w:pPr>
              <w:spacing w:line="400" w:lineRule="exact"/>
              <w:jc w:val="center"/>
              <w:rPr>
                <w:rFonts w:hint="eastAsia" w:ascii="宋体" w:hAnsi="宋体" w:eastAsia="宋体" w:cs="宋体"/>
                <w:kern w:val="0"/>
                <w:sz w:val="21"/>
                <w:szCs w:val="21"/>
                <w:highlight w:val="none"/>
              </w:rPr>
            </w:pPr>
          </w:p>
        </w:tc>
        <w:tc>
          <w:tcPr>
            <w:tcW w:w="3126" w:type="dxa"/>
            <w:gridSpan w:val="4"/>
            <w:vMerge w:val="continue"/>
            <w:vAlign w:val="center"/>
          </w:tcPr>
          <w:p w14:paraId="1A029E6D">
            <w:pPr>
              <w:spacing w:line="400" w:lineRule="exact"/>
              <w:jc w:val="center"/>
              <w:rPr>
                <w:rFonts w:hint="eastAsia" w:ascii="宋体" w:hAnsi="宋体" w:eastAsia="宋体" w:cs="宋体"/>
                <w:kern w:val="0"/>
                <w:sz w:val="21"/>
                <w:szCs w:val="21"/>
                <w:highlight w:val="none"/>
              </w:rPr>
            </w:pPr>
          </w:p>
        </w:tc>
        <w:tc>
          <w:tcPr>
            <w:tcW w:w="5493" w:type="dxa"/>
            <w:vAlign w:val="center"/>
          </w:tcPr>
          <w:p w14:paraId="1CAE272B">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本项目竞标总报价允许偏差范围为：</w:t>
            </w:r>
          </w:p>
          <w:p w14:paraId="649319DD">
            <w:pPr>
              <w:snapToGrid w:val="0"/>
              <w:spacing w:line="400" w:lineRule="exact"/>
              <w:ind w:firstLine="420" w:firstLineChars="200"/>
              <w:jc w:val="left"/>
              <w:rPr>
                <w:rFonts w:hint="eastAsia" w:ascii="宋体" w:hAnsi="宋体" w:eastAsia="宋体" w:cs="宋体"/>
                <w:i/>
                <w:kern w:val="0"/>
                <w:sz w:val="21"/>
                <w:szCs w:val="21"/>
                <w:highlight w:val="none"/>
              </w:rPr>
            </w:pPr>
            <w:r>
              <w:rPr>
                <w:rFonts w:hint="eastAsia" w:ascii="宋体" w:hAnsi="宋体" w:eastAsia="宋体" w:cs="宋体"/>
                <w:kern w:val="0"/>
                <w:sz w:val="21"/>
                <w:szCs w:val="21"/>
                <w:highlight w:val="none"/>
              </w:rPr>
              <w:t>不设偏差范围。</w:t>
            </w:r>
          </w:p>
        </w:tc>
      </w:tr>
      <w:tr w14:paraId="1872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31A3BFAA">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w:t>
            </w:r>
          </w:p>
          <w:p w14:paraId="1E4BD412">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126" w:type="dxa"/>
            <w:gridSpan w:val="4"/>
            <w:vAlign w:val="center"/>
          </w:tcPr>
          <w:p w14:paraId="6995E7D2">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竞标总报价的允许偏差范围</w:t>
            </w:r>
          </w:p>
        </w:tc>
        <w:tc>
          <w:tcPr>
            <w:tcW w:w="5493" w:type="dxa"/>
            <w:vAlign w:val="center"/>
          </w:tcPr>
          <w:p w14:paraId="1CBFB08B">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w:t>
            </w:r>
          </w:p>
        </w:tc>
      </w:tr>
      <w:tr w14:paraId="059791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38373896">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w:t>
            </w:r>
          </w:p>
        </w:tc>
        <w:tc>
          <w:tcPr>
            <w:tcW w:w="1135" w:type="dxa"/>
            <w:gridSpan w:val="2"/>
            <w:vAlign w:val="center"/>
          </w:tcPr>
          <w:p w14:paraId="12BA4AA9">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评标</w:t>
            </w:r>
            <w:r>
              <w:rPr>
                <w:rFonts w:hint="eastAsia" w:ascii="宋体" w:hAnsi="宋体" w:eastAsia="宋体" w:cs="宋体"/>
                <w:sz w:val="21"/>
                <w:szCs w:val="21"/>
                <w:highlight w:val="none"/>
              </w:rPr>
              <w:t>程序</w:t>
            </w:r>
          </w:p>
        </w:tc>
        <w:tc>
          <w:tcPr>
            <w:tcW w:w="7484" w:type="dxa"/>
            <w:gridSpan w:val="3"/>
          </w:tcPr>
          <w:p w14:paraId="6D6B90D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1.按本章</w:t>
            </w:r>
            <w:r>
              <w:rPr>
                <w:rFonts w:hint="eastAsia" w:ascii="宋体" w:hAnsi="宋体" w:eastAsia="宋体" w:cs="宋体"/>
                <w:kern w:val="0"/>
                <w:sz w:val="21"/>
                <w:szCs w:val="21"/>
                <w:highlight w:val="none"/>
                <w:lang w:val="en-US" w:eastAsia="zh-CN"/>
              </w:rPr>
              <w:t>评标</w:t>
            </w:r>
            <w:r>
              <w:rPr>
                <w:rFonts w:hint="eastAsia" w:ascii="宋体" w:hAnsi="宋体" w:eastAsia="宋体" w:cs="宋体"/>
                <w:sz w:val="21"/>
                <w:szCs w:val="21"/>
                <w:highlight w:val="none"/>
              </w:rPr>
              <w:t>办法第3.1款进行初步评审。未通过初步评审或</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认定为无效的竞标文件的不再进行后续评审。</w:t>
            </w:r>
          </w:p>
          <w:p w14:paraId="39EEAE4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2.按本章</w:t>
            </w:r>
            <w:r>
              <w:rPr>
                <w:rFonts w:hint="eastAsia" w:ascii="宋体" w:hAnsi="宋体" w:eastAsia="宋体" w:cs="宋体"/>
                <w:kern w:val="0"/>
                <w:sz w:val="21"/>
                <w:szCs w:val="21"/>
                <w:highlight w:val="none"/>
                <w:lang w:val="en-US" w:eastAsia="zh-CN"/>
              </w:rPr>
              <w:t>评标</w:t>
            </w:r>
            <w:r>
              <w:rPr>
                <w:rFonts w:hint="eastAsia" w:ascii="宋体" w:hAnsi="宋体" w:eastAsia="宋体" w:cs="宋体"/>
                <w:sz w:val="21"/>
                <w:szCs w:val="21"/>
                <w:highlight w:val="none"/>
              </w:rPr>
              <w:t>办法前附表第2.2.2项及第3.2.1（1）目的规定对技术部分进行评审。</w:t>
            </w:r>
          </w:p>
          <w:p w14:paraId="0818FDE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3.因</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作否决竞标处理导致有效竞标人不足三个的，</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应当否决所有竞标。但是有效竞标人的经济、技术等指标仍然具有市场竞争力，能够满足竞标报价要求的，</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可以继续</w:t>
            </w:r>
            <w:r>
              <w:rPr>
                <w:rFonts w:hint="eastAsia" w:ascii="宋体" w:hAnsi="宋体" w:eastAsia="宋体" w:cs="宋体"/>
                <w:kern w:val="0"/>
                <w:sz w:val="21"/>
                <w:szCs w:val="21"/>
                <w:highlight w:val="none"/>
                <w:lang w:val="en-US" w:eastAsia="zh-CN"/>
              </w:rPr>
              <w:t>评标</w:t>
            </w:r>
            <w:r>
              <w:rPr>
                <w:rFonts w:hint="eastAsia" w:ascii="宋体" w:hAnsi="宋体" w:eastAsia="宋体" w:cs="宋体"/>
                <w:sz w:val="21"/>
                <w:szCs w:val="21"/>
                <w:highlight w:val="none"/>
              </w:rPr>
              <w:t>并确定</w:t>
            </w:r>
            <w:r>
              <w:rPr>
                <w:rFonts w:hint="eastAsia" w:ascii="宋体" w:hAnsi="宋体" w:eastAsia="宋体" w:cs="宋体"/>
                <w:sz w:val="21"/>
                <w:szCs w:val="21"/>
                <w:highlight w:val="none"/>
                <w:lang w:eastAsia="zh-CN"/>
              </w:rPr>
              <w:t>中选</w:t>
            </w:r>
            <w:r>
              <w:rPr>
                <w:rFonts w:hint="eastAsia" w:ascii="宋体" w:hAnsi="宋体" w:eastAsia="宋体" w:cs="宋体"/>
                <w:sz w:val="21"/>
                <w:szCs w:val="21"/>
                <w:highlight w:val="none"/>
              </w:rPr>
              <w:t>候选人。</w:t>
            </w:r>
          </w:p>
          <w:p w14:paraId="0755682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4.对初步评审合格的竞标人按照本章第2.2.3项计算方法计算</w:t>
            </w:r>
            <w:r>
              <w:rPr>
                <w:rFonts w:hint="eastAsia" w:ascii="宋体" w:hAnsi="宋体" w:eastAsia="宋体" w:cs="宋体"/>
                <w:kern w:val="0"/>
                <w:sz w:val="21"/>
                <w:szCs w:val="21"/>
                <w:highlight w:val="none"/>
                <w:lang w:val="en-US" w:eastAsia="zh-CN"/>
              </w:rPr>
              <w:t>评标</w:t>
            </w:r>
            <w:r>
              <w:rPr>
                <w:rFonts w:hint="eastAsia" w:ascii="宋体" w:hAnsi="宋体" w:eastAsia="宋体" w:cs="宋体"/>
                <w:sz w:val="21"/>
                <w:szCs w:val="21"/>
                <w:highlight w:val="none"/>
              </w:rPr>
              <w:t>基准价，并按本附表第3.2.1（2）目规定的评分方法对竞标总报价进行评分。</w:t>
            </w:r>
          </w:p>
          <w:p w14:paraId="17AF9AF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5.对技术部分、竞标总报价得分进行汇总，确定得分由高至低前三名竞标人为</w:t>
            </w:r>
            <w:r>
              <w:rPr>
                <w:rFonts w:hint="eastAsia" w:ascii="宋体" w:hAnsi="宋体" w:eastAsia="宋体" w:cs="宋体"/>
                <w:sz w:val="21"/>
                <w:szCs w:val="21"/>
                <w:highlight w:val="none"/>
                <w:lang w:eastAsia="zh-CN"/>
              </w:rPr>
              <w:t>中选</w:t>
            </w:r>
            <w:r>
              <w:rPr>
                <w:rFonts w:hint="eastAsia" w:ascii="宋体" w:hAnsi="宋体" w:eastAsia="宋体" w:cs="宋体"/>
                <w:sz w:val="21"/>
                <w:szCs w:val="21"/>
                <w:highlight w:val="none"/>
              </w:rPr>
              <w:t>候选人。</w:t>
            </w:r>
          </w:p>
        </w:tc>
      </w:tr>
      <w:tr w14:paraId="570B03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3CD3D294">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3.2.1</w:t>
            </w:r>
          </w:p>
          <w:p w14:paraId="7D056DD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35" w:type="dxa"/>
            <w:gridSpan w:val="2"/>
            <w:vMerge w:val="restart"/>
            <w:vAlign w:val="center"/>
          </w:tcPr>
          <w:p w14:paraId="299B1C6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kern w:val="0"/>
                <w:sz w:val="21"/>
                <w:szCs w:val="21"/>
                <w:highlight w:val="none"/>
              </w:rPr>
              <w:t>得分</w:t>
            </w:r>
            <w:r>
              <w:rPr>
                <w:rFonts w:hint="eastAsia" w:ascii="宋体" w:hAnsi="宋体" w:eastAsia="宋体" w:cs="宋体"/>
                <w:spacing w:val="-4"/>
                <w:sz w:val="21"/>
                <w:szCs w:val="21"/>
                <w:highlight w:val="none"/>
              </w:rPr>
              <w:t>（A）</w:t>
            </w:r>
          </w:p>
        </w:tc>
        <w:tc>
          <w:tcPr>
            <w:tcW w:w="1991" w:type="dxa"/>
            <w:gridSpan w:val="2"/>
            <w:tcBorders>
              <w:bottom w:val="single" w:color="auto" w:sz="4" w:space="0"/>
            </w:tcBorders>
            <w:vAlign w:val="center"/>
          </w:tcPr>
          <w:p w14:paraId="27E0C469">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内容完整性和编制水平</w:t>
            </w:r>
          </w:p>
        </w:tc>
        <w:tc>
          <w:tcPr>
            <w:tcW w:w="5493" w:type="dxa"/>
            <w:vMerge w:val="restart"/>
            <w:vAlign w:val="center"/>
          </w:tcPr>
          <w:p w14:paraId="7255B3EA">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不符合第二章竞标人须知前附表第3.7.5项要求的，技术方案得0分。</w:t>
            </w:r>
          </w:p>
          <w:p w14:paraId="1DBC90A8">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评标委员会</w:t>
            </w:r>
            <w:r>
              <w:rPr>
                <w:rFonts w:hint="eastAsia" w:ascii="宋体" w:hAnsi="宋体" w:eastAsia="宋体" w:cs="宋体"/>
                <w:sz w:val="21"/>
                <w:szCs w:val="21"/>
                <w:highlight w:val="none"/>
              </w:rPr>
              <w:t>按第2.2.2项各评审因素设定的分值评分。</w:t>
            </w:r>
          </w:p>
          <w:p w14:paraId="2E5B3CF0">
            <w:pPr>
              <w:spacing w:line="400" w:lineRule="exact"/>
              <w:ind w:firstLine="420" w:firstLineChars="200"/>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所有评委打分取算术平均值为该竞标人技术方案得分。</w:t>
            </w:r>
          </w:p>
          <w:p w14:paraId="4EC55CCB">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技术方案得分的最终结果取小数点后两位，第三位四舍五入。</w:t>
            </w:r>
          </w:p>
        </w:tc>
      </w:tr>
      <w:tr w14:paraId="48A896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350DA024">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7B5FED38">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71B5A7E9">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施工方案与技术措施</w:t>
            </w:r>
          </w:p>
        </w:tc>
        <w:tc>
          <w:tcPr>
            <w:tcW w:w="5493" w:type="dxa"/>
            <w:vMerge w:val="continue"/>
            <w:vAlign w:val="center"/>
          </w:tcPr>
          <w:p w14:paraId="1A31C9F8">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131CF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729ED623">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24E6ABE0">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51B33640">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质量管理体系与措施</w:t>
            </w:r>
          </w:p>
        </w:tc>
        <w:tc>
          <w:tcPr>
            <w:tcW w:w="5493" w:type="dxa"/>
            <w:vMerge w:val="continue"/>
            <w:vAlign w:val="center"/>
          </w:tcPr>
          <w:p w14:paraId="108361C1">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02E540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537831B4">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13C87371">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6BC7D0C6">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安全管理体系与措施</w:t>
            </w:r>
          </w:p>
        </w:tc>
        <w:tc>
          <w:tcPr>
            <w:tcW w:w="5493" w:type="dxa"/>
            <w:vMerge w:val="continue"/>
            <w:vAlign w:val="center"/>
          </w:tcPr>
          <w:p w14:paraId="47A711FA">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3621C1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0F5E4740">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0D479D97">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2DFF41F4">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环境保护管理体系措施</w:t>
            </w:r>
          </w:p>
        </w:tc>
        <w:tc>
          <w:tcPr>
            <w:tcW w:w="5493" w:type="dxa"/>
            <w:vMerge w:val="continue"/>
            <w:vAlign w:val="center"/>
          </w:tcPr>
          <w:p w14:paraId="5C955491">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4DEE40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360BDA24">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6508BACF">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46345207">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工程进度计划与措施</w:t>
            </w:r>
          </w:p>
        </w:tc>
        <w:tc>
          <w:tcPr>
            <w:tcW w:w="5493" w:type="dxa"/>
            <w:vMerge w:val="continue"/>
            <w:vAlign w:val="center"/>
          </w:tcPr>
          <w:p w14:paraId="22B58717">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589633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5D291105">
            <w:pPr>
              <w:spacing w:line="400" w:lineRule="exact"/>
              <w:jc w:val="center"/>
              <w:rPr>
                <w:rFonts w:hint="eastAsia" w:ascii="宋体" w:hAnsi="宋体" w:eastAsia="宋体" w:cs="宋体"/>
                <w:sz w:val="21"/>
                <w:szCs w:val="21"/>
                <w:highlight w:val="none"/>
              </w:rPr>
            </w:pPr>
          </w:p>
        </w:tc>
        <w:tc>
          <w:tcPr>
            <w:tcW w:w="1135" w:type="dxa"/>
            <w:gridSpan w:val="2"/>
            <w:vMerge w:val="continue"/>
            <w:vAlign w:val="center"/>
          </w:tcPr>
          <w:p w14:paraId="01F632B8">
            <w:pPr>
              <w:spacing w:line="400" w:lineRule="exact"/>
              <w:jc w:val="center"/>
              <w:rPr>
                <w:rFonts w:hint="eastAsia" w:ascii="宋体" w:hAnsi="宋体" w:eastAsia="宋体" w:cs="宋体"/>
                <w:sz w:val="21"/>
                <w:szCs w:val="21"/>
                <w:highlight w:val="none"/>
              </w:rPr>
            </w:pPr>
          </w:p>
        </w:tc>
        <w:tc>
          <w:tcPr>
            <w:tcW w:w="1991" w:type="dxa"/>
            <w:gridSpan w:val="2"/>
            <w:tcBorders>
              <w:top w:val="single" w:color="auto" w:sz="4" w:space="0"/>
              <w:bottom w:val="single" w:color="auto" w:sz="4" w:space="0"/>
            </w:tcBorders>
            <w:vAlign w:val="center"/>
          </w:tcPr>
          <w:p w14:paraId="54F25AEA">
            <w:pPr>
              <w:spacing w:line="400" w:lineRule="exact"/>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资源配备计划与先进性</w:t>
            </w:r>
          </w:p>
        </w:tc>
        <w:tc>
          <w:tcPr>
            <w:tcW w:w="5493" w:type="dxa"/>
            <w:vMerge w:val="continue"/>
            <w:vAlign w:val="center"/>
          </w:tcPr>
          <w:p w14:paraId="1AE73FAA">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p>
        </w:tc>
      </w:tr>
      <w:tr w14:paraId="77A92A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277F58F7">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3.2.1（2）</w:t>
            </w:r>
          </w:p>
        </w:tc>
        <w:tc>
          <w:tcPr>
            <w:tcW w:w="1135" w:type="dxa"/>
            <w:gridSpan w:val="2"/>
            <w:vAlign w:val="center"/>
          </w:tcPr>
          <w:p w14:paraId="2CECE48F">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竞标报价</w:t>
            </w:r>
            <w:r>
              <w:rPr>
                <w:rFonts w:hint="eastAsia" w:ascii="宋体" w:hAnsi="宋体" w:eastAsia="宋体" w:cs="宋体"/>
                <w:kern w:val="0"/>
                <w:sz w:val="21"/>
                <w:szCs w:val="21"/>
                <w:highlight w:val="none"/>
              </w:rPr>
              <w:t>得分</w:t>
            </w:r>
            <w:r>
              <w:rPr>
                <w:rFonts w:hint="eastAsia" w:ascii="宋体" w:hAnsi="宋体" w:eastAsia="宋体" w:cs="宋体"/>
                <w:spacing w:val="-8"/>
                <w:sz w:val="21"/>
                <w:szCs w:val="21"/>
                <w:highlight w:val="none"/>
              </w:rPr>
              <w:t>（B）</w:t>
            </w:r>
          </w:p>
        </w:tc>
        <w:tc>
          <w:tcPr>
            <w:tcW w:w="1991" w:type="dxa"/>
            <w:gridSpan w:val="2"/>
            <w:tcBorders>
              <w:top w:val="single" w:color="auto" w:sz="4" w:space="0"/>
            </w:tcBorders>
            <w:vAlign w:val="center"/>
          </w:tcPr>
          <w:p w14:paraId="10E1A898">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竞标总报价</w:t>
            </w:r>
          </w:p>
        </w:tc>
        <w:tc>
          <w:tcPr>
            <w:tcW w:w="5493" w:type="dxa"/>
            <w:vAlign w:val="center"/>
          </w:tcPr>
          <w:p w14:paraId="55D6C86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不设置允许偏差范围或</w:t>
            </w:r>
            <w:r>
              <w:rPr>
                <w:rFonts w:hint="eastAsia" w:ascii="宋体" w:hAnsi="宋体" w:eastAsia="宋体" w:cs="宋体"/>
                <w:sz w:val="21"/>
                <w:szCs w:val="21"/>
                <w:highlight w:val="none"/>
              </w:rPr>
              <w:t>竞标总报价偏差在允许范围内的（含上、下限值），得</w:t>
            </w:r>
            <w:r>
              <w:rPr>
                <w:rFonts w:hint="eastAsia" w:ascii="宋体" w:hAnsi="宋体" w:eastAsia="宋体" w:cs="宋体"/>
                <w:bCs/>
                <w:sz w:val="21"/>
                <w:szCs w:val="21"/>
                <w:highlight w:val="none"/>
              </w:rPr>
              <w:t>本附表第2.2.1项规定分值的满分</w:t>
            </w:r>
            <w:r>
              <w:rPr>
                <w:rFonts w:hint="eastAsia" w:ascii="宋体" w:hAnsi="宋体" w:eastAsia="宋体" w:cs="宋体"/>
                <w:bCs/>
                <w:sz w:val="21"/>
                <w:szCs w:val="21"/>
                <w:highlight w:val="none"/>
                <w:u w:val="single"/>
              </w:rPr>
              <w:t>70</w:t>
            </w:r>
            <w:r>
              <w:rPr>
                <w:rFonts w:hint="eastAsia" w:ascii="宋体" w:hAnsi="宋体" w:eastAsia="宋体" w:cs="宋体"/>
                <w:sz w:val="21"/>
                <w:szCs w:val="21"/>
                <w:highlight w:val="none"/>
              </w:rPr>
              <w:t>分。在此基础上，竞标总报价与</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基准价相比，每增加1%扣</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分，每减少1%扣</w:t>
            </w:r>
            <w:r>
              <w:rPr>
                <w:rFonts w:hint="eastAsia" w:ascii="宋体" w:hAnsi="宋体" w:eastAsia="宋体" w:cs="宋体"/>
                <w:sz w:val="21"/>
                <w:szCs w:val="21"/>
                <w:highlight w:val="none"/>
                <w:u w:val="single"/>
              </w:rPr>
              <w:t>0.5</w:t>
            </w:r>
            <w:r>
              <w:rPr>
                <w:rFonts w:hint="eastAsia" w:ascii="宋体" w:hAnsi="宋体" w:eastAsia="宋体" w:cs="宋体"/>
                <w:sz w:val="21"/>
                <w:szCs w:val="21"/>
                <w:highlight w:val="none"/>
              </w:rPr>
              <w:t>分，扣完为止。</w:t>
            </w:r>
          </w:p>
          <w:p w14:paraId="3A64382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按插入法计算得分。</w:t>
            </w:r>
          </w:p>
          <w:p w14:paraId="76F2CD6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在偏差范围内，未参与</w:t>
            </w:r>
            <w:r>
              <w:rPr>
                <w:rFonts w:hint="eastAsia" w:ascii="宋体" w:hAnsi="宋体" w:eastAsia="宋体" w:cs="宋体"/>
                <w:kern w:val="0"/>
                <w:sz w:val="21"/>
                <w:szCs w:val="21"/>
                <w:highlight w:val="none"/>
                <w:lang w:val="en-US" w:eastAsia="zh-CN"/>
              </w:rPr>
              <w:t>评标</w:t>
            </w:r>
            <w:r>
              <w:rPr>
                <w:rFonts w:hint="eastAsia" w:ascii="宋体" w:hAnsi="宋体" w:eastAsia="宋体" w:cs="宋体"/>
                <w:sz w:val="21"/>
                <w:szCs w:val="21"/>
                <w:highlight w:val="none"/>
              </w:rPr>
              <w:t>基准价计算的竞标报价，仍应参加计算相应分值。</w:t>
            </w:r>
          </w:p>
          <w:p w14:paraId="102BE9DE">
            <w:pPr>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竞标总报价得分最终结果取小数点后两位，第三位四舍五入。</w:t>
            </w:r>
          </w:p>
        </w:tc>
      </w:tr>
      <w:tr w14:paraId="1DEACC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E3CB38C">
            <w:pPr>
              <w:spacing w:line="400" w:lineRule="exact"/>
              <w:ind w:firstLine="18" w:firstLineChars="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3.2.3</w:t>
            </w:r>
          </w:p>
        </w:tc>
        <w:tc>
          <w:tcPr>
            <w:tcW w:w="1991" w:type="dxa"/>
            <w:gridSpan w:val="2"/>
            <w:vAlign w:val="center"/>
          </w:tcPr>
          <w:p w14:paraId="4C844E05">
            <w:pPr>
              <w:spacing w:line="400" w:lineRule="exact"/>
              <w:ind w:firstLine="18" w:firstLineChars="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竞标人得分</w:t>
            </w:r>
          </w:p>
        </w:tc>
        <w:tc>
          <w:tcPr>
            <w:tcW w:w="5493" w:type="dxa"/>
            <w:vAlign w:val="center"/>
          </w:tcPr>
          <w:p w14:paraId="0CF25A7B">
            <w:pPr>
              <w:spacing w:line="400" w:lineRule="exact"/>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竞标人得分=A+B</w:t>
            </w:r>
          </w:p>
        </w:tc>
      </w:tr>
    </w:tbl>
    <w:p w14:paraId="55494724">
      <w:pPr>
        <w:bidi w:val="0"/>
        <w:spacing w:line="240" w:lineRule="auto"/>
        <w:rPr>
          <w:rFonts w:hint="eastAsia" w:ascii="宋体" w:hAnsi="宋体" w:eastAsia="宋体" w:cs="宋体"/>
          <w:sz w:val="21"/>
          <w:szCs w:val="21"/>
        </w:rPr>
      </w:pPr>
    </w:p>
    <w:p w14:paraId="20EB7DF5">
      <w:pPr>
        <w:pStyle w:val="2"/>
        <w:rPr>
          <w:rFonts w:hint="eastAsia" w:ascii="宋体" w:hAnsi="宋体" w:eastAsia="宋体" w:cs="宋体"/>
          <w:sz w:val="21"/>
          <w:szCs w:val="21"/>
        </w:rPr>
      </w:pPr>
    </w:p>
    <w:p w14:paraId="19B0C027">
      <w:pPr>
        <w:rPr>
          <w:rFonts w:hint="eastAsia" w:ascii="宋体" w:hAnsi="宋体" w:eastAsia="宋体" w:cs="宋体"/>
          <w:sz w:val="21"/>
          <w:szCs w:val="21"/>
        </w:rPr>
      </w:pPr>
    </w:p>
    <w:p w14:paraId="6A021697">
      <w:pPr>
        <w:pStyle w:val="2"/>
        <w:rPr>
          <w:rFonts w:hint="eastAsia" w:ascii="宋体" w:hAnsi="宋体" w:eastAsia="宋体" w:cs="宋体"/>
          <w:sz w:val="21"/>
          <w:szCs w:val="21"/>
        </w:rPr>
      </w:pPr>
    </w:p>
    <w:p w14:paraId="5950288D">
      <w:pPr>
        <w:bidi w:val="0"/>
        <w:spacing w:line="240" w:lineRule="auto"/>
        <w:rPr>
          <w:rFonts w:hint="eastAsia" w:ascii="宋体" w:hAnsi="宋体" w:eastAsia="宋体" w:cs="宋体"/>
          <w:sz w:val="21"/>
          <w:szCs w:val="21"/>
        </w:rPr>
      </w:pPr>
    </w:p>
    <w:p w14:paraId="2077BFD6">
      <w:pPr>
        <w:pStyle w:val="2"/>
        <w:rPr>
          <w:rFonts w:hint="eastAsia" w:ascii="宋体" w:hAnsi="宋体" w:eastAsia="宋体" w:cs="宋体"/>
          <w:sz w:val="21"/>
          <w:szCs w:val="21"/>
        </w:rPr>
      </w:pPr>
    </w:p>
    <w:p w14:paraId="0AB581C1">
      <w:pPr>
        <w:rPr>
          <w:rFonts w:hint="eastAsia" w:ascii="宋体" w:hAnsi="宋体" w:eastAsia="宋体" w:cs="宋体"/>
          <w:sz w:val="21"/>
          <w:szCs w:val="21"/>
        </w:rPr>
      </w:pPr>
    </w:p>
    <w:p w14:paraId="2540EE87">
      <w:pPr>
        <w:pStyle w:val="2"/>
        <w:rPr>
          <w:rFonts w:hint="eastAsia" w:ascii="宋体" w:hAnsi="宋体" w:eastAsia="宋体" w:cs="宋体"/>
          <w:sz w:val="21"/>
          <w:szCs w:val="21"/>
        </w:rPr>
      </w:pPr>
    </w:p>
    <w:p w14:paraId="5A2A53F8">
      <w:pPr>
        <w:rPr>
          <w:rFonts w:hint="eastAsia" w:ascii="宋体" w:hAnsi="宋体" w:eastAsia="宋体" w:cs="宋体"/>
          <w:sz w:val="21"/>
          <w:szCs w:val="21"/>
        </w:rPr>
      </w:pPr>
    </w:p>
    <w:p w14:paraId="7F7074A1">
      <w:pPr>
        <w:pStyle w:val="2"/>
        <w:rPr>
          <w:rFonts w:hint="eastAsia" w:ascii="宋体" w:hAnsi="宋体" w:eastAsia="宋体" w:cs="宋体"/>
          <w:sz w:val="21"/>
          <w:szCs w:val="21"/>
        </w:rPr>
      </w:pPr>
    </w:p>
    <w:p w14:paraId="4CA58143">
      <w:pPr>
        <w:rPr>
          <w:rFonts w:hint="eastAsia"/>
        </w:rPr>
      </w:pPr>
    </w:p>
    <w:p w14:paraId="6288573E">
      <w:pPr>
        <w:pStyle w:val="2"/>
        <w:rPr>
          <w:rFonts w:hint="eastAsia" w:ascii="宋体" w:hAnsi="宋体" w:eastAsia="宋体" w:cs="宋体"/>
          <w:sz w:val="21"/>
          <w:szCs w:val="21"/>
        </w:rPr>
      </w:pPr>
    </w:p>
    <w:p w14:paraId="10B81D94">
      <w:pPr>
        <w:rPr>
          <w:rFonts w:hint="eastAsia"/>
        </w:rPr>
      </w:pPr>
    </w:p>
    <w:p w14:paraId="0CC1404A">
      <w:pPr>
        <w:rPr>
          <w:rFonts w:hint="eastAsia" w:ascii="宋体" w:hAnsi="宋体" w:eastAsia="宋体" w:cs="宋体"/>
          <w:sz w:val="21"/>
          <w:szCs w:val="21"/>
        </w:rPr>
      </w:pPr>
    </w:p>
    <w:p w14:paraId="0AFB366F">
      <w:pPr>
        <w:pStyle w:val="2"/>
        <w:rPr>
          <w:rFonts w:hint="eastAsia" w:ascii="宋体" w:hAnsi="宋体" w:eastAsia="宋体" w:cs="宋体"/>
          <w:sz w:val="21"/>
          <w:szCs w:val="21"/>
        </w:rPr>
      </w:pPr>
    </w:p>
    <w:p w14:paraId="5E8D3579">
      <w:pPr>
        <w:rPr>
          <w:rFonts w:hint="eastAsia" w:ascii="宋体" w:hAnsi="宋体" w:eastAsia="宋体" w:cs="宋体"/>
          <w:sz w:val="21"/>
          <w:szCs w:val="21"/>
        </w:rPr>
      </w:pPr>
    </w:p>
    <w:p w14:paraId="464AEF32">
      <w:pPr>
        <w:pStyle w:val="2"/>
        <w:rPr>
          <w:rFonts w:hint="eastAsia" w:ascii="宋体" w:hAnsi="宋体" w:eastAsia="宋体" w:cs="宋体"/>
          <w:sz w:val="21"/>
          <w:szCs w:val="21"/>
        </w:rPr>
      </w:pPr>
    </w:p>
    <w:p w14:paraId="593BCB93">
      <w:pPr>
        <w:rPr>
          <w:rFonts w:hint="eastAsia" w:ascii="宋体" w:hAnsi="宋体" w:eastAsia="宋体" w:cs="宋体"/>
          <w:sz w:val="21"/>
          <w:szCs w:val="21"/>
        </w:rPr>
      </w:pPr>
    </w:p>
    <w:p w14:paraId="77745DF2">
      <w:pPr>
        <w:bidi w:val="0"/>
        <w:rPr>
          <w:rFonts w:hint="eastAsia" w:ascii="宋体" w:hAnsi="宋体" w:eastAsia="宋体" w:cs="宋体"/>
          <w:sz w:val="21"/>
          <w:szCs w:val="21"/>
        </w:rPr>
      </w:pPr>
    </w:p>
    <w:bookmarkEnd w:id="392"/>
    <w:bookmarkEnd w:id="393"/>
    <w:bookmarkEnd w:id="394"/>
    <w:bookmarkEnd w:id="395"/>
    <w:p w14:paraId="55F8B4DD">
      <w:pPr>
        <w:pStyle w:val="4"/>
        <w:spacing w:before="0" w:after="0" w:line="360" w:lineRule="auto"/>
        <w:rPr>
          <w:rFonts w:hint="eastAsia" w:ascii="宋体" w:hAnsi="宋体" w:eastAsia="宋体" w:cs="宋体"/>
          <w:b w:val="0"/>
          <w:snapToGrid w:val="0"/>
          <w:sz w:val="21"/>
          <w:szCs w:val="21"/>
          <w:highlight w:val="none"/>
        </w:rPr>
      </w:pPr>
      <w:bookmarkStart w:id="399" w:name="_Toc57905897"/>
      <w:bookmarkStart w:id="400" w:name="_Toc2957"/>
      <w:bookmarkStart w:id="401" w:name="_Toc104554754"/>
      <w:r>
        <w:rPr>
          <w:rFonts w:hint="eastAsia" w:ascii="宋体" w:hAnsi="宋体" w:eastAsia="宋体" w:cs="宋体"/>
          <w:b w:val="0"/>
          <w:snapToGrid w:val="0"/>
          <w:sz w:val="21"/>
          <w:szCs w:val="21"/>
          <w:highlight w:val="none"/>
        </w:rPr>
        <w:t xml:space="preserve">1.  </w:t>
      </w:r>
      <w:r>
        <w:rPr>
          <w:rFonts w:hint="eastAsia" w:ascii="宋体" w:hAnsi="宋体" w:eastAsia="宋体" w:cs="宋体"/>
          <w:kern w:val="0"/>
          <w:sz w:val="21"/>
          <w:szCs w:val="21"/>
          <w:highlight w:val="none"/>
          <w:lang w:val="en-US" w:eastAsia="zh-CN"/>
        </w:rPr>
        <w:t>评标</w:t>
      </w:r>
      <w:r>
        <w:rPr>
          <w:rFonts w:hint="eastAsia" w:ascii="宋体" w:hAnsi="宋体" w:eastAsia="宋体" w:cs="宋体"/>
          <w:b w:val="0"/>
          <w:snapToGrid w:val="0"/>
          <w:sz w:val="21"/>
          <w:szCs w:val="21"/>
          <w:highlight w:val="none"/>
        </w:rPr>
        <w:t>方法</w:t>
      </w:r>
      <w:bookmarkEnd w:id="399"/>
      <w:bookmarkEnd w:id="400"/>
      <w:bookmarkEnd w:id="401"/>
    </w:p>
    <w:p w14:paraId="50DFCEA8">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本次</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采用综合评估法</w:t>
      </w:r>
      <w:r>
        <w:rPr>
          <w:rFonts w:hint="eastAsia" w:ascii="宋体" w:hAnsi="宋体" w:eastAsia="宋体" w:cs="宋体"/>
          <w:spacing w:val="-47"/>
          <w:kern w:val="0"/>
          <w:sz w:val="21"/>
          <w:szCs w:val="21"/>
          <w:highlight w:val="none"/>
        </w:rPr>
        <w:t>。</w:t>
      </w:r>
      <w:r>
        <w:rPr>
          <w:rFonts w:hint="eastAsia" w:ascii="宋体" w:hAnsi="宋体" w:eastAsia="宋体" w:cs="宋体"/>
          <w:kern w:val="0"/>
          <w:sz w:val="21"/>
          <w:szCs w:val="21"/>
          <w:highlight w:val="none"/>
          <w:lang w:val="en-US" w:eastAsia="zh-CN"/>
        </w:rPr>
        <w:t>评标委员会</w:t>
      </w:r>
      <w:r>
        <w:rPr>
          <w:rFonts w:hint="eastAsia" w:ascii="宋体" w:hAnsi="宋体" w:eastAsia="宋体" w:cs="宋体"/>
          <w:kern w:val="0"/>
          <w:sz w:val="21"/>
          <w:szCs w:val="21"/>
          <w:highlight w:val="none"/>
        </w:rPr>
        <w:t xml:space="preserve">按照本章第 </w:t>
      </w:r>
      <w:r>
        <w:rPr>
          <w:rFonts w:hint="eastAsia" w:ascii="宋体" w:hAnsi="宋体" w:eastAsia="宋体" w:cs="宋体"/>
          <w:spacing w:val="1"/>
          <w:kern w:val="0"/>
          <w:sz w:val="21"/>
          <w:szCs w:val="21"/>
          <w:highlight w:val="none"/>
        </w:rPr>
        <w:t>2</w:t>
      </w:r>
      <w:r>
        <w:rPr>
          <w:rFonts w:hint="eastAsia" w:ascii="宋体" w:hAnsi="宋体" w:eastAsia="宋体" w:cs="宋体"/>
          <w:spacing w:val="-1"/>
          <w:kern w:val="0"/>
          <w:sz w:val="21"/>
          <w:szCs w:val="21"/>
          <w:highlight w:val="none"/>
        </w:rPr>
        <w:t>.</w:t>
      </w:r>
      <w:r>
        <w:rPr>
          <w:rFonts w:hint="eastAsia" w:ascii="宋体" w:hAnsi="宋体" w:eastAsia="宋体" w:cs="宋体"/>
          <w:kern w:val="0"/>
          <w:sz w:val="21"/>
          <w:szCs w:val="21"/>
          <w:highlight w:val="none"/>
        </w:rPr>
        <w:t>2</w:t>
      </w:r>
      <w:r>
        <w:rPr>
          <w:rFonts w:hint="eastAsia" w:ascii="宋体" w:hAnsi="宋体" w:eastAsia="宋体" w:cs="宋体"/>
          <w:spacing w:val="1"/>
          <w:kern w:val="0"/>
          <w:sz w:val="21"/>
          <w:szCs w:val="21"/>
          <w:highlight w:val="none"/>
        </w:rPr>
        <w:t xml:space="preserve"> </w:t>
      </w:r>
      <w:r>
        <w:rPr>
          <w:rFonts w:hint="eastAsia" w:ascii="宋体" w:hAnsi="宋体" w:eastAsia="宋体" w:cs="宋体"/>
          <w:kern w:val="0"/>
          <w:sz w:val="21"/>
          <w:szCs w:val="21"/>
          <w:highlight w:val="none"/>
        </w:rPr>
        <w:t>款</w:t>
      </w:r>
      <w:r>
        <w:rPr>
          <w:rFonts w:hint="eastAsia" w:ascii="宋体" w:hAnsi="宋体" w:eastAsia="宋体" w:cs="宋体"/>
          <w:spacing w:val="-1"/>
          <w:kern w:val="0"/>
          <w:sz w:val="21"/>
          <w:szCs w:val="21"/>
          <w:highlight w:val="none"/>
        </w:rPr>
        <w:t>规</w:t>
      </w:r>
      <w:r>
        <w:rPr>
          <w:rFonts w:hint="eastAsia" w:ascii="宋体" w:hAnsi="宋体" w:eastAsia="宋体" w:cs="宋体"/>
          <w:kern w:val="0"/>
          <w:sz w:val="21"/>
          <w:szCs w:val="21"/>
          <w:highlight w:val="none"/>
        </w:rPr>
        <w:t>定的评分标准进行打分，按得分由高到低顺序推荐</w:t>
      </w:r>
      <w:r>
        <w:rPr>
          <w:rFonts w:hint="eastAsia" w:ascii="宋体" w:hAnsi="宋体" w:eastAsia="宋体" w:cs="宋体"/>
          <w:kern w:val="0"/>
          <w:sz w:val="21"/>
          <w:szCs w:val="21"/>
          <w:highlight w:val="none"/>
          <w:lang w:eastAsia="zh-CN"/>
        </w:rPr>
        <w:t>中选</w:t>
      </w:r>
      <w:r>
        <w:rPr>
          <w:rFonts w:hint="eastAsia" w:ascii="宋体" w:hAnsi="宋体" w:eastAsia="宋体" w:cs="宋体"/>
          <w:kern w:val="0"/>
          <w:sz w:val="21"/>
          <w:szCs w:val="21"/>
          <w:highlight w:val="none"/>
        </w:rPr>
        <w:t>候选人</w:t>
      </w:r>
      <w:r>
        <w:rPr>
          <w:rFonts w:hint="eastAsia" w:ascii="宋体" w:hAnsi="宋体" w:eastAsia="宋体" w:cs="宋体"/>
          <w:spacing w:val="-20"/>
          <w:kern w:val="0"/>
          <w:sz w:val="21"/>
          <w:szCs w:val="21"/>
          <w:highlight w:val="none"/>
        </w:rPr>
        <w:t>，</w:t>
      </w:r>
      <w:r>
        <w:rPr>
          <w:rFonts w:hint="eastAsia" w:ascii="宋体" w:hAnsi="宋体" w:eastAsia="宋体" w:cs="宋体"/>
          <w:kern w:val="0"/>
          <w:sz w:val="21"/>
          <w:szCs w:val="21"/>
          <w:highlight w:val="none"/>
        </w:rPr>
        <w:t>或根据</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人授权直接确定</w:t>
      </w:r>
      <w:r>
        <w:rPr>
          <w:rFonts w:hint="eastAsia" w:ascii="宋体" w:hAnsi="宋体" w:eastAsia="宋体" w:cs="宋体"/>
          <w:kern w:val="0"/>
          <w:sz w:val="21"/>
          <w:szCs w:val="21"/>
          <w:highlight w:val="none"/>
          <w:lang w:eastAsia="zh-CN"/>
        </w:rPr>
        <w:t>中选</w:t>
      </w:r>
      <w:r>
        <w:rPr>
          <w:rFonts w:hint="eastAsia" w:ascii="宋体" w:hAnsi="宋体" w:eastAsia="宋体" w:cs="宋体"/>
          <w:kern w:val="0"/>
          <w:sz w:val="21"/>
          <w:szCs w:val="21"/>
          <w:highlight w:val="none"/>
        </w:rPr>
        <w:t>人，若出现竞标人竞标报价相同的，以</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办法前附表约定的原则确定排序</w:t>
      </w:r>
      <w:r>
        <w:rPr>
          <w:rFonts w:hint="eastAsia" w:ascii="宋体" w:hAnsi="宋体" w:eastAsia="宋体" w:cs="宋体"/>
          <w:spacing w:val="-31"/>
          <w:kern w:val="0"/>
          <w:sz w:val="21"/>
          <w:szCs w:val="21"/>
          <w:highlight w:val="none"/>
        </w:rPr>
        <w:t>。</w:t>
      </w:r>
    </w:p>
    <w:p w14:paraId="126BAA35">
      <w:pPr>
        <w:pStyle w:val="4"/>
        <w:spacing w:before="0" w:after="0" w:line="360" w:lineRule="auto"/>
        <w:rPr>
          <w:rFonts w:hint="eastAsia" w:ascii="宋体" w:hAnsi="宋体" w:eastAsia="宋体" w:cs="宋体"/>
          <w:b w:val="0"/>
          <w:snapToGrid w:val="0"/>
          <w:sz w:val="21"/>
          <w:szCs w:val="21"/>
          <w:highlight w:val="none"/>
        </w:rPr>
      </w:pPr>
      <w:bookmarkStart w:id="402" w:name="_Toc287620752"/>
      <w:bookmarkStart w:id="403" w:name="_Toc200513199"/>
      <w:bookmarkStart w:id="404" w:name="_Toc277082619"/>
      <w:bookmarkStart w:id="405" w:name="_Toc224103385"/>
      <w:bookmarkStart w:id="406" w:name="_Toc430530501"/>
      <w:bookmarkStart w:id="407" w:name="_Toc509218777"/>
      <w:bookmarkStart w:id="408" w:name="_Toc104554755"/>
      <w:bookmarkStart w:id="409" w:name="_Toc287607813"/>
      <w:bookmarkStart w:id="410" w:name="_Toc57905898"/>
      <w:bookmarkStart w:id="411" w:name="_Toc28040"/>
      <w:r>
        <w:rPr>
          <w:rFonts w:hint="eastAsia" w:ascii="宋体" w:hAnsi="宋体" w:eastAsia="宋体" w:cs="宋体"/>
          <w:b w:val="0"/>
          <w:snapToGrid w:val="0"/>
          <w:sz w:val="21"/>
          <w:szCs w:val="21"/>
          <w:highlight w:val="none"/>
        </w:rPr>
        <w:t>2.  评审标准</w:t>
      </w:r>
      <w:bookmarkEnd w:id="402"/>
      <w:bookmarkEnd w:id="403"/>
      <w:bookmarkEnd w:id="404"/>
      <w:bookmarkEnd w:id="405"/>
      <w:bookmarkEnd w:id="406"/>
      <w:bookmarkEnd w:id="407"/>
      <w:bookmarkEnd w:id="408"/>
      <w:bookmarkEnd w:id="409"/>
      <w:bookmarkEnd w:id="410"/>
      <w:bookmarkEnd w:id="411"/>
    </w:p>
    <w:p w14:paraId="30D18C9E">
      <w:pPr>
        <w:pStyle w:val="5"/>
        <w:snapToGrid w:val="0"/>
        <w:spacing w:before="0" w:after="0" w:line="360" w:lineRule="auto"/>
        <w:rPr>
          <w:rFonts w:hint="eastAsia" w:ascii="宋体" w:hAnsi="宋体" w:eastAsia="宋体" w:cs="宋体"/>
          <w:b w:val="0"/>
          <w:snapToGrid w:val="0"/>
          <w:sz w:val="21"/>
          <w:szCs w:val="21"/>
          <w:highlight w:val="none"/>
        </w:rPr>
      </w:pPr>
      <w:bookmarkStart w:id="412" w:name="_Toc277082620"/>
      <w:bookmarkStart w:id="413" w:name="_Toc224103386"/>
      <w:bookmarkStart w:id="414" w:name="_Toc509218778"/>
      <w:bookmarkStart w:id="415" w:name="_Toc287607814"/>
      <w:bookmarkStart w:id="416" w:name="_Toc430530502"/>
      <w:bookmarkStart w:id="417" w:name="_Toc57905899"/>
      <w:bookmarkStart w:id="418" w:name="_Toc2588"/>
      <w:bookmarkStart w:id="419" w:name="_Toc287620753"/>
      <w:bookmarkStart w:id="420" w:name="_Toc104554756"/>
      <w:bookmarkStart w:id="421" w:name="_Toc200513200"/>
      <w:r>
        <w:rPr>
          <w:rFonts w:hint="eastAsia" w:ascii="宋体" w:hAnsi="宋体" w:eastAsia="宋体" w:cs="宋体"/>
          <w:b w:val="0"/>
          <w:snapToGrid w:val="0"/>
          <w:sz w:val="21"/>
          <w:szCs w:val="21"/>
          <w:highlight w:val="none"/>
        </w:rPr>
        <w:t>2.1  初步评审标准</w:t>
      </w:r>
      <w:bookmarkEnd w:id="412"/>
      <w:bookmarkEnd w:id="413"/>
      <w:bookmarkEnd w:id="414"/>
      <w:bookmarkEnd w:id="415"/>
      <w:bookmarkEnd w:id="416"/>
      <w:bookmarkEnd w:id="417"/>
      <w:bookmarkEnd w:id="418"/>
      <w:bookmarkEnd w:id="419"/>
      <w:bookmarkEnd w:id="420"/>
      <w:bookmarkEnd w:id="421"/>
    </w:p>
    <w:p w14:paraId="701D7F3A">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2.1.1  资格评审标准：见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3E93C744">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2.1.2  形式评审标准：见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512A17DF">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2.1.3  响应性评审标准：见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1EDAE636">
      <w:pPr>
        <w:pStyle w:val="5"/>
        <w:snapToGrid w:val="0"/>
        <w:spacing w:before="0" w:after="0" w:line="360" w:lineRule="auto"/>
        <w:rPr>
          <w:rFonts w:hint="eastAsia" w:ascii="宋体" w:hAnsi="宋体" w:eastAsia="宋体" w:cs="宋体"/>
          <w:b w:val="0"/>
          <w:snapToGrid w:val="0"/>
          <w:sz w:val="21"/>
          <w:szCs w:val="21"/>
          <w:highlight w:val="none"/>
        </w:rPr>
      </w:pPr>
      <w:bookmarkStart w:id="422" w:name="_Toc430530503"/>
      <w:bookmarkStart w:id="423" w:name="_Toc200513201"/>
      <w:bookmarkStart w:id="424" w:name="_Toc224103387"/>
      <w:bookmarkStart w:id="425" w:name="_Toc287607815"/>
      <w:bookmarkStart w:id="426" w:name="_Toc287620754"/>
      <w:bookmarkStart w:id="427" w:name="_Toc277082621"/>
      <w:bookmarkStart w:id="428" w:name="_Toc17923"/>
      <w:bookmarkStart w:id="429" w:name="_Toc57905900"/>
      <w:bookmarkStart w:id="430" w:name="_Toc104554757"/>
      <w:bookmarkStart w:id="431" w:name="_Toc509218779"/>
      <w:r>
        <w:rPr>
          <w:rFonts w:hint="eastAsia" w:ascii="宋体" w:hAnsi="宋体" w:eastAsia="宋体" w:cs="宋体"/>
          <w:b w:val="0"/>
          <w:snapToGrid w:val="0"/>
          <w:sz w:val="21"/>
          <w:szCs w:val="21"/>
          <w:highlight w:val="none"/>
        </w:rPr>
        <w:t>2.2  分值构成与评分标准</w:t>
      </w:r>
      <w:bookmarkEnd w:id="422"/>
      <w:bookmarkEnd w:id="423"/>
      <w:bookmarkEnd w:id="424"/>
      <w:bookmarkEnd w:id="425"/>
      <w:bookmarkEnd w:id="426"/>
      <w:bookmarkEnd w:id="427"/>
      <w:bookmarkEnd w:id="428"/>
      <w:bookmarkEnd w:id="429"/>
      <w:bookmarkEnd w:id="430"/>
      <w:bookmarkEnd w:id="431"/>
    </w:p>
    <w:p w14:paraId="667EF67B">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2.2.1  分值构成</w:t>
      </w:r>
    </w:p>
    <w:p w14:paraId="50517D99">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pacing w:val="1"/>
          <w:kern w:val="0"/>
          <w:sz w:val="21"/>
          <w:szCs w:val="21"/>
          <w:highlight w:val="none"/>
        </w:rPr>
        <w:t>1</w:t>
      </w:r>
      <w:r>
        <w:rPr>
          <w:rFonts w:hint="eastAsia" w:ascii="宋体" w:hAnsi="宋体" w:eastAsia="宋体" w:cs="宋体"/>
          <w:kern w:val="0"/>
          <w:sz w:val="21"/>
          <w:szCs w:val="21"/>
          <w:highlight w:val="none"/>
        </w:rPr>
        <w:t>）技术部分：见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379BC754">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pacing w:val="1"/>
          <w:kern w:val="0"/>
          <w:sz w:val="21"/>
          <w:szCs w:val="21"/>
          <w:highlight w:val="none"/>
        </w:rPr>
        <w:t>2</w:t>
      </w:r>
      <w:r>
        <w:rPr>
          <w:rFonts w:hint="eastAsia" w:ascii="宋体" w:hAnsi="宋体" w:eastAsia="宋体" w:cs="宋体"/>
          <w:kern w:val="0"/>
          <w:sz w:val="21"/>
          <w:szCs w:val="21"/>
          <w:highlight w:val="none"/>
        </w:rPr>
        <w:t>）竞标总</w:t>
      </w:r>
      <w:r>
        <w:rPr>
          <w:rFonts w:hint="eastAsia" w:ascii="宋体" w:hAnsi="宋体" w:eastAsia="宋体" w:cs="宋体"/>
          <w:spacing w:val="-1"/>
          <w:kern w:val="0"/>
          <w:sz w:val="21"/>
          <w:szCs w:val="21"/>
          <w:highlight w:val="none"/>
        </w:rPr>
        <w:t>报</w:t>
      </w:r>
      <w:r>
        <w:rPr>
          <w:rFonts w:hint="eastAsia" w:ascii="宋体" w:hAnsi="宋体" w:eastAsia="宋体" w:cs="宋体"/>
          <w:kern w:val="0"/>
          <w:sz w:val="21"/>
          <w:szCs w:val="21"/>
          <w:highlight w:val="none"/>
        </w:rPr>
        <w:t>价：见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66233509">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2.2.2  评分标准</w:t>
      </w:r>
    </w:p>
    <w:p w14:paraId="429CB6BF">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技术部分评分标准：见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办法前附表；（对于施工难度大、专业技术复杂的项目，应由</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人会同设计单位提出技术方案编写要点，作为评分标准）。</w:t>
      </w:r>
    </w:p>
    <w:p w14:paraId="58AAD43F">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2.2.3  </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基准价计算</w:t>
      </w:r>
    </w:p>
    <w:p w14:paraId="128D88B2">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基准价计算方法：见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79B63C9A">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  竞标报价的偏差率计算和允许偏差范围</w:t>
      </w:r>
    </w:p>
    <w:p w14:paraId="5142E896">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（1）竞标报价的偏差率计算公式：见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6D5B9760">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（2）竞标报价的允许偏差范围：见</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办法前附表。</w:t>
      </w:r>
    </w:p>
    <w:p w14:paraId="7B1255B5">
      <w:pPr>
        <w:pStyle w:val="4"/>
        <w:spacing w:before="0" w:after="0" w:line="360" w:lineRule="auto"/>
        <w:rPr>
          <w:rFonts w:hint="eastAsia" w:ascii="宋体" w:hAnsi="宋体" w:eastAsia="宋体" w:cs="宋体"/>
          <w:b w:val="0"/>
          <w:snapToGrid w:val="0"/>
          <w:sz w:val="21"/>
          <w:szCs w:val="21"/>
          <w:highlight w:val="none"/>
        </w:rPr>
      </w:pPr>
      <w:bookmarkStart w:id="432" w:name="_Toc200513202"/>
      <w:bookmarkStart w:id="433" w:name="_Toc104554758"/>
      <w:bookmarkStart w:id="434" w:name="_Toc4568"/>
      <w:bookmarkStart w:id="435" w:name="_Toc509218780"/>
      <w:bookmarkStart w:id="436" w:name="_Toc57905901"/>
      <w:bookmarkStart w:id="437" w:name="_Toc277082622"/>
      <w:bookmarkStart w:id="438" w:name="_Toc430530504"/>
      <w:bookmarkStart w:id="439" w:name="_Toc287620755"/>
      <w:bookmarkStart w:id="440" w:name="_Toc287607816"/>
      <w:bookmarkStart w:id="441" w:name="_Toc224103388"/>
      <w:r>
        <w:rPr>
          <w:rFonts w:hint="eastAsia" w:ascii="宋体" w:hAnsi="宋体" w:eastAsia="宋体" w:cs="宋体"/>
          <w:b w:val="0"/>
          <w:snapToGrid w:val="0"/>
          <w:sz w:val="21"/>
          <w:szCs w:val="21"/>
          <w:highlight w:val="none"/>
        </w:rPr>
        <w:t xml:space="preserve">3.  </w:t>
      </w:r>
      <w:r>
        <w:rPr>
          <w:rFonts w:hint="eastAsia" w:ascii="宋体" w:hAnsi="宋体" w:eastAsia="宋体" w:cs="宋体"/>
          <w:kern w:val="0"/>
          <w:sz w:val="21"/>
          <w:szCs w:val="21"/>
          <w:highlight w:val="none"/>
          <w:lang w:val="en-US" w:eastAsia="zh-CN"/>
        </w:rPr>
        <w:t>评标</w:t>
      </w:r>
      <w:r>
        <w:rPr>
          <w:rFonts w:hint="eastAsia" w:ascii="宋体" w:hAnsi="宋体" w:eastAsia="宋体" w:cs="宋体"/>
          <w:b w:val="0"/>
          <w:snapToGrid w:val="0"/>
          <w:sz w:val="21"/>
          <w:szCs w:val="21"/>
          <w:highlight w:val="none"/>
        </w:rPr>
        <w:t>程序</w:t>
      </w:r>
      <w:bookmarkEnd w:id="432"/>
      <w:bookmarkEnd w:id="433"/>
      <w:bookmarkEnd w:id="434"/>
      <w:bookmarkEnd w:id="435"/>
      <w:bookmarkEnd w:id="436"/>
      <w:bookmarkEnd w:id="437"/>
      <w:bookmarkEnd w:id="438"/>
      <w:bookmarkEnd w:id="439"/>
      <w:bookmarkEnd w:id="440"/>
      <w:bookmarkEnd w:id="441"/>
    </w:p>
    <w:p w14:paraId="3A60C772">
      <w:pPr>
        <w:pStyle w:val="5"/>
        <w:snapToGrid w:val="0"/>
        <w:spacing w:before="0" w:after="0" w:line="360" w:lineRule="auto"/>
        <w:rPr>
          <w:rFonts w:hint="eastAsia" w:ascii="宋体" w:hAnsi="宋体" w:eastAsia="宋体" w:cs="宋体"/>
          <w:b w:val="0"/>
          <w:snapToGrid w:val="0"/>
          <w:sz w:val="21"/>
          <w:szCs w:val="21"/>
          <w:highlight w:val="none"/>
        </w:rPr>
      </w:pPr>
      <w:bookmarkStart w:id="442" w:name="_Toc509218781"/>
      <w:bookmarkStart w:id="443" w:name="_Toc277082623"/>
      <w:bookmarkStart w:id="444" w:name="_Toc430530505"/>
      <w:bookmarkStart w:id="445" w:name="_Toc200513203"/>
      <w:bookmarkStart w:id="446" w:name="_Toc287620756"/>
      <w:bookmarkStart w:id="447" w:name="_Toc104554759"/>
      <w:bookmarkStart w:id="448" w:name="_Toc21102"/>
      <w:bookmarkStart w:id="449" w:name="_Toc224103389"/>
      <w:bookmarkStart w:id="450" w:name="_Toc57905902"/>
      <w:bookmarkStart w:id="451" w:name="_Toc287607817"/>
      <w:r>
        <w:rPr>
          <w:rFonts w:hint="eastAsia" w:ascii="宋体" w:hAnsi="宋体" w:eastAsia="宋体" w:cs="宋体"/>
          <w:b w:val="0"/>
          <w:snapToGrid w:val="0"/>
          <w:sz w:val="21"/>
          <w:szCs w:val="21"/>
          <w:highlight w:val="none"/>
        </w:rPr>
        <w:t>3.1  初步评审</w:t>
      </w:r>
      <w:bookmarkEnd w:id="442"/>
      <w:bookmarkEnd w:id="443"/>
      <w:bookmarkEnd w:id="444"/>
      <w:bookmarkEnd w:id="445"/>
      <w:bookmarkEnd w:id="446"/>
      <w:bookmarkEnd w:id="447"/>
      <w:bookmarkEnd w:id="448"/>
      <w:bookmarkEnd w:id="449"/>
      <w:bookmarkEnd w:id="450"/>
      <w:bookmarkEnd w:id="451"/>
    </w:p>
    <w:p w14:paraId="60156629">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3.1.1  </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依据本章第 2.1 款规定的标准对竞标文件进行初步评审。有一项不符合评审标准的，作否决竞标处理。</w:t>
      </w:r>
    </w:p>
    <w:p w14:paraId="3866E00B">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3.1.2  竞标人有以下情形之一的，其竞标作否决竞标处理：</w:t>
      </w:r>
    </w:p>
    <w:p w14:paraId="4783D31A">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pacing w:val="1"/>
          <w:kern w:val="0"/>
          <w:sz w:val="21"/>
          <w:szCs w:val="21"/>
          <w:highlight w:val="none"/>
        </w:rPr>
        <w:t>1</w:t>
      </w:r>
      <w:r>
        <w:rPr>
          <w:rFonts w:hint="eastAsia" w:ascii="宋体" w:hAnsi="宋体" w:eastAsia="宋体" w:cs="宋体"/>
          <w:kern w:val="0"/>
          <w:sz w:val="21"/>
          <w:szCs w:val="21"/>
          <w:highlight w:val="none"/>
        </w:rPr>
        <w:t>）第二</w:t>
      </w:r>
      <w:r>
        <w:rPr>
          <w:rFonts w:hint="eastAsia" w:ascii="宋体" w:hAnsi="宋体" w:eastAsia="宋体" w:cs="宋体"/>
          <w:spacing w:val="-1"/>
          <w:kern w:val="0"/>
          <w:sz w:val="21"/>
          <w:szCs w:val="21"/>
          <w:highlight w:val="none"/>
        </w:rPr>
        <w:t>章</w:t>
      </w:r>
      <w:r>
        <w:rPr>
          <w:rFonts w:hint="eastAsia" w:ascii="宋体" w:hAnsi="宋体" w:eastAsia="宋体" w:cs="宋体"/>
          <w:kern w:val="0"/>
          <w:sz w:val="21"/>
          <w:szCs w:val="21"/>
          <w:highlight w:val="none"/>
        </w:rPr>
        <w:t>“竞标人须知”第</w:t>
      </w:r>
      <w:r>
        <w:rPr>
          <w:rFonts w:hint="eastAsia" w:ascii="宋体" w:hAnsi="宋体" w:eastAsia="宋体" w:cs="宋体"/>
          <w:spacing w:val="1"/>
          <w:kern w:val="0"/>
          <w:sz w:val="21"/>
          <w:szCs w:val="21"/>
          <w:highlight w:val="none"/>
        </w:rPr>
        <w:t>1</w:t>
      </w:r>
      <w:r>
        <w:rPr>
          <w:rFonts w:hint="eastAsia" w:ascii="宋体" w:hAnsi="宋体" w:eastAsia="宋体" w:cs="宋体"/>
          <w:spacing w:val="-1"/>
          <w:kern w:val="0"/>
          <w:sz w:val="21"/>
          <w:szCs w:val="21"/>
          <w:highlight w:val="none"/>
        </w:rPr>
        <w:t>.</w:t>
      </w:r>
      <w:r>
        <w:rPr>
          <w:rFonts w:hint="eastAsia" w:ascii="宋体" w:hAnsi="宋体" w:eastAsia="宋体" w:cs="宋体"/>
          <w:spacing w:val="1"/>
          <w:kern w:val="0"/>
          <w:sz w:val="21"/>
          <w:szCs w:val="21"/>
          <w:highlight w:val="none"/>
        </w:rPr>
        <w:t>4</w:t>
      </w:r>
      <w:r>
        <w:rPr>
          <w:rFonts w:hint="eastAsia" w:ascii="宋体" w:hAnsi="宋体" w:eastAsia="宋体" w:cs="宋体"/>
          <w:spacing w:val="-1"/>
          <w:kern w:val="0"/>
          <w:sz w:val="21"/>
          <w:szCs w:val="21"/>
          <w:highlight w:val="none"/>
        </w:rPr>
        <w:t>.</w:t>
      </w:r>
      <w:r>
        <w:rPr>
          <w:rFonts w:hint="eastAsia" w:ascii="宋体" w:hAnsi="宋体" w:eastAsia="宋体" w:cs="宋体"/>
          <w:kern w:val="0"/>
          <w:sz w:val="21"/>
          <w:szCs w:val="21"/>
          <w:highlight w:val="none"/>
        </w:rPr>
        <w:t>3项规定的任何一种情形的；</w:t>
      </w:r>
    </w:p>
    <w:p w14:paraId="7BB9685B">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pacing w:val="1"/>
          <w:kern w:val="0"/>
          <w:sz w:val="21"/>
          <w:szCs w:val="21"/>
          <w:highlight w:val="none"/>
        </w:rPr>
        <w:t>2</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本次</w:t>
      </w:r>
      <w:r>
        <w:rPr>
          <w:rFonts w:hint="eastAsia" w:ascii="宋体" w:hAnsi="宋体" w:eastAsia="宋体" w:cs="宋体"/>
          <w:kern w:val="0"/>
          <w:sz w:val="21"/>
          <w:szCs w:val="21"/>
          <w:highlight w:val="none"/>
        </w:rPr>
        <w:t>竞</w:t>
      </w:r>
      <w:r>
        <w:rPr>
          <w:rFonts w:hint="eastAsia" w:ascii="宋体" w:hAnsi="宋体" w:eastAsia="宋体" w:cs="宋体"/>
          <w:sz w:val="21"/>
          <w:szCs w:val="21"/>
          <w:highlight w:val="none"/>
        </w:rPr>
        <w:t>标有串通</w:t>
      </w:r>
      <w:r>
        <w:rPr>
          <w:rFonts w:hint="eastAsia" w:ascii="宋体" w:hAnsi="宋体" w:eastAsia="宋体" w:cs="宋体"/>
          <w:kern w:val="0"/>
          <w:sz w:val="21"/>
          <w:szCs w:val="21"/>
          <w:highlight w:val="none"/>
        </w:rPr>
        <w:t>竞</w:t>
      </w:r>
      <w:r>
        <w:rPr>
          <w:rFonts w:hint="eastAsia" w:ascii="宋体" w:hAnsi="宋体" w:eastAsia="宋体" w:cs="宋体"/>
          <w:sz w:val="21"/>
          <w:szCs w:val="21"/>
          <w:highlight w:val="none"/>
        </w:rPr>
        <w:t>标、弄虚作假等其他违反招投标相关法律、法规行为的</w:t>
      </w:r>
      <w:r>
        <w:rPr>
          <w:rFonts w:hint="eastAsia" w:ascii="宋体" w:hAnsi="宋体" w:eastAsia="宋体" w:cs="宋体"/>
          <w:kern w:val="0"/>
          <w:sz w:val="21"/>
          <w:szCs w:val="21"/>
          <w:highlight w:val="none"/>
        </w:rPr>
        <w:t>；</w:t>
      </w:r>
    </w:p>
    <w:p w14:paraId="386BCFAC">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spacing w:val="1"/>
          <w:kern w:val="0"/>
          <w:sz w:val="21"/>
          <w:szCs w:val="21"/>
          <w:highlight w:val="none"/>
        </w:rPr>
        <w:t>3</w:t>
      </w:r>
      <w:r>
        <w:rPr>
          <w:rFonts w:hint="eastAsia" w:ascii="宋体" w:hAnsi="宋体" w:eastAsia="宋体" w:cs="宋体"/>
          <w:kern w:val="0"/>
          <w:sz w:val="21"/>
          <w:szCs w:val="21"/>
          <w:highlight w:val="none"/>
        </w:rPr>
        <w:t>）拒绝按</w:t>
      </w:r>
      <w:r>
        <w:rPr>
          <w:rFonts w:hint="eastAsia" w:ascii="宋体" w:hAnsi="宋体" w:eastAsia="宋体" w:cs="宋体"/>
          <w:spacing w:val="-1"/>
          <w:kern w:val="0"/>
          <w:sz w:val="21"/>
          <w:szCs w:val="21"/>
          <w:highlight w:val="none"/>
          <w:lang w:eastAsia="zh-CN"/>
        </w:rPr>
        <w:t>评标委员会</w:t>
      </w:r>
      <w:r>
        <w:rPr>
          <w:rFonts w:hint="eastAsia" w:ascii="宋体" w:hAnsi="宋体" w:eastAsia="宋体" w:cs="宋体"/>
          <w:kern w:val="0"/>
          <w:sz w:val="21"/>
          <w:szCs w:val="21"/>
          <w:highlight w:val="none"/>
        </w:rPr>
        <w:t>要求澄清、说明或补正的。</w:t>
      </w:r>
    </w:p>
    <w:p w14:paraId="495B29C9">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3.1.3  竞标报价有算术错误的，</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按以下原则对竞标报价进行修正，修正的价格经竞标人书面确认后具有约束力，修正原则如下：</w:t>
      </w:r>
    </w:p>
    <w:p w14:paraId="20427EB9">
      <w:pPr>
        <w:autoSpaceDE w:val="0"/>
        <w:autoSpaceDN w:val="0"/>
        <w:adjustRightInd w:val="0"/>
        <w:snapToGrid w:val="0"/>
        <w:spacing w:line="360" w:lineRule="auto"/>
        <w:ind w:firstLine="532"/>
        <w:rPr>
          <w:rFonts w:hint="eastAsia" w:ascii="宋体" w:hAnsi="宋体" w:eastAsia="宋体" w:cs="宋体"/>
          <w:kern w:val="0"/>
          <w:sz w:val="21"/>
          <w:szCs w:val="21"/>
          <w:highlight w:val="none"/>
        </w:rPr>
      </w:pPr>
      <w:r>
        <w:rPr>
          <w:rFonts w:hint="eastAsia" w:ascii="宋体" w:hAnsi="宋体" w:eastAsia="宋体" w:cs="宋体"/>
          <w:spacing w:val="-1"/>
          <w:kern w:val="0"/>
          <w:sz w:val="21"/>
          <w:szCs w:val="21"/>
          <w:highlight w:val="none"/>
        </w:rPr>
        <w:t>（1）</w:t>
      </w:r>
      <w:r>
        <w:rPr>
          <w:rFonts w:hint="eastAsia" w:ascii="宋体" w:hAnsi="宋体" w:eastAsia="宋体" w:cs="宋体"/>
          <w:kern w:val="0"/>
          <w:sz w:val="21"/>
          <w:szCs w:val="21"/>
          <w:highlight w:val="none"/>
        </w:rPr>
        <w:t>竞</w:t>
      </w:r>
      <w:r>
        <w:rPr>
          <w:rFonts w:hint="eastAsia" w:ascii="宋体" w:hAnsi="宋体" w:eastAsia="宋体" w:cs="宋体"/>
          <w:spacing w:val="-1"/>
          <w:kern w:val="0"/>
          <w:sz w:val="21"/>
          <w:szCs w:val="21"/>
          <w:highlight w:val="none"/>
        </w:rPr>
        <w:t>标文件中的大写金额与小写金额不一致的，以大写金</w:t>
      </w:r>
      <w:r>
        <w:rPr>
          <w:rFonts w:hint="eastAsia" w:ascii="宋体" w:hAnsi="宋体" w:eastAsia="宋体" w:cs="宋体"/>
          <w:kern w:val="0"/>
          <w:sz w:val="21"/>
          <w:szCs w:val="21"/>
          <w:highlight w:val="none"/>
        </w:rPr>
        <w:t>额为准；</w:t>
      </w:r>
    </w:p>
    <w:p w14:paraId="27135FA4">
      <w:pPr>
        <w:autoSpaceDE w:val="0"/>
        <w:autoSpaceDN w:val="0"/>
        <w:adjustRightInd w:val="0"/>
        <w:snapToGrid w:val="0"/>
        <w:spacing w:line="360" w:lineRule="auto"/>
        <w:ind w:firstLine="53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（2）竞标函中的总报价与已标价工程量清单总报价不一致的，由</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作否决投标处理。</w:t>
      </w:r>
    </w:p>
    <w:p w14:paraId="6D657CE0">
      <w:pPr>
        <w:pStyle w:val="5"/>
        <w:snapToGrid w:val="0"/>
        <w:spacing w:before="0" w:after="0" w:line="360" w:lineRule="auto"/>
        <w:rPr>
          <w:rFonts w:hint="eastAsia" w:ascii="宋体" w:hAnsi="宋体" w:eastAsia="宋体" w:cs="宋体"/>
          <w:b w:val="0"/>
          <w:snapToGrid w:val="0"/>
          <w:sz w:val="21"/>
          <w:szCs w:val="21"/>
          <w:highlight w:val="none"/>
        </w:rPr>
      </w:pPr>
      <w:bookmarkStart w:id="452" w:name="_Toc200513204"/>
      <w:bookmarkStart w:id="453" w:name="_Toc104554760"/>
      <w:bookmarkStart w:id="454" w:name="_Toc57905903"/>
      <w:bookmarkStart w:id="455" w:name="_Toc287620757"/>
      <w:bookmarkStart w:id="456" w:name="_Toc430530506"/>
      <w:bookmarkStart w:id="457" w:name="_Toc287607818"/>
      <w:bookmarkStart w:id="458" w:name="_Toc224103390"/>
      <w:bookmarkStart w:id="459" w:name="_Toc509218782"/>
      <w:bookmarkStart w:id="460" w:name="_Toc277082624"/>
      <w:bookmarkStart w:id="461" w:name="_Toc31837"/>
      <w:r>
        <w:rPr>
          <w:rFonts w:hint="eastAsia" w:ascii="宋体" w:hAnsi="宋体" w:eastAsia="宋体" w:cs="宋体"/>
          <w:b w:val="0"/>
          <w:snapToGrid w:val="0"/>
          <w:sz w:val="21"/>
          <w:szCs w:val="21"/>
          <w:highlight w:val="none"/>
        </w:rPr>
        <w:t>3.2  详细评审</w:t>
      </w:r>
      <w:bookmarkEnd w:id="452"/>
      <w:bookmarkEnd w:id="453"/>
      <w:bookmarkEnd w:id="454"/>
      <w:bookmarkEnd w:id="455"/>
      <w:bookmarkEnd w:id="456"/>
      <w:bookmarkEnd w:id="457"/>
      <w:bookmarkEnd w:id="458"/>
      <w:bookmarkEnd w:id="459"/>
      <w:bookmarkEnd w:id="460"/>
      <w:bookmarkEnd w:id="461"/>
    </w:p>
    <w:p w14:paraId="6E27CDD5">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3.2.1  </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按本章第2.2款规定的量化因素和分值进行打分，并计算出综合评估得分。</w:t>
      </w:r>
    </w:p>
    <w:p w14:paraId="21118135">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（1）按本章第3.2.1（1）目规定的评审因素和分值对技术方案计算出得分A(</w:t>
      </w:r>
      <w:r>
        <w:rPr>
          <w:rFonts w:hint="eastAsia" w:ascii="宋体" w:hAnsi="宋体" w:eastAsia="宋体" w:cs="宋体"/>
          <w:snapToGrid w:val="0"/>
          <w:kern w:val="0"/>
          <w:sz w:val="21"/>
          <w:szCs w:val="21"/>
          <w:highlight w:val="none"/>
        </w:rPr>
        <w:t>所有评委打分取算术平均值为该竞标人技术方案得分。</w:t>
      </w:r>
      <w:r>
        <w:rPr>
          <w:rFonts w:hint="eastAsia" w:ascii="宋体" w:hAnsi="宋体" w:eastAsia="宋体" w:cs="宋体"/>
          <w:kern w:val="0"/>
          <w:sz w:val="21"/>
          <w:szCs w:val="21"/>
          <w:highlight w:val="none"/>
        </w:rPr>
        <w:t>）</w:t>
      </w:r>
    </w:p>
    <w:p w14:paraId="737D1585">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（2）按本章第3.2.1（2）目规定的评审因素和分值对竞标总报价计算出得分B。</w:t>
      </w:r>
    </w:p>
    <w:p w14:paraId="38B2C627">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3.2.2  各类评分分值的最终计算结果保留小数点后两位，小数点后第三位“四舍五入”。</w:t>
      </w:r>
    </w:p>
    <w:p w14:paraId="0F337407">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3.2.3  竞标人得分=A+B。</w:t>
      </w:r>
    </w:p>
    <w:p w14:paraId="3B39E6DA">
      <w:pPr>
        <w:pStyle w:val="5"/>
        <w:snapToGrid w:val="0"/>
        <w:spacing w:before="0" w:after="0" w:line="360" w:lineRule="auto"/>
        <w:rPr>
          <w:rFonts w:hint="eastAsia" w:ascii="宋体" w:hAnsi="宋体" w:eastAsia="宋体" w:cs="宋体"/>
          <w:b w:val="0"/>
          <w:snapToGrid w:val="0"/>
          <w:sz w:val="21"/>
          <w:szCs w:val="21"/>
          <w:highlight w:val="none"/>
        </w:rPr>
      </w:pPr>
      <w:bookmarkStart w:id="462" w:name="_Toc104554761"/>
      <w:bookmarkStart w:id="463" w:name="_Toc29615"/>
      <w:bookmarkStart w:id="464" w:name="_Toc57905904"/>
      <w:bookmarkStart w:id="465" w:name="_Toc277082625"/>
      <w:bookmarkStart w:id="466" w:name="_Toc224103391"/>
      <w:bookmarkStart w:id="467" w:name="_Toc430530507"/>
      <w:bookmarkStart w:id="468" w:name="_Toc509218783"/>
      <w:bookmarkStart w:id="469" w:name="_Toc287620758"/>
      <w:bookmarkStart w:id="470" w:name="_Toc200513205"/>
      <w:bookmarkStart w:id="471" w:name="_Toc287607819"/>
      <w:r>
        <w:rPr>
          <w:rFonts w:hint="eastAsia" w:ascii="宋体" w:hAnsi="宋体" w:eastAsia="宋体" w:cs="宋体"/>
          <w:b w:val="0"/>
          <w:snapToGrid w:val="0"/>
          <w:sz w:val="21"/>
          <w:szCs w:val="21"/>
          <w:highlight w:val="none"/>
        </w:rPr>
        <w:t>3.3  竞标文件的澄清和补正</w:t>
      </w:r>
      <w:bookmarkEnd w:id="462"/>
      <w:bookmarkEnd w:id="463"/>
      <w:bookmarkEnd w:id="464"/>
      <w:bookmarkEnd w:id="465"/>
      <w:bookmarkEnd w:id="466"/>
      <w:bookmarkEnd w:id="467"/>
      <w:bookmarkEnd w:id="468"/>
      <w:bookmarkEnd w:id="469"/>
      <w:bookmarkEnd w:id="470"/>
      <w:bookmarkEnd w:id="471"/>
    </w:p>
    <w:p w14:paraId="482C2A3F">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3.3.1  在</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过程中，</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可以书面形式要求竞标人对所提交竞标文件中不明确的内容进行书面澄清或说明，或者对细微偏差进行补正。</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不接受竞标人主动提出的澄清、说明或补正。</w:t>
      </w:r>
    </w:p>
    <w:p w14:paraId="42A4A3F0">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3.3.2  澄清、说明和补正不得改变竞标文件的实质性内容（算术性错误修正的除外）。竞标人的书面澄清、说明和补正属于竞标文件的组成部分。</w:t>
      </w:r>
    </w:p>
    <w:p w14:paraId="1FBECBE8">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3.3.3  </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对竞标人提交的澄清、说明或补正有疑问的，可以要求竞标人进一步澄清、说明或补正，直至满足</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的要求。</w:t>
      </w:r>
    </w:p>
    <w:p w14:paraId="05EE2EF7">
      <w:pPr>
        <w:pStyle w:val="5"/>
        <w:snapToGrid w:val="0"/>
        <w:spacing w:before="0" w:after="0" w:line="360" w:lineRule="auto"/>
        <w:rPr>
          <w:rFonts w:hint="eastAsia" w:ascii="宋体" w:hAnsi="宋体" w:eastAsia="宋体" w:cs="宋体"/>
          <w:b w:val="0"/>
          <w:snapToGrid w:val="0"/>
          <w:sz w:val="21"/>
          <w:szCs w:val="21"/>
          <w:highlight w:val="none"/>
        </w:rPr>
      </w:pPr>
      <w:bookmarkStart w:id="472" w:name="_Toc509218784"/>
      <w:bookmarkStart w:id="473" w:name="_Toc17868"/>
      <w:bookmarkStart w:id="474" w:name="_Toc224103392"/>
      <w:bookmarkStart w:id="475" w:name="_Toc104554762"/>
      <w:bookmarkStart w:id="476" w:name="_Toc287620759"/>
      <w:bookmarkStart w:id="477" w:name="_Toc277082626"/>
      <w:bookmarkStart w:id="478" w:name="_Toc57905905"/>
      <w:bookmarkStart w:id="479" w:name="_Toc200513206"/>
      <w:bookmarkStart w:id="480" w:name="_Toc430530508"/>
      <w:bookmarkStart w:id="481" w:name="_Toc287607820"/>
      <w:r>
        <w:rPr>
          <w:rFonts w:hint="eastAsia" w:ascii="宋体" w:hAnsi="宋体" w:eastAsia="宋体" w:cs="宋体"/>
          <w:b w:val="0"/>
          <w:snapToGrid w:val="0"/>
          <w:sz w:val="21"/>
          <w:szCs w:val="21"/>
          <w:highlight w:val="none"/>
        </w:rPr>
        <w:t xml:space="preserve">3.4  </w:t>
      </w:r>
      <w:r>
        <w:rPr>
          <w:rFonts w:hint="eastAsia" w:ascii="宋体" w:hAnsi="宋体" w:eastAsia="宋体" w:cs="宋体"/>
          <w:kern w:val="0"/>
          <w:sz w:val="21"/>
          <w:szCs w:val="21"/>
          <w:highlight w:val="none"/>
          <w:lang w:val="en-US" w:eastAsia="zh-CN"/>
        </w:rPr>
        <w:t>评标</w:t>
      </w:r>
      <w:r>
        <w:rPr>
          <w:rFonts w:hint="eastAsia" w:ascii="宋体" w:hAnsi="宋体" w:eastAsia="宋体" w:cs="宋体"/>
          <w:b w:val="0"/>
          <w:snapToGrid w:val="0"/>
          <w:sz w:val="21"/>
          <w:szCs w:val="21"/>
          <w:highlight w:val="none"/>
        </w:rPr>
        <w:t>结果</w:t>
      </w:r>
      <w:bookmarkEnd w:id="472"/>
      <w:bookmarkEnd w:id="473"/>
      <w:bookmarkEnd w:id="474"/>
      <w:bookmarkEnd w:id="475"/>
      <w:bookmarkEnd w:id="476"/>
      <w:bookmarkEnd w:id="477"/>
      <w:bookmarkEnd w:id="478"/>
      <w:bookmarkEnd w:id="479"/>
      <w:bookmarkEnd w:id="480"/>
      <w:bookmarkEnd w:id="481"/>
    </w:p>
    <w:p w14:paraId="72326544">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spacing w:val="-1"/>
          <w:kern w:val="0"/>
          <w:sz w:val="21"/>
          <w:szCs w:val="21"/>
          <w:highlight w:val="none"/>
        </w:rPr>
        <w:t>4</w:t>
      </w:r>
      <w:r>
        <w:rPr>
          <w:rFonts w:hint="eastAsia" w:ascii="宋体" w:hAnsi="宋体" w:eastAsia="宋体" w:cs="宋体"/>
          <w:kern w:val="0"/>
          <w:sz w:val="21"/>
          <w:szCs w:val="21"/>
          <w:highlight w:val="none"/>
        </w:rPr>
        <w:t xml:space="preserve">.1 </w:t>
      </w:r>
      <w:r>
        <w:rPr>
          <w:rFonts w:hint="eastAsia" w:ascii="宋体" w:hAnsi="宋体" w:eastAsia="宋体" w:cs="宋体"/>
          <w:spacing w:val="1"/>
          <w:kern w:val="0"/>
          <w:sz w:val="21"/>
          <w:szCs w:val="21"/>
          <w:highlight w:val="none"/>
        </w:rPr>
        <w:t xml:space="preserve"> </w:t>
      </w:r>
      <w:r>
        <w:rPr>
          <w:rFonts w:hint="eastAsia" w:ascii="宋体" w:hAnsi="宋体" w:eastAsia="宋体" w:cs="宋体"/>
          <w:kern w:val="0"/>
          <w:sz w:val="21"/>
          <w:szCs w:val="21"/>
          <w:highlight w:val="none"/>
        </w:rPr>
        <w:t>除第二章“竞标人须知”前</w:t>
      </w:r>
      <w:r>
        <w:rPr>
          <w:rFonts w:hint="eastAsia" w:ascii="宋体" w:hAnsi="宋体" w:eastAsia="宋体" w:cs="宋体"/>
          <w:spacing w:val="1"/>
          <w:kern w:val="0"/>
          <w:sz w:val="21"/>
          <w:szCs w:val="21"/>
          <w:highlight w:val="none"/>
        </w:rPr>
        <w:t>附</w:t>
      </w:r>
      <w:r>
        <w:rPr>
          <w:rFonts w:hint="eastAsia" w:ascii="宋体" w:hAnsi="宋体" w:eastAsia="宋体" w:cs="宋体"/>
          <w:kern w:val="0"/>
          <w:sz w:val="21"/>
          <w:szCs w:val="21"/>
          <w:highlight w:val="none"/>
        </w:rPr>
        <w:t>表授权直</w:t>
      </w:r>
      <w:r>
        <w:rPr>
          <w:rFonts w:hint="eastAsia" w:ascii="宋体" w:hAnsi="宋体" w:eastAsia="宋体" w:cs="宋体"/>
          <w:spacing w:val="1"/>
          <w:kern w:val="0"/>
          <w:sz w:val="21"/>
          <w:szCs w:val="21"/>
          <w:highlight w:val="none"/>
        </w:rPr>
        <w:t>接</w:t>
      </w:r>
      <w:r>
        <w:rPr>
          <w:rFonts w:hint="eastAsia" w:ascii="宋体" w:hAnsi="宋体" w:eastAsia="宋体" w:cs="宋体"/>
          <w:kern w:val="0"/>
          <w:sz w:val="21"/>
          <w:szCs w:val="21"/>
          <w:highlight w:val="none"/>
        </w:rPr>
        <w:t>确定</w:t>
      </w:r>
      <w:r>
        <w:rPr>
          <w:rFonts w:hint="eastAsia" w:ascii="宋体" w:hAnsi="宋体" w:eastAsia="宋体" w:cs="宋体"/>
          <w:kern w:val="0"/>
          <w:sz w:val="21"/>
          <w:szCs w:val="21"/>
          <w:highlight w:val="none"/>
          <w:lang w:eastAsia="zh-CN"/>
        </w:rPr>
        <w:t>中选</w:t>
      </w:r>
      <w:r>
        <w:rPr>
          <w:rFonts w:hint="eastAsia" w:ascii="宋体" w:hAnsi="宋体" w:eastAsia="宋体" w:cs="宋体"/>
          <w:spacing w:val="1"/>
          <w:kern w:val="0"/>
          <w:sz w:val="21"/>
          <w:szCs w:val="21"/>
          <w:highlight w:val="none"/>
        </w:rPr>
        <w:t>人</w:t>
      </w:r>
      <w:r>
        <w:rPr>
          <w:rFonts w:hint="eastAsia" w:ascii="宋体" w:hAnsi="宋体" w:eastAsia="宋体" w:cs="宋体"/>
          <w:kern w:val="0"/>
          <w:sz w:val="21"/>
          <w:szCs w:val="21"/>
          <w:highlight w:val="none"/>
        </w:rPr>
        <w:t>外，</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按照</w:t>
      </w:r>
      <w:r>
        <w:rPr>
          <w:rFonts w:hint="eastAsia" w:ascii="宋体" w:hAnsi="宋体" w:eastAsia="宋体" w:cs="宋体"/>
          <w:spacing w:val="1"/>
          <w:kern w:val="0"/>
          <w:sz w:val="21"/>
          <w:szCs w:val="21"/>
          <w:highlight w:val="none"/>
        </w:rPr>
        <w:t>得分</w:t>
      </w:r>
      <w:r>
        <w:rPr>
          <w:rFonts w:hint="eastAsia" w:ascii="宋体" w:hAnsi="宋体" w:eastAsia="宋体" w:cs="宋体"/>
          <w:kern w:val="0"/>
          <w:sz w:val="21"/>
          <w:szCs w:val="21"/>
          <w:highlight w:val="none"/>
        </w:rPr>
        <w:t>由高到低的顺序推荐</w:t>
      </w:r>
      <w:r>
        <w:rPr>
          <w:rFonts w:hint="eastAsia" w:ascii="宋体" w:hAnsi="宋体" w:eastAsia="宋体" w:cs="宋体"/>
          <w:kern w:val="0"/>
          <w:sz w:val="21"/>
          <w:szCs w:val="21"/>
          <w:highlight w:val="none"/>
          <w:lang w:eastAsia="zh-CN"/>
        </w:rPr>
        <w:t>中选</w:t>
      </w:r>
      <w:r>
        <w:rPr>
          <w:rFonts w:hint="eastAsia" w:ascii="宋体" w:hAnsi="宋体" w:eastAsia="宋体" w:cs="宋体"/>
          <w:kern w:val="0"/>
          <w:sz w:val="21"/>
          <w:szCs w:val="21"/>
          <w:highlight w:val="none"/>
        </w:rPr>
        <w:t>候选人。</w:t>
      </w:r>
    </w:p>
    <w:p w14:paraId="2B9C5CD2">
      <w:pPr>
        <w:autoSpaceDE w:val="0"/>
        <w:autoSpaceDN w:val="0"/>
        <w:adjustRightInd w:val="0"/>
        <w:snapToGrid w:val="0"/>
        <w:spacing w:line="360" w:lineRule="auto"/>
        <w:ind w:firstLine="424" w:firstLineChars="200"/>
        <w:rPr>
          <w:rFonts w:hint="eastAsia" w:ascii="宋体" w:hAnsi="宋体" w:eastAsia="宋体" w:cs="宋体"/>
          <w:kern w:val="0"/>
          <w:sz w:val="21"/>
          <w:szCs w:val="21"/>
          <w:highlight w:val="none"/>
        </w:rPr>
      </w:pPr>
      <w:r>
        <w:rPr>
          <w:rFonts w:hint="eastAsia" w:ascii="宋体" w:hAnsi="宋体" w:eastAsia="宋体" w:cs="宋体"/>
          <w:spacing w:val="1"/>
          <w:kern w:val="0"/>
          <w:sz w:val="21"/>
          <w:szCs w:val="21"/>
          <w:highlight w:val="none"/>
        </w:rPr>
        <w:t>3</w:t>
      </w:r>
      <w:r>
        <w:rPr>
          <w:rFonts w:hint="eastAsia" w:ascii="宋体" w:hAnsi="宋体" w:eastAsia="宋体" w:cs="宋体"/>
          <w:kern w:val="0"/>
          <w:sz w:val="21"/>
          <w:szCs w:val="21"/>
          <w:highlight w:val="none"/>
        </w:rPr>
        <w:t xml:space="preserve">.4.2  </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完成</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后，应当向</w:t>
      </w:r>
      <w:r>
        <w:rPr>
          <w:rFonts w:hint="eastAsia" w:ascii="宋体" w:hAnsi="宋体" w:eastAsia="宋体" w:cs="宋体"/>
          <w:kern w:val="0"/>
          <w:sz w:val="21"/>
          <w:szCs w:val="21"/>
          <w:highlight w:val="none"/>
          <w:lang w:eastAsia="zh-CN"/>
        </w:rPr>
        <w:t>比选</w:t>
      </w:r>
      <w:r>
        <w:rPr>
          <w:rFonts w:hint="eastAsia" w:ascii="宋体" w:hAnsi="宋体" w:eastAsia="宋体" w:cs="宋体"/>
          <w:kern w:val="0"/>
          <w:sz w:val="21"/>
          <w:szCs w:val="21"/>
          <w:highlight w:val="none"/>
        </w:rPr>
        <w:t>人提交书面</w:t>
      </w:r>
      <w:r>
        <w:rPr>
          <w:rFonts w:hint="eastAsia" w:ascii="宋体" w:hAnsi="宋体" w:eastAsia="宋体" w:cs="宋体"/>
          <w:kern w:val="0"/>
          <w:sz w:val="21"/>
          <w:szCs w:val="21"/>
          <w:highlight w:val="none"/>
          <w:lang w:val="en-US" w:eastAsia="zh-CN"/>
        </w:rPr>
        <w:t>评标</w:t>
      </w:r>
      <w:r>
        <w:rPr>
          <w:rFonts w:hint="eastAsia" w:ascii="宋体" w:hAnsi="宋体" w:eastAsia="宋体" w:cs="宋体"/>
          <w:kern w:val="0"/>
          <w:sz w:val="21"/>
          <w:szCs w:val="21"/>
          <w:highlight w:val="none"/>
        </w:rPr>
        <w:t>报告。</w:t>
      </w:r>
    </w:p>
    <w:p w14:paraId="36970583">
      <w:pPr>
        <w:widowControl/>
        <w:jc w:val="left"/>
        <w:rPr>
          <w:rFonts w:hint="eastAsia" w:ascii="宋体" w:hAnsi="宋体" w:eastAsia="宋体" w:cs="宋体"/>
          <w:bCs/>
          <w:sz w:val="21"/>
          <w:szCs w:val="21"/>
          <w:highlight w:val="none"/>
        </w:rPr>
      </w:pPr>
      <w:r>
        <w:rPr>
          <w:rFonts w:hint="eastAsia" w:ascii="宋体" w:hAnsi="宋体" w:eastAsia="宋体" w:cs="宋体"/>
          <w:b/>
          <w:sz w:val="21"/>
          <w:szCs w:val="21"/>
          <w:highlight w:val="none"/>
        </w:rPr>
        <w:br w:type="page"/>
      </w:r>
    </w:p>
    <w:p w14:paraId="6B7D6F15">
      <w:pPr>
        <w:pStyle w:val="4"/>
        <w:spacing w:before="0" w:after="0" w:line="360" w:lineRule="auto"/>
        <w:jc w:val="center"/>
        <w:rPr>
          <w:rFonts w:hint="eastAsia" w:ascii="宋体" w:hAnsi="宋体" w:eastAsia="宋体" w:cs="宋体"/>
          <w:b w:val="0"/>
          <w:sz w:val="21"/>
          <w:szCs w:val="21"/>
          <w:highlight w:val="none"/>
        </w:rPr>
      </w:pPr>
      <w:bookmarkStart w:id="482" w:name="_Toc104554763"/>
      <w:r>
        <w:rPr>
          <w:rFonts w:hint="eastAsia" w:ascii="宋体" w:hAnsi="宋体" w:eastAsia="宋体" w:cs="宋体"/>
          <w:b w:val="0"/>
          <w:sz w:val="21"/>
          <w:szCs w:val="21"/>
          <w:highlight w:val="none"/>
        </w:rPr>
        <w:t>附件A：综合评估法否决竞标情况一览表</w:t>
      </w:r>
      <w:bookmarkEnd w:id="482"/>
    </w:p>
    <w:p w14:paraId="14A3EA48">
      <w:pPr>
        <w:pStyle w:val="17"/>
        <w:spacing w:line="360" w:lineRule="auto"/>
        <w:ind w:firstLine="420" w:firstLineChars="20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竞标文件存在本一览表下列情形之一的，竞标文件视为重大偏差并作否决竞标处理，否则，评标委员会不得视为重大偏差而否决竞标人的竞标文件。</w:t>
      </w:r>
    </w:p>
    <w:tbl>
      <w:tblPr>
        <w:tblStyle w:val="22"/>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E53EF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0A45F50">
            <w:pPr>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章节号</w:t>
            </w:r>
          </w:p>
        </w:tc>
        <w:tc>
          <w:tcPr>
            <w:tcW w:w="1899" w:type="dxa"/>
            <w:vAlign w:val="center"/>
          </w:tcPr>
          <w:p w14:paraId="26DC1A78">
            <w:pPr>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333" w:type="dxa"/>
            <w:vAlign w:val="center"/>
          </w:tcPr>
          <w:p w14:paraId="01335B74">
            <w:pPr>
              <w:spacing w:line="4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否决竞标条件</w:t>
            </w:r>
          </w:p>
        </w:tc>
      </w:tr>
      <w:tr w14:paraId="5C1CBE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2386817">
            <w:pPr>
              <w:spacing w:line="400" w:lineRule="exact"/>
              <w:jc w:val="center"/>
              <w:rPr>
                <w:rFonts w:hint="eastAsia" w:ascii="宋体" w:hAnsi="宋体" w:eastAsia="宋体" w:cs="宋体"/>
                <w:sz w:val="21"/>
                <w:szCs w:val="21"/>
                <w:highlight w:val="none"/>
              </w:rPr>
            </w:pPr>
          </w:p>
        </w:tc>
        <w:tc>
          <w:tcPr>
            <w:tcW w:w="1899" w:type="dxa"/>
            <w:vMerge w:val="restart"/>
            <w:vAlign w:val="center"/>
          </w:tcPr>
          <w:p w14:paraId="1D789F26">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6333" w:type="dxa"/>
            <w:vAlign w:val="center"/>
          </w:tcPr>
          <w:p w14:paraId="1852CA4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A-1竞标人的资质条件、营业执照及安全生产条件须满足竞标人须知前附表1.4.1项第1条的要求，否则由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06FA83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F2CB74A">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39153F03">
            <w:pPr>
              <w:spacing w:line="400" w:lineRule="exact"/>
              <w:jc w:val="center"/>
              <w:rPr>
                <w:rFonts w:hint="eastAsia" w:ascii="宋体" w:hAnsi="宋体" w:eastAsia="宋体" w:cs="宋体"/>
                <w:sz w:val="21"/>
                <w:szCs w:val="21"/>
                <w:highlight w:val="none"/>
              </w:rPr>
            </w:pPr>
          </w:p>
        </w:tc>
        <w:tc>
          <w:tcPr>
            <w:tcW w:w="6333" w:type="dxa"/>
            <w:vAlign w:val="center"/>
          </w:tcPr>
          <w:p w14:paraId="36B9DB8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竞标人的竞标截止日竞标资格情况须满足竞标人须知前附表第1.4.1项第4条的要求，否则由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490EA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154EEA">
            <w:pPr>
              <w:spacing w:line="400" w:lineRule="exact"/>
              <w:jc w:val="center"/>
              <w:rPr>
                <w:rFonts w:hint="eastAsia" w:ascii="宋体" w:hAnsi="宋体" w:eastAsia="宋体" w:cs="宋体"/>
                <w:sz w:val="21"/>
                <w:szCs w:val="21"/>
                <w:highlight w:val="none"/>
              </w:rPr>
            </w:pPr>
          </w:p>
        </w:tc>
        <w:tc>
          <w:tcPr>
            <w:tcW w:w="1899" w:type="dxa"/>
            <w:vMerge w:val="restart"/>
            <w:vAlign w:val="center"/>
          </w:tcPr>
          <w:p w14:paraId="667255A6">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形式评审</w:t>
            </w:r>
          </w:p>
        </w:tc>
        <w:tc>
          <w:tcPr>
            <w:tcW w:w="6333" w:type="dxa"/>
          </w:tcPr>
          <w:p w14:paraId="2A9EBBA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竞标人名称必须与营业执照、资质证书、安全生产许可证一致，依法变更名称的应提交相应证明材料，否则由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7C5E2D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F7AB90">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06120097">
            <w:pPr>
              <w:spacing w:line="400" w:lineRule="exact"/>
              <w:jc w:val="center"/>
              <w:rPr>
                <w:rFonts w:hint="eastAsia" w:ascii="宋体" w:hAnsi="宋体" w:eastAsia="宋体" w:cs="宋体"/>
                <w:sz w:val="21"/>
                <w:szCs w:val="21"/>
                <w:highlight w:val="none"/>
              </w:rPr>
            </w:pPr>
          </w:p>
        </w:tc>
        <w:tc>
          <w:tcPr>
            <w:tcW w:w="6333" w:type="dxa"/>
          </w:tcPr>
          <w:p w14:paraId="225B718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竞标函格式规定签名、盖章的位置有法定代表人或其委托代理人签名（或盖章）、加盖单位法人章，否则由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1B98BC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F04EE8">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4C817978">
            <w:pPr>
              <w:spacing w:line="400" w:lineRule="exact"/>
              <w:jc w:val="center"/>
              <w:rPr>
                <w:rFonts w:hint="eastAsia" w:ascii="宋体" w:hAnsi="宋体" w:eastAsia="宋体" w:cs="宋体"/>
                <w:sz w:val="21"/>
                <w:szCs w:val="21"/>
                <w:highlight w:val="none"/>
              </w:rPr>
            </w:pPr>
          </w:p>
        </w:tc>
        <w:tc>
          <w:tcPr>
            <w:tcW w:w="6333" w:type="dxa"/>
          </w:tcPr>
          <w:p w14:paraId="0D594D8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竞标文件格式符合第二章“竞标人须知”第3.7款的要求，否则由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p w14:paraId="133E487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编制竞标文件时不得对第八章“竞标文件格式”的相应要素作实质性修改，否则由</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作否决竞标处理。</w:t>
            </w:r>
          </w:p>
        </w:tc>
      </w:tr>
      <w:tr w14:paraId="3A7561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08F0DE">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1C3E92B7">
            <w:pPr>
              <w:spacing w:line="400" w:lineRule="exact"/>
              <w:jc w:val="center"/>
              <w:rPr>
                <w:rFonts w:hint="eastAsia" w:ascii="宋体" w:hAnsi="宋体" w:eastAsia="宋体" w:cs="宋体"/>
                <w:sz w:val="21"/>
                <w:szCs w:val="21"/>
                <w:highlight w:val="none"/>
              </w:rPr>
            </w:pPr>
          </w:p>
        </w:tc>
        <w:tc>
          <w:tcPr>
            <w:tcW w:w="6333" w:type="dxa"/>
          </w:tcPr>
          <w:p w14:paraId="0E879432">
            <w:pPr>
              <w:autoSpaceDE w:val="0"/>
              <w:autoSpaceDN w:val="0"/>
              <w:adjustRightInd w:val="0"/>
              <w:snapToGrid w:val="0"/>
              <w:spacing w:line="400" w:lineRule="exact"/>
              <w:ind w:firstLine="420" w:firstLineChars="200"/>
              <w:rPr>
                <w:rFonts w:hint="eastAsia" w:ascii="宋体" w:hAnsi="宋体" w:eastAsia="宋体" w:cs="宋体"/>
                <w:i/>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竞标文件份数符合第二章“竞标人须知”第3.7.4项的规定，</w:t>
            </w:r>
            <w:r>
              <w:rPr>
                <w:rFonts w:hint="eastAsia" w:ascii="宋体" w:hAnsi="宋体" w:eastAsia="宋体" w:cs="宋体"/>
                <w:kern w:val="0"/>
                <w:sz w:val="21"/>
                <w:szCs w:val="21"/>
                <w:highlight w:val="none"/>
              </w:rPr>
              <w:t>否则由</w:t>
            </w:r>
            <w:r>
              <w:rPr>
                <w:rFonts w:hint="eastAsia" w:ascii="宋体" w:hAnsi="宋体" w:eastAsia="宋体" w:cs="宋体"/>
                <w:kern w:val="0"/>
                <w:sz w:val="21"/>
                <w:szCs w:val="21"/>
                <w:highlight w:val="none"/>
                <w:lang w:eastAsia="zh-CN"/>
              </w:rPr>
              <w:t>评标委员会</w:t>
            </w:r>
            <w:r>
              <w:rPr>
                <w:rFonts w:hint="eastAsia" w:ascii="宋体" w:hAnsi="宋体" w:eastAsia="宋体" w:cs="宋体"/>
                <w:kern w:val="0"/>
                <w:sz w:val="21"/>
                <w:szCs w:val="21"/>
                <w:highlight w:val="none"/>
              </w:rPr>
              <w:t>作否决竞标处理。</w:t>
            </w:r>
          </w:p>
        </w:tc>
      </w:tr>
      <w:tr w14:paraId="03F4B7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B06581">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0FD90E13">
            <w:pPr>
              <w:spacing w:line="400" w:lineRule="exact"/>
              <w:jc w:val="center"/>
              <w:rPr>
                <w:rFonts w:hint="eastAsia" w:ascii="宋体" w:hAnsi="宋体" w:eastAsia="宋体" w:cs="宋体"/>
                <w:sz w:val="21"/>
                <w:szCs w:val="21"/>
                <w:highlight w:val="none"/>
              </w:rPr>
            </w:pPr>
          </w:p>
        </w:tc>
        <w:tc>
          <w:tcPr>
            <w:tcW w:w="6333" w:type="dxa"/>
          </w:tcPr>
          <w:p w14:paraId="15D6E39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只能有一个有效报价。在</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文件没有规定的情况下，不得提交选择性报价，否则由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1C621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E5430">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649CBEE8">
            <w:pPr>
              <w:spacing w:line="400" w:lineRule="exact"/>
              <w:jc w:val="center"/>
              <w:rPr>
                <w:rFonts w:hint="eastAsia" w:ascii="宋体" w:hAnsi="宋体" w:eastAsia="宋体" w:cs="宋体"/>
                <w:sz w:val="21"/>
                <w:szCs w:val="21"/>
                <w:highlight w:val="none"/>
              </w:rPr>
            </w:pPr>
          </w:p>
        </w:tc>
        <w:tc>
          <w:tcPr>
            <w:tcW w:w="6333" w:type="dxa"/>
          </w:tcPr>
          <w:p w14:paraId="314CF9E1">
            <w:pPr>
              <w:autoSpaceDE w:val="0"/>
              <w:autoSpaceDN w:val="0"/>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8</w:t>
            </w:r>
            <w:r>
              <w:rPr>
                <w:rFonts w:hint="eastAsia" w:ascii="宋体" w:hAnsi="宋体" w:eastAsia="宋体" w:cs="宋体"/>
                <w:kern w:val="0"/>
                <w:sz w:val="21"/>
                <w:szCs w:val="21"/>
                <w:highlight w:val="none"/>
              </w:rPr>
              <w:t>第八章 竞标文件格式要求法定代表人或其委托代理人签名（或盖章）的须齐全。</w:t>
            </w:r>
            <w:r>
              <w:rPr>
                <w:rFonts w:hint="eastAsia" w:ascii="宋体" w:hAnsi="宋体" w:eastAsia="宋体" w:cs="宋体"/>
                <w:sz w:val="21"/>
                <w:szCs w:val="21"/>
                <w:highlight w:val="none"/>
              </w:rPr>
              <w:t>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785717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4F373A">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61057346">
            <w:pPr>
              <w:spacing w:line="400" w:lineRule="exact"/>
              <w:jc w:val="center"/>
              <w:rPr>
                <w:rFonts w:hint="eastAsia" w:ascii="宋体" w:hAnsi="宋体" w:eastAsia="宋体" w:cs="宋体"/>
                <w:sz w:val="21"/>
                <w:szCs w:val="21"/>
                <w:highlight w:val="none"/>
              </w:rPr>
            </w:pPr>
          </w:p>
        </w:tc>
        <w:tc>
          <w:tcPr>
            <w:tcW w:w="6333" w:type="dxa"/>
          </w:tcPr>
          <w:p w14:paraId="3D61E5A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竞标人法定代表人的委托代理人有法定代表人签署的授权委托书，否则由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0FD3A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3B84FF">
            <w:pPr>
              <w:spacing w:line="400" w:lineRule="exact"/>
              <w:jc w:val="center"/>
              <w:rPr>
                <w:rFonts w:hint="eastAsia" w:ascii="宋体" w:hAnsi="宋体" w:eastAsia="宋体" w:cs="宋体"/>
                <w:sz w:val="21"/>
                <w:szCs w:val="21"/>
                <w:highlight w:val="none"/>
              </w:rPr>
            </w:pPr>
          </w:p>
        </w:tc>
        <w:tc>
          <w:tcPr>
            <w:tcW w:w="1899" w:type="dxa"/>
            <w:vMerge w:val="restart"/>
            <w:vAlign w:val="center"/>
          </w:tcPr>
          <w:p w14:paraId="0C0FDC3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响应性评审</w:t>
            </w:r>
          </w:p>
        </w:tc>
        <w:tc>
          <w:tcPr>
            <w:tcW w:w="6333" w:type="dxa"/>
            <w:vAlign w:val="center"/>
          </w:tcPr>
          <w:p w14:paraId="5DBEF2F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竞标总报价必须与已标价工程量清单总报价一致，否则由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0D976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B3DED1">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5F50800B">
            <w:pPr>
              <w:spacing w:line="400" w:lineRule="exact"/>
              <w:jc w:val="center"/>
              <w:rPr>
                <w:rFonts w:hint="eastAsia" w:ascii="宋体" w:hAnsi="宋体" w:eastAsia="宋体" w:cs="宋体"/>
                <w:sz w:val="21"/>
                <w:szCs w:val="21"/>
                <w:highlight w:val="none"/>
              </w:rPr>
            </w:pPr>
          </w:p>
        </w:tc>
        <w:tc>
          <w:tcPr>
            <w:tcW w:w="6333" w:type="dxa"/>
            <w:vAlign w:val="center"/>
          </w:tcPr>
          <w:p w14:paraId="6CEA071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竞标总报价不得高于</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人公布的竞标总报价最高限价，否则由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59BA26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7A4E316">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420D0C96">
            <w:pPr>
              <w:spacing w:line="400" w:lineRule="exact"/>
              <w:jc w:val="center"/>
              <w:rPr>
                <w:rFonts w:hint="eastAsia" w:ascii="宋体" w:hAnsi="宋体" w:eastAsia="宋体" w:cs="宋体"/>
                <w:sz w:val="21"/>
                <w:szCs w:val="21"/>
                <w:highlight w:val="none"/>
              </w:rPr>
            </w:pPr>
          </w:p>
        </w:tc>
        <w:tc>
          <w:tcPr>
            <w:tcW w:w="6333" w:type="dxa"/>
            <w:vAlign w:val="center"/>
          </w:tcPr>
          <w:p w14:paraId="2C43673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竞标内容符合第二章“竞标人须知”第1.3.1项规定，否则由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0E689E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CE14639">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5BACADAB">
            <w:pPr>
              <w:spacing w:line="400" w:lineRule="exact"/>
              <w:jc w:val="center"/>
              <w:rPr>
                <w:rFonts w:hint="eastAsia" w:ascii="宋体" w:hAnsi="宋体" w:eastAsia="宋体" w:cs="宋体"/>
                <w:sz w:val="21"/>
                <w:szCs w:val="21"/>
                <w:highlight w:val="none"/>
              </w:rPr>
            </w:pPr>
          </w:p>
        </w:tc>
        <w:tc>
          <w:tcPr>
            <w:tcW w:w="6333" w:type="dxa"/>
            <w:vAlign w:val="center"/>
          </w:tcPr>
          <w:p w14:paraId="2F368D7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工期符合第二章“竞标人须知”第1.3.2项规定，否则由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025F3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06B223">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4C49682D">
            <w:pPr>
              <w:spacing w:line="400" w:lineRule="exact"/>
              <w:jc w:val="center"/>
              <w:rPr>
                <w:rFonts w:hint="eastAsia" w:ascii="宋体" w:hAnsi="宋体" w:eastAsia="宋体" w:cs="宋体"/>
                <w:sz w:val="21"/>
                <w:szCs w:val="21"/>
                <w:highlight w:val="none"/>
              </w:rPr>
            </w:pPr>
          </w:p>
        </w:tc>
        <w:tc>
          <w:tcPr>
            <w:tcW w:w="6333" w:type="dxa"/>
            <w:vAlign w:val="center"/>
          </w:tcPr>
          <w:p w14:paraId="3FBC14A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工程质量符合第二章“竞标人须知”第1.3.3项规定，否则由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3DF7DE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87415B">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5D922488">
            <w:pPr>
              <w:spacing w:line="400" w:lineRule="exact"/>
              <w:jc w:val="center"/>
              <w:rPr>
                <w:rFonts w:hint="eastAsia" w:ascii="宋体" w:hAnsi="宋体" w:eastAsia="宋体" w:cs="宋体"/>
                <w:sz w:val="21"/>
                <w:szCs w:val="21"/>
                <w:highlight w:val="none"/>
              </w:rPr>
            </w:pPr>
          </w:p>
        </w:tc>
        <w:tc>
          <w:tcPr>
            <w:tcW w:w="6333" w:type="dxa"/>
            <w:vAlign w:val="center"/>
          </w:tcPr>
          <w:p w14:paraId="15BC678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竞标有效期符合第二章“竞标人须知”第3.3.1项规定，否则由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6B2745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D9D407">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0298D456">
            <w:pPr>
              <w:spacing w:line="400" w:lineRule="exact"/>
              <w:jc w:val="center"/>
              <w:rPr>
                <w:rFonts w:hint="eastAsia" w:ascii="宋体" w:hAnsi="宋体" w:eastAsia="宋体" w:cs="宋体"/>
                <w:sz w:val="21"/>
                <w:szCs w:val="21"/>
                <w:highlight w:val="none"/>
              </w:rPr>
            </w:pPr>
          </w:p>
        </w:tc>
        <w:tc>
          <w:tcPr>
            <w:tcW w:w="6333" w:type="dxa"/>
            <w:vAlign w:val="center"/>
          </w:tcPr>
          <w:p w14:paraId="281D41C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竞标人应按竞标人须知前附表第3.4款的规定递交竞标保证金，并作为其竞标文件的组成部分，否则由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1979A6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8345A2">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4CED4D82">
            <w:pPr>
              <w:spacing w:line="400" w:lineRule="exact"/>
              <w:jc w:val="center"/>
              <w:rPr>
                <w:rFonts w:hint="eastAsia" w:ascii="宋体" w:hAnsi="宋体" w:eastAsia="宋体" w:cs="宋体"/>
                <w:sz w:val="21"/>
                <w:szCs w:val="21"/>
                <w:highlight w:val="none"/>
              </w:rPr>
            </w:pPr>
          </w:p>
        </w:tc>
        <w:tc>
          <w:tcPr>
            <w:tcW w:w="6333" w:type="dxa"/>
            <w:vAlign w:val="center"/>
          </w:tcPr>
          <w:p w14:paraId="633BFD7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符合第四章“合同条款及格式”规定，竞标文件不应附有</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人不能接受的条件，否则由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作否决竞标处理。（由竞标人承诺，承诺书格式详见第八章竞标文件格式。）</w:t>
            </w:r>
          </w:p>
        </w:tc>
      </w:tr>
      <w:tr w14:paraId="6F5479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DFFD99">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79327A3C">
            <w:pPr>
              <w:spacing w:line="400" w:lineRule="exact"/>
              <w:jc w:val="center"/>
              <w:rPr>
                <w:rFonts w:hint="eastAsia" w:ascii="宋体" w:hAnsi="宋体" w:eastAsia="宋体" w:cs="宋体"/>
                <w:sz w:val="21"/>
                <w:szCs w:val="21"/>
                <w:highlight w:val="none"/>
              </w:rPr>
            </w:pPr>
          </w:p>
        </w:tc>
        <w:tc>
          <w:tcPr>
            <w:tcW w:w="6333" w:type="dxa"/>
            <w:vAlign w:val="center"/>
          </w:tcPr>
          <w:p w14:paraId="582A104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符合第七章“技术标准和要求”规定。否则由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作否决竞标处理（如有）。（由竞标人承诺，承诺书格式详见第八章竞标文件格式。）</w:t>
            </w:r>
          </w:p>
        </w:tc>
      </w:tr>
      <w:tr w14:paraId="0ADE9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2F40F3">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5AF5FC5D">
            <w:pPr>
              <w:spacing w:line="400" w:lineRule="exact"/>
              <w:jc w:val="center"/>
              <w:rPr>
                <w:rFonts w:hint="eastAsia" w:ascii="宋体" w:hAnsi="宋体" w:eastAsia="宋体" w:cs="宋体"/>
                <w:sz w:val="21"/>
                <w:szCs w:val="21"/>
                <w:highlight w:val="none"/>
              </w:rPr>
            </w:pPr>
          </w:p>
        </w:tc>
        <w:tc>
          <w:tcPr>
            <w:tcW w:w="6333" w:type="dxa"/>
            <w:vAlign w:val="center"/>
          </w:tcPr>
          <w:p w14:paraId="1914C68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竞标人提供的关于已标价工程量清单的承诺符合</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文件的要求，竞标人的每项清单综合单价报价不得超过每项清单综合单价最高限价，否则由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作否决投标处理。否则由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3F826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129902">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63F73626">
            <w:pPr>
              <w:spacing w:line="400" w:lineRule="exact"/>
              <w:jc w:val="center"/>
              <w:rPr>
                <w:rFonts w:hint="eastAsia" w:ascii="宋体" w:hAnsi="宋体" w:eastAsia="宋体" w:cs="宋体"/>
                <w:sz w:val="21"/>
                <w:szCs w:val="21"/>
                <w:highlight w:val="none"/>
              </w:rPr>
            </w:pPr>
          </w:p>
        </w:tc>
        <w:tc>
          <w:tcPr>
            <w:tcW w:w="6333" w:type="dxa"/>
            <w:vAlign w:val="center"/>
          </w:tcPr>
          <w:p w14:paraId="268865F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竞标报价有算术错误的，按照第三章“</w:t>
            </w:r>
            <w:r>
              <w:rPr>
                <w:rFonts w:hint="eastAsia" w:ascii="宋体" w:hAnsi="宋体" w:eastAsia="宋体" w:cs="宋体"/>
                <w:sz w:val="21"/>
                <w:szCs w:val="21"/>
                <w:highlight w:val="none"/>
                <w:lang w:eastAsia="zh-CN"/>
              </w:rPr>
              <w:t>比选</w:t>
            </w:r>
            <w:r>
              <w:rPr>
                <w:rFonts w:hint="eastAsia" w:ascii="宋体" w:hAnsi="宋体" w:eastAsia="宋体" w:cs="宋体"/>
                <w:sz w:val="21"/>
                <w:szCs w:val="21"/>
                <w:highlight w:val="none"/>
              </w:rPr>
              <w:t>办法”第3.1.3项规定执行，否则由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tc>
      </w:tr>
      <w:tr w14:paraId="282DB8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F7F87D">
            <w:pPr>
              <w:spacing w:line="400" w:lineRule="exact"/>
              <w:jc w:val="center"/>
              <w:rPr>
                <w:rFonts w:hint="eastAsia" w:ascii="宋体" w:hAnsi="宋体" w:eastAsia="宋体" w:cs="宋体"/>
                <w:sz w:val="21"/>
                <w:szCs w:val="21"/>
                <w:highlight w:val="none"/>
              </w:rPr>
            </w:pPr>
          </w:p>
        </w:tc>
        <w:tc>
          <w:tcPr>
            <w:tcW w:w="1899" w:type="dxa"/>
            <w:vMerge w:val="continue"/>
            <w:vAlign w:val="center"/>
          </w:tcPr>
          <w:p w14:paraId="21FB2ED4">
            <w:pPr>
              <w:spacing w:line="400" w:lineRule="exact"/>
              <w:jc w:val="center"/>
              <w:rPr>
                <w:rFonts w:hint="eastAsia" w:ascii="宋体" w:hAnsi="宋体" w:eastAsia="宋体" w:cs="宋体"/>
                <w:sz w:val="21"/>
                <w:szCs w:val="21"/>
                <w:highlight w:val="none"/>
              </w:rPr>
            </w:pPr>
          </w:p>
        </w:tc>
        <w:tc>
          <w:tcPr>
            <w:tcW w:w="6333" w:type="dxa"/>
            <w:vAlign w:val="center"/>
          </w:tcPr>
          <w:p w14:paraId="28F333C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竞标人有以下情形之一的，其竞标文件由</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作否决竞标处理：</w:t>
            </w:r>
          </w:p>
          <w:p w14:paraId="053D6D9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1.第二章“竞标人须知”第1.4.3项规定的任何一种情形的；</w:t>
            </w:r>
          </w:p>
          <w:p w14:paraId="6692CDF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2.本次竞标有串通竞标、弄虚作假等违反招投标相关法律、法规的行为的；</w:t>
            </w:r>
          </w:p>
          <w:p w14:paraId="5CDDC36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3.拒绝按</w:t>
            </w:r>
            <w:r>
              <w:rPr>
                <w:rFonts w:hint="eastAsia" w:ascii="宋体" w:hAnsi="宋体" w:eastAsia="宋体" w:cs="宋体"/>
                <w:sz w:val="21"/>
                <w:szCs w:val="21"/>
                <w:highlight w:val="none"/>
                <w:lang w:eastAsia="zh-CN"/>
              </w:rPr>
              <w:t>评标委员会</w:t>
            </w:r>
            <w:r>
              <w:rPr>
                <w:rFonts w:hint="eastAsia" w:ascii="宋体" w:hAnsi="宋体" w:eastAsia="宋体" w:cs="宋体"/>
                <w:sz w:val="21"/>
                <w:szCs w:val="21"/>
                <w:highlight w:val="none"/>
              </w:rPr>
              <w:t>要求澄清、说明或补正的。</w:t>
            </w:r>
          </w:p>
        </w:tc>
      </w:tr>
      <w:tr w14:paraId="2C23F0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4D8A6C2">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1899" w:type="dxa"/>
            <w:vAlign w:val="center"/>
          </w:tcPr>
          <w:p w14:paraId="51A3F14C">
            <w:pPr>
              <w:spacing w:line="400" w:lineRule="exact"/>
              <w:jc w:val="center"/>
              <w:rPr>
                <w:rFonts w:hint="eastAsia" w:ascii="宋体" w:hAnsi="宋体" w:eastAsia="宋体" w:cs="宋体"/>
                <w:sz w:val="21"/>
                <w:szCs w:val="21"/>
                <w:highlight w:val="none"/>
              </w:rPr>
            </w:pPr>
          </w:p>
        </w:tc>
        <w:tc>
          <w:tcPr>
            <w:tcW w:w="6333" w:type="dxa"/>
          </w:tcPr>
          <w:p w14:paraId="1B8003B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无</w:t>
            </w:r>
          </w:p>
        </w:tc>
      </w:tr>
    </w:tbl>
    <w:p w14:paraId="0181DEB5">
      <w:pPr>
        <w:pStyle w:val="30"/>
        <w:rPr>
          <w:rFonts w:hint="eastAsia" w:ascii="方正仿宋_GBK" w:hAnsi="方正仿宋_GBK" w:eastAsia="方正仿宋_GBK" w:cs="方正仿宋_GBK"/>
          <w:color w:val="auto"/>
          <w:highlight w:val="none"/>
        </w:rPr>
      </w:pPr>
    </w:p>
    <w:p w14:paraId="4516A73C">
      <w:pPr>
        <w:pStyle w:val="3"/>
        <w:keepNext w:val="0"/>
        <w:keepLines w:val="0"/>
        <w:tabs>
          <w:tab w:val="left" w:pos="0"/>
        </w:tabs>
        <w:wordWrap w:val="0"/>
        <w:autoSpaceDE w:val="0"/>
        <w:autoSpaceDN w:val="0"/>
        <w:snapToGrid w:val="0"/>
        <w:spacing w:before="0" w:after="0" w:line="288" w:lineRule="auto"/>
        <w:jc w:val="both"/>
        <w:rPr>
          <w:rFonts w:hint="eastAsia" w:ascii="宋体" w:hAnsi="宋体" w:eastAsia="宋体" w:cs="宋体"/>
          <w:color w:val="auto"/>
          <w:kern w:val="0"/>
          <w:sz w:val="32"/>
          <w:szCs w:val="32"/>
          <w:highlight w:val="none"/>
        </w:rPr>
      </w:pPr>
      <w:bookmarkStart w:id="483" w:name="_Toc24518"/>
    </w:p>
    <w:p w14:paraId="1A60D545">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p>
    <w:p w14:paraId="5F4E6209">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p>
    <w:p w14:paraId="2F1F167E">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p>
    <w:p w14:paraId="3AAB5B86">
      <w:pPr>
        <w:rPr>
          <w:rFonts w:hint="eastAsia" w:eastAsia="宋体"/>
          <w:lang w:eastAsia="zh-CN"/>
        </w:rPr>
      </w:pPr>
      <w:r>
        <w:rPr>
          <w:rFonts w:hint="eastAsia" w:ascii="宋体" w:hAnsi="宋体" w:eastAsia="宋体" w:cs="宋体"/>
          <w:color w:val="auto"/>
          <w:kern w:val="0"/>
          <w:sz w:val="32"/>
          <w:szCs w:val="32"/>
          <w:highlight w:val="none"/>
          <w:lang w:eastAsia="zh-CN"/>
        </w:rPr>
        <w:t>、</w:t>
      </w:r>
    </w:p>
    <w:p w14:paraId="4B1D93CD">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p>
    <w:p w14:paraId="57503237">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p>
    <w:p w14:paraId="2C2A6015">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第四章 合同条款及格式</w:t>
      </w:r>
      <w:bookmarkEnd w:id="483"/>
    </w:p>
    <w:p w14:paraId="4A26EAE6">
      <w:pPr>
        <w:pStyle w:val="3"/>
        <w:keepNext w:val="0"/>
        <w:keepLines w:val="0"/>
        <w:tabs>
          <w:tab w:val="left" w:pos="0"/>
        </w:tabs>
        <w:wordWrap w:val="0"/>
        <w:autoSpaceDE w:val="0"/>
        <w:autoSpaceDN w:val="0"/>
        <w:snapToGrid w:val="0"/>
        <w:spacing w:before="0" w:after="0" w:line="288" w:lineRule="auto"/>
        <w:jc w:val="center"/>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bookmarkStart w:id="484" w:name="_Toc463971734"/>
    </w:p>
    <w:bookmarkEnd w:id="383"/>
    <w:bookmarkEnd w:id="384"/>
    <w:bookmarkEnd w:id="385"/>
    <w:bookmarkEnd w:id="386"/>
    <w:bookmarkEnd w:id="387"/>
    <w:bookmarkEnd w:id="484"/>
    <w:p w14:paraId="15B15516">
      <w:pPr>
        <w:pStyle w:val="5"/>
        <w:jc w:val="center"/>
        <w:rPr>
          <w:rFonts w:hint="eastAsia" w:ascii="宋体" w:hAnsi="宋体" w:eastAsia="宋体" w:cs="宋体"/>
          <w:b w:val="0"/>
          <w:color w:val="auto"/>
          <w:sz w:val="30"/>
          <w:szCs w:val="30"/>
          <w:highlight w:val="none"/>
        </w:rPr>
      </w:pPr>
      <w:bookmarkStart w:id="485" w:name="_Toc11021"/>
      <w:bookmarkStart w:id="486" w:name="_Toc12845"/>
      <w:bookmarkStart w:id="487" w:name="_Toc534185765"/>
      <w:bookmarkStart w:id="488" w:name="_Toc509218786"/>
      <w:bookmarkStart w:id="489" w:name="_Toc433623101"/>
      <w:bookmarkStart w:id="490" w:name="_Toc370728718"/>
      <w:bookmarkStart w:id="491" w:name="_Toc351203494"/>
      <w:bookmarkStart w:id="492" w:name="_Toc17788"/>
      <w:bookmarkStart w:id="493" w:name="_Toc366845247"/>
      <w:r>
        <w:rPr>
          <w:rFonts w:hint="eastAsia" w:ascii="宋体" w:hAnsi="宋体" w:eastAsia="宋体" w:cs="宋体"/>
          <w:color w:val="auto"/>
          <w:sz w:val="30"/>
          <w:szCs w:val="30"/>
          <w:highlight w:val="none"/>
        </w:rPr>
        <w:t>第一部分 合同协议书</w:t>
      </w:r>
      <w:bookmarkEnd w:id="485"/>
      <w:bookmarkEnd w:id="486"/>
      <w:bookmarkEnd w:id="487"/>
      <w:bookmarkEnd w:id="488"/>
    </w:p>
    <w:p w14:paraId="3599EBAA">
      <w:pPr>
        <w:snapToGrid w:val="0"/>
        <w:spacing w:line="600" w:lineRule="exact"/>
        <w:ind w:firstLine="480" w:firstLineChars="200"/>
        <w:rPr>
          <w:rFonts w:hint="eastAsia" w:ascii="宋体" w:hAnsi="宋体" w:eastAsia="宋体" w:cs="宋体"/>
          <w:color w:val="auto"/>
          <w:sz w:val="24"/>
          <w:szCs w:val="24"/>
          <w:highlight w:val="none"/>
        </w:rPr>
      </w:pPr>
    </w:p>
    <w:p w14:paraId="78C37A80">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color w:val="auto"/>
          <w:sz w:val="21"/>
          <w:szCs w:val="21"/>
          <w:highlight w:val="none"/>
          <w:u w:val="single"/>
        </w:rPr>
        <w:t xml:space="preserve">                             </w:t>
      </w:r>
    </w:p>
    <w:p w14:paraId="13D1BE9D">
      <w:pPr>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color w:val="auto"/>
          <w:sz w:val="21"/>
          <w:szCs w:val="21"/>
          <w:highlight w:val="none"/>
          <w:u w:val="single"/>
        </w:rPr>
        <w:t xml:space="preserve">                             </w:t>
      </w:r>
    </w:p>
    <w:p w14:paraId="6658B88C">
      <w:pPr>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工程施工及有关事项协商一致，共同达成如下协议：</w:t>
      </w:r>
    </w:p>
    <w:p w14:paraId="0AA78271">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494" w:name="_Toc351203481"/>
      <w:bookmarkStart w:id="495" w:name="_Toc532377166"/>
      <w:bookmarkStart w:id="496" w:name="_Toc532375573"/>
      <w:r>
        <w:rPr>
          <w:rFonts w:hint="eastAsia" w:ascii="宋体" w:hAnsi="宋体" w:eastAsia="宋体" w:cs="宋体"/>
          <w:color w:val="auto"/>
          <w:kern w:val="2"/>
          <w:sz w:val="21"/>
          <w:szCs w:val="21"/>
          <w:highlight w:val="none"/>
        </w:rPr>
        <w:t>一、工程概况</w:t>
      </w:r>
      <w:bookmarkEnd w:id="494"/>
      <w:bookmarkEnd w:id="495"/>
      <w:bookmarkEnd w:id="496"/>
    </w:p>
    <w:p w14:paraId="059A67E7">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124DBA3">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5037002">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962B16B">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F928097">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CBD1F29">
      <w:pPr>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1E3FD75">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497" w:name="_Toc351203482"/>
      <w:bookmarkStart w:id="498" w:name="_Toc532375574"/>
      <w:bookmarkStart w:id="499" w:name="_Toc532377167"/>
      <w:r>
        <w:rPr>
          <w:rFonts w:hint="eastAsia" w:ascii="宋体" w:hAnsi="宋体" w:eastAsia="宋体" w:cs="宋体"/>
          <w:color w:val="auto"/>
          <w:kern w:val="2"/>
          <w:sz w:val="21"/>
          <w:szCs w:val="21"/>
          <w:highlight w:val="none"/>
        </w:rPr>
        <w:t>二、合同工期</w:t>
      </w:r>
      <w:bookmarkEnd w:id="497"/>
      <w:bookmarkEnd w:id="498"/>
      <w:bookmarkEnd w:id="499"/>
    </w:p>
    <w:p w14:paraId="243C11F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w:t>
      </w:r>
      <w:r>
        <w:rPr>
          <w:rFonts w:hint="eastAsia" w:ascii="宋体" w:hAnsi="宋体" w:eastAsia="宋体" w:cs="宋体"/>
          <w:bCs/>
          <w:color w:val="auto"/>
          <w:sz w:val="21"/>
          <w:szCs w:val="21"/>
          <w:highlight w:val="none"/>
          <w:lang w:eastAsia="zh-CN"/>
        </w:rPr>
        <w:t>竞标</w:t>
      </w:r>
      <w:r>
        <w:rPr>
          <w:rFonts w:hint="eastAsia" w:ascii="宋体" w:hAnsi="宋体" w:eastAsia="宋体" w:cs="宋体"/>
          <w:bCs/>
          <w:color w:val="auto"/>
          <w:sz w:val="21"/>
          <w:szCs w:val="21"/>
          <w:highlight w:val="none"/>
        </w:rPr>
        <w:t>函中承诺的工期：</w:t>
      </w:r>
      <w:r>
        <w:rPr>
          <w:rFonts w:hint="eastAsia" w:ascii="宋体" w:hAnsi="宋体" w:eastAsia="宋体" w:cs="宋体"/>
          <w:bCs/>
          <w:color w:val="auto"/>
          <w:sz w:val="21"/>
          <w:szCs w:val="21"/>
          <w:highlight w:val="none"/>
          <w:u w:val="single"/>
        </w:rPr>
        <w:t>日历天</w:t>
      </w:r>
      <w:r>
        <w:rPr>
          <w:rFonts w:hint="eastAsia" w:ascii="宋体" w:hAnsi="宋体" w:eastAsia="宋体" w:cs="宋体"/>
          <w:bCs/>
          <w:color w:val="auto"/>
          <w:sz w:val="21"/>
          <w:szCs w:val="21"/>
          <w:highlight w:val="none"/>
        </w:rPr>
        <w:t>。</w:t>
      </w:r>
    </w:p>
    <w:p w14:paraId="10C5668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计划开工日期：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日，实际开工日期以监理工程师签发的工程开工通知明确的开工日期为准。</w:t>
      </w:r>
    </w:p>
    <w:p w14:paraId="60F3114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计划竣工日期：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日，实际竣工日期以工程竣工验收合格之日为准。</w:t>
      </w:r>
    </w:p>
    <w:p w14:paraId="2ADDCA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工期总日历天数</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天。工期总日历天数与根据前述计划开竣工日期计算的工期天数不一</w:t>
      </w:r>
      <w:r>
        <w:rPr>
          <w:rFonts w:hint="eastAsia" w:ascii="宋体" w:hAnsi="宋体" w:eastAsia="宋体" w:cs="宋体"/>
          <w:color w:val="auto"/>
          <w:sz w:val="21"/>
          <w:szCs w:val="21"/>
          <w:highlight w:val="none"/>
        </w:rPr>
        <w:t>致的，以工期总日历天数为准。</w:t>
      </w:r>
    </w:p>
    <w:p w14:paraId="7699BC4E">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00" w:name="_Toc532377168"/>
      <w:bookmarkStart w:id="501" w:name="_Toc351203483"/>
      <w:bookmarkStart w:id="502" w:name="_Toc532375575"/>
      <w:r>
        <w:rPr>
          <w:rFonts w:hint="eastAsia" w:ascii="宋体" w:hAnsi="宋体" w:eastAsia="宋体" w:cs="宋体"/>
          <w:color w:val="auto"/>
          <w:kern w:val="2"/>
          <w:sz w:val="21"/>
          <w:szCs w:val="21"/>
          <w:highlight w:val="none"/>
        </w:rPr>
        <w:t>三、质量标准</w:t>
      </w:r>
      <w:bookmarkEnd w:id="500"/>
      <w:bookmarkEnd w:id="501"/>
      <w:bookmarkEnd w:id="502"/>
    </w:p>
    <w:p w14:paraId="2F915C4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工程质量符合强制性质量标准，</w:t>
      </w:r>
      <w:r>
        <w:rPr>
          <w:rFonts w:hint="eastAsia" w:ascii="宋体" w:hAnsi="宋体" w:eastAsia="宋体" w:cs="宋体"/>
          <w:color w:val="auto"/>
          <w:sz w:val="21"/>
          <w:szCs w:val="21"/>
          <w:highlight w:val="none"/>
          <w:u w:val="single"/>
        </w:rPr>
        <w:t>符合国家和重庆市现行有关施工质量验收规范和标准要求，并达到合格</w:t>
      </w:r>
      <w:r>
        <w:rPr>
          <w:rFonts w:hint="eastAsia" w:ascii="宋体" w:hAnsi="宋体" w:eastAsia="宋体" w:cs="宋体"/>
          <w:color w:val="auto"/>
          <w:sz w:val="21"/>
          <w:szCs w:val="21"/>
          <w:highlight w:val="none"/>
        </w:rPr>
        <w:t>标准。绿化植物养护期自项目竣工验收合格之日起 1 年，栽植及养护期间成活率要求达到100%。</w:t>
      </w:r>
    </w:p>
    <w:p w14:paraId="5AC3EB07">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03" w:name="_Toc532375576"/>
      <w:bookmarkStart w:id="504" w:name="_Toc351203484"/>
      <w:bookmarkStart w:id="505" w:name="_Toc532377169"/>
      <w:r>
        <w:rPr>
          <w:rFonts w:hint="eastAsia" w:ascii="宋体" w:hAnsi="宋体" w:eastAsia="宋体" w:cs="宋体"/>
          <w:color w:val="auto"/>
          <w:kern w:val="2"/>
          <w:sz w:val="21"/>
          <w:szCs w:val="21"/>
          <w:highlight w:val="none"/>
        </w:rPr>
        <w:t>四、签约合同价与合同价格形式</w:t>
      </w:r>
      <w:bookmarkEnd w:id="503"/>
      <w:bookmarkEnd w:id="504"/>
      <w:bookmarkEnd w:id="505"/>
      <w:r>
        <w:rPr>
          <w:rFonts w:hint="eastAsia" w:ascii="宋体" w:hAnsi="宋体" w:eastAsia="宋体" w:cs="宋体"/>
          <w:color w:val="auto"/>
          <w:kern w:val="2"/>
          <w:sz w:val="21"/>
          <w:szCs w:val="21"/>
          <w:highlight w:val="none"/>
        </w:rPr>
        <w:tab/>
      </w:r>
    </w:p>
    <w:p w14:paraId="724A64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函中承诺的</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价为：</w:t>
      </w:r>
    </w:p>
    <w:p w14:paraId="24B16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B19CF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2.签约合同价为：</w:t>
      </w:r>
    </w:p>
    <w:p w14:paraId="31B3E10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EF8A6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07E824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5BA12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636F1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79760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28B84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3E4CCA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855D6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3C750E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233956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（5）人工费（工资款）</w:t>
      </w:r>
    </w:p>
    <w:p w14:paraId="65A291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该项目实行人工费（工资款）与其他工程款分账管理，发包人将应付工程款中的人工费（工资款），以不低于已完成合同价款的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，农民工工资单独支付至承包人设立的农民工工资专用账户。</w:t>
      </w:r>
    </w:p>
    <w:p w14:paraId="70B2512F">
      <w:pPr>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单价合同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3057C6">
      <w:pPr>
        <w:spacing w:line="360" w:lineRule="auto"/>
        <w:ind w:firstLine="420" w:firstLineChars="200"/>
        <w:rPr>
          <w:rFonts w:hint="eastAsia"/>
          <w:color w:val="auto"/>
        </w:rPr>
      </w:pPr>
      <w:r>
        <w:rPr>
          <w:rFonts w:hint="eastAsia" w:ascii="宋体" w:hAnsi="宋体" w:eastAsia="宋体" w:cs="宋体"/>
          <w:color w:val="auto"/>
          <w:sz w:val="21"/>
          <w:szCs w:val="21"/>
          <w:highlight w:val="none"/>
          <w:lang w:val="en-US" w:eastAsia="zh-CN"/>
        </w:rPr>
        <w:t>4.工程款支付方式：</w:t>
      </w: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rPr>
        <w:t>竣工验收且审计结算后，并缴纳审计结算价款的3%作为质保金后，支付至审计结算价款的100%，3%的质保金待缺陷责任期满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年后无息退还。</w:t>
      </w:r>
    </w:p>
    <w:p w14:paraId="1CA4AF1C">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06" w:name="_Toc351203485"/>
      <w:bookmarkStart w:id="507" w:name="_Toc532377170"/>
      <w:bookmarkStart w:id="508" w:name="_Toc532375577"/>
      <w:r>
        <w:rPr>
          <w:rFonts w:hint="eastAsia" w:ascii="宋体" w:hAnsi="宋体" w:eastAsia="宋体" w:cs="宋体"/>
          <w:color w:val="auto"/>
          <w:kern w:val="2"/>
          <w:sz w:val="21"/>
          <w:szCs w:val="21"/>
          <w:highlight w:val="none"/>
        </w:rPr>
        <w:t>五、</w:t>
      </w:r>
      <w:bookmarkEnd w:id="506"/>
      <w:r>
        <w:rPr>
          <w:rFonts w:hint="eastAsia" w:ascii="宋体" w:hAnsi="宋体" w:eastAsia="宋体" w:cs="宋体"/>
          <w:color w:val="auto"/>
          <w:kern w:val="2"/>
          <w:sz w:val="21"/>
          <w:szCs w:val="21"/>
          <w:highlight w:val="none"/>
        </w:rPr>
        <w:t>项目经理及技术负责人</w:t>
      </w:r>
      <w:bookmarkEnd w:id="507"/>
      <w:bookmarkEnd w:id="508"/>
    </w:p>
    <w:p w14:paraId="3471AF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中承诺的项目经理：</w:t>
      </w:r>
    </w:p>
    <w:p w14:paraId="32B88E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B084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中承诺的项目经理：</w:t>
      </w:r>
    </w:p>
    <w:p w14:paraId="06F9C48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7557FC33">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09" w:name="_Toc532377171"/>
      <w:bookmarkStart w:id="510" w:name="_Toc351203486"/>
      <w:bookmarkStart w:id="511" w:name="_Toc532375578"/>
      <w:r>
        <w:rPr>
          <w:rFonts w:hint="eastAsia" w:ascii="宋体" w:hAnsi="宋体" w:eastAsia="宋体" w:cs="宋体"/>
          <w:color w:val="auto"/>
          <w:kern w:val="2"/>
          <w:sz w:val="21"/>
          <w:szCs w:val="21"/>
          <w:highlight w:val="none"/>
        </w:rPr>
        <w:t>六、合同文件构成</w:t>
      </w:r>
      <w:bookmarkEnd w:id="509"/>
      <w:bookmarkEnd w:id="510"/>
      <w:bookmarkEnd w:id="511"/>
    </w:p>
    <w:p w14:paraId="08AB90F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合同由以下文件构成：</w:t>
      </w:r>
    </w:p>
    <w:p w14:paraId="33FC1C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6E5D2E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通知书；</w:t>
      </w:r>
    </w:p>
    <w:p w14:paraId="7EFF23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函及</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函附录；</w:t>
      </w:r>
    </w:p>
    <w:p w14:paraId="64AA8E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74C5E2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37F0A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函及</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函附录除外）；</w:t>
      </w:r>
    </w:p>
    <w:p w14:paraId="444B67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（7）竞争性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文件及修改文件；</w:t>
      </w:r>
    </w:p>
    <w:p w14:paraId="677E64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（8）技术标准和要求；</w:t>
      </w:r>
    </w:p>
    <w:p w14:paraId="05CB26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（9）图纸；</w:t>
      </w:r>
    </w:p>
    <w:p w14:paraId="2B4133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6817E7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在合同订立、履行过程中形成的与合同有关的书面形式的文件均构成合同文件组成部分。</w:t>
      </w:r>
    </w:p>
    <w:p w14:paraId="2F9A8D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上述各项合同文件包括合同当事人就该项合同文件所作出的补充和修改，属于同一类内容的文件，应以最新签署的为准。专用合同条款及其附件须经合同当事人签名或盖章。</w:t>
      </w:r>
    </w:p>
    <w:p w14:paraId="760C1F60">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12" w:name="_Toc351203487"/>
      <w:bookmarkStart w:id="513" w:name="_Toc532377172"/>
      <w:bookmarkStart w:id="514" w:name="_Toc532375579"/>
      <w:r>
        <w:rPr>
          <w:rFonts w:hint="eastAsia" w:ascii="宋体" w:hAnsi="宋体" w:eastAsia="宋体" w:cs="宋体"/>
          <w:color w:val="auto"/>
          <w:kern w:val="2"/>
          <w:sz w:val="21"/>
          <w:szCs w:val="21"/>
          <w:highlight w:val="none"/>
        </w:rPr>
        <w:t>七、承诺</w:t>
      </w:r>
      <w:bookmarkEnd w:id="512"/>
      <w:bookmarkEnd w:id="513"/>
      <w:bookmarkEnd w:id="514"/>
    </w:p>
    <w:p w14:paraId="5609234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5236F22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承包人在资格审查资料中承 诺如</w:t>
      </w:r>
      <w:r>
        <w:rPr>
          <w:rFonts w:hint="eastAsia" w:ascii="宋体" w:hAnsi="宋体" w:eastAsia="宋体" w:cs="宋体"/>
          <w:color w:val="auto"/>
          <w:sz w:val="21"/>
          <w:szCs w:val="21"/>
          <w:highlight w:val="none"/>
          <w:lang w:eastAsia="zh-CN"/>
        </w:rPr>
        <w:t>中选</w:t>
      </w:r>
      <w:r>
        <w:rPr>
          <w:rFonts w:hint="eastAsia" w:ascii="宋体" w:hAnsi="宋体" w:eastAsia="宋体" w:cs="宋体"/>
          <w:color w:val="auto"/>
          <w:sz w:val="21"/>
          <w:szCs w:val="21"/>
          <w:highlight w:val="none"/>
        </w:rPr>
        <w:t>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1"/>
          <w:szCs w:val="21"/>
          <w:highlight w:val="none"/>
        </w:rPr>
        <w:t>。</w:t>
      </w:r>
    </w:p>
    <w:p w14:paraId="242F289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w:t>
      </w:r>
      <w:r>
        <w:rPr>
          <w:rFonts w:hint="eastAsia" w:ascii="宋体" w:hAnsi="宋体" w:eastAsia="宋体" w:cs="宋体"/>
          <w:bCs/>
          <w:color w:val="auto"/>
          <w:sz w:val="21"/>
          <w:szCs w:val="21"/>
          <w:highlight w:val="none"/>
          <w:lang w:eastAsia="zh-CN"/>
        </w:rPr>
        <w:t>竞标</w:t>
      </w:r>
      <w:r>
        <w:rPr>
          <w:rFonts w:hint="eastAsia" w:ascii="宋体" w:hAnsi="宋体" w:eastAsia="宋体" w:cs="宋体"/>
          <w:bCs/>
          <w:color w:val="auto"/>
          <w:sz w:val="21"/>
          <w:szCs w:val="21"/>
          <w:highlight w:val="none"/>
        </w:rPr>
        <w:t>形式签订合同的，双方理解并承诺不再就同一工程另行签订与合同实质性内容相背离的协议。</w:t>
      </w:r>
    </w:p>
    <w:p w14:paraId="6E917D5D">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15" w:name="_Toc532377173"/>
      <w:bookmarkStart w:id="516" w:name="_Toc351203488"/>
      <w:bookmarkStart w:id="517" w:name="_Toc532375580"/>
      <w:r>
        <w:rPr>
          <w:rFonts w:hint="eastAsia" w:ascii="宋体" w:hAnsi="宋体" w:eastAsia="宋体" w:cs="宋体"/>
          <w:color w:val="auto"/>
          <w:kern w:val="2"/>
          <w:sz w:val="21"/>
          <w:szCs w:val="21"/>
          <w:highlight w:val="none"/>
        </w:rPr>
        <w:t>八、词语含义</w:t>
      </w:r>
      <w:bookmarkEnd w:id="515"/>
      <w:bookmarkEnd w:id="516"/>
      <w:bookmarkEnd w:id="517"/>
    </w:p>
    <w:p w14:paraId="12B9A79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本协议书中词语含义与专用合同条款及通用合同条款中赋予的含义相同。</w:t>
      </w:r>
    </w:p>
    <w:p w14:paraId="045418C4">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18" w:name="_Toc532377174"/>
      <w:bookmarkStart w:id="519" w:name="_Toc532375581"/>
      <w:r>
        <w:rPr>
          <w:rFonts w:hint="eastAsia" w:ascii="宋体" w:hAnsi="宋体" w:eastAsia="宋体" w:cs="宋体"/>
          <w:color w:val="auto"/>
          <w:kern w:val="2"/>
          <w:sz w:val="21"/>
          <w:szCs w:val="21"/>
          <w:highlight w:val="none"/>
        </w:rPr>
        <w:t>九、签订时间</w:t>
      </w:r>
      <w:bookmarkEnd w:id="518"/>
      <w:bookmarkEnd w:id="519"/>
    </w:p>
    <w:p w14:paraId="2B21C8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20122851">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20" w:name="_Toc351203489"/>
      <w:bookmarkStart w:id="521" w:name="_Toc532377175"/>
      <w:bookmarkStart w:id="522" w:name="_Toc532375582"/>
      <w:r>
        <w:rPr>
          <w:rFonts w:hint="eastAsia" w:ascii="宋体" w:hAnsi="宋体" w:eastAsia="宋体" w:cs="宋体"/>
          <w:color w:val="auto"/>
          <w:kern w:val="2"/>
          <w:sz w:val="21"/>
          <w:szCs w:val="21"/>
          <w:highlight w:val="none"/>
        </w:rPr>
        <w:t>十、</w:t>
      </w:r>
      <w:bookmarkEnd w:id="520"/>
      <w:bookmarkStart w:id="523" w:name="_Toc351203490"/>
      <w:r>
        <w:rPr>
          <w:rFonts w:hint="eastAsia" w:ascii="宋体" w:hAnsi="宋体" w:eastAsia="宋体" w:cs="宋体"/>
          <w:color w:val="auto"/>
          <w:kern w:val="2"/>
          <w:sz w:val="21"/>
          <w:szCs w:val="21"/>
          <w:highlight w:val="none"/>
        </w:rPr>
        <w:t>签订地点</w:t>
      </w:r>
      <w:bookmarkEnd w:id="521"/>
      <w:bookmarkEnd w:id="522"/>
      <w:bookmarkEnd w:id="523"/>
    </w:p>
    <w:p w14:paraId="7514E7D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6E3743ED">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24" w:name="_Toc532377176"/>
      <w:bookmarkStart w:id="525" w:name="_Toc351203491"/>
      <w:bookmarkStart w:id="526" w:name="_Toc532375583"/>
      <w:r>
        <w:rPr>
          <w:rFonts w:hint="eastAsia" w:ascii="宋体" w:hAnsi="宋体" w:eastAsia="宋体" w:cs="宋体"/>
          <w:color w:val="auto"/>
          <w:kern w:val="2"/>
          <w:sz w:val="21"/>
          <w:szCs w:val="21"/>
          <w:highlight w:val="none"/>
        </w:rPr>
        <w:t>十一、补充协议</w:t>
      </w:r>
      <w:bookmarkEnd w:id="524"/>
      <w:bookmarkEnd w:id="525"/>
      <w:bookmarkEnd w:id="526"/>
    </w:p>
    <w:p w14:paraId="386F768A">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A95C814">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27" w:name="_Toc351203492"/>
      <w:bookmarkStart w:id="528" w:name="_Toc532375584"/>
      <w:bookmarkStart w:id="529" w:name="_Toc532377177"/>
      <w:r>
        <w:rPr>
          <w:rFonts w:hint="eastAsia" w:ascii="宋体" w:hAnsi="宋体" w:eastAsia="宋体" w:cs="宋体"/>
          <w:color w:val="auto"/>
          <w:kern w:val="2"/>
          <w:sz w:val="21"/>
          <w:szCs w:val="21"/>
          <w:highlight w:val="none"/>
        </w:rPr>
        <w:t>十二、合同生效</w:t>
      </w:r>
      <w:bookmarkEnd w:id="527"/>
      <w:bookmarkEnd w:id="528"/>
      <w:bookmarkEnd w:id="529"/>
    </w:p>
    <w:p w14:paraId="33B7E6A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合同在以下条件全部满足之后生效：</w:t>
      </w:r>
    </w:p>
    <w:p w14:paraId="62389C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1.合同</w:t>
      </w:r>
      <w:r>
        <w:rPr>
          <w:rFonts w:hint="eastAsia" w:ascii="宋体" w:hAnsi="宋体" w:eastAsia="宋体" w:cs="宋体"/>
          <w:color w:val="auto"/>
          <w:sz w:val="21"/>
          <w:szCs w:val="21"/>
          <w:highlight w:val="none"/>
        </w:rPr>
        <w:t>经双方法定代表人或其委托代理人签名并加盖单位</w:t>
      </w:r>
      <w:r>
        <w:rPr>
          <w:rFonts w:hint="eastAsia" w:ascii="宋体" w:hAnsi="宋体" w:eastAsia="宋体" w:cs="宋体"/>
          <w:snapToGrid w:val="0"/>
          <w:color w:val="auto"/>
          <w:kern w:val="0"/>
          <w:sz w:val="21"/>
          <w:szCs w:val="21"/>
          <w:highlight w:val="none"/>
        </w:rPr>
        <w:t>公章或合同专用章</w:t>
      </w:r>
      <w:r>
        <w:rPr>
          <w:rFonts w:hint="eastAsia" w:ascii="宋体" w:hAnsi="宋体" w:eastAsia="宋体" w:cs="宋体"/>
          <w:color w:val="auto"/>
          <w:sz w:val="21"/>
          <w:szCs w:val="21"/>
          <w:highlight w:val="none"/>
        </w:rPr>
        <w:t>；</w:t>
      </w:r>
    </w:p>
    <w:p w14:paraId="32E9AA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2.采用保函形式递交履约担保的，承包人按合同约定向发包人提交履约担保后；</w:t>
      </w:r>
    </w:p>
    <w:p w14:paraId="124535F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468C6F">
      <w:pPr>
        <w:pStyle w:val="6"/>
        <w:keepNext/>
        <w:keepLines/>
        <w:spacing w:before="120" w:after="120" w:line="360" w:lineRule="auto"/>
        <w:ind w:firstLine="422" w:firstLineChars="200"/>
        <w:jc w:val="both"/>
        <w:rPr>
          <w:rFonts w:hint="eastAsia" w:ascii="宋体" w:hAnsi="宋体" w:eastAsia="宋体" w:cs="宋体"/>
          <w:color w:val="auto"/>
          <w:kern w:val="2"/>
          <w:sz w:val="21"/>
          <w:szCs w:val="21"/>
          <w:highlight w:val="none"/>
        </w:rPr>
      </w:pPr>
      <w:bookmarkStart w:id="530" w:name="_Toc532375585"/>
      <w:bookmarkStart w:id="531" w:name="_Toc351203493"/>
      <w:bookmarkStart w:id="532" w:name="_Toc532377178"/>
      <w:r>
        <w:rPr>
          <w:rFonts w:hint="eastAsia" w:ascii="宋体" w:hAnsi="宋体" w:eastAsia="宋体" w:cs="宋体"/>
          <w:color w:val="auto"/>
          <w:kern w:val="2"/>
          <w:sz w:val="21"/>
          <w:szCs w:val="21"/>
          <w:highlight w:val="none"/>
        </w:rPr>
        <w:t>十三、合同份数</w:t>
      </w:r>
      <w:bookmarkEnd w:id="530"/>
      <w:bookmarkEnd w:id="531"/>
      <w:bookmarkEnd w:id="532"/>
    </w:p>
    <w:p w14:paraId="18A2E3C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份，其中正本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份，双方各持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份，双方各执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份。副本与正本不一致时，以正本为准。</w:t>
      </w:r>
    </w:p>
    <w:p w14:paraId="0AAF309F">
      <w:pPr>
        <w:spacing w:line="360" w:lineRule="auto"/>
        <w:ind w:firstLine="420" w:firstLineChars="200"/>
        <w:rPr>
          <w:rFonts w:hint="eastAsia" w:ascii="宋体" w:hAnsi="宋体" w:eastAsia="宋体" w:cs="宋体"/>
          <w:bCs/>
          <w:color w:val="auto"/>
          <w:sz w:val="21"/>
          <w:szCs w:val="21"/>
          <w:highlight w:val="none"/>
        </w:rPr>
      </w:pPr>
    </w:p>
    <w:p w14:paraId="109331F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（以下为签名盖章页）。</w:t>
      </w:r>
    </w:p>
    <w:p w14:paraId="77B35FAB">
      <w:pPr>
        <w:pStyle w:val="2"/>
        <w:spacing w:line="360" w:lineRule="auto"/>
        <w:ind w:firstLine="420" w:firstLineChars="200"/>
        <w:rPr>
          <w:rFonts w:hint="eastAsia" w:ascii="宋体" w:hAnsi="宋体" w:eastAsia="宋体" w:cs="宋体"/>
          <w:color w:val="auto"/>
          <w:sz w:val="21"/>
          <w:szCs w:val="21"/>
          <w:highlight w:val="none"/>
        </w:rPr>
      </w:pPr>
    </w:p>
    <w:p w14:paraId="597AA7D6">
      <w:pPr>
        <w:pStyle w:val="2"/>
        <w:spacing w:line="360" w:lineRule="auto"/>
        <w:ind w:firstLine="420" w:firstLineChars="200"/>
        <w:rPr>
          <w:rFonts w:hint="eastAsia" w:ascii="宋体" w:hAnsi="宋体" w:eastAsia="宋体" w:cs="宋体"/>
          <w:color w:val="auto"/>
          <w:sz w:val="21"/>
          <w:szCs w:val="21"/>
          <w:highlight w:val="none"/>
        </w:rPr>
      </w:pPr>
    </w:p>
    <w:p w14:paraId="2B56045D">
      <w:pPr>
        <w:adjustRightIn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（盖单位公章或合同专用章）</w:t>
      </w:r>
    </w:p>
    <w:p w14:paraId="7C1021A3">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388CAE41">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4C5F391B">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2DABBAA1">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7E0BA647">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197EB22D">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C58E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3E36F21">
      <w:pPr>
        <w:spacing w:line="360" w:lineRule="auto"/>
        <w:rPr>
          <w:rFonts w:hint="eastAsia" w:ascii="宋体" w:hAnsi="宋体" w:eastAsia="宋体" w:cs="宋体"/>
          <w:snapToGrid w:val="0"/>
          <w:color w:val="auto"/>
          <w:kern w:val="0"/>
          <w:sz w:val="21"/>
          <w:szCs w:val="21"/>
          <w:highlight w:val="none"/>
        </w:rPr>
      </w:pPr>
    </w:p>
    <w:p w14:paraId="5E7A0B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承包人：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（盖单位公章或合同专用章）</w:t>
      </w:r>
    </w:p>
    <w:p w14:paraId="74068D2F">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1DEA51DC">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0D7CD2F4">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5870C18A">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5C3125F8">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1D316CB1">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006B31F0">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79624584">
      <w:pPr>
        <w:pStyle w:val="2"/>
        <w:spacing w:line="360" w:lineRule="auto"/>
        <w:rPr>
          <w:rFonts w:hint="eastAsia" w:ascii="宋体" w:hAnsi="宋体" w:eastAsia="宋体" w:cs="宋体"/>
          <w:color w:val="auto"/>
          <w:szCs w:val="21"/>
          <w:highlight w:val="none"/>
        </w:rPr>
      </w:pPr>
    </w:p>
    <w:p w14:paraId="1FA9BBAE">
      <w:pPr>
        <w:pStyle w:val="4"/>
        <w:wordWrap w:val="0"/>
        <w:spacing w:before="0" w:after="0"/>
        <w:jc w:val="both"/>
        <w:rPr>
          <w:rFonts w:hint="eastAsia" w:ascii="宋体" w:hAnsi="宋体" w:eastAsia="宋体" w:cs="宋体"/>
          <w:color w:val="auto"/>
          <w:sz w:val="24"/>
          <w:szCs w:val="24"/>
          <w:highlight w:val="none"/>
        </w:rPr>
      </w:pPr>
    </w:p>
    <w:p w14:paraId="783DDBB4">
      <w:pPr>
        <w:rPr>
          <w:rFonts w:hint="eastAsia" w:ascii="宋体" w:hAnsi="宋体" w:eastAsia="宋体" w:cs="宋体"/>
          <w:color w:val="auto"/>
          <w:sz w:val="24"/>
          <w:szCs w:val="24"/>
          <w:highlight w:val="none"/>
        </w:rPr>
      </w:pPr>
    </w:p>
    <w:p w14:paraId="226B0FBF">
      <w:pPr>
        <w:rPr>
          <w:rFonts w:hint="eastAsia" w:ascii="宋体" w:hAnsi="宋体" w:eastAsia="宋体" w:cs="宋体"/>
          <w:color w:val="auto"/>
          <w:sz w:val="24"/>
          <w:szCs w:val="24"/>
          <w:highlight w:val="none"/>
        </w:rPr>
      </w:pPr>
    </w:p>
    <w:p w14:paraId="6CAEDDFB">
      <w:pPr>
        <w:rPr>
          <w:rFonts w:hint="eastAsia" w:ascii="宋体" w:hAnsi="宋体" w:eastAsia="宋体" w:cs="宋体"/>
          <w:color w:val="auto"/>
          <w:sz w:val="24"/>
          <w:szCs w:val="24"/>
          <w:highlight w:val="none"/>
        </w:rPr>
      </w:pPr>
    </w:p>
    <w:p w14:paraId="23707607">
      <w:pPr>
        <w:pStyle w:val="2"/>
        <w:rPr>
          <w:rFonts w:hint="eastAsia" w:ascii="宋体" w:hAnsi="宋体" w:eastAsia="宋体" w:cs="宋体"/>
          <w:color w:val="auto"/>
          <w:sz w:val="24"/>
          <w:szCs w:val="24"/>
          <w:highlight w:val="none"/>
        </w:rPr>
      </w:pPr>
    </w:p>
    <w:p w14:paraId="27FC8754">
      <w:pPr>
        <w:rPr>
          <w:rFonts w:hint="eastAsia" w:ascii="宋体" w:hAnsi="宋体" w:eastAsia="宋体" w:cs="宋体"/>
          <w:color w:val="auto"/>
          <w:sz w:val="24"/>
          <w:szCs w:val="24"/>
          <w:highlight w:val="none"/>
        </w:rPr>
      </w:pPr>
    </w:p>
    <w:p w14:paraId="7C996A28">
      <w:pPr>
        <w:pStyle w:val="2"/>
        <w:rPr>
          <w:rFonts w:hint="eastAsia"/>
        </w:rPr>
      </w:pPr>
    </w:p>
    <w:p w14:paraId="1FBAC33F">
      <w:pPr>
        <w:rPr>
          <w:rFonts w:hint="eastAsia" w:ascii="宋体" w:hAnsi="宋体" w:eastAsia="宋体" w:cs="宋体"/>
          <w:color w:val="auto"/>
          <w:sz w:val="24"/>
          <w:szCs w:val="24"/>
          <w:highlight w:val="none"/>
        </w:rPr>
      </w:pPr>
    </w:p>
    <w:p w14:paraId="3838FEB2">
      <w:pPr>
        <w:rPr>
          <w:rFonts w:hint="eastAsia" w:ascii="宋体" w:hAnsi="宋体" w:eastAsia="宋体" w:cs="宋体"/>
          <w:color w:val="auto"/>
          <w:sz w:val="24"/>
          <w:szCs w:val="24"/>
          <w:highlight w:val="none"/>
        </w:rPr>
      </w:pPr>
    </w:p>
    <w:p w14:paraId="463CF95E">
      <w:pPr>
        <w:pStyle w:val="4"/>
        <w:wordWrap w:val="0"/>
        <w:spacing w:before="0" w:after="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第二部分 通用合同条款</w:t>
      </w:r>
      <w:bookmarkEnd w:id="489"/>
      <w:bookmarkEnd w:id="490"/>
      <w:bookmarkEnd w:id="491"/>
      <w:bookmarkEnd w:id="492"/>
      <w:bookmarkEnd w:id="493"/>
      <w:bookmarkStart w:id="533" w:name="_Toc337558727"/>
    </w:p>
    <w:bookmarkEnd w:id="533"/>
    <w:p w14:paraId="7360148D">
      <w:pPr>
        <w:ind w:firstLine="480" w:firstLineChars="200"/>
        <w:rPr>
          <w:rFonts w:hint="eastAsia" w:ascii="宋体" w:hAnsi="宋体" w:eastAsia="宋体" w:cs="宋体"/>
          <w:color w:val="auto"/>
          <w:sz w:val="24"/>
          <w:szCs w:val="24"/>
          <w:highlight w:val="none"/>
        </w:rPr>
      </w:pPr>
      <w:bookmarkStart w:id="534" w:name="_Toc351203632"/>
    </w:p>
    <w:p w14:paraId="211849F7">
      <w:pPr>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通用合同条款直接采用中华人民共和国住房和城乡建设部与</w:t>
      </w:r>
      <w:r>
        <w:rPr>
          <w:rFonts w:hint="eastAsia" w:ascii="宋体" w:hAnsi="宋体" w:eastAsia="宋体" w:cs="宋体"/>
          <w:color w:val="auto"/>
          <w:sz w:val="21"/>
          <w:szCs w:val="21"/>
          <w:highlight w:val="none"/>
          <w:lang w:eastAsia="zh-CN"/>
        </w:rPr>
        <w:t>国家市场监督管理总局</w:t>
      </w:r>
      <w:r>
        <w:rPr>
          <w:rFonts w:hint="eastAsia" w:ascii="宋体" w:hAnsi="宋体" w:eastAsia="宋体" w:cs="宋体"/>
          <w:color w:val="auto"/>
          <w:sz w:val="21"/>
          <w:szCs w:val="21"/>
          <w:highlight w:val="none"/>
        </w:rPr>
        <w:t>联合制定的《建设工程施工合同》（GF-2017-0201）示范文本第二部分《通用合同条款》</w:t>
      </w:r>
      <w:r>
        <w:rPr>
          <w:rFonts w:hint="eastAsia" w:ascii="宋体" w:hAnsi="宋体" w:eastAsia="宋体" w:cs="宋体"/>
          <w:b/>
          <w:color w:val="auto"/>
          <w:sz w:val="21"/>
          <w:szCs w:val="21"/>
          <w:highlight w:val="none"/>
        </w:rPr>
        <w:t>。</w:t>
      </w:r>
      <w:bookmarkEnd w:id="388"/>
      <w:bookmarkEnd w:id="534"/>
      <w:bookmarkStart w:id="535" w:name="_Toc16855"/>
      <w:bookmarkStart w:id="536" w:name="_Toc533859108"/>
      <w:bookmarkStart w:id="537" w:name="_Toc10573"/>
      <w:bookmarkStart w:id="538" w:name="_Toc27246133"/>
    </w:p>
    <w:p w14:paraId="0290048A">
      <w:pPr>
        <w:pStyle w:val="5"/>
        <w:jc w:val="center"/>
        <w:rPr>
          <w:rFonts w:hint="eastAsia" w:ascii="宋体" w:hAnsi="宋体" w:eastAsia="宋体" w:cs="宋体"/>
          <w:color w:val="auto"/>
          <w:sz w:val="30"/>
          <w:szCs w:val="30"/>
          <w:highlight w:val="none"/>
        </w:rPr>
      </w:pPr>
      <w:r>
        <w:rPr>
          <w:rFonts w:hint="eastAsia" w:ascii="宋体" w:hAnsi="宋体" w:eastAsia="宋体" w:cs="宋体"/>
          <w:color w:val="auto"/>
          <w:sz w:val="18"/>
          <w:szCs w:val="18"/>
          <w:highlight w:val="none"/>
        </w:rPr>
        <w:br w:type="page"/>
      </w:r>
      <w:bookmarkEnd w:id="535"/>
      <w:bookmarkEnd w:id="536"/>
      <w:bookmarkEnd w:id="537"/>
      <w:bookmarkEnd w:id="538"/>
      <w:bookmarkStart w:id="539" w:name="_Toc16924"/>
      <w:bookmarkStart w:id="540" w:name="_Toc17694"/>
      <w:bookmarkStart w:id="541" w:name="_Toc529388290"/>
      <w:bookmarkStart w:id="542" w:name="_Toc532375607"/>
      <w:bookmarkStart w:id="543" w:name="_Toc532377320"/>
      <w:r>
        <w:rPr>
          <w:rFonts w:hint="eastAsia" w:ascii="宋体" w:hAnsi="宋体" w:eastAsia="宋体" w:cs="宋体"/>
          <w:color w:val="auto"/>
          <w:sz w:val="30"/>
          <w:szCs w:val="30"/>
          <w:highlight w:val="none"/>
        </w:rPr>
        <w:t>第三部分 专用合同条款</w:t>
      </w:r>
      <w:bookmarkEnd w:id="539"/>
      <w:bookmarkEnd w:id="540"/>
      <w:bookmarkEnd w:id="541"/>
      <w:bookmarkEnd w:id="542"/>
      <w:bookmarkEnd w:id="543"/>
    </w:p>
    <w:p w14:paraId="47975856">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544" w:name="_Toc532375608"/>
      <w:bookmarkStart w:id="545" w:name="_Toc532377321"/>
      <w:bookmarkStart w:id="546" w:name="_Toc351203633"/>
      <w:bookmarkStart w:id="547" w:name="_Hlk528927191"/>
      <w:r>
        <w:rPr>
          <w:rFonts w:hint="eastAsia" w:ascii="宋体" w:hAnsi="宋体" w:eastAsia="宋体" w:cs="宋体"/>
          <w:color w:val="auto"/>
          <w:kern w:val="2"/>
          <w:sz w:val="18"/>
          <w:szCs w:val="18"/>
          <w:highlight w:val="none"/>
        </w:rPr>
        <w:t>1</w:t>
      </w:r>
      <w:bookmarkStart w:id="548" w:name="_Toc296347155"/>
      <w:bookmarkStart w:id="549" w:name="_Toc296890984"/>
      <w:bookmarkStart w:id="550" w:name="_Toc296891196"/>
      <w:bookmarkStart w:id="551" w:name="_Toc292559866"/>
      <w:bookmarkStart w:id="552" w:name="_Toc296346657"/>
      <w:bookmarkStart w:id="553" w:name="_Toc297048342"/>
      <w:bookmarkStart w:id="554" w:name="_Toc292559361"/>
      <w:bookmarkStart w:id="555" w:name="_Toc296503156"/>
      <w:bookmarkStart w:id="556" w:name="_Toc297120456"/>
      <w:bookmarkStart w:id="557" w:name="_Toc296944495"/>
      <w:r>
        <w:rPr>
          <w:rFonts w:hint="eastAsia" w:ascii="宋体" w:hAnsi="宋体" w:eastAsia="宋体" w:cs="宋体"/>
          <w:color w:val="auto"/>
          <w:kern w:val="2"/>
          <w:sz w:val="18"/>
          <w:szCs w:val="18"/>
          <w:highlight w:val="none"/>
        </w:rPr>
        <w:t>. 一般约定</w:t>
      </w:r>
      <w:bookmarkEnd w:id="544"/>
      <w:bookmarkEnd w:id="545"/>
      <w:bookmarkEnd w:id="546"/>
    </w:p>
    <w:bookmarkEnd w:id="548"/>
    <w:bookmarkEnd w:id="549"/>
    <w:bookmarkEnd w:id="550"/>
    <w:bookmarkEnd w:id="551"/>
    <w:bookmarkEnd w:id="552"/>
    <w:bookmarkEnd w:id="553"/>
    <w:bookmarkEnd w:id="554"/>
    <w:bookmarkEnd w:id="555"/>
    <w:bookmarkEnd w:id="556"/>
    <w:bookmarkEnd w:id="557"/>
    <w:p w14:paraId="5C4CCA9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58" w:name="_Toc532377322"/>
      <w:r>
        <w:rPr>
          <w:rFonts w:hint="eastAsia" w:ascii="宋体" w:hAnsi="宋体" w:eastAsia="宋体" w:cs="宋体"/>
          <w:color w:val="auto"/>
          <w:sz w:val="18"/>
          <w:szCs w:val="18"/>
          <w:highlight w:val="none"/>
        </w:rPr>
        <w:t>1.1词语定义与解释</w:t>
      </w:r>
      <w:bookmarkEnd w:id="558"/>
    </w:p>
    <w:p w14:paraId="512BF9EA">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 合同</w:t>
      </w:r>
    </w:p>
    <w:p w14:paraId="575E55A1">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1.1.1.6技术标准和要求：</w:t>
      </w:r>
      <w:r>
        <w:rPr>
          <w:rFonts w:hint="eastAsia" w:ascii="宋体" w:hAnsi="宋体" w:eastAsia="宋体" w:cs="宋体"/>
          <w:color w:val="auto"/>
          <w:kern w:val="0"/>
          <w:sz w:val="18"/>
          <w:szCs w:val="18"/>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 w:val="18"/>
          <w:szCs w:val="18"/>
          <w:highlight w:val="none"/>
        </w:rPr>
        <w:t>。</w:t>
      </w:r>
    </w:p>
    <w:p w14:paraId="2142D3E6">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1.1.1.8 已标价工程量清单：</w:t>
      </w:r>
      <w:r>
        <w:rPr>
          <w:rFonts w:hint="eastAsia" w:ascii="宋体" w:hAnsi="宋体" w:eastAsia="宋体" w:cs="宋体"/>
          <w:color w:val="auto"/>
          <w:kern w:val="0"/>
          <w:sz w:val="18"/>
          <w:szCs w:val="18"/>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18"/>
          <w:szCs w:val="18"/>
          <w:highlight w:val="none"/>
        </w:rPr>
        <w:t>。</w:t>
      </w:r>
    </w:p>
    <w:p w14:paraId="2B67552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1.1.1.10 其他合同文件包括：</w:t>
      </w:r>
      <w:r>
        <w:rPr>
          <w:rFonts w:hint="eastAsia" w:ascii="宋体" w:hAnsi="宋体" w:eastAsia="宋体" w:cs="宋体"/>
          <w:color w:val="auto"/>
          <w:sz w:val="18"/>
          <w:szCs w:val="18"/>
          <w:highlight w:val="none"/>
          <w:u w:val="single"/>
        </w:rPr>
        <w:t>按照合同协议书</w:t>
      </w:r>
      <w:r>
        <w:rPr>
          <w:rFonts w:hint="eastAsia" w:ascii="宋体" w:hAnsi="宋体" w:eastAsia="宋体" w:cs="宋体"/>
          <w:bCs/>
          <w:color w:val="auto"/>
          <w:sz w:val="18"/>
          <w:szCs w:val="18"/>
          <w:highlight w:val="none"/>
          <w:u w:val="single"/>
        </w:rPr>
        <w:t>〔</w:t>
      </w:r>
      <w:r>
        <w:rPr>
          <w:rFonts w:hint="eastAsia" w:ascii="宋体" w:hAnsi="宋体" w:eastAsia="宋体" w:cs="宋体"/>
          <w:color w:val="auto"/>
          <w:sz w:val="18"/>
          <w:szCs w:val="18"/>
          <w:highlight w:val="none"/>
          <w:u w:val="single"/>
        </w:rPr>
        <w:t>第六条</w:t>
      </w:r>
      <w:r>
        <w:rPr>
          <w:rFonts w:hint="eastAsia" w:ascii="宋体" w:hAnsi="宋体" w:eastAsia="宋体" w:cs="宋体"/>
          <w:bCs/>
          <w:color w:val="auto"/>
          <w:sz w:val="18"/>
          <w:szCs w:val="18"/>
          <w:highlight w:val="none"/>
          <w:u w:val="single"/>
        </w:rPr>
        <w:t>〕</w:t>
      </w:r>
      <w:r>
        <w:rPr>
          <w:rFonts w:hint="eastAsia" w:ascii="宋体" w:hAnsi="宋体" w:eastAsia="宋体" w:cs="宋体"/>
          <w:color w:val="auto"/>
          <w:sz w:val="18"/>
          <w:szCs w:val="18"/>
          <w:highlight w:val="none"/>
          <w:u w:val="single"/>
        </w:rPr>
        <w:t>约定执行</w:t>
      </w:r>
      <w:r>
        <w:rPr>
          <w:rFonts w:hint="eastAsia" w:ascii="宋体" w:hAnsi="宋体" w:eastAsia="宋体" w:cs="宋体"/>
          <w:color w:val="auto"/>
          <w:sz w:val="18"/>
          <w:szCs w:val="18"/>
          <w:highlight w:val="none"/>
        </w:rPr>
        <w:t>。</w:t>
      </w:r>
    </w:p>
    <w:p w14:paraId="6A3B41F1">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本项补充1.1.1.11～1.1.1.16目：</w:t>
      </w:r>
    </w:p>
    <w:p w14:paraId="6273929D">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1.1.1.11 竞争性</w:t>
      </w:r>
      <w:r>
        <w:rPr>
          <w:rFonts w:hint="eastAsia" w:ascii="宋体" w:hAnsi="宋体" w:eastAsia="宋体" w:cs="宋体"/>
          <w:color w:val="auto"/>
          <w:kern w:val="0"/>
          <w:sz w:val="18"/>
          <w:szCs w:val="18"/>
          <w:highlight w:val="none"/>
          <w:lang w:eastAsia="zh-CN"/>
        </w:rPr>
        <w:t>比选</w:t>
      </w:r>
      <w:r>
        <w:rPr>
          <w:rFonts w:hint="eastAsia" w:ascii="宋体" w:hAnsi="宋体" w:eastAsia="宋体" w:cs="宋体"/>
          <w:color w:val="auto"/>
          <w:kern w:val="0"/>
          <w:sz w:val="18"/>
          <w:szCs w:val="18"/>
          <w:highlight w:val="none"/>
        </w:rPr>
        <w:t>文件：</w:t>
      </w:r>
      <w:r>
        <w:rPr>
          <w:rFonts w:hint="eastAsia" w:ascii="宋体" w:hAnsi="宋体" w:eastAsia="宋体" w:cs="宋体"/>
          <w:color w:val="auto"/>
          <w:kern w:val="0"/>
          <w:sz w:val="18"/>
          <w:szCs w:val="18"/>
          <w:highlight w:val="none"/>
          <w:u w:val="single"/>
        </w:rPr>
        <w:t>指本工程的竞争性</w:t>
      </w:r>
      <w:r>
        <w:rPr>
          <w:rFonts w:hint="eastAsia" w:ascii="宋体" w:hAnsi="宋体" w:eastAsia="宋体" w:cs="宋体"/>
          <w:color w:val="auto"/>
          <w:kern w:val="0"/>
          <w:sz w:val="18"/>
          <w:szCs w:val="18"/>
          <w:highlight w:val="none"/>
          <w:u w:val="single"/>
          <w:lang w:eastAsia="zh-CN"/>
        </w:rPr>
        <w:t>比选</w:t>
      </w:r>
      <w:r>
        <w:rPr>
          <w:rFonts w:hint="eastAsia" w:ascii="宋体" w:hAnsi="宋体" w:eastAsia="宋体" w:cs="宋体"/>
          <w:color w:val="auto"/>
          <w:kern w:val="0"/>
          <w:sz w:val="18"/>
          <w:szCs w:val="18"/>
          <w:highlight w:val="none"/>
          <w:u w:val="single"/>
        </w:rPr>
        <w:t>文件、其他技术资料及</w:t>
      </w:r>
      <w:r>
        <w:rPr>
          <w:rFonts w:hint="eastAsia" w:ascii="宋体" w:hAnsi="宋体" w:eastAsia="宋体" w:cs="宋体"/>
          <w:color w:val="auto"/>
          <w:kern w:val="0"/>
          <w:sz w:val="18"/>
          <w:szCs w:val="18"/>
          <w:highlight w:val="none"/>
          <w:u w:val="single"/>
          <w:lang w:eastAsia="zh-CN"/>
        </w:rPr>
        <w:t>比选</w:t>
      </w:r>
      <w:r>
        <w:rPr>
          <w:rFonts w:hint="eastAsia" w:ascii="宋体" w:hAnsi="宋体" w:eastAsia="宋体" w:cs="宋体"/>
          <w:color w:val="auto"/>
          <w:kern w:val="0"/>
          <w:sz w:val="18"/>
          <w:szCs w:val="18"/>
          <w:highlight w:val="none"/>
          <w:u w:val="single"/>
        </w:rPr>
        <w:t>人发出的对竞争性</w:t>
      </w:r>
      <w:r>
        <w:rPr>
          <w:rFonts w:hint="eastAsia" w:ascii="宋体" w:hAnsi="宋体" w:eastAsia="宋体" w:cs="宋体"/>
          <w:color w:val="auto"/>
          <w:kern w:val="0"/>
          <w:sz w:val="18"/>
          <w:szCs w:val="18"/>
          <w:highlight w:val="none"/>
          <w:u w:val="single"/>
          <w:lang w:eastAsia="zh-CN"/>
        </w:rPr>
        <w:t>比选</w:t>
      </w:r>
      <w:r>
        <w:rPr>
          <w:rFonts w:hint="eastAsia" w:ascii="宋体" w:hAnsi="宋体" w:eastAsia="宋体" w:cs="宋体"/>
          <w:color w:val="auto"/>
          <w:kern w:val="0"/>
          <w:sz w:val="18"/>
          <w:szCs w:val="18"/>
          <w:highlight w:val="none"/>
          <w:u w:val="single"/>
        </w:rPr>
        <w:t>文件所作的澄清、修改等资料</w:t>
      </w:r>
      <w:r>
        <w:rPr>
          <w:rFonts w:hint="eastAsia" w:ascii="宋体" w:hAnsi="宋体" w:eastAsia="宋体" w:cs="宋体"/>
          <w:color w:val="auto"/>
          <w:kern w:val="0"/>
          <w:sz w:val="18"/>
          <w:szCs w:val="18"/>
          <w:highlight w:val="none"/>
        </w:rPr>
        <w:t>。</w:t>
      </w:r>
    </w:p>
    <w:p w14:paraId="3F69640B">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1.1.1.12 工作：</w:t>
      </w:r>
      <w:r>
        <w:rPr>
          <w:rFonts w:hint="eastAsia" w:ascii="宋体" w:hAnsi="宋体" w:eastAsia="宋体" w:cs="宋体"/>
          <w:color w:val="auto"/>
          <w:kern w:val="0"/>
          <w:sz w:val="18"/>
          <w:szCs w:val="18"/>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18"/>
          <w:szCs w:val="18"/>
          <w:highlight w:val="none"/>
        </w:rPr>
        <w:t>。</w:t>
      </w:r>
    </w:p>
    <w:p w14:paraId="2AB3E9D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1.1.1.13 重大设计变更：按照规定需要重新报建设行政主管部门批准的设计变更。</w:t>
      </w:r>
    </w:p>
    <w:p w14:paraId="35ACB16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1.1.1.14 公章：专指法定单位名称章。</w:t>
      </w:r>
    </w:p>
    <w:bookmarkEnd w:id="547"/>
    <w:p w14:paraId="6EE7E4D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1.1.1.15 到岗：指承包人按照到岗履职承诺安排满足办理施工许可手续相关要求的项目主要管理人员实际到施工现场就职履约的行为。</w:t>
      </w:r>
    </w:p>
    <w:p w14:paraId="6A6C039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1.1.1.16 项目法人：指具有民事权利能力和民事行为能力，依法独立享有民事权利和承担民事义务，以建设项目为目的，从事项目管理的机构、单位或组织。</w:t>
      </w:r>
    </w:p>
    <w:p w14:paraId="35DA0FC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1.1.3 工程和设备</w:t>
      </w:r>
    </w:p>
    <w:p w14:paraId="408526C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1.1.3.7 作为施工现场组成部分的其他场所包括：</w:t>
      </w:r>
      <w:r>
        <w:rPr>
          <w:rFonts w:hint="eastAsia" w:ascii="宋体" w:hAnsi="宋体" w:eastAsia="宋体" w:cs="宋体"/>
          <w:color w:val="auto"/>
          <w:kern w:val="0"/>
          <w:sz w:val="18"/>
          <w:szCs w:val="18"/>
          <w:highlight w:val="none"/>
          <w:u w:val="single"/>
        </w:rPr>
        <w:t>永久占地、临时占地以及为修建临时工程而租用、占用的土地</w:t>
      </w:r>
      <w:r>
        <w:rPr>
          <w:rFonts w:hint="eastAsia" w:ascii="宋体" w:hAnsi="宋体" w:eastAsia="宋体" w:cs="宋体"/>
          <w:color w:val="auto"/>
          <w:sz w:val="18"/>
          <w:szCs w:val="18"/>
          <w:highlight w:val="none"/>
        </w:rPr>
        <w:t>。</w:t>
      </w:r>
    </w:p>
    <w:p w14:paraId="53DCAC1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1.1.3.9 永久占地包括：</w:t>
      </w:r>
      <w:r>
        <w:rPr>
          <w:rFonts w:hint="eastAsia" w:ascii="宋体" w:hAnsi="宋体" w:eastAsia="宋体" w:cs="宋体"/>
          <w:color w:val="auto"/>
          <w:kern w:val="0"/>
          <w:sz w:val="18"/>
          <w:szCs w:val="18"/>
          <w:highlight w:val="none"/>
          <w:u w:val="single"/>
        </w:rPr>
        <w:t>为实施合同工程而需要的一切永久占用的土地，即合同工程</w:t>
      </w:r>
      <w:r>
        <w:rPr>
          <w:rFonts w:hint="eastAsia" w:ascii="宋体" w:hAnsi="宋体" w:eastAsia="宋体" w:cs="宋体"/>
          <w:color w:val="auto"/>
          <w:sz w:val="18"/>
          <w:szCs w:val="18"/>
          <w:highlight w:val="none"/>
          <w:u w:val="single"/>
        </w:rPr>
        <w:t>用地红线范围内的土地</w:t>
      </w:r>
      <w:r>
        <w:rPr>
          <w:rFonts w:hint="eastAsia" w:ascii="宋体" w:hAnsi="宋体" w:eastAsia="宋体" w:cs="宋体"/>
          <w:color w:val="auto"/>
          <w:sz w:val="18"/>
          <w:szCs w:val="18"/>
          <w:highlight w:val="none"/>
        </w:rPr>
        <w:t>。</w:t>
      </w:r>
    </w:p>
    <w:p w14:paraId="1523727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1.1.3.10 临时占地包括：</w:t>
      </w:r>
      <w:r>
        <w:rPr>
          <w:rFonts w:hint="eastAsia" w:ascii="宋体" w:hAnsi="宋体" w:eastAsia="宋体" w:cs="宋体"/>
          <w:color w:val="auto"/>
          <w:sz w:val="18"/>
          <w:szCs w:val="18"/>
          <w:highlight w:val="none"/>
          <w:u w:val="single"/>
        </w:rPr>
        <w:t>为实施合同工程而需要</w:t>
      </w:r>
      <w:r>
        <w:rPr>
          <w:rFonts w:hint="eastAsia" w:ascii="宋体" w:hAnsi="宋体" w:eastAsia="宋体" w:cs="宋体"/>
          <w:color w:val="auto"/>
          <w:kern w:val="0"/>
          <w:sz w:val="18"/>
          <w:szCs w:val="18"/>
          <w:highlight w:val="none"/>
          <w:u w:val="single"/>
        </w:rPr>
        <w:t>的一切</w:t>
      </w:r>
      <w:r>
        <w:rPr>
          <w:rFonts w:hint="eastAsia" w:ascii="宋体" w:hAnsi="宋体" w:eastAsia="宋体" w:cs="宋体"/>
          <w:color w:val="auto"/>
          <w:sz w:val="18"/>
          <w:szCs w:val="18"/>
          <w:highlight w:val="none"/>
          <w:u w:val="single"/>
        </w:rPr>
        <w:t>临时占用的土地，包括施工所用的临时便道等的临时出入道，以及生产（办公）、生活等临时设施用地</w:t>
      </w:r>
      <w:r>
        <w:rPr>
          <w:rFonts w:hint="eastAsia" w:ascii="宋体" w:hAnsi="宋体" w:eastAsia="宋体" w:cs="宋体"/>
          <w:color w:val="auto"/>
          <w:sz w:val="18"/>
          <w:szCs w:val="18"/>
          <w:highlight w:val="none"/>
        </w:rPr>
        <w:t>。</w:t>
      </w:r>
    </w:p>
    <w:p w14:paraId="59CAA04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1.1.6 其他</w:t>
      </w:r>
    </w:p>
    <w:p w14:paraId="1167EDF0">
      <w:pPr>
        <w:spacing w:line="360" w:lineRule="auto"/>
        <w:ind w:firstLine="360" w:firstLineChars="200"/>
        <w:jc w:val="left"/>
        <w:rPr>
          <w:rFonts w:hint="eastAsia" w:ascii="宋体" w:hAnsi="宋体" w:eastAsia="宋体" w:cs="宋体"/>
          <w:color w:val="auto"/>
          <w:sz w:val="18"/>
          <w:szCs w:val="18"/>
          <w:highlight w:val="none"/>
        </w:rPr>
      </w:pPr>
      <w:bookmarkStart w:id="559" w:name="_Hlk528927262"/>
      <w:r>
        <w:rPr>
          <w:rFonts w:hint="eastAsia" w:ascii="宋体" w:hAnsi="宋体" w:eastAsia="宋体" w:cs="宋体"/>
          <w:color w:val="auto"/>
          <w:sz w:val="18"/>
          <w:szCs w:val="18"/>
          <w:highlight w:val="none"/>
        </w:rPr>
        <w:t>本项补充1.1.6.2～1.1.6.3目：</w:t>
      </w:r>
    </w:p>
    <w:p w14:paraId="642CF53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18"/>
          <w:szCs w:val="18"/>
          <w:highlight w:val="none"/>
        </w:rPr>
        <w:t>违法行为</w:t>
      </w:r>
      <w:r>
        <w:rPr>
          <w:rFonts w:hint="eastAsia" w:ascii="宋体" w:hAnsi="宋体" w:eastAsia="宋体" w:cs="宋体"/>
          <w:color w:val="auto"/>
          <w:sz w:val="18"/>
          <w:szCs w:val="18"/>
          <w:highlight w:val="none"/>
        </w:rPr>
        <w:t>。</w:t>
      </w:r>
    </w:p>
    <w:bookmarkEnd w:id="559"/>
    <w:p w14:paraId="567F6F6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4594B17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0" w:name="_Toc532377323"/>
      <w:r>
        <w:rPr>
          <w:rFonts w:hint="eastAsia" w:ascii="宋体" w:hAnsi="宋体" w:eastAsia="宋体" w:cs="宋体"/>
          <w:color w:val="auto"/>
          <w:sz w:val="18"/>
          <w:szCs w:val="18"/>
          <w:highlight w:val="none"/>
        </w:rPr>
        <w:t>1.4 标准和规范</w:t>
      </w:r>
      <w:bookmarkEnd w:id="560"/>
    </w:p>
    <w:p w14:paraId="2B1E5F0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1.4.1 适用于工程的标准规范包括：</w:t>
      </w:r>
    </w:p>
    <w:p w14:paraId="66A6351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（1）施工图所涉及的技术标准、规范、规程、图集等；</w:t>
      </w:r>
    </w:p>
    <w:p w14:paraId="369E2A33">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（2）国家、行业或重庆市与本工程有关的标准，以及相应的规范、规程等，当这些标准、规范、规程不一致时，以标准、规范、规程要求最高的为准。</w:t>
      </w:r>
    </w:p>
    <w:p w14:paraId="5D5E46D0">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219C888E">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1.4.2 发包人提供国外标准、规范的名称：</w:t>
      </w:r>
      <w:r>
        <w:rPr>
          <w:rFonts w:hint="eastAsia" w:ascii="宋体" w:hAnsi="宋体" w:eastAsia="宋体" w:cs="宋体"/>
          <w:color w:val="auto"/>
          <w:kern w:val="0"/>
          <w:sz w:val="18"/>
          <w:szCs w:val="18"/>
          <w:highlight w:val="none"/>
          <w:u w:val="single"/>
        </w:rPr>
        <w:t xml:space="preserve"> / </w:t>
      </w:r>
      <w:r>
        <w:rPr>
          <w:rFonts w:hint="eastAsia" w:ascii="宋体" w:hAnsi="宋体" w:eastAsia="宋体" w:cs="宋体"/>
          <w:color w:val="auto"/>
          <w:kern w:val="0"/>
          <w:sz w:val="18"/>
          <w:szCs w:val="18"/>
          <w:highlight w:val="none"/>
        </w:rPr>
        <w:t>；</w:t>
      </w:r>
    </w:p>
    <w:p w14:paraId="138D5633">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发包人提供国外标准、规范的份数：</w:t>
      </w:r>
      <w:r>
        <w:rPr>
          <w:rFonts w:hint="eastAsia" w:ascii="宋体" w:hAnsi="宋体" w:eastAsia="宋体" w:cs="宋体"/>
          <w:color w:val="auto"/>
          <w:kern w:val="0"/>
          <w:sz w:val="18"/>
          <w:szCs w:val="18"/>
          <w:highlight w:val="none"/>
          <w:u w:val="single"/>
        </w:rPr>
        <w:t xml:space="preserve"> / </w:t>
      </w:r>
      <w:r>
        <w:rPr>
          <w:rFonts w:hint="eastAsia" w:ascii="宋体" w:hAnsi="宋体" w:eastAsia="宋体" w:cs="宋体"/>
          <w:color w:val="auto"/>
          <w:kern w:val="0"/>
          <w:sz w:val="18"/>
          <w:szCs w:val="18"/>
          <w:highlight w:val="none"/>
        </w:rPr>
        <w:t>；</w:t>
      </w:r>
    </w:p>
    <w:p w14:paraId="3DCC01E0">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发包人提供国外标准、规范的名称：</w:t>
      </w:r>
      <w:r>
        <w:rPr>
          <w:rFonts w:hint="eastAsia" w:ascii="宋体" w:hAnsi="宋体" w:eastAsia="宋体" w:cs="宋体"/>
          <w:color w:val="auto"/>
          <w:kern w:val="0"/>
          <w:sz w:val="18"/>
          <w:szCs w:val="18"/>
          <w:highlight w:val="none"/>
          <w:u w:val="single"/>
        </w:rPr>
        <w:t xml:space="preserve"> / </w:t>
      </w:r>
      <w:r>
        <w:rPr>
          <w:rFonts w:hint="eastAsia" w:ascii="宋体" w:hAnsi="宋体" w:eastAsia="宋体" w:cs="宋体"/>
          <w:color w:val="auto"/>
          <w:kern w:val="0"/>
          <w:sz w:val="18"/>
          <w:szCs w:val="18"/>
          <w:highlight w:val="none"/>
        </w:rPr>
        <w:t>。</w:t>
      </w:r>
    </w:p>
    <w:p w14:paraId="2770216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1.4.3 发包人对工程的技术标准和功能要求的特殊要求：</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sz w:val="18"/>
          <w:szCs w:val="18"/>
          <w:highlight w:val="none"/>
        </w:rPr>
        <w:t>。</w:t>
      </w:r>
    </w:p>
    <w:p w14:paraId="2A66824E">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1" w:name="_Toc532377324"/>
      <w:r>
        <w:rPr>
          <w:rFonts w:hint="eastAsia" w:ascii="宋体" w:hAnsi="宋体" w:eastAsia="宋体" w:cs="宋体"/>
          <w:color w:val="auto"/>
          <w:sz w:val="18"/>
          <w:szCs w:val="18"/>
          <w:highlight w:val="none"/>
        </w:rPr>
        <w:t>1.5 合同文件的优先顺序</w:t>
      </w:r>
      <w:bookmarkEnd w:id="561"/>
    </w:p>
    <w:p w14:paraId="683EC04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合同文件组成及优先顺序为：</w:t>
      </w:r>
      <w:r>
        <w:rPr>
          <w:rFonts w:hint="eastAsia" w:ascii="宋体" w:hAnsi="宋体" w:eastAsia="宋体" w:cs="宋体"/>
          <w:color w:val="auto"/>
          <w:sz w:val="18"/>
          <w:szCs w:val="18"/>
          <w:highlight w:val="none"/>
          <w:u w:val="single"/>
        </w:rPr>
        <w:t>按照合同协议书</w:t>
      </w:r>
      <w:r>
        <w:rPr>
          <w:rFonts w:hint="eastAsia" w:ascii="宋体" w:hAnsi="宋体" w:eastAsia="宋体" w:cs="宋体"/>
          <w:bCs/>
          <w:color w:val="auto"/>
          <w:sz w:val="18"/>
          <w:szCs w:val="18"/>
          <w:highlight w:val="none"/>
          <w:u w:val="single"/>
        </w:rPr>
        <w:t>〔</w:t>
      </w:r>
      <w:r>
        <w:rPr>
          <w:rFonts w:hint="eastAsia" w:ascii="宋体" w:hAnsi="宋体" w:eastAsia="宋体" w:cs="宋体"/>
          <w:color w:val="auto"/>
          <w:sz w:val="18"/>
          <w:szCs w:val="18"/>
          <w:highlight w:val="none"/>
          <w:u w:val="single"/>
        </w:rPr>
        <w:t>第六条</w:t>
      </w:r>
      <w:r>
        <w:rPr>
          <w:rFonts w:hint="eastAsia" w:ascii="宋体" w:hAnsi="宋体" w:eastAsia="宋体" w:cs="宋体"/>
          <w:bCs/>
          <w:color w:val="auto"/>
          <w:sz w:val="18"/>
          <w:szCs w:val="18"/>
          <w:highlight w:val="none"/>
          <w:u w:val="single"/>
        </w:rPr>
        <w:t>〕</w:t>
      </w:r>
      <w:r>
        <w:rPr>
          <w:rFonts w:hint="eastAsia" w:ascii="宋体" w:hAnsi="宋体" w:eastAsia="宋体" w:cs="宋体"/>
          <w:color w:val="auto"/>
          <w:sz w:val="18"/>
          <w:szCs w:val="18"/>
          <w:highlight w:val="none"/>
          <w:u w:val="single"/>
        </w:rPr>
        <w:t>约定执行</w:t>
      </w:r>
      <w:r>
        <w:rPr>
          <w:rFonts w:hint="eastAsia" w:ascii="宋体" w:hAnsi="宋体" w:eastAsia="宋体" w:cs="宋体"/>
          <w:color w:val="auto"/>
          <w:sz w:val="18"/>
          <w:szCs w:val="18"/>
          <w:highlight w:val="none"/>
        </w:rPr>
        <w:t>。</w:t>
      </w:r>
    </w:p>
    <w:p w14:paraId="229D5AB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2" w:name="_Toc532377325"/>
      <w:r>
        <w:rPr>
          <w:rFonts w:hint="eastAsia" w:ascii="宋体" w:hAnsi="宋体" w:eastAsia="宋体" w:cs="宋体"/>
          <w:color w:val="auto"/>
          <w:sz w:val="18"/>
          <w:szCs w:val="18"/>
          <w:highlight w:val="none"/>
        </w:rPr>
        <w:t>1.6 图纸和承包人文件</w:t>
      </w:r>
      <w:bookmarkEnd w:id="562"/>
    </w:p>
    <w:p w14:paraId="0040797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1.6.4 承包人文件</w:t>
      </w:r>
    </w:p>
    <w:p w14:paraId="7A32841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需要由承包人提供的书面文件，包括：</w:t>
      </w:r>
      <w:r>
        <w:rPr>
          <w:rFonts w:hint="eastAsia" w:ascii="宋体" w:hAnsi="宋体" w:eastAsia="宋体" w:cs="宋体"/>
          <w:color w:val="auto"/>
          <w:sz w:val="18"/>
          <w:szCs w:val="18"/>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18"/>
          <w:szCs w:val="18"/>
          <w:highlight w:val="none"/>
        </w:rPr>
        <w:t>。</w:t>
      </w:r>
    </w:p>
    <w:p w14:paraId="6B86C33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承包人提供文件的期限、数量：</w:t>
      </w:r>
    </w:p>
    <w:p w14:paraId="3B9BBCAA">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18"/>
          <w:szCs w:val="18"/>
          <w:highlight w:val="none"/>
        </w:rPr>
        <w:t>。</w:t>
      </w:r>
    </w:p>
    <w:p w14:paraId="38DBBDB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每月  日前报送月工程进度完成报表</w:t>
      </w:r>
      <w:r>
        <w:rPr>
          <w:rFonts w:hint="eastAsia" w:ascii="宋体" w:hAnsi="宋体" w:eastAsia="宋体" w:cs="宋体"/>
          <w:color w:val="auto"/>
          <w:sz w:val="18"/>
          <w:szCs w:val="18"/>
          <w:highlight w:val="none"/>
        </w:rPr>
        <w:t>。</w:t>
      </w:r>
    </w:p>
    <w:p w14:paraId="2AE10E06">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（3）合同另有约定的，按照其约定。</w:t>
      </w:r>
    </w:p>
    <w:p w14:paraId="3F216434">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承包人提供的文件的形式：□采用电子</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eastAsia="zh-CN"/>
        </w:rPr>
        <w:t>竞标文件</w:t>
      </w:r>
      <w:r>
        <w:rPr>
          <w:rFonts w:hint="eastAsia" w:ascii="宋体" w:hAnsi="宋体" w:eastAsia="宋体" w:cs="宋体"/>
          <w:color w:val="auto"/>
          <w:sz w:val="18"/>
          <w:szCs w:val="18"/>
          <w:highlight w:val="none"/>
        </w:rPr>
        <w:t>以电子文档为准，其他文件以书面文件为准；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采用纸质</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的，当书面文件与电子文档不一致的，以书面文件为准。监理人审批承包人文件的期限：</w:t>
      </w:r>
      <w:r>
        <w:rPr>
          <w:rFonts w:hint="eastAsia" w:ascii="宋体" w:hAnsi="宋体" w:eastAsia="宋体" w:cs="宋体"/>
          <w:color w:val="auto"/>
          <w:sz w:val="18"/>
          <w:szCs w:val="18"/>
          <w:highlight w:val="none"/>
          <w:u w:val="single"/>
        </w:rPr>
        <w:t>收到施工组织设计和工程总体进度计划及当年年度施工进度计划后7天内；合同另有约定的，从其约定</w:t>
      </w:r>
      <w:r>
        <w:rPr>
          <w:rFonts w:hint="eastAsia" w:ascii="宋体" w:hAnsi="宋体" w:eastAsia="宋体" w:cs="宋体"/>
          <w:color w:val="auto"/>
          <w:sz w:val="18"/>
          <w:szCs w:val="18"/>
          <w:highlight w:val="none"/>
        </w:rPr>
        <w:t>。</w:t>
      </w:r>
    </w:p>
    <w:p w14:paraId="23AF044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承包人提供的文件的费用：</w:t>
      </w:r>
      <w:r>
        <w:rPr>
          <w:rFonts w:hint="eastAsia" w:ascii="宋体" w:hAnsi="宋体" w:eastAsia="宋体" w:cs="宋体"/>
          <w:color w:val="auto"/>
          <w:sz w:val="18"/>
          <w:szCs w:val="18"/>
          <w:highlight w:val="none"/>
          <w:u w:val="single"/>
        </w:rPr>
        <w:t>由承包人承担</w:t>
      </w:r>
      <w:r>
        <w:rPr>
          <w:rFonts w:hint="eastAsia" w:ascii="宋体" w:hAnsi="宋体" w:eastAsia="宋体" w:cs="宋体"/>
          <w:color w:val="auto"/>
          <w:sz w:val="18"/>
          <w:szCs w:val="18"/>
          <w:highlight w:val="none"/>
        </w:rPr>
        <w:t>。</w:t>
      </w:r>
    </w:p>
    <w:p w14:paraId="32DB1269">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发包人审批承包人文件的期限：</w:t>
      </w:r>
      <w:r>
        <w:rPr>
          <w:rFonts w:hint="eastAsia" w:ascii="宋体" w:hAnsi="宋体" w:eastAsia="宋体" w:cs="宋体"/>
          <w:color w:val="auto"/>
          <w:sz w:val="18"/>
          <w:szCs w:val="18"/>
          <w:highlight w:val="none"/>
          <w:u w:val="single"/>
        </w:rPr>
        <w:t>收到后14天内；合同另有约定的，从其约定</w:t>
      </w:r>
      <w:r>
        <w:rPr>
          <w:rFonts w:hint="eastAsia" w:ascii="宋体" w:hAnsi="宋体" w:eastAsia="宋体" w:cs="宋体"/>
          <w:color w:val="auto"/>
          <w:sz w:val="18"/>
          <w:szCs w:val="18"/>
          <w:highlight w:val="none"/>
        </w:rPr>
        <w:t>。</w:t>
      </w:r>
    </w:p>
    <w:p w14:paraId="1999430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 w:val="18"/>
          <w:szCs w:val="18"/>
          <w:highlight w:val="none"/>
        </w:rPr>
        <w:t>。</w:t>
      </w:r>
    </w:p>
    <w:p w14:paraId="6E75A10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3" w:name="_Toc532377326"/>
      <w:r>
        <w:rPr>
          <w:rFonts w:hint="eastAsia" w:ascii="宋体" w:hAnsi="宋体" w:eastAsia="宋体" w:cs="宋体"/>
          <w:color w:val="auto"/>
          <w:sz w:val="18"/>
          <w:szCs w:val="18"/>
          <w:highlight w:val="none"/>
        </w:rPr>
        <w:t>1.7 联络</w:t>
      </w:r>
      <w:bookmarkEnd w:id="563"/>
    </w:p>
    <w:p w14:paraId="39A8CBF8">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1.7.1 发包人和承包人应当在</w:t>
      </w:r>
      <w:r>
        <w:rPr>
          <w:rFonts w:hint="eastAsia" w:ascii="宋体" w:hAnsi="宋体" w:eastAsia="宋体" w:cs="宋体"/>
          <w:color w:val="auto"/>
          <w:sz w:val="18"/>
          <w:szCs w:val="18"/>
          <w:highlight w:val="none"/>
          <w:u w:val="single"/>
        </w:rPr>
        <w:t xml:space="preserve"> 1 </w:t>
      </w:r>
      <w:r>
        <w:rPr>
          <w:rFonts w:hint="eastAsia" w:ascii="宋体" w:hAnsi="宋体" w:eastAsia="宋体" w:cs="宋体"/>
          <w:color w:val="auto"/>
          <w:kern w:val="0"/>
          <w:sz w:val="18"/>
          <w:szCs w:val="18"/>
          <w:highlight w:val="none"/>
        </w:rPr>
        <w:t>天内将与合同有关的通知、批准、证明、证书、指示、指令、要求、请求、同意、意见、确定和决定等书面函件送达对方当事人，并办理书面签收手续。</w:t>
      </w:r>
    </w:p>
    <w:p w14:paraId="2711733E">
      <w:pPr>
        <w:tabs>
          <w:tab w:val="left" w:pos="7513"/>
        </w:tabs>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1.7.2 发包人接收文件地点：</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79728A5E">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发包人指定的接收人：</w:t>
      </w:r>
      <w:bookmarkStart w:id="564" w:name="_Hlk528493983"/>
      <w:bookmarkEnd w:id="564"/>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595CDCB5">
      <w:pPr>
        <w:tabs>
          <w:tab w:val="left" w:pos="7513"/>
        </w:tabs>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承包人接收文件地点：</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26583DC6">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承包人指定的接收人：</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223FAE42">
      <w:pPr>
        <w:tabs>
          <w:tab w:val="left" w:pos="7371"/>
        </w:tabs>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监理人接收文件地点：</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3BE1B8B3">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监理人指定的接收人：</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419BCD5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5" w:name="_Toc532377327"/>
      <w:r>
        <w:rPr>
          <w:rFonts w:hint="eastAsia" w:ascii="宋体" w:hAnsi="宋体" w:eastAsia="宋体" w:cs="宋体"/>
          <w:color w:val="auto"/>
          <w:sz w:val="18"/>
          <w:szCs w:val="18"/>
          <w:highlight w:val="none"/>
        </w:rPr>
        <w:t>1.8 严禁贿赂</w:t>
      </w:r>
      <w:bookmarkEnd w:id="565"/>
    </w:p>
    <w:p w14:paraId="43C56B48">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本款补充以下内容：</w:t>
      </w:r>
    </w:p>
    <w:p w14:paraId="6A1243A2">
      <w:pPr>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在合同执行过程中，合同当事人应严格履行附件8《廉洁从业协议》。</w:t>
      </w:r>
    </w:p>
    <w:p w14:paraId="7F5399F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66" w:name="_Toc532377328"/>
      <w:r>
        <w:rPr>
          <w:rFonts w:hint="eastAsia" w:ascii="宋体" w:hAnsi="宋体" w:eastAsia="宋体" w:cs="宋体"/>
          <w:color w:val="auto"/>
          <w:sz w:val="18"/>
          <w:szCs w:val="18"/>
          <w:highlight w:val="none"/>
        </w:rPr>
        <w:t>1.10 交通运输</w:t>
      </w:r>
      <w:bookmarkEnd w:id="566"/>
    </w:p>
    <w:p w14:paraId="6A9832F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bookmarkStart w:id="567" w:name="_Toc318581155"/>
      <w:bookmarkStart w:id="568" w:name="_Toc300934943"/>
      <w:bookmarkStart w:id="569" w:name="_Toc304295521"/>
      <w:bookmarkStart w:id="570" w:name="_Toc312677986"/>
      <w:bookmarkStart w:id="571" w:name="_Toc303539100"/>
      <w:r>
        <w:rPr>
          <w:rFonts w:hint="eastAsia" w:ascii="宋体" w:hAnsi="宋体" w:eastAsia="宋体" w:cs="宋体"/>
          <w:color w:val="auto"/>
          <w:sz w:val="18"/>
          <w:szCs w:val="18"/>
          <w:highlight w:val="none"/>
        </w:rPr>
        <w:t>.10.1 出入现场的权利</w:t>
      </w:r>
    </w:p>
    <w:p w14:paraId="18A54314">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关于出入现场的权利的约定：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bookmarkEnd w:id="567"/>
    <w:bookmarkEnd w:id="568"/>
    <w:bookmarkEnd w:id="569"/>
    <w:bookmarkEnd w:id="570"/>
    <w:bookmarkEnd w:id="571"/>
    <w:p w14:paraId="4E15251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1.10.2 场外交通</w:t>
      </w:r>
    </w:p>
    <w:p w14:paraId="0B69A45C">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承包人应遵守有关交通法规，执行有关道路限速、限行、禁止超载的规定，并配合交通管理部门的监督和检查。场外交通以施工场地移交时的现状为准。</w:t>
      </w:r>
    </w:p>
    <w:p w14:paraId="46054A2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bookmarkStart w:id="572" w:name="_Toc303539101"/>
      <w:bookmarkStart w:id="573" w:name="_Toc312677987"/>
      <w:bookmarkStart w:id="574" w:name="_Toc304295522"/>
      <w:bookmarkStart w:id="575" w:name="_Toc300934944"/>
      <w:bookmarkStart w:id="576" w:name="_Toc318581156"/>
      <w:r>
        <w:rPr>
          <w:rFonts w:hint="eastAsia" w:ascii="宋体" w:hAnsi="宋体" w:eastAsia="宋体" w:cs="宋体"/>
          <w:color w:val="auto"/>
          <w:sz w:val="18"/>
          <w:szCs w:val="18"/>
          <w:highlight w:val="none"/>
        </w:rPr>
        <w:t>.10.3 场内交通</w:t>
      </w:r>
    </w:p>
    <w:p w14:paraId="3AE22A05">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kern w:val="0"/>
          <w:sz w:val="18"/>
          <w:szCs w:val="18"/>
          <w:highlight w:val="none"/>
        </w:rPr>
        <w:t>关于场外交通和场内交通的边界的约定：</w:t>
      </w:r>
      <w:r>
        <w:rPr>
          <w:rFonts w:hint="eastAsia" w:ascii="宋体" w:hAnsi="宋体" w:eastAsia="宋体" w:cs="宋体"/>
          <w:color w:val="auto"/>
          <w:sz w:val="18"/>
          <w:szCs w:val="18"/>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18"/>
          <w:szCs w:val="18"/>
          <w:highlight w:val="none"/>
        </w:rPr>
        <w:t>。</w:t>
      </w:r>
    </w:p>
    <w:p w14:paraId="7FFBC21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关于发包人向承包人免费提供满足工程施工需要的场内道路和交通设施的约定：</w:t>
      </w:r>
      <w:r>
        <w:rPr>
          <w:rFonts w:hint="eastAsia" w:ascii="宋体" w:hAnsi="宋体" w:eastAsia="宋体" w:cs="宋体"/>
          <w:color w:val="auto"/>
          <w:kern w:val="0"/>
          <w:sz w:val="18"/>
          <w:szCs w:val="18"/>
          <w:highlight w:val="none"/>
          <w:u w:val="single"/>
        </w:rPr>
        <w:t>以施工场地移交时的现状为准</w:t>
      </w:r>
      <w:r>
        <w:rPr>
          <w:rFonts w:hint="eastAsia" w:ascii="宋体" w:hAnsi="宋体" w:eastAsia="宋体" w:cs="宋体"/>
          <w:color w:val="auto"/>
          <w:sz w:val="18"/>
          <w:szCs w:val="18"/>
          <w:highlight w:val="none"/>
        </w:rPr>
        <w:t>。</w:t>
      </w:r>
    </w:p>
    <w:bookmarkEnd w:id="572"/>
    <w:bookmarkEnd w:id="573"/>
    <w:bookmarkEnd w:id="574"/>
    <w:bookmarkEnd w:id="575"/>
    <w:bookmarkEnd w:id="576"/>
    <w:p w14:paraId="25BF1DA5">
      <w:pPr>
        <w:spacing w:line="360" w:lineRule="auto"/>
        <w:ind w:firstLine="360" w:firstLineChars="200"/>
        <w:jc w:val="left"/>
        <w:rPr>
          <w:rFonts w:hint="eastAsia" w:ascii="宋体" w:hAnsi="宋体" w:eastAsia="宋体" w:cs="宋体"/>
          <w:color w:val="auto"/>
          <w:sz w:val="18"/>
          <w:szCs w:val="18"/>
          <w:highlight w:val="none"/>
        </w:rPr>
      </w:pPr>
      <w:bookmarkStart w:id="577" w:name="_Toc318581157"/>
      <w:r>
        <w:rPr>
          <w:rFonts w:hint="eastAsia" w:ascii="宋体" w:hAnsi="宋体" w:eastAsia="宋体" w:cs="宋体"/>
          <w:color w:val="auto"/>
          <w:sz w:val="18"/>
          <w:szCs w:val="18"/>
          <w:highlight w:val="none"/>
        </w:rPr>
        <w:t>1.10.4 超大件和超重件的运输</w:t>
      </w:r>
    </w:p>
    <w:p w14:paraId="3E431E6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运输超大件或超重件所需的道路和桥梁临时加固改造费用和其他有关费用由</w:t>
      </w:r>
      <w:r>
        <w:rPr>
          <w:rFonts w:hint="eastAsia" w:ascii="宋体" w:hAnsi="宋体" w:eastAsia="宋体" w:cs="宋体"/>
          <w:color w:val="auto"/>
          <w:sz w:val="18"/>
          <w:szCs w:val="18"/>
          <w:highlight w:val="none"/>
          <w:u w:val="single"/>
        </w:rPr>
        <w:t>发包人</w:t>
      </w:r>
      <w:r>
        <w:rPr>
          <w:rFonts w:hint="eastAsia" w:ascii="宋体" w:hAnsi="宋体" w:eastAsia="宋体" w:cs="宋体"/>
          <w:color w:val="auto"/>
          <w:sz w:val="18"/>
          <w:szCs w:val="18"/>
          <w:highlight w:val="none"/>
        </w:rPr>
        <w:t>承担。</w:t>
      </w:r>
    </w:p>
    <w:bookmarkEnd w:id="577"/>
    <w:p w14:paraId="45D6B53F">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78" w:name="_Toc532377329"/>
      <w:r>
        <w:rPr>
          <w:rFonts w:hint="eastAsia" w:ascii="宋体" w:hAnsi="宋体" w:eastAsia="宋体" w:cs="宋体"/>
          <w:color w:val="auto"/>
          <w:sz w:val="18"/>
          <w:szCs w:val="18"/>
          <w:highlight w:val="none"/>
        </w:rPr>
        <w:t>1.11 知识产权</w:t>
      </w:r>
      <w:bookmarkEnd w:id="578"/>
    </w:p>
    <w:p w14:paraId="4C89360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18"/>
          <w:szCs w:val="18"/>
          <w:highlight w:val="none"/>
          <w:u w:val="single"/>
        </w:rPr>
        <w:t>属于发包人</w:t>
      </w:r>
      <w:r>
        <w:rPr>
          <w:rFonts w:hint="eastAsia" w:ascii="宋体" w:hAnsi="宋体" w:eastAsia="宋体" w:cs="宋体"/>
          <w:color w:val="auto"/>
          <w:sz w:val="18"/>
          <w:szCs w:val="18"/>
          <w:highlight w:val="none"/>
        </w:rPr>
        <w:t>。</w:t>
      </w:r>
    </w:p>
    <w:p w14:paraId="5E3FE8D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关于发包人提供的上述文件的使用限制的要求：</w:t>
      </w:r>
      <w:r>
        <w:rPr>
          <w:rFonts w:hint="eastAsia" w:ascii="宋体" w:hAnsi="宋体" w:eastAsia="宋体" w:cs="宋体"/>
          <w:color w:val="auto"/>
          <w:sz w:val="18"/>
          <w:szCs w:val="18"/>
          <w:highlight w:val="none"/>
          <w:u w:val="single"/>
        </w:rPr>
        <w:t>按通用合同条款执行</w:t>
      </w:r>
      <w:r>
        <w:rPr>
          <w:rFonts w:hint="eastAsia" w:ascii="宋体" w:hAnsi="宋体" w:eastAsia="宋体" w:cs="宋体"/>
          <w:color w:val="auto"/>
          <w:sz w:val="18"/>
          <w:szCs w:val="18"/>
          <w:highlight w:val="none"/>
        </w:rPr>
        <w:t>。</w:t>
      </w:r>
    </w:p>
    <w:p w14:paraId="4E6836E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1.11.4 承包人在施工过程中所采用的专利、专有技术、技术秘密的使用费的承担方式：</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2FEEEA5F">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79" w:name="_Toc532377330"/>
      <w:r>
        <w:rPr>
          <w:rFonts w:hint="eastAsia" w:ascii="宋体" w:hAnsi="宋体" w:eastAsia="宋体" w:cs="宋体"/>
          <w:color w:val="auto"/>
          <w:sz w:val="18"/>
          <w:szCs w:val="18"/>
          <w:highlight w:val="none"/>
        </w:rPr>
        <w:t>1.13工程量清单错误的修正</w:t>
      </w:r>
      <w:bookmarkEnd w:id="579"/>
    </w:p>
    <w:p w14:paraId="5171665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出现工程量清单错误时，责任和权利划分：</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57FEC4B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出现工程量清单错误时，是否调整合同价格：</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kern w:val="0"/>
          <w:sz w:val="18"/>
          <w:szCs w:val="18"/>
          <w:highlight w:val="none"/>
        </w:rPr>
        <w:t>。</w:t>
      </w:r>
    </w:p>
    <w:p w14:paraId="284E431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允许调整合同价格的工程量偏差范围：</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4B49644">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580" w:name="_Toc351203634"/>
      <w:bookmarkStart w:id="581" w:name="_Toc532377331"/>
      <w:bookmarkStart w:id="582" w:name="_Toc532375609"/>
      <w:r>
        <w:rPr>
          <w:rFonts w:hint="eastAsia" w:ascii="宋体" w:hAnsi="宋体" w:eastAsia="宋体" w:cs="宋体"/>
          <w:color w:val="auto"/>
          <w:kern w:val="2"/>
          <w:sz w:val="18"/>
          <w:szCs w:val="18"/>
          <w:highlight w:val="none"/>
        </w:rPr>
        <w:t>2</w:t>
      </w:r>
      <w:bookmarkStart w:id="583" w:name="_Toc296347156"/>
      <w:bookmarkStart w:id="584" w:name="_Toc296944496"/>
      <w:bookmarkStart w:id="585" w:name="_Toc296890985"/>
      <w:bookmarkStart w:id="586" w:name="_Toc292559867"/>
      <w:bookmarkStart w:id="587" w:name="_Toc292559362"/>
      <w:bookmarkStart w:id="588" w:name="_Toc296891197"/>
      <w:bookmarkStart w:id="589" w:name="_Toc297120457"/>
      <w:bookmarkStart w:id="590" w:name="_Toc296503157"/>
      <w:bookmarkStart w:id="591" w:name="_Toc296346658"/>
      <w:bookmarkStart w:id="592" w:name="_Toc297048343"/>
      <w:r>
        <w:rPr>
          <w:rFonts w:hint="eastAsia" w:ascii="宋体" w:hAnsi="宋体" w:eastAsia="宋体" w:cs="宋体"/>
          <w:color w:val="auto"/>
          <w:kern w:val="2"/>
          <w:sz w:val="18"/>
          <w:szCs w:val="18"/>
          <w:highlight w:val="none"/>
        </w:rPr>
        <w:t>. 发包人</w:t>
      </w:r>
      <w:bookmarkEnd w:id="580"/>
      <w:bookmarkEnd w:id="581"/>
      <w:bookmarkEnd w:id="582"/>
    </w:p>
    <w:bookmarkEnd w:id="583"/>
    <w:bookmarkEnd w:id="584"/>
    <w:bookmarkEnd w:id="585"/>
    <w:bookmarkEnd w:id="586"/>
    <w:bookmarkEnd w:id="587"/>
    <w:bookmarkEnd w:id="588"/>
    <w:bookmarkEnd w:id="589"/>
    <w:bookmarkEnd w:id="590"/>
    <w:bookmarkEnd w:id="591"/>
    <w:bookmarkEnd w:id="592"/>
    <w:p w14:paraId="2F8B6D2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2.2.1 发包人代表</w:t>
      </w:r>
    </w:p>
    <w:p w14:paraId="2CE3AF6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发包人代表：</w:t>
      </w:r>
    </w:p>
    <w:p w14:paraId="004E9E6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    名：</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5DC5134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身份证号：</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5A66713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职    务：</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28B7D83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联系方式：</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360F66C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    编：</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199B84E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发包人对发包人代表的授权范围如下：</w:t>
      </w:r>
      <w:r>
        <w:rPr>
          <w:rFonts w:hint="eastAsia" w:ascii="宋体" w:hAnsi="宋体" w:eastAsia="宋体" w:cs="宋体"/>
          <w:color w:val="auto"/>
          <w:sz w:val="18"/>
          <w:szCs w:val="18"/>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18"/>
          <w:szCs w:val="18"/>
          <w:highlight w:val="none"/>
        </w:rPr>
        <w:t>。</w:t>
      </w:r>
    </w:p>
    <w:p w14:paraId="387A522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93" w:name="_Toc532377332"/>
      <w:r>
        <w:rPr>
          <w:rFonts w:hint="eastAsia" w:ascii="宋体" w:hAnsi="宋体" w:eastAsia="宋体" w:cs="宋体"/>
          <w:color w:val="auto"/>
          <w:sz w:val="18"/>
          <w:szCs w:val="18"/>
          <w:highlight w:val="none"/>
        </w:rPr>
        <w:t>2.4 施工现场、施工条件和基础资料的提供</w:t>
      </w:r>
      <w:bookmarkEnd w:id="593"/>
    </w:p>
    <w:p w14:paraId="17311B4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2.4.1 提供施工现场</w:t>
      </w:r>
    </w:p>
    <w:p w14:paraId="1EEDF95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2.4.1.1 提供场地：</w:t>
      </w:r>
    </w:p>
    <w:p w14:paraId="69A5579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施工场地的提供采用以下第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种方式：</w:t>
      </w:r>
    </w:p>
    <w:p w14:paraId="41D71E8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（1）一次提供全部施工场地：发包人于</w:t>
      </w:r>
      <w:r>
        <w:rPr>
          <w:rFonts w:hint="eastAsia" w:ascii="宋体" w:hAnsi="宋体" w:eastAsia="宋体" w:cs="宋体"/>
          <w:color w:val="auto"/>
          <w:sz w:val="18"/>
          <w:szCs w:val="18"/>
          <w:highlight w:val="none"/>
          <w:u w:val="single"/>
        </w:rPr>
        <w:t>开工</w:t>
      </w:r>
      <w:r>
        <w:rPr>
          <w:rFonts w:hint="eastAsia" w:ascii="宋体" w:hAnsi="宋体" w:eastAsia="宋体" w:cs="宋体"/>
          <w:color w:val="auto"/>
          <w:sz w:val="18"/>
          <w:szCs w:val="18"/>
          <w:highlight w:val="none"/>
        </w:rPr>
        <w:t>前向承包人提供合同工程用地红线范围内的施工场地。</w:t>
      </w:r>
    </w:p>
    <w:p w14:paraId="53F8960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（2）分次提供全部施工场地：</w:t>
      </w:r>
      <w:r>
        <w:rPr>
          <w:rFonts w:hint="eastAsia" w:ascii="宋体" w:hAnsi="宋体" w:eastAsia="宋体" w:cs="宋体"/>
          <w:color w:val="auto"/>
          <w:sz w:val="18"/>
          <w:szCs w:val="18"/>
          <w:highlight w:val="none"/>
          <w:u w:val="single"/>
        </w:rPr>
        <w:t>发包人按约定的时间分次向承包人提供合同工程用地红线范围内的施工场地</w:t>
      </w:r>
      <w:r>
        <w:rPr>
          <w:rFonts w:hint="eastAsia" w:ascii="宋体" w:hAnsi="宋体" w:eastAsia="宋体" w:cs="宋体"/>
          <w:color w:val="auto"/>
          <w:sz w:val="18"/>
          <w:szCs w:val="18"/>
          <w:highlight w:val="none"/>
        </w:rPr>
        <w:t>。</w:t>
      </w:r>
    </w:p>
    <w:p w14:paraId="5DE6517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承包人编制的施工组织计划已充分考虑了施工场地提供的因素</w:t>
      </w:r>
      <w:r>
        <w:rPr>
          <w:rFonts w:hint="eastAsia" w:ascii="宋体" w:hAnsi="宋体" w:eastAsia="宋体" w:cs="宋体"/>
          <w:color w:val="auto"/>
          <w:sz w:val="18"/>
          <w:szCs w:val="18"/>
          <w:highlight w:val="none"/>
        </w:rPr>
        <w:t>。</w:t>
      </w:r>
    </w:p>
    <w:p w14:paraId="7CD0EE5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18"/>
          <w:szCs w:val="18"/>
          <w:highlight w:val="none"/>
        </w:rPr>
        <w:t>。</w:t>
      </w:r>
    </w:p>
    <w:p w14:paraId="689E9CF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2.4.2 提供施工条件</w:t>
      </w:r>
    </w:p>
    <w:p w14:paraId="1456855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关于发包人应负责提供施工所需要的条件：</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9A05A1B">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594" w:name="_Toc532377333"/>
      <w:r>
        <w:rPr>
          <w:rFonts w:hint="eastAsia" w:ascii="宋体" w:hAnsi="宋体" w:eastAsia="宋体" w:cs="宋体"/>
          <w:color w:val="auto"/>
          <w:sz w:val="18"/>
          <w:szCs w:val="18"/>
          <w:highlight w:val="none"/>
        </w:rPr>
        <w:t>2.5 资金来源证明及支付担保</w:t>
      </w:r>
      <w:bookmarkEnd w:id="594"/>
    </w:p>
    <w:p w14:paraId="03B75D9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发包人提供资金来源证明的期限要求：</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18E681A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发包人是否提供支付担保：</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否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22AE781">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595" w:name="_Toc351203635"/>
      <w:bookmarkStart w:id="596" w:name="_Toc532375610"/>
      <w:bookmarkStart w:id="597" w:name="_Toc532377334"/>
      <w:r>
        <w:rPr>
          <w:rFonts w:hint="eastAsia" w:ascii="宋体" w:hAnsi="宋体" w:eastAsia="宋体" w:cs="宋体"/>
          <w:color w:val="auto"/>
          <w:kern w:val="2"/>
          <w:sz w:val="18"/>
          <w:szCs w:val="18"/>
          <w:highlight w:val="none"/>
        </w:rPr>
        <w:t>3</w:t>
      </w:r>
      <w:bookmarkStart w:id="598" w:name="_Toc292559868"/>
      <w:bookmarkStart w:id="599" w:name="_Toc296347157"/>
      <w:bookmarkStart w:id="600" w:name="_Toc296891198"/>
      <w:bookmarkStart w:id="601" w:name="_Toc296944497"/>
      <w:bookmarkStart w:id="602" w:name="_Toc297048344"/>
      <w:bookmarkStart w:id="603" w:name="_Toc296346659"/>
      <w:bookmarkStart w:id="604" w:name="_Toc296890986"/>
      <w:bookmarkStart w:id="605" w:name="_Toc297120458"/>
      <w:bookmarkStart w:id="606" w:name="_Toc296503158"/>
      <w:bookmarkStart w:id="607" w:name="_Toc292559363"/>
      <w:r>
        <w:rPr>
          <w:rFonts w:hint="eastAsia" w:ascii="宋体" w:hAnsi="宋体" w:eastAsia="宋体" w:cs="宋体"/>
          <w:color w:val="auto"/>
          <w:kern w:val="2"/>
          <w:sz w:val="18"/>
          <w:szCs w:val="18"/>
          <w:highlight w:val="none"/>
        </w:rPr>
        <w:t>. 承包人</w:t>
      </w:r>
      <w:bookmarkEnd w:id="595"/>
      <w:bookmarkEnd w:id="596"/>
      <w:bookmarkEnd w:id="597"/>
    </w:p>
    <w:bookmarkEnd w:id="598"/>
    <w:bookmarkEnd w:id="599"/>
    <w:bookmarkEnd w:id="600"/>
    <w:bookmarkEnd w:id="601"/>
    <w:bookmarkEnd w:id="602"/>
    <w:bookmarkEnd w:id="603"/>
    <w:bookmarkEnd w:id="604"/>
    <w:bookmarkEnd w:id="605"/>
    <w:bookmarkEnd w:id="606"/>
    <w:bookmarkEnd w:id="607"/>
    <w:p w14:paraId="660C39C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08" w:name="_Toc532377335"/>
      <w:r>
        <w:rPr>
          <w:rFonts w:hint="eastAsia" w:ascii="宋体" w:hAnsi="宋体" w:eastAsia="宋体" w:cs="宋体"/>
          <w:color w:val="auto"/>
          <w:sz w:val="18"/>
          <w:szCs w:val="18"/>
          <w:highlight w:val="none"/>
        </w:rPr>
        <w:t>3.1 承包人的一般义务</w:t>
      </w:r>
      <w:bookmarkEnd w:id="608"/>
    </w:p>
    <w:p w14:paraId="1096AA1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本款细化为3.1.1～3.1.10项：</w:t>
      </w:r>
    </w:p>
    <w:p w14:paraId="0607851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3.1.1办理法律规定和合同约定应由承包人办理的许可和批准，并将办理结果书面报送发包人留存；协助发包人办理施工所需的工程质量监督、安全监督、施工许可证等相关证件及手续。</w:t>
      </w:r>
    </w:p>
    <w:p w14:paraId="6F07CC0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CD5D19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5CB294B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时施工组织设计的措施保障水平。</w:t>
      </w:r>
    </w:p>
    <w:p w14:paraId="40274F3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8C4BF5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3.1.6按照第6.3款〔环境保护〕约定负责施工场地及其周边环境与生态的保护工作。</w:t>
      </w:r>
    </w:p>
    <w:p w14:paraId="40DB6D2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3.1.7按照第6.1款〔安全文明施工〕约定采取施工安全措施，确保工程及其人员、材料、设备和设施的安全，防止因工程施工造成的人身伤害和财产损失。</w:t>
      </w:r>
    </w:p>
    <w:p w14:paraId="6D84CB90">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3.1.8将发包人按合同约定支付的各项价款专用于合同工程，且应及时支付其雇用人员工资，并及时向分包人支付合同价款。</w:t>
      </w:r>
    </w:p>
    <w:p w14:paraId="5FF9262A">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3.1.9承包人提交的竣工资料的内容：</w:t>
      </w:r>
      <w:r>
        <w:rPr>
          <w:rFonts w:hint="eastAsia" w:ascii="宋体" w:hAnsi="宋体" w:eastAsia="宋体" w:cs="宋体"/>
          <w:color w:val="auto"/>
          <w:sz w:val="18"/>
          <w:szCs w:val="18"/>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18"/>
          <w:szCs w:val="18"/>
          <w:highlight w:val="none"/>
        </w:rPr>
        <w:t>。</w:t>
      </w:r>
    </w:p>
    <w:p w14:paraId="6CB7764D">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承包人需要提交的竣工资料套数：完整竣工资料一式</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套（含电子文档）。</w:t>
      </w:r>
    </w:p>
    <w:p w14:paraId="6B617EC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承包人提交的竣工资料的费用承担：</w:t>
      </w:r>
      <w:r>
        <w:rPr>
          <w:rFonts w:hint="eastAsia" w:ascii="宋体" w:hAnsi="宋体" w:eastAsia="宋体" w:cs="宋体"/>
          <w:color w:val="auto"/>
          <w:sz w:val="18"/>
          <w:szCs w:val="18"/>
          <w:highlight w:val="none"/>
          <w:u w:val="single"/>
        </w:rPr>
        <w:t>由承包人承担</w:t>
      </w:r>
      <w:r>
        <w:rPr>
          <w:rFonts w:hint="eastAsia" w:ascii="宋体" w:hAnsi="宋体" w:eastAsia="宋体" w:cs="宋体"/>
          <w:color w:val="auto"/>
          <w:sz w:val="18"/>
          <w:szCs w:val="18"/>
          <w:highlight w:val="none"/>
        </w:rPr>
        <w:t>。</w:t>
      </w:r>
    </w:p>
    <w:p w14:paraId="5C36F42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承包人提交的竣工资料移交时间：</w:t>
      </w:r>
      <w:r>
        <w:rPr>
          <w:rFonts w:hint="eastAsia" w:ascii="宋体" w:hAnsi="宋体" w:eastAsia="宋体" w:cs="宋体"/>
          <w:color w:val="auto"/>
          <w:sz w:val="18"/>
          <w:szCs w:val="18"/>
          <w:highlight w:val="none"/>
          <w:u w:val="single"/>
        </w:rPr>
        <w:t>工程竣工验收合格后  个月内移交给发包人</w:t>
      </w:r>
      <w:r>
        <w:rPr>
          <w:rFonts w:hint="eastAsia" w:ascii="宋体" w:hAnsi="宋体" w:eastAsia="宋体" w:cs="宋体"/>
          <w:color w:val="auto"/>
          <w:sz w:val="18"/>
          <w:szCs w:val="18"/>
          <w:highlight w:val="none"/>
        </w:rPr>
        <w:t>。</w:t>
      </w:r>
    </w:p>
    <w:p w14:paraId="4A5E422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承包人提交的竣工资料形式要求：</w:t>
      </w:r>
      <w:r>
        <w:rPr>
          <w:rFonts w:hint="eastAsia" w:ascii="宋体" w:hAnsi="宋体" w:eastAsia="宋体" w:cs="宋体"/>
          <w:color w:val="auto"/>
          <w:sz w:val="18"/>
          <w:szCs w:val="18"/>
          <w:highlight w:val="none"/>
          <w:u w:val="single"/>
        </w:rPr>
        <w:t>完整的书面文件及电子文档</w:t>
      </w:r>
      <w:r>
        <w:rPr>
          <w:rFonts w:hint="eastAsia" w:ascii="宋体" w:hAnsi="宋体" w:eastAsia="宋体" w:cs="宋体"/>
          <w:color w:val="auto"/>
          <w:sz w:val="18"/>
          <w:szCs w:val="18"/>
          <w:highlight w:val="none"/>
        </w:rPr>
        <w:t>。</w:t>
      </w:r>
    </w:p>
    <w:p w14:paraId="3360834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3.1.10承包人应履行的其他义务：</w:t>
      </w:r>
    </w:p>
    <w:p w14:paraId="357643F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3.1.10.1在开始施工之前，承包人应核查、复测本工程的各种基准标志。承包人应及时将上述基准标志中存在的错误、不完整或其他缺陷通知发包人，以便发包人核实后重新确认。</w:t>
      </w:r>
    </w:p>
    <w:p w14:paraId="0277DA2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1A7F758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818ADB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3.1.10.4承包人应服从发包人要求的管理模式、工作方式和工作要求，同时接受监理人、跟审单位的管理和全程监督，配合项目结、决算的办理。</w:t>
      </w:r>
    </w:p>
    <w:p w14:paraId="71F39ED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3.1.10.5</w:t>
      </w:r>
      <w:r>
        <w:rPr>
          <w:rFonts w:hint="eastAsia" w:ascii="宋体" w:hAnsi="宋体" w:eastAsia="宋体" w:cs="宋体"/>
          <w:color w:val="auto"/>
          <w:sz w:val="18"/>
          <w:szCs w:val="18"/>
          <w:highlight w:val="none"/>
          <w:u w:val="single"/>
        </w:rPr>
        <w:t>承包人应为本工程开立专用账户，接受发包人的监管</w:t>
      </w:r>
      <w:r>
        <w:rPr>
          <w:rFonts w:hint="eastAsia" w:ascii="宋体" w:hAnsi="宋体" w:eastAsia="宋体" w:cs="宋体"/>
          <w:color w:val="auto"/>
          <w:sz w:val="18"/>
          <w:szCs w:val="18"/>
          <w:highlight w:val="none"/>
        </w:rPr>
        <w:t>。</w:t>
      </w:r>
    </w:p>
    <w:p w14:paraId="7CB5E27B">
      <w:pPr>
        <w:spacing w:line="360" w:lineRule="auto"/>
        <w:ind w:firstLine="360" w:firstLineChars="200"/>
        <w:jc w:val="left"/>
        <w:rPr>
          <w:rFonts w:hint="eastAsia" w:ascii="宋体" w:hAnsi="宋体" w:eastAsia="宋体" w:cs="宋体"/>
          <w:color w:val="auto"/>
          <w:sz w:val="18"/>
          <w:szCs w:val="18"/>
          <w:highlight w:val="none"/>
        </w:rPr>
      </w:pPr>
      <w:bookmarkStart w:id="609" w:name="_Toc532377336"/>
      <w:r>
        <w:rPr>
          <w:rFonts w:hint="eastAsia" w:ascii="宋体" w:hAnsi="宋体" w:eastAsia="宋体" w:cs="宋体"/>
          <w:color w:val="auto"/>
          <w:sz w:val="18"/>
          <w:szCs w:val="18"/>
          <w:highlight w:val="none"/>
        </w:rPr>
        <w:t>3.1.10.6</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38DC219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 项目经理</w:t>
      </w:r>
      <w:bookmarkEnd w:id="609"/>
    </w:p>
    <w:p w14:paraId="7DB1948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3.2.1 </w:t>
      </w:r>
      <w:r>
        <w:rPr>
          <w:rFonts w:hint="eastAsia" w:ascii="宋体" w:hAnsi="宋体" w:eastAsia="宋体" w:cs="宋体"/>
          <w:color w:val="auto"/>
          <w:sz w:val="18"/>
          <w:szCs w:val="18"/>
          <w:highlight w:val="none"/>
        </w:rPr>
        <w:t>项目经理：</w:t>
      </w:r>
    </w:p>
    <w:p w14:paraId="77FD62B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    名：</w:t>
      </w:r>
      <w:r>
        <w:rPr>
          <w:rFonts w:hint="eastAsia" w:ascii="宋体" w:hAnsi="宋体" w:eastAsia="宋体" w:cs="宋体"/>
          <w:color w:val="auto"/>
          <w:sz w:val="18"/>
          <w:szCs w:val="18"/>
          <w:highlight w:val="none"/>
          <w:u w:val="single"/>
        </w:rPr>
        <w:t xml:space="preserve">                          </w:t>
      </w:r>
      <w:r>
        <w:rPr>
          <w:rFonts w:hint="eastAsia" w:ascii="宋体" w:hAnsi="宋体" w:eastAsia="宋体" w:cs="宋体"/>
          <w:color w:val="auto"/>
          <w:sz w:val="18"/>
          <w:szCs w:val="18"/>
          <w:highlight w:val="none"/>
        </w:rPr>
        <w:t>；</w:t>
      </w:r>
    </w:p>
    <w:p w14:paraId="044A01E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身份证号：</w:t>
      </w:r>
      <w:r>
        <w:rPr>
          <w:rFonts w:hint="eastAsia" w:ascii="宋体" w:hAnsi="宋体" w:eastAsia="宋体" w:cs="宋体"/>
          <w:color w:val="auto"/>
          <w:sz w:val="18"/>
          <w:szCs w:val="18"/>
          <w:highlight w:val="none"/>
          <w:u w:val="single"/>
        </w:rPr>
        <w:t>                    </w:t>
      </w:r>
      <w:r>
        <w:rPr>
          <w:rFonts w:hint="eastAsia" w:ascii="宋体" w:hAnsi="宋体" w:eastAsia="宋体" w:cs="宋体"/>
          <w:color w:val="auto"/>
          <w:sz w:val="18"/>
          <w:szCs w:val="18"/>
          <w:highlight w:val="none"/>
        </w:rPr>
        <w:t>；</w:t>
      </w:r>
    </w:p>
    <w:p w14:paraId="528987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联系方式：</w:t>
      </w:r>
      <w:r>
        <w:rPr>
          <w:rFonts w:hint="eastAsia" w:ascii="宋体" w:hAnsi="宋体" w:eastAsia="宋体" w:cs="宋体"/>
          <w:color w:val="auto"/>
          <w:sz w:val="18"/>
          <w:szCs w:val="18"/>
          <w:highlight w:val="none"/>
          <w:u w:val="single"/>
        </w:rPr>
        <w:t>         </w:t>
      </w:r>
      <w:r>
        <w:rPr>
          <w:rFonts w:hint="eastAsia" w:ascii="宋体" w:hAnsi="宋体" w:eastAsia="宋体" w:cs="宋体"/>
          <w:color w:val="auto"/>
          <w:sz w:val="18"/>
          <w:szCs w:val="18"/>
          <w:highlight w:val="none"/>
        </w:rPr>
        <w:t>。</w:t>
      </w:r>
    </w:p>
    <w:p w14:paraId="183CBCF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承包人对项目经理的授权范围如下：</w:t>
      </w:r>
      <w:r>
        <w:rPr>
          <w:rFonts w:hint="eastAsia" w:ascii="宋体" w:hAnsi="宋体" w:eastAsia="宋体" w:cs="宋体"/>
          <w:color w:val="auto"/>
          <w:sz w:val="18"/>
          <w:szCs w:val="18"/>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18"/>
          <w:szCs w:val="18"/>
          <w:highlight w:val="none"/>
        </w:rPr>
        <w:t>。</w:t>
      </w:r>
    </w:p>
    <w:p w14:paraId="5E2F7FA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关于项目经理每月在施工现场的时间要求：</w:t>
      </w:r>
      <w:r>
        <w:rPr>
          <w:rFonts w:hint="eastAsia" w:ascii="宋体" w:hAnsi="宋体" w:eastAsia="宋体" w:cs="宋体"/>
          <w:color w:val="auto"/>
          <w:sz w:val="18"/>
          <w:szCs w:val="18"/>
          <w:highlight w:val="none"/>
          <w:u w:val="single"/>
        </w:rPr>
        <w:t>不少于22天，由</w:t>
      </w:r>
      <w:r>
        <w:rPr>
          <w:rFonts w:hint="eastAsia" w:ascii="宋体" w:hAnsi="宋体" w:eastAsia="宋体" w:cs="宋体"/>
          <w:color w:val="auto"/>
          <w:sz w:val="18"/>
          <w:szCs w:val="18"/>
          <w:highlight w:val="none"/>
          <w:u w:val="single"/>
          <w:lang w:val="en-US" w:eastAsia="zh-CN"/>
        </w:rPr>
        <w:t>发包</w:t>
      </w:r>
      <w:r>
        <w:rPr>
          <w:rFonts w:hint="eastAsia" w:ascii="宋体" w:hAnsi="宋体" w:eastAsia="宋体" w:cs="宋体"/>
          <w:color w:val="auto"/>
          <w:sz w:val="18"/>
          <w:szCs w:val="18"/>
          <w:highlight w:val="none"/>
          <w:u w:val="single"/>
        </w:rPr>
        <w:t>人负责项目经理的考勤</w:t>
      </w:r>
      <w:r>
        <w:rPr>
          <w:rFonts w:hint="eastAsia" w:ascii="宋体" w:hAnsi="宋体" w:eastAsia="宋体" w:cs="宋体"/>
          <w:color w:val="auto"/>
          <w:sz w:val="18"/>
          <w:szCs w:val="18"/>
          <w:highlight w:val="none"/>
        </w:rPr>
        <w:t>。</w:t>
      </w:r>
    </w:p>
    <w:p w14:paraId="23A72A1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18"/>
          <w:szCs w:val="18"/>
          <w:highlight w:val="none"/>
        </w:rPr>
        <w:t>。</w:t>
      </w:r>
    </w:p>
    <w:p w14:paraId="7B21323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3.2.2 技术负责人</w:t>
      </w:r>
    </w:p>
    <w:p w14:paraId="72A64A6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姓    名：</w:t>
      </w:r>
      <w:r>
        <w:rPr>
          <w:rFonts w:hint="eastAsia" w:ascii="宋体" w:hAnsi="宋体" w:eastAsia="宋体" w:cs="宋体"/>
          <w:color w:val="auto"/>
          <w:sz w:val="18"/>
          <w:szCs w:val="18"/>
          <w:highlight w:val="none"/>
          <w:u w:val="single"/>
        </w:rPr>
        <w:t xml:space="preserve">                           </w:t>
      </w:r>
      <w:r>
        <w:rPr>
          <w:rFonts w:hint="eastAsia" w:ascii="宋体" w:hAnsi="宋体" w:eastAsia="宋体" w:cs="宋体"/>
          <w:color w:val="auto"/>
          <w:sz w:val="18"/>
          <w:szCs w:val="18"/>
          <w:highlight w:val="none"/>
        </w:rPr>
        <w:t>；</w:t>
      </w:r>
    </w:p>
    <w:p w14:paraId="5AEC535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身份证号：</w:t>
      </w:r>
      <w:r>
        <w:rPr>
          <w:rFonts w:hint="eastAsia" w:ascii="宋体" w:hAnsi="宋体" w:eastAsia="宋体" w:cs="宋体"/>
          <w:color w:val="auto"/>
          <w:sz w:val="18"/>
          <w:szCs w:val="18"/>
          <w:highlight w:val="none"/>
          <w:u w:val="single"/>
        </w:rPr>
        <w:t xml:space="preserve">                           </w:t>
      </w:r>
      <w:r>
        <w:rPr>
          <w:rFonts w:hint="eastAsia" w:ascii="宋体" w:hAnsi="宋体" w:eastAsia="宋体" w:cs="宋体"/>
          <w:color w:val="auto"/>
          <w:sz w:val="18"/>
          <w:szCs w:val="18"/>
          <w:highlight w:val="none"/>
        </w:rPr>
        <w:t>；</w:t>
      </w:r>
    </w:p>
    <w:p w14:paraId="5C20FBE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联系方式：</w:t>
      </w:r>
      <w:r>
        <w:rPr>
          <w:rFonts w:hint="eastAsia" w:ascii="宋体" w:hAnsi="宋体" w:eastAsia="宋体" w:cs="宋体"/>
          <w:color w:val="auto"/>
          <w:sz w:val="18"/>
          <w:szCs w:val="18"/>
          <w:highlight w:val="none"/>
          <w:u w:val="single"/>
        </w:rPr>
        <w:t xml:space="preserve">                           </w:t>
      </w:r>
      <w:r>
        <w:rPr>
          <w:rFonts w:hint="eastAsia" w:ascii="宋体" w:hAnsi="宋体" w:eastAsia="宋体" w:cs="宋体"/>
          <w:color w:val="auto"/>
          <w:sz w:val="18"/>
          <w:szCs w:val="18"/>
          <w:highlight w:val="none"/>
        </w:rPr>
        <w:t>；</w:t>
      </w:r>
    </w:p>
    <w:p w14:paraId="012328A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关于技</w:t>
      </w:r>
      <w:r>
        <w:rPr>
          <w:rFonts w:hint="eastAsia" w:ascii="宋体" w:hAnsi="宋体" w:eastAsia="宋体" w:cs="宋体"/>
          <w:color w:val="auto"/>
          <w:sz w:val="18"/>
          <w:szCs w:val="18"/>
          <w:highlight w:val="none"/>
        </w:rPr>
        <w:t>术负责人每月在施工现场的时间要求：</w:t>
      </w:r>
      <w:r>
        <w:rPr>
          <w:rFonts w:hint="eastAsia" w:ascii="宋体" w:hAnsi="宋体" w:eastAsia="宋体" w:cs="宋体"/>
          <w:color w:val="auto"/>
          <w:sz w:val="18"/>
          <w:szCs w:val="18"/>
          <w:highlight w:val="none"/>
          <w:u w:val="single"/>
        </w:rPr>
        <w:t>不少于22天，由</w:t>
      </w:r>
      <w:r>
        <w:rPr>
          <w:rFonts w:hint="eastAsia" w:ascii="宋体" w:hAnsi="宋体" w:eastAsia="宋体" w:cs="宋体"/>
          <w:color w:val="auto"/>
          <w:sz w:val="18"/>
          <w:szCs w:val="18"/>
          <w:highlight w:val="none"/>
          <w:u w:val="single"/>
          <w:lang w:val="en-US" w:eastAsia="zh-CN"/>
        </w:rPr>
        <w:t>发包</w:t>
      </w:r>
      <w:r>
        <w:rPr>
          <w:rFonts w:hint="eastAsia" w:ascii="宋体" w:hAnsi="宋体" w:eastAsia="宋体" w:cs="宋体"/>
          <w:color w:val="auto"/>
          <w:sz w:val="18"/>
          <w:szCs w:val="18"/>
          <w:highlight w:val="none"/>
          <w:u w:val="single"/>
        </w:rPr>
        <w:t>人负责技术负责人的考勤</w:t>
      </w:r>
      <w:r>
        <w:rPr>
          <w:rFonts w:hint="eastAsia" w:ascii="宋体" w:hAnsi="宋体" w:eastAsia="宋体" w:cs="宋体"/>
          <w:color w:val="auto"/>
          <w:sz w:val="18"/>
          <w:szCs w:val="18"/>
          <w:highlight w:val="none"/>
        </w:rPr>
        <w:t>。</w:t>
      </w:r>
    </w:p>
    <w:p w14:paraId="09C638B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18"/>
          <w:szCs w:val="18"/>
          <w:highlight w:val="none"/>
        </w:rPr>
        <w:t>。</w:t>
      </w:r>
      <w:bookmarkStart w:id="610" w:name="_Hlk528927599"/>
    </w:p>
    <w:bookmarkEnd w:id="610"/>
    <w:p w14:paraId="2F948D40">
      <w:pPr>
        <w:spacing w:line="360" w:lineRule="auto"/>
        <w:ind w:firstLine="360" w:firstLineChars="200"/>
        <w:jc w:val="left"/>
        <w:rPr>
          <w:rFonts w:hint="eastAsia" w:ascii="宋体" w:hAnsi="宋体" w:eastAsia="宋体" w:cs="宋体"/>
          <w:color w:val="auto"/>
          <w:sz w:val="18"/>
          <w:szCs w:val="18"/>
          <w:highlight w:val="none"/>
        </w:rPr>
      </w:pPr>
      <w:bookmarkStart w:id="611" w:name="_Hlk528927718"/>
      <w:r>
        <w:rPr>
          <w:rFonts w:hint="eastAsia" w:ascii="宋体" w:hAnsi="宋体" w:eastAsia="宋体" w:cs="宋体"/>
          <w:color w:val="auto"/>
          <w:sz w:val="18"/>
          <w:szCs w:val="18"/>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11"/>
    </w:p>
    <w:p w14:paraId="5C8637F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284F211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1、死亡；</w:t>
      </w:r>
    </w:p>
    <w:p w14:paraId="18E5CCB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2、非承包人原因导致工期延长，而致使项目经理和技术负责人达到法定退休年龄且确需退休；</w:t>
      </w:r>
    </w:p>
    <w:p w14:paraId="23FFD5A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3、按《职工非因工伤残或因病丧失劳动能力程度鉴定标准（试行）》规定鉴定为完全丧失劳动能力和大部分丧失劳动能力；</w:t>
      </w:r>
    </w:p>
    <w:p w14:paraId="3104A04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4、非承包人原因导致</w:t>
      </w:r>
      <w:r>
        <w:rPr>
          <w:rFonts w:hint="eastAsia" w:ascii="宋体" w:hAnsi="宋体" w:eastAsia="宋体" w:cs="宋体"/>
          <w:color w:val="auto"/>
          <w:sz w:val="18"/>
          <w:szCs w:val="18"/>
          <w:highlight w:val="none"/>
          <w:lang w:eastAsia="zh-CN"/>
        </w:rPr>
        <w:t>中选</w:t>
      </w:r>
      <w:r>
        <w:rPr>
          <w:rFonts w:hint="eastAsia" w:ascii="宋体" w:hAnsi="宋体" w:eastAsia="宋体" w:cs="宋体"/>
          <w:color w:val="auto"/>
          <w:sz w:val="18"/>
          <w:szCs w:val="18"/>
          <w:highlight w:val="none"/>
        </w:rPr>
        <w:t>3个月不能开工；</w:t>
      </w:r>
    </w:p>
    <w:p w14:paraId="06044B9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5、被公安或者司法机关限制人身自由；</w:t>
      </w:r>
    </w:p>
    <w:p w14:paraId="05A2125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6、被取消职称或者执业资格，不满足项目管理要求；</w:t>
      </w:r>
    </w:p>
    <w:p w14:paraId="62801DE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7、非承包人原因导致确需变更的其它情形。</w:t>
      </w:r>
    </w:p>
    <w:p w14:paraId="0489C43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本款补充3.2.6项</w:t>
      </w:r>
    </w:p>
    <w:p w14:paraId="0E583B4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3.2.6 国有资金投资项目其他主要人员变更参照《重庆市政府投资项目合同变更管理暂行办法》的规定。</w:t>
      </w:r>
    </w:p>
    <w:p w14:paraId="2FFC2B9B">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12" w:name="_Toc532377337"/>
      <w:r>
        <w:rPr>
          <w:rFonts w:hint="eastAsia" w:ascii="宋体" w:hAnsi="宋体" w:eastAsia="宋体" w:cs="宋体"/>
          <w:color w:val="auto"/>
          <w:sz w:val="18"/>
          <w:szCs w:val="18"/>
          <w:highlight w:val="none"/>
        </w:rPr>
        <w:t>3.3 承包人人员</w:t>
      </w:r>
      <w:bookmarkEnd w:id="612"/>
    </w:p>
    <w:p w14:paraId="35DC770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3.3.1 承包人应按建设行政主管部门现行规定配备现场施工从业人员，具体要求如下：</w:t>
      </w:r>
      <w:r>
        <w:rPr>
          <w:rFonts w:hint="eastAsia" w:ascii="宋体" w:hAnsi="宋体" w:eastAsia="宋体" w:cs="宋体"/>
          <w:color w:val="auto"/>
          <w:sz w:val="18"/>
          <w:szCs w:val="18"/>
          <w:highlight w:val="none"/>
          <w:u w:val="single"/>
        </w:rPr>
        <w:t xml:space="preserve">        </w:t>
      </w:r>
    </w:p>
    <w:p w14:paraId="7CA1E00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同意。通知中应当载明继任人员的职称、执业资格、项目管理经验等资料。更换后的施工管理人员应当是承包人的正式员工，且在职称、执业资格、项目管理经验等方面不低于原施工管理人员。</w:t>
      </w:r>
    </w:p>
    <w:p w14:paraId="45A5149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4A8601F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3.3.4 承包人主要施工管理人员离开施工现场，指定的临时人员需满足：</w:t>
      </w:r>
      <w:r>
        <w:rPr>
          <w:rFonts w:hint="eastAsia" w:ascii="宋体" w:hAnsi="宋体" w:eastAsia="宋体" w:cs="宋体"/>
          <w:color w:val="auto"/>
          <w:sz w:val="18"/>
          <w:szCs w:val="18"/>
          <w:highlight w:val="none"/>
          <w:u w:val="single"/>
        </w:rPr>
        <w:t>《重庆市房屋建筑与市政基础设施工程现场施工从业人员配备标准》（DBJ50-157-2013）的相应要求</w:t>
      </w:r>
      <w:r>
        <w:rPr>
          <w:rFonts w:hint="eastAsia" w:ascii="宋体" w:hAnsi="宋体" w:eastAsia="宋体" w:cs="宋体"/>
          <w:color w:val="auto"/>
          <w:sz w:val="18"/>
          <w:szCs w:val="18"/>
          <w:highlight w:val="none"/>
        </w:rPr>
        <w:t>。</w:t>
      </w:r>
    </w:p>
    <w:p w14:paraId="13F6A8DC">
      <w:pPr>
        <w:pStyle w:val="7"/>
        <w:spacing w:before="0" w:beforeAutospacing="0" w:after="0" w:afterAutospacing="0" w:line="360" w:lineRule="auto"/>
        <w:ind w:firstLine="361" w:firstLineChars="200"/>
        <w:rPr>
          <w:rFonts w:hint="default" w:ascii="宋体" w:hAnsi="宋体" w:eastAsia="宋体" w:cs="宋体"/>
          <w:color w:val="auto"/>
          <w:sz w:val="18"/>
          <w:szCs w:val="18"/>
          <w:highlight w:val="none"/>
          <w:lang w:val="en-US" w:eastAsia="zh-CN"/>
        </w:rPr>
      </w:pPr>
      <w:bookmarkStart w:id="613" w:name="_Toc532377338"/>
      <w:r>
        <w:rPr>
          <w:rFonts w:hint="eastAsia" w:ascii="宋体" w:hAnsi="宋体" w:eastAsia="宋体" w:cs="宋体"/>
          <w:color w:val="auto"/>
          <w:sz w:val="18"/>
          <w:szCs w:val="18"/>
          <w:highlight w:val="none"/>
        </w:rPr>
        <w:t>3</w:t>
      </w:r>
      <w:bookmarkStart w:id="614" w:name="_Toc292559364"/>
      <w:bookmarkStart w:id="615" w:name="_Toc296347158"/>
      <w:bookmarkStart w:id="616" w:name="_Toc296503159"/>
      <w:bookmarkStart w:id="617" w:name="_Toc297216151"/>
      <w:bookmarkStart w:id="618" w:name="_Toc297123492"/>
      <w:bookmarkStart w:id="619" w:name="_Toc296891199"/>
      <w:bookmarkStart w:id="620" w:name="_Toc312677988"/>
      <w:bookmarkStart w:id="621" w:name="_Toc297048345"/>
      <w:bookmarkStart w:id="622" w:name="_Toc292559869"/>
      <w:bookmarkStart w:id="623" w:name="_Toc300934945"/>
      <w:bookmarkStart w:id="624" w:name="_Toc296944498"/>
      <w:bookmarkStart w:id="625" w:name="_Toc296346660"/>
      <w:bookmarkStart w:id="626" w:name="_Toc304295523"/>
      <w:bookmarkStart w:id="627" w:name="_Toc296890987"/>
      <w:bookmarkStart w:id="628" w:name="_Toc297120459"/>
      <w:bookmarkStart w:id="629" w:name="_Toc303539102"/>
      <w:r>
        <w:rPr>
          <w:rFonts w:hint="eastAsia" w:ascii="宋体" w:hAnsi="宋体" w:eastAsia="宋体" w:cs="宋体"/>
          <w:color w:val="auto"/>
          <w:sz w:val="18"/>
          <w:szCs w:val="18"/>
          <w:highlight w:val="none"/>
        </w:rPr>
        <w:t>.5 分包</w:t>
      </w:r>
      <w:bookmarkEnd w:id="613"/>
      <w:r>
        <w:rPr>
          <w:rFonts w:hint="eastAsia" w:ascii="宋体" w:hAnsi="宋体" w:eastAsia="宋体" w:cs="宋体"/>
          <w:color w:val="auto"/>
          <w:sz w:val="18"/>
          <w:szCs w:val="18"/>
          <w:highlight w:val="none"/>
          <w:lang w:val="en-US" w:eastAsia="zh-CN"/>
        </w:rPr>
        <w:t>:本工程不允许分包。</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14:paraId="661D0A5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30" w:name="_Toc532377339"/>
      <w:r>
        <w:rPr>
          <w:rFonts w:hint="eastAsia" w:ascii="宋体" w:hAnsi="宋体" w:eastAsia="宋体" w:cs="宋体"/>
          <w:color w:val="auto"/>
          <w:sz w:val="18"/>
          <w:szCs w:val="18"/>
          <w:highlight w:val="none"/>
        </w:rPr>
        <w:t>3.7 履约担保</w:t>
      </w:r>
      <w:bookmarkEnd w:id="630"/>
    </w:p>
    <w:p w14:paraId="70F85ED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3.7.1承包人是否提供履约担保：</w:t>
      </w:r>
      <w:r>
        <w:rPr>
          <w:rFonts w:hint="eastAsia" w:ascii="宋体" w:hAnsi="宋体" w:eastAsia="宋体" w:cs="宋体"/>
          <w:color w:val="auto"/>
          <w:sz w:val="18"/>
          <w:szCs w:val="18"/>
          <w:highlight w:val="none"/>
          <w:u w:val="single"/>
        </w:rPr>
        <w:t>提供</w:t>
      </w:r>
      <w:r>
        <w:rPr>
          <w:rFonts w:hint="eastAsia" w:ascii="宋体" w:hAnsi="宋体" w:eastAsia="宋体" w:cs="宋体"/>
          <w:color w:val="auto"/>
          <w:sz w:val="18"/>
          <w:szCs w:val="18"/>
          <w:highlight w:val="none"/>
        </w:rPr>
        <w:t>。</w:t>
      </w:r>
    </w:p>
    <w:p w14:paraId="23BE0BD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3.7.2承包人提供履约担保的形式、金额及期限：</w:t>
      </w:r>
    </w:p>
    <w:p w14:paraId="3999221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（1）履约担保的形式：</w:t>
      </w:r>
      <w:r>
        <w:rPr>
          <w:rFonts w:hint="eastAsia" w:ascii="宋体" w:hAnsi="宋体" w:eastAsia="宋体" w:cs="宋体"/>
          <w:color w:val="auto"/>
          <w:sz w:val="18"/>
          <w:szCs w:val="18"/>
          <w:highlight w:val="none"/>
          <w:u w:val="single"/>
        </w:rPr>
        <w:t>现金或银行保函或现金+银行保函的组合；采用保函形式的，保函必须为不可撤销且见索即付</w:t>
      </w:r>
      <w:r>
        <w:rPr>
          <w:rFonts w:hint="eastAsia" w:ascii="宋体" w:hAnsi="宋体" w:eastAsia="宋体" w:cs="宋体"/>
          <w:color w:val="auto"/>
          <w:sz w:val="18"/>
          <w:szCs w:val="18"/>
          <w:highlight w:val="none"/>
        </w:rPr>
        <w:t>；</w:t>
      </w:r>
    </w:p>
    <w:p w14:paraId="2A8082AA">
      <w:pPr>
        <w:tabs>
          <w:tab w:val="left" w:pos="1134"/>
        </w:tabs>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（2）履约担保的金额：</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sz w:val="18"/>
          <w:szCs w:val="18"/>
          <w:highlight w:val="none"/>
        </w:rPr>
        <w:t>；</w:t>
      </w:r>
    </w:p>
    <w:p w14:paraId="271C7514">
      <w:pPr>
        <w:tabs>
          <w:tab w:val="left" w:pos="1134"/>
        </w:tabs>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（3）履约担保的提交时间：</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03DD556B">
      <w:pPr>
        <w:tabs>
          <w:tab w:val="left" w:pos="1134"/>
        </w:tabs>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（4）履约担保的期限：</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1E110340">
      <w:pPr>
        <w:tabs>
          <w:tab w:val="left" w:pos="1134"/>
        </w:tabs>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（5）履约担保的退还时间：</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7836E594">
      <w:pPr>
        <w:pStyle w:val="2"/>
        <w:rPr>
          <w:rFonts w:hint="eastAsia"/>
        </w:rPr>
      </w:pPr>
    </w:p>
    <w:p w14:paraId="517818FF">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631" w:name="_Toc267251418"/>
      <w:bookmarkStart w:id="632" w:name="_Toc532377344"/>
      <w:bookmarkStart w:id="633" w:name="_Toc351203637"/>
      <w:bookmarkStart w:id="634" w:name="_Toc532375612"/>
      <w:r>
        <w:rPr>
          <w:rFonts w:hint="eastAsia" w:ascii="宋体" w:hAnsi="宋体" w:eastAsia="宋体" w:cs="宋体"/>
          <w:color w:val="auto"/>
          <w:kern w:val="2"/>
          <w:sz w:val="18"/>
          <w:szCs w:val="18"/>
          <w:highlight w:val="none"/>
        </w:rPr>
        <w:t>5</w:t>
      </w:r>
      <w:bookmarkEnd w:id="631"/>
      <w:r>
        <w:rPr>
          <w:rFonts w:hint="eastAsia" w:ascii="宋体" w:hAnsi="宋体" w:eastAsia="宋体" w:cs="宋体"/>
          <w:color w:val="auto"/>
          <w:kern w:val="2"/>
          <w:sz w:val="18"/>
          <w:szCs w:val="18"/>
          <w:highlight w:val="none"/>
        </w:rPr>
        <w:t>. 工程质量</w:t>
      </w:r>
      <w:bookmarkEnd w:id="632"/>
      <w:bookmarkEnd w:id="633"/>
      <w:bookmarkEnd w:id="634"/>
    </w:p>
    <w:p w14:paraId="28537A0B">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35" w:name="_Toc532377345"/>
      <w:r>
        <w:rPr>
          <w:rFonts w:hint="eastAsia" w:ascii="宋体" w:hAnsi="宋体" w:eastAsia="宋体" w:cs="宋体"/>
          <w:color w:val="auto"/>
          <w:sz w:val="18"/>
          <w:szCs w:val="18"/>
          <w:highlight w:val="none"/>
        </w:rPr>
        <w:t>5.1 质量要求</w:t>
      </w:r>
      <w:bookmarkEnd w:id="635"/>
    </w:p>
    <w:p w14:paraId="3CC57A64">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left"/>
        <w:textAlignment w:val="auto"/>
        <w:rPr>
          <w:rFonts w:hint="eastAsia"/>
        </w:rPr>
      </w:pPr>
      <w:r>
        <w:rPr>
          <w:rFonts w:hint="eastAsia" w:ascii="宋体" w:hAnsi="宋体" w:eastAsia="宋体" w:cs="宋体"/>
          <w:color w:val="auto"/>
          <w:sz w:val="18"/>
          <w:szCs w:val="18"/>
          <w:highlight w:val="none"/>
          <w:u w:val="single"/>
        </w:rPr>
        <w:t>工程质量符合强制性质量标准，符合国家和重庆市现行有关施工质量验收规范要求，并达到合格标准</w:t>
      </w:r>
      <w:r>
        <w:rPr>
          <w:rFonts w:hint="eastAsia" w:ascii="宋体" w:hAnsi="宋体" w:eastAsia="宋体" w:cs="宋体"/>
          <w:color w:val="auto"/>
          <w:sz w:val="18"/>
          <w:szCs w:val="18"/>
          <w:highlight w:val="none"/>
        </w:rPr>
        <w:t>。强</w:t>
      </w:r>
      <w:bookmarkStart w:id="636" w:name="_Hlk528909888"/>
      <w:r>
        <w:rPr>
          <w:rFonts w:hint="eastAsia" w:ascii="宋体" w:hAnsi="宋体" w:eastAsia="宋体" w:cs="宋体"/>
          <w:color w:val="auto"/>
          <w:sz w:val="18"/>
          <w:szCs w:val="18"/>
          <w:highlight w:val="none"/>
        </w:rPr>
        <w:t>制性安全质量标准有（包括但不限于）：</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bookmarkEnd w:id="636"/>
    </w:p>
    <w:p w14:paraId="284FE009">
      <w:pPr>
        <w:pStyle w:val="7"/>
        <w:spacing w:before="0" w:beforeAutospacing="0" w:after="0" w:afterAutospacing="0" w:line="360" w:lineRule="auto"/>
        <w:rPr>
          <w:rFonts w:hint="eastAsia" w:ascii="宋体" w:hAnsi="宋体" w:eastAsia="宋体" w:cs="宋体"/>
          <w:color w:val="auto"/>
          <w:sz w:val="18"/>
          <w:szCs w:val="18"/>
          <w:highlight w:val="none"/>
        </w:rPr>
      </w:pPr>
      <w:bookmarkStart w:id="637" w:name="_Toc532377346"/>
      <w:r>
        <w:rPr>
          <w:rFonts w:hint="eastAsia" w:ascii="宋体" w:hAnsi="宋体" w:eastAsia="宋体" w:cs="宋体"/>
          <w:color w:val="auto"/>
          <w:sz w:val="18"/>
          <w:szCs w:val="18"/>
          <w:highlight w:val="none"/>
        </w:rPr>
        <w:t>5.2 质量保证措施</w:t>
      </w:r>
      <w:bookmarkEnd w:id="637"/>
    </w:p>
    <w:p w14:paraId="3A66D61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本款补充5.2.4项：</w:t>
      </w:r>
    </w:p>
    <w:p w14:paraId="49072F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5.2.4 在工程建设中，参建各方应严格执行以下规定（包括但不限于）：</w:t>
      </w:r>
    </w:p>
    <w:p w14:paraId="3EE8204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u w:val="single"/>
        </w:rPr>
        <w:t>《建筑工程施工质量验收统一标准》（GB50300-2013）</w:t>
      </w:r>
      <w:r>
        <w:rPr>
          <w:rFonts w:hint="eastAsia" w:ascii="宋体" w:hAnsi="宋体" w:eastAsia="宋体" w:cs="宋体"/>
          <w:color w:val="auto"/>
          <w:sz w:val="18"/>
          <w:szCs w:val="18"/>
          <w:highlight w:val="none"/>
        </w:rPr>
        <w:t>；</w:t>
      </w:r>
    </w:p>
    <w:p w14:paraId="676712F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《住房城乡建设部关于印发工程质量安全提升行动方案的通知》（建质〔2017〕57号）</w:t>
      </w:r>
      <w:r>
        <w:rPr>
          <w:rFonts w:hint="eastAsia" w:ascii="宋体" w:hAnsi="宋体" w:eastAsia="宋体" w:cs="宋体"/>
          <w:color w:val="auto"/>
          <w:sz w:val="18"/>
          <w:szCs w:val="18"/>
          <w:highlight w:val="none"/>
        </w:rPr>
        <w:t>；</w:t>
      </w:r>
    </w:p>
    <w:p w14:paraId="6F09F75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u w:val="single"/>
        </w:rPr>
        <w:t>《房屋建筑和市政基础设施工程竣工验收规定》（建质〔2013〕171号）</w:t>
      </w:r>
      <w:r>
        <w:rPr>
          <w:rFonts w:hint="eastAsia" w:ascii="宋体" w:hAnsi="宋体" w:eastAsia="宋体" w:cs="宋体"/>
          <w:color w:val="auto"/>
          <w:sz w:val="18"/>
          <w:szCs w:val="18"/>
          <w:highlight w:val="none"/>
        </w:rPr>
        <w:t>；</w:t>
      </w:r>
    </w:p>
    <w:p w14:paraId="2B5937E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u w:val="single"/>
        </w:rPr>
        <w:t>《建设部关于贯彻执行建筑工程勘察设计及施工质量验收规范若干问题的通知》（建标〔2002〕212号）</w:t>
      </w:r>
      <w:r>
        <w:rPr>
          <w:rFonts w:hint="eastAsia" w:ascii="宋体" w:hAnsi="宋体" w:eastAsia="宋体" w:cs="宋体"/>
          <w:color w:val="auto"/>
          <w:sz w:val="18"/>
          <w:szCs w:val="18"/>
          <w:highlight w:val="none"/>
        </w:rPr>
        <w:t>；</w:t>
      </w:r>
    </w:p>
    <w:p w14:paraId="711250B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u w:val="single"/>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 w:val="18"/>
          <w:szCs w:val="18"/>
          <w:highlight w:val="none"/>
        </w:rPr>
        <w:t>；</w:t>
      </w:r>
    </w:p>
    <w:p w14:paraId="105FB9A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r>
        <w:rPr>
          <w:rFonts w:hint="eastAsia" w:ascii="宋体" w:hAnsi="宋体" w:eastAsia="宋体" w:cs="宋体"/>
          <w:color w:val="auto"/>
          <w:sz w:val="18"/>
          <w:szCs w:val="18"/>
          <w:highlight w:val="none"/>
          <w:u w:val="single"/>
        </w:rPr>
        <w:t>《关于印发&lt;重庆市房屋建筑和市政基础设施工程预拌商品砂浆应用推进工作方案&gt;的通知》（渝建〔2018〕375号）</w:t>
      </w:r>
      <w:r>
        <w:rPr>
          <w:rFonts w:hint="eastAsia" w:ascii="宋体" w:hAnsi="宋体" w:eastAsia="宋体" w:cs="宋体"/>
          <w:color w:val="auto"/>
          <w:sz w:val="18"/>
          <w:szCs w:val="18"/>
          <w:highlight w:val="none"/>
        </w:rPr>
        <w:t>；</w:t>
      </w:r>
    </w:p>
    <w:p w14:paraId="6AACCF2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r>
        <w:rPr>
          <w:rFonts w:hint="eastAsia" w:ascii="宋体" w:hAnsi="宋体" w:eastAsia="宋体" w:cs="宋体"/>
          <w:color w:val="auto"/>
          <w:sz w:val="18"/>
          <w:szCs w:val="18"/>
          <w:highlight w:val="none"/>
          <w:u w:val="single"/>
        </w:rPr>
        <w:t>《重庆市城乡建设委员会关于印发2018年房屋建筑和市政基础设施工程质量要点的通知》（渝建〔2018〕94号）</w:t>
      </w:r>
      <w:r>
        <w:rPr>
          <w:rFonts w:hint="eastAsia" w:ascii="宋体" w:hAnsi="宋体" w:eastAsia="宋体" w:cs="宋体"/>
          <w:color w:val="auto"/>
          <w:sz w:val="18"/>
          <w:szCs w:val="18"/>
          <w:highlight w:val="none"/>
        </w:rPr>
        <w:t>；</w:t>
      </w:r>
    </w:p>
    <w:p w14:paraId="199B14D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r>
        <w:rPr>
          <w:rFonts w:hint="eastAsia" w:ascii="宋体" w:hAnsi="宋体" w:eastAsia="宋体" w:cs="宋体"/>
          <w:color w:val="auto"/>
          <w:sz w:val="18"/>
          <w:szCs w:val="18"/>
          <w:highlight w:val="none"/>
          <w:u w:val="single"/>
        </w:rPr>
        <w:t>《重庆市城乡建设委员会关于进一步推广应用预拌商品砂浆的通知》（渝建〔2016〕318号）</w:t>
      </w:r>
      <w:r>
        <w:rPr>
          <w:rFonts w:hint="eastAsia" w:ascii="宋体" w:hAnsi="宋体" w:eastAsia="宋体" w:cs="宋体"/>
          <w:color w:val="auto"/>
          <w:sz w:val="18"/>
          <w:szCs w:val="18"/>
          <w:highlight w:val="none"/>
        </w:rPr>
        <w:t>；</w:t>
      </w:r>
    </w:p>
    <w:p w14:paraId="792D044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r>
        <w:rPr>
          <w:rFonts w:hint="eastAsia" w:ascii="宋体" w:hAnsi="宋体" w:eastAsia="宋体" w:cs="宋体"/>
          <w:color w:val="auto"/>
          <w:sz w:val="18"/>
          <w:szCs w:val="18"/>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 w:val="18"/>
          <w:szCs w:val="18"/>
          <w:highlight w:val="none"/>
        </w:rPr>
        <w:t>；</w:t>
      </w:r>
    </w:p>
    <w:p w14:paraId="63AEDFD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r>
        <w:rPr>
          <w:rFonts w:hint="eastAsia" w:ascii="宋体" w:hAnsi="宋体" w:eastAsia="宋体" w:cs="宋体"/>
          <w:color w:val="auto"/>
          <w:sz w:val="18"/>
          <w:szCs w:val="18"/>
          <w:highlight w:val="none"/>
          <w:u w:val="single"/>
        </w:rPr>
        <w:t>国家和本市现行有关建设工程质量验收标准、规范和要求</w:t>
      </w:r>
      <w:r>
        <w:rPr>
          <w:rFonts w:hint="eastAsia" w:ascii="宋体" w:hAnsi="宋体" w:eastAsia="宋体" w:cs="宋体"/>
          <w:color w:val="auto"/>
          <w:sz w:val="18"/>
          <w:szCs w:val="18"/>
          <w:highlight w:val="none"/>
        </w:rPr>
        <w:t>；</w:t>
      </w:r>
    </w:p>
    <w:p w14:paraId="369735B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3ED6C59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承包人、监理人和发包人在工程建设中，应严格执行国家及重庆市现行标准，如上述标准及规范要求有出入则以较严格者为准。</w:t>
      </w:r>
    </w:p>
    <w:p w14:paraId="4055792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5.3隐蔽工程检查</w:t>
      </w:r>
    </w:p>
    <w:p w14:paraId="6379533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5.3.2检查程序</w:t>
      </w:r>
    </w:p>
    <w:p w14:paraId="41E0141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工程隐蔽部位经承包人自检确认具备覆盖条件的，承包人应在共同检查前</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小时书面通知监理人检查，通知中应载明隐蔽检查的内容、时间和地点，并应附有自检记录和必要的检查资料。</w:t>
      </w:r>
    </w:p>
    <w:p w14:paraId="4FFBEDF2">
      <w:pPr>
        <w:pStyle w:val="2"/>
        <w:rPr>
          <w:rFonts w:hint="eastAsia" w:ascii="宋体" w:hAnsi="宋体" w:eastAsia="宋体" w:cs="宋体"/>
          <w:color w:val="auto"/>
          <w:sz w:val="18"/>
          <w:szCs w:val="18"/>
          <w:highlight w:val="none"/>
        </w:rPr>
      </w:pPr>
    </w:p>
    <w:p w14:paraId="0787130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38" w:name="_Toc532377347"/>
      <w:bookmarkStart w:id="639" w:name="_Toc351203536"/>
      <w:bookmarkStart w:id="640" w:name="_Hlk528927873"/>
      <w:bookmarkStart w:id="641" w:name="_Toc318581164"/>
      <w:bookmarkStart w:id="642" w:name="_Toc296944502"/>
      <w:bookmarkStart w:id="643" w:name="_Toc296503163"/>
      <w:bookmarkStart w:id="644" w:name="_Toc297120463"/>
      <w:bookmarkStart w:id="645" w:name="_Toc300934949"/>
      <w:bookmarkStart w:id="646" w:name="_Toc297123496"/>
      <w:bookmarkStart w:id="647" w:name="_Toc296890991"/>
      <w:bookmarkStart w:id="648" w:name="_Toc292559872"/>
      <w:bookmarkStart w:id="649" w:name="_Toc303539106"/>
      <w:bookmarkStart w:id="650" w:name="_Toc304295527"/>
      <w:bookmarkStart w:id="651" w:name="_Toc296891203"/>
      <w:bookmarkStart w:id="652" w:name="_Toc297216155"/>
      <w:bookmarkStart w:id="653" w:name="_Toc292559367"/>
      <w:bookmarkStart w:id="654" w:name="_Toc297048349"/>
      <w:bookmarkStart w:id="655" w:name="_Toc296347162"/>
      <w:bookmarkStart w:id="656" w:name="_Toc296346664"/>
      <w:bookmarkStart w:id="657" w:name="_Toc312677997"/>
      <w:r>
        <w:rPr>
          <w:rFonts w:hint="eastAsia" w:ascii="宋体" w:hAnsi="宋体" w:eastAsia="宋体" w:cs="宋体"/>
          <w:color w:val="auto"/>
          <w:sz w:val="18"/>
          <w:szCs w:val="18"/>
          <w:highlight w:val="none"/>
        </w:rPr>
        <w:t>5</w:t>
      </w:r>
      <w:bookmarkStart w:id="658" w:name="_Toc337558762"/>
      <w:r>
        <w:rPr>
          <w:rFonts w:hint="eastAsia" w:ascii="宋体" w:hAnsi="宋体" w:eastAsia="宋体" w:cs="宋体"/>
          <w:color w:val="auto"/>
          <w:sz w:val="18"/>
          <w:szCs w:val="18"/>
          <w:highlight w:val="none"/>
        </w:rPr>
        <w:t>.4 不合格工程的处理</w:t>
      </w:r>
      <w:bookmarkEnd w:id="638"/>
      <w:bookmarkEnd w:id="639"/>
    </w:p>
    <w:bookmarkEnd w:id="658"/>
    <w:p w14:paraId="27F44BA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本款补充5.4.3项：</w:t>
      </w:r>
    </w:p>
    <w:p w14:paraId="245E2AD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5.4.3 承包人在收到监理人发出的《不合格分项报告》或监理通知单后，必须在监理人规定时间内按要求完成整改，未能在限定时间内完成整改的，须承担相应违约责任。</w:t>
      </w:r>
    </w:p>
    <w:p w14:paraId="38427FC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本条补充5.6款：</w:t>
      </w:r>
    </w:p>
    <w:bookmarkEnd w:id="640"/>
    <w:p w14:paraId="7D33CFB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59" w:name="_Toc532377348"/>
      <w:r>
        <w:rPr>
          <w:rFonts w:hint="eastAsia" w:ascii="宋体" w:hAnsi="宋体" w:eastAsia="宋体" w:cs="宋体"/>
          <w:color w:val="auto"/>
          <w:sz w:val="18"/>
          <w:szCs w:val="18"/>
          <w:highlight w:val="none"/>
        </w:rPr>
        <w:t>5.6 质量事故的处理</w:t>
      </w:r>
      <w:bookmarkEnd w:id="659"/>
    </w:p>
    <w:p w14:paraId="716E6F5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5.6.1 合同履行过程中，发生工程质量事故的调查处理按照国家及重庆市现行规定处理。</w:t>
      </w:r>
    </w:p>
    <w:p w14:paraId="52B8C63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14:paraId="72DA8C65">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660" w:name="_Toc532377349"/>
      <w:bookmarkStart w:id="661" w:name="_Toc351203638"/>
      <w:bookmarkStart w:id="662" w:name="_Toc532375613"/>
      <w:r>
        <w:rPr>
          <w:rFonts w:hint="eastAsia" w:ascii="宋体" w:hAnsi="宋体" w:eastAsia="宋体" w:cs="宋体"/>
          <w:color w:val="auto"/>
          <w:kern w:val="2"/>
          <w:sz w:val="18"/>
          <w:szCs w:val="18"/>
          <w:highlight w:val="none"/>
        </w:rPr>
        <w:t>6. 安全文明施工与环境保护</w:t>
      </w:r>
      <w:bookmarkEnd w:id="660"/>
      <w:bookmarkEnd w:id="661"/>
      <w:bookmarkEnd w:id="662"/>
    </w:p>
    <w:p w14:paraId="511A11F5">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63" w:name="_Toc532377350"/>
      <w:bookmarkStart w:id="664" w:name="_Toc532375614"/>
      <w:r>
        <w:rPr>
          <w:rFonts w:hint="eastAsia" w:ascii="宋体" w:hAnsi="宋体" w:eastAsia="宋体" w:cs="宋体"/>
          <w:color w:val="auto"/>
          <w:sz w:val="18"/>
          <w:szCs w:val="18"/>
          <w:highlight w:val="none"/>
        </w:rPr>
        <w:t>6.1 安全文明施工</w:t>
      </w:r>
      <w:bookmarkEnd w:id="663"/>
      <w:bookmarkEnd w:id="664"/>
    </w:p>
    <w:p w14:paraId="0997633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5E7C763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76B77D5">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6.1.1 项目安全生产的达标目标及相应事项的约定：</w:t>
      </w:r>
      <w:r>
        <w:rPr>
          <w:rFonts w:hint="eastAsia" w:ascii="宋体" w:hAnsi="宋体" w:eastAsia="宋体" w:cs="宋体"/>
          <w:color w:val="auto"/>
          <w:sz w:val="18"/>
          <w:szCs w:val="18"/>
          <w:highlight w:val="none"/>
          <w:u w:val="single"/>
        </w:rPr>
        <w:t>达到《建筑施工安全检查标准》（JGJ59-2011）的要求</w:t>
      </w:r>
      <w:r>
        <w:rPr>
          <w:rFonts w:hint="eastAsia" w:ascii="宋体" w:hAnsi="宋体" w:eastAsia="宋体" w:cs="宋体"/>
          <w:color w:val="auto"/>
          <w:sz w:val="18"/>
          <w:szCs w:val="18"/>
          <w:highlight w:val="none"/>
        </w:rPr>
        <w:t>。</w:t>
      </w:r>
    </w:p>
    <w:p w14:paraId="689E980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（1）按现行安全文明施工费计取及使用管理的政策文件规定及发包人制订的安全管理制度执行</w:t>
      </w:r>
      <w:r>
        <w:rPr>
          <w:rFonts w:hint="eastAsia" w:ascii="宋体" w:hAnsi="宋体" w:eastAsia="宋体" w:cs="宋体"/>
          <w:color w:val="auto"/>
          <w:sz w:val="18"/>
          <w:szCs w:val="18"/>
          <w:highlight w:val="none"/>
        </w:rPr>
        <w:t>。</w:t>
      </w:r>
    </w:p>
    <w:p w14:paraId="2134078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（2）承包人的原因造成事故，由此产生的法律责任和事故责任及费用由承包人全部承担</w:t>
      </w:r>
      <w:r>
        <w:rPr>
          <w:rFonts w:hint="eastAsia" w:ascii="宋体" w:hAnsi="宋体" w:eastAsia="宋体" w:cs="宋体"/>
          <w:color w:val="auto"/>
          <w:sz w:val="18"/>
          <w:szCs w:val="18"/>
          <w:highlight w:val="none"/>
        </w:rPr>
        <w:t>。</w:t>
      </w:r>
    </w:p>
    <w:p w14:paraId="4C8082E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（3）承包人向发包人做出安全承诺，并签订《安全生产目标责任书》和《安全承诺书》</w:t>
      </w:r>
      <w:r>
        <w:rPr>
          <w:rFonts w:hint="eastAsia" w:ascii="宋体" w:hAnsi="宋体" w:eastAsia="宋体" w:cs="宋体"/>
          <w:color w:val="auto"/>
          <w:sz w:val="18"/>
          <w:szCs w:val="18"/>
          <w:highlight w:val="none"/>
        </w:rPr>
        <w:t>。</w:t>
      </w:r>
    </w:p>
    <w:p w14:paraId="7AA86F3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（4）承包人在施工过程中，必须严格执行安全生产法的相关规定，制定切实可靠的安全技术措施</w:t>
      </w:r>
      <w:r>
        <w:rPr>
          <w:rFonts w:hint="eastAsia" w:ascii="宋体" w:hAnsi="宋体" w:eastAsia="宋体" w:cs="宋体"/>
          <w:color w:val="auto"/>
          <w:sz w:val="18"/>
          <w:szCs w:val="18"/>
          <w:highlight w:val="none"/>
        </w:rPr>
        <w:t>。</w:t>
      </w:r>
    </w:p>
    <w:p w14:paraId="3F6F047D">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（5）接受发包人安全监督和管理，在施工中违反安全管理规定和操作规程、违章作业的，承担违约责任</w:t>
      </w:r>
      <w:r>
        <w:rPr>
          <w:rFonts w:hint="eastAsia" w:ascii="宋体" w:hAnsi="宋体" w:eastAsia="宋体" w:cs="宋体"/>
          <w:color w:val="auto"/>
          <w:sz w:val="18"/>
          <w:szCs w:val="18"/>
          <w:highlight w:val="none"/>
        </w:rPr>
        <w:t>。</w:t>
      </w:r>
    </w:p>
    <w:p w14:paraId="582DFF0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6.1.4 关于治安保卫的特别约定：</w:t>
      </w:r>
      <w:r>
        <w:rPr>
          <w:rFonts w:hint="eastAsia" w:ascii="宋体" w:hAnsi="宋体" w:eastAsia="宋体" w:cs="宋体"/>
          <w:color w:val="auto"/>
          <w:sz w:val="18"/>
          <w:szCs w:val="18"/>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 w:val="18"/>
          <w:szCs w:val="18"/>
          <w:highlight w:val="none"/>
        </w:rPr>
        <w:t>。</w:t>
      </w:r>
    </w:p>
    <w:p w14:paraId="0BD992FD">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关于编制施工场地治安管理计划的约定：</w:t>
      </w:r>
      <w:r>
        <w:rPr>
          <w:rFonts w:hint="eastAsia" w:ascii="宋体" w:hAnsi="宋体" w:eastAsia="宋体" w:cs="宋体"/>
          <w:color w:val="auto"/>
          <w:sz w:val="18"/>
          <w:szCs w:val="18"/>
          <w:highlight w:val="none"/>
          <w:u w:val="single"/>
        </w:rPr>
        <w:t>由承包人负责</w:t>
      </w:r>
      <w:r>
        <w:rPr>
          <w:rFonts w:hint="eastAsia" w:ascii="宋体" w:hAnsi="宋体" w:eastAsia="宋体" w:cs="宋体"/>
          <w:color w:val="auto"/>
          <w:sz w:val="18"/>
          <w:szCs w:val="18"/>
          <w:highlight w:val="none"/>
        </w:rPr>
        <w:t>。</w:t>
      </w:r>
    </w:p>
    <w:p w14:paraId="7114D16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6.1.5 文明施工</w:t>
      </w:r>
    </w:p>
    <w:p w14:paraId="652C8ACD">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合同当事人对文明施工的要求：</w:t>
      </w:r>
      <w:r>
        <w:rPr>
          <w:rFonts w:hint="eastAsia" w:ascii="宋体" w:hAnsi="宋体" w:eastAsia="宋体" w:cs="宋体"/>
          <w:color w:val="auto"/>
          <w:sz w:val="18"/>
          <w:szCs w:val="18"/>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宋体"/>
          <w:color w:val="auto"/>
          <w:sz w:val="18"/>
          <w:szCs w:val="18"/>
          <w:highlight w:val="none"/>
        </w:rPr>
        <w:t>。</w:t>
      </w:r>
    </w:p>
    <w:p w14:paraId="1F77A6E3">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承包人应按规定设置施工现场围挡，承包人采用的围挡主体形式应从重庆市城乡建委发布的标准图集（DJBT-062、DJBT-063）</w:t>
      </w:r>
      <w:r>
        <w:rPr>
          <w:rFonts w:hint="eastAsia" w:ascii="宋体" w:hAnsi="宋体" w:eastAsia="宋体" w:cs="宋体"/>
          <w:color w:val="auto"/>
          <w:sz w:val="18"/>
          <w:szCs w:val="18"/>
          <w:highlight w:val="none"/>
          <w:u w:val="single"/>
          <w:lang w:eastAsia="zh-CN"/>
        </w:rPr>
        <w:t>中选</w:t>
      </w:r>
      <w:r>
        <w:rPr>
          <w:rFonts w:hint="eastAsia" w:ascii="宋体" w:hAnsi="宋体" w:eastAsia="宋体" w:cs="宋体"/>
          <w:color w:val="auto"/>
          <w:sz w:val="18"/>
          <w:szCs w:val="18"/>
          <w:highlight w:val="none"/>
          <w:u w:val="single"/>
        </w:rPr>
        <w:t>用，做好施工围挡，围挡应整齐美观，承包人按相关要求做好日常维护和保洁，围挡高度满足规范要求，相关费用已包含在签约合同价中</w:t>
      </w:r>
      <w:r>
        <w:rPr>
          <w:rFonts w:hint="eastAsia" w:ascii="宋体" w:hAnsi="宋体" w:eastAsia="宋体" w:cs="宋体"/>
          <w:color w:val="auto"/>
          <w:sz w:val="18"/>
          <w:szCs w:val="18"/>
          <w:highlight w:val="none"/>
        </w:rPr>
        <w:t>。</w:t>
      </w:r>
    </w:p>
    <w:p w14:paraId="22CF331D">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6.1.6 关于安全文明施工费支付比例和支付期限的约定：按照行业主管部门相关规定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执行。</w:t>
      </w:r>
    </w:p>
    <w:p w14:paraId="701BB08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安全文明施工费的要求与内容、提取支付方法以及违反约定造成损失的赔偿等条款，按照现行规范要求执行，做到专款专用</w:t>
      </w:r>
      <w:r>
        <w:rPr>
          <w:rFonts w:hint="eastAsia" w:ascii="宋体" w:hAnsi="宋体" w:eastAsia="宋体" w:cs="宋体"/>
          <w:color w:val="auto"/>
          <w:sz w:val="18"/>
          <w:szCs w:val="18"/>
          <w:highlight w:val="none"/>
        </w:rPr>
        <w:t>。</w:t>
      </w:r>
    </w:p>
    <w:p w14:paraId="516801D4">
      <w:pPr>
        <w:keepNext w:val="0"/>
        <w:keepLines w:val="0"/>
        <w:suppressLineNumbers w:val="0"/>
        <w:autoSpaceDE w:val="0"/>
        <w:autoSpaceDN w:val="0"/>
        <w:spacing w:before="0" w:beforeAutospacing="0" w:after="0" w:afterAutospacing="0" w:line="360" w:lineRule="auto"/>
        <w:ind w:left="0" w:right="0" w:firstLine="360" w:firstLineChars="2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6.1.7 </w:t>
      </w:r>
      <w:bookmarkStart w:id="665" w:name="_Toc532375615"/>
      <w:bookmarkStart w:id="666" w:name="_Toc532377351"/>
      <w:r>
        <w:rPr>
          <w:rFonts w:hint="eastAsia" w:ascii="宋体" w:hAnsi="宋体" w:eastAsia="宋体" w:cs="宋体"/>
          <w:color w:val="auto"/>
          <w:sz w:val="18"/>
          <w:szCs w:val="18"/>
          <w:highlight w:val="none"/>
        </w:rPr>
        <w:t>为了不受停电影响延误工期，承包人</w:t>
      </w:r>
      <w:r>
        <w:rPr>
          <w:rFonts w:hint="eastAsia" w:ascii="宋体" w:hAnsi="宋体" w:eastAsia="宋体" w:cs="宋体"/>
          <w:color w:val="auto"/>
          <w:sz w:val="18"/>
          <w:szCs w:val="18"/>
          <w:highlight w:val="none"/>
          <w:lang w:val="en-US" w:eastAsia="zh-CN"/>
        </w:rPr>
        <w:t>必须</w:t>
      </w:r>
      <w:r>
        <w:rPr>
          <w:rFonts w:hint="eastAsia" w:ascii="宋体" w:hAnsi="宋体" w:eastAsia="宋体" w:cs="宋体"/>
          <w:color w:val="auto"/>
          <w:sz w:val="18"/>
          <w:szCs w:val="18"/>
          <w:highlight w:val="none"/>
          <w:lang w:eastAsia="zh-CN"/>
        </w:rPr>
        <w:t>在技术方案的资源配备计划中</w:t>
      </w:r>
      <w:r>
        <w:rPr>
          <w:rFonts w:hint="eastAsia" w:ascii="宋体" w:hAnsi="宋体" w:eastAsia="宋体" w:cs="宋体"/>
          <w:color w:val="auto"/>
          <w:sz w:val="18"/>
          <w:szCs w:val="18"/>
          <w:highlight w:val="none"/>
          <w:lang w:val="en-US" w:eastAsia="zh-CN"/>
        </w:rPr>
        <w:t>明确</w:t>
      </w:r>
      <w:r>
        <w:rPr>
          <w:rFonts w:hint="eastAsia" w:ascii="宋体" w:hAnsi="宋体" w:eastAsia="宋体" w:cs="宋体"/>
          <w:color w:val="auto"/>
          <w:sz w:val="18"/>
          <w:szCs w:val="18"/>
          <w:highlight w:val="none"/>
        </w:rPr>
        <w:t>自行预备柴油发电机组，自备发电机的功率应与工程需用电力负荷相适应，确保施工期间能正常使用。如因市网停电，由承包人自行发电，承包人</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时应考虑该因素的有关费用，发包人不对发电费用予以补偿。承包人应自行准备抽水设备和准备蓄水池，并同时考虑水压不足三个的加压措施和考虑由此产生的相应费用，发包人不对抽水、蓄水和加压等费用予以补偿。发包人不对停水、停电造成的停窝工事件作任何签证，也不因为市网停水、停电延长工程工期。</w:t>
      </w:r>
    </w:p>
    <w:p w14:paraId="78465752">
      <w:pPr>
        <w:pStyle w:val="2"/>
        <w:keepNext w:val="0"/>
        <w:keepLines w:val="0"/>
        <w:pageBreakBefore w:val="0"/>
        <w:widowControl w:val="0"/>
        <w:kinsoku/>
        <w:wordWrap/>
        <w:overflowPunct/>
        <w:topLinePunct w:val="0"/>
        <w:bidi w:val="0"/>
        <w:adjustRightInd/>
        <w:snapToGrid/>
        <w:spacing w:after="0" w:line="4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 环境保护</w:t>
      </w:r>
      <w:bookmarkEnd w:id="665"/>
      <w:bookmarkEnd w:id="666"/>
    </w:p>
    <w:p w14:paraId="5DF72361">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本款补充6.3.1～6.3.8项：</w:t>
      </w:r>
    </w:p>
    <w:p w14:paraId="41CE9FCB">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611C4B38">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0452928">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6.3.3 承包人应加强生态环境保护工作。施工期间，采取边坡防护，挡渣坝、排水沟、沉淀池、表土剥离和绿化恢复等水土保持措施减少水土流失量，绿化恢复宜采用适于当地生长的植物。</w:t>
      </w:r>
    </w:p>
    <w:p w14:paraId="3DB2D73E">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7FF17EDC">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6.3.5 承包人应重视大气污染物污染防治措施。施工期间，严格执行市政府“蓝天行动”方案等有关规定，通过洒水防尘，严格控制施工场地扬尘和运输扬尘污染。</w:t>
      </w:r>
    </w:p>
    <w:p w14:paraId="2E91C77E">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20728CCD">
      <w:pPr>
        <w:keepNext w:val="0"/>
        <w:keepLines w:val="0"/>
        <w:pageBreakBefore w:val="0"/>
        <w:widowControl w:val="0"/>
        <w:tabs>
          <w:tab w:val="left" w:pos="711"/>
          <w:tab w:val="left" w:pos="2580"/>
        </w:tabs>
        <w:kinsoku/>
        <w:wordWrap/>
        <w:overflowPunct/>
        <w:topLinePunct w:val="0"/>
        <w:bidi w:val="0"/>
        <w:adjustRightInd/>
        <w:snapToGrid/>
        <w:spacing w:line="400" w:lineRule="exact"/>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6.3.7 承包人应认真落实噪声污染防治措施。施工期间，优选低噪声设备，合理安排施工时间，严格控制夜间施工，昼、夜施工场界需满足《建筑施工场界环境噪声排放标准》（GB12523-2011）。</w:t>
      </w:r>
    </w:p>
    <w:p w14:paraId="0DB870B1">
      <w:pPr>
        <w:keepNext w:val="0"/>
        <w:keepLines w:val="0"/>
        <w:pageBreakBefore w:val="0"/>
        <w:widowControl w:val="0"/>
        <w:kinsoku/>
        <w:wordWrap/>
        <w:overflowPunct/>
        <w:topLinePunct w:val="0"/>
        <w:bidi w:val="0"/>
        <w:adjustRightInd/>
        <w:snapToGrid/>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6.3.8 承包人自行负责办理有关施工场地交通、环卫和施工噪音管理等手续，并应按要求结合自身实际和重庆市相关规定，考虑不低于以上标准的此类工作。</w:t>
      </w:r>
    </w:p>
    <w:p w14:paraId="028478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right="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6.3.9 </w:t>
      </w:r>
      <w:r>
        <w:rPr>
          <w:rFonts w:hint="eastAsia" w:ascii="宋体" w:hAnsi="宋体" w:eastAsia="宋体" w:cs="宋体"/>
          <w:color w:val="auto"/>
          <w:sz w:val="18"/>
          <w:szCs w:val="18"/>
          <w:highlight w:val="none"/>
          <w:u w:val="single"/>
          <w:lang w:eastAsia="zh-CN"/>
        </w:rPr>
        <w:t>竞标人</w:t>
      </w:r>
      <w:r>
        <w:rPr>
          <w:rFonts w:hint="eastAsia" w:ascii="宋体" w:hAnsi="宋体" w:eastAsia="宋体" w:cs="宋体"/>
          <w:color w:val="auto"/>
          <w:sz w:val="18"/>
          <w:szCs w:val="18"/>
          <w:highlight w:val="none"/>
          <w:u w:val="single"/>
          <w:lang w:val="en-US" w:eastAsia="zh-CN"/>
        </w:rPr>
        <w:t>必须</w:t>
      </w:r>
      <w:r>
        <w:rPr>
          <w:rFonts w:hint="eastAsia" w:ascii="宋体" w:hAnsi="宋体" w:eastAsia="宋体" w:cs="宋体"/>
          <w:color w:val="auto"/>
          <w:sz w:val="18"/>
          <w:szCs w:val="18"/>
          <w:highlight w:val="none"/>
          <w:u w:val="single"/>
          <w:lang w:eastAsia="zh-CN"/>
        </w:rPr>
        <w:t>在技术方案的环境保护管理体系中</w:t>
      </w:r>
      <w:r>
        <w:rPr>
          <w:rFonts w:hint="eastAsia" w:ascii="宋体" w:hAnsi="宋体" w:eastAsia="宋体" w:cs="宋体"/>
          <w:color w:val="auto"/>
          <w:sz w:val="18"/>
          <w:szCs w:val="18"/>
          <w:highlight w:val="none"/>
          <w:u w:val="single"/>
          <w:lang w:val="en-US" w:eastAsia="zh-CN"/>
        </w:rPr>
        <w:t>明确</w:t>
      </w:r>
      <w:r>
        <w:rPr>
          <w:rFonts w:hint="eastAsia" w:ascii="宋体" w:hAnsi="宋体" w:eastAsia="宋体" w:cs="宋体"/>
          <w:color w:val="auto"/>
          <w:sz w:val="18"/>
          <w:szCs w:val="18"/>
          <w:highlight w:val="none"/>
          <w:u w:val="single"/>
        </w:rPr>
        <w:t>做好对周边环境的调查工程，在报价时考虑施工噪音、人为干扰、施工时间对周边居民的影响，根据施工安排计划设定施工时间否则，引起的一切投诉及处罚、索赔由</w:t>
      </w:r>
      <w:r>
        <w:rPr>
          <w:rFonts w:hint="eastAsia" w:ascii="宋体" w:hAnsi="宋体" w:eastAsia="宋体" w:cs="宋体"/>
          <w:color w:val="auto"/>
          <w:sz w:val="18"/>
          <w:szCs w:val="18"/>
          <w:highlight w:val="none"/>
          <w:u w:val="single"/>
          <w:lang w:eastAsia="zh-CN"/>
        </w:rPr>
        <w:t>竞标人</w:t>
      </w:r>
      <w:r>
        <w:rPr>
          <w:rFonts w:hint="eastAsia" w:ascii="宋体" w:hAnsi="宋体" w:eastAsia="宋体" w:cs="宋体"/>
          <w:color w:val="auto"/>
          <w:sz w:val="18"/>
          <w:szCs w:val="18"/>
          <w:highlight w:val="none"/>
          <w:u w:val="single"/>
        </w:rPr>
        <w:t>自行负责</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相关费用自行考虑纳入本次</w:t>
      </w:r>
      <w:r>
        <w:rPr>
          <w:rFonts w:hint="eastAsia" w:ascii="宋体" w:hAnsi="宋体" w:eastAsia="宋体" w:cs="宋体"/>
          <w:color w:val="auto"/>
          <w:sz w:val="18"/>
          <w:szCs w:val="18"/>
          <w:highlight w:val="none"/>
          <w:u w:val="single"/>
          <w:lang w:eastAsia="zh-CN"/>
        </w:rPr>
        <w:t>竞标</w:t>
      </w:r>
      <w:r>
        <w:rPr>
          <w:rFonts w:hint="eastAsia" w:ascii="宋体" w:hAnsi="宋体" w:eastAsia="宋体" w:cs="宋体"/>
          <w:color w:val="auto"/>
          <w:sz w:val="18"/>
          <w:szCs w:val="18"/>
          <w:highlight w:val="none"/>
          <w:u w:val="single"/>
        </w:rPr>
        <w:t>报价中。施工过程中，</w:t>
      </w:r>
      <w:r>
        <w:rPr>
          <w:rFonts w:hint="eastAsia" w:ascii="宋体" w:hAnsi="宋体" w:eastAsia="宋体" w:cs="宋体"/>
          <w:color w:val="auto"/>
          <w:sz w:val="18"/>
          <w:szCs w:val="18"/>
          <w:highlight w:val="none"/>
          <w:u w:val="single"/>
          <w:lang w:eastAsia="zh-CN"/>
        </w:rPr>
        <w:t>竞标人</w:t>
      </w:r>
      <w:r>
        <w:rPr>
          <w:rFonts w:hint="eastAsia" w:ascii="宋体" w:hAnsi="宋体" w:eastAsia="宋体" w:cs="宋体"/>
          <w:color w:val="auto"/>
          <w:sz w:val="18"/>
          <w:szCs w:val="18"/>
          <w:highlight w:val="none"/>
          <w:u w:val="single"/>
        </w:rPr>
        <w:t>不能因上述原因造成工期延误，费用索赔</w:t>
      </w:r>
      <w:r>
        <w:rPr>
          <w:rFonts w:hint="eastAsia" w:ascii="宋体" w:hAnsi="宋体" w:eastAsia="宋体" w:cs="宋体"/>
          <w:color w:val="auto"/>
          <w:sz w:val="18"/>
          <w:szCs w:val="18"/>
          <w:highlight w:val="none"/>
        </w:rPr>
        <w:t>。</w:t>
      </w:r>
    </w:p>
    <w:p w14:paraId="67A9F740">
      <w:pPr>
        <w:rPr>
          <w:rFonts w:hint="eastAsia"/>
        </w:rPr>
      </w:pPr>
    </w:p>
    <w:p w14:paraId="2BFD9D12">
      <w:pPr>
        <w:pStyle w:val="6"/>
        <w:keepNext/>
        <w:keepLines/>
        <w:pageBreakBefore w:val="0"/>
        <w:kinsoku/>
        <w:wordWrap/>
        <w:overflowPunct/>
        <w:topLinePunct w:val="0"/>
        <w:bidi w:val="0"/>
        <w:adjustRightInd/>
        <w:snapToGrid/>
        <w:spacing w:before="0" w:beforeAutospacing="0" w:after="0" w:afterAutospacing="0" w:line="440" w:lineRule="exact"/>
        <w:jc w:val="both"/>
        <w:textAlignment w:val="auto"/>
        <w:rPr>
          <w:rFonts w:hint="eastAsia" w:ascii="宋体" w:hAnsi="宋体" w:eastAsia="宋体" w:cs="宋体"/>
          <w:bCs w:val="0"/>
          <w:color w:val="auto"/>
          <w:kern w:val="2"/>
          <w:sz w:val="18"/>
          <w:szCs w:val="18"/>
          <w:highlight w:val="none"/>
        </w:rPr>
      </w:pPr>
      <w:bookmarkStart w:id="667" w:name="_Toc532375616"/>
      <w:bookmarkStart w:id="668" w:name="_Toc351203639"/>
      <w:bookmarkStart w:id="669" w:name="_Toc532377352"/>
      <w:r>
        <w:rPr>
          <w:rFonts w:hint="eastAsia" w:ascii="宋体" w:hAnsi="宋体" w:eastAsia="宋体" w:cs="宋体"/>
          <w:color w:val="auto"/>
          <w:kern w:val="2"/>
          <w:sz w:val="18"/>
          <w:szCs w:val="18"/>
          <w:highlight w:val="none"/>
        </w:rPr>
        <w:t>7. 工期和进度</w:t>
      </w:r>
      <w:bookmarkEnd w:id="667"/>
      <w:bookmarkEnd w:id="668"/>
      <w:bookmarkEnd w:id="669"/>
    </w:p>
    <w:p w14:paraId="276A1BCF">
      <w:pPr>
        <w:pStyle w:val="7"/>
        <w:pageBreakBefore w:val="0"/>
        <w:kinsoku/>
        <w:wordWrap/>
        <w:overflowPunct/>
        <w:topLinePunct w:val="0"/>
        <w:bidi w:val="0"/>
        <w:adjustRightInd/>
        <w:snapToGrid/>
        <w:spacing w:before="0" w:beforeAutospacing="0" w:after="0" w:afterAutospacing="0" w:line="440" w:lineRule="exact"/>
        <w:ind w:firstLine="361" w:firstLineChars="200"/>
        <w:textAlignment w:val="auto"/>
        <w:rPr>
          <w:rFonts w:hint="eastAsia" w:ascii="宋体" w:hAnsi="宋体" w:eastAsia="宋体" w:cs="宋体"/>
          <w:color w:val="auto"/>
          <w:sz w:val="18"/>
          <w:szCs w:val="18"/>
          <w:highlight w:val="none"/>
        </w:rPr>
      </w:pPr>
      <w:bookmarkStart w:id="670" w:name="_Toc532375617"/>
      <w:bookmarkStart w:id="671" w:name="_Toc532377353"/>
      <w:r>
        <w:rPr>
          <w:rFonts w:hint="eastAsia" w:ascii="宋体" w:hAnsi="宋体" w:eastAsia="宋体" w:cs="宋体"/>
          <w:color w:val="auto"/>
          <w:sz w:val="18"/>
          <w:szCs w:val="18"/>
          <w:highlight w:val="none"/>
        </w:rPr>
        <w:t>7.1 施工组织设计</w:t>
      </w:r>
      <w:bookmarkEnd w:id="670"/>
      <w:bookmarkEnd w:id="671"/>
    </w:p>
    <w:p w14:paraId="128E5561">
      <w:pPr>
        <w:keepNext w:val="0"/>
        <w:keepLines w:val="0"/>
        <w:pageBreakBefore w:val="0"/>
        <w:kinsoku/>
        <w:wordWrap/>
        <w:overflowPunct/>
        <w:topLinePunct w:val="0"/>
        <w:autoSpaceDE w:val="0"/>
        <w:autoSpaceDN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7.1.1 合同当事人约定的施工组织设计应包括的其他内容：</w:t>
      </w:r>
      <w:r>
        <w:rPr>
          <w:rFonts w:hint="eastAsia" w:ascii="宋体" w:hAnsi="宋体" w:eastAsia="宋体" w:cs="宋体"/>
          <w:color w:val="auto"/>
          <w:sz w:val="18"/>
          <w:szCs w:val="18"/>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18"/>
          <w:szCs w:val="18"/>
          <w:highlight w:val="none"/>
        </w:rPr>
        <w:t>。</w:t>
      </w:r>
    </w:p>
    <w:p w14:paraId="7D3A4AE8">
      <w:pPr>
        <w:keepNext w:val="0"/>
        <w:keepLines w:val="0"/>
        <w:pageBreakBefore w:val="0"/>
        <w:kinsoku/>
        <w:wordWrap/>
        <w:overflowPunct/>
        <w:topLinePunct w:val="0"/>
        <w:autoSpaceDE w:val="0"/>
        <w:autoSpaceDN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7.1.2 施工组织设计的提交和修改</w:t>
      </w:r>
    </w:p>
    <w:p w14:paraId="497FCE61">
      <w:pPr>
        <w:keepNext w:val="0"/>
        <w:keepLines w:val="0"/>
        <w:pageBreakBefore w:val="0"/>
        <w:kinsoku/>
        <w:wordWrap/>
        <w:overflowPunct/>
        <w:topLinePunct w:val="0"/>
        <w:autoSpaceDE w:val="0"/>
        <w:autoSpaceDN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承包人提交详细施工组织设计的期限的约定：</w:t>
      </w:r>
      <w:r>
        <w:rPr>
          <w:rFonts w:hint="eastAsia" w:ascii="宋体" w:hAnsi="宋体" w:eastAsia="宋体" w:cs="宋体"/>
          <w:color w:val="auto"/>
          <w:sz w:val="18"/>
          <w:szCs w:val="18"/>
          <w:highlight w:val="none"/>
          <w:u w:val="single"/>
        </w:rPr>
        <w:t>合同签订后  天内，但最迟不得晚于开工通知载明的开工日期前7天</w:t>
      </w:r>
      <w:r>
        <w:rPr>
          <w:rFonts w:hint="eastAsia" w:ascii="宋体" w:hAnsi="宋体" w:eastAsia="宋体" w:cs="宋体"/>
          <w:color w:val="auto"/>
          <w:sz w:val="18"/>
          <w:szCs w:val="18"/>
          <w:highlight w:val="none"/>
        </w:rPr>
        <w:t>。</w:t>
      </w:r>
    </w:p>
    <w:p w14:paraId="023622C4">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发包人和监理人在收到详细的施工组织设计后确认或提出修改意见的期限：</w:t>
      </w:r>
      <w:r>
        <w:rPr>
          <w:rFonts w:hint="eastAsia" w:ascii="宋体" w:hAnsi="宋体" w:eastAsia="宋体" w:cs="宋体"/>
          <w:color w:val="auto"/>
          <w:sz w:val="18"/>
          <w:szCs w:val="18"/>
          <w:highlight w:val="none"/>
          <w:u w:val="single"/>
        </w:rPr>
        <w:t>收到施工组织设计后  天内</w:t>
      </w:r>
      <w:r>
        <w:rPr>
          <w:rFonts w:hint="eastAsia" w:ascii="宋体" w:hAnsi="宋体" w:eastAsia="宋体" w:cs="宋体"/>
          <w:color w:val="auto"/>
          <w:sz w:val="18"/>
          <w:szCs w:val="18"/>
          <w:highlight w:val="none"/>
        </w:rPr>
        <w:t>。</w:t>
      </w:r>
    </w:p>
    <w:p w14:paraId="5D21254B">
      <w:pPr>
        <w:pStyle w:val="7"/>
        <w:keepNext w:val="0"/>
        <w:keepLines w:val="0"/>
        <w:pageBreakBefore w:val="0"/>
        <w:kinsoku/>
        <w:wordWrap/>
        <w:overflowPunct/>
        <w:topLinePunct w:val="0"/>
        <w:bidi w:val="0"/>
        <w:adjustRightInd/>
        <w:snapToGrid/>
        <w:spacing w:before="0" w:beforeAutospacing="0" w:after="0" w:afterAutospacing="0" w:line="380" w:lineRule="exact"/>
        <w:ind w:firstLine="361" w:firstLineChars="200"/>
        <w:textAlignment w:val="auto"/>
        <w:rPr>
          <w:rFonts w:hint="eastAsia" w:ascii="宋体" w:hAnsi="宋体" w:eastAsia="宋体" w:cs="宋体"/>
          <w:color w:val="auto"/>
          <w:sz w:val="18"/>
          <w:szCs w:val="18"/>
          <w:highlight w:val="none"/>
        </w:rPr>
      </w:pPr>
      <w:bookmarkStart w:id="672" w:name="_Toc532377354"/>
      <w:bookmarkStart w:id="673" w:name="_Toc532375618"/>
      <w:r>
        <w:rPr>
          <w:rFonts w:hint="eastAsia" w:ascii="宋体" w:hAnsi="宋体" w:eastAsia="宋体" w:cs="宋体"/>
          <w:color w:val="auto"/>
          <w:sz w:val="18"/>
          <w:szCs w:val="18"/>
          <w:highlight w:val="none"/>
        </w:rPr>
        <w:t>7.2 施工进度计划</w:t>
      </w:r>
      <w:bookmarkEnd w:id="672"/>
      <w:bookmarkEnd w:id="673"/>
    </w:p>
    <w:p w14:paraId="6A5C61E0">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7.2.2 施工进度计划的修订</w:t>
      </w:r>
    </w:p>
    <w:p w14:paraId="054C9200">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发包人和监理人在收到修订的施工进度计划后确认或提出修改意见的期限：</w:t>
      </w:r>
      <w:r>
        <w:rPr>
          <w:rFonts w:hint="eastAsia" w:ascii="宋体" w:hAnsi="宋体" w:eastAsia="宋体" w:cs="宋体"/>
          <w:color w:val="auto"/>
          <w:sz w:val="18"/>
          <w:szCs w:val="18"/>
          <w:highlight w:val="none"/>
          <w:u w:val="single"/>
        </w:rPr>
        <w:t>收到修订的施工进度计划后  天内</w:t>
      </w:r>
      <w:r>
        <w:rPr>
          <w:rFonts w:hint="eastAsia" w:ascii="宋体" w:hAnsi="宋体" w:eastAsia="宋体" w:cs="宋体"/>
          <w:color w:val="auto"/>
          <w:sz w:val="18"/>
          <w:szCs w:val="18"/>
          <w:highlight w:val="none"/>
        </w:rPr>
        <w:t>。</w:t>
      </w:r>
    </w:p>
    <w:p w14:paraId="154ED28D">
      <w:pPr>
        <w:pStyle w:val="7"/>
        <w:keepNext w:val="0"/>
        <w:keepLines w:val="0"/>
        <w:pageBreakBefore w:val="0"/>
        <w:kinsoku/>
        <w:wordWrap/>
        <w:overflowPunct/>
        <w:topLinePunct w:val="0"/>
        <w:bidi w:val="0"/>
        <w:adjustRightInd/>
        <w:snapToGrid/>
        <w:spacing w:before="0" w:beforeAutospacing="0" w:after="0" w:afterAutospacing="0" w:line="380" w:lineRule="exact"/>
        <w:ind w:firstLine="361" w:firstLineChars="200"/>
        <w:textAlignment w:val="auto"/>
        <w:rPr>
          <w:rFonts w:hint="eastAsia" w:ascii="宋体" w:hAnsi="宋体" w:eastAsia="宋体" w:cs="宋体"/>
          <w:color w:val="auto"/>
          <w:sz w:val="18"/>
          <w:szCs w:val="18"/>
          <w:highlight w:val="none"/>
        </w:rPr>
      </w:pPr>
      <w:bookmarkStart w:id="674" w:name="_Toc532375619"/>
      <w:bookmarkStart w:id="675" w:name="_Toc532377355"/>
      <w:bookmarkStart w:id="676" w:name="_Toc297216173"/>
      <w:bookmarkStart w:id="677" w:name="_Toc300934966"/>
      <w:bookmarkStart w:id="678" w:name="_Toc303539123"/>
      <w:bookmarkStart w:id="679" w:name="_Toc312677479"/>
      <w:bookmarkStart w:id="680" w:name="_Toc297123514"/>
      <w:bookmarkStart w:id="681" w:name="_Toc304295541"/>
      <w:bookmarkStart w:id="682" w:name="_Toc312678005"/>
      <w:r>
        <w:rPr>
          <w:rFonts w:hint="eastAsia" w:ascii="宋体" w:hAnsi="宋体" w:eastAsia="宋体" w:cs="宋体"/>
          <w:color w:val="auto"/>
          <w:sz w:val="18"/>
          <w:szCs w:val="18"/>
          <w:highlight w:val="none"/>
        </w:rPr>
        <w:t>7.3 开工</w:t>
      </w:r>
      <w:bookmarkEnd w:id="674"/>
      <w:bookmarkEnd w:id="675"/>
    </w:p>
    <w:p w14:paraId="56A425EE">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7.3.1 开工准备</w:t>
      </w:r>
    </w:p>
    <w:p w14:paraId="1A0F54BB">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关于承包人提交工程开工报审表的期限：</w:t>
      </w:r>
      <w:r>
        <w:rPr>
          <w:rFonts w:hint="eastAsia" w:ascii="宋体" w:hAnsi="宋体" w:eastAsia="宋体" w:cs="宋体"/>
          <w:color w:val="auto"/>
          <w:sz w:val="18"/>
          <w:szCs w:val="18"/>
          <w:highlight w:val="none"/>
          <w:u w:val="single"/>
        </w:rPr>
        <w:t>不晚于开工前  天</w:t>
      </w:r>
      <w:r>
        <w:rPr>
          <w:rFonts w:hint="eastAsia" w:ascii="宋体" w:hAnsi="宋体" w:eastAsia="宋体" w:cs="宋体"/>
          <w:color w:val="auto"/>
          <w:sz w:val="18"/>
          <w:szCs w:val="18"/>
          <w:highlight w:val="none"/>
        </w:rPr>
        <w:t>。</w:t>
      </w:r>
    </w:p>
    <w:p w14:paraId="13804B24">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关于发包人应完成的其他开工准备工作及期限：</w:t>
      </w:r>
      <w:r>
        <w:rPr>
          <w:rFonts w:hint="eastAsia" w:ascii="宋体" w:hAnsi="宋体" w:eastAsia="宋体" w:cs="宋体"/>
          <w:color w:val="auto"/>
          <w:sz w:val="18"/>
          <w:szCs w:val="18"/>
          <w:highlight w:val="none"/>
          <w:u w:val="single"/>
        </w:rPr>
        <w:t>不晚于开工前  天</w:t>
      </w:r>
      <w:r>
        <w:rPr>
          <w:rFonts w:hint="eastAsia" w:ascii="宋体" w:hAnsi="宋体" w:eastAsia="宋体" w:cs="宋体"/>
          <w:color w:val="auto"/>
          <w:sz w:val="18"/>
          <w:szCs w:val="18"/>
          <w:highlight w:val="none"/>
        </w:rPr>
        <w:t>。</w:t>
      </w:r>
    </w:p>
    <w:p w14:paraId="1B4E43FE">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关于承包人应完成的其他开工准备工作及期限：</w:t>
      </w:r>
      <w:r>
        <w:rPr>
          <w:rFonts w:hint="eastAsia" w:ascii="宋体" w:hAnsi="宋体" w:eastAsia="宋体" w:cs="宋体"/>
          <w:color w:val="auto"/>
          <w:sz w:val="18"/>
          <w:szCs w:val="18"/>
          <w:highlight w:val="none"/>
          <w:u w:val="single"/>
        </w:rPr>
        <w:t>不晚于开工前  天</w:t>
      </w:r>
      <w:r>
        <w:rPr>
          <w:rFonts w:hint="eastAsia" w:ascii="宋体" w:hAnsi="宋体" w:eastAsia="宋体" w:cs="宋体"/>
          <w:color w:val="auto"/>
          <w:sz w:val="18"/>
          <w:szCs w:val="18"/>
          <w:highlight w:val="none"/>
        </w:rPr>
        <w:t>。</w:t>
      </w:r>
    </w:p>
    <w:bookmarkEnd w:id="676"/>
    <w:bookmarkEnd w:id="677"/>
    <w:bookmarkEnd w:id="678"/>
    <w:bookmarkEnd w:id="679"/>
    <w:bookmarkEnd w:id="680"/>
    <w:bookmarkEnd w:id="681"/>
    <w:bookmarkEnd w:id="682"/>
    <w:p w14:paraId="414A5DA4">
      <w:pPr>
        <w:pStyle w:val="7"/>
        <w:keepNext w:val="0"/>
        <w:keepLines w:val="0"/>
        <w:pageBreakBefore w:val="0"/>
        <w:kinsoku/>
        <w:wordWrap/>
        <w:overflowPunct/>
        <w:topLinePunct w:val="0"/>
        <w:bidi w:val="0"/>
        <w:adjustRightInd/>
        <w:snapToGrid/>
        <w:spacing w:before="0" w:beforeAutospacing="0" w:after="0" w:afterAutospacing="0" w:line="380" w:lineRule="exact"/>
        <w:ind w:firstLine="361" w:firstLineChars="200"/>
        <w:textAlignment w:val="auto"/>
        <w:rPr>
          <w:rFonts w:hint="eastAsia" w:ascii="宋体" w:hAnsi="宋体" w:eastAsia="宋体" w:cs="宋体"/>
          <w:color w:val="auto"/>
          <w:sz w:val="18"/>
          <w:szCs w:val="18"/>
          <w:highlight w:val="none"/>
        </w:rPr>
      </w:pPr>
      <w:bookmarkStart w:id="683" w:name="_Toc532375620"/>
      <w:bookmarkStart w:id="684" w:name="_Toc532377356"/>
      <w:r>
        <w:rPr>
          <w:rFonts w:hint="eastAsia" w:ascii="宋体" w:hAnsi="宋体" w:eastAsia="宋体" w:cs="宋体"/>
          <w:color w:val="auto"/>
          <w:sz w:val="18"/>
          <w:szCs w:val="18"/>
          <w:highlight w:val="none"/>
        </w:rPr>
        <w:t>7.4 测量放线</w:t>
      </w:r>
      <w:bookmarkEnd w:id="683"/>
      <w:bookmarkEnd w:id="684"/>
    </w:p>
    <w:p w14:paraId="759469AA">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7.4.1 发包人通过监理人向承包人提供测量基准点、基准线和水准点及其书面资料的期限：</w:t>
      </w:r>
      <w:r>
        <w:rPr>
          <w:rFonts w:hint="eastAsia" w:ascii="宋体" w:hAnsi="宋体" w:eastAsia="宋体" w:cs="宋体"/>
          <w:color w:val="auto"/>
          <w:sz w:val="18"/>
          <w:szCs w:val="18"/>
          <w:highlight w:val="none"/>
          <w:u w:val="single"/>
        </w:rPr>
        <w:t>不晚于开工前  天</w:t>
      </w:r>
      <w:r>
        <w:rPr>
          <w:rFonts w:hint="eastAsia" w:ascii="宋体" w:hAnsi="宋体" w:eastAsia="宋体" w:cs="宋体"/>
          <w:color w:val="auto"/>
          <w:sz w:val="18"/>
          <w:szCs w:val="18"/>
          <w:highlight w:val="none"/>
        </w:rPr>
        <w:t>。</w:t>
      </w:r>
    </w:p>
    <w:p w14:paraId="23B691C1">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承包人报监理人审批施工控制网资料的期限：</w:t>
      </w:r>
      <w:r>
        <w:rPr>
          <w:rFonts w:hint="eastAsia" w:ascii="宋体" w:hAnsi="宋体" w:eastAsia="宋体" w:cs="宋体"/>
          <w:color w:val="auto"/>
          <w:sz w:val="18"/>
          <w:szCs w:val="18"/>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18"/>
          <w:szCs w:val="18"/>
          <w:highlight w:val="none"/>
        </w:rPr>
        <w:t>。</w:t>
      </w:r>
    </w:p>
    <w:p w14:paraId="5125AEDF">
      <w:pPr>
        <w:pStyle w:val="7"/>
        <w:keepNext w:val="0"/>
        <w:keepLines w:val="0"/>
        <w:pageBreakBefore w:val="0"/>
        <w:kinsoku/>
        <w:wordWrap/>
        <w:overflowPunct/>
        <w:topLinePunct w:val="0"/>
        <w:bidi w:val="0"/>
        <w:adjustRightInd/>
        <w:snapToGrid/>
        <w:spacing w:before="0" w:beforeAutospacing="0" w:after="0" w:afterAutospacing="0" w:line="380" w:lineRule="exact"/>
        <w:ind w:firstLine="361" w:firstLineChars="200"/>
        <w:textAlignment w:val="auto"/>
        <w:rPr>
          <w:rFonts w:hint="eastAsia" w:ascii="宋体" w:hAnsi="宋体" w:eastAsia="宋体" w:cs="宋体"/>
          <w:color w:val="auto"/>
          <w:sz w:val="18"/>
          <w:szCs w:val="18"/>
          <w:highlight w:val="none"/>
        </w:rPr>
      </w:pPr>
      <w:bookmarkStart w:id="685" w:name="_Toc532375621"/>
      <w:bookmarkStart w:id="686" w:name="_Toc532377357"/>
      <w:r>
        <w:rPr>
          <w:rFonts w:hint="eastAsia" w:ascii="宋体" w:hAnsi="宋体" w:eastAsia="宋体" w:cs="宋体"/>
          <w:color w:val="auto"/>
          <w:sz w:val="18"/>
          <w:szCs w:val="18"/>
          <w:highlight w:val="none"/>
        </w:rPr>
        <w:t>7</w:t>
      </w:r>
      <w:bookmarkStart w:id="687" w:name="_Toc303539125"/>
      <w:bookmarkStart w:id="688" w:name="_Toc312677484"/>
      <w:bookmarkStart w:id="689" w:name="_Toc297123516"/>
      <w:bookmarkStart w:id="690" w:name="_Toc312678010"/>
      <w:bookmarkStart w:id="691" w:name="_Toc300934968"/>
      <w:bookmarkStart w:id="692" w:name="_Toc297216175"/>
      <w:bookmarkStart w:id="693" w:name="_Toc304295546"/>
      <w:r>
        <w:rPr>
          <w:rFonts w:hint="eastAsia" w:ascii="宋体" w:hAnsi="宋体" w:eastAsia="宋体" w:cs="宋体"/>
          <w:color w:val="auto"/>
          <w:sz w:val="18"/>
          <w:szCs w:val="18"/>
          <w:highlight w:val="none"/>
        </w:rPr>
        <w:t>.5 工期延误</w:t>
      </w:r>
      <w:bookmarkEnd w:id="685"/>
      <w:bookmarkEnd w:id="686"/>
    </w:p>
    <w:bookmarkEnd w:id="687"/>
    <w:bookmarkEnd w:id="688"/>
    <w:bookmarkEnd w:id="689"/>
    <w:bookmarkEnd w:id="690"/>
    <w:bookmarkEnd w:id="691"/>
    <w:bookmarkEnd w:id="692"/>
    <w:bookmarkEnd w:id="693"/>
    <w:p w14:paraId="6C16B50E">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bookmarkStart w:id="694" w:name="_Hlk528927940"/>
      <w:r>
        <w:rPr>
          <w:rFonts w:hint="eastAsia" w:ascii="宋体" w:hAnsi="宋体" w:eastAsia="宋体" w:cs="宋体"/>
          <w:color w:val="auto"/>
          <w:sz w:val="18"/>
          <w:szCs w:val="18"/>
          <w:highlight w:val="none"/>
        </w:rPr>
        <w:t>7.5.1 因发包人原因导致工期延误：</w:t>
      </w:r>
    </w:p>
    <w:p w14:paraId="49B93969">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在合同履行过程中，除通用条款约定外，因下列情况导致工期延误和（或）费用增加的，由发包人承担由此延误的工期和（或）增加的费用：</w:t>
      </w:r>
    </w:p>
    <w:p w14:paraId="49C251AD">
      <w:pPr>
        <w:keepNext w:val="0"/>
        <w:keepLines w:val="0"/>
        <w:pageBreakBefore w:val="0"/>
        <w:kinsoku/>
        <w:wordWrap/>
        <w:overflowPunct/>
        <w:topLinePunct w:val="0"/>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（1）发包人未能按合同约定提供施工场地，且该未提供开工条件直接影响项目关键线路的；</w:t>
      </w:r>
    </w:p>
    <w:p w14:paraId="480D2602">
      <w:pPr>
        <w:keepNext w:val="0"/>
        <w:keepLines w:val="0"/>
        <w:pageBreakBefore w:val="0"/>
        <w:widowControl w:val="0"/>
        <w:kinsoku/>
        <w:wordWrap/>
        <w:overflowPunct/>
        <w:topLinePunct w:val="0"/>
        <w:autoSpaceDE/>
        <w:autoSpaceDN/>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（2）发包人提供的测量基准点、基准线和水准点及其书面资料存在错误或疏漏，且该错误或疏漏直接影响项目关键线路的；</w:t>
      </w:r>
    </w:p>
    <w:p w14:paraId="16952C52">
      <w:pPr>
        <w:keepNext w:val="0"/>
        <w:keepLines w:val="0"/>
        <w:pageBreakBefore w:val="0"/>
        <w:widowControl w:val="0"/>
        <w:kinsoku/>
        <w:wordWrap/>
        <w:overflowPunct/>
        <w:topLinePunct w:val="0"/>
        <w:autoSpaceDE/>
        <w:autoSpaceDN/>
        <w:bidi w:val="0"/>
        <w:adjustRightInd/>
        <w:snapToGrid/>
        <w:spacing w:line="380" w:lineRule="exac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（3）监理人未按合同约定发出指示、批准等文件，且该未按合同约定发出指示、批准直接影响项目关键线路的；</w:t>
      </w:r>
    </w:p>
    <w:p w14:paraId="49BFE5F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（4）变更未及时审批，直接影响项目关键线路的；</w:t>
      </w:r>
    </w:p>
    <w:p w14:paraId="7858BBE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（5）实施变更直接影响项目关键线路的；</w:t>
      </w:r>
    </w:p>
    <w:p w14:paraId="20B4CDA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（6）因发包人原因导致工程暂停施工、停建、缓建的；</w:t>
      </w:r>
    </w:p>
    <w:p w14:paraId="7670FD9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（7）因征地拆迁、当地群众阻工等情形的；</w:t>
      </w:r>
    </w:p>
    <w:p w14:paraId="0E7555F8">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（8）</w:t>
      </w:r>
      <w:r>
        <w:rPr>
          <w:rFonts w:hint="eastAsia" w:ascii="宋体" w:hAnsi="宋体" w:eastAsia="宋体" w:cs="宋体"/>
          <w:color w:val="auto"/>
          <w:sz w:val="18"/>
          <w:szCs w:val="18"/>
          <w:highlight w:val="none"/>
          <w:u w:val="single"/>
        </w:rPr>
        <w:t>合同约定的其他情形</w:t>
      </w:r>
      <w:r>
        <w:rPr>
          <w:rFonts w:hint="eastAsia" w:ascii="宋体" w:hAnsi="宋体" w:eastAsia="宋体" w:cs="宋体"/>
          <w:color w:val="auto"/>
          <w:sz w:val="18"/>
          <w:szCs w:val="18"/>
          <w:highlight w:val="none"/>
        </w:rPr>
        <w:t>。</w:t>
      </w:r>
    </w:p>
    <w:p w14:paraId="65CDC25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18"/>
          <w:szCs w:val="18"/>
          <w:highlight w:val="none"/>
        </w:rPr>
        <w:t>。</w:t>
      </w:r>
    </w:p>
    <w:p w14:paraId="4FCFDB0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7.5.2 因承包人原因导致工期延误</w:t>
      </w:r>
    </w:p>
    <w:p w14:paraId="26B408A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因承包人原因造成工期延误，逾期竣工按16.2.2（6）目执行。</w:t>
      </w:r>
    </w:p>
    <w:bookmarkEnd w:id="694"/>
    <w:p w14:paraId="586E0540">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695" w:name="_Toc532375622"/>
      <w:bookmarkStart w:id="696" w:name="_Toc532377358"/>
      <w:bookmarkStart w:id="697" w:name="_Hlk528927997"/>
      <w:r>
        <w:rPr>
          <w:rFonts w:hint="eastAsia" w:ascii="宋体" w:hAnsi="宋体" w:eastAsia="宋体" w:cs="宋体"/>
          <w:color w:val="auto"/>
          <w:sz w:val="18"/>
          <w:szCs w:val="18"/>
          <w:highlight w:val="none"/>
        </w:rPr>
        <w:t>7</w:t>
      </w:r>
      <w:bookmarkStart w:id="698" w:name="_Toc300934971"/>
      <w:bookmarkStart w:id="699" w:name="_Toc297216178"/>
      <w:bookmarkStart w:id="700" w:name="_Toc312678015"/>
      <w:bookmarkStart w:id="701" w:name="_Toc304295549"/>
      <w:bookmarkStart w:id="702" w:name="_Toc297123519"/>
      <w:bookmarkStart w:id="703" w:name="_Toc303539128"/>
      <w:r>
        <w:rPr>
          <w:rFonts w:hint="eastAsia" w:ascii="宋体" w:hAnsi="宋体" w:eastAsia="宋体" w:cs="宋体"/>
          <w:color w:val="auto"/>
          <w:sz w:val="18"/>
          <w:szCs w:val="18"/>
          <w:highlight w:val="none"/>
        </w:rPr>
        <w:t>.6 不</w:t>
      </w:r>
      <w:bookmarkEnd w:id="698"/>
      <w:bookmarkEnd w:id="699"/>
      <w:bookmarkEnd w:id="700"/>
      <w:bookmarkEnd w:id="701"/>
      <w:bookmarkEnd w:id="702"/>
      <w:bookmarkEnd w:id="703"/>
      <w:r>
        <w:rPr>
          <w:rFonts w:hint="eastAsia" w:ascii="宋体" w:hAnsi="宋体" w:eastAsia="宋体" w:cs="宋体"/>
          <w:color w:val="auto"/>
          <w:sz w:val="18"/>
          <w:szCs w:val="18"/>
          <w:highlight w:val="none"/>
        </w:rPr>
        <w:t>利物质条件</w:t>
      </w:r>
      <w:bookmarkEnd w:id="695"/>
      <w:bookmarkEnd w:id="696"/>
    </w:p>
    <w:bookmarkEnd w:id="697"/>
    <w:p w14:paraId="5E24FA53">
      <w:pPr>
        <w:spacing w:line="360" w:lineRule="auto"/>
        <w:ind w:firstLine="360" w:firstLineChars="200"/>
        <w:jc w:val="left"/>
        <w:rPr>
          <w:rFonts w:hint="eastAsia" w:ascii="宋体" w:hAnsi="宋体" w:eastAsia="宋体" w:cs="宋体"/>
          <w:bCs/>
          <w:color w:val="auto"/>
          <w:sz w:val="18"/>
          <w:szCs w:val="18"/>
          <w:highlight w:val="none"/>
        </w:rPr>
      </w:pPr>
      <w:bookmarkStart w:id="704" w:name="_Toc318581172"/>
      <w:bookmarkStart w:id="705" w:name="_Toc312678016"/>
      <w:bookmarkStart w:id="706" w:name="_Toc300934972"/>
      <w:bookmarkStart w:id="707" w:name="_Toc297216179"/>
      <w:bookmarkStart w:id="708" w:name="_Toc303539129"/>
      <w:bookmarkStart w:id="709" w:name="_Toc304295550"/>
      <w:bookmarkStart w:id="710" w:name="_Toc297123520"/>
      <w:r>
        <w:rPr>
          <w:rFonts w:hint="eastAsia" w:ascii="宋体" w:hAnsi="宋体" w:eastAsia="宋体" w:cs="宋体"/>
          <w:color w:val="auto"/>
          <w:sz w:val="18"/>
          <w:szCs w:val="18"/>
          <w:highlight w:val="none"/>
        </w:rPr>
        <w:t>不利物质条件的其他情形和有关约定：</w:t>
      </w:r>
      <w:bookmarkStart w:id="711" w:name="_Hlk528910274"/>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bookmarkEnd w:id="704"/>
    <w:bookmarkEnd w:id="705"/>
    <w:bookmarkEnd w:id="706"/>
    <w:bookmarkEnd w:id="707"/>
    <w:bookmarkEnd w:id="708"/>
    <w:bookmarkEnd w:id="709"/>
    <w:bookmarkEnd w:id="710"/>
    <w:bookmarkEnd w:id="711"/>
    <w:p w14:paraId="580CD68B">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12" w:name="_Toc532377359"/>
      <w:bookmarkStart w:id="713" w:name="_Toc532375623"/>
      <w:r>
        <w:rPr>
          <w:rFonts w:hint="eastAsia" w:ascii="宋体" w:hAnsi="宋体" w:eastAsia="宋体" w:cs="宋体"/>
          <w:color w:val="auto"/>
          <w:sz w:val="18"/>
          <w:szCs w:val="18"/>
          <w:highlight w:val="none"/>
        </w:rPr>
        <w:t>7</w:t>
      </w:r>
      <w:bookmarkStart w:id="714" w:name="_Toc297123521"/>
      <w:bookmarkStart w:id="715" w:name="_Toc303539130"/>
      <w:bookmarkStart w:id="716" w:name="_Toc312678017"/>
      <w:bookmarkStart w:id="717" w:name="_Toc304295551"/>
      <w:bookmarkStart w:id="718" w:name="_Toc297216180"/>
      <w:bookmarkStart w:id="719" w:name="_Toc300934973"/>
      <w:r>
        <w:rPr>
          <w:rFonts w:hint="eastAsia" w:ascii="宋体" w:hAnsi="宋体" w:eastAsia="宋体" w:cs="宋体"/>
          <w:color w:val="auto"/>
          <w:sz w:val="18"/>
          <w:szCs w:val="18"/>
          <w:highlight w:val="none"/>
        </w:rPr>
        <w:t>.7异常恶劣的气候条件</w:t>
      </w:r>
      <w:bookmarkEnd w:id="712"/>
      <w:bookmarkEnd w:id="713"/>
    </w:p>
    <w:bookmarkEnd w:id="714"/>
    <w:bookmarkEnd w:id="715"/>
    <w:bookmarkEnd w:id="716"/>
    <w:bookmarkEnd w:id="717"/>
    <w:bookmarkEnd w:id="718"/>
    <w:bookmarkEnd w:id="719"/>
    <w:p w14:paraId="1CD74EBA">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发包人和承包人同意以下情形视为异常恶劣的气候条件：</w:t>
      </w:r>
      <w:r>
        <w:rPr>
          <w:rFonts w:hint="eastAsia" w:ascii="宋体" w:hAnsi="宋体" w:eastAsia="宋体" w:cs="宋体"/>
          <w:color w:val="auto"/>
          <w:sz w:val="18"/>
          <w:szCs w:val="18"/>
          <w:highlight w:val="none"/>
          <w:u w:val="single"/>
        </w:rPr>
        <w:t xml:space="preserve">    （异常气候是指项目所在地50年以上一遇的罕见气候现象）</w:t>
      </w:r>
      <w:r>
        <w:rPr>
          <w:rFonts w:hint="eastAsia" w:ascii="宋体" w:hAnsi="宋体" w:eastAsia="宋体" w:cs="宋体"/>
          <w:color w:val="auto"/>
          <w:sz w:val="18"/>
          <w:szCs w:val="18"/>
          <w:highlight w:val="none"/>
        </w:rPr>
        <w:t>。</w:t>
      </w:r>
    </w:p>
    <w:p w14:paraId="655C0B19">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20" w:name="_Toc532375624"/>
      <w:bookmarkStart w:id="721" w:name="_Toc532377360"/>
      <w:r>
        <w:rPr>
          <w:rFonts w:hint="eastAsia" w:ascii="宋体" w:hAnsi="宋体" w:eastAsia="宋体" w:cs="宋体"/>
          <w:color w:val="auto"/>
          <w:sz w:val="18"/>
          <w:szCs w:val="18"/>
          <w:highlight w:val="none"/>
        </w:rPr>
        <w:t>7.9 提前竣工</w:t>
      </w:r>
      <w:bookmarkEnd w:id="720"/>
      <w:bookmarkEnd w:id="721"/>
    </w:p>
    <w:p w14:paraId="2ACEDD7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7.9.1项细化为：</w:t>
      </w:r>
    </w:p>
    <w:p w14:paraId="367117C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686A6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（2）发包人不得随意要求承包人提前竣工，承包人也不得随意提出提前竣工的建议。如遇特殊情况，确需将工期提前的，发包人和承包人必须采取有效措施，确保工程质量。</w:t>
      </w:r>
    </w:p>
    <w:p w14:paraId="0EF2433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200AFD9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7.9.2 提前竣工的奖励：</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元/天，不超过签约合同价的  %</w:t>
      </w:r>
      <w:r>
        <w:rPr>
          <w:rFonts w:hint="eastAsia" w:ascii="宋体" w:hAnsi="宋体" w:eastAsia="宋体" w:cs="宋体"/>
          <w:color w:val="auto"/>
          <w:sz w:val="18"/>
          <w:szCs w:val="18"/>
          <w:highlight w:val="none"/>
        </w:rPr>
        <w:t>。</w:t>
      </w:r>
    </w:p>
    <w:p w14:paraId="4485A512">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722" w:name="_Toc351203640"/>
      <w:bookmarkStart w:id="723" w:name="_Toc532375625"/>
      <w:bookmarkStart w:id="724" w:name="_Toc532377361"/>
      <w:r>
        <w:rPr>
          <w:rFonts w:hint="eastAsia" w:ascii="宋体" w:hAnsi="宋体" w:eastAsia="宋体" w:cs="宋体"/>
          <w:color w:val="auto"/>
          <w:kern w:val="2"/>
          <w:sz w:val="18"/>
          <w:szCs w:val="18"/>
          <w:highlight w:val="none"/>
        </w:rPr>
        <w:t>8. 材料与设备</w:t>
      </w:r>
      <w:bookmarkEnd w:id="722"/>
      <w:bookmarkEnd w:id="723"/>
      <w:bookmarkEnd w:id="724"/>
    </w:p>
    <w:p w14:paraId="514E698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25" w:name="_Toc532377362"/>
      <w:bookmarkStart w:id="726" w:name="_Toc532375626"/>
      <w:r>
        <w:rPr>
          <w:rFonts w:hint="eastAsia" w:ascii="宋体" w:hAnsi="宋体" w:eastAsia="宋体" w:cs="宋体"/>
          <w:color w:val="auto"/>
          <w:sz w:val="18"/>
          <w:szCs w:val="18"/>
          <w:highlight w:val="none"/>
        </w:rPr>
        <w:t>8.1发包人供应材料与工程设备</w:t>
      </w:r>
      <w:bookmarkEnd w:id="725"/>
      <w:bookmarkEnd w:id="726"/>
    </w:p>
    <w:p w14:paraId="6229587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材料的名称、规格、数量和价格：</w:t>
      </w:r>
      <w:r>
        <w:rPr>
          <w:rFonts w:hint="eastAsia" w:ascii="宋体" w:hAnsi="宋体" w:eastAsia="宋体" w:cs="宋体"/>
          <w:color w:val="auto"/>
          <w:sz w:val="18"/>
          <w:szCs w:val="18"/>
          <w:highlight w:val="none"/>
          <w:u w:val="single"/>
        </w:rPr>
        <w:t>发包人应提供甲供材料的明细表，结算时按经监理人、承包人共同确认的供应数量乘以</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时甲供材料暂定价格，在支付工程款时扣除</w:t>
      </w:r>
      <w:r>
        <w:rPr>
          <w:rFonts w:hint="eastAsia" w:ascii="宋体" w:hAnsi="宋体" w:eastAsia="宋体" w:cs="宋体"/>
          <w:color w:val="auto"/>
          <w:sz w:val="18"/>
          <w:szCs w:val="18"/>
          <w:highlight w:val="none"/>
        </w:rPr>
        <w:t>。</w:t>
      </w:r>
    </w:p>
    <w:p w14:paraId="5557858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 w:val="18"/>
          <w:szCs w:val="18"/>
          <w:highlight w:val="none"/>
        </w:rPr>
        <w:t>。</w:t>
      </w:r>
    </w:p>
    <w:p w14:paraId="7661FA5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27" w:name="_Toc351203554"/>
      <w:bookmarkStart w:id="728" w:name="_Toc532375627"/>
      <w:bookmarkStart w:id="729" w:name="_Toc532377363"/>
      <w:r>
        <w:rPr>
          <w:rFonts w:hint="eastAsia" w:ascii="宋体" w:hAnsi="宋体" w:eastAsia="宋体" w:cs="宋体"/>
          <w:color w:val="auto"/>
          <w:sz w:val="18"/>
          <w:szCs w:val="18"/>
          <w:highlight w:val="none"/>
        </w:rPr>
        <w:t>8</w:t>
      </w:r>
      <w:bookmarkStart w:id="730" w:name="_Toc296503060"/>
      <w:bookmarkStart w:id="731" w:name="_Toc337558778"/>
      <w:bookmarkStart w:id="732" w:name="_Toc296346561"/>
      <w:r>
        <w:rPr>
          <w:rFonts w:hint="eastAsia" w:ascii="宋体" w:hAnsi="宋体" w:eastAsia="宋体" w:cs="宋体"/>
          <w:color w:val="auto"/>
          <w:sz w:val="18"/>
          <w:szCs w:val="18"/>
          <w:highlight w:val="none"/>
        </w:rPr>
        <w:t>.2 承包人采购材料与工程设备</w:t>
      </w:r>
      <w:bookmarkEnd w:id="727"/>
      <w:bookmarkEnd w:id="728"/>
      <w:bookmarkEnd w:id="729"/>
    </w:p>
    <w:bookmarkEnd w:id="730"/>
    <w:bookmarkEnd w:id="731"/>
    <w:bookmarkEnd w:id="732"/>
    <w:p w14:paraId="024DA8A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8.2.1承包人负责采购、运输和保管的材料、工程设备：</w:t>
      </w:r>
      <w:r>
        <w:rPr>
          <w:rFonts w:hint="eastAsia" w:ascii="宋体" w:hAnsi="宋体" w:eastAsia="宋体" w:cs="宋体"/>
          <w:color w:val="auto"/>
          <w:sz w:val="18"/>
          <w:szCs w:val="18"/>
          <w:highlight w:val="none"/>
          <w:u w:val="single"/>
        </w:rPr>
        <w:t>由承包人自行采购。承包人采购材料设备必须经监理人和发包人批准，结算时由监理人和发包人按竞争性</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文件规定审核的数量和合同约定价格计算</w:t>
      </w:r>
      <w:r>
        <w:rPr>
          <w:rFonts w:hint="eastAsia" w:ascii="宋体" w:hAnsi="宋体" w:eastAsia="宋体" w:cs="宋体"/>
          <w:color w:val="auto"/>
          <w:sz w:val="18"/>
          <w:szCs w:val="18"/>
          <w:highlight w:val="none"/>
        </w:rPr>
        <w:t>。</w:t>
      </w:r>
    </w:p>
    <w:p w14:paraId="5FD1821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8.2.2承包人报送监理人审批的时间：</w:t>
      </w:r>
      <w:r>
        <w:rPr>
          <w:rFonts w:hint="eastAsia" w:ascii="宋体" w:hAnsi="宋体" w:eastAsia="宋体" w:cs="宋体"/>
          <w:color w:val="auto"/>
          <w:sz w:val="18"/>
          <w:szCs w:val="18"/>
          <w:highlight w:val="none"/>
          <w:u w:val="single"/>
        </w:rPr>
        <w:t>按发包人及监理单位的相关规定执行</w:t>
      </w:r>
      <w:r>
        <w:rPr>
          <w:rFonts w:hint="eastAsia" w:ascii="宋体" w:hAnsi="宋体" w:eastAsia="宋体" w:cs="宋体"/>
          <w:color w:val="auto"/>
          <w:sz w:val="18"/>
          <w:szCs w:val="18"/>
          <w:highlight w:val="none"/>
        </w:rPr>
        <w:t>。</w:t>
      </w:r>
    </w:p>
    <w:p w14:paraId="40EF528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8.2.3承包人选择的生产厂家或供应商满足下列条件：</w:t>
      </w:r>
    </w:p>
    <w:p w14:paraId="658608F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A.承包人选择的混凝土供应商应满足下列条件：</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28936E7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B.承包人选择的钢材供应商应满足下列条件：</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7D54738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C.承包人选择的水泥供应商应满足下列条件：</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1E1270B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D.承包人采购的材料与设计或标准要求不符时，承包人应按发包人和监理人要求的时间运出施工场地，并重新采购符合要求的产品，并承担由此发生的费用，因此延误的工期不予顺延。</w:t>
      </w:r>
    </w:p>
    <w:p w14:paraId="2B811F3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E.承包人采购的材料在使用前，应按发包人和监理人的要求进行检验或试验，不合格的不得使用。</w:t>
      </w:r>
    </w:p>
    <w:p w14:paraId="75B68D8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3420BAB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33" w:name="_Toc532375628"/>
      <w:bookmarkStart w:id="734" w:name="_Toc532377364"/>
      <w:r>
        <w:rPr>
          <w:rFonts w:hint="eastAsia" w:ascii="宋体" w:hAnsi="宋体" w:eastAsia="宋体" w:cs="宋体"/>
          <w:color w:val="auto"/>
          <w:sz w:val="18"/>
          <w:szCs w:val="18"/>
          <w:highlight w:val="none"/>
        </w:rPr>
        <w:t>8</w:t>
      </w:r>
      <w:bookmarkStart w:id="735" w:name="_Toc296890995"/>
      <w:bookmarkStart w:id="736" w:name="_Toc296503167"/>
      <w:bookmarkStart w:id="737" w:name="_Toc296944506"/>
      <w:bookmarkStart w:id="738" w:name="_Toc292559877"/>
      <w:bookmarkStart w:id="739" w:name="_Toc304295556"/>
      <w:bookmarkStart w:id="740" w:name="_Toc312677493"/>
      <w:bookmarkStart w:id="741" w:name="_Toc280868654"/>
      <w:bookmarkStart w:id="742" w:name="_Toc296347166"/>
      <w:bookmarkStart w:id="743" w:name="_Toc292559372"/>
      <w:bookmarkStart w:id="744" w:name="_Toc296346668"/>
      <w:bookmarkStart w:id="745" w:name="_Toc303539136"/>
      <w:bookmarkStart w:id="746" w:name="_Toc296891207"/>
      <w:bookmarkStart w:id="747" w:name="_Toc312678019"/>
      <w:bookmarkStart w:id="748" w:name="_Toc297120467"/>
      <w:bookmarkStart w:id="749" w:name="_Toc297048353"/>
      <w:bookmarkStart w:id="750" w:name="_Toc300934979"/>
      <w:bookmarkStart w:id="751" w:name="_Toc297216186"/>
      <w:bookmarkStart w:id="752" w:name="_Toc297123527"/>
      <w:r>
        <w:rPr>
          <w:rFonts w:hint="eastAsia" w:ascii="宋体" w:hAnsi="宋体" w:eastAsia="宋体" w:cs="宋体"/>
          <w:color w:val="auto"/>
          <w:sz w:val="18"/>
          <w:szCs w:val="18"/>
          <w:highlight w:val="none"/>
        </w:rPr>
        <w:t>.4 材料与工程设备的保管与使用</w:t>
      </w:r>
      <w:bookmarkEnd w:id="733"/>
      <w:bookmarkEnd w:id="734"/>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3480D9B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bookmarkStart w:id="753" w:name="_Toc292559878"/>
      <w:bookmarkStart w:id="754" w:name="_Toc292559373"/>
      <w:bookmarkStart w:id="755" w:name="_Toc312677494"/>
      <w:bookmarkStart w:id="756" w:name="_Toc296890996"/>
      <w:bookmarkStart w:id="757" w:name="_Toc297123528"/>
      <w:bookmarkStart w:id="758" w:name="_Toc296944507"/>
      <w:bookmarkStart w:id="759" w:name="_Toc297048354"/>
      <w:bookmarkStart w:id="760" w:name="_Toc318581173"/>
      <w:bookmarkStart w:id="761" w:name="_Toc296346669"/>
      <w:bookmarkStart w:id="762" w:name="_Toc312678020"/>
      <w:bookmarkStart w:id="763" w:name="_Toc297216187"/>
      <w:bookmarkStart w:id="764" w:name="_Toc296503168"/>
      <w:bookmarkStart w:id="765" w:name="_Toc296347167"/>
      <w:bookmarkStart w:id="766" w:name="_Toc296891208"/>
      <w:bookmarkStart w:id="767" w:name="_Toc303539137"/>
      <w:bookmarkStart w:id="768" w:name="_Toc297120468"/>
      <w:bookmarkStart w:id="769" w:name="_Toc300934980"/>
      <w:bookmarkStart w:id="770" w:name="_Toc304295557"/>
      <w:r>
        <w:rPr>
          <w:rFonts w:hint="eastAsia" w:ascii="宋体" w:hAnsi="宋体" w:eastAsia="宋体" w:cs="宋体"/>
          <w:color w:val="auto"/>
          <w:sz w:val="18"/>
          <w:szCs w:val="18"/>
          <w:highlight w:val="none"/>
        </w:rPr>
        <w:t>.4.1 发包人供应的材料设备的保管费用的承担：</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bookmarkEnd w:id="753"/>
      <w:bookmarkEnd w:id="754"/>
    </w:p>
    <w:p w14:paraId="28ACCDD7">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71" w:name="_Toc532375629"/>
      <w:bookmarkStart w:id="772" w:name="_Toc532377365"/>
      <w:r>
        <w:rPr>
          <w:rFonts w:hint="eastAsia" w:ascii="宋体" w:hAnsi="宋体" w:eastAsia="宋体" w:cs="宋体"/>
          <w:color w:val="auto"/>
          <w:sz w:val="18"/>
          <w:szCs w:val="18"/>
          <w:highlight w:val="none"/>
        </w:rPr>
        <w:t>8.6 样品</w:t>
      </w:r>
      <w:bookmarkEnd w:id="771"/>
      <w:bookmarkEnd w:id="772"/>
    </w:p>
    <w:p w14:paraId="1D276F38">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8.6.1 样品的报送与封存</w:t>
      </w:r>
    </w:p>
    <w:p w14:paraId="7D05683C">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需要承包人报送样品的材料或工程设备，样品的种类、名称、规格、数量要求：</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395EF05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773" w:name="_Toc532377366"/>
      <w:bookmarkStart w:id="774" w:name="_Toc532375630"/>
      <w:r>
        <w:rPr>
          <w:rFonts w:hint="eastAsia" w:ascii="宋体" w:hAnsi="宋体" w:eastAsia="宋体" w:cs="宋体"/>
          <w:color w:val="auto"/>
          <w:sz w:val="18"/>
          <w:szCs w:val="18"/>
          <w:highlight w:val="none"/>
        </w:rPr>
        <w:t>8.8 施工设备和临时设施</w:t>
      </w:r>
      <w:bookmarkEnd w:id="773"/>
      <w:bookmarkEnd w:id="774"/>
    </w:p>
    <w:p w14:paraId="2DE7A80D">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8.8.1 承包人提供的施工设备和临时设施</w:t>
      </w:r>
    </w:p>
    <w:p w14:paraId="706630E9">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关于修建临时设施费用承担的约定：</w:t>
      </w:r>
      <w:r>
        <w:rPr>
          <w:rFonts w:hint="eastAsia" w:ascii="宋体" w:hAnsi="宋体" w:eastAsia="宋体" w:cs="宋体"/>
          <w:color w:val="auto"/>
          <w:sz w:val="18"/>
          <w:szCs w:val="18"/>
          <w:highlight w:val="none"/>
          <w:u w:val="single"/>
        </w:rPr>
        <w:t>由承包人承担</w:t>
      </w:r>
      <w:r>
        <w:rPr>
          <w:rFonts w:hint="eastAsia" w:ascii="宋体" w:hAnsi="宋体" w:eastAsia="宋体" w:cs="宋体"/>
          <w:color w:val="auto"/>
          <w:sz w:val="18"/>
          <w:szCs w:val="18"/>
          <w:highlight w:val="none"/>
        </w:rPr>
        <w:t>。</w:t>
      </w:r>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79F84AEB">
      <w:pPr>
        <w:pStyle w:val="2"/>
        <w:rPr>
          <w:rFonts w:hint="eastAsia"/>
        </w:rPr>
      </w:pPr>
    </w:p>
    <w:p w14:paraId="2B8FDEA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775" w:name="_Toc280868656"/>
      <w:bookmarkStart w:id="776" w:name="_Toc280868655"/>
      <w:bookmarkStart w:id="777" w:name="_Toc267251424"/>
      <w:bookmarkStart w:id="778" w:name="_Toc532377367"/>
      <w:bookmarkStart w:id="779" w:name="_Toc351203641"/>
      <w:bookmarkStart w:id="780" w:name="_Toc532375631"/>
      <w:bookmarkStart w:id="781" w:name="_Toc292559378"/>
      <w:bookmarkStart w:id="782" w:name="_Toc296503173"/>
      <w:bookmarkStart w:id="783" w:name="_Toc297048359"/>
      <w:bookmarkStart w:id="784" w:name="_Toc267251428"/>
      <w:bookmarkStart w:id="785" w:name="_Toc296347172"/>
      <w:bookmarkStart w:id="786" w:name="_Toc351203642"/>
      <w:bookmarkStart w:id="787" w:name="_Toc296944512"/>
      <w:bookmarkStart w:id="788" w:name="_Toc296891001"/>
      <w:bookmarkStart w:id="789" w:name="_Toc267251427"/>
      <w:bookmarkStart w:id="790" w:name="_Toc296891213"/>
      <w:bookmarkStart w:id="791" w:name="_Toc297120473"/>
      <w:bookmarkStart w:id="792" w:name="_Toc296346674"/>
      <w:bookmarkStart w:id="793" w:name="_Toc292559883"/>
      <w:r>
        <w:rPr>
          <w:rFonts w:hint="eastAsia" w:ascii="宋体" w:hAnsi="宋体" w:eastAsia="宋体" w:cs="宋体"/>
          <w:color w:val="auto"/>
          <w:kern w:val="2"/>
          <w:sz w:val="18"/>
          <w:szCs w:val="18"/>
          <w:highlight w:val="none"/>
        </w:rPr>
        <w:t>9</w:t>
      </w:r>
      <w:bookmarkEnd w:id="775"/>
      <w:bookmarkEnd w:id="776"/>
      <w:bookmarkEnd w:id="777"/>
      <w:bookmarkStart w:id="794" w:name="_Toc303539139"/>
      <w:bookmarkStart w:id="795" w:name="_Toc312678021"/>
      <w:bookmarkStart w:id="796" w:name="_Toc312677495"/>
      <w:bookmarkStart w:id="797" w:name="_Toc297123533"/>
      <w:bookmarkStart w:id="798" w:name="_Toc300934982"/>
      <w:bookmarkStart w:id="799" w:name="_Toc297216192"/>
      <w:bookmarkStart w:id="800" w:name="_Toc304295559"/>
      <w:r>
        <w:rPr>
          <w:rFonts w:hint="eastAsia" w:ascii="宋体" w:hAnsi="宋体" w:eastAsia="宋体" w:cs="宋体"/>
          <w:color w:val="auto"/>
          <w:kern w:val="2"/>
          <w:sz w:val="18"/>
          <w:szCs w:val="18"/>
          <w:highlight w:val="none"/>
        </w:rPr>
        <w:t>. 试验与检验</w:t>
      </w:r>
      <w:bookmarkEnd w:id="778"/>
      <w:bookmarkEnd w:id="779"/>
      <w:bookmarkEnd w:id="780"/>
    </w:p>
    <w:bookmarkEnd w:id="794"/>
    <w:bookmarkEnd w:id="795"/>
    <w:bookmarkEnd w:id="796"/>
    <w:bookmarkEnd w:id="797"/>
    <w:bookmarkEnd w:id="798"/>
    <w:bookmarkEnd w:id="799"/>
    <w:bookmarkEnd w:id="800"/>
    <w:p w14:paraId="32257527">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01" w:name="_Toc532377368"/>
      <w:bookmarkStart w:id="802" w:name="_Toc532375632"/>
      <w:r>
        <w:rPr>
          <w:rFonts w:hint="eastAsia" w:ascii="宋体" w:hAnsi="宋体" w:eastAsia="宋体" w:cs="宋体"/>
          <w:color w:val="auto"/>
          <w:sz w:val="18"/>
          <w:szCs w:val="18"/>
          <w:highlight w:val="none"/>
        </w:rPr>
        <w:t>9</w:t>
      </w:r>
      <w:bookmarkStart w:id="803" w:name="_Toc297123534"/>
      <w:bookmarkStart w:id="804" w:name="_Toc312677496"/>
      <w:bookmarkStart w:id="805" w:name="_Toc300934983"/>
      <w:bookmarkStart w:id="806" w:name="_Toc297216193"/>
      <w:bookmarkStart w:id="807" w:name="_Toc304295560"/>
      <w:bookmarkStart w:id="808" w:name="_Toc303539140"/>
      <w:bookmarkStart w:id="809" w:name="_Toc312678022"/>
      <w:r>
        <w:rPr>
          <w:rFonts w:hint="eastAsia" w:ascii="宋体" w:hAnsi="宋体" w:eastAsia="宋体" w:cs="宋体"/>
          <w:color w:val="auto"/>
          <w:sz w:val="18"/>
          <w:szCs w:val="18"/>
          <w:highlight w:val="none"/>
        </w:rPr>
        <w:t>.1 试验设备与试验人员</w:t>
      </w:r>
      <w:bookmarkEnd w:id="801"/>
      <w:bookmarkEnd w:id="802"/>
    </w:p>
    <w:bookmarkEnd w:id="803"/>
    <w:bookmarkEnd w:id="804"/>
    <w:bookmarkEnd w:id="805"/>
    <w:bookmarkEnd w:id="806"/>
    <w:bookmarkEnd w:id="807"/>
    <w:bookmarkEnd w:id="808"/>
    <w:bookmarkEnd w:id="809"/>
    <w:p w14:paraId="7C482FE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bookmarkStart w:id="810" w:name="_Toc303539141"/>
      <w:bookmarkStart w:id="811" w:name="_Toc312678023"/>
      <w:bookmarkStart w:id="812" w:name="_Toc297123535"/>
      <w:bookmarkStart w:id="813" w:name="_Toc304295561"/>
      <w:bookmarkStart w:id="814" w:name="_Toc297216194"/>
      <w:bookmarkStart w:id="815" w:name="_Toc312677497"/>
      <w:bookmarkStart w:id="816" w:name="_Toc300934984"/>
      <w:bookmarkStart w:id="817" w:name="_Toc318581174"/>
      <w:r>
        <w:rPr>
          <w:rFonts w:hint="eastAsia" w:ascii="宋体" w:hAnsi="宋体" w:eastAsia="宋体" w:cs="宋体"/>
          <w:color w:val="auto"/>
          <w:sz w:val="18"/>
          <w:szCs w:val="18"/>
          <w:highlight w:val="none"/>
        </w:rPr>
        <w:t>.1.2 试验设备</w:t>
      </w:r>
    </w:p>
    <w:p w14:paraId="24AE99B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施工现场需要配置的试验场所：</w:t>
      </w:r>
      <w:bookmarkEnd w:id="810"/>
      <w:bookmarkEnd w:id="811"/>
      <w:bookmarkEnd w:id="812"/>
      <w:bookmarkEnd w:id="813"/>
      <w:bookmarkEnd w:id="814"/>
      <w:bookmarkEnd w:id="815"/>
      <w:bookmarkEnd w:id="816"/>
      <w:bookmarkStart w:id="818" w:name="_Toc297123536"/>
      <w:bookmarkStart w:id="819" w:name="_Toc312678024"/>
      <w:bookmarkStart w:id="820" w:name="_Toc297216195"/>
      <w:bookmarkStart w:id="821" w:name="_Toc300934985"/>
      <w:bookmarkStart w:id="822" w:name="_Toc312677498"/>
      <w:bookmarkStart w:id="823" w:name="_Toc304295562"/>
      <w:bookmarkStart w:id="824" w:name="_Toc303539142"/>
      <w:r>
        <w:rPr>
          <w:rFonts w:hint="eastAsia" w:ascii="宋体" w:hAnsi="宋体" w:eastAsia="宋体" w:cs="宋体"/>
          <w:color w:val="auto"/>
          <w:sz w:val="18"/>
          <w:szCs w:val="18"/>
          <w:highlight w:val="none"/>
          <w:u w:val="single"/>
        </w:rPr>
        <w:t>满足工程施工的需要</w:t>
      </w:r>
      <w:r>
        <w:rPr>
          <w:rFonts w:hint="eastAsia" w:ascii="宋体" w:hAnsi="宋体" w:eastAsia="宋体" w:cs="宋体"/>
          <w:color w:val="auto"/>
          <w:sz w:val="18"/>
          <w:szCs w:val="18"/>
          <w:highlight w:val="none"/>
        </w:rPr>
        <w:t>。</w:t>
      </w:r>
    </w:p>
    <w:p w14:paraId="7E774BA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施工现场需要配备的试验设备：</w:t>
      </w:r>
      <w:r>
        <w:rPr>
          <w:rFonts w:hint="eastAsia" w:ascii="宋体" w:hAnsi="宋体" w:eastAsia="宋体" w:cs="宋体"/>
          <w:color w:val="auto"/>
          <w:sz w:val="18"/>
          <w:szCs w:val="18"/>
          <w:highlight w:val="none"/>
          <w:u w:val="single"/>
        </w:rPr>
        <w:t>满足工程施工的需要</w:t>
      </w:r>
      <w:r>
        <w:rPr>
          <w:rFonts w:hint="eastAsia" w:ascii="宋体" w:hAnsi="宋体" w:eastAsia="宋体" w:cs="宋体"/>
          <w:color w:val="auto"/>
          <w:sz w:val="18"/>
          <w:szCs w:val="18"/>
          <w:highlight w:val="none"/>
        </w:rPr>
        <w:t>。</w:t>
      </w:r>
    </w:p>
    <w:p w14:paraId="0C0E49E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施工现场需要具备的其他试验条件：</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0E21AB4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25" w:name="_Toc532375633"/>
      <w:bookmarkStart w:id="826" w:name="_Toc532377369"/>
      <w:r>
        <w:rPr>
          <w:rFonts w:hint="eastAsia" w:ascii="宋体" w:hAnsi="宋体" w:eastAsia="宋体" w:cs="宋体"/>
          <w:color w:val="auto"/>
          <w:sz w:val="18"/>
          <w:szCs w:val="18"/>
          <w:highlight w:val="none"/>
        </w:rPr>
        <w:t>9.4 现场工艺试验</w:t>
      </w:r>
      <w:bookmarkEnd w:id="825"/>
      <w:bookmarkEnd w:id="826"/>
    </w:p>
    <w:p w14:paraId="04A66CD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本款补充9.4.1～9.4.5项：</w:t>
      </w:r>
    </w:p>
    <w:bookmarkEnd w:id="817"/>
    <w:bookmarkEnd w:id="818"/>
    <w:bookmarkEnd w:id="819"/>
    <w:bookmarkEnd w:id="820"/>
    <w:bookmarkEnd w:id="821"/>
    <w:bookmarkEnd w:id="822"/>
    <w:bookmarkEnd w:id="823"/>
    <w:bookmarkEnd w:id="824"/>
    <w:p w14:paraId="3B926AA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9.4.1一般检验试验：</w:t>
      </w:r>
    </w:p>
    <w:p w14:paraId="31A44F79">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F7BE604">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3FC988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9.4.2特殊检验试验：</w:t>
      </w:r>
    </w:p>
    <w:p w14:paraId="0940C89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1763DC28">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发包人委托的第三方检测试验机构检测试验的试件所需的材料、取样、送检及相关配合工作由承包人负责完成并承担由此产生的所有相关费用。</w:t>
      </w:r>
    </w:p>
    <w:p w14:paraId="2822517E">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（2）施工措施的检测、试验：因施工措施需要而做的相关检测、试验由承包人负责实施，其费用由承包人承担。</w:t>
      </w:r>
    </w:p>
    <w:p w14:paraId="43EBB89E">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9.4.3专项检测：</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6BB1FFC0">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9.4.4若因承包人取样、制样、送检及相关配合不及时而导致工程的工期和费用增加，影响的工期不予延长，增加费用由承包人承担。</w:t>
      </w:r>
    </w:p>
    <w:p w14:paraId="01393651">
      <w:pPr>
        <w:tabs>
          <w:tab w:val="left" w:pos="711"/>
          <w:tab w:val="left" w:pos="2580"/>
        </w:tabs>
        <w:spacing w:line="360" w:lineRule="auto"/>
        <w:ind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9.4.5检测试验不合格的项目，其缺陷处理和复测费用由承包人承担，工期不予延长。</w:t>
      </w:r>
    </w:p>
    <w:bookmarkEnd w:id="781"/>
    <w:bookmarkEnd w:id="782"/>
    <w:bookmarkEnd w:id="783"/>
    <w:bookmarkEnd w:id="784"/>
    <w:bookmarkEnd w:id="785"/>
    <w:bookmarkEnd w:id="786"/>
    <w:bookmarkEnd w:id="787"/>
    <w:bookmarkEnd w:id="788"/>
    <w:bookmarkEnd w:id="789"/>
    <w:bookmarkEnd w:id="790"/>
    <w:bookmarkEnd w:id="791"/>
    <w:bookmarkEnd w:id="792"/>
    <w:bookmarkEnd w:id="793"/>
    <w:p w14:paraId="5A38CE3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827" w:name="_Toc532375634"/>
      <w:bookmarkStart w:id="828" w:name="_Toc532377370"/>
      <w:r>
        <w:rPr>
          <w:rFonts w:hint="eastAsia" w:ascii="宋体" w:hAnsi="宋体" w:eastAsia="宋体" w:cs="宋体"/>
          <w:color w:val="auto"/>
          <w:kern w:val="2"/>
          <w:sz w:val="18"/>
          <w:szCs w:val="18"/>
          <w:highlight w:val="none"/>
        </w:rPr>
        <w:t>1</w:t>
      </w:r>
      <w:bookmarkStart w:id="829" w:name="_Toc292559398"/>
      <w:bookmarkStart w:id="830" w:name="_Toc297216199"/>
      <w:bookmarkStart w:id="831" w:name="_Toc292559903"/>
      <w:bookmarkStart w:id="832" w:name="_Toc303539146"/>
      <w:bookmarkStart w:id="833" w:name="_Toc297123540"/>
      <w:bookmarkStart w:id="834" w:name="_Toc296347192"/>
      <w:bookmarkStart w:id="835" w:name="_Toc296891233"/>
      <w:bookmarkStart w:id="836" w:name="_Toc296944532"/>
      <w:bookmarkStart w:id="837" w:name="_Toc304295566"/>
      <w:bookmarkStart w:id="838" w:name="_Toc297048379"/>
      <w:bookmarkStart w:id="839" w:name="_Toc296346694"/>
      <w:bookmarkStart w:id="840" w:name="_Toc297120493"/>
      <w:bookmarkStart w:id="841" w:name="_Toc296891021"/>
      <w:bookmarkStart w:id="842" w:name="_Toc300934989"/>
      <w:bookmarkStart w:id="843" w:name="_Toc296503193"/>
      <w:bookmarkStart w:id="844" w:name="_Toc312678025"/>
      <w:bookmarkStart w:id="845" w:name="_Toc312677499"/>
      <w:bookmarkStart w:id="846" w:name="_Toc267251437"/>
      <w:bookmarkStart w:id="847" w:name="_Toc267251435"/>
      <w:bookmarkStart w:id="848" w:name="_Toc267251440"/>
      <w:bookmarkStart w:id="849" w:name="_Toc267251441"/>
      <w:bookmarkStart w:id="850" w:name="_Toc267251433"/>
      <w:bookmarkStart w:id="851" w:name="_Toc267251439"/>
      <w:r>
        <w:rPr>
          <w:rFonts w:hint="eastAsia" w:ascii="宋体" w:hAnsi="宋体" w:eastAsia="宋体" w:cs="宋体"/>
          <w:color w:val="auto"/>
          <w:kern w:val="2"/>
          <w:sz w:val="18"/>
          <w:szCs w:val="18"/>
          <w:highlight w:val="none"/>
        </w:rPr>
        <w:t>0. 变更</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bookmarkEnd w:id="844"/>
    <w:bookmarkEnd w:id="845"/>
    <w:p w14:paraId="1042A7CE">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52" w:name="_Toc532377371"/>
      <w:bookmarkStart w:id="853" w:name="_Toc532375635"/>
      <w:r>
        <w:rPr>
          <w:rFonts w:hint="eastAsia" w:ascii="宋体" w:hAnsi="宋体" w:eastAsia="宋体" w:cs="宋体"/>
          <w:color w:val="auto"/>
          <w:sz w:val="18"/>
          <w:szCs w:val="18"/>
          <w:highlight w:val="none"/>
        </w:rPr>
        <w:t>1</w:t>
      </w:r>
      <w:bookmarkStart w:id="854" w:name="_Toc296347193"/>
      <w:bookmarkStart w:id="855" w:name="_Toc304295567"/>
      <w:bookmarkStart w:id="856" w:name="_Toc300934990"/>
      <w:bookmarkStart w:id="857" w:name="_Toc292559904"/>
      <w:bookmarkStart w:id="858" w:name="_Toc292559399"/>
      <w:bookmarkStart w:id="859" w:name="_Toc303539147"/>
      <w:bookmarkStart w:id="860" w:name="_Toc297120494"/>
      <w:bookmarkStart w:id="861" w:name="_Toc296891022"/>
      <w:bookmarkStart w:id="862" w:name="_Toc297216200"/>
      <w:bookmarkStart w:id="863" w:name="_Toc296503194"/>
      <w:bookmarkStart w:id="864" w:name="_Toc312678026"/>
      <w:bookmarkStart w:id="865" w:name="_Toc312677500"/>
      <w:bookmarkStart w:id="866" w:name="_Toc297123541"/>
      <w:bookmarkStart w:id="867" w:name="_Toc296944533"/>
      <w:bookmarkStart w:id="868" w:name="_Toc296891234"/>
      <w:bookmarkStart w:id="869" w:name="_Toc296346695"/>
      <w:bookmarkStart w:id="870" w:name="_Toc297048380"/>
      <w:r>
        <w:rPr>
          <w:rFonts w:hint="eastAsia" w:ascii="宋体" w:hAnsi="宋体" w:eastAsia="宋体" w:cs="宋体"/>
          <w:color w:val="auto"/>
          <w:sz w:val="18"/>
          <w:szCs w:val="18"/>
          <w:highlight w:val="none"/>
        </w:rPr>
        <w:t>0.1变更的范围</w:t>
      </w:r>
      <w:bookmarkEnd w:id="852"/>
      <w:bookmarkEnd w:id="853"/>
    </w:p>
    <w:p w14:paraId="6CB2E53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关于变更范围的约定：</w:t>
      </w:r>
    </w:p>
    <w:p w14:paraId="14091F3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（1）增加或减少合同中任何工作，或追加额外的工作；</w:t>
      </w:r>
    </w:p>
    <w:p w14:paraId="3F3D7BC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（2）取消合同中任何工作；</w:t>
      </w:r>
    </w:p>
    <w:p w14:paraId="701E095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（3）改变合同中任何工作的质量标准或其他特性；</w:t>
      </w:r>
    </w:p>
    <w:p w14:paraId="266AACC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（4）改变工程的基线、标高、位置和尺寸；</w:t>
      </w:r>
    </w:p>
    <w:p w14:paraId="1D5BE7C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（5）适用于工程的标准和（或）规范变化导致需要对工程进行改变，且该改变导致工期和（或）费用变化的；</w:t>
      </w:r>
    </w:p>
    <w:p w14:paraId="3A7C0A9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（6）勘察设计变更；</w:t>
      </w:r>
    </w:p>
    <w:p w14:paraId="022A92B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（7）实施内容变更，包括因设计变更和非设计变更引起的实施地点、投资规模、结构型式、采购数量、服务内容等进行的调整，以及因此导致的合同价格、工期变更；</w:t>
      </w:r>
    </w:p>
    <w:p w14:paraId="791FE2A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（8）项目管理人员变更；</w:t>
      </w:r>
    </w:p>
    <w:p w14:paraId="3A4D846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（9）因人工、原材料等价格变化导致的合同总价变更；</w:t>
      </w:r>
    </w:p>
    <w:p w14:paraId="6903B86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（10）非实施内容变化导致的工期变更；</w:t>
      </w:r>
    </w:p>
    <w:p w14:paraId="6C3206C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5501478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合川区政府投资项目管理办法》要求进行信息公开。项目合同变更未获得通过的，发包人和承包人均不得擅自变更原合同约定事项，且不得就同一理由同一事项再提出变更。</w:t>
      </w:r>
    </w:p>
    <w:p w14:paraId="457DACC6">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承包人对其提供的材料、工程设备、施工、无负荷试车、热负荷试车及图纸参数存在的缺陷，自费修正、调整和完善，不属于变更。</w:t>
      </w:r>
    </w:p>
    <w:p w14:paraId="0F40294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71" w:name="_Toc351203569"/>
      <w:bookmarkStart w:id="872" w:name="_Toc532375636"/>
      <w:bookmarkStart w:id="873" w:name="_Toc532377372"/>
      <w:r>
        <w:rPr>
          <w:rFonts w:hint="eastAsia" w:ascii="宋体" w:hAnsi="宋体" w:eastAsia="宋体" w:cs="宋体"/>
          <w:color w:val="auto"/>
          <w:sz w:val="18"/>
          <w:szCs w:val="18"/>
          <w:highlight w:val="none"/>
        </w:rPr>
        <w:t>1</w:t>
      </w:r>
      <w:bookmarkStart w:id="874" w:name="_Toc296503085"/>
      <w:bookmarkStart w:id="875" w:name="_Toc296346586"/>
      <w:bookmarkStart w:id="876" w:name="_Toc337558789"/>
      <w:r>
        <w:rPr>
          <w:rFonts w:hint="eastAsia" w:ascii="宋体" w:hAnsi="宋体" w:eastAsia="宋体" w:cs="宋体"/>
          <w:color w:val="auto"/>
          <w:sz w:val="18"/>
          <w:szCs w:val="18"/>
          <w:highlight w:val="none"/>
        </w:rPr>
        <w:t>0.2变更权</w:t>
      </w:r>
      <w:bookmarkEnd w:id="871"/>
      <w:bookmarkEnd w:id="872"/>
      <w:bookmarkEnd w:id="873"/>
    </w:p>
    <w:bookmarkEnd w:id="874"/>
    <w:bookmarkEnd w:id="875"/>
    <w:bookmarkEnd w:id="876"/>
    <w:p w14:paraId="5912FA5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10.2.1发包人和监理人提出变更</w:t>
      </w:r>
    </w:p>
    <w:p w14:paraId="3DF819E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144C6353">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7E0E387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若出现重大设计变更，变更后的内容超出承包人资质或能力范围的，发包人将另行依法</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选择承包单位，无需征得承包人同意。</w:t>
      </w:r>
    </w:p>
    <w:p w14:paraId="279047C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10.2.2 承包人提出变更建议</w:t>
      </w:r>
    </w:p>
    <w:p w14:paraId="53F2091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18"/>
          <w:szCs w:val="18"/>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18"/>
          <w:szCs w:val="18"/>
          <w:highlight w:val="none"/>
        </w:rPr>
        <w:t>。</w:t>
      </w:r>
    </w:p>
    <w:p w14:paraId="61DD1C19">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如果发包人对承包人已实施的施工项目在发出重大设计变更之前要求承包人提出一份建议，那么，承包人应尽快提出：</w:t>
      </w:r>
    </w:p>
    <w:p w14:paraId="2324A565">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（1）对所提方案和（或）待做工作及其实施计划的说明</w:t>
      </w:r>
      <w:r>
        <w:rPr>
          <w:rFonts w:hint="eastAsia" w:ascii="宋体" w:hAnsi="宋体" w:eastAsia="宋体" w:cs="宋体"/>
          <w:color w:val="auto"/>
          <w:sz w:val="18"/>
          <w:szCs w:val="18"/>
          <w:highlight w:val="none"/>
        </w:rPr>
        <w:t>；</w:t>
      </w:r>
    </w:p>
    <w:p w14:paraId="242EC518">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（2）承包人按照对工程进度计划进行必要修改的建议</w:t>
      </w:r>
      <w:r>
        <w:rPr>
          <w:rFonts w:hint="eastAsia" w:ascii="宋体" w:hAnsi="宋体" w:eastAsia="宋体" w:cs="宋体"/>
          <w:color w:val="auto"/>
          <w:sz w:val="18"/>
          <w:szCs w:val="18"/>
          <w:highlight w:val="none"/>
        </w:rPr>
        <w:t>；</w:t>
      </w:r>
    </w:p>
    <w:p w14:paraId="2299C0B9">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（3）承包人发生较大返工损失增加费用的建议</w:t>
      </w:r>
      <w:r>
        <w:rPr>
          <w:rFonts w:hint="eastAsia" w:ascii="宋体" w:hAnsi="宋体" w:eastAsia="宋体" w:cs="宋体"/>
          <w:color w:val="auto"/>
          <w:sz w:val="18"/>
          <w:szCs w:val="18"/>
          <w:highlight w:val="none"/>
        </w:rPr>
        <w:t>。</w:t>
      </w:r>
    </w:p>
    <w:p w14:paraId="23074F71">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发包人在收到上述建议书后，应尽快给予批准、否决或提出意见</w:t>
      </w:r>
      <w:r>
        <w:rPr>
          <w:rFonts w:hint="eastAsia" w:ascii="宋体" w:hAnsi="宋体" w:eastAsia="宋体" w:cs="宋体"/>
          <w:color w:val="auto"/>
          <w:sz w:val="18"/>
          <w:szCs w:val="18"/>
          <w:highlight w:val="none"/>
        </w:rPr>
        <w:t>。</w:t>
      </w:r>
    </w:p>
    <w:p w14:paraId="0E18AF7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77" w:name="_Toc532375637"/>
      <w:bookmarkStart w:id="878" w:name="_Toc532377373"/>
      <w:bookmarkStart w:id="879" w:name="_Hlk528928195"/>
      <w:bookmarkStart w:id="880" w:name="_Toc351203570"/>
      <w:r>
        <w:rPr>
          <w:rFonts w:hint="eastAsia" w:ascii="宋体" w:hAnsi="宋体" w:eastAsia="宋体" w:cs="宋体"/>
          <w:color w:val="auto"/>
          <w:sz w:val="18"/>
          <w:szCs w:val="18"/>
          <w:highlight w:val="none"/>
        </w:rPr>
        <w:t>1</w:t>
      </w:r>
      <w:bookmarkStart w:id="881" w:name="_Toc296503086"/>
      <w:bookmarkStart w:id="882" w:name="_Toc296346587"/>
      <w:bookmarkStart w:id="883" w:name="_Toc337558790"/>
      <w:r>
        <w:rPr>
          <w:rFonts w:hint="eastAsia" w:ascii="宋体" w:hAnsi="宋体" w:eastAsia="宋体" w:cs="宋体"/>
          <w:color w:val="auto"/>
          <w:sz w:val="18"/>
          <w:szCs w:val="18"/>
          <w:highlight w:val="none"/>
        </w:rPr>
        <w:t>0.3变更程序</w:t>
      </w:r>
      <w:bookmarkEnd w:id="877"/>
      <w:bookmarkEnd w:id="878"/>
    </w:p>
    <w:bookmarkEnd w:id="881"/>
    <w:bookmarkEnd w:id="882"/>
    <w:bookmarkEnd w:id="883"/>
    <w:p w14:paraId="156DB2B8">
      <w:pPr>
        <w:autoSpaceDE w:val="0"/>
        <w:autoSpaceDN w:val="0"/>
        <w:spacing w:line="360" w:lineRule="auto"/>
        <w:ind w:firstLine="360" w:firstLineChars="200"/>
        <w:jc w:val="left"/>
        <w:rPr>
          <w:rFonts w:hint="eastAsia" w:ascii="宋体" w:hAnsi="宋体" w:eastAsia="宋体" w:cs="宋体"/>
          <w:color w:val="auto"/>
          <w:sz w:val="18"/>
          <w:szCs w:val="18"/>
          <w:highlight w:val="none"/>
        </w:rPr>
      </w:pPr>
      <w:bookmarkStart w:id="884" w:name="_Hlk524353972"/>
      <w:r>
        <w:rPr>
          <w:rFonts w:hint="eastAsia" w:ascii="宋体" w:hAnsi="宋体" w:eastAsia="宋体" w:cs="宋体"/>
          <w:color w:val="auto"/>
          <w:sz w:val="18"/>
          <w:szCs w:val="18"/>
          <w:highlight w:val="none"/>
        </w:rPr>
        <w:t>10.3.3 变更执行</w:t>
      </w:r>
    </w:p>
    <w:p w14:paraId="3BD132B4">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一般设计变更：承包人收到监理人下达的变更指示后，应按照监理人下达的变更指示执行，并书面说明实施该变更指示对合同价格和工期的影响，按照第10.4.1项〔变更估价原则〕约定执行。</w:t>
      </w:r>
    </w:p>
    <w:p w14:paraId="4E13A1D7">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重大设计变更：需经设计人、监理人和发包人三方签名认可并报相关行业部门审查同意后实施。</w:t>
      </w:r>
    </w:p>
    <w:p w14:paraId="02A77947">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10.3.3 项增加以下内容：</w:t>
      </w:r>
    </w:p>
    <w:p w14:paraId="44075834">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合同变更提出后，应当首先由发包人组织相关单位、专家进行论证。经论证确需变更的，发包人按照《</w:t>
      </w:r>
      <w:r>
        <w:rPr>
          <w:rFonts w:hint="eastAsia" w:ascii="宋体" w:hAnsi="宋体" w:eastAsia="宋体" w:cs="宋体"/>
          <w:color w:val="auto"/>
          <w:sz w:val="18"/>
          <w:szCs w:val="18"/>
          <w:highlight w:val="none"/>
          <w:u w:val="single"/>
          <w:lang w:val="en-US" w:eastAsia="zh-CN"/>
        </w:rPr>
        <w:t>重庆市合川区</w:t>
      </w:r>
      <w:r>
        <w:rPr>
          <w:rFonts w:hint="eastAsia" w:ascii="宋体" w:hAnsi="宋体" w:eastAsia="宋体" w:cs="宋体"/>
          <w:color w:val="auto"/>
          <w:sz w:val="18"/>
          <w:szCs w:val="18"/>
          <w:highlight w:val="none"/>
          <w:u w:val="single"/>
        </w:rPr>
        <w:t>政府投资项目管理办法》规定的程序自行决策或者报批；经论证不需要变更的，继续按合同执行。</w:t>
      </w:r>
    </w:p>
    <w:p w14:paraId="29E51B15">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项目的勘察设计、实施内容等作较大变更的，应当按照规定的程序报原审批部门审批；变更导致总投资超概的，应当报原投资概算核定部门核定。</w:t>
      </w:r>
    </w:p>
    <w:p w14:paraId="210544E6">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项目管理人员变更的，应当经发包人领导班子集体决策同意，并将变更信息推送给行业主管部门。变更后的项目管理人员应当符合竞争性</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文件和行业主管部门的相关规定。</w:t>
      </w:r>
    </w:p>
    <w:p w14:paraId="0E251C73">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因人工、原材料市场价格发生大幅度变化导致的合同总价变更，由发包人与承包人按照合同进行变更，并将变更信息推送给行业主管部门。</w:t>
      </w:r>
    </w:p>
    <w:p w14:paraId="460F4382">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67E7BDE8">
      <w:pPr>
        <w:autoSpaceDE w:val="0"/>
        <w:autoSpaceDN w:val="0"/>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项目合同变更后，增加的实施内容达到依法必须</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的规模标准的，增加的部分应当依法通过</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选择承包单位。</w:t>
      </w:r>
    </w:p>
    <w:bookmarkEnd w:id="879"/>
    <w:bookmarkEnd w:id="880"/>
    <w:bookmarkEnd w:id="884"/>
    <w:p w14:paraId="057CEFF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85" w:name="_Toc532377374"/>
      <w:bookmarkStart w:id="886" w:name="_Toc532375638"/>
      <w:r>
        <w:rPr>
          <w:rFonts w:hint="eastAsia" w:ascii="宋体" w:hAnsi="宋体" w:eastAsia="宋体" w:cs="宋体"/>
          <w:color w:val="auto"/>
          <w:sz w:val="18"/>
          <w:szCs w:val="18"/>
          <w:highlight w:val="none"/>
        </w:rPr>
        <w:t>10.4 变更估价</w:t>
      </w:r>
      <w:bookmarkEnd w:id="885"/>
      <w:bookmarkEnd w:id="886"/>
    </w:p>
    <w:p w14:paraId="72637867">
      <w:pPr>
        <w:spacing w:line="360" w:lineRule="auto"/>
        <w:ind w:firstLine="360" w:firstLineChars="200"/>
        <w:jc w:val="left"/>
        <w:rPr>
          <w:rFonts w:hint="eastAsia" w:ascii="宋体" w:hAnsi="宋体" w:eastAsia="宋体" w:cs="宋体"/>
          <w:color w:val="auto"/>
          <w:sz w:val="18"/>
          <w:szCs w:val="18"/>
          <w:highlight w:val="none"/>
        </w:rPr>
      </w:pPr>
      <w:bookmarkStart w:id="887" w:name="_Hlk524296629"/>
      <w:r>
        <w:rPr>
          <w:rFonts w:hint="eastAsia" w:ascii="宋体" w:hAnsi="宋体" w:eastAsia="宋体" w:cs="宋体"/>
          <w:color w:val="auto"/>
          <w:sz w:val="18"/>
          <w:szCs w:val="18"/>
          <w:highlight w:val="none"/>
        </w:rPr>
        <w:t>10.4.1 变更估价原则</w:t>
      </w:r>
    </w:p>
    <w:p w14:paraId="324B45AE">
      <w:pPr>
        <w:pStyle w:val="2"/>
        <w:spacing w:after="0"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当发生工程变更时，工程量按</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规定的计算规则及已标价工程量清单规定的工程量计算规则计量，按以下办法计价：</w:t>
      </w:r>
      <w:bookmarkStart w:id="888" w:name="_Hlk524770102"/>
    </w:p>
    <w:bookmarkEnd w:id="888"/>
    <w:p w14:paraId="4EE1D7D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10.4.1.1已标价工程量清单中有相同项目的，按照相同项目单价计算；</w:t>
      </w:r>
    </w:p>
    <w:p w14:paraId="3F92451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10.4.1.2已标价工程量清单中有类似项目的，参考类似项目单价计算；</w:t>
      </w:r>
    </w:p>
    <w:p w14:paraId="519780A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10.4.1.3已标价工程量清单中无相同项目亦无类似项目的，按照以下原则执行：</w:t>
      </w:r>
    </w:p>
    <w:p w14:paraId="24B9FD3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eastAsia="宋体" w:cs="宋体"/>
          <w:color w:val="auto"/>
          <w:sz w:val="18"/>
          <w:szCs w:val="18"/>
          <w:highlight w:val="none"/>
        </w:rPr>
        <w:t>。</w:t>
      </w:r>
    </w:p>
    <w:p w14:paraId="7135045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承包人报价浮动率按下列公式计算：承包人报价浮动率=（1-</w:t>
      </w:r>
      <w:r>
        <w:rPr>
          <w:rFonts w:hint="eastAsia" w:ascii="宋体" w:hAnsi="宋体" w:eastAsia="宋体" w:cs="宋体"/>
          <w:color w:val="auto"/>
          <w:sz w:val="18"/>
          <w:szCs w:val="18"/>
          <w:highlight w:val="none"/>
          <w:lang w:eastAsia="zh-CN"/>
        </w:rPr>
        <w:t>中选</w:t>
      </w:r>
      <w:r>
        <w:rPr>
          <w:rFonts w:hint="eastAsia" w:ascii="宋体" w:hAnsi="宋体" w:eastAsia="宋体" w:cs="宋体"/>
          <w:color w:val="auto"/>
          <w:sz w:val="18"/>
          <w:szCs w:val="18"/>
          <w:highlight w:val="none"/>
        </w:rPr>
        <w:t>价/最高限价）×100%。</w:t>
      </w:r>
    </w:p>
    <w:p w14:paraId="4FD29B3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（1）人工单价：按开标当期《重庆工程造价信息》发布的项目所在地的人工单价执行。</w:t>
      </w:r>
    </w:p>
    <w:p w14:paraId="07778E3C">
      <w:pPr>
        <w:spacing w:line="360" w:lineRule="auto"/>
        <w:ind w:firstLine="360" w:firstLineChars="200"/>
        <w:jc w:val="left"/>
        <w:rPr>
          <w:rFonts w:hint="eastAsia" w:ascii="宋体" w:hAnsi="宋体" w:eastAsia="宋体" w:cs="宋体"/>
          <w:color w:val="auto"/>
          <w:sz w:val="18"/>
          <w:szCs w:val="18"/>
          <w:highlight w:val="none"/>
        </w:rPr>
      </w:pPr>
      <w:bookmarkStart w:id="889" w:name="_Hlk529023896"/>
      <w:r>
        <w:rPr>
          <w:rFonts w:hint="eastAsia" w:ascii="宋体" w:hAnsi="宋体" w:eastAsia="宋体" w:cs="宋体"/>
          <w:color w:val="auto"/>
          <w:sz w:val="18"/>
          <w:szCs w:val="18"/>
          <w:highlight w:val="none"/>
        </w:rPr>
        <w:t>（2）材料单价：</w:t>
      </w:r>
    </w:p>
    <w:p w14:paraId="41D647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①按</w:t>
      </w:r>
      <w:bookmarkStart w:id="890" w:name="_Hlk529023354"/>
      <w:r>
        <w:rPr>
          <w:rFonts w:hint="eastAsia" w:ascii="宋体" w:hAnsi="宋体" w:eastAsia="宋体" w:cs="宋体"/>
          <w:color w:val="auto"/>
          <w:sz w:val="18"/>
          <w:szCs w:val="18"/>
          <w:highlight w:val="none"/>
        </w:rPr>
        <w:t>开标当期《重庆工程造价信息》发布的项目所在地的信息价</w:t>
      </w:r>
      <w:bookmarkEnd w:id="890"/>
      <w:r>
        <w:rPr>
          <w:rFonts w:hint="eastAsia" w:ascii="宋体" w:hAnsi="宋体" w:eastAsia="宋体" w:cs="宋体"/>
          <w:color w:val="auto"/>
          <w:sz w:val="18"/>
          <w:szCs w:val="18"/>
          <w:highlight w:val="none"/>
        </w:rPr>
        <w:t>执行；</w:t>
      </w:r>
    </w:p>
    <w:p w14:paraId="2B54A57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②开标当期《重庆工程造价信息》中没有的，承包人</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报价中有的，按承包人</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报价中相同材料单价的最低值执行；</w:t>
      </w:r>
    </w:p>
    <w:p w14:paraId="08B33C3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③开标当期《重庆工程造价信息》和承包人</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报价没有的，由承包人申报、监理人会同跟审单位、发包人根据市场行情认质核价确定。</w:t>
      </w:r>
    </w:p>
    <w:bookmarkEnd w:id="889"/>
    <w:p w14:paraId="2DCE2E5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（3）企业管理费和利润：按承包人</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报价中相同工程分类的费用标准执行（</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报价中费用标准高于《重庆市建设工程费用定额》（CQFYDE-2018）费用标准的，按《重庆市建设工程费用定额》（CQFYDE-2018）费用标准执行）。</w:t>
      </w:r>
    </w:p>
    <w:p w14:paraId="148E9F6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（4）规费：按《重庆市建设工程费用定额》（CQFYDE-2018）费用标准进行计算。</w:t>
      </w:r>
    </w:p>
    <w:p w14:paraId="541CA9F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（5）税金：包含增值税、城市维护建设税、教育费附加、地方教育附加以及环境保护税。其中增值税按《重庆市建设工程费用定额》（CQFYDE-2018）规定及配套文件执行。</w:t>
      </w:r>
    </w:p>
    <w:p w14:paraId="0C010BF4">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2D5A3E5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本款补充10.4.3项：</w:t>
      </w:r>
    </w:p>
    <w:p w14:paraId="203A4C1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618F29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eastAsia="宋体" w:cs="宋体"/>
          <w:color w:val="auto"/>
          <w:sz w:val="18"/>
          <w:szCs w:val="18"/>
          <w:highlight w:val="none"/>
        </w:rPr>
        <w:t>；</w:t>
      </w:r>
    </w:p>
    <w:p w14:paraId="3AB8341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按照单价计算的措施项目费，应按照实际发生变化的措施项目，按照第10.4.1项〔变更估价原则〕约定执行</w:t>
      </w:r>
      <w:r>
        <w:rPr>
          <w:rFonts w:hint="eastAsia" w:ascii="宋体" w:hAnsi="宋体" w:eastAsia="宋体" w:cs="宋体"/>
          <w:color w:val="auto"/>
          <w:sz w:val="18"/>
          <w:szCs w:val="18"/>
          <w:highlight w:val="none"/>
        </w:rPr>
        <w:t>；</w:t>
      </w:r>
    </w:p>
    <w:p w14:paraId="3C3CBA8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u w:val="single"/>
        </w:rPr>
        <w:t>按总价（或系数）计算的措施项目费，应按照实际发生变化的措施项目费按承包人报价浮动率下浮后的金额计算</w:t>
      </w:r>
      <w:r>
        <w:rPr>
          <w:rFonts w:hint="eastAsia" w:ascii="宋体" w:hAnsi="宋体" w:eastAsia="宋体" w:cs="宋体"/>
          <w:color w:val="auto"/>
          <w:sz w:val="18"/>
          <w:szCs w:val="18"/>
          <w:highlight w:val="none"/>
        </w:rPr>
        <w:t>；</w:t>
      </w:r>
    </w:p>
    <w:p w14:paraId="50721968">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u w:val="single"/>
        </w:rPr>
        <w:t>如果承包人未事前将拟实施的方案提交给发包人确认，则应视为工程变更不引起措施项目费的调整或承包人放弃调整措施项目费的权利</w:t>
      </w:r>
      <w:r>
        <w:rPr>
          <w:rFonts w:hint="eastAsia" w:ascii="宋体" w:hAnsi="宋体" w:eastAsia="宋体" w:cs="宋体"/>
          <w:color w:val="auto"/>
          <w:sz w:val="18"/>
          <w:szCs w:val="18"/>
          <w:highlight w:val="none"/>
        </w:rPr>
        <w:t>。</w:t>
      </w:r>
    </w:p>
    <w:bookmarkEnd w:id="887"/>
    <w:p w14:paraId="6897888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891" w:name="_Toc532375639"/>
      <w:bookmarkStart w:id="892" w:name="_Toc532377375"/>
      <w:r>
        <w:rPr>
          <w:rFonts w:hint="eastAsia" w:ascii="宋体" w:hAnsi="宋体" w:eastAsia="宋体" w:cs="宋体"/>
          <w:color w:val="auto"/>
          <w:sz w:val="18"/>
          <w:szCs w:val="18"/>
          <w:highlight w:val="none"/>
        </w:rPr>
        <w:t>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Start w:id="893" w:name="_Toc296891237"/>
      <w:bookmarkStart w:id="894" w:name="_Toc303539150"/>
      <w:bookmarkStart w:id="895" w:name="_Toc297123544"/>
      <w:bookmarkStart w:id="896" w:name="_Toc296346698"/>
      <w:bookmarkStart w:id="897" w:name="_Toc296944536"/>
      <w:bookmarkStart w:id="898" w:name="_Toc296891025"/>
      <w:bookmarkStart w:id="899" w:name="_Toc297216203"/>
      <w:bookmarkStart w:id="900" w:name="_Toc300934993"/>
      <w:bookmarkStart w:id="901" w:name="_Toc296347196"/>
      <w:bookmarkStart w:id="902" w:name="_Toc292559402"/>
      <w:bookmarkStart w:id="903" w:name="_Toc296503197"/>
      <w:bookmarkStart w:id="904" w:name="_Toc297120497"/>
      <w:bookmarkStart w:id="905" w:name="_Toc297048383"/>
      <w:bookmarkStart w:id="906" w:name="_Toc292559907"/>
      <w:bookmarkStart w:id="907" w:name="_Toc304295570"/>
      <w:bookmarkStart w:id="908" w:name="_Toc312677503"/>
      <w:bookmarkStart w:id="909" w:name="_Toc312678029"/>
      <w:r>
        <w:rPr>
          <w:rFonts w:hint="eastAsia" w:ascii="宋体" w:hAnsi="宋体" w:eastAsia="宋体" w:cs="宋体"/>
          <w:color w:val="auto"/>
          <w:sz w:val="18"/>
          <w:szCs w:val="18"/>
          <w:highlight w:val="none"/>
        </w:rPr>
        <w:t>0.5承</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Start w:id="910" w:name="_Toc296891243"/>
      <w:bookmarkStart w:id="911" w:name="_Toc296347202"/>
      <w:bookmarkStart w:id="912" w:name="_Toc297120503"/>
      <w:bookmarkStart w:id="913" w:name="_Toc292559913"/>
      <w:bookmarkStart w:id="914" w:name="_Toc300934994"/>
      <w:bookmarkStart w:id="915" w:name="_Toc296503203"/>
      <w:bookmarkStart w:id="916" w:name="_Toc297216204"/>
      <w:bookmarkStart w:id="917" w:name="_Toc292559408"/>
      <w:bookmarkStart w:id="918" w:name="_Toc303539151"/>
      <w:bookmarkStart w:id="919" w:name="_Toc297048389"/>
      <w:bookmarkStart w:id="920" w:name="_Toc296944542"/>
      <w:bookmarkStart w:id="921" w:name="_Toc296891031"/>
      <w:bookmarkStart w:id="922" w:name="_Toc297123545"/>
      <w:bookmarkStart w:id="923" w:name="_Toc296346704"/>
      <w:r>
        <w:rPr>
          <w:rFonts w:hint="eastAsia" w:ascii="宋体" w:hAnsi="宋体" w:eastAsia="宋体" w:cs="宋体"/>
          <w:color w:val="auto"/>
          <w:sz w:val="18"/>
          <w:szCs w:val="18"/>
          <w:highlight w:val="none"/>
        </w:rPr>
        <w:t>包人的合理化建议</w:t>
      </w:r>
      <w:bookmarkEnd w:id="891"/>
      <w:bookmarkEnd w:id="892"/>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14:paraId="1D5210A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承包人提出合理化建议的，应向监理人提交合理化建议说明，说明建议的内容和理由，以及实施该建议对合同价格和（或）工期和（或）工程经济效益的影响。</w:t>
      </w:r>
    </w:p>
    <w:p w14:paraId="15D00C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监理人审查承包人合理化建议的期限：</w:t>
      </w:r>
      <w:r>
        <w:rPr>
          <w:rFonts w:hint="eastAsia" w:ascii="宋体" w:hAnsi="宋体" w:eastAsia="宋体" w:cs="宋体"/>
          <w:color w:val="auto"/>
          <w:sz w:val="18"/>
          <w:szCs w:val="18"/>
          <w:highlight w:val="none"/>
          <w:u w:val="single"/>
        </w:rPr>
        <w:t>不超过14天</w:t>
      </w:r>
      <w:r>
        <w:rPr>
          <w:rFonts w:hint="eastAsia" w:ascii="宋体" w:hAnsi="宋体" w:eastAsia="宋体" w:cs="宋体"/>
          <w:color w:val="auto"/>
          <w:sz w:val="18"/>
          <w:szCs w:val="18"/>
          <w:highlight w:val="none"/>
        </w:rPr>
        <w:t>。</w:t>
      </w:r>
    </w:p>
    <w:p w14:paraId="52C7722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发包人审批承包人合理化建议的期限：</w:t>
      </w:r>
      <w:r>
        <w:rPr>
          <w:rFonts w:hint="eastAsia" w:ascii="宋体" w:hAnsi="宋体" w:eastAsia="宋体" w:cs="宋体"/>
          <w:color w:val="auto"/>
          <w:sz w:val="18"/>
          <w:szCs w:val="18"/>
          <w:highlight w:val="none"/>
          <w:u w:val="single"/>
        </w:rPr>
        <w:t>不超过14天</w:t>
      </w:r>
      <w:r>
        <w:rPr>
          <w:rFonts w:hint="eastAsia" w:ascii="宋体" w:hAnsi="宋体" w:eastAsia="宋体" w:cs="宋体"/>
          <w:color w:val="auto"/>
          <w:sz w:val="18"/>
          <w:szCs w:val="18"/>
          <w:highlight w:val="none"/>
        </w:rPr>
        <w:t>。</w:t>
      </w:r>
    </w:p>
    <w:p w14:paraId="43293960">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w:t>
      </w:r>
      <w:bookmarkStart w:id="924" w:name="_Toc297123546"/>
      <w:bookmarkStart w:id="925" w:name="_Toc292559914"/>
      <w:bookmarkStart w:id="926" w:name="_Toc296346705"/>
      <w:bookmarkStart w:id="927" w:name="_Toc296944543"/>
      <w:bookmarkStart w:id="928" w:name="_Toc318581175"/>
      <w:bookmarkStart w:id="929" w:name="_Toc296347203"/>
      <w:bookmarkStart w:id="930" w:name="_Toc297216205"/>
      <w:bookmarkStart w:id="931" w:name="_Toc296503204"/>
      <w:bookmarkStart w:id="932" w:name="_Toc297120504"/>
      <w:bookmarkStart w:id="933" w:name="_Toc312677504"/>
      <w:bookmarkStart w:id="934" w:name="_Toc312678030"/>
      <w:bookmarkStart w:id="935" w:name="_Toc304295571"/>
      <w:bookmarkStart w:id="936" w:name="_Toc292559409"/>
      <w:bookmarkStart w:id="937" w:name="_Toc297048390"/>
      <w:bookmarkStart w:id="938" w:name="_Toc296891244"/>
      <w:bookmarkStart w:id="939" w:name="_Toc296891032"/>
      <w:bookmarkStart w:id="940" w:name="_Toc300934995"/>
      <w:bookmarkStart w:id="941" w:name="_Toc303539152"/>
      <w:r>
        <w:rPr>
          <w:rFonts w:hint="eastAsia" w:ascii="宋体" w:hAnsi="宋体" w:eastAsia="宋体" w:cs="宋体"/>
          <w:color w:val="auto"/>
          <w:sz w:val="18"/>
          <w:szCs w:val="18"/>
          <w:highlight w:val="none"/>
        </w:rPr>
        <w:t>包人提出的合理化建议降低了合同价格或缩短了工期或者提高了工程经济效益的奖励的方法和金额为：</w:t>
      </w:r>
      <w:r>
        <w:rPr>
          <w:rFonts w:hint="eastAsia" w:ascii="宋体" w:hAnsi="宋体" w:eastAsia="宋体" w:cs="宋体"/>
          <w:color w:val="auto"/>
          <w:sz w:val="18"/>
          <w:szCs w:val="18"/>
          <w:highlight w:val="none"/>
          <w:u w:val="single"/>
        </w:rPr>
        <w:t>合理化建议带来经济效益的5～10 %</w:t>
      </w:r>
      <w:r>
        <w:rPr>
          <w:rFonts w:hint="eastAsia" w:ascii="宋体" w:hAnsi="宋体" w:eastAsia="宋体" w:cs="宋体"/>
          <w:color w:val="auto"/>
          <w:sz w:val="18"/>
          <w:szCs w:val="18"/>
          <w:highlight w:val="none"/>
        </w:rPr>
        <w:t>。</w:t>
      </w:r>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14:paraId="4519E74C">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942" w:name="_Toc532375640"/>
      <w:bookmarkStart w:id="943" w:name="_Toc532377376"/>
      <w:r>
        <w:rPr>
          <w:rFonts w:hint="eastAsia" w:ascii="宋体" w:hAnsi="宋体" w:eastAsia="宋体" w:cs="宋体"/>
          <w:color w:val="auto"/>
          <w:sz w:val="18"/>
          <w:szCs w:val="18"/>
          <w:highlight w:val="none"/>
        </w:rPr>
        <w:t>1</w:t>
      </w:r>
      <w:bookmarkStart w:id="944" w:name="_Toc304295574"/>
      <w:bookmarkStart w:id="945" w:name="_Toc297120499"/>
      <w:bookmarkStart w:id="946" w:name="_Toc292559404"/>
      <w:bookmarkStart w:id="947" w:name="_Toc296346700"/>
      <w:bookmarkStart w:id="948" w:name="_Toc297048385"/>
      <w:bookmarkStart w:id="949" w:name="_Toc297216207"/>
      <w:bookmarkStart w:id="950" w:name="_Toc312677507"/>
      <w:bookmarkStart w:id="951" w:name="_Toc312678033"/>
      <w:bookmarkStart w:id="952" w:name="_Toc300934997"/>
      <w:bookmarkStart w:id="953" w:name="_Toc296891027"/>
      <w:bookmarkStart w:id="954" w:name="_Toc296891239"/>
      <w:bookmarkStart w:id="955" w:name="_Toc297123548"/>
      <w:bookmarkStart w:id="956" w:name="_Toc292559909"/>
      <w:bookmarkStart w:id="957" w:name="_Toc296944538"/>
      <w:bookmarkStart w:id="958" w:name="_Toc303539154"/>
      <w:bookmarkStart w:id="959" w:name="_Toc296347198"/>
      <w:bookmarkStart w:id="960" w:name="_Toc296503199"/>
      <w:r>
        <w:rPr>
          <w:rFonts w:hint="eastAsia" w:ascii="宋体" w:hAnsi="宋体" w:eastAsia="宋体" w:cs="宋体"/>
          <w:color w:val="auto"/>
          <w:sz w:val="18"/>
          <w:szCs w:val="18"/>
          <w:highlight w:val="none"/>
        </w:rPr>
        <w:t>0.7 暂估价</w:t>
      </w:r>
      <w:bookmarkEnd w:id="942"/>
      <w:bookmarkEnd w:id="943"/>
    </w:p>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14:paraId="1E2D551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专业工程暂估价：</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万元。</w:t>
      </w:r>
    </w:p>
    <w:p w14:paraId="5A652BB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单项合同估算价在国家相关法律法规规定必须</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规模以下的，符合可以不</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5F65ED57">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单项合同暂估价在国家相关法律法规规定必须</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规模以上的，需依法必须</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的，由承包人、发包人共同</w:t>
      </w:r>
      <w:r>
        <w:rPr>
          <w:rFonts w:hint="eastAsia" w:ascii="宋体" w:hAnsi="宋体" w:eastAsia="宋体" w:cs="宋体"/>
          <w:color w:val="auto"/>
          <w:sz w:val="18"/>
          <w:szCs w:val="18"/>
          <w:highlight w:val="none"/>
          <w:lang w:eastAsia="zh-CN"/>
        </w:rPr>
        <w:t>比选</w:t>
      </w:r>
      <w:r>
        <w:rPr>
          <w:rFonts w:hint="eastAsia" w:ascii="宋体" w:hAnsi="宋体" w:eastAsia="宋体" w:cs="宋体"/>
          <w:color w:val="auto"/>
          <w:sz w:val="18"/>
          <w:szCs w:val="18"/>
          <w:highlight w:val="none"/>
        </w:rPr>
        <w:t>确定。</w:t>
      </w:r>
    </w:p>
    <w:p w14:paraId="7F654C7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961" w:name="_Toc532377377"/>
      <w:bookmarkStart w:id="962" w:name="_Toc532375641"/>
      <w:r>
        <w:rPr>
          <w:rFonts w:hint="eastAsia" w:ascii="宋体" w:hAnsi="宋体" w:eastAsia="宋体" w:cs="宋体"/>
          <w:color w:val="auto"/>
          <w:sz w:val="18"/>
          <w:szCs w:val="18"/>
          <w:highlight w:val="none"/>
        </w:rPr>
        <w:t>10.8 暂列金额</w:t>
      </w:r>
      <w:bookmarkEnd w:id="961"/>
      <w:bookmarkEnd w:id="962"/>
    </w:p>
    <w:p w14:paraId="590C73ED">
      <w:pPr>
        <w:autoSpaceDE w:val="0"/>
        <w:autoSpaceDN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合同当事人关于暂列金额使用的约定：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6525C2D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963" w:name="_Toc532377378"/>
      <w:bookmarkStart w:id="964" w:name="_Toc532375642"/>
      <w:bookmarkStart w:id="965" w:name="_Toc351203643"/>
      <w:r>
        <w:rPr>
          <w:rFonts w:hint="eastAsia" w:ascii="宋体" w:hAnsi="宋体" w:eastAsia="宋体" w:cs="宋体"/>
          <w:color w:val="auto"/>
          <w:kern w:val="2"/>
          <w:sz w:val="18"/>
          <w:szCs w:val="18"/>
          <w:highlight w:val="none"/>
        </w:rPr>
        <w:t>11. 价格调整</w:t>
      </w:r>
      <w:bookmarkEnd w:id="963"/>
      <w:bookmarkEnd w:id="964"/>
      <w:bookmarkEnd w:id="965"/>
    </w:p>
    <w:p w14:paraId="326AC0EA">
      <w:pPr>
        <w:pStyle w:val="7"/>
        <w:spacing w:before="0" w:beforeAutospacing="0" w:after="0" w:afterAutospacing="0" w:line="360" w:lineRule="auto"/>
        <w:ind w:firstLine="361" w:firstLineChars="200"/>
        <w:rPr>
          <w:rFonts w:hint="default" w:ascii="宋体" w:hAnsi="宋体" w:eastAsia="宋体" w:cs="宋体"/>
          <w:color w:val="auto"/>
          <w:sz w:val="18"/>
          <w:szCs w:val="18"/>
          <w:highlight w:val="none"/>
          <w:lang w:val="en-US" w:eastAsia="zh-CN"/>
        </w:rPr>
      </w:pPr>
      <w:bookmarkStart w:id="966" w:name="_Toc532377379"/>
      <w:bookmarkStart w:id="967" w:name="_Toc532375643"/>
      <w:bookmarkStart w:id="968" w:name="_Toc312678039"/>
      <w:bookmarkStart w:id="969" w:name="_Toc296503201"/>
      <w:bookmarkStart w:id="970" w:name="_Toc296891241"/>
      <w:bookmarkStart w:id="971" w:name="_Toc296944540"/>
      <w:bookmarkStart w:id="972" w:name="_Toc296347200"/>
      <w:bookmarkStart w:id="973" w:name="_Toc292559406"/>
      <w:bookmarkStart w:id="974" w:name="_Toc296891029"/>
      <w:bookmarkStart w:id="975" w:name="_Toc303539157"/>
      <w:bookmarkStart w:id="976" w:name="_Toc297123550"/>
      <w:bookmarkStart w:id="977" w:name="_Toc300935000"/>
      <w:bookmarkStart w:id="978" w:name="_Toc292559911"/>
      <w:bookmarkStart w:id="979" w:name="_Toc297048387"/>
      <w:bookmarkStart w:id="980" w:name="_Toc296346702"/>
      <w:bookmarkStart w:id="981" w:name="_Toc297120501"/>
      <w:bookmarkStart w:id="982" w:name="_Toc304295577"/>
      <w:bookmarkStart w:id="983" w:name="_Toc297216209"/>
      <w:r>
        <w:rPr>
          <w:rFonts w:hint="eastAsia" w:ascii="宋体" w:hAnsi="宋体" w:eastAsia="宋体" w:cs="宋体"/>
          <w:color w:val="auto"/>
          <w:sz w:val="18"/>
          <w:szCs w:val="18"/>
          <w:highlight w:val="none"/>
        </w:rPr>
        <w:t>11.1 市场价格波动引起的调整</w:t>
      </w:r>
      <w:bookmarkEnd w:id="966"/>
      <w:bookmarkEnd w:id="967"/>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不予调整。</w:t>
      </w:r>
    </w:p>
    <w:bookmarkEnd w:id="846"/>
    <w:bookmarkEnd w:id="847"/>
    <w:bookmarkEnd w:id="848"/>
    <w:bookmarkEnd w:id="849"/>
    <w:bookmarkEnd w:id="850"/>
    <w:bookmarkEnd w:id="8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14:paraId="159B7DC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984" w:name="_Toc532375644"/>
      <w:bookmarkStart w:id="985" w:name="_Toc532377380"/>
      <w:bookmarkStart w:id="986" w:name="_Hlk528928232"/>
      <w:bookmarkStart w:id="987" w:name="_Toc296346706"/>
      <w:bookmarkStart w:id="988" w:name="_Toc297120505"/>
      <w:bookmarkStart w:id="989" w:name="_Toc292559915"/>
      <w:bookmarkStart w:id="990" w:name="_Toc296944544"/>
      <w:bookmarkStart w:id="991" w:name="_Toc296503205"/>
      <w:bookmarkStart w:id="992" w:name="_Toc296891245"/>
      <w:bookmarkStart w:id="993" w:name="_Toc296891033"/>
      <w:bookmarkStart w:id="994" w:name="_Toc296347204"/>
      <w:bookmarkStart w:id="995" w:name="_Toc297048391"/>
      <w:bookmarkStart w:id="996" w:name="_Toc292559410"/>
      <w:bookmarkStart w:id="997" w:name="_Toc351203644"/>
      <w:bookmarkStart w:id="998" w:name="_Toc297216211"/>
      <w:bookmarkStart w:id="999" w:name="_Toc300935002"/>
      <w:bookmarkStart w:id="1000" w:name="_Toc304295579"/>
      <w:bookmarkStart w:id="1001" w:name="_Toc303539159"/>
      <w:bookmarkStart w:id="1002" w:name="_Toc297123552"/>
      <w:bookmarkStart w:id="1003" w:name="_Toc312678040"/>
      <w:r>
        <w:rPr>
          <w:rFonts w:hint="eastAsia" w:ascii="宋体" w:hAnsi="宋体" w:eastAsia="宋体" w:cs="宋体"/>
          <w:color w:val="auto"/>
          <w:sz w:val="18"/>
          <w:szCs w:val="18"/>
          <w:highlight w:val="none"/>
        </w:rPr>
        <w:t>11.2 法律变化引起的调整</w:t>
      </w:r>
      <w:bookmarkEnd w:id="984"/>
      <w:bookmarkEnd w:id="985"/>
    </w:p>
    <w:p w14:paraId="3630AFA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76EB9B2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本条补充11.3款</w:t>
      </w:r>
    </w:p>
    <w:bookmarkEnd w:id="986"/>
    <w:p w14:paraId="4B55C2D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004" w:name="_Toc532375645"/>
      <w:bookmarkStart w:id="1005" w:name="_Toc532377381"/>
      <w:r>
        <w:rPr>
          <w:rFonts w:hint="eastAsia" w:ascii="宋体" w:hAnsi="宋体" w:eastAsia="宋体" w:cs="宋体"/>
          <w:color w:val="auto"/>
          <w:sz w:val="18"/>
          <w:szCs w:val="18"/>
          <w:highlight w:val="none"/>
        </w:rPr>
        <w:t>11.3 严重不平衡报价引起的调整</w:t>
      </w:r>
      <w:bookmarkEnd w:id="1004"/>
      <w:bookmarkEnd w:id="1005"/>
    </w:p>
    <w:p w14:paraId="1EC1A8B7">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eastAsia="宋体" w:cs="宋体"/>
          <w:color w:val="auto"/>
          <w:sz w:val="18"/>
          <w:szCs w:val="18"/>
          <w:highlight w:val="none"/>
        </w:rPr>
        <w:t>。</w:t>
      </w:r>
    </w:p>
    <w:p w14:paraId="2DF81662">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eastAsia="宋体" w:cs="宋体"/>
          <w:color w:val="auto"/>
          <w:sz w:val="18"/>
          <w:szCs w:val="18"/>
          <w:highlight w:val="none"/>
        </w:rPr>
        <w:t>。</w:t>
      </w:r>
    </w:p>
    <w:p w14:paraId="5B712DA8">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006" w:name="_Toc532377382"/>
      <w:bookmarkStart w:id="1007" w:name="_Toc532375646"/>
      <w:r>
        <w:rPr>
          <w:rFonts w:hint="eastAsia" w:ascii="宋体" w:hAnsi="宋体" w:eastAsia="宋体" w:cs="宋体"/>
          <w:color w:val="auto"/>
          <w:kern w:val="2"/>
          <w:sz w:val="18"/>
          <w:szCs w:val="18"/>
          <w:highlight w:val="none"/>
        </w:rPr>
        <w:t xml:space="preserve">12. </w:t>
      </w:r>
      <w:bookmarkEnd w:id="987"/>
      <w:bookmarkEnd w:id="988"/>
      <w:bookmarkEnd w:id="989"/>
      <w:bookmarkEnd w:id="990"/>
      <w:bookmarkEnd w:id="991"/>
      <w:bookmarkEnd w:id="992"/>
      <w:bookmarkEnd w:id="993"/>
      <w:bookmarkEnd w:id="994"/>
      <w:bookmarkEnd w:id="995"/>
      <w:bookmarkEnd w:id="996"/>
      <w:r>
        <w:rPr>
          <w:rFonts w:hint="eastAsia" w:ascii="宋体" w:hAnsi="宋体" w:eastAsia="宋体" w:cs="宋体"/>
          <w:color w:val="auto"/>
          <w:kern w:val="2"/>
          <w:sz w:val="18"/>
          <w:szCs w:val="18"/>
          <w:highlight w:val="none"/>
        </w:rPr>
        <w:t>合同价格、计量与支付</w:t>
      </w:r>
      <w:bookmarkEnd w:id="997"/>
      <w:bookmarkEnd w:id="1006"/>
      <w:bookmarkEnd w:id="1007"/>
    </w:p>
    <w:bookmarkEnd w:id="998"/>
    <w:bookmarkEnd w:id="999"/>
    <w:bookmarkEnd w:id="1000"/>
    <w:bookmarkEnd w:id="1001"/>
    <w:bookmarkEnd w:id="1002"/>
    <w:bookmarkEnd w:id="1003"/>
    <w:p w14:paraId="42B180B7">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008" w:name="_Toc267251461"/>
      <w:bookmarkStart w:id="1009" w:name="_Toc292559411"/>
      <w:bookmarkStart w:id="1010" w:name="_Toc292559916"/>
      <w:bookmarkStart w:id="1011" w:name="_Toc296944545"/>
      <w:bookmarkStart w:id="1012" w:name="_Toc296347205"/>
      <w:bookmarkStart w:id="1013" w:name="_Toc297120506"/>
      <w:bookmarkStart w:id="1014" w:name="_Toc296891246"/>
      <w:bookmarkStart w:id="1015" w:name="_Toc296503206"/>
      <w:bookmarkStart w:id="1016" w:name="_Toc297048392"/>
      <w:bookmarkStart w:id="1017" w:name="_Toc296891034"/>
      <w:bookmarkStart w:id="1018" w:name="_Toc296346707"/>
      <w:bookmarkStart w:id="1019" w:name="_Toc532375647"/>
      <w:bookmarkStart w:id="1020" w:name="_Toc532377383"/>
      <w:bookmarkStart w:id="1021" w:name="_Toc304295580"/>
      <w:bookmarkStart w:id="1022" w:name="_Toc297123553"/>
      <w:bookmarkStart w:id="1023" w:name="_Toc312678041"/>
      <w:bookmarkStart w:id="1024" w:name="_Toc303539160"/>
      <w:bookmarkStart w:id="1025" w:name="_Toc297216212"/>
      <w:bookmarkStart w:id="1026" w:name="_Toc300935003"/>
      <w:r>
        <w:rPr>
          <w:rFonts w:hint="eastAsia" w:ascii="宋体" w:hAnsi="宋体" w:eastAsia="宋体" w:cs="宋体"/>
          <w:color w:val="auto"/>
          <w:sz w:val="18"/>
          <w:szCs w:val="18"/>
          <w:highlight w:val="none"/>
        </w:rPr>
        <w:t>12.1 合</w:t>
      </w:r>
      <w:bookmarkEnd w:id="1008"/>
      <w:bookmarkEnd w:id="1009"/>
      <w:bookmarkEnd w:id="1010"/>
      <w:r>
        <w:rPr>
          <w:rFonts w:hint="eastAsia" w:ascii="宋体" w:hAnsi="宋体" w:eastAsia="宋体" w:cs="宋体"/>
          <w:color w:val="auto"/>
          <w:sz w:val="18"/>
          <w:szCs w:val="18"/>
          <w:highlight w:val="none"/>
        </w:rPr>
        <w:t>同价</w:t>
      </w:r>
      <w:bookmarkEnd w:id="1011"/>
      <w:bookmarkEnd w:id="1012"/>
      <w:bookmarkEnd w:id="1013"/>
      <w:bookmarkEnd w:id="1014"/>
      <w:bookmarkEnd w:id="1015"/>
      <w:bookmarkEnd w:id="1016"/>
      <w:bookmarkEnd w:id="1017"/>
      <w:bookmarkEnd w:id="1018"/>
      <w:r>
        <w:rPr>
          <w:rFonts w:hint="eastAsia" w:ascii="宋体" w:hAnsi="宋体" w:eastAsia="宋体" w:cs="宋体"/>
          <w:color w:val="auto"/>
          <w:sz w:val="18"/>
          <w:szCs w:val="18"/>
          <w:highlight w:val="none"/>
        </w:rPr>
        <w:t>格形式</w:t>
      </w:r>
      <w:bookmarkEnd w:id="1019"/>
      <w:bookmarkEnd w:id="1020"/>
    </w:p>
    <w:bookmarkEnd w:id="1021"/>
    <w:bookmarkEnd w:id="1022"/>
    <w:bookmarkEnd w:id="1023"/>
    <w:bookmarkEnd w:id="1024"/>
    <w:bookmarkEnd w:id="1025"/>
    <w:bookmarkEnd w:id="1026"/>
    <w:p w14:paraId="0EE0AC0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1、单价合同。</w:t>
      </w:r>
    </w:p>
    <w:p w14:paraId="71B7CBBA">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综合单价包含的风险范围：</w:t>
      </w:r>
      <w:r>
        <w:rPr>
          <w:rFonts w:hint="eastAsia" w:ascii="宋体" w:hAnsi="宋体" w:eastAsia="宋体" w:cs="宋体"/>
          <w:color w:val="auto"/>
          <w:sz w:val="18"/>
          <w:szCs w:val="18"/>
          <w:highlight w:val="none"/>
          <w:u w:val="single"/>
        </w:rPr>
        <w:t>包括但不限于为实施和完成合同工程所需的人工费、材料费、施工机具使用费、企业管理费、利润、风险费、施工技术措施项目费、施工组织措施项目费及缺陷修复等费用，以及</w:t>
      </w:r>
      <w:bookmarkStart w:id="1027" w:name="_Hlk528508096"/>
      <w:r>
        <w:rPr>
          <w:rFonts w:hint="eastAsia" w:ascii="宋体" w:hAnsi="宋体" w:eastAsia="宋体" w:cs="宋体"/>
          <w:color w:val="auto"/>
          <w:sz w:val="18"/>
          <w:szCs w:val="18"/>
          <w:highlight w:val="none"/>
          <w:u w:val="single"/>
        </w:rPr>
        <w:t>第11.1款〔市场价格波动引起的调整〕约定范围内的市场价格波动风险、政策性文件规定的各项应有费用、</w:t>
      </w:r>
      <w:bookmarkEnd w:id="1027"/>
      <w:r>
        <w:rPr>
          <w:rFonts w:hint="eastAsia" w:ascii="宋体" w:hAnsi="宋体" w:eastAsia="宋体" w:cs="宋体"/>
          <w:color w:val="auto"/>
          <w:sz w:val="18"/>
          <w:szCs w:val="18"/>
          <w:highlight w:val="none"/>
          <w:u w:val="single"/>
        </w:rPr>
        <w:t>竞争性</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文件和合同明示或暗示的应由承包人承担的所有责任、义务和风险等所需的费用</w:t>
      </w:r>
      <w:r>
        <w:rPr>
          <w:rFonts w:hint="eastAsia" w:ascii="宋体" w:hAnsi="宋体" w:eastAsia="宋体" w:cs="宋体"/>
          <w:color w:val="auto"/>
          <w:sz w:val="18"/>
          <w:szCs w:val="18"/>
          <w:highlight w:val="none"/>
        </w:rPr>
        <w:t>。</w:t>
      </w:r>
    </w:p>
    <w:p w14:paraId="27BE5B96">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风险费用的计算方法：</w:t>
      </w:r>
      <w:r>
        <w:rPr>
          <w:rFonts w:hint="eastAsia" w:ascii="宋体" w:hAnsi="宋体" w:eastAsia="宋体" w:cs="宋体"/>
          <w:color w:val="auto"/>
          <w:sz w:val="18"/>
          <w:szCs w:val="18"/>
          <w:highlight w:val="none"/>
          <w:u w:val="single"/>
        </w:rPr>
        <w:t>由承包人自行考虑并计入签约合同价格中，包干使用</w:t>
      </w:r>
      <w:r>
        <w:rPr>
          <w:rFonts w:hint="eastAsia" w:ascii="宋体" w:hAnsi="宋体" w:eastAsia="宋体" w:cs="宋体"/>
          <w:color w:val="auto"/>
          <w:sz w:val="18"/>
          <w:szCs w:val="18"/>
          <w:highlight w:val="none"/>
        </w:rPr>
        <w:t>。</w:t>
      </w:r>
    </w:p>
    <w:p w14:paraId="4CB69A04">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风险范围以外合同价格的调整方法：</w:t>
      </w:r>
      <w:r>
        <w:rPr>
          <w:rFonts w:hint="eastAsia" w:ascii="宋体" w:hAnsi="宋体" w:eastAsia="宋体" w:cs="宋体"/>
          <w:color w:val="auto"/>
          <w:sz w:val="18"/>
          <w:szCs w:val="18"/>
          <w:highlight w:val="none"/>
          <w:u w:val="single"/>
        </w:rPr>
        <w:t>按照合同相关条款约定执行</w:t>
      </w:r>
      <w:r>
        <w:rPr>
          <w:rFonts w:hint="eastAsia" w:ascii="宋体" w:hAnsi="宋体" w:eastAsia="宋体" w:cs="宋体"/>
          <w:color w:val="auto"/>
          <w:sz w:val="18"/>
          <w:szCs w:val="18"/>
          <w:highlight w:val="none"/>
        </w:rPr>
        <w:t>。</w:t>
      </w:r>
    </w:p>
    <w:p w14:paraId="33C0B6E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3、其他价格方式：</w:t>
      </w:r>
      <w:r>
        <w:rPr>
          <w:rFonts w:hint="eastAsia" w:ascii="宋体" w:hAnsi="宋体" w:eastAsia="宋体" w:cs="宋体"/>
          <w:color w:val="auto"/>
          <w:sz w:val="18"/>
          <w:szCs w:val="18"/>
          <w:highlight w:val="none"/>
          <w:u w:val="single"/>
        </w:rPr>
        <w:t>不采用</w:t>
      </w:r>
      <w:r>
        <w:rPr>
          <w:rFonts w:hint="eastAsia" w:ascii="宋体" w:hAnsi="宋体" w:eastAsia="宋体" w:cs="宋体"/>
          <w:color w:val="auto"/>
          <w:sz w:val="18"/>
          <w:szCs w:val="18"/>
          <w:highlight w:val="none"/>
        </w:rPr>
        <w:t>。</w:t>
      </w:r>
    </w:p>
    <w:p w14:paraId="307C38C3">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028" w:name="_Toc532377384"/>
      <w:bookmarkStart w:id="1029" w:name="_Toc532375648"/>
      <w:bookmarkStart w:id="1030" w:name="_Toc297216213"/>
      <w:bookmarkStart w:id="1031" w:name="_Toc303539161"/>
      <w:bookmarkStart w:id="1032" w:name="_Toc300935004"/>
      <w:bookmarkStart w:id="1033" w:name="_Toc304295581"/>
      <w:bookmarkStart w:id="1034" w:name="_Toc297123554"/>
      <w:bookmarkStart w:id="1035" w:name="_Toc312678042"/>
      <w:bookmarkStart w:id="1036" w:name="_Toc292559917"/>
      <w:bookmarkStart w:id="1037" w:name="_Toc296503207"/>
      <w:bookmarkStart w:id="1038" w:name="_Toc296347206"/>
      <w:bookmarkStart w:id="1039" w:name="_Toc297048393"/>
      <w:bookmarkStart w:id="1040" w:name="_Toc292559412"/>
      <w:bookmarkStart w:id="1041" w:name="_Toc296944546"/>
      <w:bookmarkStart w:id="1042" w:name="_Toc296891247"/>
      <w:bookmarkStart w:id="1043" w:name="_Toc297120507"/>
      <w:bookmarkStart w:id="1044" w:name="_Toc296891035"/>
      <w:bookmarkStart w:id="1045" w:name="_Toc296346708"/>
      <w:r>
        <w:rPr>
          <w:rFonts w:hint="eastAsia" w:ascii="宋体" w:hAnsi="宋体" w:eastAsia="宋体" w:cs="宋体"/>
          <w:color w:val="auto"/>
          <w:sz w:val="18"/>
          <w:szCs w:val="18"/>
          <w:highlight w:val="none"/>
        </w:rPr>
        <w:t>12.2 预付款</w:t>
      </w:r>
      <w:bookmarkEnd w:id="1028"/>
      <w:bookmarkEnd w:id="1029"/>
    </w:p>
    <w:bookmarkEnd w:id="1030"/>
    <w:bookmarkEnd w:id="1031"/>
    <w:bookmarkEnd w:id="1032"/>
    <w:bookmarkEnd w:id="1033"/>
    <w:bookmarkEnd w:id="1034"/>
    <w:bookmarkEnd w:id="1035"/>
    <w:p w14:paraId="2665D9B7">
      <w:pPr>
        <w:spacing w:line="360" w:lineRule="auto"/>
        <w:ind w:firstLine="360" w:firstLineChars="200"/>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12.2.1 预付款的支付</w:t>
      </w:r>
      <w:bookmarkEnd w:id="1036"/>
      <w:bookmarkEnd w:id="1037"/>
      <w:bookmarkEnd w:id="1038"/>
      <w:bookmarkEnd w:id="1039"/>
      <w:bookmarkEnd w:id="1040"/>
      <w:bookmarkEnd w:id="1041"/>
      <w:bookmarkEnd w:id="1042"/>
      <w:bookmarkEnd w:id="1043"/>
      <w:bookmarkEnd w:id="1044"/>
      <w:bookmarkEnd w:id="1045"/>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本项目不支付预付款。</w:t>
      </w:r>
    </w:p>
    <w:p w14:paraId="36B1223E">
      <w:pPr>
        <w:rPr>
          <w:rFonts w:hint="eastAsia"/>
        </w:rPr>
      </w:pPr>
    </w:p>
    <w:p w14:paraId="51BCBFA1">
      <w:pPr>
        <w:spacing w:line="360" w:lineRule="auto"/>
        <w:ind w:firstLine="360" w:firstLineChars="200"/>
        <w:jc w:val="left"/>
        <w:rPr>
          <w:rFonts w:hint="eastAsia" w:ascii="宋体" w:hAnsi="宋体" w:eastAsia="宋体" w:cs="宋体"/>
          <w:color w:val="auto"/>
          <w:sz w:val="18"/>
          <w:szCs w:val="18"/>
          <w:highlight w:val="none"/>
        </w:rPr>
      </w:pPr>
      <w:bookmarkStart w:id="1046" w:name="_Toc532377385"/>
      <w:bookmarkStart w:id="1047" w:name="_Toc532375649"/>
      <w:bookmarkStart w:id="1048" w:name="_Toc267251482"/>
      <w:bookmarkStart w:id="1049" w:name="_Toc267251485"/>
      <w:bookmarkStart w:id="1050" w:name="_Hlk524298112"/>
      <w:bookmarkStart w:id="1051" w:name="_Toc267251488"/>
      <w:bookmarkStart w:id="1052" w:name="_Toc267251490"/>
      <w:bookmarkStart w:id="1053" w:name="_Toc267251486"/>
      <w:bookmarkStart w:id="1054" w:name="_Toc267251489"/>
      <w:bookmarkStart w:id="1055" w:name="_Toc267251484"/>
      <w:bookmarkStart w:id="1056" w:name="_Toc267251494"/>
      <w:bookmarkStart w:id="1057" w:name="_Toc267251499"/>
      <w:bookmarkStart w:id="1058" w:name="_Toc267251491"/>
      <w:bookmarkStart w:id="1059" w:name="_Toc267251511"/>
      <w:bookmarkStart w:id="1060" w:name="_Toc267251508"/>
      <w:bookmarkStart w:id="1061" w:name="_Toc267251493"/>
      <w:bookmarkStart w:id="1062" w:name="_Toc267251506"/>
      <w:bookmarkStart w:id="1063" w:name="_Toc267251497"/>
      <w:bookmarkStart w:id="1064" w:name="_Toc267251498"/>
      <w:bookmarkStart w:id="1065" w:name="_Toc267251504"/>
      <w:bookmarkStart w:id="1066" w:name="_Toc267251513"/>
      <w:bookmarkStart w:id="1067" w:name="_Toc267251492"/>
      <w:bookmarkStart w:id="1068" w:name="_Toc267251495"/>
      <w:bookmarkStart w:id="1069" w:name="_Toc267251503"/>
      <w:bookmarkStart w:id="1070" w:name="_Toc267251515"/>
      <w:bookmarkStart w:id="1071" w:name="_Toc267251510"/>
      <w:bookmarkStart w:id="1072" w:name="_Toc267251496"/>
      <w:bookmarkStart w:id="1073" w:name="_Toc267251501"/>
      <w:bookmarkStart w:id="1074" w:name="_Toc267251509"/>
      <w:bookmarkStart w:id="1075" w:name="_Toc267251502"/>
      <w:bookmarkStart w:id="1076" w:name="_Toc267251507"/>
      <w:bookmarkStart w:id="1077" w:name="_Toc267251514"/>
      <w:r>
        <w:rPr>
          <w:rFonts w:hint="eastAsia" w:ascii="宋体" w:hAnsi="宋体" w:eastAsia="宋体" w:cs="宋体"/>
          <w:color w:val="auto"/>
          <w:sz w:val="18"/>
          <w:szCs w:val="18"/>
          <w:highlight w:val="none"/>
        </w:rPr>
        <w:t>12.3 计量</w:t>
      </w:r>
      <w:bookmarkEnd w:id="1046"/>
      <w:bookmarkEnd w:id="1047"/>
    </w:p>
    <w:p w14:paraId="259BC645">
      <w:pPr>
        <w:spacing w:line="360" w:lineRule="auto"/>
        <w:ind w:firstLine="360" w:firstLineChars="200"/>
        <w:jc w:val="left"/>
        <w:rPr>
          <w:rFonts w:hint="eastAsia" w:ascii="宋体" w:hAnsi="宋体" w:eastAsia="宋体" w:cs="宋体"/>
          <w:color w:val="auto"/>
          <w:sz w:val="18"/>
          <w:szCs w:val="18"/>
          <w:highlight w:val="none"/>
        </w:rPr>
      </w:pPr>
      <w:bookmarkStart w:id="1078" w:name="_Hlk528928260"/>
      <w:r>
        <w:rPr>
          <w:rFonts w:hint="eastAsia" w:ascii="宋体" w:hAnsi="宋体" w:eastAsia="宋体" w:cs="宋体"/>
          <w:color w:val="auto"/>
          <w:sz w:val="18"/>
          <w:szCs w:val="18"/>
          <w:highlight w:val="none"/>
        </w:rPr>
        <w:t>12.3.1 计量原则</w:t>
      </w:r>
    </w:p>
    <w:p w14:paraId="3F6A9AFF">
      <w:pPr>
        <w:tabs>
          <w:tab w:val="left" w:pos="1134"/>
        </w:tabs>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078"/>
    <w:p w14:paraId="2869A9A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12.3.2 计量周期</w:t>
      </w:r>
    </w:p>
    <w:p w14:paraId="68A825E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关于计量周期的约定：</w:t>
      </w:r>
      <w:r>
        <w:rPr>
          <w:rFonts w:hint="eastAsia" w:ascii="宋体" w:hAnsi="宋体" w:eastAsia="宋体" w:cs="宋体"/>
          <w:color w:val="auto"/>
          <w:sz w:val="18"/>
          <w:szCs w:val="18"/>
          <w:highlight w:val="none"/>
          <w:u w:val="single"/>
        </w:rPr>
        <w:t>按月计量根据具体项目实际情况可以按月、按进度、按节点等形式计量，按进度、按节点计量的参考按月计量原则执行）</w:t>
      </w:r>
      <w:r>
        <w:rPr>
          <w:rFonts w:hint="eastAsia" w:ascii="宋体" w:hAnsi="宋体" w:eastAsia="宋体" w:cs="宋体"/>
          <w:color w:val="auto"/>
          <w:sz w:val="18"/>
          <w:szCs w:val="18"/>
          <w:highlight w:val="none"/>
        </w:rPr>
        <w:t>。</w:t>
      </w:r>
    </w:p>
    <w:p w14:paraId="641396F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12.3.3 单价合同的计量</w:t>
      </w:r>
    </w:p>
    <w:p w14:paraId="5BDB934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关于单价合同计量的约定：</w:t>
      </w:r>
    </w:p>
    <w:p w14:paraId="0DB9C638">
      <w:pPr>
        <w:spacing w:line="360" w:lineRule="auto"/>
        <w:ind w:firstLine="360" w:firstLineChars="200"/>
        <w:jc w:val="left"/>
        <w:rPr>
          <w:rFonts w:hint="eastAsia" w:ascii="宋体" w:hAnsi="宋体" w:eastAsia="宋体" w:cs="宋体"/>
          <w:color w:val="auto"/>
          <w:sz w:val="18"/>
          <w:szCs w:val="18"/>
          <w:highlight w:val="none"/>
          <w:u w:val="single"/>
        </w:rPr>
      </w:pPr>
      <w:bookmarkStart w:id="1079" w:name="_Hlk528926162"/>
      <w:r>
        <w:rPr>
          <w:rFonts w:hint="eastAsia" w:ascii="宋体" w:hAnsi="宋体" w:eastAsia="宋体" w:cs="宋体"/>
          <w:color w:val="auto"/>
          <w:sz w:val="18"/>
          <w:szCs w:val="18"/>
          <w:highlight w:val="none"/>
          <w:u w:val="single"/>
        </w:rPr>
        <w:t>（1）承包人应于当月  日前向监理人报送上月已完成的工程量，并附进度付款申请单、已完成工程量报表和其他有关资料</w:t>
      </w:r>
      <w:r>
        <w:rPr>
          <w:rFonts w:hint="eastAsia" w:ascii="宋体" w:hAnsi="宋体" w:eastAsia="宋体" w:cs="宋体"/>
          <w:color w:val="auto"/>
          <w:sz w:val="18"/>
          <w:szCs w:val="18"/>
          <w:highlight w:val="none"/>
        </w:rPr>
        <w:t>。</w:t>
      </w:r>
    </w:p>
    <w:bookmarkEnd w:id="1079"/>
    <w:p w14:paraId="2CC51447">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18"/>
          <w:szCs w:val="18"/>
          <w:highlight w:val="none"/>
        </w:rPr>
        <w:t>。</w:t>
      </w:r>
    </w:p>
    <w:p w14:paraId="46703180">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18"/>
          <w:szCs w:val="18"/>
          <w:highlight w:val="none"/>
        </w:rPr>
        <w:t>。</w:t>
      </w:r>
    </w:p>
    <w:p w14:paraId="3260E9BB">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18"/>
          <w:szCs w:val="18"/>
          <w:highlight w:val="none"/>
        </w:rPr>
        <w:t>。</w:t>
      </w:r>
    </w:p>
    <w:p w14:paraId="4C8DFB3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12.3.4 总价合同的计量</w:t>
      </w:r>
    </w:p>
    <w:p w14:paraId="7AA6172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关于总价合同计量的约定：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75770F0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12.3.5总价合同采用支付分解表计量支付的，是否适用第12.3.4项〔总价合同的计量〕约定进行计量：</w:t>
      </w:r>
      <w:r>
        <w:rPr>
          <w:rFonts w:hint="eastAsia" w:ascii="宋体" w:hAnsi="宋体" w:eastAsia="宋体" w:cs="宋体"/>
          <w:color w:val="auto"/>
          <w:sz w:val="18"/>
          <w:szCs w:val="18"/>
          <w:highlight w:val="none"/>
          <w:u w:val="single"/>
        </w:rPr>
        <w:t>适用</w:t>
      </w:r>
      <w:r>
        <w:rPr>
          <w:rFonts w:hint="eastAsia" w:ascii="宋体" w:hAnsi="宋体" w:eastAsia="宋体" w:cs="宋体"/>
          <w:color w:val="auto"/>
          <w:sz w:val="18"/>
          <w:szCs w:val="18"/>
          <w:highlight w:val="none"/>
        </w:rPr>
        <w:t>。</w:t>
      </w:r>
    </w:p>
    <w:p w14:paraId="404B4A3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12.3.6 其他价格形式合同的计量</w:t>
      </w:r>
    </w:p>
    <w:p w14:paraId="3688215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其他价格形式的计量方式和程序：</w:t>
      </w:r>
      <w:r>
        <w:rPr>
          <w:rFonts w:hint="eastAsia" w:ascii="宋体" w:hAnsi="宋体" w:eastAsia="宋体" w:cs="宋体"/>
          <w:color w:val="auto"/>
          <w:sz w:val="18"/>
          <w:szCs w:val="18"/>
          <w:highlight w:val="none"/>
          <w:u w:val="single"/>
        </w:rPr>
        <w:t>不采用</w:t>
      </w:r>
      <w:r>
        <w:rPr>
          <w:rFonts w:hint="eastAsia" w:ascii="宋体" w:hAnsi="宋体" w:eastAsia="宋体" w:cs="宋体"/>
          <w:color w:val="auto"/>
          <w:sz w:val="18"/>
          <w:szCs w:val="18"/>
          <w:highlight w:val="none"/>
        </w:rPr>
        <w:t>。</w:t>
      </w:r>
    </w:p>
    <w:p w14:paraId="1F7FFF13">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080" w:name="_Toc532375650"/>
      <w:bookmarkStart w:id="1081" w:name="_Toc532377386"/>
      <w:bookmarkStart w:id="1082" w:name="_Hlk528928289"/>
      <w:r>
        <w:rPr>
          <w:rFonts w:hint="eastAsia" w:ascii="宋体" w:hAnsi="宋体" w:eastAsia="宋体" w:cs="宋体"/>
          <w:color w:val="auto"/>
          <w:sz w:val="18"/>
          <w:szCs w:val="18"/>
          <w:highlight w:val="none"/>
        </w:rPr>
        <w:t>12.4 工程进度款支付</w:t>
      </w:r>
      <w:bookmarkEnd w:id="1080"/>
      <w:bookmarkEnd w:id="1081"/>
    </w:p>
    <w:bookmarkEnd w:id="1082"/>
    <w:p w14:paraId="016A466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12.4.1 付款周期</w:t>
      </w:r>
    </w:p>
    <w:p w14:paraId="23FCC36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关于付款周期的约定：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03E215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12.4.2 进度付款申请单的编制</w:t>
      </w:r>
    </w:p>
    <w:p w14:paraId="351F682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进度付款申请单应包括下列内容：</w:t>
      </w:r>
    </w:p>
    <w:p w14:paraId="406742F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（1）截至本次付款周期已完成工作对应的金额</w:t>
      </w:r>
      <w:r>
        <w:rPr>
          <w:rFonts w:hint="eastAsia" w:ascii="宋体" w:hAnsi="宋体" w:eastAsia="宋体" w:cs="宋体"/>
          <w:color w:val="auto"/>
          <w:sz w:val="18"/>
          <w:szCs w:val="18"/>
          <w:highlight w:val="none"/>
        </w:rPr>
        <w:t>；</w:t>
      </w:r>
    </w:p>
    <w:p w14:paraId="7A17A2F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（2）根据第10条〔变更〕应增加和扣减的已审定变更金额</w:t>
      </w:r>
      <w:r>
        <w:rPr>
          <w:rFonts w:hint="eastAsia" w:ascii="宋体" w:hAnsi="宋体" w:eastAsia="宋体" w:cs="宋体"/>
          <w:color w:val="auto"/>
          <w:sz w:val="18"/>
          <w:szCs w:val="18"/>
          <w:highlight w:val="none"/>
        </w:rPr>
        <w:t>；</w:t>
      </w:r>
    </w:p>
    <w:p w14:paraId="01CF701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（3）根据第12.2款〔预付款〕约定应支付的预付款和扣减的返还预付款</w:t>
      </w:r>
      <w:r>
        <w:rPr>
          <w:rFonts w:hint="eastAsia" w:ascii="宋体" w:hAnsi="宋体" w:eastAsia="宋体" w:cs="宋体"/>
          <w:color w:val="auto"/>
          <w:sz w:val="18"/>
          <w:szCs w:val="18"/>
          <w:highlight w:val="none"/>
        </w:rPr>
        <w:t>；</w:t>
      </w:r>
    </w:p>
    <w:p w14:paraId="14CE8E5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（4）根据第15.3款〔质量保证金〕约定应扣减的质量保证金</w:t>
      </w:r>
      <w:r>
        <w:rPr>
          <w:rFonts w:hint="eastAsia" w:ascii="宋体" w:hAnsi="宋体" w:eastAsia="宋体" w:cs="宋体"/>
          <w:color w:val="auto"/>
          <w:sz w:val="18"/>
          <w:szCs w:val="18"/>
          <w:highlight w:val="none"/>
        </w:rPr>
        <w:t>；</w:t>
      </w:r>
    </w:p>
    <w:p w14:paraId="018C2F2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（5）根据第19条〔索赔〕应增加和扣减的已审定索赔金额</w:t>
      </w:r>
      <w:r>
        <w:rPr>
          <w:rFonts w:hint="eastAsia" w:ascii="宋体" w:hAnsi="宋体" w:eastAsia="宋体" w:cs="宋体"/>
          <w:color w:val="auto"/>
          <w:sz w:val="18"/>
          <w:szCs w:val="18"/>
          <w:highlight w:val="none"/>
        </w:rPr>
        <w:t>；</w:t>
      </w:r>
    </w:p>
    <w:p w14:paraId="1B95323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（6）根据第11条〔价格调整〕应增加和扣减的价格调整金额</w:t>
      </w:r>
      <w:r>
        <w:rPr>
          <w:rFonts w:hint="eastAsia" w:ascii="宋体" w:hAnsi="宋体" w:eastAsia="宋体" w:cs="宋体"/>
          <w:color w:val="auto"/>
          <w:sz w:val="18"/>
          <w:szCs w:val="18"/>
          <w:highlight w:val="none"/>
        </w:rPr>
        <w:t>；</w:t>
      </w:r>
    </w:p>
    <w:p w14:paraId="53D61B1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（7）对已签发的进度款支付证书中出现错误的修正，应在本次进度付款中支付或扣除的金额</w:t>
      </w:r>
      <w:r>
        <w:rPr>
          <w:rFonts w:hint="eastAsia" w:ascii="宋体" w:hAnsi="宋体" w:eastAsia="宋体" w:cs="宋体"/>
          <w:color w:val="auto"/>
          <w:sz w:val="18"/>
          <w:szCs w:val="18"/>
          <w:highlight w:val="none"/>
        </w:rPr>
        <w:t>；</w:t>
      </w:r>
    </w:p>
    <w:p w14:paraId="3EEAB66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（8）根据合同约定承包人应向发包人支付的违约金</w:t>
      </w:r>
      <w:r>
        <w:rPr>
          <w:rFonts w:hint="eastAsia" w:ascii="宋体" w:hAnsi="宋体" w:eastAsia="宋体" w:cs="宋体"/>
          <w:color w:val="auto"/>
          <w:sz w:val="18"/>
          <w:szCs w:val="18"/>
          <w:highlight w:val="none"/>
        </w:rPr>
        <w:t>；</w:t>
      </w:r>
    </w:p>
    <w:p w14:paraId="143537C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（9）根据合同约定发包人应向承包人支付的违约金和（或）奖励</w:t>
      </w:r>
      <w:r>
        <w:rPr>
          <w:rFonts w:hint="eastAsia" w:ascii="宋体" w:hAnsi="宋体" w:eastAsia="宋体" w:cs="宋体"/>
          <w:color w:val="auto"/>
          <w:sz w:val="18"/>
          <w:szCs w:val="18"/>
          <w:highlight w:val="none"/>
        </w:rPr>
        <w:t>；</w:t>
      </w:r>
    </w:p>
    <w:p w14:paraId="1EB2728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（10）根据合同约定应增加和扣减的其他金额</w:t>
      </w:r>
      <w:r>
        <w:rPr>
          <w:rFonts w:hint="eastAsia" w:ascii="宋体" w:hAnsi="宋体" w:eastAsia="宋体" w:cs="宋体"/>
          <w:color w:val="auto"/>
          <w:sz w:val="18"/>
          <w:szCs w:val="18"/>
          <w:highlight w:val="none"/>
        </w:rPr>
        <w:t>；</w:t>
      </w:r>
    </w:p>
    <w:p w14:paraId="714857E5">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（11）当月应支付的人工费（工资款）金额</w:t>
      </w:r>
      <w:r>
        <w:rPr>
          <w:rFonts w:hint="eastAsia" w:ascii="宋体" w:hAnsi="宋体" w:eastAsia="宋体" w:cs="宋体"/>
          <w:color w:val="auto"/>
          <w:sz w:val="18"/>
          <w:szCs w:val="18"/>
          <w:highlight w:val="none"/>
        </w:rPr>
        <w:t>。</w:t>
      </w:r>
    </w:p>
    <w:p w14:paraId="2492EE1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12.4.3 进度付款申请单的提交</w:t>
      </w:r>
    </w:p>
    <w:p w14:paraId="6BCE1746">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（1）单价合同进度付款申请单提交的约定：</w:t>
      </w:r>
      <w:r>
        <w:rPr>
          <w:rFonts w:hint="eastAsia" w:ascii="宋体" w:hAnsi="宋体" w:eastAsia="宋体" w:cs="宋体"/>
          <w:color w:val="auto"/>
          <w:sz w:val="18"/>
          <w:szCs w:val="18"/>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宋体"/>
          <w:color w:val="auto"/>
          <w:sz w:val="18"/>
          <w:szCs w:val="18"/>
          <w:highlight w:val="none"/>
        </w:rPr>
        <w:t>。</w:t>
      </w:r>
    </w:p>
    <w:p w14:paraId="16CD04B6">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（2）总价合同进度付款申请单提交的约定：</w:t>
      </w:r>
      <w:r>
        <w:rPr>
          <w:rFonts w:hint="eastAsia" w:ascii="宋体" w:hAnsi="宋体" w:eastAsia="宋体" w:cs="宋体"/>
          <w:color w:val="auto"/>
          <w:sz w:val="18"/>
          <w:szCs w:val="18"/>
          <w:highlight w:val="none"/>
          <w:u w:val="single"/>
          <w:lang w:val="en-US" w:eastAsia="zh-CN"/>
        </w:rPr>
        <w:t xml:space="preserve"> / </w:t>
      </w:r>
      <w:r>
        <w:rPr>
          <w:rFonts w:hint="eastAsia" w:ascii="宋体" w:hAnsi="宋体" w:eastAsia="宋体" w:cs="宋体"/>
          <w:color w:val="auto"/>
          <w:sz w:val="18"/>
          <w:szCs w:val="18"/>
          <w:highlight w:val="none"/>
        </w:rPr>
        <w:t>。</w:t>
      </w:r>
    </w:p>
    <w:p w14:paraId="116213E4">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（3）其他价格形式合同进度付款申请单提交的约定：</w:t>
      </w:r>
      <w:r>
        <w:rPr>
          <w:rFonts w:hint="eastAsia" w:ascii="宋体" w:hAnsi="宋体" w:eastAsia="宋体" w:cs="宋体"/>
          <w:color w:val="auto"/>
          <w:sz w:val="18"/>
          <w:szCs w:val="18"/>
          <w:highlight w:val="none"/>
          <w:u w:val="single"/>
        </w:rPr>
        <w:t>不采用</w:t>
      </w:r>
      <w:r>
        <w:rPr>
          <w:rFonts w:hint="eastAsia" w:ascii="宋体" w:hAnsi="宋体" w:eastAsia="宋体" w:cs="宋体"/>
          <w:color w:val="auto"/>
          <w:sz w:val="18"/>
          <w:szCs w:val="18"/>
          <w:highlight w:val="none"/>
        </w:rPr>
        <w:t>。</w:t>
      </w:r>
    </w:p>
    <w:p w14:paraId="192E97A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12.4.4 进度款审核和支付</w:t>
      </w:r>
    </w:p>
    <w:p w14:paraId="41EC40F2">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（1）监理人审查并报送发包人的期限：</w:t>
      </w:r>
      <w:r>
        <w:rPr>
          <w:rFonts w:hint="eastAsia" w:ascii="宋体" w:hAnsi="宋体" w:eastAsia="宋体" w:cs="宋体"/>
          <w:color w:val="auto"/>
          <w:sz w:val="18"/>
          <w:szCs w:val="18"/>
          <w:highlight w:val="none"/>
          <w:u w:val="single"/>
        </w:rPr>
        <w:t>收到完整资料后7天内</w:t>
      </w:r>
      <w:r>
        <w:rPr>
          <w:rFonts w:hint="eastAsia" w:ascii="宋体" w:hAnsi="宋体" w:eastAsia="宋体" w:cs="宋体"/>
          <w:color w:val="auto"/>
          <w:sz w:val="18"/>
          <w:szCs w:val="18"/>
          <w:highlight w:val="none"/>
        </w:rPr>
        <w:t>。</w:t>
      </w:r>
    </w:p>
    <w:p w14:paraId="0EAA0EA5">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发包人完成审批并签发进度款支付证书的期限：</w:t>
      </w:r>
      <w:r>
        <w:rPr>
          <w:rFonts w:hint="eastAsia" w:ascii="宋体" w:hAnsi="宋体" w:eastAsia="宋体" w:cs="宋体"/>
          <w:color w:val="auto"/>
          <w:sz w:val="18"/>
          <w:szCs w:val="18"/>
          <w:highlight w:val="none"/>
          <w:u w:val="single"/>
        </w:rPr>
        <w:t>发包人收到监理人报送资料后7天内完成审批并签发进度款支付证书</w:t>
      </w:r>
      <w:r>
        <w:rPr>
          <w:rFonts w:hint="eastAsia" w:ascii="宋体" w:hAnsi="宋体" w:eastAsia="宋体" w:cs="宋体"/>
          <w:color w:val="auto"/>
          <w:sz w:val="18"/>
          <w:szCs w:val="18"/>
          <w:highlight w:val="none"/>
        </w:rPr>
        <w:t>。</w:t>
      </w:r>
    </w:p>
    <w:p w14:paraId="288DBFA0">
      <w:pPr>
        <w:spacing w:line="360" w:lineRule="auto"/>
        <w:ind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E85DB76">
      <w:pPr>
        <w:spacing w:line="360" w:lineRule="auto"/>
        <w:ind w:firstLine="360" w:firstLineChars="200"/>
        <w:jc w:val="left"/>
        <w:rPr>
          <w:rFonts w:hint="eastAsia" w:ascii="宋体" w:hAnsi="宋体" w:eastAsia="宋体" w:cs="宋体"/>
          <w:color w:val="0000FF"/>
          <w:sz w:val="18"/>
          <w:szCs w:val="18"/>
          <w:highlight w:val="none"/>
          <w:u w:val="single"/>
        </w:rPr>
      </w:pPr>
      <w:r>
        <w:rPr>
          <w:rFonts w:hint="eastAsia" w:ascii="宋体" w:hAnsi="宋体" w:eastAsia="宋体" w:cs="宋体"/>
          <w:color w:val="auto"/>
          <w:sz w:val="18"/>
          <w:szCs w:val="18"/>
          <w:highlight w:val="none"/>
          <w:u w:val="single"/>
        </w:rPr>
        <w:t>发包人签发进度款支付证书或临时进度款支付证书，不表明发包人已同意、批准或接受了承包人完成的相应部分的工作。</w:t>
      </w:r>
    </w:p>
    <w:p w14:paraId="75E40D4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（2）进度款支付：</w:t>
      </w:r>
      <w:r>
        <w:rPr>
          <w:rFonts w:hint="eastAsia" w:ascii="宋体" w:hAnsi="宋体" w:eastAsia="宋体" w:cs="宋体"/>
          <w:b w:val="0"/>
          <w:bCs w:val="0"/>
          <w:color w:val="auto"/>
          <w:kern w:val="0"/>
          <w:sz w:val="18"/>
          <w:szCs w:val="18"/>
          <w:highlight w:val="none"/>
          <w:u w:val="single"/>
          <w:lang w:val="en-US" w:eastAsia="zh-CN" w:bidi="ar-SA"/>
        </w:rPr>
        <w:t xml:space="preserve"> 本工程不支付预付款， 工程竣工验收合格且审计结算后，并缴纳审计结算价款的3%作为质保金后，支付至审计结算价款的100%，3%的质保金待缺陷责任期满1年后无息退还。</w:t>
      </w:r>
    </w:p>
    <w:p w14:paraId="7236121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083" w:name="_Toc351203585"/>
      <w:bookmarkStart w:id="1084" w:name="_Toc532377387"/>
      <w:r>
        <w:rPr>
          <w:rFonts w:hint="eastAsia" w:ascii="宋体" w:hAnsi="宋体" w:eastAsia="宋体" w:cs="宋体"/>
          <w:color w:val="auto"/>
          <w:sz w:val="18"/>
          <w:szCs w:val="18"/>
          <w:highlight w:val="none"/>
        </w:rPr>
        <w:t>12.5支付账户</w:t>
      </w:r>
      <w:bookmarkEnd w:id="1083"/>
      <w:bookmarkEnd w:id="1084"/>
    </w:p>
    <w:p w14:paraId="7F9EF01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发包人应将合同价款支付至如下承包人指定的开户银行及银行账户：</w:t>
      </w:r>
    </w:p>
    <w:p w14:paraId="459D156C">
      <w:pPr>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收款单位名称：</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083419CE">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收款账号：</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19D69C28">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收款开户银行：</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3F346EF8">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发包人应按行业主管部门的相关规定将人工费（工资款）支付至承包人指定的农民工工资专用账户。</w:t>
      </w:r>
    </w:p>
    <w:p w14:paraId="66EF3674">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085" w:name="_Toc532377388"/>
      <w:bookmarkStart w:id="1086" w:name="_Toc351203645"/>
      <w:bookmarkStart w:id="1087" w:name="_Toc532375651"/>
      <w:bookmarkStart w:id="1088" w:name="_Toc297048405"/>
      <w:bookmarkStart w:id="1089" w:name="_Toc303539172"/>
      <w:bookmarkStart w:id="1090" w:name="_Toc297120519"/>
      <w:bookmarkStart w:id="1091" w:name="_Toc297123564"/>
      <w:bookmarkStart w:id="1092" w:name="_Toc312678053"/>
      <w:bookmarkStart w:id="1093" w:name="_Toc304295593"/>
      <w:bookmarkStart w:id="1094" w:name="_Toc296944558"/>
      <w:bookmarkStart w:id="1095" w:name="_Toc292559929"/>
      <w:bookmarkStart w:id="1096" w:name="_Toc296891259"/>
      <w:bookmarkStart w:id="1097" w:name="_Toc297216223"/>
      <w:bookmarkStart w:id="1098" w:name="_Toc296503219"/>
      <w:bookmarkStart w:id="1099" w:name="_Toc296346720"/>
      <w:bookmarkStart w:id="1100" w:name="_Toc296891047"/>
      <w:bookmarkStart w:id="1101" w:name="_Toc296347218"/>
      <w:bookmarkStart w:id="1102" w:name="_Toc300935015"/>
      <w:bookmarkStart w:id="1103" w:name="_Toc292559424"/>
      <w:r>
        <w:rPr>
          <w:rFonts w:hint="eastAsia" w:ascii="宋体" w:hAnsi="宋体" w:eastAsia="宋体" w:cs="宋体"/>
          <w:color w:val="auto"/>
          <w:kern w:val="2"/>
          <w:sz w:val="18"/>
          <w:szCs w:val="18"/>
          <w:highlight w:val="none"/>
        </w:rPr>
        <w:t>13. 验收和工程试车</w:t>
      </w:r>
      <w:bookmarkEnd w:id="1085"/>
      <w:bookmarkEnd w:id="1086"/>
      <w:bookmarkEnd w:id="1087"/>
    </w:p>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14:paraId="13F7C6C0">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04" w:name="_Toc532375652"/>
      <w:bookmarkStart w:id="1105" w:name="_Toc532377389"/>
      <w:bookmarkStart w:id="1106" w:name="_Toc280868704"/>
      <w:bookmarkStart w:id="1107" w:name="_Toc280868705"/>
      <w:bookmarkStart w:id="1108" w:name="_Toc280868706"/>
      <w:bookmarkStart w:id="1109" w:name="_Toc280868707"/>
      <w:bookmarkStart w:id="1110" w:name="_Toc280868708"/>
      <w:bookmarkStart w:id="1111" w:name="_Toc267251476"/>
      <w:bookmarkStart w:id="1112" w:name="_Toc267251472"/>
      <w:bookmarkStart w:id="1113" w:name="_Toc267251470"/>
      <w:bookmarkStart w:id="1114" w:name="_Toc267251471"/>
      <w:bookmarkStart w:id="1115" w:name="_Toc267251475"/>
      <w:bookmarkStart w:id="1116" w:name="_Toc267251474"/>
      <w:bookmarkStart w:id="1117" w:name="_Toc267251473"/>
      <w:bookmarkStart w:id="1118" w:name="_Toc280868709"/>
      <w:r>
        <w:rPr>
          <w:rFonts w:hint="eastAsia" w:ascii="宋体" w:hAnsi="宋体" w:eastAsia="宋体" w:cs="宋体"/>
          <w:color w:val="auto"/>
          <w:sz w:val="18"/>
          <w:szCs w:val="18"/>
          <w:highlight w:val="none"/>
        </w:rPr>
        <w:t>13.1 分部分项工程验收</w:t>
      </w:r>
      <w:bookmarkEnd w:id="1104"/>
      <w:bookmarkEnd w:id="1105"/>
    </w:p>
    <w:p w14:paraId="314FC49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13.1.2 监理人不能按时进行验收时，应提前</w:t>
      </w:r>
      <w:r>
        <w:rPr>
          <w:rFonts w:hint="eastAsia" w:ascii="宋体" w:hAnsi="宋体" w:eastAsia="宋体" w:cs="宋体"/>
          <w:color w:val="auto"/>
          <w:sz w:val="18"/>
          <w:szCs w:val="18"/>
          <w:highlight w:val="none"/>
          <w:u w:val="single"/>
        </w:rPr>
        <w:t>24</w:t>
      </w:r>
      <w:r>
        <w:rPr>
          <w:rFonts w:hint="eastAsia" w:ascii="宋体" w:hAnsi="宋体" w:eastAsia="宋体" w:cs="宋体"/>
          <w:color w:val="auto"/>
          <w:sz w:val="18"/>
          <w:szCs w:val="18"/>
          <w:highlight w:val="none"/>
        </w:rPr>
        <w:t>小时提交书面延期要求。</w:t>
      </w:r>
    </w:p>
    <w:p w14:paraId="11C016D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关于延期最长不得超过：</w:t>
      </w:r>
      <w:r>
        <w:rPr>
          <w:rFonts w:hint="eastAsia" w:ascii="宋体" w:hAnsi="宋体" w:eastAsia="宋体" w:cs="宋体"/>
          <w:color w:val="auto"/>
          <w:sz w:val="18"/>
          <w:szCs w:val="18"/>
          <w:highlight w:val="none"/>
          <w:u w:val="single"/>
        </w:rPr>
        <w:t>48</w:t>
      </w:r>
      <w:r>
        <w:rPr>
          <w:rFonts w:hint="eastAsia" w:ascii="宋体" w:hAnsi="宋体" w:eastAsia="宋体" w:cs="宋体"/>
          <w:color w:val="auto"/>
          <w:sz w:val="18"/>
          <w:szCs w:val="18"/>
          <w:highlight w:val="none"/>
        </w:rPr>
        <w:t>小时。</w:t>
      </w:r>
    </w:p>
    <w:p w14:paraId="145D3B7B">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19" w:name="_Toc532375653"/>
      <w:bookmarkStart w:id="1120" w:name="_Toc532377390"/>
      <w:bookmarkStart w:id="1121" w:name="_Toc297123565"/>
      <w:bookmarkStart w:id="1122" w:name="_Toc296347222"/>
      <w:bookmarkStart w:id="1123" w:name="_Toc300935016"/>
      <w:bookmarkStart w:id="1124" w:name="_Toc297048409"/>
      <w:bookmarkStart w:id="1125" w:name="_Toc296891263"/>
      <w:bookmarkStart w:id="1126" w:name="_Toc303539173"/>
      <w:bookmarkStart w:id="1127" w:name="_Toc296891051"/>
      <w:bookmarkStart w:id="1128" w:name="_Toc296503223"/>
      <w:bookmarkStart w:id="1129" w:name="_Toc296346724"/>
      <w:bookmarkStart w:id="1130" w:name="_Toc297120523"/>
      <w:bookmarkStart w:id="1131" w:name="_Toc296944562"/>
      <w:bookmarkStart w:id="1132" w:name="_Toc297216224"/>
      <w:bookmarkStart w:id="1133" w:name="_Toc292559428"/>
      <w:bookmarkStart w:id="1134" w:name="_Toc304295596"/>
      <w:bookmarkStart w:id="1135" w:name="_Toc292559933"/>
      <w:bookmarkStart w:id="1136" w:name="_Toc312678056"/>
      <w:r>
        <w:rPr>
          <w:rFonts w:hint="eastAsia" w:ascii="宋体" w:hAnsi="宋体" w:eastAsia="宋体" w:cs="宋体"/>
          <w:color w:val="auto"/>
          <w:sz w:val="18"/>
          <w:szCs w:val="18"/>
          <w:highlight w:val="none"/>
        </w:rPr>
        <w:t>13.2 竣工验收</w:t>
      </w:r>
      <w:bookmarkEnd w:id="1119"/>
      <w:bookmarkEnd w:id="1120"/>
    </w:p>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14:paraId="6E5B994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13.2.2竣工验收程序</w:t>
      </w:r>
    </w:p>
    <w:bookmarkEnd w:id="1106"/>
    <w:p w14:paraId="4E6E979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关于竣工验收程序的约定：工程完工且符合下列条件时，承包人可向发包人提供竣工报告，并要求验收：</w:t>
      </w:r>
    </w:p>
    <w:p w14:paraId="1B81074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（1）除发包人同意的甩项工作和缺陷修补工作外，合同范围内的全部工程以及有关工作，包括合同要求的试验、试运行以及检验均已完成，并符合合同要求；</w:t>
      </w:r>
    </w:p>
    <w:p w14:paraId="32292C70">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（2）已按合同约定编制了甩项工作和缺陷修补工作清单以及相应的施工计划；</w:t>
      </w:r>
    </w:p>
    <w:p w14:paraId="189C96E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（3）已按合同约定的内容和份数备齐竣工资料。</w:t>
      </w:r>
    </w:p>
    <w:p w14:paraId="4391ABC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18AA2CD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工程竣工及竣工资料：</w:t>
      </w:r>
    </w:p>
    <w:p w14:paraId="319E43D5">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18"/>
          <w:szCs w:val="18"/>
          <w:highlight w:val="none"/>
        </w:rPr>
        <w:t>。</w:t>
      </w:r>
    </w:p>
    <w:p w14:paraId="3730343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18"/>
          <w:szCs w:val="18"/>
          <w:highlight w:val="none"/>
        </w:rPr>
        <w:t>。</w:t>
      </w:r>
    </w:p>
    <w:p w14:paraId="6981EB8E">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（3）承包人提供竣工资料的约定：</w:t>
      </w:r>
      <w:r>
        <w:rPr>
          <w:rFonts w:hint="eastAsia" w:ascii="宋体" w:hAnsi="宋体" w:eastAsia="宋体" w:cs="宋体"/>
          <w:color w:val="auto"/>
          <w:sz w:val="18"/>
          <w:szCs w:val="18"/>
          <w:highlight w:val="none"/>
          <w:u w:val="single"/>
        </w:rPr>
        <w:t>承包人提供纸质版竣工图三套，电子版竣工图二套（刻光盘）</w:t>
      </w:r>
      <w:r>
        <w:rPr>
          <w:rFonts w:hint="eastAsia" w:ascii="宋体" w:hAnsi="宋体" w:eastAsia="宋体" w:cs="宋体"/>
          <w:color w:val="auto"/>
          <w:sz w:val="18"/>
          <w:szCs w:val="18"/>
          <w:highlight w:val="none"/>
        </w:rPr>
        <w:t>。</w:t>
      </w:r>
    </w:p>
    <w:bookmarkEnd w:id="1107"/>
    <w:p w14:paraId="600E11C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13.2.5 移交、接收全部与部分工程</w:t>
      </w:r>
    </w:p>
    <w:bookmarkEnd w:id="1108"/>
    <w:p w14:paraId="0A1748D2">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承包人向发包人移交工程的期限：</w:t>
      </w:r>
      <w:r>
        <w:rPr>
          <w:rFonts w:hint="eastAsia" w:ascii="宋体" w:hAnsi="宋体" w:eastAsia="宋体" w:cs="宋体"/>
          <w:color w:val="auto"/>
          <w:sz w:val="18"/>
          <w:szCs w:val="18"/>
          <w:highlight w:val="none"/>
          <w:u w:val="single"/>
        </w:rPr>
        <w:t>颁发工程接收证书后7天内完成工程的移交</w:t>
      </w:r>
      <w:r>
        <w:rPr>
          <w:rFonts w:hint="eastAsia" w:ascii="宋体" w:hAnsi="宋体" w:eastAsia="宋体" w:cs="宋体"/>
          <w:color w:val="auto"/>
          <w:sz w:val="18"/>
          <w:szCs w:val="18"/>
          <w:highlight w:val="none"/>
        </w:rPr>
        <w:t>。</w:t>
      </w:r>
    </w:p>
    <w:p w14:paraId="7AF58B5E">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发包人未按合同约定接收全部或部分工程的，违约金的计算方法为：发包人自应当接收工程之日起承担工程照管、成品保护、保管等与工程有关的各项费用。</w:t>
      </w:r>
    </w:p>
    <w:bookmarkEnd w:id="1109"/>
    <w:p w14:paraId="54071CF3">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因承包人自身原因未按时移交工程的，违约金的计算方法为：</w:t>
      </w:r>
      <w:r>
        <w:rPr>
          <w:rFonts w:hint="eastAsia" w:ascii="宋体" w:hAnsi="宋体" w:eastAsia="宋体" w:cs="宋体"/>
          <w:color w:val="auto"/>
          <w:sz w:val="18"/>
          <w:szCs w:val="18"/>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 w:val="18"/>
          <w:szCs w:val="18"/>
          <w:highlight w:val="none"/>
        </w:rPr>
        <w:t>。</w:t>
      </w:r>
    </w:p>
    <w:p w14:paraId="1B0DA297">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37" w:name="_Toc532377391"/>
      <w:bookmarkStart w:id="1138" w:name="_Toc532375654"/>
      <w:r>
        <w:rPr>
          <w:rFonts w:hint="eastAsia" w:ascii="宋体" w:hAnsi="宋体" w:eastAsia="宋体" w:cs="宋体"/>
          <w:color w:val="auto"/>
          <w:sz w:val="18"/>
          <w:szCs w:val="18"/>
          <w:highlight w:val="none"/>
        </w:rPr>
        <w:t>13.3 工程试车</w:t>
      </w:r>
      <w:bookmarkEnd w:id="1137"/>
      <w:bookmarkEnd w:id="1138"/>
    </w:p>
    <w:p w14:paraId="3F73CA8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13.3.1 试车程序</w:t>
      </w:r>
    </w:p>
    <w:p w14:paraId="7C7A2AF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工程试车内容：</w:t>
      </w:r>
      <w:r>
        <w:rPr>
          <w:rFonts w:hint="eastAsia" w:ascii="宋体" w:hAnsi="宋体" w:eastAsia="宋体" w:cs="宋体"/>
          <w:color w:val="auto"/>
          <w:sz w:val="18"/>
          <w:szCs w:val="18"/>
          <w:highlight w:val="none"/>
          <w:u w:val="single"/>
        </w:rPr>
        <w:t>按通用合同条款执行</w:t>
      </w:r>
      <w:r>
        <w:rPr>
          <w:rFonts w:hint="eastAsia" w:ascii="宋体" w:hAnsi="宋体" w:eastAsia="宋体" w:cs="宋体"/>
          <w:color w:val="auto"/>
          <w:sz w:val="18"/>
          <w:szCs w:val="18"/>
          <w:highlight w:val="none"/>
        </w:rPr>
        <w:t>。</w:t>
      </w:r>
    </w:p>
    <w:p w14:paraId="4974E89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（1）单机无负荷试车费用由</w:t>
      </w:r>
      <w:r>
        <w:rPr>
          <w:rFonts w:hint="eastAsia" w:ascii="宋体" w:hAnsi="宋体" w:eastAsia="宋体" w:cs="宋体"/>
          <w:color w:val="auto"/>
          <w:sz w:val="18"/>
          <w:szCs w:val="18"/>
          <w:highlight w:val="none"/>
          <w:u w:val="single"/>
        </w:rPr>
        <w:t>承包人</w:t>
      </w:r>
      <w:r>
        <w:rPr>
          <w:rFonts w:hint="eastAsia" w:ascii="宋体" w:hAnsi="宋体" w:eastAsia="宋体" w:cs="宋体"/>
          <w:color w:val="auto"/>
          <w:sz w:val="18"/>
          <w:szCs w:val="18"/>
          <w:highlight w:val="none"/>
        </w:rPr>
        <w:t>承担；</w:t>
      </w:r>
    </w:p>
    <w:p w14:paraId="21BDC415">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（2）无负荷联动试车费用由</w:t>
      </w:r>
      <w:r>
        <w:rPr>
          <w:rFonts w:hint="eastAsia" w:ascii="宋体" w:hAnsi="宋体" w:eastAsia="宋体" w:cs="宋体"/>
          <w:color w:val="auto"/>
          <w:sz w:val="18"/>
          <w:szCs w:val="18"/>
          <w:highlight w:val="none"/>
          <w:u w:val="single"/>
        </w:rPr>
        <w:t>承包人</w:t>
      </w:r>
      <w:r>
        <w:rPr>
          <w:rFonts w:hint="eastAsia" w:ascii="宋体" w:hAnsi="宋体" w:eastAsia="宋体" w:cs="宋体"/>
          <w:color w:val="auto"/>
          <w:sz w:val="18"/>
          <w:szCs w:val="18"/>
          <w:highlight w:val="none"/>
        </w:rPr>
        <w:t>承担。</w:t>
      </w:r>
    </w:p>
    <w:p w14:paraId="7C25F05F">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39" w:name="_Toc532377392"/>
      <w:bookmarkStart w:id="1140" w:name="_Toc532375655"/>
      <w:r>
        <w:rPr>
          <w:rFonts w:hint="eastAsia" w:ascii="宋体" w:hAnsi="宋体" w:eastAsia="宋体" w:cs="宋体"/>
          <w:color w:val="auto"/>
          <w:sz w:val="18"/>
          <w:szCs w:val="18"/>
          <w:highlight w:val="none"/>
        </w:rPr>
        <w:t>13.6 竣工退场</w:t>
      </w:r>
      <w:bookmarkEnd w:id="1139"/>
      <w:bookmarkEnd w:id="1140"/>
    </w:p>
    <w:p w14:paraId="68CF57C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13.6.1 竣工退场</w:t>
      </w:r>
    </w:p>
    <w:p w14:paraId="649D84D8">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承包人完成竣工退场的期限：</w:t>
      </w:r>
      <w:r>
        <w:rPr>
          <w:rFonts w:hint="eastAsia" w:ascii="宋体" w:hAnsi="宋体" w:eastAsia="宋体" w:cs="宋体"/>
          <w:color w:val="auto"/>
          <w:sz w:val="18"/>
          <w:szCs w:val="18"/>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18"/>
          <w:szCs w:val="18"/>
          <w:highlight w:val="none"/>
        </w:rPr>
        <w:t>。</w:t>
      </w:r>
    </w:p>
    <w:bookmarkEnd w:id="1110"/>
    <w:p w14:paraId="71776CFC">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141" w:name="_Toc532375656"/>
      <w:bookmarkStart w:id="1142" w:name="_Toc532377393"/>
      <w:bookmarkStart w:id="1143" w:name="_Toc351203646"/>
      <w:r>
        <w:rPr>
          <w:rFonts w:hint="eastAsia" w:ascii="宋体" w:hAnsi="宋体" w:eastAsia="宋体" w:cs="宋体"/>
          <w:color w:val="auto"/>
          <w:kern w:val="2"/>
          <w:sz w:val="18"/>
          <w:szCs w:val="18"/>
          <w:highlight w:val="none"/>
        </w:rPr>
        <w:t>14. 竣工结算</w:t>
      </w:r>
      <w:bookmarkEnd w:id="1141"/>
      <w:bookmarkEnd w:id="1142"/>
      <w:bookmarkEnd w:id="1143"/>
    </w:p>
    <w:p w14:paraId="577C40A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44" w:name="_Toc532375657"/>
      <w:bookmarkStart w:id="1145" w:name="_Toc532377394"/>
      <w:r>
        <w:rPr>
          <w:rFonts w:hint="eastAsia" w:ascii="宋体" w:hAnsi="宋体" w:eastAsia="宋体" w:cs="宋体"/>
          <w:color w:val="auto"/>
          <w:sz w:val="18"/>
          <w:szCs w:val="18"/>
          <w:highlight w:val="none"/>
        </w:rPr>
        <w:t>14.1 竣工结算申请</w:t>
      </w:r>
      <w:bookmarkEnd w:id="1144"/>
      <w:bookmarkEnd w:id="1145"/>
    </w:p>
    <w:p w14:paraId="6CA5459D">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承包人提交竣工结算申请单的期限：</w:t>
      </w:r>
      <w:r>
        <w:rPr>
          <w:rFonts w:hint="eastAsia" w:ascii="宋体" w:hAnsi="宋体" w:eastAsia="宋体" w:cs="宋体"/>
          <w:color w:val="auto"/>
          <w:sz w:val="18"/>
          <w:szCs w:val="18"/>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1146" w:name="_Hlk524297994"/>
      <w:r>
        <w:rPr>
          <w:rFonts w:hint="eastAsia" w:ascii="宋体" w:hAnsi="宋体" w:eastAsia="宋体" w:cs="宋体"/>
          <w:color w:val="auto"/>
          <w:sz w:val="18"/>
          <w:szCs w:val="18"/>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08742AD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竣工结算申请单包括但不限于以下内容：</w:t>
      </w:r>
    </w:p>
    <w:p w14:paraId="2E927BF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（1）竣工结算合同价格；</w:t>
      </w:r>
    </w:p>
    <w:p w14:paraId="447CAAF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（2）变更增减金额；</w:t>
      </w:r>
    </w:p>
    <w:p w14:paraId="4EDEFA5D">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（3）现场签证增减金额；</w:t>
      </w:r>
    </w:p>
    <w:p w14:paraId="7923CD0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（4）索赔增减金额；</w:t>
      </w:r>
    </w:p>
    <w:p w14:paraId="18EFC49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（5）奖励、罚金及违约金；</w:t>
      </w:r>
    </w:p>
    <w:p w14:paraId="0F0301C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（6）发包人已支付承包人的款项；</w:t>
      </w:r>
    </w:p>
    <w:p w14:paraId="6540572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（7）应扣留的质量保证金；</w:t>
      </w:r>
    </w:p>
    <w:p w14:paraId="6793547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（8）发包人应支付承包人的合同价款。</w:t>
      </w:r>
      <w:bookmarkEnd w:id="1146"/>
    </w:p>
    <w:p w14:paraId="3C77414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212DB3B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47" w:name="_Toc532375658"/>
      <w:bookmarkStart w:id="1148" w:name="_Toc532377395"/>
      <w:r>
        <w:rPr>
          <w:rFonts w:hint="eastAsia" w:ascii="宋体" w:hAnsi="宋体" w:eastAsia="宋体" w:cs="宋体"/>
          <w:color w:val="auto"/>
          <w:sz w:val="18"/>
          <w:szCs w:val="18"/>
          <w:highlight w:val="none"/>
        </w:rPr>
        <w:t>14.2 竣工结算审核</w:t>
      </w:r>
      <w:bookmarkEnd w:id="1147"/>
      <w:bookmarkEnd w:id="1148"/>
    </w:p>
    <w:p w14:paraId="5012D9C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14.2.1 竣工结算办法</w:t>
      </w:r>
    </w:p>
    <w:p w14:paraId="7DD9E00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14.2.1.1计量原则</w:t>
      </w:r>
    </w:p>
    <w:p w14:paraId="52F4A875">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按照第12.3.1项〔计量原则〕约定执行。</w:t>
      </w:r>
    </w:p>
    <w:p w14:paraId="3998951A">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14.2.1.2计价原则</w:t>
      </w:r>
    </w:p>
    <w:p w14:paraId="7D67E20E">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eastAsia="宋体" w:cs="宋体"/>
          <w:color w:val="auto"/>
          <w:sz w:val="18"/>
          <w:szCs w:val="18"/>
          <w:highlight w:val="none"/>
        </w:rPr>
        <w:t>。</w:t>
      </w:r>
    </w:p>
    <w:p w14:paraId="5C9F83B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具体结算办法如下：</w:t>
      </w:r>
    </w:p>
    <w:p w14:paraId="3C8FD292">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（1）分部分项工程：</w:t>
      </w:r>
    </w:p>
    <w:p w14:paraId="513911E3">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eastAsia="宋体" w:cs="宋体"/>
          <w:color w:val="auto"/>
          <w:sz w:val="18"/>
          <w:szCs w:val="18"/>
          <w:highlight w:val="none"/>
        </w:rPr>
        <w:t>；</w:t>
      </w:r>
    </w:p>
    <w:p w14:paraId="7129E0B3">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eastAsia="宋体" w:cs="宋体"/>
          <w:color w:val="auto"/>
          <w:sz w:val="18"/>
          <w:szCs w:val="18"/>
          <w:highlight w:val="none"/>
        </w:rPr>
        <w:t>；</w:t>
      </w:r>
    </w:p>
    <w:p w14:paraId="2986D88C">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eastAsia="宋体" w:cs="宋体"/>
          <w:color w:val="auto"/>
          <w:sz w:val="18"/>
          <w:szCs w:val="18"/>
          <w:highlight w:val="none"/>
        </w:rPr>
        <w:t>；</w:t>
      </w:r>
    </w:p>
    <w:p w14:paraId="0DC24BE2">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④合同、已标价工程量清单和竞争性</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文件另有约定的，按照其约定执行</w:t>
      </w:r>
      <w:r>
        <w:rPr>
          <w:rFonts w:hint="eastAsia" w:ascii="宋体" w:hAnsi="宋体" w:eastAsia="宋体" w:cs="宋体"/>
          <w:color w:val="auto"/>
          <w:sz w:val="18"/>
          <w:szCs w:val="18"/>
          <w:highlight w:val="none"/>
        </w:rPr>
        <w:t>。</w:t>
      </w:r>
    </w:p>
    <w:p w14:paraId="0ED4ADA9">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（2）措施项目：</w:t>
      </w:r>
    </w:p>
    <w:p w14:paraId="5C153F5E">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eastAsia="宋体" w:cs="宋体"/>
          <w:color w:val="auto"/>
          <w:sz w:val="18"/>
          <w:szCs w:val="18"/>
          <w:highlight w:val="none"/>
        </w:rPr>
        <w:t>。</w:t>
      </w:r>
    </w:p>
    <w:p w14:paraId="0674ABEE">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②工程变更引起施工方案改变使措施项目发生变化的，经监理人、发包人确定后可对按第10.4.3项约定执行</w:t>
      </w:r>
      <w:r>
        <w:rPr>
          <w:rFonts w:hint="eastAsia" w:ascii="宋体" w:hAnsi="宋体" w:eastAsia="宋体" w:cs="宋体"/>
          <w:color w:val="auto"/>
          <w:sz w:val="18"/>
          <w:szCs w:val="18"/>
          <w:highlight w:val="none"/>
        </w:rPr>
        <w:t>。</w:t>
      </w:r>
    </w:p>
    <w:p w14:paraId="310E3CE7">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eastAsia="宋体" w:cs="宋体"/>
          <w:color w:val="auto"/>
          <w:sz w:val="18"/>
          <w:szCs w:val="18"/>
          <w:highlight w:val="none"/>
        </w:rPr>
        <w:t>。</w:t>
      </w:r>
    </w:p>
    <w:p w14:paraId="7B1714AB">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（3）其他项目：</w:t>
      </w:r>
    </w:p>
    <w:p w14:paraId="264FBCD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①材料（工程设备）暂估价：</w:t>
      </w:r>
      <w:r>
        <w:rPr>
          <w:rFonts w:hint="eastAsia" w:ascii="宋体" w:hAnsi="宋体" w:eastAsia="宋体" w:cs="宋体"/>
          <w:color w:val="auto"/>
          <w:sz w:val="18"/>
          <w:szCs w:val="18"/>
          <w:highlight w:val="none"/>
          <w:u w:val="single"/>
        </w:rPr>
        <w:t>按照第12.3.1项〔计量原则〕约定及对应定额消耗量确定的数量乘以监理人、跟审单位、发包人根据市场行情认质核价确定的价格进行结算</w:t>
      </w:r>
      <w:r>
        <w:rPr>
          <w:rFonts w:hint="eastAsia" w:ascii="宋体" w:hAnsi="宋体" w:eastAsia="宋体" w:cs="宋体"/>
          <w:color w:val="auto"/>
          <w:sz w:val="18"/>
          <w:szCs w:val="18"/>
          <w:highlight w:val="none"/>
        </w:rPr>
        <w:t>。</w:t>
      </w:r>
    </w:p>
    <w:p w14:paraId="0F6BD1E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②专业工程暂估价：</w:t>
      </w:r>
    </w:p>
    <w:p w14:paraId="38BBB250">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1）对于不属于依法必须</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的暂估价项目：按发包人审定的价格进行结算</w:t>
      </w:r>
      <w:r>
        <w:rPr>
          <w:rFonts w:hint="eastAsia" w:ascii="宋体" w:hAnsi="宋体" w:eastAsia="宋体" w:cs="宋体"/>
          <w:color w:val="auto"/>
          <w:sz w:val="18"/>
          <w:szCs w:val="18"/>
          <w:highlight w:val="none"/>
        </w:rPr>
        <w:t>。</w:t>
      </w:r>
    </w:p>
    <w:p w14:paraId="2DB4C8B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2）对于依法必须</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的暂估价项目：达到</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规模标准的暂估价内容，包括专业工程暂估价和材料设备暂估价均应</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确定，并按暂估价竞争性</w:t>
      </w:r>
      <w:r>
        <w:rPr>
          <w:rFonts w:hint="eastAsia" w:ascii="宋体" w:hAnsi="宋体" w:eastAsia="宋体" w:cs="宋体"/>
          <w:color w:val="auto"/>
          <w:sz w:val="18"/>
          <w:szCs w:val="18"/>
          <w:highlight w:val="none"/>
          <w:u w:val="single"/>
          <w:lang w:eastAsia="zh-CN"/>
        </w:rPr>
        <w:t>比选</w:t>
      </w:r>
      <w:r>
        <w:rPr>
          <w:rFonts w:hint="eastAsia" w:ascii="宋体" w:hAnsi="宋体" w:eastAsia="宋体" w:cs="宋体"/>
          <w:color w:val="auto"/>
          <w:sz w:val="18"/>
          <w:szCs w:val="18"/>
          <w:highlight w:val="none"/>
          <w:u w:val="single"/>
        </w:rPr>
        <w:t>文件约定结算</w:t>
      </w:r>
      <w:r>
        <w:rPr>
          <w:rFonts w:hint="eastAsia" w:ascii="宋体" w:hAnsi="宋体" w:eastAsia="宋体" w:cs="宋体"/>
          <w:color w:val="auto"/>
          <w:sz w:val="18"/>
          <w:szCs w:val="18"/>
          <w:highlight w:val="none"/>
        </w:rPr>
        <w:t>。</w:t>
      </w:r>
    </w:p>
    <w:p w14:paraId="269E202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3）总承包服务费：总承包服务费包干使用，结算时不作调整</w:t>
      </w:r>
      <w:r>
        <w:rPr>
          <w:rFonts w:hint="eastAsia" w:ascii="宋体" w:hAnsi="宋体" w:eastAsia="宋体" w:cs="宋体"/>
          <w:color w:val="auto"/>
          <w:sz w:val="18"/>
          <w:szCs w:val="18"/>
          <w:highlight w:val="none"/>
        </w:rPr>
        <w:t>。</w:t>
      </w:r>
    </w:p>
    <w:p w14:paraId="21A5FA56">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（4）价格调整：</w:t>
      </w:r>
      <w:r>
        <w:rPr>
          <w:rFonts w:hint="eastAsia" w:ascii="宋体" w:hAnsi="宋体" w:eastAsia="宋体" w:cs="宋体"/>
          <w:color w:val="auto"/>
          <w:sz w:val="18"/>
          <w:szCs w:val="18"/>
          <w:highlight w:val="none"/>
          <w:u w:val="single"/>
        </w:rPr>
        <w:t>按照第11条〔价格调整〕约定约定执行</w:t>
      </w:r>
      <w:r>
        <w:rPr>
          <w:rFonts w:hint="eastAsia" w:ascii="宋体" w:hAnsi="宋体" w:eastAsia="宋体" w:cs="宋体"/>
          <w:color w:val="auto"/>
          <w:sz w:val="18"/>
          <w:szCs w:val="18"/>
          <w:highlight w:val="none"/>
        </w:rPr>
        <w:t>。</w:t>
      </w:r>
    </w:p>
    <w:p w14:paraId="5EA47490">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（5）工程变更、索赔与现场签证：</w:t>
      </w:r>
    </w:p>
    <w:p w14:paraId="47A67C32">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A6E6CE1">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2）索赔：按照第10.4.1项〔变更估价原则〕和第14.2.1项〔竣工结算办法〕约定执行。</w:t>
      </w:r>
    </w:p>
    <w:p w14:paraId="4A67BE83">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3）现场签证：按照第10.4.1项〔变更估价原则〕和第14.2.1项〔竣工结算办法〕约定执行。</w:t>
      </w:r>
    </w:p>
    <w:p w14:paraId="6AD656BD">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（6）奖励、罚金、违约金及其他费用：</w:t>
      </w:r>
      <w:r>
        <w:rPr>
          <w:rFonts w:hint="eastAsia" w:ascii="宋体" w:hAnsi="宋体" w:eastAsia="宋体" w:cs="宋体"/>
          <w:color w:val="auto"/>
          <w:sz w:val="18"/>
          <w:szCs w:val="18"/>
          <w:highlight w:val="none"/>
          <w:u w:val="single"/>
        </w:rPr>
        <w:t>按实进行结算</w:t>
      </w:r>
      <w:r>
        <w:rPr>
          <w:rFonts w:hint="eastAsia" w:ascii="宋体" w:hAnsi="宋体" w:eastAsia="宋体" w:cs="宋体"/>
          <w:color w:val="auto"/>
          <w:sz w:val="18"/>
          <w:szCs w:val="18"/>
          <w:highlight w:val="none"/>
        </w:rPr>
        <w:t>。</w:t>
      </w:r>
    </w:p>
    <w:p w14:paraId="64A82A0A">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（7）规费：已标价工程量清单中规费费用按《重庆市建设工程费用定额》（CQFYDE-2018）执行。</w:t>
      </w:r>
    </w:p>
    <w:p w14:paraId="4BECD1E2">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0A138B60">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14.2.1.3竣工结算价</w:t>
      </w:r>
    </w:p>
    <w:p w14:paraId="6805D104">
      <w:pPr>
        <w:tabs>
          <w:tab w:val="left" w:pos="711"/>
          <w:tab w:val="left" w:pos="2580"/>
        </w:tabs>
        <w:spacing w:line="360" w:lineRule="auto"/>
        <w:ind w:right="160" w:rightChars="50" w:firstLine="360" w:firstLineChars="200"/>
        <w:jc w:val="left"/>
        <w:textAlignment w:val="baseline"/>
        <w:rPr>
          <w:rFonts w:hint="eastAsia" w:ascii="宋体" w:hAnsi="宋体" w:eastAsia="宋体" w:cs="宋体"/>
          <w:color w:val="auto"/>
          <w:sz w:val="18"/>
          <w:szCs w:val="18"/>
          <w:highlight w:val="none"/>
          <w:u w:val="single"/>
        </w:rPr>
      </w:pPr>
      <w:bookmarkStart w:id="1149" w:name="_Hlk528660512"/>
      <w:r>
        <w:rPr>
          <w:rFonts w:hint="eastAsia" w:ascii="宋体" w:hAnsi="宋体" w:eastAsia="宋体" w:cs="宋体"/>
          <w:color w:val="auto"/>
          <w:sz w:val="18"/>
          <w:szCs w:val="18"/>
          <w:highlight w:val="none"/>
          <w:u w:val="single"/>
        </w:rPr>
        <w:t>以发包人会同跟审单位、监理人、承包人根据有效资料共同确定竣工结算金额作为合同竣工结算价</w:t>
      </w:r>
      <w:r>
        <w:rPr>
          <w:rFonts w:hint="eastAsia" w:ascii="宋体" w:hAnsi="宋体" w:eastAsia="宋体" w:cs="宋体"/>
          <w:color w:val="auto"/>
          <w:sz w:val="18"/>
          <w:szCs w:val="18"/>
          <w:highlight w:val="none"/>
        </w:rPr>
        <w:t>。</w:t>
      </w:r>
    </w:p>
    <w:bookmarkEnd w:id="1149"/>
    <w:p w14:paraId="7B131E5A">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14.2.2 竣工结算审核期限</w:t>
      </w:r>
    </w:p>
    <w:p w14:paraId="3484762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监理人审核竣工付款申请单的期限：</w:t>
      </w:r>
      <w:r>
        <w:rPr>
          <w:rFonts w:hint="eastAsia" w:ascii="宋体" w:hAnsi="宋体" w:eastAsia="宋体" w:cs="宋体"/>
          <w:color w:val="auto"/>
          <w:sz w:val="18"/>
          <w:szCs w:val="18"/>
          <w:highlight w:val="none"/>
          <w:u w:val="single"/>
        </w:rPr>
        <w:t>不超过  日</w:t>
      </w:r>
      <w:r>
        <w:rPr>
          <w:rFonts w:hint="eastAsia" w:ascii="宋体" w:hAnsi="宋体" w:eastAsia="宋体" w:cs="宋体"/>
          <w:color w:val="auto"/>
          <w:sz w:val="18"/>
          <w:szCs w:val="18"/>
          <w:highlight w:val="none"/>
        </w:rPr>
        <w:t>。</w:t>
      </w:r>
    </w:p>
    <w:p w14:paraId="20D7D0A8">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发包人审核竣工付款申请单的期限：</w:t>
      </w:r>
      <w:r>
        <w:rPr>
          <w:rFonts w:hint="eastAsia" w:ascii="宋体" w:hAnsi="宋体" w:eastAsia="宋体" w:cs="宋体"/>
          <w:color w:val="auto"/>
          <w:sz w:val="18"/>
          <w:szCs w:val="18"/>
          <w:highlight w:val="none"/>
          <w:u w:val="single"/>
        </w:rPr>
        <w:t>不超过  日</w:t>
      </w:r>
      <w:r>
        <w:rPr>
          <w:rFonts w:hint="eastAsia" w:ascii="宋体" w:hAnsi="宋体" w:eastAsia="宋体" w:cs="宋体"/>
          <w:color w:val="auto"/>
          <w:sz w:val="18"/>
          <w:szCs w:val="18"/>
          <w:highlight w:val="none"/>
        </w:rPr>
        <w:t>。</w:t>
      </w:r>
    </w:p>
    <w:p w14:paraId="7F242EA1">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发包人完成竣工付款的期限：</w:t>
      </w:r>
      <w:r>
        <w:rPr>
          <w:rFonts w:hint="eastAsia" w:ascii="宋体" w:hAnsi="宋体" w:eastAsia="宋体" w:cs="宋体"/>
          <w:color w:val="auto"/>
          <w:sz w:val="18"/>
          <w:szCs w:val="18"/>
          <w:highlight w:val="none"/>
          <w:u w:val="single"/>
        </w:rPr>
        <w:t>完成竣工付款申请单审核后  天内</w:t>
      </w:r>
      <w:r>
        <w:rPr>
          <w:rFonts w:hint="eastAsia" w:ascii="宋体" w:hAnsi="宋体" w:eastAsia="宋体" w:cs="宋体"/>
          <w:color w:val="auto"/>
          <w:sz w:val="18"/>
          <w:szCs w:val="18"/>
          <w:highlight w:val="none"/>
        </w:rPr>
        <w:t>。</w:t>
      </w:r>
    </w:p>
    <w:p w14:paraId="1D0BB08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关于竣工付款证书异议部分复核的方式和程序： 按照第20条〔争议解决〕约定处理。</w:t>
      </w:r>
    </w:p>
    <w:p w14:paraId="5E6569B0">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50" w:name="_Toc532377396"/>
      <w:bookmarkStart w:id="1151" w:name="_Toc532375659"/>
      <w:r>
        <w:rPr>
          <w:rFonts w:hint="eastAsia" w:ascii="宋体" w:hAnsi="宋体" w:eastAsia="宋体" w:cs="宋体"/>
          <w:color w:val="auto"/>
          <w:sz w:val="18"/>
          <w:szCs w:val="18"/>
          <w:highlight w:val="none"/>
        </w:rPr>
        <w:t>14.4 最终结清</w:t>
      </w:r>
      <w:bookmarkEnd w:id="1150"/>
      <w:bookmarkEnd w:id="1151"/>
    </w:p>
    <w:p w14:paraId="67678E00">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14.4.1 最终结清申请单</w:t>
      </w:r>
    </w:p>
    <w:p w14:paraId="054C407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承包人提交最终结清申请单的份数：</w:t>
      </w:r>
      <w:r>
        <w:rPr>
          <w:rFonts w:hint="eastAsia" w:ascii="宋体" w:hAnsi="宋体" w:eastAsia="宋体" w:cs="宋体"/>
          <w:color w:val="auto"/>
          <w:sz w:val="18"/>
          <w:szCs w:val="18"/>
          <w:highlight w:val="none"/>
          <w:u w:val="single"/>
        </w:rPr>
        <w:t>3份</w:t>
      </w:r>
      <w:r>
        <w:rPr>
          <w:rFonts w:hint="eastAsia" w:ascii="宋体" w:hAnsi="宋体" w:eastAsia="宋体" w:cs="宋体"/>
          <w:color w:val="auto"/>
          <w:sz w:val="18"/>
          <w:szCs w:val="18"/>
          <w:highlight w:val="none"/>
        </w:rPr>
        <w:t>。</w:t>
      </w:r>
    </w:p>
    <w:p w14:paraId="7A774B7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承包人提交最终结算申请单的期限：</w:t>
      </w:r>
      <w:r>
        <w:rPr>
          <w:rFonts w:hint="eastAsia" w:ascii="宋体" w:hAnsi="宋体" w:eastAsia="宋体" w:cs="宋体"/>
          <w:color w:val="auto"/>
          <w:sz w:val="18"/>
          <w:szCs w:val="18"/>
          <w:highlight w:val="none"/>
          <w:u w:val="single"/>
        </w:rPr>
        <w:t>缺陷责任期终止证书颁发后14天内</w:t>
      </w:r>
      <w:r>
        <w:rPr>
          <w:rFonts w:hint="eastAsia" w:ascii="宋体" w:hAnsi="宋体" w:eastAsia="宋体" w:cs="宋体"/>
          <w:color w:val="auto"/>
          <w:sz w:val="18"/>
          <w:szCs w:val="18"/>
          <w:highlight w:val="none"/>
        </w:rPr>
        <w:t>。</w:t>
      </w:r>
    </w:p>
    <w:p w14:paraId="0802983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14.4.2 最终结清证书和支付</w:t>
      </w:r>
    </w:p>
    <w:p w14:paraId="1B725A0D">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（1）发包人完成最终结清申请单的审批并颁发最终结清证书的期限：</w:t>
      </w:r>
      <w:r>
        <w:rPr>
          <w:rFonts w:hint="eastAsia" w:ascii="宋体" w:hAnsi="宋体" w:eastAsia="宋体" w:cs="宋体"/>
          <w:color w:val="auto"/>
          <w:sz w:val="18"/>
          <w:szCs w:val="18"/>
          <w:highlight w:val="none"/>
          <w:u w:val="single"/>
        </w:rPr>
        <w:t>发包人收到完整资料后14天内完成审批并颁发最终结清证书</w:t>
      </w:r>
      <w:r>
        <w:rPr>
          <w:rFonts w:hint="eastAsia" w:ascii="宋体" w:hAnsi="宋体" w:eastAsia="宋体" w:cs="宋体"/>
          <w:color w:val="auto"/>
          <w:sz w:val="18"/>
          <w:szCs w:val="18"/>
          <w:highlight w:val="none"/>
        </w:rPr>
        <w:t>。</w:t>
      </w:r>
    </w:p>
    <w:p w14:paraId="550E2F5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（2）发包人完成支付的期限：</w:t>
      </w:r>
      <w:r>
        <w:rPr>
          <w:rFonts w:hint="eastAsia" w:ascii="宋体" w:hAnsi="宋体" w:eastAsia="宋体" w:cs="宋体"/>
          <w:color w:val="auto"/>
          <w:sz w:val="18"/>
          <w:szCs w:val="18"/>
          <w:highlight w:val="none"/>
          <w:u w:val="single"/>
        </w:rPr>
        <w:t>颁发最终结清证书的14天内</w:t>
      </w:r>
      <w:r>
        <w:rPr>
          <w:rFonts w:hint="eastAsia" w:ascii="宋体" w:hAnsi="宋体" w:eastAsia="宋体" w:cs="宋体"/>
          <w:color w:val="auto"/>
          <w:sz w:val="18"/>
          <w:szCs w:val="18"/>
          <w:highlight w:val="none"/>
        </w:rPr>
        <w:t>。</w:t>
      </w:r>
    </w:p>
    <w:p w14:paraId="2DB51D5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本条补充14.5款：</w:t>
      </w:r>
    </w:p>
    <w:bookmarkEnd w:id="1111"/>
    <w:bookmarkEnd w:id="1112"/>
    <w:bookmarkEnd w:id="1113"/>
    <w:bookmarkEnd w:id="1114"/>
    <w:bookmarkEnd w:id="1115"/>
    <w:bookmarkEnd w:id="1116"/>
    <w:bookmarkEnd w:id="1117"/>
    <w:bookmarkEnd w:id="1118"/>
    <w:p w14:paraId="3F38617F">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52" w:name="_Toc532377397"/>
      <w:bookmarkStart w:id="1153" w:name="_Toc532375660"/>
      <w:r>
        <w:rPr>
          <w:rFonts w:hint="eastAsia" w:ascii="宋体" w:hAnsi="宋体" w:eastAsia="宋体" w:cs="宋体"/>
          <w:color w:val="auto"/>
          <w:sz w:val="18"/>
          <w:szCs w:val="18"/>
          <w:highlight w:val="none"/>
        </w:rPr>
        <w:t>14.5 逾期办理或不配合办理竣工结算的处理</w:t>
      </w:r>
      <w:bookmarkEnd w:id="1152"/>
      <w:bookmarkEnd w:id="1153"/>
    </w:p>
    <w:p w14:paraId="5B53941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有下列情形之一的，视为承包人放弃与发包人共同办理竣工结算的权利，发包人有权会同跟审单位、监理人根据有效资料共同确定竣工结算金额。</w:t>
      </w:r>
    </w:p>
    <w:p w14:paraId="16F96C5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（1）承包人逾期未报送竣工结算资料，亦未获得发包人批准延期报送，经发包人两</w:t>
      </w:r>
      <w:bookmarkStart w:id="1154" w:name="_Hlk529133622"/>
      <w:r>
        <w:rPr>
          <w:rFonts w:hint="eastAsia" w:ascii="宋体" w:hAnsi="宋体" w:eastAsia="宋体" w:cs="宋体"/>
          <w:color w:val="auto"/>
          <w:sz w:val="18"/>
          <w:szCs w:val="18"/>
          <w:highlight w:val="none"/>
        </w:rPr>
        <w:t>次书面催告仍未在限期内报送的</w:t>
      </w:r>
      <w:bookmarkEnd w:id="1154"/>
      <w:r>
        <w:rPr>
          <w:rFonts w:hint="eastAsia" w:ascii="宋体" w:hAnsi="宋体" w:eastAsia="宋体" w:cs="宋体"/>
          <w:color w:val="auto"/>
          <w:sz w:val="18"/>
          <w:szCs w:val="18"/>
          <w:highlight w:val="none"/>
        </w:rPr>
        <w:t>；</w:t>
      </w:r>
    </w:p>
    <w:p w14:paraId="52ED41F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7AC661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（3）承包人不配合发包人、跟审单位、监理人、发包人委托的工程造价咨询服务单位办理竣工结算的，经发包人两次书面函告仍未改正的。</w:t>
      </w:r>
    </w:p>
    <w:p w14:paraId="582D131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6BBB7BE1">
      <w:pPr>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18"/>
          <w:szCs w:val="18"/>
          <w:highlight w:val="none"/>
        </w:rPr>
        <w:t>。</w:t>
      </w:r>
    </w:p>
    <w:bookmarkEnd w:id="1048"/>
    <w:bookmarkEnd w:id="1049"/>
    <w:bookmarkEnd w:id="1050"/>
    <w:bookmarkEnd w:id="1051"/>
    <w:bookmarkEnd w:id="1052"/>
    <w:bookmarkEnd w:id="1053"/>
    <w:bookmarkEnd w:id="1054"/>
    <w:bookmarkEnd w:id="1055"/>
    <w:p w14:paraId="3F98592E">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155" w:name="_Toc532377398"/>
      <w:bookmarkStart w:id="1156" w:name="_Toc532375661"/>
      <w:bookmarkStart w:id="1157" w:name="_Toc351203647"/>
      <w:bookmarkStart w:id="1158" w:name="_Toc267251483"/>
      <w:bookmarkStart w:id="1159" w:name="_Toc280868717"/>
      <w:bookmarkStart w:id="1160" w:name="_Toc280868718"/>
      <w:r>
        <w:rPr>
          <w:rFonts w:hint="eastAsia" w:ascii="宋体" w:hAnsi="宋体" w:eastAsia="宋体" w:cs="宋体"/>
          <w:color w:val="auto"/>
          <w:kern w:val="2"/>
          <w:sz w:val="18"/>
          <w:szCs w:val="18"/>
          <w:highlight w:val="none"/>
        </w:rPr>
        <w:t>15. 缺陷责任期与保修</w:t>
      </w:r>
      <w:bookmarkEnd w:id="1155"/>
      <w:bookmarkEnd w:id="1156"/>
      <w:bookmarkEnd w:id="1157"/>
    </w:p>
    <w:bookmarkEnd w:id="1158"/>
    <w:p w14:paraId="22CB9FEC">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61" w:name="_Toc532377399"/>
      <w:bookmarkStart w:id="1162" w:name="_Toc532375662"/>
      <w:r>
        <w:rPr>
          <w:rFonts w:hint="eastAsia" w:ascii="宋体" w:hAnsi="宋体" w:eastAsia="宋体" w:cs="宋体"/>
          <w:color w:val="auto"/>
          <w:sz w:val="18"/>
          <w:szCs w:val="18"/>
          <w:highlight w:val="none"/>
        </w:rPr>
        <w:t>15.3 质量保证金</w:t>
      </w:r>
      <w:bookmarkEnd w:id="1161"/>
      <w:bookmarkEnd w:id="1162"/>
    </w:p>
    <w:p w14:paraId="71BD283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15.3.1 承包人提供质量保证金的方式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一次性缴纳</w:t>
      </w:r>
      <w:r>
        <w:rPr>
          <w:rFonts w:hint="eastAsia" w:ascii="宋体" w:hAnsi="宋体" w:eastAsia="宋体" w:cs="宋体"/>
          <w:color w:val="auto"/>
          <w:sz w:val="18"/>
          <w:szCs w:val="18"/>
          <w:highlight w:val="none"/>
        </w:rPr>
        <w:t>竣工结算价的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3%</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FC41B3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）其他方式：</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5C5C000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15.3.3质量保证金的退还</w:t>
      </w:r>
    </w:p>
    <w:p w14:paraId="7ED50D4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（1）在发包人颁发缺陷责任期终止证书之日起14天内退还。</w:t>
      </w:r>
    </w:p>
    <w:p w14:paraId="3F95689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（2）缺陷责任期内，承包人认真履行合同约定的责任，到期后，承包人可向发包人申请返还质量保证金。</w:t>
      </w:r>
    </w:p>
    <w:p w14:paraId="4B37CC1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（3）质量保证金是否支付利息采取以下</w:t>
      </w:r>
      <w:r>
        <w:rPr>
          <w:rFonts w:hint="eastAsia" w:ascii="宋体" w:hAnsi="宋体" w:eastAsia="宋体" w:cs="宋体"/>
          <w:color w:val="auto"/>
          <w:sz w:val="18"/>
          <w:szCs w:val="18"/>
          <w:highlight w:val="none"/>
          <w:u w:val="single"/>
        </w:rPr>
        <w:t>第②种</w:t>
      </w:r>
      <w:r>
        <w:rPr>
          <w:rFonts w:hint="eastAsia" w:ascii="宋体" w:hAnsi="宋体" w:eastAsia="宋体" w:cs="宋体"/>
          <w:color w:val="auto"/>
          <w:sz w:val="18"/>
          <w:szCs w:val="18"/>
          <w:highlight w:val="none"/>
        </w:rPr>
        <w:t>方式：</w:t>
      </w:r>
    </w:p>
    <w:p w14:paraId="3210DDA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①按照中国人民银行  年  月公布的5年期贷款市场报价利率支付利息</w:t>
      </w:r>
      <w:r>
        <w:rPr>
          <w:rFonts w:hint="eastAsia" w:ascii="宋体" w:hAnsi="宋体" w:eastAsia="宋体" w:cs="宋体"/>
          <w:color w:val="auto"/>
          <w:sz w:val="18"/>
          <w:szCs w:val="18"/>
          <w:highlight w:val="none"/>
        </w:rPr>
        <w:t>。</w:t>
      </w:r>
    </w:p>
    <w:p w14:paraId="42A972C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②不采用</w:t>
      </w:r>
      <w:r>
        <w:rPr>
          <w:rFonts w:hint="eastAsia" w:ascii="宋体" w:hAnsi="宋体" w:eastAsia="宋体" w:cs="宋体"/>
          <w:color w:val="auto"/>
          <w:sz w:val="18"/>
          <w:szCs w:val="18"/>
          <w:highlight w:val="none"/>
        </w:rPr>
        <w:t>。</w:t>
      </w:r>
    </w:p>
    <w:p w14:paraId="6BD3EDC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63" w:name="_Toc532375663"/>
      <w:bookmarkStart w:id="1164" w:name="_Toc532377400"/>
      <w:r>
        <w:rPr>
          <w:rFonts w:hint="eastAsia" w:ascii="宋体" w:hAnsi="宋体" w:eastAsia="宋体" w:cs="宋体"/>
          <w:color w:val="auto"/>
          <w:sz w:val="18"/>
          <w:szCs w:val="18"/>
          <w:highlight w:val="none"/>
        </w:rPr>
        <w:t>15.4 保修</w:t>
      </w:r>
      <w:bookmarkEnd w:id="1163"/>
      <w:bookmarkEnd w:id="1164"/>
    </w:p>
    <w:p w14:paraId="17991A6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15.4.1 保修责任</w:t>
      </w:r>
    </w:p>
    <w:p w14:paraId="42424CF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工程保修期为：</w:t>
      </w:r>
      <w:bookmarkStart w:id="1165" w:name="_Hlk524381274"/>
      <w:r>
        <w:rPr>
          <w:rFonts w:hint="eastAsia" w:ascii="宋体" w:hAnsi="宋体" w:eastAsia="宋体" w:cs="宋体"/>
          <w:color w:val="auto"/>
          <w:sz w:val="18"/>
          <w:szCs w:val="18"/>
          <w:highlight w:val="none"/>
        </w:rPr>
        <w:t>按照附件1《工程质量保修书》的规定执行。</w:t>
      </w:r>
      <w:bookmarkEnd w:id="1165"/>
    </w:p>
    <w:p w14:paraId="4E02821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15.4.3 修复通知</w:t>
      </w:r>
    </w:p>
    <w:p w14:paraId="1B396EC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承包人收到保修通知并到达工程现场的合理时间：</w:t>
      </w:r>
      <w:r>
        <w:rPr>
          <w:rFonts w:hint="eastAsia" w:ascii="宋体" w:hAnsi="宋体" w:eastAsia="宋体" w:cs="宋体"/>
          <w:color w:val="auto"/>
          <w:sz w:val="18"/>
          <w:szCs w:val="18"/>
          <w:highlight w:val="none"/>
          <w:u w:val="single"/>
        </w:rPr>
        <w:t xml:space="preserve">  小时内，最长不能超过  小时</w:t>
      </w:r>
      <w:r>
        <w:rPr>
          <w:rFonts w:hint="eastAsia" w:ascii="宋体" w:hAnsi="宋体" w:eastAsia="宋体" w:cs="宋体"/>
          <w:color w:val="auto"/>
          <w:sz w:val="18"/>
          <w:szCs w:val="18"/>
          <w:highlight w:val="none"/>
        </w:rPr>
        <w:t>。</w:t>
      </w:r>
    </w:p>
    <w:p w14:paraId="7DC5F67A">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166" w:name="_Toc532375664"/>
      <w:bookmarkStart w:id="1167" w:name="_Toc532377401"/>
      <w:bookmarkStart w:id="1168" w:name="_Toc351203648"/>
      <w:r>
        <w:rPr>
          <w:rFonts w:hint="eastAsia" w:ascii="宋体" w:hAnsi="宋体" w:eastAsia="宋体" w:cs="宋体"/>
          <w:color w:val="auto"/>
          <w:kern w:val="2"/>
          <w:sz w:val="18"/>
          <w:szCs w:val="18"/>
          <w:highlight w:val="none"/>
        </w:rPr>
        <w:t>16. 违约</w:t>
      </w:r>
      <w:bookmarkEnd w:id="1166"/>
      <w:bookmarkEnd w:id="1167"/>
      <w:bookmarkEnd w:id="1168"/>
    </w:p>
    <w:p w14:paraId="4420B544">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69" w:name="_Toc532377402"/>
      <w:r>
        <w:rPr>
          <w:rFonts w:hint="eastAsia" w:ascii="宋体" w:hAnsi="宋体" w:eastAsia="宋体" w:cs="宋体"/>
          <w:color w:val="auto"/>
          <w:sz w:val="18"/>
          <w:szCs w:val="18"/>
          <w:highlight w:val="none"/>
        </w:rPr>
        <w:t>16.1 发包人违约</w:t>
      </w:r>
      <w:bookmarkEnd w:id="1169"/>
    </w:p>
    <w:p w14:paraId="585D837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16.1.1 发包人违约的情形</w:t>
      </w:r>
    </w:p>
    <w:p w14:paraId="05FC22D6">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除通用合同条款约定外，发包人违约的其他情形：</w:t>
      </w:r>
    </w:p>
    <w:p w14:paraId="44DCCAB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（1）根据专用合同条款7.5.1项因发包人原因导致工期延误的；</w:t>
      </w:r>
    </w:p>
    <w:p w14:paraId="0ECB6E77">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（2）因发包人原因未能及时办理完毕合同约定的许可、批准或备案的；</w:t>
      </w:r>
    </w:p>
    <w:p w14:paraId="199F800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（3）因监理人未能按合同约定发出指示、指示延误或发出了错误指示而导致承包人费用增加和（或）工期延误的；</w:t>
      </w:r>
    </w:p>
    <w:p w14:paraId="53867DC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（4）根据5.3.3发包人或监理人要求重新检查的，经检查证明工程质量符合合同要求的，并由此产生增加的费用和（或）延误的工期的；</w:t>
      </w:r>
    </w:p>
    <w:p w14:paraId="32B0D45C">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（5）因发包人原因造成工程质量未达到合同约定标准的；</w:t>
      </w:r>
    </w:p>
    <w:p w14:paraId="0F60692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（6）由于发包人原因对承包人造成的人员人身伤亡和财产损失的；</w:t>
      </w:r>
    </w:p>
    <w:p w14:paraId="4CC28749">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（7）因发包人原因导致工程无法按期办理竣工验收或竣工结算的；</w:t>
      </w:r>
    </w:p>
    <w:p w14:paraId="582406FF">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（8）发包人无正当理由未按约定退还履约担保、低价风险担保、预付款担保或质量保证金的；</w:t>
      </w:r>
    </w:p>
    <w:p w14:paraId="7B38BC72">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（9）发包人不当提取履约担保、低价风险担保或质量保证金的；</w:t>
      </w:r>
    </w:p>
    <w:p w14:paraId="6745E806">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（10）发包人未按合同约定接收全部或部分工作的；</w:t>
      </w:r>
    </w:p>
    <w:p w14:paraId="522A87BD">
      <w:pPr>
        <w:pStyle w:val="50"/>
        <w:spacing w:line="360" w:lineRule="auto"/>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（11）发包人未按合同约定办理保险的；</w:t>
      </w:r>
    </w:p>
    <w:p w14:paraId="77406391">
      <w:pPr>
        <w:snapToGrid w:val="0"/>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u w:val="single"/>
        </w:rPr>
        <w:t xml:space="preserve">（12）其他：        </w:t>
      </w:r>
      <w:r>
        <w:rPr>
          <w:rFonts w:hint="eastAsia" w:ascii="宋体" w:hAnsi="宋体" w:eastAsia="宋体" w:cs="宋体"/>
          <w:color w:val="auto"/>
          <w:kern w:val="0"/>
          <w:sz w:val="18"/>
          <w:szCs w:val="18"/>
          <w:highlight w:val="none"/>
        </w:rPr>
        <w:t>。</w:t>
      </w:r>
    </w:p>
    <w:p w14:paraId="73B4DF94">
      <w:pPr>
        <w:pStyle w:val="5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16.1.2发包人违约的责任</w:t>
      </w:r>
    </w:p>
    <w:p w14:paraId="3768966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（1）因发包人原因未能及时办理完毕前述许可、批准或备案的违约责任：由发包人承担由此增加的费用和（或）顺延工期，并支付合理利润，具体索赔程序按照第19条〔索赔〕约定执行。</w:t>
      </w:r>
    </w:p>
    <w:p w14:paraId="54CF9978">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CB2A26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（3）因发包人原因导致工期延误的违约责任：由发包人承担由此增加的费用和（或）顺延工期，并支付合理利润，具体索赔程序按照第19条〔索赔〕约定执行。</w:t>
      </w:r>
    </w:p>
    <w:p w14:paraId="2B6BE01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（4）因发包人原因未能在计划开工日期前7天内下达开工通知的违约责任：由发包人承担由此增加的费用和（或）顺延工期，并支付合理利润，具体索赔程序按照第19条〔索赔〕约定执行。</w:t>
      </w:r>
    </w:p>
    <w:p w14:paraId="08A004B2">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041760D9">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（6）因发包人原因未按合同约定支付合同价款的违约责任：发包人应向承包人支付违约金，自应当支付之日起28天后开始计算违约金，计算公式：</w:t>
      </w:r>
      <w:r>
        <w:rPr>
          <w:rFonts w:hint="eastAsia" w:ascii="宋体" w:hAnsi="宋体" w:eastAsia="宋体" w:cs="宋体"/>
          <w:color w:val="auto"/>
          <w:kern w:val="0"/>
          <w:sz w:val="18"/>
          <w:szCs w:val="18"/>
          <w:highlight w:val="none"/>
          <w:u w:val="single"/>
        </w:rPr>
        <w:t>违约金=应付未付金额×中国人民银行  年  月公布的5年期贷款市场报价利率/360天×逾期天数</w:t>
      </w:r>
      <w:r>
        <w:rPr>
          <w:rFonts w:hint="eastAsia" w:ascii="宋体" w:hAnsi="宋体" w:eastAsia="宋体" w:cs="宋体"/>
          <w:color w:val="auto"/>
          <w:sz w:val="18"/>
          <w:szCs w:val="18"/>
          <w:highlight w:val="none"/>
          <w:u w:val="single"/>
        </w:rPr>
        <w:t>（自第29天起计算）</w:t>
      </w:r>
      <w:r>
        <w:rPr>
          <w:rFonts w:hint="eastAsia" w:ascii="宋体" w:hAnsi="宋体" w:eastAsia="宋体" w:cs="宋体"/>
          <w:color w:val="auto"/>
          <w:kern w:val="0"/>
          <w:sz w:val="18"/>
          <w:szCs w:val="18"/>
          <w:highlight w:val="none"/>
          <w:u w:val="single"/>
        </w:rPr>
        <w:t>；逾期天数超过56天的，超过部分天数按上述利率的两倍计算并支付违约金</w:t>
      </w:r>
      <w:r>
        <w:rPr>
          <w:rFonts w:hint="eastAsia" w:ascii="宋体" w:hAnsi="宋体" w:eastAsia="宋体" w:cs="宋体"/>
          <w:color w:val="auto"/>
          <w:kern w:val="0"/>
          <w:sz w:val="18"/>
          <w:szCs w:val="18"/>
          <w:highlight w:val="none"/>
        </w:rPr>
        <w:t>。</w:t>
      </w:r>
    </w:p>
    <w:p w14:paraId="145CCA05">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（7）发包人违反合同约定，自行实施或转由他人实施被取消的合同工作内容的违约责任：由发包人承担由此给承包人造成的实际损失并支付合理利润。</w:t>
      </w:r>
    </w:p>
    <w:p w14:paraId="3B767BBE">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5CC5AECC">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（9）因发包人原因造成工程质量未达到合同约定标准的，由发包人承担由此增加的费用和（或）延误的工期，并支付合理利润。</w:t>
      </w:r>
    </w:p>
    <w:p w14:paraId="5AEAF243">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（10）因发包人违反合同约定造成暂停施工的违约责任：由发包人承担由此增加的费用和（或）顺延工期，并支付合理利润，具体索赔程序按照第19条〔索赔〕约定执行。</w:t>
      </w:r>
    </w:p>
    <w:p w14:paraId="7A7600EA">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1B7049AA">
      <w:pPr>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（12）因发包人原因导致工程无法按期办理竣工验收或竣工结算的违约责任：由发包人承担由此增加的费用和（或）顺延工期，并支付合理利润，具体索赔程序按照第19条〔索赔〕约定执行。</w:t>
      </w:r>
    </w:p>
    <w:p w14:paraId="741CC578">
      <w:pPr>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sz w:val="18"/>
          <w:szCs w:val="18"/>
          <w:highlight w:val="none"/>
        </w:rPr>
        <w:t>（13）</w:t>
      </w:r>
      <w:r>
        <w:rPr>
          <w:rFonts w:hint="eastAsia" w:ascii="宋体" w:hAnsi="宋体" w:eastAsia="宋体" w:cs="宋体"/>
          <w:color w:val="auto"/>
          <w:kern w:val="0"/>
          <w:sz w:val="18"/>
          <w:szCs w:val="18"/>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eastAsia="宋体" w:cs="宋体"/>
          <w:color w:val="auto"/>
          <w:kern w:val="0"/>
          <w:sz w:val="18"/>
          <w:szCs w:val="18"/>
          <w:highlight w:val="none"/>
          <w:u w:val="single"/>
        </w:rPr>
        <w:t>计算公式：违约金=应退未退担保金额×中国人民银行  年  月公布的5年期贷款市场报价利率/360天×逾期天数</w:t>
      </w:r>
      <w:r>
        <w:rPr>
          <w:rFonts w:hint="eastAsia" w:ascii="宋体" w:hAnsi="宋体" w:eastAsia="宋体" w:cs="宋体"/>
          <w:color w:val="auto"/>
          <w:sz w:val="18"/>
          <w:szCs w:val="18"/>
          <w:highlight w:val="none"/>
          <w:u w:val="single"/>
        </w:rPr>
        <w:t>（自第29天起计算）</w:t>
      </w:r>
      <w:r>
        <w:rPr>
          <w:rFonts w:hint="eastAsia" w:ascii="宋体" w:hAnsi="宋体" w:eastAsia="宋体" w:cs="宋体"/>
          <w:color w:val="auto"/>
          <w:kern w:val="0"/>
          <w:sz w:val="18"/>
          <w:szCs w:val="18"/>
          <w:highlight w:val="none"/>
        </w:rPr>
        <w:t>。</w:t>
      </w:r>
    </w:p>
    <w:p w14:paraId="34BBA0A1">
      <w:pPr>
        <w:pStyle w:val="2"/>
        <w:spacing w:after="0"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r>
        <w:rPr>
          <w:rFonts w:hint="eastAsia" w:ascii="宋体" w:hAnsi="宋体" w:eastAsia="宋体" w:cs="宋体"/>
          <w:color w:val="auto"/>
          <w:sz w:val="18"/>
          <w:szCs w:val="18"/>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s="宋体"/>
          <w:color w:val="auto"/>
          <w:sz w:val="18"/>
          <w:szCs w:val="18"/>
          <w:highlight w:val="none"/>
          <w:u w:val="single"/>
        </w:rPr>
        <w:t>计算公式：违约金=不当提取的担保金额×中国人民银行  年  月公布的5年期贷款市场报价利率/360天×逾期天数（自第29天起计算）</w:t>
      </w:r>
      <w:r>
        <w:rPr>
          <w:rFonts w:hint="eastAsia" w:ascii="宋体" w:hAnsi="宋体" w:eastAsia="宋体" w:cs="宋体"/>
          <w:color w:val="auto"/>
          <w:sz w:val="18"/>
          <w:szCs w:val="18"/>
          <w:highlight w:val="none"/>
        </w:rPr>
        <w:t>。</w:t>
      </w:r>
    </w:p>
    <w:p w14:paraId="6BC06546">
      <w:pPr>
        <w:pStyle w:val="2"/>
        <w:spacing w:after="0"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（15）发包人未按合同约定接收全部或部分工作的违约责任：由发包人承担自应当接收工程之日起的工程照管、成品保护、保管等与工程有关的各项费用。</w:t>
      </w:r>
    </w:p>
    <w:p w14:paraId="5C7F716E">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（16）由于发包人原因对承包人造成的人员人身伤亡和财产损失的，由发包人负责赔偿，并承担由此增加的费用和（或）延误的工期，并支付合理利润。</w:t>
      </w:r>
    </w:p>
    <w:p w14:paraId="2C928DDC">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（17）发包人未按合同约定办理保险的违约责任：除按18.6.1项约定执行外，每延迟1天，按</w:t>
      </w:r>
      <w:r>
        <w:rPr>
          <w:rFonts w:hint="eastAsia" w:ascii="宋体" w:hAnsi="宋体" w:eastAsia="宋体" w:cs="宋体"/>
          <w:color w:val="auto"/>
          <w:kern w:val="0"/>
          <w:sz w:val="18"/>
          <w:szCs w:val="18"/>
          <w:highlight w:val="none"/>
          <w:u w:val="single"/>
        </w:rPr>
        <w:t>500元/天</w:t>
      </w:r>
      <w:r>
        <w:rPr>
          <w:rFonts w:hint="eastAsia" w:ascii="宋体" w:hAnsi="宋体" w:eastAsia="宋体" w:cs="宋体"/>
          <w:color w:val="auto"/>
          <w:kern w:val="0"/>
          <w:sz w:val="18"/>
          <w:szCs w:val="18"/>
          <w:highlight w:val="none"/>
        </w:rPr>
        <w:t>支付违约金。</w:t>
      </w:r>
    </w:p>
    <w:p w14:paraId="337CE372">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（18）其他：</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25679456">
      <w:pPr>
        <w:autoSpaceDE w:val="0"/>
        <w:autoSpaceDN w:val="0"/>
        <w:adjustRightIn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7558B19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16.1.3 因发包人违约解除合同</w:t>
      </w:r>
    </w:p>
    <w:p w14:paraId="0940F235">
      <w:pPr>
        <w:autoSpaceDE w:val="0"/>
        <w:autoSpaceDN w:val="0"/>
        <w:adjustRightIn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因发包人违约并致使合同目的不能实现的，承包人有权解除合同：</w:t>
      </w:r>
    </w:p>
    <w:p w14:paraId="66D240CE">
      <w:pPr>
        <w:autoSpaceDE w:val="0"/>
        <w:autoSpaceDN w:val="0"/>
        <w:adjustRightIn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（1）因发包人原因延迟支付合同价款超过180天的；</w:t>
      </w:r>
    </w:p>
    <w:p w14:paraId="3AAAE0E4">
      <w:pPr>
        <w:autoSpaceDE w:val="0"/>
        <w:autoSpaceDN w:val="0"/>
        <w:adjustRightIn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（2）因发包人原因导致工期延误超过90天的；</w:t>
      </w:r>
    </w:p>
    <w:p w14:paraId="0AFDCF8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（3）因发包人第16.1.2（5）违约情形导致暂停施工满56天，且发包人仍未纠正其违约行为的；</w:t>
      </w:r>
    </w:p>
    <w:p w14:paraId="4AA347B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（4）其他未履行合同项下的义务构成对合同的实质性违约，并且在收到承包人要求说明其违约并予以补救的通知后56天内仍未补救该实质性违约的；</w:t>
      </w:r>
    </w:p>
    <w:p w14:paraId="3692A4A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u w:val="single"/>
        </w:rPr>
        <w:t>合同约定的承包人有权解除合同的其他情形</w:t>
      </w:r>
      <w:r>
        <w:rPr>
          <w:rFonts w:hint="eastAsia" w:ascii="宋体" w:hAnsi="宋体" w:eastAsia="宋体" w:cs="宋体"/>
          <w:color w:val="auto"/>
          <w:kern w:val="0"/>
          <w:sz w:val="18"/>
          <w:szCs w:val="18"/>
          <w:highlight w:val="none"/>
        </w:rPr>
        <w:t>。</w:t>
      </w:r>
    </w:p>
    <w:p w14:paraId="1A5CA3B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16.1.4 因发包人违约解除合同后的付款</w:t>
      </w:r>
    </w:p>
    <w:p w14:paraId="6DBEDB5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承包人按照本款约定解除合同的，发包人应在解除合同后28天内支付下列款项，并解除履约担保、低价风险担保、预付款担保：</w:t>
      </w:r>
    </w:p>
    <w:p w14:paraId="7977D62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（1）合同解除前所完成工作的价款；</w:t>
      </w:r>
    </w:p>
    <w:p w14:paraId="619715B6">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（2）承包人为工程施工订购并已付款的材料、工程设备和其他物品的价款；</w:t>
      </w:r>
    </w:p>
    <w:p w14:paraId="4297954E">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（3）承包人撤离施工现场以及遣散承包人人员的款项；</w:t>
      </w:r>
    </w:p>
    <w:p w14:paraId="7807E034">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（4）按照合同约定在合同解除前应支付的违约金；</w:t>
      </w:r>
    </w:p>
    <w:p w14:paraId="615CAD76">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（5）按照合同约定应当支付给承包人的其他款项；</w:t>
      </w:r>
    </w:p>
    <w:p w14:paraId="6D229B76">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（6）按照合同约定应退还的质量保证金；</w:t>
      </w:r>
    </w:p>
    <w:p w14:paraId="1AD380A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（7）因解除合同给承包人造成的损失；</w:t>
      </w:r>
    </w:p>
    <w:p w14:paraId="62E39E89">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r>
        <w:rPr>
          <w:rFonts w:hint="eastAsia" w:ascii="宋体" w:hAnsi="宋体" w:eastAsia="宋体" w:cs="宋体"/>
          <w:color w:val="auto"/>
          <w:kern w:val="0"/>
          <w:sz w:val="18"/>
          <w:szCs w:val="18"/>
          <w:highlight w:val="none"/>
          <w:u w:val="single"/>
        </w:rPr>
        <w:t xml:space="preserve">        。</w:t>
      </w:r>
    </w:p>
    <w:p w14:paraId="1F2F606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合同当事人未能就解除合同后的结清达成一致的，按照第20条〔争议解决〕的约定处理。</w:t>
      </w:r>
    </w:p>
    <w:p w14:paraId="6084251F">
      <w:pPr>
        <w:snapToGrid w:val="0"/>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承包人应妥善做好已完工程和与工程有关的已购材料、工程设备的保护和移交工作，并将施工设备和人员撤出施工现场，发包人应为承包人撤出提供必要条件。</w:t>
      </w:r>
    </w:p>
    <w:p w14:paraId="2ADD009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70" w:name="_Toc532377403"/>
      <w:r>
        <w:rPr>
          <w:rFonts w:hint="eastAsia" w:ascii="宋体" w:hAnsi="宋体" w:eastAsia="宋体" w:cs="宋体"/>
          <w:color w:val="auto"/>
          <w:sz w:val="18"/>
          <w:szCs w:val="18"/>
          <w:highlight w:val="none"/>
        </w:rPr>
        <w:t>16.2 承包人违约</w:t>
      </w:r>
      <w:bookmarkEnd w:id="1170"/>
    </w:p>
    <w:p w14:paraId="656ECED9">
      <w:pPr>
        <w:snapToGrid w:val="0"/>
        <w:spacing w:line="360" w:lineRule="auto"/>
        <w:ind w:firstLine="360" w:firstLineChars="200"/>
        <w:jc w:val="left"/>
        <w:rPr>
          <w:rFonts w:hint="eastAsia" w:ascii="宋体" w:hAnsi="宋体" w:eastAsia="宋体" w:cs="宋体"/>
          <w:color w:val="auto"/>
          <w:kern w:val="0"/>
          <w:sz w:val="18"/>
          <w:szCs w:val="18"/>
          <w:highlight w:val="none"/>
        </w:rPr>
      </w:pPr>
      <w:bookmarkStart w:id="1171" w:name="_Hlk524380579"/>
      <w:r>
        <w:rPr>
          <w:rFonts w:hint="eastAsia" w:ascii="宋体" w:hAnsi="宋体" w:eastAsia="宋体" w:cs="宋体"/>
          <w:color w:val="auto"/>
          <w:kern w:val="0"/>
          <w:sz w:val="18"/>
          <w:szCs w:val="18"/>
          <w:highlight w:val="none"/>
        </w:rPr>
        <w:t>16.2.1 承包人违约的情形</w:t>
      </w:r>
    </w:p>
    <w:p w14:paraId="15475E05">
      <w:pPr>
        <w:snapToGrid w:val="0"/>
        <w:spacing w:line="360" w:lineRule="auto"/>
        <w:ind w:firstLine="360" w:firstLineChars="200"/>
        <w:jc w:val="lef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除通用合同条款约定外，承包人违约的其他情形：</w:t>
      </w:r>
    </w:p>
    <w:p w14:paraId="2DC82DD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（1）承包人未按合同约定提交履约担保或质量保证金的；</w:t>
      </w:r>
    </w:p>
    <w:p w14:paraId="31CECCF6">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（2）承包人未能按期开工的；</w:t>
      </w:r>
    </w:p>
    <w:p w14:paraId="69782DE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（3）承包人未按</w:t>
      </w:r>
      <w:r>
        <w:rPr>
          <w:rFonts w:hint="eastAsia" w:ascii="宋体" w:hAnsi="宋体" w:eastAsia="宋体" w:cs="宋体"/>
          <w:color w:val="auto"/>
          <w:kern w:val="0"/>
          <w:sz w:val="18"/>
          <w:szCs w:val="18"/>
          <w:highlight w:val="none"/>
          <w:lang w:eastAsia="zh-CN"/>
        </w:rPr>
        <w:t>竞标文件</w:t>
      </w:r>
      <w:r>
        <w:rPr>
          <w:rFonts w:hint="eastAsia" w:ascii="宋体" w:hAnsi="宋体" w:eastAsia="宋体" w:cs="宋体"/>
          <w:color w:val="auto"/>
          <w:kern w:val="0"/>
          <w:sz w:val="18"/>
          <w:szCs w:val="18"/>
          <w:highlight w:val="none"/>
        </w:rPr>
        <w:t>或监理人的要求及时配备称职的主要管理人员，或承包人未按经审定的施工组织设计配备或更换关键施工设备的；</w:t>
      </w:r>
    </w:p>
    <w:p w14:paraId="6D61CD6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（4）承包人有安全问题或有违反安全管理规章制度情况的；</w:t>
      </w:r>
    </w:p>
    <w:p w14:paraId="1C489E8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（5）承包人在缺陷责任期及保修期内，未能在合理期限对工程缺陷进行修复，或拒绝按发包人要求进行修复的；</w:t>
      </w:r>
    </w:p>
    <w:p w14:paraId="2A083390">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（6）承包人拖欠其工人或所雇人员工资或报酬，导致其工人或所雇人员向有关部门投诉、控告、检举或以聚集等方式讨要工资或报酬的；</w:t>
      </w:r>
    </w:p>
    <w:p w14:paraId="40457797">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（7）承包人不配合发包人、监理人及发包人委托的工程造价咨询服务单位结算审核或承包人其他原因导致未按期完成工程竣工结算的；</w:t>
      </w:r>
    </w:p>
    <w:p w14:paraId="1894D92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（8）承包人违反合同约定进行转包或违法分包的；</w:t>
      </w:r>
    </w:p>
    <w:p w14:paraId="63EDE477">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（9）承包人未按合同约定移交全部或部分工作的；</w:t>
      </w:r>
    </w:p>
    <w:p w14:paraId="7145E3A4">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（10）承包人未按合同约定购买保险的；</w:t>
      </w:r>
    </w:p>
    <w:p w14:paraId="7FF10149">
      <w:pPr>
        <w:snapToGrid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（11）项目经理若有以下情形，属于承包人违约：</w:t>
      </w:r>
    </w:p>
    <w:p w14:paraId="2F4B3E6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1）项目经理不按承诺到岗的；</w:t>
      </w:r>
    </w:p>
    <w:p w14:paraId="3778083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2）每月在施工现场的天数少于约定天数的；</w:t>
      </w:r>
    </w:p>
    <w:p w14:paraId="6E9D8464">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3）承包人未提交项目经理劳动合同和社会保险证明的；</w:t>
      </w:r>
    </w:p>
    <w:p w14:paraId="68A4671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4）未经批准，擅自离开施工现场（超过约定时间）的；</w:t>
      </w:r>
    </w:p>
    <w:p w14:paraId="43574BA3">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5）未经批准，擅自变更项目经理的；</w:t>
      </w:r>
    </w:p>
    <w:p w14:paraId="0C0985D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6）按照渝建发〔2015〕35号文的要求，施工期间，项目经理因在一个记分周期内累计记分达到12分，被建设行政主管部门依法责令停止执业的；</w:t>
      </w:r>
    </w:p>
    <w:p w14:paraId="5865005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7）发包人有正当理由认为项目经理不称职/不履职，且承包人在约定时间内不予更换的；</w:t>
      </w:r>
    </w:p>
    <w:p w14:paraId="48A98334">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8）其他双方约定的情形：</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02051006">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（12）技术负责人若有以下情形，属于承包人违约：</w:t>
      </w:r>
    </w:p>
    <w:p w14:paraId="753BFDA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1）每月在施工现场的天数少于约定天数的；</w:t>
      </w:r>
    </w:p>
    <w:p w14:paraId="48D68E73">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2）承包人未提交技术负责人劳动合同和社会保险证明的；</w:t>
      </w:r>
    </w:p>
    <w:p w14:paraId="01E1FAAC">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3）未经批准，擅自离开施工现场（超过约定时间）的；</w:t>
      </w:r>
    </w:p>
    <w:p w14:paraId="1205845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4）未经批准，擅自变更技术负责人的；</w:t>
      </w:r>
    </w:p>
    <w:p w14:paraId="4C1F98C3">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5）发包人有正当理由认为技术负责人不称职/不履职，且承包人在约定时间内不予更换的；</w:t>
      </w:r>
    </w:p>
    <w:p w14:paraId="27B216D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6）其他双方约定的情形：</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70D56B1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（13）主要施工管理人员若有以下情形，属于承包人违约：</w:t>
      </w:r>
    </w:p>
    <w:p w14:paraId="493CE61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1）承包人未提交主要施工管理人员劳动合同和社会保险证明的；</w:t>
      </w:r>
    </w:p>
    <w:p w14:paraId="5CE16FF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2）未经批准，擅自离开施工现场（超过约定时间）的；</w:t>
      </w:r>
    </w:p>
    <w:p w14:paraId="2AE6A32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3）未经批准，擅自变更主要施工管理人员的；</w:t>
      </w:r>
    </w:p>
    <w:p w14:paraId="51ACD88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4）发包人有正当理由认为主要施工管理人员不称职/不履职，且承包人在约定时间内不予更换的；</w:t>
      </w:r>
    </w:p>
    <w:p w14:paraId="74554A19">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5）其他双方约定的情形：</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bookmarkEnd w:id="1171"/>
    <w:p w14:paraId="671A2997">
      <w:pPr>
        <w:adjustRightInd w:val="0"/>
        <w:snapToGrid w:val="0"/>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（14）发包人在合同签订前对承包人已标价工程量清单清标时发现承包人的工程量清单综合单价报价超过</w:t>
      </w:r>
      <w:r>
        <w:rPr>
          <w:rFonts w:hint="eastAsia" w:ascii="宋体" w:hAnsi="宋体" w:eastAsia="宋体" w:cs="宋体"/>
          <w:color w:val="auto"/>
          <w:kern w:val="0"/>
          <w:sz w:val="18"/>
          <w:szCs w:val="18"/>
          <w:highlight w:val="none"/>
          <w:lang w:eastAsia="zh-CN"/>
        </w:rPr>
        <w:t>比选</w:t>
      </w:r>
      <w:r>
        <w:rPr>
          <w:rFonts w:hint="eastAsia" w:ascii="宋体" w:hAnsi="宋体" w:eastAsia="宋体" w:cs="宋体"/>
          <w:color w:val="auto"/>
          <w:kern w:val="0"/>
          <w:sz w:val="18"/>
          <w:szCs w:val="18"/>
          <w:highlight w:val="none"/>
        </w:rPr>
        <w:t>时给出的工程量清单综合单价最高限价，结算时拒不接受发包人以发出的工程量清单综合单价最高限价为基础，按照承包人的</w:t>
      </w:r>
      <w:r>
        <w:rPr>
          <w:rFonts w:hint="eastAsia" w:ascii="宋体" w:hAnsi="宋体" w:eastAsia="宋体" w:cs="宋体"/>
          <w:color w:val="auto"/>
          <w:kern w:val="0"/>
          <w:sz w:val="18"/>
          <w:szCs w:val="18"/>
          <w:highlight w:val="none"/>
          <w:lang w:eastAsia="zh-CN"/>
        </w:rPr>
        <w:t>中选</w:t>
      </w:r>
      <w:r>
        <w:rPr>
          <w:rFonts w:hint="eastAsia" w:ascii="宋体" w:hAnsi="宋体" w:eastAsia="宋体" w:cs="宋体"/>
          <w:color w:val="auto"/>
          <w:kern w:val="0"/>
          <w:sz w:val="18"/>
          <w:szCs w:val="18"/>
          <w:highlight w:val="none"/>
        </w:rPr>
        <w:t>总报价与本工程的总价最高限价的下浮比例进行同比例下调的。</w:t>
      </w:r>
    </w:p>
    <w:p w14:paraId="4ED7D3F9">
      <w:pPr>
        <w:adjustRightInd w:val="0"/>
        <w:snapToGrid w:val="0"/>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0AE3D1B1">
      <w:pPr>
        <w:adjustRightInd w:val="0"/>
        <w:snapToGrid w:val="0"/>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16.2.2 承包人违约的责任</w:t>
      </w:r>
    </w:p>
    <w:p w14:paraId="4063EE52">
      <w:pPr>
        <w:adjustRightInd w:val="0"/>
        <w:snapToGrid w:val="0"/>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承包人违约责任的承担方式和计算方法：</w:t>
      </w:r>
    </w:p>
    <w:p w14:paraId="54DE9AC8">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（1）承包人未按合同约定提交履约担保、质量保证金的违约责任：承包人应支付违约金，</w:t>
      </w:r>
      <w:r>
        <w:rPr>
          <w:rFonts w:hint="eastAsia" w:ascii="宋体" w:hAnsi="宋体" w:eastAsia="宋体" w:cs="宋体"/>
          <w:color w:val="auto"/>
          <w:sz w:val="18"/>
          <w:szCs w:val="18"/>
          <w:highlight w:val="none"/>
        </w:rPr>
        <w:t>违约金的计算方法：</w:t>
      </w:r>
      <w:r>
        <w:rPr>
          <w:rFonts w:hint="eastAsia" w:ascii="宋体" w:hAnsi="宋体" w:eastAsia="宋体" w:cs="宋体"/>
          <w:color w:val="auto"/>
          <w:kern w:val="0"/>
          <w:sz w:val="18"/>
          <w:szCs w:val="18"/>
          <w:highlight w:val="none"/>
        </w:rPr>
        <w:t>每延误1天，承包人按</w:t>
      </w:r>
      <w:r>
        <w:rPr>
          <w:rFonts w:hint="eastAsia" w:ascii="宋体" w:hAnsi="宋体" w:eastAsia="宋体" w:cs="宋体"/>
          <w:color w:val="auto"/>
          <w:kern w:val="0"/>
          <w:sz w:val="18"/>
          <w:szCs w:val="18"/>
          <w:highlight w:val="none"/>
          <w:u w:val="single"/>
        </w:rPr>
        <w:t xml:space="preserve">  （5000～50000）元/天</w:t>
      </w:r>
      <w:r>
        <w:rPr>
          <w:rFonts w:hint="eastAsia" w:ascii="宋体" w:hAnsi="宋体" w:eastAsia="宋体" w:cs="宋体"/>
          <w:color w:val="auto"/>
          <w:kern w:val="0"/>
          <w:sz w:val="18"/>
          <w:szCs w:val="18"/>
          <w:highlight w:val="none"/>
        </w:rPr>
        <w:t>计算违约金，累计违约金上限：</w:t>
      </w:r>
      <w:r>
        <w:rPr>
          <w:rFonts w:hint="eastAsia" w:ascii="宋体" w:hAnsi="宋体" w:eastAsia="宋体" w:cs="宋体"/>
          <w:color w:val="auto"/>
          <w:kern w:val="0"/>
          <w:sz w:val="18"/>
          <w:szCs w:val="18"/>
          <w:highlight w:val="none"/>
          <w:u w:val="single"/>
        </w:rPr>
        <w:t xml:space="preserve">  万元（不超过签约合同价的3%）</w:t>
      </w:r>
      <w:r>
        <w:rPr>
          <w:rFonts w:hint="eastAsia" w:ascii="宋体" w:hAnsi="宋体" w:eastAsia="宋体" w:cs="宋体"/>
          <w:color w:val="auto"/>
          <w:kern w:val="0"/>
          <w:sz w:val="18"/>
          <w:szCs w:val="18"/>
          <w:highlight w:val="none"/>
          <w:lang w:val="zh-CN"/>
        </w:rPr>
        <w:t>。</w:t>
      </w:r>
    </w:p>
    <w:p w14:paraId="6B5AD82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18"/>
          <w:szCs w:val="18"/>
          <w:highlight w:val="none"/>
          <w:u w:val="single"/>
        </w:rPr>
        <w:t xml:space="preserve">  （5～10）%</w:t>
      </w:r>
      <w:r>
        <w:rPr>
          <w:rFonts w:hint="eastAsia" w:ascii="宋体" w:hAnsi="宋体" w:eastAsia="宋体" w:cs="宋体"/>
          <w:color w:val="auto"/>
          <w:kern w:val="0"/>
          <w:sz w:val="18"/>
          <w:szCs w:val="18"/>
          <w:highlight w:val="none"/>
        </w:rPr>
        <w:t>支付违约金，违法转/分包商应在7天内撤离出场。</w:t>
      </w:r>
    </w:p>
    <w:p w14:paraId="0494920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18"/>
          <w:szCs w:val="18"/>
          <w:highlight w:val="none"/>
          <w:u w:val="single"/>
        </w:rPr>
        <w:t xml:space="preserve">  （5～10）%</w:t>
      </w:r>
      <w:r>
        <w:rPr>
          <w:rFonts w:hint="eastAsia" w:ascii="宋体" w:hAnsi="宋体" w:eastAsia="宋体" w:cs="宋体"/>
          <w:color w:val="auto"/>
          <w:kern w:val="0"/>
          <w:sz w:val="18"/>
          <w:szCs w:val="18"/>
          <w:highlight w:val="none"/>
        </w:rPr>
        <w:t>支付违约金。</w:t>
      </w:r>
    </w:p>
    <w:p w14:paraId="5CA2F64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18"/>
          <w:szCs w:val="18"/>
          <w:highlight w:val="none"/>
          <w:u w:val="single"/>
        </w:rPr>
        <w:t xml:space="preserve">  （5～10）%</w:t>
      </w:r>
      <w:r>
        <w:rPr>
          <w:rFonts w:hint="eastAsia" w:ascii="宋体" w:hAnsi="宋体" w:eastAsia="宋体" w:cs="宋体"/>
          <w:color w:val="auto"/>
          <w:kern w:val="0"/>
          <w:sz w:val="18"/>
          <w:szCs w:val="18"/>
          <w:highlight w:val="none"/>
        </w:rPr>
        <w:t>支付违约金。</w:t>
      </w:r>
    </w:p>
    <w:p w14:paraId="10834C37">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18"/>
          <w:szCs w:val="18"/>
          <w:highlight w:val="none"/>
          <w:u w:val="single"/>
        </w:rPr>
        <w:t xml:space="preserve">  （1～5）%</w:t>
      </w:r>
      <w:r>
        <w:rPr>
          <w:rFonts w:hint="eastAsia" w:ascii="宋体" w:hAnsi="宋体" w:eastAsia="宋体" w:cs="宋体"/>
          <w:color w:val="auto"/>
          <w:kern w:val="0"/>
          <w:sz w:val="18"/>
          <w:szCs w:val="18"/>
          <w:highlight w:val="none"/>
        </w:rPr>
        <w:t>支付违约金。</w:t>
      </w:r>
    </w:p>
    <w:p w14:paraId="3CB2679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（6）因承包人原因造成工期延误的违约承担方式和计算方法：由承包人承担由此增加的费用，</w:t>
      </w:r>
      <w:r>
        <w:rPr>
          <w:rFonts w:hint="eastAsia" w:ascii="宋体" w:hAnsi="宋体" w:eastAsia="宋体" w:cs="宋体"/>
          <w:color w:val="auto"/>
          <w:sz w:val="18"/>
          <w:szCs w:val="18"/>
          <w:highlight w:val="none"/>
        </w:rPr>
        <w:t>由此导致工期延误的，工期不予顺延；逾期竣工违约金的计算方法：</w:t>
      </w:r>
      <w:r>
        <w:rPr>
          <w:rFonts w:hint="eastAsia" w:ascii="宋体" w:hAnsi="宋体" w:eastAsia="宋体" w:cs="宋体"/>
          <w:color w:val="auto"/>
          <w:kern w:val="0"/>
          <w:sz w:val="18"/>
          <w:szCs w:val="18"/>
          <w:highlight w:val="none"/>
        </w:rPr>
        <w:t>每延误1天，承包人按</w:t>
      </w:r>
      <w:r>
        <w:rPr>
          <w:rFonts w:hint="eastAsia" w:ascii="宋体" w:hAnsi="宋体" w:eastAsia="宋体" w:cs="宋体"/>
          <w:color w:val="auto"/>
          <w:kern w:val="0"/>
          <w:sz w:val="18"/>
          <w:szCs w:val="18"/>
          <w:highlight w:val="none"/>
          <w:u w:val="single"/>
        </w:rPr>
        <w:t xml:space="preserve">  （5000～50000）元/天</w:t>
      </w:r>
      <w:r>
        <w:rPr>
          <w:rFonts w:hint="eastAsia" w:ascii="宋体" w:hAnsi="宋体" w:eastAsia="宋体" w:cs="宋体"/>
          <w:color w:val="auto"/>
          <w:kern w:val="0"/>
          <w:sz w:val="18"/>
          <w:szCs w:val="18"/>
          <w:highlight w:val="none"/>
        </w:rPr>
        <w:t>计算逾期竣工违约金，累计违约金上限：</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万元（不超过签约合同价的3%）</w:t>
      </w:r>
      <w:r>
        <w:rPr>
          <w:rFonts w:hint="eastAsia" w:ascii="宋体" w:hAnsi="宋体" w:eastAsia="宋体" w:cs="宋体"/>
          <w:color w:val="auto"/>
          <w:kern w:val="0"/>
          <w:sz w:val="18"/>
          <w:szCs w:val="18"/>
          <w:highlight w:val="none"/>
          <w:lang w:val="zh-CN"/>
        </w:rPr>
        <w:t>；</w:t>
      </w:r>
      <w:r>
        <w:rPr>
          <w:rFonts w:hint="eastAsia" w:ascii="宋体" w:hAnsi="宋体" w:eastAsia="宋体" w:cs="宋体"/>
          <w:color w:val="auto"/>
          <w:kern w:val="0"/>
          <w:sz w:val="18"/>
          <w:szCs w:val="18"/>
          <w:highlight w:val="none"/>
        </w:rPr>
        <w:t>承包人支付逾期竣工违约金后，不免除承包人继续完成工程及修补缺陷的义务。</w:t>
      </w:r>
    </w:p>
    <w:p w14:paraId="77B02A2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18"/>
          <w:szCs w:val="18"/>
          <w:highlight w:val="none"/>
          <w:u w:val="single"/>
        </w:rPr>
        <w:t xml:space="preserve">  （0.5～2）%</w:t>
      </w:r>
      <w:r>
        <w:rPr>
          <w:rFonts w:hint="eastAsia" w:ascii="宋体" w:hAnsi="宋体" w:eastAsia="宋体" w:cs="宋体"/>
          <w:color w:val="auto"/>
          <w:kern w:val="0"/>
          <w:sz w:val="18"/>
          <w:szCs w:val="18"/>
          <w:highlight w:val="none"/>
        </w:rPr>
        <w:t>支付违约金。</w:t>
      </w:r>
    </w:p>
    <w:p w14:paraId="7FFE358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（8）承包人明确表示或者以其行为表明不履行合同主要义务的违约责任：按签约合同价的</w:t>
      </w:r>
      <w:r>
        <w:rPr>
          <w:rFonts w:hint="eastAsia" w:ascii="宋体" w:hAnsi="宋体" w:eastAsia="宋体" w:cs="宋体"/>
          <w:color w:val="auto"/>
          <w:kern w:val="0"/>
          <w:sz w:val="18"/>
          <w:szCs w:val="18"/>
          <w:highlight w:val="none"/>
          <w:u w:val="single"/>
        </w:rPr>
        <w:t xml:space="preserve">  （5～10）%</w:t>
      </w:r>
      <w:r>
        <w:rPr>
          <w:rFonts w:hint="eastAsia" w:ascii="宋体" w:hAnsi="宋体" w:eastAsia="宋体" w:cs="宋体"/>
          <w:color w:val="auto"/>
          <w:kern w:val="0"/>
          <w:sz w:val="18"/>
          <w:szCs w:val="18"/>
          <w:highlight w:val="none"/>
        </w:rPr>
        <w:t>支付违约金。</w:t>
      </w:r>
    </w:p>
    <w:p w14:paraId="7C2D18D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（9）承包人未能按照合同约定履行其他义务的违约责任：按</w:t>
      </w:r>
      <w:r>
        <w:rPr>
          <w:rFonts w:hint="eastAsia" w:ascii="宋体" w:hAnsi="宋体" w:eastAsia="宋体" w:cs="宋体"/>
          <w:color w:val="auto"/>
          <w:kern w:val="0"/>
          <w:sz w:val="18"/>
          <w:szCs w:val="18"/>
          <w:highlight w:val="none"/>
          <w:u w:val="single"/>
        </w:rPr>
        <w:t>（500～5000）元/次</w:t>
      </w:r>
      <w:r>
        <w:rPr>
          <w:rFonts w:hint="eastAsia" w:ascii="宋体" w:hAnsi="宋体" w:eastAsia="宋体" w:cs="宋体"/>
          <w:color w:val="auto"/>
          <w:kern w:val="0"/>
          <w:sz w:val="18"/>
          <w:szCs w:val="18"/>
          <w:highlight w:val="none"/>
        </w:rPr>
        <w:t>支付违约金。</w:t>
      </w:r>
    </w:p>
    <w:p w14:paraId="0194FAB7">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（10）承包人未能按期开工的违约责任：按合同价</w:t>
      </w:r>
      <w:r>
        <w:rPr>
          <w:rFonts w:hint="eastAsia" w:ascii="宋体" w:hAnsi="宋体" w:eastAsia="宋体" w:cs="宋体"/>
          <w:color w:val="auto"/>
          <w:kern w:val="0"/>
          <w:sz w:val="18"/>
          <w:szCs w:val="18"/>
          <w:highlight w:val="none"/>
          <w:u w:val="single"/>
        </w:rPr>
        <w:t>0.2‰/天</w:t>
      </w:r>
      <w:r>
        <w:rPr>
          <w:rFonts w:hint="eastAsia" w:ascii="宋体" w:hAnsi="宋体" w:eastAsia="宋体" w:cs="宋体"/>
          <w:color w:val="auto"/>
          <w:kern w:val="0"/>
          <w:sz w:val="18"/>
          <w:szCs w:val="18"/>
          <w:highlight w:val="none"/>
        </w:rPr>
        <w:t>支付违约金，本项违约金累计限额为签约合同价的</w:t>
      </w:r>
      <w:r>
        <w:rPr>
          <w:rFonts w:hint="eastAsia" w:ascii="宋体" w:hAnsi="宋体" w:eastAsia="宋体" w:cs="宋体"/>
          <w:color w:val="auto"/>
          <w:kern w:val="0"/>
          <w:sz w:val="18"/>
          <w:szCs w:val="18"/>
          <w:highlight w:val="none"/>
          <w:u w:val="single"/>
        </w:rPr>
        <w:t xml:space="preserve"> 1 %</w:t>
      </w:r>
      <w:r>
        <w:rPr>
          <w:rFonts w:hint="eastAsia" w:ascii="宋体" w:hAnsi="宋体" w:eastAsia="宋体" w:cs="宋体"/>
          <w:color w:val="auto"/>
          <w:kern w:val="0"/>
          <w:sz w:val="18"/>
          <w:szCs w:val="18"/>
          <w:highlight w:val="none"/>
        </w:rPr>
        <w:t>。</w:t>
      </w:r>
    </w:p>
    <w:p w14:paraId="445C4EC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（11）承包人未按经审定的施工组织设计配备或更换关键施工设备的违约责任：按</w:t>
      </w:r>
      <w:r>
        <w:rPr>
          <w:rFonts w:hint="eastAsia" w:ascii="宋体" w:hAnsi="宋体" w:eastAsia="宋体" w:cs="宋体"/>
          <w:color w:val="auto"/>
          <w:kern w:val="0"/>
          <w:sz w:val="18"/>
          <w:szCs w:val="18"/>
          <w:highlight w:val="none"/>
          <w:u w:val="single"/>
        </w:rPr>
        <w:t xml:space="preserve">  （5000～50000）元/台·次</w:t>
      </w:r>
      <w:r>
        <w:rPr>
          <w:rFonts w:hint="eastAsia" w:ascii="宋体" w:hAnsi="宋体" w:eastAsia="宋体" w:cs="宋体"/>
          <w:color w:val="auto"/>
          <w:kern w:val="0"/>
          <w:sz w:val="18"/>
          <w:szCs w:val="18"/>
          <w:highlight w:val="none"/>
        </w:rPr>
        <w:t>支付违约金。</w:t>
      </w:r>
    </w:p>
    <w:p w14:paraId="5520FFCD">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（12）承包人有安全问题或有违反安全管理规章制度情况的违约责任：根据具体情节，按签约合同价的</w:t>
      </w:r>
      <w:r>
        <w:rPr>
          <w:rFonts w:hint="eastAsia" w:ascii="宋体" w:hAnsi="宋体" w:eastAsia="宋体" w:cs="宋体"/>
          <w:color w:val="auto"/>
          <w:kern w:val="0"/>
          <w:sz w:val="18"/>
          <w:szCs w:val="18"/>
          <w:highlight w:val="none"/>
          <w:u w:val="single"/>
        </w:rPr>
        <w:t>0.5‰～4‰/次</w:t>
      </w:r>
      <w:r>
        <w:rPr>
          <w:rFonts w:hint="eastAsia" w:ascii="宋体" w:hAnsi="宋体" w:eastAsia="宋体" w:cs="宋体"/>
          <w:color w:val="auto"/>
          <w:kern w:val="0"/>
          <w:sz w:val="18"/>
          <w:szCs w:val="18"/>
          <w:highlight w:val="none"/>
        </w:rPr>
        <w:t>支付违约金（累计不超过签约合同价的1%，详见附件9安全管理协议）。</w:t>
      </w:r>
    </w:p>
    <w:p w14:paraId="66632C2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18"/>
          <w:szCs w:val="18"/>
          <w:highlight w:val="none"/>
          <w:u w:val="single"/>
        </w:rPr>
        <w:t xml:space="preserve">  （50000～200000）元/次</w:t>
      </w:r>
      <w:r>
        <w:rPr>
          <w:rFonts w:hint="eastAsia" w:ascii="宋体" w:hAnsi="宋体" w:eastAsia="宋体" w:cs="宋体"/>
          <w:color w:val="auto"/>
          <w:kern w:val="0"/>
          <w:sz w:val="18"/>
          <w:szCs w:val="18"/>
          <w:highlight w:val="none"/>
        </w:rPr>
        <w:t>支付违约金。</w:t>
      </w:r>
    </w:p>
    <w:p w14:paraId="5C1CC319">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 w:val="18"/>
          <w:szCs w:val="18"/>
          <w:highlight w:val="none"/>
          <w:u w:val="single"/>
        </w:rPr>
        <w:t xml:space="preserve">  （10000～100000）元/次</w:t>
      </w:r>
      <w:r>
        <w:rPr>
          <w:rFonts w:hint="eastAsia" w:ascii="宋体" w:hAnsi="宋体" w:eastAsia="宋体" w:cs="宋体"/>
          <w:color w:val="auto"/>
          <w:kern w:val="0"/>
          <w:sz w:val="18"/>
          <w:szCs w:val="18"/>
          <w:highlight w:val="none"/>
        </w:rPr>
        <w:t>支付违约金。</w:t>
      </w:r>
    </w:p>
    <w:p w14:paraId="01A7A5A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18"/>
          <w:szCs w:val="18"/>
          <w:highlight w:val="none"/>
          <w:u w:val="single"/>
        </w:rPr>
        <w:t>0.5～1‰</w:t>
      </w:r>
      <w:r>
        <w:rPr>
          <w:rFonts w:hint="eastAsia" w:ascii="宋体" w:hAnsi="宋体" w:eastAsia="宋体" w:cs="宋体"/>
          <w:color w:val="auto"/>
          <w:kern w:val="0"/>
          <w:sz w:val="18"/>
          <w:szCs w:val="18"/>
          <w:highlight w:val="none"/>
        </w:rPr>
        <w:t>支付违约金。</w:t>
      </w:r>
    </w:p>
    <w:p w14:paraId="183E7F91">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（16）承包人未按合同约定购买保险的违约责任：除按18.6.2项约定执行外，每延迟1天，按</w:t>
      </w:r>
      <w:r>
        <w:rPr>
          <w:rFonts w:hint="eastAsia" w:ascii="宋体" w:hAnsi="宋体" w:eastAsia="宋体" w:cs="宋体"/>
          <w:color w:val="auto"/>
          <w:sz w:val="18"/>
          <w:szCs w:val="18"/>
          <w:highlight w:val="none"/>
          <w:u w:val="single"/>
        </w:rPr>
        <w:t>500元/天</w:t>
      </w:r>
      <w:r>
        <w:rPr>
          <w:rFonts w:hint="eastAsia" w:ascii="宋体" w:hAnsi="宋体" w:eastAsia="宋体" w:cs="宋体"/>
          <w:color w:val="auto"/>
          <w:sz w:val="18"/>
          <w:szCs w:val="18"/>
          <w:highlight w:val="none"/>
        </w:rPr>
        <w:t>支付违约金。</w:t>
      </w:r>
    </w:p>
    <w:p w14:paraId="4A9C4D7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（17）发生第16.2.1项（11）目、16.2.1项（12）目、16.2.1项（13）目违约情形的违约责任：除承担由此增加的费用和工期延误的责任，承包人应向发包人支付违约金：</w:t>
      </w:r>
    </w:p>
    <w:p w14:paraId="38A0D2EB">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1）项目经理违约承担方式和计算方法：对于第16.2.1项（11）目的情形，每发现一次，根据具体情节，按</w:t>
      </w:r>
      <w:r>
        <w:rPr>
          <w:rFonts w:hint="eastAsia" w:ascii="宋体" w:hAnsi="宋体" w:eastAsia="宋体" w:cs="宋体"/>
          <w:color w:val="auto"/>
          <w:kern w:val="0"/>
          <w:sz w:val="18"/>
          <w:szCs w:val="18"/>
          <w:highlight w:val="none"/>
          <w:u w:val="single"/>
        </w:rPr>
        <w:t>1000～30000元/天·次</w:t>
      </w:r>
      <w:r>
        <w:rPr>
          <w:rFonts w:hint="eastAsia" w:ascii="宋体" w:hAnsi="宋体" w:eastAsia="宋体" w:cs="宋体"/>
          <w:color w:val="auto"/>
          <w:kern w:val="0"/>
          <w:sz w:val="18"/>
          <w:szCs w:val="18"/>
          <w:highlight w:val="none"/>
        </w:rPr>
        <w:t>计算违约金；项目经理不按承诺到岗的（3.2.3项约定的情形除外），按履约保证金的</w:t>
      </w:r>
      <w:r>
        <w:rPr>
          <w:rFonts w:hint="eastAsia" w:ascii="宋体" w:hAnsi="宋体" w:eastAsia="宋体" w:cs="宋体"/>
          <w:color w:val="auto"/>
          <w:kern w:val="0"/>
          <w:sz w:val="18"/>
          <w:szCs w:val="18"/>
          <w:highlight w:val="none"/>
          <w:u w:val="single"/>
        </w:rPr>
        <w:t>（50～100）%</w:t>
      </w:r>
      <w:r>
        <w:rPr>
          <w:rFonts w:hint="eastAsia" w:ascii="宋体" w:hAnsi="宋体" w:eastAsia="宋体" w:cs="宋体"/>
          <w:color w:val="auto"/>
          <w:kern w:val="0"/>
          <w:sz w:val="18"/>
          <w:szCs w:val="18"/>
          <w:highlight w:val="none"/>
        </w:rPr>
        <w:t>支付违约金，并解除合同；擅自更换项目经理的，按签约合同价的</w:t>
      </w:r>
      <w:r>
        <w:rPr>
          <w:rFonts w:hint="eastAsia" w:ascii="宋体" w:hAnsi="宋体" w:eastAsia="宋体" w:cs="宋体"/>
          <w:color w:val="auto"/>
          <w:kern w:val="0"/>
          <w:sz w:val="18"/>
          <w:szCs w:val="18"/>
          <w:highlight w:val="none"/>
          <w:u w:val="single"/>
        </w:rPr>
        <w:t>（0.5～3）%/人·次</w:t>
      </w:r>
      <w:r>
        <w:rPr>
          <w:rFonts w:hint="eastAsia" w:ascii="宋体" w:hAnsi="宋体" w:eastAsia="宋体" w:cs="宋体"/>
          <w:color w:val="auto"/>
          <w:kern w:val="0"/>
          <w:sz w:val="18"/>
          <w:szCs w:val="18"/>
          <w:highlight w:val="none"/>
        </w:rPr>
        <w:t>支付违约金，每次不低于</w:t>
      </w:r>
      <w:r>
        <w:rPr>
          <w:rFonts w:hint="eastAsia" w:ascii="宋体" w:hAnsi="宋体" w:eastAsia="宋体" w:cs="宋体"/>
          <w:color w:val="auto"/>
          <w:kern w:val="0"/>
          <w:sz w:val="18"/>
          <w:szCs w:val="18"/>
          <w:highlight w:val="none"/>
          <w:u w:val="single"/>
        </w:rPr>
        <w:t>20万</w:t>
      </w:r>
      <w:r>
        <w:rPr>
          <w:rFonts w:hint="eastAsia" w:ascii="宋体" w:hAnsi="宋体" w:eastAsia="宋体" w:cs="宋体"/>
          <w:color w:val="auto"/>
          <w:kern w:val="0"/>
          <w:sz w:val="18"/>
          <w:szCs w:val="18"/>
          <w:highlight w:val="none"/>
        </w:rPr>
        <w:t>，累计不超过</w:t>
      </w:r>
      <w:r>
        <w:rPr>
          <w:rFonts w:hint="eastAsia" w:ascii="宋体" w:hAnsi="宋体" w:eastAsia="宋体" w:cs="宋体"/>
          <w:color w:val="auto"/>
          <w:kern w:val="0"/>
          <w:sz w:val="18"/>
          <w:szCs w:val="18"/>
          <w:highlight w:val="none"/>
          <w:u w:val="single"/>
        </w:rPr>
        <w:t>200万</w:t>
      </w:r>
      <w:r>
        <w:rPr>
          <w:rFonts w:hint="eastAsia" w:ascii="宋体" w:hAnsi="宋体" w:eastAsia="宋体" w:cs="宋体"/>
          <w:color w:val="auto"/>
          <w:kern w:val="0"/>
          <w:sz w:val="18"/>
          <w:szCs w:val="18"/>
          <w:highlight w:val="none"/>
        </w:rPr>
        <w:t>；项目经理被责令停止执业的，按签约合同价的</w:t>
      </w:r>
      <w:r>
        <w:rPr>
          <w:rFonts w:hint="eastAsia" w:ascii="宋体" w:hAnsi="宋体" w:eastAsia="宋体" w:cs="宋体"/>
          <w:color w:val="auto"/>
          <w:kern w:val="0"/>
          <w:sz w:val="18"/>
          <w:szCs w:val="18"/>
          <w:highlight w:val="none"/>
          <w:u w:val="single"/>
        </w:rPr>
        <w:t>（0.5～3）%/人·次</w:t>
      </w:r>
      <w:r>
        <w:rPr>
          <w:rFonts w:hint="eastAsia" w:ascii="宋体" w:hAnsi="宋体" w:eastAsia="宋体" w:cs="宋体"/>
          <w:color w:val="auto"/>
          <w:kern w:val="0"/>
          <w:sz w:val="18"/>
          <w:szCs w:val="18"/>
          <w:highlight w:val="none"/>
        </w:rPr>
        <w:t>支付违约金，每次不低于</w:t>
      </w:r>
      <w:r>
        <w:rPr>
          <w:rFonts w:hint="eastAsia" w:ascii="宋体" w:hAnsi="宋体" w:eastAsia="宋体" w:cs="宋体"/>
          <w:color w:val="auto"/>
          <w:kern w:val="0"/>
          <w:sz w:val="18"/>
          <w:szCs w:val="18"/>
          <w:highlight w:val="none"/>
          <w:u w:val="single"/>
        </w:rPr>
        <w:t>20万</w:t>
      </w:r>
      <w:r>
        <w:rPr>
          <w:rFonts w:hint="eastAsia" w:ascii="宋体" w:hAnsi="宋体" w:eastAsia="宋体" w:cs="宋体"/>
          <w:color w:val="auto"/>
          <w:kern w:val="0"/>
          <w:sz w:val="18"/>
          <w:szCs w:val="18"/>
          <w:highlight w:val="none"/>
        </w:rPr>
        <w:t>，累计不超过</w:t>
      </w:r>
      <w:r>
        <w:rPr>
          <w:rFonts w:hint="eastAsia" w:ascii="宋体" w:hAnsi="宋体" w:eastAsia="宋体" w:cs="宋体"/>
          <w:color w:val="auto"/>
          <w:kern w:val="0"/>
          <w:sz w:val="18"/>
          <w:szCs w:val="18"/>
          <w:highlight w:val="none"/>
          <w:u w:val="single"/>
        </w:rPr>
        <w:t>200万</w:t>
      </w:r>
      <w:r>
        <w:rPr>
          <w:rFonts w:hint="eastAsia" w:ascii="宋体" w:hAnsi="宋体" w:eastAsia="宋体" w:cs="宋体"/>
          <w:color w:val="auto"/>
          <w:kern w:val="0"/>
          <w:sz w:val="18"/>
          <w:szCs w:val="18"/>
          <w:highlight w:val="none"/>
        </w:rPr>
        <w:t>；项目经理被责令停止执业的，按签约合同价的</w:t>
      </w:r>
      <w:r>
        <w:rPr>
          <w:rFonts w:hint="eastAsia" w:ascii="宋体" w:hAnsi="宋体" w:eastAsia="宋体" w:cs="宋体"/>
          <w:color w:val="auto"/>
          <w:kern w:val="0"/>
          <w:sz w:val="18"/>
          <w:szCs w:val="18"/>
          <w:highlight w:val="none"/>
          <w:u w:val="single"/>
        </w:rPr>
        <w:t>（0.5～3）%/人•次</w:t>
      </w:r>
      <w:r>
        <w:rPr>
          <w:rFonts w:hint="eastAsia" w:ascii="宋体" w:hAnsi="宋体" w:eastAsia="宋体" w:cs="宋体"/>
          <w:color w:val="auto"/>
          <w:kern w:val="0"/>
          <w:sz w:val="18"/>
          <w:szCs w:val="18"/>
          <w:highlight w:val="none"/>
        </w:rPr>
        <w:t>支付违约金，每次不低于</w:t>
      </w:r>
      <w:r>
        <w:rPr>
          <w:rFonts w:hint="eastAsia" w:ascii="宋体" w:hAnsi="宋体" w:eastAsia="宋体" w:cs="宋体"/>
          <w:color w:val="auto"/>
          <w:kern w:val="0"/>
          <w:sz w:val="18"/>
          <w:szCs w:val="18"/>
          <w:highlight w:val="none"/>
          <w:u w:val="single"/>
        </w:rPr>
        <w:t>20</w:t>
      </w:r>
      <w:r>
        <w:rPr>
          <w:rFonts w:hint="eastAsia" w:ascii="宋体" w:hAnsi="宋体" w:eastAsia="宋体" w:cs="宋体"/>
          <w:color w:val="auto"/>
          <w:kern w:val="0"/>
          <w:sz w:val="18"/>
          <w:szCs w:val="18"/>
          <w:highlight w:val="none"/>
        </w:rPr>
        <w:t>万，累计不超过</w:t>
      </w:r>
      <w:r>
        <w:rPr>
          <w:rFonts w:hint="eastAsia" w:ascii="宋体" w:hAnsi="宋体" w:eastAsia="宋体" w:cs="宋体"/>
          <w:color w:val="auto"/>
          <w:kern w:val="0"/>
          <w:sz w:val="18"/>
          <w:szCs w:val="18"/>
          <w:highlight w:val="none"/>
          <w:u w:val="single"/>
        </w:rPr>
        <w:t>200</w:t>
      </w:r>
      <w:r>
        <w:rPr>
          <w:rFonts w:hint="eastAsia" w:ascii="宋体" w:hAnsi="宋体" w:eastAsia="宋体" w:cs="宋体"/>
          <w:color w:val="auto"/>
          <w:kern w:val="0"/>
          <w:sz w:val="18"/>
          <w:szCs w:val="18"/>
          <w:highlight w:val="none"/>
        </w:rPr>
        <w:t>万。</w:t>
      </w:r>
    </w:p>
    <w:p w14:paraId="152E4395">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2）主要技术负责人违约承担方式和计算方法：对于第16.2.1项（12）目的六种情形，每发现一次，根据具体情节，按</w:t>
      </w:r>
      <w:r>
        <w:rPr>
          <w:rFonts w:hint="eastAsia" w:ascii="宋体" w:hAnsi="宋体" w:eastAsia="宋体" w:cs="宋体"/>
          <w:color w:val="auto"/>
          <w:kern w:val="0"/>
          <w:sz w:val="18"/>
          <w:szCs w:val="18"/>
          <w:highlight w:val="none"/>
          <w:u w:val="single"/>
        </w:rPr>
        <w:t>1000～30000元/天·次</w:t>
      </w:r>
      <w:r>
        <w:rPr>
          <w:rFonts w:hint="eastAsia" w:ascii="宋体" w:hAnsi="宋体" w:eastAsia="宋体" w:cs="宋体"/>
          <w:color w:val="auto"/>
          <w:kern w:val="0"/>
          <w:sz w:val="18"/>
          <w:szCs w:val="18"/>
          <w:highlight w:val="none"/>
        </w:rPr>
        <w:t>计算违约金；擅自更换主要技术负责人的，按签约合同价的</w:t>
      </w:r>
      <w:r>
        <w:rPr>
          <w:rFonts w:hint="eastAsia" w:ascii="宋体" w:hAnsi="宋体" w:eastAsia="宋体" w:cs="宋体"/>
          <w:color w:val="auto"/>
          <w:kern w:val="0"/>
          <w:sz w:val="18"/>
          <w:szCs w:val="18"/>
          <w:highlight w:val="none"/>
          <w:u w:val="single"/>
        </w:rPr>
        <w:t>（0.5～2）%/人·次</w:t>
      </w:r>
      <w:r>
        <w:rPr>
          <w:rFonts w:hint="eastAsia" w:ascii="宋体" w:hAnsi="宋体" w:eastAsia="宋体" w:cs="宋体"/>
          <w:color w:val="auto"/>
          <w:kern w:val="0"/>
          <w:sz w:val="18"/>
          <w:szCs w:val="18"/>
          <w:highlight w:val="none"/>
        </w:rPr>
        <w:t>支付违约金，每次不低于</w:t>
      </w:r>
      <w:r>
        <w:rPr>
          <w:rFonts w:hint="eastAsia" w:ascii="宋体" w:hAnsi="宋体" w:eastAsia="宋体" w:cs="宋体"/>
          <w:color w:val="auto"/>
          <w:kern w:val="0"/>
          <w:sz w:val="18"/>
          <w:szCs w:val="18"/>
          <w:highlight w:val="none"/>
          <w:u w:val="single"/>
        </w:rPr>
        <w:t>10万</w:t>
      </w:r>
      <w:r>
        <w:rPr>
          <w:rFonts w:hint="eastAsia" w:ascii="宋体" w:hAnsi="宋体" w:eastAsia="宋体" w:cs="宋体"/>
          <w:color w:val="auto"/>
          <w:kern w:val="0"/>
          <w:sz w:val="18"/>
          <w:szCs w:val="18"/>
          <w:highlight w:val="none"/>
        </w:rPr>
        <w:t>，累计不超过</w:t>
      </w:r>
      <w:r>
        <w:rPr>
          <w:rFonts w:hint="eastAsia" w:ascii="宋体" w:hAnsi="宋体" w:eastAsia="宋体" w:cs="宋体"/>
          <w:color w:val="auto"/>
          <w:kern w:val="0"/>
          <w:sz w:val="18"/>
          <w:szCs w:val="18"/>
          <w:highlight w:val="none"/>
          <w:u w:val="single"/>
        </w:rPr>
        <w:t>100万</w:t>
      </w:r>
      <w:r>
        <w:rPr>
          <w:rFonts w:hint="eastAsia" w:ascii="宋体" w:hAnsi="宋体" w:eastAsia="宋体" w:cs="宋体"/>
          <w:color w:val="auto"/>
          <w:kern w:val="0"/>
          <w:sz w:val="18"/>
          <w:szCs w:val="18"/>
          <w:highlight w:val="none"/>
        </w:rPr>
        <w:t>。</w:t>
      </w:r>
    </w:p>
    <w:p w14:paraId="250BF1DA">
      <w:pPr>
        <w:snapToGrid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3）主要施工管理人员违约承担方式和计算方法：对于第16.2.1项（13）目的五种情形，每发现一次，根据具体情节，按</w:t>
      </w:r>
      <w:r>
        <w:rPr>
          <w:rFonts w:hint="eastAsia" w:ascii="宋体" w:hAnsi="宋体" w:eastAsia="宋体" w:cs="宋体"/>
          <w:color w:val="auto"/>
          <w:kern w:val="0"/>
          <w:sz w:val="18"/>
          <w:szCs w:val="18"/>
          <w:highlight w:val="none"/>
          <w:u w:val="single"/>
        </w:rPr>
        <w:t>500～10000元/天·次</w:t>
      </w:r>
      <w:r>
        <w:rPr>
          <w:rFonts w:hint="eastAsia" w:ascii="宋体" w:hAnsi="宋体" w:eastAsia="宋体" w:cs="宋体"/>
          <w:color w:val="auto"/>
          <w:kern w:val="0"/>
          <w:sz w:val="18"/>
          <w:szCs w:val="18"/>
          <w:highlight w:val="none"/>
        </w:rPr>
        <w:t>计算违约金。</w:t>
      </w:r>
    </w:p>
    <w:p w14:paraId="02602C44">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bookmarkStart w:id="1172" w:name="_Hlk524380347"/>
    </w:p>
    <w:p w14:paraId="2D3A4CE0">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18"/>
          <w:szCs w:val="18"/>
          <w:highlight w:val="none"/>
        </w:rPr>
        <w:t>16.2.2项第（1）目承担违约责任</w:t>
      </w:r>
      <w:r>
        <w:rPr>
          <w:rFonts w:hint="eastAsia" w:ascii="宋体" w:hAnsi="宋体" w:eastAsia="宋体" w:cs="宋体"/>
          <w:color w:val="auto"/>
          <w:sz w:val="18"/>
          <w:szCs w:val="18"/>
          <w:highlight w:val="none"/>
        </w:rPr>
        <w:t>，并从应付或到期应付给承包人的任何款项中或采用其他方法，扣除该违约金。</w:t>
      </w:r>
    </w:p>
    <w:p w14:paraId="629CAE12">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18"/>
          <w:szCs w:val="18"/>
          <w:highlight w:val="none"/>
        </w:rPr>
        <w:t>，承担由此给</w:t>
      </w:r>
      <w:r>
        <w:rPr>
          <w:rFonts w:hint="eastAsia" w:ascii="宋体" w:hAnsi="宋体" w:eastAsia="宋体" w:cs="宋体"/>
          <w:color w:val="auto"/>
          <w:sz w:val="18"/>
          <w:szCs w:val="18"/>
          <w:highlight w:val="none"/>
        </w:rPr>
        <w:t>发包人造成的经济损失。</w:t>
      </w:r>
    </w:p>
    <w:p w14:paraId="31646B0E">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承包人承担承包范围的工程质量、安全、环保责任，因承包人原因引起的质量、安全、环保等事故由承包人承担相应的法律后果。</w:t>
      </w:r>
    </w:p>
    <w:bookmarkEnd w:id="1172"/>
    <w:p w14:paraId="57F9330D">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16.2.3 因承包人违约解除合同</w:t>
      </w:r>
    </w:p>
    <w:p w14:paraId="487D542C">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因承包人违约并致使合同目的不能实现的，发包人有权解除合同：</w:t>
      </w:r>
    </w:p>
    <w:p w14:paraId="1D7C15D2">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（1）未按合同约定延迟提供履约担保、质量保证金超过14天的；</w:t>
      </w:r>
    </w:p>
    <w:p w14:paraId="01080EC5">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（2）未按合同约定购买保险且经催告后超过56天的；</w:t>
      </w:r>
    </w:p>
    <w:p w14:paraId="1891FB05">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（3）因承包人原因导致开工时间累计延误超过56天的；</w:t>
      </w:r>
    </w:p>
    <w:p w14:paraId="2680C681">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（4）因承包人原因导致工期延误超过90天的；</w:t>
      </w:r>
    </w:p>
    <w:p w14:paraId="4AB016CD">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（5）发生第21.2款〔退出机制〕约定的情形的；</w:t>
      </w:r>
    </w:p>
    <w:p w14:paraId="6BDDEBF7">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（6）监理人发出整改通知后，承包人在监理人限定的期限内仍不纠正违约行为的；</w:t>
      </w:r>
    </w:p>
    <w:p w14:paraId="52E6EBB8">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（7）承包人进入清算或者严重资不抵债且无法履行合同的；</w:t>
      </w:r>
    </w:p>
    <w:p w14:paraId="7C1070F9">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（8）违反适用法律而被相关政府部门依法吊销营业执照、责令停业、清算或宣布破产、责令关闭的；</w:t>
      </w:r>
    </w:p>
    <w:p w14:paraId="7B972AD7">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（9）承包人未履行合同项下的义务构成对合同的实质性违约，并且在收到发包人要求说明其违约并予以补救的通知后56天内仍未能补救该实质性违约的；</w:t>
      </w:r>
    </w:p>
    <w:p w14:paraId="13874A35">
      <w:pPr>
        <w:pStyle w:val="5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r>
        <w:rPr>
          <w:rFonts w:hint="eastAsia" w:ascii="宋体" w:hAnsi="宋体" w:eastAsia="宋体" w:cs="宋体"/>
          <w:color w:val="auto"/>
          <w:kern w:val="0"/>
          <w:sz w:val="18"/>
          <w:szCs w:val="18"/>
          <w:highlight w:val="none"/>
          <w:u w:val="single"/>
        </w:rPr>
        <w:t>合同约定的发包人有权解除合同的其他情形</w:t>
      </w:r>
      <w:r>
        <w:rPr>
          <w:rFonts w:hint="eastAsia" w:ascii="宋体" w:hAnsi="宋体" w:eastAsia="宋体" w:cs="宋体"/>
          <w:color w:val="auto"/>
          <w:kern w:val="0"/>
          <w:sz w:val="18"/>
          <w:szCs w:val="18"/>
          <w:highlight w:val="none"/>
        </w:rPr>
        <w:t>。</w:t>
      </w:r>
    </w:p>
    <w:p w14:paraId="2CC30084">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16.2.4因承包人违约解除合同后的处理</w:t>
      </w:r>
    </w:p>
    <w:p w14:paraId="197B2AB0">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因承包人违约导致合同解除的，合同当事人应在合同解除后56天内完成估价、付款和清算，并按以下约定执行：</w:t>
      </w:r>
    </w:p>
    <w:p w14:paraId="6667D29F">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（1）合同解除后，按第14.2款结算审定方式确定承包人实际完成工作对应的合同价款，以及承包人已提供的材料、工程设备、施工设备和临时工程等的价值；</w:t>
      </w:r>
    </w:p>
    <w:p w14:paraId="51B9109A">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（2）合同解除后，承包人应支付违约金；</w:t>
      </w:r>
    </w:p>
    <w:p w14:paraId="37E11F0E">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（3）合同解除后，赔偿因解除合同给发包人造成的损失；</w:t>
      </w:r>
    </w:p>
    <w:p w14:paraId="14643F3D">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（4）合同解除后，承包人应按照发包人要求和监理人的指示完成现场的清理和撤离。</w:t>
      </w:r>
    </w:p>
    <w:p w14:paraId="4CADDFF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6020C5A8">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3E0FA63A">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159"/>
    <w:bookmarkEnd w:id="1160"/>
    <w:p w14:paraId="21B1CE4D">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173" w:name="_Toc351203649"/>
      <w:bookmarkStart w:id="1174" w:name="_Toc532377404"/>
      <w:bookmarkStart w:id="1175" w:name="_Toc532375665"/>
      <w:bookmarkStart w:id="1176" w:name="_Hlk528928440"/>
      <w:r>
        <w:rPr>
          <w:rFonts w:hint="eastAsia" w:ascii="宋体" w:hAnsi="宋体" w:eastAsia="宋体" w:cs="宋体"/>
          <w:color w:val="auto"/>
          <w:kern w:val="2"/>
          <w:sz w:val="18"/>
          <w:szCs w:val="18"/>
          <w:highlight w:val="none"/>
        </w:rPr>
        <w:t>17. 不可抗力</w:t>
      </w:r>
      <w:bookmarkEnd w:id="1173"/>
      <w:bookmarkEnd w:id="1174"/>
      <w:bookmarkEnd w:id="1175"/>
    </w:p>
    <w:p w14:paraId="432D1D0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77" w:name="_Toc532375666"/>
      <w:bookmarkStart w:id="1178" w:name="_Toc532377405"/>
      <w:r>
        <w:rPr>
          <w:rFonts w:hint="eastAsia" w:ascii="宋体" w:hAnsi="宋体" w:eastAsia="宋体" w:cs="宋体"/>
          <w:color w:val="auto"/>
          <w:sz w:val="18"/>
          <w:szCs w:val="18"/>
          <w:highlight w:val="none"/>
        </w:rPr>
        <w:t>17.1 不可抗力的确认</w:t>
      </w:r>
      <w:bookmarkEnd w:id="1177"/>
      <w:bookmarkEnd w:id="1178"/>
    </w:p>
    <w:p w14:paraId="665052E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除通用合同条款约定的不可抗力事件之外，视为不可抗力的其他情形：</w:t>
      </w:r>
      <w:bookmarkStart w:id="1179" w:name="_Hlk524379638"/>
    </w:p>
    <w:p w14:paraId="3B9C637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（1）洪水、火山爆发、山崩、山体滑坡、泥石流、龙卷风、隧道内不可预测的突发性地质灾害等自然灾害；</w:t>
      </w:r>
    </w:p>
    <w:p w14:paraId="37CD122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（2）骚乱、戒严、封锁、禁运、恐怖行为、等社会行为，但承包人或其分包人派遣与雇佣的人员由于合同工程施工原因引起的除外；</w:t>
      </w:r>
    </w:p>
    <w:p w14:paraId="05A11D2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（3）不能合理预见的重大交通阻滞、停运、交通事故，非双方责任引起的火灾、爆炸、船舶撞击等情形；</w:t>
      </w:r>
    </w:p>
    <w:p w14:paraId="285E291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（4）化学或放射性污染或核辐射；</w:t>
      </w:r>
    </w:p>
    <w:p w14:paraId="32207751">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（5）环保治理等政府行为导致项目停工的。</w:t>
      </w:r>
      <w:bookmarkEnd w:id="1179"/>
    </w:p>
    <w:p w14:paraId="4FE5EFA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2F0AEB9C">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80" w:name="_Toc532377406"/>
      <w:bookmarkStart w:id="1181" w:name="_Toc351203610"/>
      <w:bookmarkStart w:id="1182" w:name="_Toc532375667"/>
      <w:bookmarkStart w:id="1183" w:name="_Toc296346620"/>
      <w:bookmarkStart w:id="1184" w:name="_Toc296503119"/>
      <w:bookmarkStart w:id="1185" w:name="_Toc337558826"/>
      <w:r>
        <w:rPr>
          <w:rFonts w:hint="eastAsia" w:ascii="宋体" w:hAnsi="宋体" w:eastAsia="宋体" w:cs="宋体"/>
          <w:color w:val="auto"/>
          <w:sz w:val="18"/>
          <w:szCs w:val="18"/>
          <w:highlight w:val="none"/>
        </w:rPr>
        <w:t>17.3 不可抗力后果的承担</w:t>
      </w:r>
      <w:bookmarkEnd w:id="1180"/>
      <w:bookmarkEnd w:id="1181"/>
      <w:bookmarkEnd w:id="1182"/>
    </w:p>
    <w:bookmarkEnd w:id="1183"/>
    <w:bookmarkEnd w:id="1184"/>
    <w:bookmarkEnd w:id="1185"/>
    <w:p w14:paraId="097A8CF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17.3.1 不可抗力引起的后果及造成的损失由合同当事人按照法律规定及合同约定各自承担。不可抗力发生前已完成的工程应当按照合同约定进行计量支付。</w:t>
      </w:r>
    </w:p>
    <w:p w14:paraId="1016F78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17.3.2 不可抗力导致的人员伤亡、财产损失、费用增加和（或）工期延误等后果，由合同当事人按以下原则承担：</w:t>
      </w:r>
    </w:p>
    <w:p w14:paraId="3D7AF06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（1）永久工程、已运至施工现场的施工材料和工程设备的损坏，以及因工程损坏造成的第三方人员伤亡和财产损失由发包人承担；</w:t>
      </w:r>
    </w:p>
    <w:p w14:paraId="798AE63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（2）承包人施工设备的损坏由承包人承担；</w:t>
      </w:r>
    </w:p>
    <w:p w14:paraId="13AB94E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（3）发包人和承包人承担各自人员伤亡和财产的损失；</w:t>
      </w:r>
    </w:p>
    <w:p w14:paraId="47A83BE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（4）因不可抗力影响承包人履行合同约定的义务，已经引起或将引起工期延误的，应当顺延工期，由此导致承包人停工的费用损失由发包人和承包人合理共担；</w:t>
      </w:r>
    </w:p>
    <w:p w14:paraId="4C2D59F0">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（5）因不可抗力引起或将引起工期延误，发包人要求赶工的，由此增加的赶工费用由发包人承担；</w:t>
      </w:r>
    </w:p>
    <w:p w14:paraId="7698CF1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（6）承包人在停工期间按照发包人要求照管、清理和修复工程的费用由发包人承担；</w:t>
      </w:r>
    </w:p>
    <w:p w14:paraId="66EF5DA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（7）不可抗力事件发生后，合同当事人均应采取措施尽量避免和减少损失的扩大，任何一方当事人没有采取有效措施导致损失扩大的，应对扩大的损失承担责任。</w:t>
      </w:r>
    </w:p>
    <w:p w14:paraId="566DB8CA">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F2B14F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86" w:name="_Toc532377407"/>
      <w:bookmarkStart w:id="1187" w:name="_Toc532375668"/>
      <w:r>
        <w:rPr>
          <w:rFonts w:hint="eastAsia" w:ascii="宋体" w:hAnsi="宋体" w:eastAsia="宋体" w:cs="宋体"/>
          <w:color w:val="auto"/>
          <w:sz w:val="18"/>
          <w:szCs w:val="18"/>
          <w:highlight w:val="none"/>
        </w:rPr>
        <w:t>17.4 因不可抗力解除合同</w:t>
      </w:r>
      <w:bookmarkEnd w:id="1186"/>
      <w:bookmarkEnd w:id="1187"/>
    </w:p>
    <w:p w14:paraId="68EC0B68">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合同解除后，发包人应在商定或确定发包人应支付款项后</w:t>
      </w:r>
      <w:r>
        <w:rPr>
          <w:rFonts w:hint="eastAsia" w:ascii="宋体" w:hAnsi="宋体" w:eastAsia="宋体" w:cs="宋体"/>
          <w:color w:val="auto"/>
          <w:sz w:val="18"/>
          <w:szCs w:val="18"/>
          <w:highlight w:val="none"/>
          <w:u w:val="single"/>
        </w:rPr>
        <w:t>28</w:t>
      </w:r>
      <w:r>
        <w:rPr>
          <w:rFonts w:hint="eastAsia" w:ascii="宋体" w:hAnsi="宋体" w:eastAsia="宋体" w:cs="宋体"/>
          <w:color w:val="auto"/>
          <w:sz w:val="18"/>
          <w:szCs w:val="18"/>
          <w:highlight w:val="none"/>
        </w:rPr>
        <w:t>天内完成款项的支付。</w:t>
      </w:r>
    </w:p>
    <w:p w14:paraId="0901DCD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188" w:name="_Toc532377408"/>
      <w:bookmarkStart w:id="1189" w:name="_Toc532375669"/>
      <w:bookmarkStart w:id="1190" w:name="_Toc351203650"/>
      <w:r>
        <w:rPr>
          <w:rFonts w:hint="eastAsia" w:ascii="宋体" w:hAnsi="宋体" w:eastAsia="宋体" w:cs="宋体"/>
          <w:color w:val="auto"/>
          <w:kern w:val="2"/>
          <w:sz w:val="18"/>
          <w:szCs w:val="18"/>
          <w:highlight w:val="none"/>
        </w:rPr>
        <w:t>18. 保险</w:t>
      </w:r>
      <w:bookmarkEnd w:id="1188"/>
      <w:bookmarkEnd w:id="1189"/>
      <w:bookmarkEnd w:id="1190"/>
    </w:p>
    <w:p w14:paraId="2BD1B0B2">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91" w:name="_Toc532377409"/>
      <w:bookmarkStart w:id="1192" w:name="_Toc532375670"/>
      <w:r>
        <w:rPr>
          <w:rFonts w:hint="eastAsia" w:ascii="宋体" w:hAnsi="宋体" w:eastAsia="宋体" w:cs="宋体"/>
          <w:color w:val="auto"/>
          <w:sz w:val="18"/>
          <w:szCs w:val="18"/>
          <w:highlight w:val="none"/>
        </w:rPr>
        <w:t>18.1 工程保险</w:t>
      </w:r>
      <w:bookmarkEnd w:id="1191"/>
      <w:bookmarkEnd w:id="1192"/>
    </w:p>
    <w:p w14:paraId="2052EA1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关于工程保险的特别约定：发包人应投保</w:t>
      </w:r>
      <w:r>
        <w:rPr>
          <w:rFonts w:hint="eastAsia" w:ascii="宋体" w:hAnsi="宋体" w:eastAsia="宋体" w:cs="宋体"/>
          <w:color w:val="auto"/>
          <w:sz w:val="18"/>
          <w:szCs w:val="18"/>
          <w:highlight w:val="none"/>
          <w:u w:val="single"/>
        </w:rPr>
        <w:t>建筑工程一切险或安装工程一切险</w:t>
      </w:r>
      <w:r>
        <w:rPr>
          <w:rFonts w:hint="eastAsia" w:ascii="宋体" w:hAnsi="宋体" w:eastAsia="宋体" w:cs="宋体"/>
          <w:color w:val="auto"/>
          <w:sz w:val="18"/>
          <w:szCs w:val="18"/>
          <w:highlight w:val="none"/>
        </w:rPr>
        <w:t>；发包人委托承包人投保的，因投保产生的保险费和其他相关费用由发包人承担。</w:t>
      </w:r>
    </w:p>
    <w:p w14:paraId="0F4BFCE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93" w:name="_Toc532377410"/>
      <w:bookmarkStart w:id="1194" w:name="_Toc532375671"/>
      <w:r>
        <w:rPr>
          <w:rFonts w:hint="eastAsia" w:ascii="宋体" w:hAnsi="宋体" w:eastAsia="宋体" w:cs="宋体"/>
          <w:color w:val="auto"/>
          <w:sz w:val="18"/>
          <w:szCs w:val="18"/>
          <w:highlight w:val="none"/>
        </w:rPr>
        <w:t>18.3 其他保险</w:t>
      </w:r>
      <w:bookmarkEnd w:id="1193"/>
      <w:bookmarkEnd w:id="1194"/>
    </w:p>
    <w:p w14:paraId="0E3FDD8F">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关于其他保险的约定：</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77417F05">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承包人是否应为其施工设备等办理财产保险：</w:t>
      </w:r>
      <w:r>
        <w:rPr>
          <w:rFonts w:hint="eastAsia" w:ascii="宋体" w:hAnsi="宋体" w:eastAsia="宋体" w:cs="宋体"/>
          <w:color w:val="auto"/>
          <w:sz w:val="18"/>
          <w:szCs w:val="18"/>
          <w:highlight w:val="none"/>
          <w:u w:val="single"/>
        </w:rPr>
        <w:t xml:space="preserve">    /    </w:t>
      </w:r>
      <w:r>
        <w:rPr>
          <w:rFonts w:hint="eastAsia" w:ascii="宋体" w:hAnsi="宋体" w:eastAsia="宋体" w:cs="宋体"/>
          <w:color w:val="auto"/>
          <w:sz w:val="18"/>
          <w:szCs w:val="18"/>
          <w:highlight w:val="none"/>
        </w:rPr>
        <w:t>。</w:t>
      </w:r>
    </w:p>
    <w:p w14:paraId="6B956435">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安全生产责任险：</w:t>
      </w:r>
      <w:r>
        <w:rPr>
          <w:rFonts w:hint="eastAsia" w:ascii="宋体" w:hAnsi="宋体" w:eastAsia="宋体" w:cs="宋体"/>
          <w:color w:val="auto"/>
          <w:sz w:val="18"/>
          <w:szCs w:val="18"/>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18"/>
          <w:szCs w:val="18"/>
          <w:highlight w:val="none"/>
        </w:rPr>
        <w:t>。</w:t>
      </w:r>
    </w:p>
    <w:p w14:paraId="370C45E3">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95" w:name="_Toc532377411"/>
      <w:bookmarkStart w:id="1196" w:name="_Toc532375672"/>
      <w:r>
        <w:rPr>
          <w:rFonts w:hint="eastAsia" w:ascii="宋体" w:hAnsi="宋体" w:eastAsia="宋体" w:cs="宋体"/>
          <w:color w:val="auto"/>
          <w:sz w:val="18"/>
          <w:szCs w:val="18"/>
          <w:highlight w:val="none"/>
        </w:rPr>
        <w:t>18.7 通知义务</w:t>
      </w:r>
      <w:bookmarkEnd w:id="1195"/>
      <w:bookmarkEnd w:id="1196"/>
    </w:p>
    <w:p w14:paraId="28730358">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关于变更保险合同时的通知义务的约定：</w:t>
      </w:r>
      <w:r>
        <w:rPr>
          <w:rFonts w:hint="eastAsia" w:ascii="宋体" w:hAnsi="宋体" w:eastAsia="宋体" w:cs="宋体"/>
          <w:color w:val="auto"/>
          <w:sz w:val="18"/>
          <w:szCs w:val="18"/>
          <w:highlight w:val="none"/>
          <w:u w:val="single"/>
        </w:rPr>
        <w:t>按通用合同条款执行</w:t>
      </w:r>
      <w:r>
        <w:rPr>
          <w:rFonts w:hint="eastAsia" w:ascii="宋体" w:hAnsi="宋体" w:eastAsia="宋体" w:cs="宋体"/>
          <w:color w:val="auto"/>
          <w:sz w:val="18"/>
          <w:szCs w:val="18"/>
          <w:highlight w:val="none"/>
        </w:rPr>
        <w:t>。</w:t>
      </w:r>
    </w:p>
    <w:p w14:paraId="562BD95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197" w:name="_Toc532377412"/>
      <w:bookmarkStart w:id="1198" w:name="_Toc532375673"/>
      <w:r>
        <w:rPr>
          <w:rFonts w:hint="eastAsia" w:ascii="宋体" w:hAnsi="宋体" w:eastAsia="宋体" w:cs="宋体"/>
          <w:color w:val="auto"/>
          <w:sz w:val="18"/>
          <w:szCs w:val="18"/>
          <w:highlight w:val="none"/>
        </w:rPr>
        <w:t>18.8 其他</w:t>
      </w:r>
      <w:bookmarkEnd w:id="1197"/>
      <w:bookmarkEnd w:id="1198"/>
    </w:p>
    <w:p w14:paraId="4395BA1D">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18.8.1 工程开工日前，承包人向发包人提交各项生效的保险证据和保险单副本。未按本项约定提交的，每延后1天，承包人按500元/天支付违约金。</w:t>
      </w:r>
    </w:p>
    <w:p w14:paraId="03AD0C0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18.8.2 承包人保险赔偿金不足以补偿发包人损失时，</w:t>
      </w:r>
      <w:bookmarkStart w:id="1199" w:name="_Hlk524378346"/>
      <w:r>
        <w:rPr>
          <w:rFonts w:hint="eastAsia" w:ascii="宋体" w:hAnsi="宋体" w:eastAsia="宋体" w:cs="宋体"/>
          <w:color w:val="auto"/>
          <w:sz w:val="18"/>
          <w:szCs w:val="18"/>
          <w:highlight w:val="none"/>
        </w:rPr>
        <w:t>差额由承包人负责补足</w:t>
      </w:r>
      <w:bookmarkEnd w:id="1199"/>
      <w:r>
        <w:rPr>
          <w:rFonts w:hint="eastAsia" w:ascii="宋体" w:hAnsi="宋体" w:eastAsia="宋体" w:cs="宋体"/>
          <w:color w:val="auto"/>
          <w:sz w:val="18"/>
          <w:szCs w:val="18"/>
          <w:highlight w:val="none"/>
        </w:rPr>
        <w:t>。</w:t>
      </w:r>
    </w:p>
    <w:p w14:paraId="641D98C0">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200" w:name="_Toc532377413"/>
      <w:bookmarkStart w:id="1201" w:name="_Toc532375674"/>
      <w:bookmarkStart w:id="1202" w:name="_Toc351203620"/>
      <w:bookmarkStart w:id="1203" w:name="_Toc337558835"/>
      <w:bookmarkStart w:id="1204" w:name="_Toc296346641"/>
      <w:bookmarkStart w:id="1205" w:name="_Toc296503140"/>
      <w:r>
        <w:rPr>
          <w:rFonts w:hint="eastAsia" w:ascii="宋体" w:hAnsi="宋体" w:eastAsia="宋体" w:cs="宋体"/>
          <w:color w:val="auto"/>
          <w:kern w:val="2"/>
          <w:sz w:val="18"/>
          <w:szCs w:val="18"/>
          <w:highlight w:val="none"/>
        </w:rPr>
        <w:t>19. 索赔</w:t>
      </w:r>
      <w:bookmarkEnd w:id="1200"/>
      <w:bookmarkEnd w:id="1201"/>
      <w:bookmarkEnd w:id="1202"/>
    </w:p>
    <w:bookmarkEnd w:id="1203"/>
    <w:bookmarkEnd w:id="1204"/>
    <w:bookmarkEnd w:id="1205"/>
    <w:p w14:paraId="244E6DCD">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06" w:name="_Toc532375675"/>
      <w:bookmarkStart w:id="1207" w:name="_Toc532377414"/>
      <w:bookmarkStart w:id="1208" w:name="_Toc296346642"/>
      <w:bookmarkStart w:id="1209" w:name="_Toc296503141"/>
      <w:bookmarkStart w:id="1210" w:name="_Toc337558836"/>
      <w:bookmarkStart w:id="1211" w:name="_Toc351203621"/>
      <w:r>
        <w:rPr>
          <w:rFonts w:hint="eastAsia" w:ascii="宋体" w:hAnsi="宋体" w:eastAsia="宋体" w:cs="宋体"/>
          <w:color w:val="auto"/>
          <w:sz w:val="18"/>
          <w:szCs w:val="18"/>
          <w:highlight w:val="none"/>
        </w:rPr>
        <w:t>19.1 承包人的索赔</w:t>
      </w:r>
      <w:bookmarkEnd w:id="1206"/>
      <w:bookmarkEnd w:id="1207"/>
    </w:p>
    <w:p w14:paraId="42B98E6E">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根据合同约定，承包人认为有权得到追加付款和（或）延长工期的，应按以下程序向发包人提出索赔：</w:t>
      </w:r>
    </w:p>
    <w:p w14:paraId="64CFA959">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（1）承包人应在索赔事件发生后28天内，向监理人递交索赔意向通知书，并说明发生索赔事件的事由；承包人未在前述28天内发出索赔意向通知书的，丧失要求追加付款和（或）延长工期的权利；</w:t>
      </w:r>
    </w:p>
    <w:p w14:paraId="69CCC624">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（2）承包人应在发出索赔意向通知书后28天内，向监理人正式递交索赔报告；索赔报告应详细说明索赔理由以及要求追加的付款金额和（或）延长的工期，并附必要的记录和证明材料；</w:t>
      </w:r>
    </w:p>
    <w:p w14:paraId="6279A1F4">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（3）索赔事件具有持续影响的，承包人应按监理人要求的合理时间间隔继续递交延续索赔通知，说明持续影响的实际情况和记录，列出累计的追加付款金额和（或）工期延长天数；</w:t>
      </w:r>
    </w:p>
    <w:p w14:paraId="3AF03A36">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（4）在索赔事件影响结束后28天内，承包人应向监理人递交最终索赔报告，说明最终要求索赔的追加付款金额和（或）延长的工期，并附必要的记录和证明材料。</w:t>
      </w:r>
    </w:p>
    <w:p w14:paraId="722B85BC">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47CAF99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12" w:name="_Toc532377415"/>
      <w:bookmarkStart w:id="1213" w:name="_Toc532375676"/>
      <w:r>
        <w:rPr>
          <w:rFonts w:hint="eastAsia" w:ascii="宋体" w:hAnsi="宋体" w:eastAsia="宋体" w:cs="宋体"/>
          <w:color w:val="auto"/>
          <w:sz w:val="18"/>
          <w:szCs w:val="18"/>
          <w:highlight w:val="none"/>
        </w:rPr>
        <w:t>19.2 对承包人索赔的处理</w:t>
      </w:r>
      <w:bookmarkEnd w:id="1212"/>
      <w:bookmarkEnd w:id="1213"/>
    </w:p>
    <w:p w14:paraId="3184C63F">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对承包人索赔的处理如下：</w:t>
      </w:r>
    </w:p>
    <w:p w14:paraId="34087250">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18"/>
          <w:szCs w:val="18"/>
          <w:highlight w:val="none"/>
        </w:rPr>
        <w:t>；</w:t>
      </w:r>
    </w:p>
    <w:p w14:paraId="01A6008B">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18"/>
          <w:szCs w:val="18"/>
          <w:highlight w:val="none"/>
        </w:rPr>
        <w:t>；</w:t>
      </w:r>
    </w:p>
    <w:p w14:paraId="2C5BA19F">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 w:val="18"/>
          <w:szCs w:val="18"/>
          <w:highlight w:val="none"/>
        </w:rPr>
        <w:t>；</w:t>
      </w:r>
    </w:p>
    <w:p w14:paraId="4BAECF26">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（4）工期延误的关键线路按照经监理人、发包人审批同意的施工组织设计计算</w:t>
      </w:r>
      <w:r>
        <w:rPr>
          <w:rFonts w:hint="eastAsia" w:ascii="宋体" w:hAnsi="宋体" w:eastAsia="宋体" w:cs="宋体"/>
          <w:color w:val="auto"/>
          <w:sz w:val="18"/>
          <w:szCs w:val="18"/>
          <w:highlight w:val="none"/>
        </w:rPr>
        <w:t>。</w:t>
      </w:r>
    </w:p>
    <w:p w14:paraId="7C141586">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14" w:name="_Toc532377416"/>
      <w:bookmarkStart w:id="1215" w:name="_Toc532375677"/>
      <w:r>
        <w:rPr>
          <w:rFonts w:hint="eastAsia" w:ascii="宋体" w:hAnsi="宋体" w:eastAsia="宋体" w:cs="宋体"/>
          <w:color w:val="auto"/>
          <w:sz w:val="18"/>
          <w:szCs w:val="18"/>
          <w:highlight w:val="none"/>
        </w:rPr>
        <w:t>19.3发包人的索赔</w:t>
      </w:r>
      <w:bookmarkEnd w:id="1214"/>
      <w:bookmarkEnd w:id="1215"/>
    </w:p>
    <w:p w14:paraId="630D722F">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根据合同约定，发包人认为有权得到赔付金额和（或）延长缺陷责任期的，监理人应向承包人发出通知并附有详细的证明。</w:t>
      </w:r>
    </w:p>
    <w:p w14:paraId="3C3A6276">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216" w:name="_Hlk528652769"/>
      <w:r>
        <w:rPr>
          <w:rFonts w:hint="eastAsia" w:ascii="宋体" w:hAnsi="宋体" w:eastAsia="宋体" w:cs="宋体"/>
          <w:color w:val="auto"/>
          <w:sz w:val="18"/>
          <w:szCs w:val="18"/>
          <w:highlight w:val="none"/>
        </w:rPr>
        <w:t>通过监理人向承包人正式递交最终索赔报告</w:t>
      </w:r>
      <w:bookmarkEnd w:id="1216"/>
      <w:r>
        <w:rPr>
          <w:rFonts w:hint="eastAsia" w:ascii="宋体" w:hAnsi="宋体" w:eastAsia="宋体" w:cs="宋体"/>
          <w:color w:val="auto"/>
          <w:sz w:val="18"/>
          <w:szCs w:val="18"/>
          <w:highlight w:val="none"/>
        </w:rPr>
        <w:t>。</w:t>
      </w:r>
    </w:p>
    <w:p w14:paraId="521560B8">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17" w:name="_Toc532377417"/>
      <w:bookmarkStart w:id="1218" w:name="_Toc532375678"/>
      <w:r>
        <w:rPr>
          <w:rFonts w:hint="eastAsia" w:ascii="宋体" w:hAnsi="宋体" w:eastAsia="宋体" w:cs="宋体"/>
          <w:color w:val="auto"/>
          <w:sz w:val="18"/>
          <w:szCs w:val="18"/>
          <w:highlight w:val="none"/>
        </w:rPr>
        <w:t>19.4 对发包人索赔的处理</w:t>
      </w:r>
      <w:bookmarkEnd w:id="1217"/>
      <w:bookmarkEnd w:id="1218"/>
    </w:p>
    <w:p w14:paraId="1A0083B4">
      <w:pPr>
        <w:autoSpaceDE w:val="0"/>
        <w:autoSpaceDN w:val="0"/>
        <w:spacing w:line="360" w:lineRule="auto"/>
        <w:ind w:right="160" w:rightChars="50"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对发包人索赔的处理如下：</w:t>
      </w:r>
    </w:p>
    <w:p w14:paraId="5D84EBEF">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（1）承包人收到发包人提交的索赔报告后，应及时审查索赔报告的内容、查验发包人证明材料；</w:t>
      </w:r>
    </w:p>
    <w:p w14:paraId="5BEDE92F">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C5CF840">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（3）承包人接受索赔处理结果的，发包人可从应支付给承包人的合同价款中扣除赔付的金额或延长缺陷责任期；发包人不接受索赔处理结果的，按第20条〔争议解决〕约定处理。</w:t>
      </w:r>
    </w:p>
    <w:p w14:paraId="68048939">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19" w:name="_Toc532375679"/>
      <w:bookmarkStart w:id="1220" w:name="_Toc532377418"/>
      <w:bookmarkStart w:id="1221" w:name="_Hlk528928420"/>
      <w:r>
        <w:rPr>
          <w:rFonts w:hint="eastAsia" w:ascii="宋体" w:hAnsi="宋体" w:eastAsia="宋体" w:cs="宋体"/>
          <w:color w:val="auto"/>
          <w:sz w:val="18"/>
          <w:szCs w:val="18"/>
          <w:highlight w:val="none"/>
        </w:rPr>
        <w:t>19.5 提出索赔的期限</w:t>
      </w:r>
      <w:bookmarkEnd w:id="1219"/>
      <w:bookmarkEnd w:id="1220"/>
    </w:p>
    <w:p w14:paraId="344FDD2B">
      <w:pPr>
        <w:autoSpaceDE w:val="0"/>
        <w:autoSpaceDN w:val="0"/>
        <w:spacing w:line="360" w:lineRule="auto"/>
        <w:ind w:right="160" w:rightChars="50" w:firstLine="360" w:firstLineChars="200"/>
        <w:jc w:val="left"/>
        <w:rPr>
          <w:rFonts w:hint="eastAsia" w:ascii="宋体" w:hAnsi="宋体" w:eastAsia="宋体" w:cs="宋体"/>
          <w:color w:val="auto"/>
          <w:sz w:val="18"/>
          <w:szCs w:val="18"/>
          <w:highlight w:val="none"/>
        </w:rPr>
      </w:pPr>
      <w:bookmarkStart w:id="1222" w:name="_Hlk524298376"/>
      <w:r>
        <w:rPr>
          <w:rFonts w:hint="eastAsia" w:ascii="宋体" w:hAnsi="宋体" w:eastAsia="宋体" w:cs="宋体"/>
          <w:color w:val="auto"/>
          <w:sz w:val="18"/>
          <w:szCs w:val="18"/>
          <w:highlight w:val="none"/>
        </w:rPr>
        <w:t>任一索赔事件发生后28天内，承包人/发包人未向对方发出索赔意向通知书的，视为其已放弃索赔权，无权再就该索赔事项提出任何索赔。</w:t>
      </w:r>
    </w:p>
    <w:bookmarkEnd w:id="1208"/>
    <w:bookmarkEnd w:id="1209"/>
    <w:bookmarkEnd w:id="1210"/>
    <w:bookmarkEnd w:id="1211"/>
    <w:bookmarkEnd w:id="1221"/>
    <w:bookmarkEnd w:id="1222"/>
    <w:p w14:paraId="0149FABF">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223" w:name="_Toc532377419"/>
      <w:bookmarkStart w:id="1224" w:name="_Toc351203651"/>
      <w:bookmarkStart w:id="1225" w:name="_Toc532375680"/>
      <w:r>
        <w:rPr>
          <w:rFonts w:hint="eastAsia" w:ascii="宋体" w:hAnsi="宋体" w:eastAsia="宋体" w:cs="宋体"/>
          <w:color w:val="auto"/>
          <w:kern w:val="2"/>
          <w:sz w:val="18"/>
          <w:szCs w:val="18"/>
          <w:highlight w:val="none"/>
        </w:rPr>
        <w:t>20. 争议解决</w:t>
      </w:r>
      <w:bookmarkEnd w:id="1223"/>
      <w:bookmarkEnd w:id="1224"/>
      <w:bookmarkEnd w:id="1225"/>
    </w:p>
    <w:p w14:paraId="3DC7D86C">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26" w:name="_Toc532375681"/>
      <w:bookmarkStart w:id="1227" w:name="_Toc532377420"/>
      <w:r>
        <w:rPr>
          <w:rFonts w:hint="eastAsia" w:ascii="宋体" w:hAnsi="宋体" w:eastAsia="宋体" w:cs="宋体"/>
          <w:color w:val="auto"/>
          <w:sz w:val="18"/>
          <w:szCs w:val="18"/>
          <w:highlight w:val="none"/>
        </w:rPr>
        <w:t>20.3 争议评审</w:t>
      </w:r>
      <w:bookmarkEnd w:id="1226"/>
      <w:bookmarkEnd w:id="1227"/>
    </w:p>
    <w:p w14:paraId="10B06405">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合同当事人是否同意将工程争议提交争议评审小组决定：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65FFD95C">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28" w:name="_Toc532375682"/>
      <w:bookmarkStart w:id="1229" w:name="_Toc532377421"/>
      <w:r>
        <w:rPr>
          <w:rFonts w:hint="eastAsia" w:ascii="宋体" w:hAnsi="宋体" w:eastAsia="宋体" w:cs="宋体"/>
          <w:color w:val="auto"/>
          <w:sz w:val="18"/>
          <w:szCs w:val="18"/>
          <w:highlight w:val="none"/>
        </w:rPr>
        <w:t>20.4 仲裁或诉讼</w:t>
      </w:r>
      <w:bookmarkEnd w:id="1228"/>
      <w:bookmarkEnd w:id="1229"/>
    </w:p>
    <w:p w14:paraId="6D764907">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因合同及合同有关事项发生的争议，按下列第</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lang w:val="en-US" w:eastAsia="zh-CN"/>
        </w:rPr>
        <w:t>2</w:t>
      </w:r>
      <w:r>
        <w:rPr>
          <w:rFonts w:hint="eastAsia" w:ascii="宋体" w:hAnsi="宋体" w:eastAsia="宋体" w:cs="宋体"/>
          <w:color w:val="auto"/>
          <w:sz w:val="18"/>
          <w:szCs w:val="18"/>
          <w:highlight w:val="none"/>
          <w:u w:val="single"/>
          <w:lang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种方式解决：</w:t>
      </w:r>
    </w:p>
    <w:p w14:paraId="20C5BF3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（1）向</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仲裁委员会申请仲裁；</w:t>
      </w:r>
    </w:p>
    <w:p w14:paraId="3F8F2DE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（2）向</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项目所在地</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人民法院起诉。</w:t>
      </w:r>
    </w:p>
    <w:p w14:paraId="4A5801C5">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230" w:name="_Toc532377422"/>
      <w:bookmarkStart w:id="1231" w:name="_Toc532375683"/>
      <w:r>
        <w:rPr>
          <w:rFonts w:hint="eastAsia" w:ascii="宋体" w:hAnsi="宋体" w:eastAsia="宋体" w:cs="宋体"/>
          <w:color w:val="auto"/>
          <w:kern w:val="2"/>
          <w:sz w:val="18"/>
          <w:szCs w:val="18"/>
          <w:highlight w:val="none"/>
        </w:rPr>
        <w:t>21. 补充条款</w:t>
      </w:r>
      <w:bookmarkEnd w:id="1230"/>
      <w:bookmarkEnd w:id="1231"/>
    </w:p>
    <w:p w14:paraId="012C4637">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32" w:name="_Toc532377423"/>
      <w:bookmarkStart w:id="1233" w:name="_Toc532375684"/>
      <w:r>
        <w:rPr>
          <w:rFonts w:hint="eastAsia" w:ascii="宋体" w:hAnsi="宋体" w:eastAsia="宋体" w:cs="宋体"/>
          <w:color w:val="auto"/>
          <w:sz w:val="18"/>
          <w:szCs w:val="18"/>
          <w:highlight w:val="none"/>
        </w:rPr>
        <w:t>21.1 退出机制</w:t>
      </w:r>
      <w:bookmarkEnd w:id="1232"/>
      <w:bookmarkEnd w:id="1233"/>
    </w:p>
    <w:p w14:paraId="2B77060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21.1.1有下列情形之一的，发包人有权解除合同，亦有权兑付履约担保，并对承包人做清退出场处理</w:t>
      </w:r>
      <w:r>
        <w:rPr>
          <w:rFonts w:hint="eastAsia" w:ascii="宋体" w:hAnsi="宋体" w:eastAsia="宋体" w:cs="宋体"/>
          <w:color w:val="auto"/>
          <w:kern w:val="0"/>
          <w:sz w:val="18"/>
          <w:szCs w:val="18"/>
          <w:highlight w:val="none"/>
        </w:rPr>
        <w:t>：</w:t>
      </w:r>
    </w:p>
    <w:p w14:paraId="34A10814">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（1）因承包人原因造成较大及以上等级生产安全事故或工程质量事故的；</w:t>
      </w:r>
    </w:p>
    <w:p w14:paraId="185B4E1A">
      <w:pPr>
        <w:spacing w:line="360" w:lineRule="auto"/>
        <w:ind w:right="160" w:rightChars="50"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（2）因承包人债权债务纠纷或其他纠纷导致工程无法正常施工的。</w:t>
      </w:r>
    </w:p>
    <w:p w14:paraId="02304AD8">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0A3927D3">
      <w:pPr>
        <w:pStyle w:val="2"/>
        <w:spacing w:after="0"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21.1.2有下列情形之一的，承包人有权解除合同，并按16.1.4约定执行：</w:t>
      </w:r>
    </w:p>
    <w:p w14:paraId="3A04364E">
      <w:pPr>
        <w:pStyle w:val="2"/>
        <w:spacing w:after="0"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（1）因发包人征地、拆迁、补偿、审批手续等原因致使本工程延期开工超过90天的。</w:t>
      </w:r>
    </w:p>
    <w:p w14:paraId="10E54F33">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w:t>
      </w:r>
    </w:p>
    <w:p w14:paraId="77B3D43A">
      <w:pPr>
        <w:pStyle w:val="7"/>
        <w:spacing w:before="0" w:beforeAutospacing="0" w:after="0" w:afterAutospacing="0" w:line="360" w:lineRule="auto"/>
        <w:ind w:firstLine="361" w:firstLineChars="200"/>
        <w:rPr>
          <w:rFonts w:hint="eastAsia" w:ascii="宋体" w:hAnsi="宋体" w:eastAsia="宋体" w:cs="宋体"/>
          <w:color w:val="auto"/>
          <w:sz w:val="18"/>
          <w:szCs w:val="18"/>
          <w:highlight w:val="none"/>
        </w:rPr>
      </w:pPr>
      <w:bookmarkStart w:id="1234" w:name="_Toc532377424"/>
      <w:bookmarkStart w:id="1235" w:name="_Toc532375685"/>
      <w:r>
        <w:rPr>
          <w:rFonts w:hint="eastAsia" w:ascii="宋体" w:hAnsi="宋体" w:eastAsia="宋体" w:cs="宋体"/>
          <w:color w:val="auto"/>
          <w:sz w:val="18"/>
          <w:szCs w:val="18"/>
          <w:highlight w:val="none"/>
        </w:rPr>
        <w:t>21.2智慧工地</w:t>
      </w:r>
      <w:bookmarkEnd w:id="1234"/>
      <w:bookmarkEnd w:id="1235"/>
    </w:p>
    <w:p w14:paraId="0E133E8C">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工地建设可参照重庆市城乡建设委员会《关于印发“智慧工地”建设工作方案的通知》（渝建〔2017〕414号）的相关要求建设。</w:t>
      </w:r>
      <w:bookmarkEnd w:id="1176"/>
    </w:p>
    <w:p w14:paraId="0A7F7F07">
      <w:pPr>
        <w:pStyle w:val="6"/>
        <w:keepNext/>
        <w:keepLines/>
        <w:spacing w:before="156" w:beforeLines="50" w:beforeAutospacing="0" w:after="156" w:afterLines="50" w:afterAutospacing="0" w:line="360" w:lineRule="auto"/>
        <w:jc w:val="both"/>
        <w:rPr>
          <w:rFonts w:hint="eastAsia" w:ascii="宋体" w:hAnsi="宋体" w:eastAsia="宋体" w:cs="宋体"/>
          <w:bCs w:val="0"/>
          <w:color w:val="auto"/>
          <w:kern w:val="2"/>
          <w:sz w:val="18"/>
          <w:szCs w:val="18"/>
          <w:highlight w:val="none"/>
        </w:rPr>
      </w:pPr>
      <w:bookmarkStart w:id="1236" w:name="baidusnap7"/>
      <w:bookmarkEnd w:id="1236"/>
      <w:bookmarkStart w:id="1237" w:name="baidusnap3"/>
      <w:bookmarkEnd w:id="1237"/>
      <w:bookmarkStart w:id="1238" w:name="_Toc532375686"/>
      <w:bookmarkStart w:id="1239" w:name="_Toc532377425"/>
      <w:bookmarkStart w:id="1240" w:name="_Toc351203652"/>
      <w:r>
        <w:rPr>
          <w:rFonts w:hint="eastAsia" w:ascii="宋体" w:hAnsi="宋体" w:eastAsia="宋体" w:cs="宋体"/>
          <w:color w:val="auto"/>
          <w:kern w:val="2"/>
          <w:sz w:val="18"/>
          <w:szCs w:val="18"/>
          <w:highlight w:val="none"/>
        </w:rPr>
        <w:t>22. 合同附件</w:t>
      </w:r>
      <w:bookmarkEnd w:id="1238"/>
      <w:bookmarkEnd w:id="1239"/>
    </w:p>
    <w:p w14:paraId="30E1C0C2">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以下十一个附件是本合同的有效组成部分：</w:t>
      </w:r>
    </w:p>
    <w:p w14:paraId="01ED9679">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附件1：工程质量保修书</w:t>
      </w:r>
    </w:p>
    <w:bookmarkEnd w:id="1240"/>
    <w:p w14:paraId="6FCDBE56">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：履约担保（如有）</w:t>
      </w:r>
    </w:p>
    <w:p w14:paraId="18611DFB">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：廉洁从业协议</w:t>
      </w:r>
    </w:p>
    <w:p w14:paraId="7394265A">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：安全管理协议</w:t>
      </w:r>
    </w:p>
    <w:p w14:paraId="2FB5BC2E">
      <w:pPr>
        <w:spacing w:line="360" w:lineRule="auto"/>
        <w:ind w:right="160" w:rightChars="50"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：保障农民工工资支付协议</w:t>
      </w:r>
    </w:p>
    <w:p w14:paraId="4E235373">
      <w:pPr>
        <w:spacing w:line="360" w:lineRule="auto"/>
        <w:rPr>
          <w:rFonts w:hint="eastAsia" w:ascii="宋体" w:hAnsi="宋体" w:eastAsia="宋体" w:cs="宋体"/>
          <w:color w:val="auto"/>
          <w:sz w:val="18"/>
          <w:szCs w:val="18"/>
          <w:highlight w:val="none"/>
        </w:rPr>
      </w:pPr>
    </w:p>
    <w:p w14:paraId="2F261CE4">
      <w:pPr>
        <w:spacing w:line="360" w:lineRule="auto"/>
        <w:rPr>
          <w:rFonts w:hint="eastAsia" w:ascii="宋体" w:hAnsi="宋体" w:eastAsia="宋体" w:cs="宋体"/>
          <w:color w:val="auto"/>
          <w:sz w:val="18"/>
          <w:szCs w:val="18"/>
          <w:highlight w:val="none"/>
        </w:rPr>
      </w:pPr>
    </w:p>
    <w:p w14:paraId="5A2B6AE0">
      <w:pPr>
        <w:spacing w:line="360" w:lineRule="auto"/>
        <w:rPr>
          <w:rFonts w:hint="eastAsia" w:ascii="宋体" w:hAnsi="宋体" w:eastAsia="宋体" w:cs="宋体"/>
          <w:color w:val="auto"/>
          <w:sz w:val="18"/>
          <w:szCs w:val="18"/>
          <w:highlight w:val="none"/>
        </w:rPr>
      </w:pPr>
    </w:p>
    <w:p w14:paraId="6073F049">
      <w:pPr>
        <w:spacing w:line="360" w:lineRule="auto"/>
        <w:rPr>
          <w:rFonts w:hint="eastAsia" w:ascii="宋体" w:hAnsi="宋体" w:eastAsia="宋体" w:cs="宋体"/>
          <w:color w:val="auto"/>
          <w:sz w:val="18"/>
          <w:szCs w:val="18"/>
          <w:highlight w:val="none"/>
        </w:rPr>
      </w:pPr>
    </w:p>
    <w:p w14:paraId="6FB2E04C">
      <w:pPr>
        <w:spacing w:line="360" w:lineRule="auto"/>
        <w:rPr>
          <w:rFonts w:hint="eastAsia" w:ascii="宋体" w:hAnsi="宋体" w:eastAsia="宋体" w:cs="宋体"/>
          <w:color w:val="auto"/>
          <w:sz w:val="18"/>
          <w:szCs w:val="18"/>
          <w:highlight w:val="none"/>
        </w:rPr>
      </w:pPr>
    </w:p>
    <w:p w14:paraId="3DB4744E">
      <w:pPr>
        <w:spacing w:line="360" w:lineRule="auto"/>
        <w:rPr>
          <w:rFonts w:hint="eastAsia" w:ascii="宋体" w:hAnsi="宋体" w:eastAsia="宋体" w:cs="宋体"/>
          <w:color w:val="auto"/>
          <w:sz w:val="18"/>
          <w:szCs w:val="18"/>
          <w:highlight w:val="none"/>
        </w:rPr>
      </w:pPr>
    </w:p>
    <w:p w14:paraId="26667C80">
      <w:pPr>
        <w:spacing w:line="360" w:lineRule="auto"/>
        <w:rPr>
          <w:rFonts w:hint="eastAsia" w:ascii="宋体" w:hAnsi="宋体" w:eastAsia="宋体" w:cs="宋体"/>
          <w:color w:val="auto"/>
          <w:sz w:val="18"/>
          <w:szCs w:val="18"/>
          <w:highlight w:val="none"/>
        </w:rPr>
      </w:pPr>
    </w:p>
    <w:p w14:paraId="270D520B">
      <w:pPr>
        <w:spacing w:line="360" w:lineRule="auto"/>
        <w:rPr>
          <w:rFonts w:hint="eastAsia" w:ascii="宋体" w:hAnsi="宋体" w:eastAsia="宋体" w:cs="宋体"/>
          <w:color w:val="auto"/>
          <w:sz w:val="18"/>
          <w:szCs w:val="18"/>
          <w:highlight w:val="none"/>
        </w:rPr>
      </w:pPr>
    </w:p>
    <w:p w14:paraId="52A843A3">
      <w:pPr>
        <w:spacing w:line="360" w:lineRule="auto"/>
        <w:rPr>
          <w:rFonts w:hint="eastAsia" w:ascii="宋体" w:hAnsi="宋体" w:eastAsia="宋体" w:cs="宋体"/>
          <w:color w:val="auto"/>
          <w:sz w:val="18"/>
          <w:szCs w:val="18"/>
          <w:highlight w:val="none"/>
        </w:rPr>
      </w:pPr>
    </w:p>
    <w:p w14:paraId="0271DA49">
      <w:pPr>
        <w:spacing w:line="360" w:lineRule="auto"/>
        <w:rPr>
          <w:rFonts w:hint="eastAsia" w:ascii="宋体" w:hAnsi="宋体" w:eastAsia="宋体" w:cs="宋体"/>
          <w:color w:val="auto"/>
          <w:sz w:val="18"/>
          <w:szCs w:val="18"/>
          <w:highlight w:val="none"/>
        </w:rPr>
      </w:pPr>
    </w:p>
    <w:p w14:paraId="52D66195">
      <w:pPr>
        <w:spacing w:line="360" w:lineRule="auto"/>
        <w:rPr>
          <w:rFonts w:hint="eastAsia" w:ascii="宋体" w:hAnsi="宋体" w:eastAsia="宋体" w:cs="宋体"/>
          <w:color w:val="auto"/>
          <w:sz w:val="18"/>
          <w:szCs w:val="18"/>
          <w:highlight w:val="none"/>
        </w:rPr>
      </w:pPr>
    </w:p>
    <w:p w14:paraId="7EC66E02">
      <w:pPr>
        <w:spacing w:line="360" w:lineRule="auto"/>
        <w:rPr>
          <w:rFonts w:hint="eastAsia" w:ascii="宋体" w:hAnsi="宋体" w:eastAsia="宋体" w:cs="宋体"/>
          <w:color w:val="auto"/>
          <w:sz w:val="18"/>
          <w:szCs w:val="18"/>
          <w:highlight w:val="none"/>
        </w:rPr>
      </w:pPr>
    </w:p>
    <w:p w14:paraId="624D31EF">
      <w:pPr>
        <w:spacing w:line="360" w:lineRule="auto"/>
        <w:rPr>
          <w:rFonts w:hint="eastAsia" w:ascii="宋体" w:hAnsi="宋体" w:eastAsia="宋体" w:cs="宋体"/>
          <w:color w:val="auto"/>
          <w:sz w:val="18"/>
          <w:szCs w:val="18"/>
          <w:highlight w:val="none"/>
        </w:rPr>
      </w:pPr>
    </w:p>
    <w:p w14:paraId="6AFDB69E">
      <w:pPr>
        <w:spacing w:line="360" w:lineRule="auto"/>
        <w:rPr>
          <w:rFonts w:hint="eastAsia" w:ascii="宋体" w:hAnsi="宋体" w:eastAsia="宋体" w:cs="宋体"/>
          <w:color w:val="auto"/>
          <w:sz w:val="18"/>
          <w:szCs w:val="18"/>
          <w:highlight w:val="none"/>
        </w:rPr>
      </w:pPr>
    </w:p>
    <w:p w14:paraId="289EA919">
      <w:pPr>
        <w:spacing w:line="360" w:lineRule="auto"/>
        <w:rPr>
          <w:rFonts w:hint="eastAsia" w:ascii="宋体" w:hAnsi="宋体" w:eastAsia="宋体" w:cs="宋体"/>
          <w:color w:val="auto"/>
          <w:sz w:val="18"/>
          <w:szCs w:val="18"/>
          <w:highlight w:val="none"/>
        </w:rPr>
      </w:pPr>
    </w:p>
    <w:p w14:paraId="0D0F004E">
      <w:pPr>
        <w:spacing w:line="360" w:lineRule="auto"/>
        <w:rPr>
          <w:rFonts w:hint="eastAsia" w:ascii="宋体" w:hAnsi="宋体" w:eastAsia="宋体" w:cs="宋体"/>
          <w:color w:val="auto"/>
          <w:sz w:val="18"/>
          <w:szCs w:val="18"/>
          <w:highlight w:val="none"/>
        </w:rPr>
      </w:pPr>
    </w:p>
    <w:p w14:paraId="0063FABF">
      <w:pPr>
        <w:spacing w:line="360" w:lineRule="auto"/>
        <w:rPr>
          <w:rFonts w:hint="eastAsia" w:ascii="宋体" w:hAnsi="宋体" w:eastAsia="宋体" w:cs="宋体"/>
          <w:color w:val="auto"/>
          <w:sz w:val="18"/>
          <w:szCs w:val="18"/>
          <w:highlight w:val="none"/>
        </w:rPr>
      </w:pPr>
    </w:p>
    <w:p w14:paraId="6520C601">
      <w:pPr>
        <w:spacing w:line="360" w:lineRule="auto"/>
        <w:rPr>
          <w:rFonts w:hint="eastAsia" w:ascii="宋体" w:hAnsi="宋体" w:eastAsia="宋体" w:cs="宋体"/>
          <w:color w:val="auto"/>
          <w:sz w:val="18"/>
          <w:szCs w:val="18"/>
          <w:highlight w:val="none"/>
        </w:rPr>
      </w:pPr>
    </w:p>
    <w:p w14:paraId="39CC0754">
      <w:pPr>
        <w:spacing w:line="360" w:lineRule="auto"/>
        <w:rPr>
          <w:rFonts w:hint="eastAsia" w:ascii="宋体" w:hAnsi="宋体" w:eastAsia="宋体" w:cs="宋体"/>
          <w:color w:val="auto"/>
          <w:sz w:val="18"/>
          <w:szCs w:val="18"/>
          <w:highlight w:val="none"/>
        </w:rPr>
      </w:pPr>
    </w:p>
    <w:p w14:paraId="16CBD0C4">
      <w:pPr>
        <w:spacing w:line="360" w:lineRule="auto"/>
        <w:rPr>
          <w:rFonts w:hint="eastAsia" w:ascii="宋体" w:hAnsi="宋体" w:eastAsia="宋体" w:cs="宋体"/>
          <w:color w:val="auto"/>
          <w:sz w:val="18"/>
          <w:szCs w:val="18"/>
          <w:highlight w:val="none"/>
        </w:rPr>
      </w:pPr>
    </w:p>
    <w:p w14:paraId="53663B1A">
      <w:pPr>
        <w:spacing w:line="360" w:lineRule="auto"/>
        <w:rPr>
          <w:rFonts w:hint="eastAsia" w:ascii="宋体" w:hAnsi="宋体" w:eastAsia="宋体" w:cs="宋体"/>
          <w:color w:val="auto"/>
          <w:sz w:val="18"/>
          <w:szCs w:val="18"/>
          <w:highlight w:val="none"/>
        </w:rPr>
      </w:pPr>
    </w:p>
    <w:p w14:paraId="771ED4C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w:t>
      </w:r>
      <w:bookmarkStart w:id="1241" w:name="_Toc267261693"/>
      <w:bookmarkStart w:id="1242" w:name="_Toc296347225"/>
      <w:bookmarkStart w:id="1243" w:name="_Toc296891266"/>
      <w:bookmarkStart w:id="1244" w:name="_Toc296891054"/>
      <w:bookmarkStart w:id="1245" w:name="_Toc296346727"/>
      <w:bookmarkStart w:id="1246" w:name="_Toc296503226"/>
      <w:bookmarkStart w:id="1247" w:name="_Toc296944565"/>
      <w:r>
        <w:rPr>
          <w:rFonts w:hint="eastAsia" w:ascii="宋体" w:hAnsi="宋体" w:eastAsia="宋体" w:cs="宋体"/>
          <w:color w:val="auto"/>
          <w:sz w:val="18"/>
          <w:szCs w:val="18"/>
          <w:highlight w:val="none"/>
        </w:rPr>
        <w:t>件1：</w:t>
      </w:r>
      <w:bookmarkEnd w:id="1241"/>
      <w:bookmarkEnd w:id="1242"/>
      <w:bookmarkEnd w:id="1243"/>
      <w:bookmarkEnd w:id="1244"/>
      <w:bookmarkEnd w:id="1245"/>
      <w:bookmarkEnd w:id="1246"/>
      <w:bookmarkEnd w:id="1247"/>
    </w:p>
    <w:p w14:paraId="060EA2EB">
      <w:pPr>
        <w:spacing w:before="156" w:beforeLines="50" w:after="156" w:after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工程质量保修书</w:t>
      </w:r>
    </w:p>
    <w:p w14:paraId="701DD43D">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发包人（全称）：</w:t>
      </w:r>
      <w:r>
        <w:rPr>
          <w:rFonts w:hint="eastAsia" w:ascii="宋体" w:hAnsi="宋体" w:eastAsia="宋体" w:cs="宋体"/>
          <w:color w:val="auto"/>
          <w:sz w:val="18"/>
          <w:szCs w:val="18"/>
          <w:highlight w:val="none"/>
          <w:u w:val="single"/>
        </w:rPr>
        <w:t xml:space="preserve">                             </w:t>
      </w:r>
    </w:p>
    <w:p w14:paraId="25B301D6">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承包人（全称）：</w:t>
      </w:r>
      <w:r>
        <w:rPr>
          <w:rFonts w:hint="eastAsia" w:ascii="宋体" w:hAnsi="宋体" w:eastAsia="宋体" w:cs="宋体"/>
          <w:color w:val="auto"/>
          <w:sz w:val="18"/>
          <w:szCs w:val="18"/>
          <w:highlight w:val="none"/>
          <w:u w:val="single"/>
        </w:rPr>
        <w:t xml:space="preserve">                             </w:t>
      </w:r>
    </w:p>
    <w:p w14:paraId="0237C9C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发包人和承包人根据《中华人民共和国建筑法》和《建设工程质量管理条例》，经协商一致就</w:t>
      </w:r>
    </w:p>
    <w:p w14:paraId="278A2A0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（工程全称）签订工程质量保修书。</w:t>
      </w:r>
    </w:p>
    <w:p w14:paraId="07E3C590">
      <w:pPr>
        <w:spacing w:line="360" w:lineRule="auto"/>
        <w:ind w:firstLine="360" w:firstLineChars="200"/>
        <w:rPr>
          <w:rFonts w:hint="eastAsia" w:ascii="宋体" w:hAnsi="宋体" w:eastAsia="宋体" w:cs="宋体"/>
          <w:color w:val="auto"/>
          <w:sz w:val="18"/>
          <w:szCs w:val="18"/>
          <w:highlight w:val="none"/>
        </w:rPr>
      </w:pPr>
      <w:bookmarkStart w:id="1248" w:name="_Toc532375687"/>
      <w:r>
        <w:rPr>
          <w:rFonts w:hint="eastAsia" w:ascii="宋体" w:hAnsi="宋体" w:eastAsia="宋体" w:cs="宋体"/>
          <w:color w:val="auto"/>
          <w:sz w:val="18"/>
          <w:szCs w:val="18"/>
          <w:highlight w:val="none"/>
        </w:rPr>
        <w:t>一、工程质量保修范围和内容</w:t>
      </w:r>
      <w:bookmarkEnd w:id="1248"/>
    </w:p>
    <w:p w14:paraId="5884B3F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承包人在质量保修期内，按照有关法律规定和合同约定，承担工程质量保修责任。</w:t>
      </w:r>
    </w:p>
    <w:p w14:paraId="7AF9201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4E7B9C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承包人承包范围内容均属质量保修范围内容；其中：</w:t>
      </w:r>
    </w:p>
    <w:p w14:paraId="301C9B2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1.属于设计原因造成的质量问题，承包人负责维修，不留隐患，费用由发包人承担；</w:t>
      </w:r>
    </w:p>
    <w:p w14:paraId="44A374D3">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2.属于施工造成的质量问题，承包人负责维修，不留隐患；</w:t>
      </w:r>
    </w:p>
    <w:p w14:paraId="6163D16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3.属于业主使用不当造成的质量问题，配合抢修，费用由发包人承担。</w:t>
      </w:r>
    </w:p>
    <w:p w14:paraId="1F060861">
      <w:pPr>
        <w:spacing w:line="360" w:lineRule="auto"/>
        <w:ind w:firstLine="360" w:firstLineChars="200"/>
        <w:rPr>
          <w:rFonts w:hint="eastAsia" w:ascii="宋体" w:hAnsi="宋体" w:eastAsia="宋体" w:cs="宋体"/>
          <w:color w:val="auto"/>
          <w:sz w:val="18"/>
          <w:szCs w:val="18"/>
          <w:highlight w:val="none"/>
        </w:rPr>
      </w:pPr>
      <w:bookmarkStart w:id="1249" w:name="_Toc532375688"/>
      <w:r>
        <w:rPr>
          <w:rFonts w:hint="eastAsia" w:ascii="宋体" w:hAnsi="宋体" w:eastAsia="宋体" w:cs="宋体"/>
          <w:color w:val="auto"/>
          <w:sz w:val="18"/>
          <w:szCs w:val="18"/>
          <w:highlight w:val="none"/>
        </w:rPr>
        <w:t>二、质量保修期</w:t>
      </w:r>
      <w:bookmarkEnd w:id="1249"/>
    </w:p>
    <w:p w14:paraId="42A6E7A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根据《建设工程质量管理条例》及有关规定，本工程质量保修期约定如下：</w:t>
      </w:r>
    </w:p>
    <w:p w14:paraId="4F8D58B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1.基础设施工程、房屋建筑的地基基础工程和主体结构工程，为设计文件规定的该工程的合理使用年限；</w:t>
      </w:r>
    </w:p>
    <w:p w14:paraId="6992CE6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2.屋面防水工程、有防水要求的卫生间、房间和外墙面的防渗漏，为5年；</w:t>
      </w:r>
    </w:p>
    <w:p w14:paraId="09ECB07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3.供热与供冷系统，为2个采暖期、供冷期；</w:t>
      </w:r>
    </w:p>
    <w:p w14:paraId="7AF0F36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4.电气管线、给排水管道、设备安装和装修工程，为2年；</w:t>
      </w:r>
    </w:p>
    <w:p w14:paraId="6D2357B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5.园林绿化植物（包括所有苗木）养护期自项目竣工验收合格之日起 1 年，栽植及养护期间成活率</w:t>
      </w:r>
    </w:p>
    <w:p w14:paraId="5EDD5903">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要求达到 100%</w:t>
      </w:r>
      <w:r>
        <w:rPr>
          <w:rFonts w:hint="eastAsia" w:ascii="宋体" w:hAnsi="宋体" w:eastAsia="宋体" w:cs="宋体"/>
          <w:color w:val="auto"/>
          <w:sz w:val="18"/>
          <w:szCs w:val="18"/>
          <w:highlight w:val="none"/>
          <w:lang w:eastAsia="zh-CN"/>
        </w:rPr>
        <w:t>；</w:t>
      </w:r>
    </w:p>
    <w:p w14:paraId="560E3C74">
      <w:pPr>
        <w:numPr>
          <w:ilvl w:val="0"/>
          <w:numId w:val="0"/>
        </w:num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其他项目保修期限：2年；</w:t>
      </w:r>
    </w:p>
    <w:p w14:paraId="63766907">
      <w:pPr>
        <w:numPr>
          <w:ilvl w:val="0"/>
          <w:numId w:val="0"/>
        </w:num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建设工程的保修期，自工程竣工验收合格之日起计算。</w:t>
      </w:r>
    </w:p>
    <w:p w14:paraId="0EE82E62">
      <w:pPr>
        <w:spacing w:line="360" w:lineRule="auto"/>
        <w:ind w:firstLine="360" w:firstLineChars="200"/>
        <w:rPr>
          <w:rFonts w:hint="eastAsia" w:ascii="宋体" w:hAnsi="宋体" w:eastAsia="宋体" w:cs="宋体"/>
          <w:color w:val="auto"/>
          <w:sz w:val="18"/>
          <w:szCs w:val="18"/>
          <w:highlight w:val="none"/>
        </w:rPr>
      </w:pPr>
      <w:bookmarkStart w:id="1250" w:name="_Toc532375689"/>
      <w:r>
        <w:rPr>
          <w:rFonts w:hint="eastAsia" w:ascii="宋体" w:hAnsi="宋体" w:eastAsia="宋体" w:cs="宋体"/>
          <w:color w:val="auto"/>
          <w:sz w:val="18"/>
          <w:szCs w:val="18"/>
          <w:highlight w:val="none"/>
        </w:rPr>
        <w:t>三、质量保修责任</w:t>
      </w:r>
      <w:bookmarkEnd w:id="1250"/>
    </w:p>
    <w:p w14:paraId="786B1EB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1.属于保修范围、内容的项目，承包人应当在接到保修通知之日起7天内派人保修。承包人不在约定期限内派人保修的，发包人可以委托他人修理。</w:t>
      </w:r>
    </w:p>
    <w:p w14:paraId="1DED6CD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2.发生紧急事故需抢修的，承包人在接到事故通知后，应当立即到达事故现场抢修。</w:t>
      </w:r>
    </w:p>
    <w:p w14:paraId="71B5229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9D0F9C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4.质量保修完成后，由发包人组织验收。</w:t>
      </w:r>
    </w:p>
    <w:p w14:paraId="27909B26">
      <w:pPr>
        <w:spacing w:line="360" w:lineRule="auto"/>
        <w:ind w:firstLine="360" w:firstLineChars="200"/>
        <w:rPr>
          <w:rFonts w:hint="eastAsia" w:ascii="宋体" w:hAnsi="宋体" w:eastAsia="宋体" w:cs="宋体"/>
          <w:color w:val="auto"/>
          <w:sz w:val="18"/>
          <w:szCs w:val="18"/>
          <w:highlight w:val="none"/>
        </w:rPr>
      </w:pPr>
      <w:bookmarkStart w:id="1251" w:name="_Toc532375690"/>
      <w:r>
        <w:rPr>
          <w:rFonts w:hint="eastAsia" w:ascii="宋体" w:hAnsi="宋体" w:eastAsia="宋体" w:cs="宋体"/>
          <w:color w:val="auto"/>
          <w:sz w:val="18"/>
          <w:szCs w:val="18"/>
          <w:highlight w:val="none"/>
        </w:rPr>
        <w:t>四、保修费用</w:t>
      </w:r>
      <w:bookmarkEnd w:id="1251"/>
    </w:p>
    <w:p w14:paraId="592494A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保修费用由质量缺陷的责任方承担。</w:t>
      </w:r>
    </w:p>
    <w:p w14:paraId="62ED3CC2">
      <w:pPr>
        <w:spacing w:line="360" w:lineRule="auto"/>
        <w:ind w:firstLine="360" w:firstLineChars="200"/>
        <w:rPr>
          <w:rFonts w:hint="eastAsia" w:ascii="宋体" w:hAnsi="宋体" w:eastAsia="宋体" w:cs="宋体"/>
          <w:color w:val="auto"/>
          <w:sz w:val="18"/>
          <w:szCs w:val="18"/>
          <w:highlight w:val="none"/>
        </w:rPr>
      </w:pPr>
      <w:bookmarkStart w:id="1252" w:name="_Toc532375691"/>
      <w:r>
        <w:rPr>
          <w:rFonts w:hint="eastAsia" w:ascii="宋体" w:hAnsi="宋体" w:eastAsia="宋体" w:cs="宋体"/>
          <w:color w:val="auto"/>
          <w:sz w:val="18"/>
          <w:szCs w:val="18"/>
          <w:highlight w:val="none"/>
        </w:rPr>
        <w:t>五、双方约定的其他工程质量保修事项</w:t>
      </w:r>
    </w:p>
    <w:p w14:paraId="1963DF1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按国家相关法律和规定执行</w:t>
      </w:r>
      <w:r>
        <w:rPr>
          <w:rFonts w:hint="eastAsia" w:ascii="宋体" w:hAnsi="宋体" w:eastAsia="宋体" w:cs="宋体"/>
          <w:color w:val="auto"/>
          <w:sz w:val="18"/>
          <w:szCs w:val="18"/>
          <w:highlight w:val="none"/>
        </w:rPr>
        <w:t>。</w:t>
      </w:r>
      <w:bookmarkEnd w:id="1252"/>
    </w:p>
    <w:p w14:paraId="6BCFDA2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本工程质量保修书由发包人、承包人在工程竣工验收前共同签署，作为施工合同附件，其有效期限至保修期满。</w:t>
      </w:r>
    </w:p>
    <w:p w14:paraId="6ADA060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六、本文件生效</w:t>
      </w:r>
    </w:p>
    <w:p w14:paraId="2813BF09">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本工程质量保修书经发包人与承包人盖章后生效。</w:t>
      </w:r>
    </w:p>
    <w:p w14:paraId="208A5157">
      <w:pPr>
        <w:pStyle w:val="2"/>
        <w:spacing w:line="360" w:lineRule="auto"/>
        <w:ind w:firstLine="360" w:firstLineChars="200"/>
        <w:rPr>
          <w:rFonts w:hint="eastAsia" w:ascii="宋体" w:hAnsi="宋体" w:eastAsia="宋体" w:cs="宋体"/>
          <w:color w:val="auto"/>
          <w:sz w:val="18"/>
          <w:szCs w:val="18"/>
          <w:highlight w:val="none"/>
        </w:rPr>
      </w:pPr>
    </w:p>
    <w:p w14:paraId="7FEDF2DE">
      <w:pPr>
        <w:spacing w:line="360" w:lineRule="auto"/>
        <w:ind w:firstLine="360" w:firstLineChars="200"/>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发包人：</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（盖单位公章）</w:t>
      </w:r>
    </w:p>
    <w:p w14:paraId="1A6DB184">
      <w:pPr>
        <w:spacing w:line="360" w:lineRule="auto"/>
        <w:ind w:firstLine="360" w:firstLineChars="200"/>
        <w:rPr>
          <w:rFonts w:hint="eastAsia" w:ascii="宋体" w:hAnsi="宋体" w:eastAsia="宋体" w:cs="宋体"/>
          <w:snapToGrid w:val="0"/>
          <w:color w:val="auto"/>
          <w:kern w:val="0"/>
          <w:sz w:val="18"/>
          <w:szCs w:val="18"/>
          <w:highlight w:val="none"/>
        </w:rPr>
      </w:pPr>
    </w:p>
    <w:p w14:paraId="4F51ACDF">
      <w:pPr>
        <w:spacing w:line="360" w:lineRule="auto"/>
        <w:ind w:firstLine="360" w:firstLineChars="200"/>
        <w:rPr>
          <w:rFonts w:hint="eastAsia" w:ascii="宋体" w:hAnsi="宋体" w:eastAsia="宋体" w:cs="宋体"/>
          <w:snapToGrid w:val="0"/>
          <w:color w:val="auto"/>
          <w:kern w:val="0"/>
          <w:sz w:val="18"/>
          <w:szCs w:val="18"/>
          <w:highlight w:val="none"/>
        </w:rPr>
      </w:pPr>
    </w:p>
    <w:p w14:paraId="59408FA4">
      <w:pPr>
        <w:spacing w:line="360" w:lineRule="auto"/>
        <w:ind w:firstLine="360" w:firstLineChars="200"/>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法定代表人或其委托代理人：</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（签名）</w:t>
      </w:r>
    </w:p>
    <w:p w14:paraId="576C8D5E">
      <w:pPr>
        <w:spacing w:line="360" w:lineRule="auto"/>
        <w:ind w:firstLine="360" w:firstLineChars="200"/>
        <w:rPr>
          <w:rFonts w:hint="eastAsia" w:ascii="宋体" w:hAnsi="宋体" w:eastAsia="宋体" w:cs="宋体"/>
          <w:snapToGrid w:val="0"/>
          <w:color w:val="auto"/>
          <w:kern w:val="0"/>
          <w:sz w:val="18"/>
          <w:szCs w:val="18"/>
          <w:highlight w:val="none"/>
        </w:rPr>
      </w:pPr>
    </w:p>
    <w:p w14:paraId="312402EB">
      <w:pPr>
        <w:spacing w:line="360" w:lineRule="auto"/>
        <w:ind w:firstLine="360" w:firstLineChars="200"/>
        <w:rPr>
          <w:rFonts w:hint="eastAsia" w:ascii="宋体" w:hAnsi="宋体" w:eastAsia="宋体" w:cs="宋体"/>
          <w:snapToGrid w:val="0"/>
          <w:color w:val="auto"/>
          <w:kern w:val="0"/>
          <w:sz w:val="18"/>
          <w:szCs w:val="18"/>
          <w:highlight w:val="none"/>
        </w:rPr>
      </w:pPr>
    </w:p>
    <w:p w14:paraId="65A01134">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snapToGrid w:val="0"/>
          <w:color w:val="auto"/>
          <w:kern w:val="0"/>
          <w:sz w:val="18"/>
          <w:szCs w:val="18"/>
          <w:highlight w:val="none"/>
        </w:rPr>
        <w:t>承包人：</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（盖单位公章）</w:t>
      </w:r>
    </w:p>
    <w:p w14:paraId="04640316">
      <w:pPr>
        <w:spacing w:line="360" w:lineRule="auto"/>
        <w:ind w:firstLine="360" w:firstLineChars="200"/>
        <w:rPr>
          <w:rFonts w:hint="eastAsia" w:ascii="宋体" w:hAnsi="宋体" w:eastAsia="宋体" w:cs="宋体"/>
          <w:snapToGrid w:val="0"/>
          <w:color w:val="auto"/>
          <w:kern w:val="0"/>
          <w:sz w:val="18"/>
          <w:szCs w:val="18"/>
          <w:highlight w:val="none"/>
        </w:rPr>
      </w:pPr>
    </w:p>
    <w:p w14:paraId="2CD82C64">
      <w:pPr>
        <w:spacing w:line="360" w:lineRule="auto"/>
        <w:ind w:firstLine="360" w:firstLineChars="200"/>
        <w:rPr>
          <w:rFonts w:hint="eastAsia" w:ascii="宋体" w:hAnsi="宋体" w:eastAsia="宋体" w:cs="宋体"/>
          <w:snapToGrid w:val="0"/>
          <w:color w:val="auto"/>
          <w:kern w:val="0"/>
          <w:sz w:val="18"/>
          <w:szCs w:val="18"/>
          <w:highlight w:val="none"/>
        </w:rPr>
      </w:pPr>
    </w:p>
    <w:p w14:paraId="24C26354">
      <w:pPr>
        <w:spacing w:line="360" w:lineRule="auto"/>
        <w:ind w:firstLine="360" w:firstLineChars="200"/>
        <w:rPr>
          <w:rFonts w:hint="eastAsia" w:ascii="宋体" w:hAnsi="宋体" w:eastAsia="宋体" w:cs="宋体"/>
          <w:bCs/>
          <w:color w:val="auto"/>
          <w:kern w:val="0"/>
          <w:sz w:val="18"/>
          <w:szCs w:val="18"/>
          <w:highlight w:val="none"/>
        </w:rPr>
      </w:pPr>
      <w:r>
        <w:rPr>
          <w:rFonts w:hint="eastAsia" w:ascii="宋体" w:hAnsi="宋体" w:eastAsia="宋体" w:cs="宋体"/>
          <w:snapToGrid w:val="0"/>
          <w:color w:val="auto"/>
          <w:kern w:val="0"/>
          <w:sz w:val="18"/>
          <w:szCs w:val="18"/>
          <w:highlight w:val="none"/>
        </w:rPr>
        <w:t>法定代表人或其委托代理人：</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（签名）</w:t>
      </w:r>
    </w:p>
    <w:p w14:paraId="705CB1EB">
      <w:pPr>
        <w:spacing w:line="360" w:lineRule="auto"/>
        <w:ind w:firstLine="360" w:firstLineChars="200"/>
        <w:rPr>
          <w:rFonts w:hint="eastAsia" w:ascii="宋体" w:hAnsi="宋体" w:eastAsia="宋体" w:cs="宋体"/>
          <w:snapToGrid w:val="0"/>
          <w:color w:val="auto"/>
          <w:spacing w:val="1"/>
          <w:w w:val="99"/>
          <w:kern w:val="0"/>
          <w:position w:val="-2"/>
          <w:sz w:val="18"/>
          <w:szCs w:val="18"/>
          <w:highlight w:val="none"/>
        </w:rPr>
      </w:pPr>
    </w:p>
    <w:p w14:paraId="4B4ECB90">
      <w:pPr>
        <w:spacing w:line="360" w:lineRule="auto"/>
        <w:ind w:firstLine="360" w:firstLineChars="200"/>
        <w:rPr>
          <w:rFonts w:hint="eastAsia" w:ascii="宋体" w:hAnsi="宋体" w:eastAsia="宋体" w:cs="宋体"/>
          <w:snapToGrid w:val="0"/>
          <w:color w:val="auto"/>
          <w:spacing w:val="1"/>
          <w:w w:val="99"/>
          <w:kern w:val="0"/>
          <w:position w:val="-2"/>
          <w:sz w:val="18"/>
          <w:szCs w:val="18"/>
          <w:highlight w:val="none"/>
        </w:rPr>
      </w:pPr>
    </w:p>
    <w:p w14:paraId="5DD6AC04">
      <w:pPr>
        <w:spacing w:line="360" w:lineRule="auto"/>
        <w:ind w:firstLine="360" w:firstLineChars="200"/>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签约时间：</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年</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月</w:t>
      </w:r>
      <w:r>
        <w:rPr>
          <w:rFonts w:hint="eastAsia" w:ascii="宋体" w:hAnsi="宋体" w:eastAsia="宋体" w:cs="宋体"/>
          <w:snapToGrid w:val="0"/>
          <w:color w:val="auto"/>
          <w:kern w:val="0"/>
          <w:sz w:val="18"/>
          <w:szCs w:val="18"/>
          <w:highlight w:val="none"/>
          <w:u w:val="single"/>
        </w:rPr>
        <w:t xml:space="preserve">     </w:t>
      </w:r>
      <w:r>
        <w:rPr>
          <w:rFonts w:hint="eastAsia" w:ascii="宋体" w:hAnsi="宋体" w:eastAsia="宋体" w:cs="宋体"/>
          <w:snapToGrid w:val="0"/>
          <w:color w:val="auto"/>
          <w:kern w:val="0"/>
          <w:sz w:val="18"/>
          <w:szCs w:val="18"/>
          <w:highlight w:val="none"/>
        </w:rPr>
        <w:t>日</w:t>
      </w:r>
    </w:p>
    <w:p w14:paraId="685CC2DD">
      <w:pPr>
        <w:spacing w:line="360" w:lineRule="auto"/>
        <w:ind w:firstLine="360" w:firstLine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4230AD72">
      <w:pPr>
        <w:spacing w:line="360" w:lineRule="auto"/>
        <w:ind w:firstLine="360" w:firstLineChars="200"/>
        <w:jc w:val="center"/>
        <w:rPr>
          <w:rFonts w:hint="eastAsia" w:ascii="宋体" w:hAnsi="宋体" w:eastAsia="宋体" w:cs="宋体"/>
          <w:color w:val="auto"/>
          <w:sz w:val="18"/>
          <w:szCs w:val="18"/>
          <w:highlight w:val="none"/>
        </w:rPr>
      </w:pPr>
    </w:p>
    <w:p w14:paraId="7E8A461B">
      <w:pPr>
        <w:spacing w:line="36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附件2：</w:t>
      </w:r>
    </w:p>
    <w:p w14:paraId="688FAB93">
      <w:pPr>
        <w:spacing w:line="360" w:lineRule="auto"/>
        <w:ind w:firstLine="360" w:firstLine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履约担保（如有）</w:t>
      </w:r>
    </w:p>
    <w:p w14:paraId="56543FC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ab/>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（发包人名称）：</w:t>
      </w:r>
    </w:p>
    <w:p w14:paraId="2D0F6826">
      <w:pPr>
        <w:spacing w:line="360" w:lineRule="auto"/>
        <w:ind w:firstLine="360" w:firstLineChars="200"/>
        <w:rPr>
          <w:rFonts w:hint="eastAsia" w:ascii="宋体" w:hAnsi="宋体" w:eastAsia="宋体" w:cs="宋体"/>
          <w:color w:val="auto"/>
          <w:sz w:val="18"/>
          <w:szCs w:val="18"/>
          <w:highlight w:val="none"/>
        </w:rPr>
      </w:pPr>
    </w:p>
    <w:p w14:paraId="21914A5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鉴于</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（发包人名称，以下简称“发包人”）与</w:t>
      </w:r>
    </w:p>
    <w:p w14:paraId="5CF75259">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（承包人名称）（以下称“承包人”）于</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日就</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（工程名称）施工及有关事项协商一致共同签订《建设工程施工合同》。我方愿意无条件地、不可撤销地就承包人履行与你方签订的合同，向你方提供连带责任担保。</w:t>
      </w:r>
    </w:p>
    <w:p w14:paraId="64330DB4">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 担保金额人民币（大写）</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175DB29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 担保有效期：</w:t>
      </w:r>
      <w:r>
        <w:rPr>
          <w:rFonts w:hint="eastAsia" w:ascii="宋体" w:hAnsi="宋体" w:eastAsia="宋体" w:cs="宋体"/>
          <w:color w:val="auto"/>
          <w:sz w:val="18"/>
          <w:szCs w:val="18"/>
          <w:highlight w:val="none"/>
          <w:u w:val="single"/>
        </w:rPr>
        <w:t>自</w:t>
      </w:r>
      <w:r>
        <w:rPr>
          <w:rStyle w:val="28"/>
          <w:rFonts w:hint="eastAsia" w:ascii="宋体" w:hAnsi="宋体" w:eastAsia="宋体" w:cs="宋体"/>
          <w:color w:val="auto"/>
          <w:sz w:val="18"/>
          <w:szCs w:val="18"/>
          <w:highlight w:val="none"/>
          <w:u w:val="single"/>
        </w:rPr>
        <w:t>我</w:t>
      </w:r>
      <w:r>
        <w:rPr>
          <w:rFonts w:hint="eastAsia" w:ascii="宋体" w:hAnsi="宋体" w:eastAsia="宋体" w:cs="宋体"/>
          <w:color w:val="auto"/>
          <w:sz w:val="18"/>
          <w:szCs w:val="18"/>
          <w:highlight w:val="none"/>
          <w:u w:val="single"/>
        </w:rPr>
        <w:t>方法定代表人（或其委托代理人）签名并加盖单位公章之日起至你方签发或应签发工程接收证书之日止</w:t>
      </w:r>
      <w:r>
        <w:rPr>
          <w:rFonts w:hint="eastAsia" w:ascii="宋体" w:hAnsi="宋体" w:eastAsia="宋体" w:cs="宋体"/>
          <w:color w:val="auto"/>
          <w:sz w:val="18"/>
          <w:szCs w:val="18"/>
          <w:highlight w:val="none"/>
        </w:rPr>
        <w:t>。</w:t>
      </w:r>
    </w:p>
    <w:p w14:paraId="575A7FD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 在本担保有效期内，因承包人违反合同约定的义务给你方造成经济损失时，我方在收到你方以书面形式提出的在担保金额内的赔偿要求后，在7天内无条件支付。</w:t>
      </w:r>
    </w:p>
    <w:p w14:paraId="3BA0126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你方和承包人按合同约定变更合同时，我方承担本担保规定的义务不变。</w:t>
      </w:r>
    </w:p>
    <w:p w14:paraId="3D09AD8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 因本保函发生的纠纷，可由双方协商解决，协商不成的，按下列第</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种方式解决：</w:t>
      </w:r>
    </w:p>
    <w:p w14:paraId="258E79F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（1）向</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仲裁委员会申请仲裁；</w:t>
      </w:r>
    </w:p>
    <w:p w14:paraId="6CCF463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（2）向</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人民法院起诉。</w:t>
      </w:r>
    </w:p>
    <w:p w14:paraId="4271934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 本保函自我方法定代表人（或其委托代理人）签名并加盖单位公章之日起生效。</w:t>
      </w:r>
    </w:p>
    <w:p w14:paraId="70EAAA36">
      <w:pPr>
        <w:spacing w:line="360" w:lineRule="auto"/>
        <w:ind w:firstLine="360" w:firstLineChars="200"/>
        <w:rPr>
          <w:rFonts w:hint="eastAsia" w:ascii="宋体" w:hAnsi="宋体" w:eastAsia="宋体" w:cs="宋体"/>
          <w:color w:val="auto"/>
          <w:sz w:val="18"/>
          <w:szCs w:val="18"/>
          <w:highlight w:val="none"/>
        </w:rPr>
      </w:pPr>
    </w:p>
    <w:p w14:paraId="508CE3D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担 保 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（盖单位公章）</w:t>
      </w:r>
    </w:p>
    <w:p w14:paraId="32948EC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法定代表人或其委托代理人：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（签名）</w:t>
      </w:r>
    </w:p>
    <w:p w14:paraId="325BE42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single"/>
        </w:rPr>
        <w:t xml:space="preserve">                                      </w:t>
      </w:r>
    </w:p>
    <w:p w14:paraId="26722BD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邮政编码：</w:t>
      </w:r>
      <w:r>
        <w:rPr>
          <w:rFonts w:hint="eastAsia" w:ascii="宋体" w:hAnsi="宋体" w:eastAsia="宋体" w:cs="宋体"/>
          <w:color w:val="auto"/>
          <w:sz w:val="18"/>
          <w:szCs w:val="18"/>
          <w:highlight w:val="none"/>
          <w:u w:val="single"/>
        </w:rPr>
        <w:t xml:space="preserve">                                      </w:t>
      </w:r>
    </w:p>
    <w:p w14:paraId="732E4544">
      <w:pPr>
        <w:spacing w:line="360" w:lineRule="auto"/>
        <w:ind w:firstLine="360" w:firstLineChars="200"/>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电    话：</w:t>
      </w:r>
      <w:r>
        <w:rPr>
          <w:rFonts w:hint="eastAsia" w:ascii="宋体" w:hAnsi="宋体" w:eastAsia="宋体" w:cs="宋体"/>
          <w:color w:val="auto"/>
          <w:sz w:val="18"/>
          <w:szCs w:val="18"/>
          <w:highlight w:val="none"/>
          <w:u w:val="single"/>
        </w:rPr>
        <w:t xml:space="preserve">                                      </w:t>
      </w:r>
    </w:p>
    <w:p w14:paraId="011D1A2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传    真：</w:t>
      </w:r>
      <w:r>
        <w:rPr>
          <w:rFonts w:hint="eastAsia" w:ascii="宋体" w:hAnsi="宋体" w:eastAsia="宋体" w:cs="宋体"/>
          <w:color w:val="auto"/>
          <w:sz w:val="18"/>
          <w:szCs w:val="18"/>
          <w:highlight w:val="none"/>
          <w:u w:val="single"/>
        </w:rPr>
        <w:t xml:space="preserve">                                      </w:t>
      </w:r>
    </w:p>
    <w:p w14:paraId="126795E2">
      <w:pPr>
        <w:spacing w:line="360" w:lineRule="auto"/>
        <w:ind w:firstLine="360" w:firstLineChars="200"/>
        <w:jc w:val="left"/>
        <w:rPr>
          <w:rFonts w:hint="eastAsia" w:ascii="宋体" w:hAnsi="宋体" w:eastAsia="宋体" w:cs="宋体"/>
          <w:color w:val="auto"/>
          <w:sz w:val="18"/>
          <w:szCs w:val="18"/>
          <w:highlight w:val="none"/>
          <w:u w:val="single"/>
        </w:rPr>
      </w:pPr>
    </w:p>
    <w:p w14:paraId="3C1EAF99">
      <w:pPr>
        <w:spacing w:line="360" w:lineRule="auto"/>
        <w:ind w:firstLine="360" w:firstLineChars="200"/>
        <w:jc w:val="left"/>
        <w:rPr>
          <w:rFonts w:hint="eastAsia" w:ascii="宋体" w:hAnsi="宋体" w:eastAsia="宋体" w:cs="宋体"/>
          <w:color w:val="auto"/>
          <w:sz w:val="18"/>
          <w:szCs w:val="18"/>
          <w:highlight w:val="none"/>
          <w:u w:val="single"/>
        </w:rPr>
      </w:pPr>
    </w:p>
    <w:p w14:paraId="092FD3E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日</w:t>
      </w:r>
    </w:p>
    <w:p w14:paraId="4ED8C497">
      <w:pPr>
        <w:widowControl/>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13E336D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w:t>
      </w:r>
      <w:bookmarkStart w:id="1253" w:name="_Toc296346733"/>
      <w:bookmarkStart w:id="1254" w:name="_Toc296891272"/>
      <w:bookmarkStart w:id="1255" w:name="_Toc267261702"/>
      <w:bookmarkStart w:id="1256" w:name="_Toc296944571"/>
      <w:bookmarkStart w:id="1257" w:name="_Toc296347231"/>
      <w:bookmarkStart w:id="1258" w:name="_Toc296891060"/>
      <w:bookmarkStart w:id="1259" w:name="_Toc296503232"/>
      <w:r>
        <w:rPr>
          <w:rFonts w:hint="eastAsia" w:ascii="宋体" w:hAnsi="宋体" w:eastAsia="宋体" w:cs="宋体"/>
          <w:color w:val="auto"/>
          <w:sz w:val="18"/>
          <w:szCs w:val="18"/>
          <w:highlight w:val="none"/>
        </w:rPr>
        <w:t>件</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bookmarkEnd w:id="1253"/>
      <w:bookmarkEnd w:id="1254"/>
      <w:bookmarkEnd w:id="1255"/>
      <w:bookmarkEnd w:id="1256"/>
      <w:bookmarkEnd w:id="1257"/>
      <w:bookmarkEnd w:id="1258"/>
      <w:bookmarkEnd w:id="1259"/>
    </w:p>
    <w:p w14:paraId="7010B8FB">
      <w:pPr>
        <w:spacing w:before="156" w:beforeLines="50" w:after="156" w:afterLines="50" w:line="48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廉洁从业协议</w:t>
      </w:r>
    </w:p>
    <w:p w14:paraId="42F4CD93">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发包人（全称）：</w:t>
      </w:r>
      <w:r>
        <w:rPr>
          <w:rFonts w:hint="eastAsia" w:ascii="宋体" w:hAnsi="宋体" w:eastAsia="宋体" w:cs="宋体"/>
          <w:color w:val="auto"/>
          <w:sz w:val="18"/>
          <w:szCs w:val="18"/>
          <w:highlight w:val="none"/>
          <w:u w:val="single"/>
        </w:rPr>
        <w:t xml:space="preserve">                             </w:t>
      </w:r>
    </w:p>
    <w:p w14:paraId="3A37DE11">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承包人（全称）：</w:t>
      </w:r>
      <w:r>
        <w:rPr>
          <w:rFonts w:hint="eastAsia" w:ascii="宋体" w:hAnsi="宋体" w:eastAsia="宋体" w:cs="宋体"/>
          <w:color w:val="auto"/>
          <w:sz w:val="18"/>
          <w:szCs w:val="18"/>
          <w:highlight w:val="none"/>
          <w:u w:val="single"/>
        </w:rPr>
        <w:t xml:space="preserve">                             </w:t>
      </w:r>
    </w:p>
    <w:p w14:paraId="3072F29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80B876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 发包人承包人的权利和义务</w:t>
      </w:r>
    </w:p>
    <w:p w14:paraId="7DA277F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（1）严格遵守党的政策规定和国家有关法律法规及相关部门的有关规定。</w:t>
      </w:r>
    </w:p>
    <w:p w14:paraId="5EAC0C4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（2）严格执行 工程的合同文件，自觉按合同办事。</w:t>
      </w:r>
    </w:p>
    <w:p w14:paraId="4734D40E">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（3）双方的业务活动坚持公开、公正、诚信、透明的原则（法律认定的商业秘密和合同文件另有规定除外），不得损害国家和集体利益，违反工程建设管理规章制度。</w:t>
      </w:r>
    </w:p>
    <w:p w14:paraId="6E633AF3">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（4）建立健全廉政制度，开展廉政教育，设立廉政告示牌，公布举报电话，监督并认真查处违法违纪行为。</w:t>
      </w:r>
    </w:p>
    <w:p w14:paraId="676D092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（5）发现对方在业务活动中有违反廉政规定的行为，有及时提醒对方纠正的权利和义务。</w:t>
      </w:r>
    </w:p>
    <w:p w14:paraId="60CB7704">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（6）发现对方严重违反协议义务条款的行为，有向其上级有关部门举报、建议给予处理并要求告知处理结果的权利。</w:t>
      </w:r>
    </w:p>
    <w:p w14:paraId="3098111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 发包人的义务</w:t>
      </w:r>
    </w:p>
    <w:p w14:paraId="6218F9E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（1）发包人及其工作人员不得索要或接受承包人的礼金、有价证券和贵重物品，不得在承包人报销任何应由发包人或发包人工作人员个人支付的费用等。</w:t>
      </w:r>
    </w:p>
    <w:p w14:paraId="4AEFBE2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（2）发包人工作人员不得参加承包人安排的超标准宴请和娱乐活动；不得接受承包人提供的通讯工具、交通工具和高档办公用品等。</w:t>
      </w:r>
    </w:p>
    <w:p w14:paraId="5C8B1E2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（3）发包人及其工作人员不得要求或者接受承包人为其住房装修、婚丧嫁娶活动、配偶子女的工作安排以及出国出境、旅游等提供方便等。</w:t>
      </w:r>
    </w:p>
    <w:p w14:paraId="626C19F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（4）发包人工作人员及其配偶、子女不得从事与发包人工程有关的材料设备供应、工程分包、劳务等经济活动等。</w:t>
      </w:r>
    </w:p>
    <w:p w14:paraId="7DB29619">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（5）发包人及其工作人员不得以任何理由向承包人推荐分包单位或推销材料，不得要求承包人购买合同规定外的材料和设备。</w:t>
      </w:r>
    </w:p>
    <w:p w14:paraId="7DD3D4D1">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（6）发包人工作人员要秉公办事，不准营私舞弊，不准利用职权从事各种个人有偿中介活动和安排个人施工队伍。</w:t>
      </w:r>
    </w:p>
    <w:p w14:paraId="38D14922">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 承包人义务</w:t>
      </w:r>
    </w:p>
    <w:p w14:paraId="49E48B3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（1）承包人不得以任何理由向发包人及其工作人员行贿或馈赠礼金、有价证券、贵重礼品。</w:t>
      </w:r>
    </w:p>
    <w:p w14:paraId="762C28B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（2）承包人不得以任何名义为发包人及其工作人员报销应由发包人单位或个人支付的任何费用。</w:t>
      </w:r>
    </w:p>
    <w:p w14:paraId="4B64857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（3）承包人不得以任何理由安排发包人工作人员参加超标准宴请及娱乐活动。</w:t>
      </w:r>
    </w:p>
    <w:p w14:paraId="4312405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（4）承包人不得为发包人单位和个人购置或提供通讯工具、交通工具和高档办公用品等。</w:t>
      </w:r>
    </w:p>
    <w:p w14:paraId="63676FF4">
      <w:pPr>
        <w:pStyle w:val="3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r>
        <w:rPr>
          <w:rFonts w:hint="eastAsia" w:ascii="宋体" w:hAnsi="宋体" w:cs="宋体"/>
          <w:color w:val="auto"/>
          <w:kern w:val="2"/>
          <w:sz w:val="18"/>
          <w:szCs w:val="18"/>
          <w:highlight w:val="none"/>
          <w:lang w:eastAsia="zh-CN"/>
        </w:rPr>
        <w:t>竞标人</w:t>
      </w:r>
      <w:r>
        <w:rPr>
          <w:rFonts w:hint="eastAsia" w:ascii="宋体" w:hAnsi="宋体" w:eastAsia="宋体" w:cs="宋体"/>
          <w:color w:val="auto"/>
          <w:kern w:val="2"/>
          <w:sz w:val="18"/>
          <w:szCs w:val="18"/>
          <w:highlight w:val="none"/>
        </w:rPr>
        <w:t>必须在资格审查中对以上（1）-（4）条情形进行承诺，否则，视为不响应</w:t>
      </w:r>
      <w:r>
        <w:rPr>
          <w:rFonts w:hint="eastAsia" w:ascii="宋体" w:hAnsi="宋体" w:cs="宋体"/>
          <w:color w:val="auto"/>
          <w:kern w:val="2"/>
          <w:sz w:val="18"/>
          <w:szCs w:val="18"/>
          <w:highlight w:val="none"/>
          <w:lang w:eastAsia="zh-CN"/>
        </w:rPr>
        <w:t>比选</w:t>
      </w:r>
      <w:r>
        <w:rPr>
          <w:rFonts w:hint="eastAsia" w:ascii="宋体" w:hAnsi="宋体" w:eastAsia="宋体" w:cs="宋体"/>
          <w:color w:val="auto"/>
          <w:kern w:val="2"/>
          <w:sz w:val="18"/>
          <w:szCs w:val="18"/>
          <w:highlight w:val="none"/>
        </w:rPr>
        <w:t>文件要求。</w:t>
      </w:r>
    </w:p>
    <w:p w14:paraId="765527A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违约责任</w:t>
      </w:r>
    </w:p>
    <w:p w14:paraId="51E3EDA8">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（1）发包人及其工作人员违反合同第1、2条，按管理权限，依据有关规定给予党纪、政纪或组织处理；涉嫌犯罪的，移交司法机关追究刑事责任；给承包人单位造成经济损失的，应予以赔偿。</w:t>
      </w:r>
    </w:p>
    <w:p w14:paraId="7090CF90">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（2）承包人及其工作人员违反合同第1、3条，按管理权限，依据有关规定给予党纪、政纪或组织处理；给发包人单位造成经济损失的，应予以赔偿。</w:t>
      </w:r>
    </w:p>
    <w:p w14:paraId="52F4054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1A2B7A9">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 协议有效期为甲乙双方签署之日起至该工程项目竣工验收后止。</w:t>
      </w:r>
    </w:p>
    <w:p w14:paraId="7D44D67C">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7.协议作为 工程施工合同的附件，与工程施工合同具有同等的法律效力，经合同双方签署立即生效。</w:t>
      </w:r>
    </w:p>
    <w:p w14:paraId="4F83452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（以下无正文）</w:t>
      </w:r>
    </w:p>
    <w:p w14:paraId="58CD727B">
      <w:pPr>
        <w:pStyle w:val="2"/>
        <w:spacing w:line="360" w:lineRule="auto"/>
        <w:rPr>
          <w:rFonts w:hint="eastAsia" w:ascii="宋体" w:hAnsi="宋体" w:eastAsia="宋体" w:cs="宋体"/>
          <w:color w:val="auto"/>
          <w:sz w:val="18"/>
          <w:szCs w:val="18"/>
          <w:highlight w:val="none"/>
        </w:rPr>
      </w:pPr>
    </w:p>
    <w:p w14:paraId="1436CEA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     方：                         乙     方：</w:t>
      </w:r>
    </w:p>
    <w:p w14:paraId="3F703A00">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法定代表人                          法定代表人                      </w:t>
      </w:r>
    </w:p>
    <w:p w14:paraId="1212ED19">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或其授权的代理人：                  或授权的代理人：</w:t>
      </w:r>
    </w:p>
    <w:p w14:paraId="49771C70">
      <w:pPr>
        <w:spacing w:line="48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r>
        <w:rPr>
          <w:rFonts w:hint="eastAsia" w:ascii="宋体" w:hAnsi="宋体" w:eastAsia="宋体" w:cs="宋体"/>
          <w:color w:val="auto"/>
          <w:sz w:val="18"/>
          <w:szCs w:val="18"/>
          <w:highlight w:val="none"/>
        </w:rPr>
        <w:t>附件</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p>
    <w:p w14:paraId="4B4F8F45">
      <w:pPr>
        <w:spacing w:before="156" w:beforeLines="50" w:after="156" w:afterLines="50" w:line="480" w:lineRule="auto"/>
        <w:jc w:val="center"/>
        <w:rPr>
          <w:rFonts w:hint="eastAsia" w:ascii="宋体" w:hAnsi="宋体" w:eastAsia="宋体" w:cs="宋体"/>
          <w:color w:val="auto"/>
          <w:sz w:val="18"/>
          <w:szCs w:val="18"/>
          <w:highlight w:val="none"/>
        </w:rPr>
      </w:pPr>
      <w:bookmarkStart w:id="1260" w:name="_Toc336680145"/>
      <w:bookmarkStart w:id="1261" w:name="_Toc435690184"/>
      <w:bookmarkStart w:id="1262" w:name="_Toc435689499"/>
      <w:bookmarkStart w:id="1263" w:name="_Toc448406299"/>
      <w:bookmarkStart w:id="1264" w:name="_Toc247431422"/>
      <w:bookmarkStart w:id="1265" w:name="_Toc239510288"/>
      <w:r>
        <w:rPr>
          <w:rFonts w:hint="eastAsia" w:ascii="宋体" w:hAnsi="宋体" w:eastAsia="宋体" w:cs="宋体"/>
          <w:color w:val="auto"/>
          <w:sz w:val="18"/>
          <w:szCs w:val="18"/>
          <w:highlight w:val="none"/>
        </w:rPr>
        <w:t>安全管理协议</w:t>
      </w:r>
      <w:bookmarkEnd w:id="1260"/>
      <w:bookmarkEnd w:id="1261"/>
      <w:bookmarkEnd w:id="1262"/>
      <w:bookmarkEnd w:id="1263"/>
      <w:bookmarkEnd w:id="1264"/>
      <w:bookmarkEnd w:id="1265"/>
    </w:p>
    <w:p w14:paraId="24E41C5B">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发包人（全称）：</w:t>
      </w:r>
      <w:r>
        <w:rPr>
          <w:rFonts w:hint="eastAsia" w:ascii="宋体" w:hAnsi="宋体" w:eastAsia="宋体" w:cs="宋体"/>
          <w:color w:val="auto"/>
          <w:sz w:val="18"/>
          <w:szCs w:val="18"/>
          <w:highlight w:val="none"/>
          <w:u w:val="single"/>
        </w:rPr>
        <w:t xml:space="preserve">                             </w:t>
      </w:r>
    </w:p>
    <w:p w14:paraId="743D017A">
      <w:pPr>
        <w:snapToGrid w:val="0"/>
        <w:spacing w:line="360" w:lineRule="auto"/>
        <w:ind w:firstLine="361" w:firstLineChars="200"/>
        <w:rPr>
          <w:rFonts w:hint="eastAsia" w:ascii="宋体" w:hAnsi="宋体" w:eastAsia="宋体" w:cs="宋体"/>
          <w:b/>
          <w:color w:val="auto"/>
          <w:sz w:val="18"/>
          <w:szCs w:val="18"/>
          <w:highlight w:val="none"/>
          <w:u w:val="single"/>
        </w:rPr>
      </w:pPr>
      <w:r>
        <w:rPr>
          <w:rFonts w:hint="eastAsia" w:ascii="宋体" w:hAnsi="宋体" w:eastAsia="宋体" w:cs="宋体"/>
          <w:b/>
          <w:color w:val="auto"/>
          <w:sz w:val="18"/>
          <w:szCs w:val="18"/>
          <w:highlight w:val="none"/>
        </w:rPr>
        <w:t>承包人（全称）：</w:t>
      </w:r>
      <w:r>
        <w:rPr>
          <w:rFonts w:hint="eastAsia" w:ascii="宋体" w:hAnsi="宋体" w:eastAsia="宋体" w:cs="宋体"/>
          <w:color w:val="auto"/>
          <w:sz w:val="18"/>
          <w:szCs w:val="18"/>
          <w:highlight w:val="none"/>
          <w:u w:val="single"/>
        </w:rPr>
        <w:t xml:space="preserve">                             </w:t>
      </w:r>
    </w:p>
    <w:p w14:paraId="2EFF9FA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为了确保实现</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安全生产目标，进一步明确双方的安全管理责任，加强安全生产管理工作的协调、管理力度，</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（以下简称“发包人”）与</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C68B151">
      <w:pPr>
        <w:spacing w:line="360" w:lineRule="auto"/>
        <w:ind w:firstLine="360" w:firstLineChars="200"/>
        <w:rPr>
          <w:rFonts w:hint="eastAsia" w:ascii="宋体" w:hAnsi="宋体" w:eastAsia="宋体" w:cs="宋体"/>
          <w:color w:val="auto"/>
          <w:sz w:val="18"/>
          <w:szCs w:val="18"/>
          <w:highlight w:val="none"/>
        </w:rPr>
      </w:pPr>
      <w:bookmarkStart w:id="1266" w:name="_Toc247431423"/>
      <w:bookmarkStart w:id="1267" w:name="_Toc239510289"/>
      <w:bookmarkStart w:id="1268" w:name="_Toc532375700"/>
      <w:bookmarkStart w:id="1269" w:name="_Toc247418263"/>
      <w:r>
        <w:rPr>
          <w:rFonts w:hint="eastAsia" w:ascii="宋体" w:hAnsi="宋体" w:eastAsia="宋体" w:cs="宋体"/>
          <w:color w:val="auto"/>
          <w:sz w:val="18"/>
          <w:szCs w:val="18"/>
          <w:highlight w:val="none"/>
        </w:rPr>
        <w:t>一、协议有效期限</w:t>
      </w:r>
      <w:bookmarkEnd w:id="1266"/>
      <w:bookmarkEnd w:id="1267"/>
      <w:bookmarkEnd w:id="1268"/>
      <w:bookmarkEnd w:id="1269"/>
    </w:p>
    <w:p w14:paraId="17F2D46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本协议中所涉及的安全管理责任自合同签订之日起开始生效，至合同工程全部完工验收且经发包人与承包人签订移交协议生效后之日终止。</w:t>
      </w:r>
    </w:p>
    <w:p w14:paraId="0C51A131">
      <w:pPr>
        <w:spacing w:line="360" w:lineRule="auto"/>
        <w:ind w:firstLine="360" w:firstLineChars="200"/>
        <w:rPr>
          <w:rFonts w:hint="eastAsia" w:ascii="宋体" w:hAnsi="宋体" w:eastAsia="宋体" w:cs="宋体"/>
          <w:color w:val="auto"/>
          <w:sz w:val="18"/>
          <w:szCs w:val="18"/>
          <w:highlight w:val="none"/>
        </w:rPr>
      </w:pPr>
      <w:bookmarkStart w:id="1270" w:name="_Toc247418264"/>
      <w:bookmarkStart w:id="1271" w:name="_Toc532375701"/>
      <w:bookmarkStart w:id="1272" w:name="_Toc239510290"/>
      <w:bookmarkStart w:id="1273" w:name="_Toc247431424"/>
      <w:r>
        <w:rPr>
          <w:rFonts w:hint="eastAsia" w:ascii="宋体" w:hAnsi="宋体" w:eastAsia="宋体" w:cs="宋体"/>
          <w:color w:val="auto"/>
          <w:sz w:val="18"/>
          <w:szCs w:val="18"/>
          <w:highlight w:val="none"/>
        </w:rPr>
        <w:t>二、责任目标</w:t>
      </w:r>
      <w:bookmarkEnd w:id="1270"/>
      <w:bookmarkEnd w:id="1271"/>
      <w:bookmarkEnd w:id="1272"/>
      <w:bookmarkEnd w:id="1273"/>
    </w:p>
    <w:p w14:paraId="218C3B7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（一）承包人承诺承担和履行合同和发包人所规定的安全责任，且满足要求。</w:t>
      </w:r>
    </w:p>
    <w:p w14:paraId="4D0D78A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（二）承包人的安全控制目标是确保本工程在实施过程中：</w:t>
      </w:r>
    </w:p>
    <w:p w14:paraId="11AFC9B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1．不发生人身重伤事故；</w:t>
      </w:r>
    </w:p>
    <w:p w14:paraId="07C254B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2．不发生火灾事故；</w:t>
      </w:r>
    </w:p>
    <w:p w14:paraId="38547E6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3．不发生负有同等及以上事故责任的造成人身重伤的一般交通事故；</w:t>
      </w:r>
    </w:p>
    <w:p w14:paraId="2FDC3B4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4．不发生集体食物中毒事件（同时5人及以上的食物中毒）；</w:t>
      </w:r>
    </w:p>
    <w:p w14:paraId="7C2AFB8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5．不发生流行性传染病 （无甲型传染病、其他常见传染病未形成多人同时患病）；</w:t>
      </w:r>
    </w:p>
    <w:p w14:paraId="1DF52E9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6．不发生重大环境污染事件（生活、工业垃圾及其他污染物造成环境污染和大面积水土流失）；</w:t>
      </w:r>
    </w:p>
    <w:p w14:paraId="546EA5C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7．不发生对施工区附近生产、生活造成重大影响的事件（如造成重大设备损坏、重大财产损失、人员伤害等）；</w:t>
      </w:r>
    </w:p>
    <w:p w14:paraId="2278840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8．不发生治安保卫事件（构成刑事拘留及以上的事件、盗窃直接损失超过1万元人民币的事件）。</w:t>
      </w:r>
    </w:p>
    <w:p w14:paraId="0CA89167">
      <w:pPr>
        <w:spacing w:line="360" w:lineRule="auto"/>
        <w:ind w:firstLine="360" w:firstLineChars="200"/>
        <w:jc w:val="left"/>
        <w:rPr>
          <w:rFonts w:hint="eastAsia" w:ascii="宋体" w:hAnsi="宋体" w:eastAsia="宋体" w:cs="宋体"/>
          <w:color w:val="auto"/>
          <w:sz w:val="18"/>
          <w:szCs w:val="18"/>
          <w:highlight w:val="none"/>
        </w:rPr>
      </w:pPr>
      <w:bookmarkStart w:id="1274" w:name="_Toc247418265"/>
      <w:bookmarkStart w:id="1275" w:name="_Toc239510291"/>
      <w:bookmarkStart w:id="1276" w:name="_Toc247431425"/>
      <w:r>
        <w:rPr>
          <w:rFonts w:hint="eastAsia" w:ascii="宋体" w:hAnsi="宋体" w:eastAsia="宋体" w:cs="宋体"/>
          <w:color w:val="auto"/>
          <w:sz w:val="18"/>
          <w:szCs w:val="18"/>
          <w:highlight w:val="none"/>
        </w:rPr>
        <w:t>（三）承包人承诺在施工中控制以下安全事故的发生：</w:t>
      </w:r>
      <w:bookmarkEnd w:id="1274"/>
      <w:bookmarkEnd w:id="1275"/>
      <w:bookmarkEnd w:id="1276"/>
    </w:p>
    <w:p w14:paraId="26AD488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1．人员轻伤事故。</w:t>
      </w:r>
    </w:p>
    <w:p w14:paraId="5AB8922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2．负有同等及以上事故责任的人身轻伤交通事故。</w:t>
      </w:r>
    </w:p>
    <w:p w14:paraId="6D19F80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3．其他安全未遂事故和异常事件。</w:t>
      </w:r>
    </w:p>
    <w:p w14:paraId="02B13B29">
      <w:pPr>
        <w:spacing w:line="360" w:lineRule="auto"/>
        <w:ind w:firstLine="360" w:firstLineChars="200"/>
        <w:rPr>
          <w:rFonts w:hint="eastAsia" w:ascii="宋体" w:hAnsi="宋体" w:eastAsia="宋体" w:cs="宋体"/>
          <w:color w:val="auto"/>
          <w:sz w:val="18"/>
          <w:szCs w:val="18"/>
          <w:highlight w:val="none"/>
        </w:rPr>
      </w:pPr>
      <w:bookmarkStart w:id="1277" w:name="_Toc239510292"/>
      <w:bookmarkStart w:id="1278" w:name="_Toc247431426"/>
      <w:bookmarkStart w:id="1279" w:name="_Toc247418266"/>
      <w:bookmarkStart w:id="1280" w:name="_Toc532375702"/>
      <w:r>
        <w:rPr>
          <w:rFonts w:hint="eastAsia" w:ascii="宋体" w:hAnsi="宋体" w:eastAsia="宋体" w:cs="宋体"/>
          <w:color w:val="auto"/>
          <w:sz w:val="18"/>
          <w:szCs w:val="18"/>
          <w:highlight w:val="none"/>
        </w:rPr>
        <w:t>三、安全责任</w:t>
      </w:r>
      <w:bookmarkEnd w:id="1277"/>
      <w:bookmarkEnd w:id="1278"/>
      <w:bookmarkEnd w:id="1279"/>
      <w:bookmarkEnd w:id="1280"/>
    </w:p>
    <w:p w14:paraId="246EFBE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1．承包人负有安全生产的管理责任和直接责任。</w:t>
      </w:r>
    </w:p>
    <w:p w14:paraId="29B3D69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2．承包人的法人或签署合同的公司总经理或受委托的代理人对合同安全负有全面的领导责任。</w:t>
      </w:r>
    </w:p>
    <w:p w14:paraId="43899BC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3．承包人项目经理对施工现场的安全工作负有全面的直接领导责任。</w:t>
      </w:r>
    </w:p>
    <w:p w14:paraId="799A367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4．承包人保证执行“谁施工、谁负责”的施工安全原则。</w:t>
      </w:r>
    </w:p>
    <w:p w14:paraId="6C6346A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5．承包人保证服从发包人对安全工作的统一协调和管理。</w:t>
      </w:r>
    </w:p>
    <w:p w14:paraId="00D954D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6．承包人保证对本工程项目安全生产条件及其管理资源自行投入，保证安全资金的专款专用。</w:t>
      </w:r>
    </w:p>
    <w:p w14:paraId="4A9DCAB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7．承包人保证建立本工程项目的安全管理体系及安全保证体系（注：项目安全管理大纲/手册、管理性的程序文件等）。</w:t>
      </w:r>
    </w:p>
    <w:p w14:paraId="5B2B631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8．承包人保证现场的安全管理专职人员必须持有建设主管部门安全生产培训考核合格证书。</w:t>
      </w:r>
    </w:p>
    <w:p w14:paraId="0A8E6FB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9．承包人保证为现场所有工作人员（含分包商员工及劳务人员）配备符合国家标准的有承包人和/或其下属分包商标志的个人基本劳动保护用品。</w:t>
      </w:r>
    </w:p>
    <w:p w14:paraId="19E9032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10．承包人保证按照国家法律规定为现场所有工作人员（含分包商员工及劳务人员）购买意外伤害保险。</w:t>
      </w:r>
    </w:p>
    <w:p w14:paraId="14FDA72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11．承包人保证施工生活营地（包括自建的和租用的营地）满足消防、安全用电、卫生防疫、防暴雨、防雷击等方面的安全要求。</w:t>
      </w:r>
    </w:p>
    <w:p w14:paraId="00D94F8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12．承包人保证对带入现场的设备、工具、材料按照国家法规和标准进行检测、试验，并持有法定部门出具的检验证书。</w:t>
      </w:r>
    </w:p>
    <w:p w14:paraId="769F998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13．承包人保证制订施工现场的文明施工措施，保护环境、树木和植被，保持施工现场的良好秩序和整洁的作业环境。</w:t>
      </w:r>
    </w:p>
    <w:p w14:paraId="4069B5E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14．承包人负责在施工过程中与当地政府、周边群众及其他承包商保持良好的沟通和交流。承包人遇到与周边群众发生纠纷时，应负责协调工作，确保工程能够顺利进行。</w:t>
      </w:r>
    </w:p>
    <w:p w14:paraId="00873D84">
      <w:pPr>
        <w:spacing w:line="360" w:lineRule="auto"/>
        <w:ind w:firstLine="360" w:firstLineChars="200"/>
        <w:rPr>
          <w:rFonts w:hint="eastAsia" w:ascii="宋体" w:hAnsi="宋体" w:eastAsia="宋体" w:cs="宋体"/>
          <w:color w:val="auto"/>
          <w:sz w:val="18"/>
          <w:szCs w:val="18"/>
          <w:highlight w:val="none"/>
        </w:rPr>
      </w:pPr>
      <w:bookmarkStart w:id="1281" w:name="_Toc532375703"/>
      <w:bookmarkStart w:id="1282" w:name="_Toc239510293"/>
      <w:bookmarkStart w:id="1283" w:name="_Toc247418267"/>
      <w:bookmarkStart w:id="1284" w:name="_Toc247431427"/>
      <w:r>
        <w:rPr>
          <w:rFonts w:hint="eastAsia" w:ascii="宋体" w:hAnsi="宋体" w:eastAsia="宋体" w:cs="宋体"/>
          <w:color w:val="auto"/>
          <w:sz w:val="18"/>
          <w:szCs w:val="18"/>
          <w:highlight w:val="none"/>
        </w:rPr>
        <w:t>四、接口及协调</w:t>
      </w:r>
      <w:bookmarkEnd w:id="1281"/>
      <w:bookmarkEnd w:id="1282"/>
      <w:bookmarkEnd w:id="1283"/>
      <w:bookmarkEnd w:id="1284"/>
    </w:p>
    <w:p w14:paraId="3CD820F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1．发包人委托监理公司对该工程实施监理，监理公司在安全管理方面代表发包人行使监督检查职能，承包人必须给予配合和支持。</w:t>
      </w:r>
    </w:p>
    <w:p w14:paraId="0DDC50C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2．承包人人员、车辆的出入，带入现场的设备、机具、材料，在现场使用的或直接管理的办公、生活、生产性设施的安全管理须满足发包人现场管理的基本要求。</w:t>
      </w:r>
    </w:p>
    <w:p w14:paraId="2305148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56340F3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9FC1C9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5．承包人指定的专职安全管理人员应与发包人委托的监理公司建立联系，在业务上接受发包人委托的监理公司的协调和指导。</w:t>
      </w:r>
    </w:p>
    <w:p w14:paraId="65AC995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6．开工后承包人的专职安全管理人员应按照发包人委托的监理公司的规定，定期报送安全月度快报、季报、年报和各种专项事故报告等。</w:t>
      </w:r>
    </w:p>
    <w:p w14:paraId="4E28900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7．在工程实体未全部正式移交发包人施工管理部门之前，承包人依旧对施工范围内的安全管理负责。</w:t>
      </w:r>
    </w:p>
    <w:p w14:paraId="49C2784A">
      <w:pPr>
        <w:spacing w:line="360" w:lineRule="auto"/>
        <w:ind w:firstLine="360" w:firstLineChars="200"/>
        <w:rPr>
          <w:rFonts w:hint="eastAsia" w:ascii="宋体" w:hAnsi="宋体" w:eastAsia="宋体" w:cs="宋体"/>
          <w:color w:val="auto"/>
          <w:sz w:val="18"/>
          <w:szCs w:val="18"/>
          <w:highlight w:val="none"/>
        </w:rPr>
      </w:pPr>
      <w:bookmarkStart w:id="1285" w:name="_Toc247431428"/>
      <w:bookmarkStart w:id="1286" w:name="_Toc532375704"/>
      <w:bookmarkStart w:id="1287" w:name="_Toc247418268"/>
      <w:bookmarkStart w:id="1288" w:name="_Toc239510294"/>
      <w:r>
        <w:rPr>
          <w:rFonts w:hint="eastAsia" w:ascii="宋体" w:hAnsi="宋体" w:eastAsia="宋体" w:cs="宋体"/>
          <w:color w:val="auto"/>
          <w:sz w:val="18"/>
          <w:szCs w:val="18"/>
          <w:highlight w:val="none"/>
        </w:rPr>
        <w:t>五、安全资质审查</w:t>
      </w:r>
      <w:bookmarkEnd w:id="1285"/>
      <w:bookmarkEnd w:id="1286"/>
      <w:bookmarkEnd w:id="1287"/>
      <w:bookmarkEnd w:id="1288"/>
    </w:p>
    <w:p w14:paraId="4EF7F57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承包人在项目开工前5个工作天内向发包人委托的监理公司提供以下安全资质供审查和存档：</w:t>
      </w:r>
    </w:p>
    <w:p w14:paraId="10D6E07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1．企业安全生产许可证书复印件。</w:t>
      </w:r>
    </w:p>
    <w:p w14:paraId="13B0630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2．企业近三年的施工简历及安全施工业绩证明文件。</w:t>
      </w:r>
    </w:p>
    <w:p w14:paraId="48CE59C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3．企业主要安全管理人员（包括项目经理、专职安全管理人员）经建设主管部门安全生产知识考核合格证书。</w:t>
      </w:r>
    </w:p>
    <w:p w14:paraId="155C4CB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4．特种作业人员资格证书。</w:t>
      </w:r>
    </w:p>
    <w:p w14:paraId="252F65C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5．项目安全管理机构及其人员配备（承包人必须配有专职的安全员）。</w:t>
      </w:r>
    </w:p>
    <w:p w14:paraId="4892F43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6．适用于项目的安全管理体系及保证体系文件（安全管理大纲及管理程序文件）。</w:t>
      </w:r>
    </w:p>
    <w:p w14:paraId="00EA1A19">
      <w:pPr>
        <w:spacing w:line="360" w:lineRule="auto"/>
        <w:ind w:firstLine="360" w:firstLineChars="200"/>
        <w:rPr>
          <w:rFonts w:hint="eastAsia" w:ascii="宋体" w:hAnsi="宋体" w:eastAsia="宋体" w:cs="宋体"/>
          <w:color w:val="auto"/>
          <w:sz w:val="18"/>
          <w:szCs w:val="18"/>
          <w:highlight w:val="none"/>
        </w:rPr>
      </w:pPr>
      <w:bookmarkStart w:id="1289" w:name="_Toc247418269"/>
      <w:bookmarkStart w:id="1290" w:name="_Toc532375705"/>
      <w:bookmarkStart w:id="1291" w:name="_Toc247431429"/>
      <w:bookmarkStart w:id="1292" w:name="_Toc239510295"/>
      <w:r>
        <w:rPr>
          <w:rFonts w:hint="eastAsia" w:ascii="宋体" w:hAnsi="宋体" w:eastAsia="宋体" w:cs="宋体"/>
          <w:color w:val="auto"/>
          <w:sz w:val="18"/>
          <w:szCs w:val="18"/>
          <w:highlight w:val="none"/>
        </w:rPr>
        <w:t>六、人员基本素质</w:t>
      </w:r>
      <w:bookmarkEnd w:id="1289"/>
      <w:bookmarkEnd w:id="1290"/>
      <w:bookmarkEnd w:id="1291"/>
      <w:bookmarkEnd w:id="1292"/>
    </w:p>
    <w:p w14:paraId="7DC0AF5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承包人提供的人员必须满足下列要求：</w:t>
      </w:r>
    </w:p>
    <w:p w14:paraId="4D0A3BC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11E7CE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2．无刑事案件牵连。</w:t>
      </w:r>
    </w:p>
    <w:p w14:paraId="02141A2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3．无吸毒、酗酒、赌博、嫖娼等恶习及违法行为。</w:t>
      </w:r>
    </w:p>
    <w:p w14:paraId="4B69B81F">
      <w:pPr>
        <w:spacing w:line="360" w:lineRule="auto"/>
        <w:ind w:firstLine="360" w:firstLineChars="200"/>
        <w:rPr>
          <w:rFonts w:hint="eastAsia" w:ascii="宋体" w:hAnsi="宋体" w:eastAsia="宋体" w:cs="宋体"/>
          <w:color w:val="auto"/>
          <w:sz w:val="18"/>
          <w:szCs w:val="18"/>
          <w:highlight w:val="none"/>
        </w:rPr>
      </w:pPr>
      <w:bookmarkStart w:id="1293" w:name="_Toc247418270"/>
      <w:bookmarkStart w:id="1294" w:name="_Toc239510296"/>
      <w:bookmarkStart w:id="1295" w:name="_Toc247431430"/>
      <w:bookmarkStart w:id="1296" w:name="_Toc532375706"/>
      <w:r>
        <w:rPr>
          <w:rFonts w:hint="eastAsia" w:ascii="宋体" w:hAnsi="宋体" w:eastAsia="宋体" w:cs="宋体"/>
          <w:color w:val="auto"/>
          <w:sz w:val="18"/>
          <w:szCs w:val="18"/>
          <w:highlight w:val="none"/>
        </w:rPr>
        <w:t>七、劳动保护</w:t>
      </w:r>
      <w:bookmarkEnd w:id="1293"/>
      <w:bookmarkEnd w:id="1294"/>
      <w:bookmarkEnd w:id="1295"/>
      <w:bookmarkEnd w:id="1296"/>
    </w:p>
    <w:p w14:paraId="1D70653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1．承包人负责为本单位任何用工形式的员工提供个人劳动保护用品（包括工作服、安全帽、安全鞋等）。</w:t>
      </w:r>
    </w:p>
    <w:p w14:paraId="499B7A2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2．承包人负责向特殊工种的员工提供特殊劳动保护，否则不得从事特殊工种作业。</w:t>
      </w:r>
    </w:p>
    <w:p w14:paraId="59D22A6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3．发包人委托的监理公司有权检查承包人的个人劳动保护用品是否符合国家的相应标准。</w:t>
      </w:r>
    </w:p>
    <w:p w14:paraId="07546FE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 承包人在特殊风险场所作业而需要特殊防护用品或安全仪表时，必须在上述防护用品全部到位后才能开工。</w:t>
      </w:r>
    </w:p>
    <w:p w14:paraId="6A71EDD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5．承包人应配备临时安全围栏、警示带、警告标志、防火布等集体防护用品。</w:t>
      </w:r>
    </w:p>
    <w:p w14:paraId="16815E14">
      <w:pPr>
        <w:spacing w:line="360" w:lineRule="auto"/>
        <w:ind w:firstLine="360" w:firstLineChars="200"/>
        <w:rPr>
          <w:rFonts w:hint="eastAsia" w:ascii="宋体" w:hAnsi="宋体" w:eastAsia="宋体" w:cs="宋体"/>
          <w:color w:val="auto"/>
          <w:sz w:val="18"/>
          <w:szCs w:val="18"/>
          <w:highlight w:val="none"/>
        </w:rPr>
      </w:pPr>
      <w:bookmarkStart w:id="1297" w:name="_Toc532375707"/>
      <w:bookmarkStart w:id="1298" w:name="_Toc247418271"/>
      <w:bookmarkStart w:id="1299" w:name="_Toc247431431"/>
      <w:bookmarkStart w:id="1300" w:name="_Toc239510297"/>
      <w:r>
        <w:rPr>
          <w:rFonts w:hint="eastAsia" w:ascii="宋体" w:hAnsi="宋体" w:eastAsia="宋体" w:cs="宋体"/>
          <w:color w:val="auto"/>
          <w:sz w:val="18"/>
          <w:szCs w:val="18"/>
          <w:highlight w:val="none"/>
        </w:rPr>
        <w:t>八、施工机具与材料</w:t>
      </w:r>
      <w:bookmarkEnd w:id="1297"/>
      <w:bookmarkEnd w:id="1298"/>
      <w:bookmarkEnd w:id="1299"/>
      <w:bookmarkEnd w:id="1300"/>
    </w:p>
    <w:p w14:paraId="785FD8B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1．承包人对带入现场的施工机械和工器具的安全负责。</w:t>
      </w:r>
    </w:p>
    <w:p w14:paraId="007FC72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2．对于承包人带入现场的特殊工器具，如起重设备、索具、机动车辆、压缩气瓶等，承包人必须按国家法规和标准进行检测、试验，并持有法定部门出具的检验证书。</w:t>
      </w:r>
    </w:p>
    <w:p w14:paraId="2672833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3．对于不属于法定检测的工器具，承包人也必须建立相应的管理、检测制度，这些工器具包括登高工具、脚手架材料、电动工具、安全防护设备及用具等。</w:t>
      </w:r>
    </w:p>
    <w:p w14:paraId="63BD08BC">
      <w:pPr>
        <w:spacing w:line="360" w:lineRule="auto"/>
        <w:ind w:firstLine="360" w:firstLineChars="200"/>
        <w:rPr>
          <w:rFonts w:hint="eastAsia" w:ascii="宋体" w:hAnsi="宋体" w:eastAsia="宋体" w:cs="宋体"/>
          <w:color w:val="auto"/>
          <w:sz w:val="18"/>
          <w:szCs w:val="18"/>
          <w:highlight w:val="none"/>
        </w:rPr>
      </w:pPr>
      <w:bookmarkStart w:id="1301" w:name="_Toc239510298"/>
      <w:bookmarkStart w:id="1302" w:name="_Toc532375708"/>
      <w:bookmarkStart w:id="1303" w:name="_Toc247431432"/>
      <w:bookmarkStart w:id="1304" w:name="_Toc247418272"/>
      <w:r>
        <w:rPr>
          <w:rFonts w:hint="eastAsia" w:ascii="宋体" w:hAnsi="宋体" w:eastAsia="宋体" w:cs="宋体"/>
          <w:color w:val="auto"/>
          <w:sz w:val="18"/>
          <w:szCs w:val="18"/>
          <w:highlight w:val="none"/>
        </w:rPr>
        <w:t>九、开工前安全条件检查</w:t>
      </w:r>
      <w:bookmarkEnd w:id="1301"/>
      <w:bookmarkEnd w:id="1302"/>
      <w:bookmarkEnd w:id="1303"/>
      <w:bookmarkEnd w:id="1304"/>
    </w:p>
    <w:p w14:paraId="2A9BBBF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471784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D83D10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396B086">
      <w:pPr>
        <w:spacing w:line="360" w:lineRule="auto"/>
        <w:ind w:firstLine="360" w:firstLineChars="200"/>
        <w:rPr>
          <w:rFonts w:hint="eastAsia" w:ascii="宋体" w:hAnsi="宋体" w:eastAsia="宋体" w:cs="宋体"/>
          <w:color w:val="auto"/>
          <w:sz w:val="18"/>
          <w:szCs w:val="18"/>
          <w:highlight w:val="none"/>
        </w:rPr>
      </w:pPr>
      <w:bookmarkStart w:id="1305" w:name="_Toc532375709"/>
      <w:bookmarkStart w:id="1306" w:name="_Toc239510299"/>
      <w:bookmarkStart w:id="1307" w:name="_Toc247431433"/>
      <w:bookmarkStart w:id="1308" w:name="_Toc247418273"/>
      <w:r>
        <w:rPr>
          <w:rFonts w:hint="eastAsia" w:ascii="宋体" w:hAnsi="宋体" w:eastAsia="宋体" w:cs="宋体"/>
          <w:color w:val="auto"/>
          <w:sz w:val="18"/>
          <w:szCs w:val="18"/>
          <w:highlight w:val="none"/>
        </w:rPr>
        <w:t>十、安全监督</w:t>
      </w:r>
      <w:bookmarkEnd w:id="1305"/>
      <w:bookmarkEnd w:id="1306"/>
      <w:bookmarkEnd w:id="1307"/>
      <w:bookmarkEnd w:id="1308"/>
    </w:p>
    <w:p w14:paraId="263604D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1．承包人应配备有满足项目安全管理需要的专职安全管理人员。</w:t>
      </w:r>
    </w:p>
    <w:p w14:paraId="6C76905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2．承包人的专职安全管理人员必须持建设主管部门颁发的安全生产知识考核合格证书。</w:t>
      </w:r>
    </w:p>
    <w:p w14:paraId="6C39561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3．承包人的专职安全管理人员在业务上接受发包人委托的监理公司和发包人安全管理部门的协调和指导。</w:t>
      </w:r>
    </w:p>
    <w:p w14:paraId="3E89B00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4．承包人应建立班前安全交底制度；施工期间坚持开展安全检查和日常安全监督并形成相应的记录。</w:t>
      </w:r>
    </w:p>
    <w:p w14:paraId="577EF44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5．承包人应在每个作业区任命兼职安全员，赋予兼职安全员相应的授权和义务，并对兼职安全员进行定期考核。</w:t>
      </w:r>
    </w:p>
    <w:p w14:paraId="6495FB2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6．承包人应接受和配合发包人专业部门及委托的监理公司的监督与安全评价。</w:t>
      </w:r>
    </w:p>
    <w:p w14:paraId="1F16F79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F25F9C6">
      <w:pPr>
        <w:spacing w:line="360" w:lineRule="auto"/>
        <w:ind w:firstLine="360" w:firstLineChars="200"/>
        <w:rPr>
          <w:rFonts w:hint="eastAsia" w:ascii="宋体" w:hAnsi="宋体" w:eastAsia="宋体" w:cs="宋体"/>
          <w:color w:val="auto"/>
          <w:sz w:val="18"/>
          <w:szCs w:val="18"/>
          <w:highlight w:val="none"/>
        </w:rPr>
      </w:pPr>
      <w:bookmarkStart w:id="1309" w:name="_Toc247431434"/>
      <w:bookmarkStart w:id="1310" w:name="_Toc247418274"/>
      <w:bookmarkStart w:id="1311" w:name="_Toc532375710"/>
      <w:bookmarkStart w:id="1312" w:name="_Toc239510300"/>
      <w:r>
        <w:rPr>
          <w:rFonts w:hint="eastAsia" w:ascii="宋体" w:hAnsi="宋体" w:eastAsia="宋体" w:cs="宋体"/>
          <w:color w:val="auto"/>
          <w:sz w:val="18"/>
          <w:szCs w:val="18"/>
          <w:highlight w:val="none"/>
        </w:rPr>
        <w:t>十一、安全培训与授权</w:t>
      </w:r>
      <w:bookmarkEnd w:id="1309"/>
      <w:bookmarkEnd w:id="1310"/>
      <w:bookmarkEnd w:id="1311"/>
      <w:bookmarkEnd w:id="1312"/>
    </w:p>
    <w:p w14:paraId="6563F14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313612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2．承包人应在特殊工种之外的其他工种中，筛选出高风险工种，并对其开展针对性的专题安全培训。</w:t>
      </w:r>
    </w:p>
    <w:p w14:paraId="4C86CB8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3．承包人应组织 “入场培训”和考核。发包人委托的监理公司有权监督培训、考核情况或组织抽查考核。</w:t>
      </w:r>
    </w:p>
    <w:p w14:paraId="3578587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4．承包人应建立安全培训和考核机制，编制培训教材和培训滚动计划。承包人应组织安全考试/考核，建立培训考核记录，发包人委托的监理公司有权查看这些记录。</w:t>
      </w:r>
    </w:p>
    <w:p w14:paraId="47896264">
      <w:pPr>
        <w:spacing w:line="360" w:lineRule="auto"/>
        <w:ind w:firstLine="360" w:firstLineChars="200"/>
        <w:rPr>
          <w:rFonts w:hint="eastAsia" w:ascii="宋体" w:hAnsi="宋体" w:eastAsia="宋体" w:cs="宋体"/>
          <w:color w:val="auto"/>
          <w:sz w:val="18"/>
          <w:szCs w:val="18"/>
          <w:highlight w:val="none"/>
        </w:rPr>
      </w:pPr>
      <w:bookmarkStart w:id="1313" w:name="_Toc247418275"/>
      <w:bookmarkStart w:id="1314" w:name="_Toc532375711"/>
      <w:bookmarkStart w:id="1315" w:name="_Toc247431435"/>
      <w:bookmarkStart w:id="1316" w:name="_Toc239510301"/>
      <w:r>
        <w:rPr>
          <w:rFonts w:hint="eastAsia" w:ascii="宋体" w:hAnsi="宋体" w:eastAsia="宋体" w:cs="宋体"/>
          <w:color w:val="auto"/>
          <w:sz w:val="18"/>
          <w:szCs w:val="18"/>
          <w:highlight w:val="none"/>
        </w:rPr>
        <w:t>十二、职业健康与卫生防疫</w:t>
      </w:r>
      <w:bookmarkEnd w:id="1313"/>
      <w:bookmarkEnd w:id="1314"/>
      <w:bookmarkEnd w:id="1315"/>
      <w:bookmarkEnd w:id="1316"/>
    </w:p>
    <w:p w14:paraId="416EF19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489E6A7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2．承包人应保证卫生防疫基本设施的投入，以满足医疗、急救的要求，建立外部医疗支持渠道。</w:t>
      </w:r>
    </w:p>
    <w:p w14:paraId="4A417FF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DA2B479">
      <w:pPr>
        <w:spacing w:line="360" w:lineRule="auto"/>
        <w:ind w:firstLine="360" w:firstLineChars="200"/>
        <w:rPr>
          <w:rFonts w:hint="eastAsia" w:ascii="宋体" w:hAnsi="宋体" w:eastAsia="宋体" w:cs="宋体"/>
          <w:color w:val="auto"/>
          <w:sz w:val="18"/>
          <w:szCs w:val="18"/>
          <w:highlight w:val="none"/>
        </w:rPr>
      </w:pPr>
      <w:bookmarkStart w:id="1317" w:name="_Toc239510302"/>
      <w:bookmarkStart w:id="1318" w:name="_Toc247431436"/>
      <w:bookmarkStart w:id="1319" w:name="_Toc532375712"/>
      <w:bookmarkStart w:id="1320" w:name="_Toc247418276"/>
      <w:r>
        <w:rPr>
          <w:rFonts w:hint="eastAsia" w:ascii="宋体" w:hAnsi="宋体" w:eastAsia="宋体" w:cs="宋体"/>
          <w:color w:val="auto"/>
          <w:sz w:val="18"/>
          <w:szCs w:val="18"/>
          <w:highlight w:val="none"/>
        </w:rPr>
        <w:t>十三、文明施工与环保要求</w:t>
      </w:r>
      <w:bookmarkEnd w:id="1317"/>
      <w:bookmarkEnd w:id="1318"/>
      <w:bookmarkEnd w:id="1319"/>
      <w:bookmarkEnd w:id="1320"/>
    </w:p>
    <w:p w14:paraId="48ECED6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1．承包人需制订施工现场的文明施工措施，保持良好的施工现场秩序。施工现场的物料堆放要摆放整齐，安全标志和宣传标志要清楚醒目，废料、废物要分类收集，安全通道要畅通。</w:t>
      </w:r>
    </w:p>
    <w:p w14:paraId="670816E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2．承包人作业时应避免建筑材料抛洒、飞扬、流淌；应尽可能降低噪音、震动。</w:t>
      </w:r>
    </w:p>
    <w:p w14:paraId="111F6F6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3．承包人应根据实际需要，在施工现场布置临时卫生设施（洗手间、卫生间等），施工作业不破坏环境卫生，不污染现场环境。</w:t>
      </w:r>
    </w:p>
    <w:p w14:paraId="328812F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4．承包人在施工中应充分重视对环境的保护，保护绿色植被，保护古树。施工如需伤害古树，必须报告发包人委托的监理公司，在未得到指令前，禁止擅自伤害古树。</w:t>
      </w:r>
    </w:p>
    <w:p w14:paraId="278BCF3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4798962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6．承包人在施工中应禁止向环境，排放工业污水、生活污水、废油或其他有害物质。</w:t>
      </w:r>
    </w:p>
    <w:p w14:paraId="30C24A50">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BC8FCE5">
      <w:pPr>
        <w:spacing w:line="360" w:lineRule="auto"/>
        <w:ind w:firstLine="360" w:firstLineChars="200"/>
        <w:rPr>
          <w:rFonts w:hint="eastAsia" w:ascii="宋体" w:hAnsi="宋体" w:eastAsia="宋体" w:cs="宋体"/>
          <w:color w:val="auto"/>
          <w:sz w:val="18"/>
          <w:szCs w:val="18"/>
          <w:highlight w:val="none"/>
        </w:rPr>
      </w:pPr>
      <w:bookmarkStart w:id="1321" w:name="_Toc532375713"/>
      <w:bookmarkStart w:id="1322" w:name="_Toc247431437"/>
      <w:bookmarkStart w:id="1323" w:name="_Toc239510303"/>
      <w:bookmarkStart w:id="1324" w:name="_Toc247418277"/>
      <w:r>
        <w:rPr>
          <w:rFonts w:hint="eastAsia" w:ascii="宋体" w:hAnsi="宋体" w:eastAsia="宋体" w:cs="宋体"/>
          <w:color w:val="auto"/>
          <w:sz w:val="18"/>
          <w:szCs w:val="18"/>
          <w:highlight w:val="none"/>
        </w:rPr>
        <w:t>十四、工程风险管理与事故预防</w:t>
      </w:r>
      <w:bookmarkEnd w:id="1321"/>
      <w:bookmarkEnd w:id="1322"/>
      <w:bookmarkEnd w:id="1323"/>
      <w:bookmarkEnd w:id="1324"/>
    </w:p>
    <w:p w14:paraId="4EACB224">
      <w:pPr>
        <w:spacing w:line="360" w:lineRule="auto"/>
        <w:ind w:firstLine="360" w:firstLineChars="200"/>
        <w:jc w:val="left"/>
        <w:rPr>
          <w:rFonts w:hint="eastAsia" w:ascii="宋体" w:hAnsi="宋体" w:eastAsia="宋体" w:cs="宋体"/>
          <w:color w:val="auto"/>
          <w:sz w:val="18"/>
          <w:szCs w:val="18"/>
          <w:highlight w:val="none"/>
        </w:rPr>
      </w:pPr>
      <w:bookmarkStart w:id="1325" w:name="_Toc239510304"/>
      <w:bookmarkStart w:id="1326" w:name="_Toc247431438"/>
      <w:bookmarkStart w:id="1327" w:name="_Toc247418278"/>
      <w:r>
        <w:rPr>
          <w:rFonts w:hint="eastAsia" w:ascii="宋体" w:hAnsi="宋体" w:eastAsia="宋体" w:cs="宋体"/>
          <w:color w:val="auto"/>
          <w:sz w:val="18"/>
          <w:szCs w:val="18"/>
          <w:highlight w:val="none"/>
        </w:rPr>
        <w:t>（一）基本要求</w:t>
      </w:r>
      <w:bookmarkEnd w:id="1325"/>
      <w:bookmarkEnd w:id="1326"/>
      <w:bookmarkEnd w:id="1327"/>
    </w:p>
    <w:p w14:paraId="5C646E4D">
      <w:pPr>
        <w:spacing w:line="360" w:lineRule="auto"/>
        <w:ind w:firstLine="360" w:firstLineChars="200"/>
        <w:jc w:val="left"/>
        <w:rPr>
          <w:rFonts w:hint="eastAsia" w:ascii="宋体" w:hAnsi="宋体" w:eastAsia="宋体" w:cs="宋体"/>
          <w:color w:val="auto"/>
          <w:sz w:val="18"/>
          <w:szCs w:val="18"/>
          <w:highlight w:val="none"/>
        </w:rPr>
      </w:pPr>
      <w:bookmarkStart w:id="1328" w:name="_Toc532375714"/>
      <w:r>
        <w:rPr>
          <w:rFonts w:hint="eastAsia" w:ascii="宋体" w:hAnsi="宋体" w:eastAsia="宋体" w:cs="宋体"/>
          <w:color w:val="auto"/>
          <w:sz w:val="18"/>
          <w:szCs w:val="18"/>
          <w:highlight w:val="none"/>
        </w:rPr>
        <w:t>1．承包人应对施工过程进行全面、深入的危险源识别和风险分析。在施工安全组织设计中提供危险源及重要危险源清单、作业风险分析报告，该报告应包括（但不限于）如下信息：</w:t>
      </w:r>
      <w:bookmarkEnd w:id="1328"/>
    </w:p>
    <w:p w14:paraId="7F2A7DEA">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（1）高风险作业和工种清单：作业名称、类别和数量、主要事故风险。</w:t>
      </w:r>
    </w:p>
    <w:p w14:paraId="3A50E6D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（2）施工能源和机械的种类、数量和主要事故风险。</w:t>
      </w:r>
    </w:p>
    <w:p w14:paraId="4DA1431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（3）施工作业条件的类型和主要事故风险。</w:t>
      </w:r>
    </w:p>
    <w:p w14:paraId="7BFB005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（4）主要工艺过程（或施工活动）的类别及其相关的事故风险。</w:t>
      </w:r>
    </w:p>
    <w:p w14:paraId="308C7DA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（5）主要火灾危险（可燃物、点火源）。</w:t>
      </w:r>
    </w:p>
    <w:p w14:paraId="5F0FDDE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（6）主要自然灾害（洪水、大风、雷暴、暴雨、地质灾害等）。</w:t>
      </w:r>
    </w:p>
    <w:p w14:paraId="1E062433">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（7）主要环境保护事件（有害垃圾、机械的跑冒滴漏、原材料流失、水土流失等）。</w:t>
      </w:r>
    </w:p>
    <w:p w14:paraId="4F52AF7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（8）其他。</w:t>
      </w:r>
    </w:p>
    <w:p w14:paraId="769528E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2．承包人应针对识别出的危险源制定有针对性的事故预防措施并确保在施工中得到有效落实。</w:t>
      </w:r>
    </w:p>
    <w:p w14:paraId="4654D62D">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3．承包人应建立日常施工活动的动态作业风险分析和安全交底制度。该制度应明确规定风险分析的方法、责任和交底的内容、时间及记录。</w:t>
      </w:r>
    </w:p>
    <w:p w14:paraId="2584CE02">
      <w:pPr>
        <w:spacing w:line="360" w:lineRule="auto"/>
        <w:ind w:firstLine="360" w:firstLineChars="200"/>
        <w:jc w:val="left"/>
        <w:rPr>
          <w:rFonts w:hint="eastAsia" w:ascii="宋体" w:hAnsi="宋体" w:eastAsia="宋体" w:cs="宋体"/>
          <w:color w:val="auto"/>
          <w:sz w:val="18"/>
          <w:szCs w:val="18"/>
          <w:highlight w:val="none"/>
        </w:rPr>
      </w:pPr>
      <w:bookmarkStart w:id="1329" w:name="_Toc239510305"/>
      <w:bookmarkStart w:id="1330" w:name="_Toc247418279"/>
      <w:bookmarkStart w:id="1331" w:name="_Toc247431439"/>
      <w:r>
        <w:rPr>
          <w:rFonts w:hint="eastAsia" w:ascii="宋体" w:hAnsi="宋体" w:eastAsia="宋体" w:cs="宋体"/>
          <w:color w:val="auto"/>
          <w:sz w:val="18"/>
          <w:szCs w:val="18"/>
          <w:highlight w:val="none"/>
        </w:rPr>
        <w:t>（二）现场作业基本安全条件</w:t>
      </w:r>
      <w:bookmarkEnd w:id="1329"/>
      <w:bookmarkEnd w:id="1330"/>
      <w:bookmarkEnd w:id="1331"/>
    </w:p>
    <w:p w14:paraId="3FD8E0A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60CD3EFF">
      <w:pPr>
        <w:spacing w:line="360" w:lineRule="auto"/>
        <w:ind w:firstLine="360" w:firstLineChars="200"/>
        <w:rPr>
          <w:rFonts w:hint="eastAsia" w:ascii="宋体" w:hAnsi="宋体" w:eastAsia="宋体" w:cs="宋体"/>
          <w:color w:val="auto"/>
          <w:sz w:val="18"/>
          <w:szCs w:val="18"/>
          <w:highlight w:val="none"/>
        </w:rPr>
      </w:pPr>
      <w:bookmarkStart w:id="1332" w:name="_Toc247418280"/>
      <w:bookmarkStart w:id="1333" w:name="_Toc532375715"/>
      <w:bookmarkStart w:id="1334" w:name="_Toc247431440"/>
      <w:bookmarkStart w:id="1335" w:name="_Toc239510306"/>
      <w:r>
        <w:rPr>
          <w:rFonts w:hint="eastAsia" w:ascii="宋体" w:hAnsi="宋体" w:eastAsia="宋体" w:cs="宋体"/>
          <w:color w:val="auto"/>
          <w:sz w:val="18"/>
          <w:szCs w:val="18"/>
          <w:highlight w:val="none"/>
        </w:rPr>
        <w:t>十五、事故报告与应急救援</w:t>
      </w:r>
      <w:bookmarkEnd w:id="1332"/>
      <w:bookmarkEnd w:id="1333"/>
      <w:bookmarkEnd w:id="1334"/>
      <w:bookmarkEnd w:id="1335"/>
    </w:p>
    <w:p w14:paraId="793486A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1．承包人应制定对于未遂事故及以上级别的安全事件和事故，定期报送安全月度快报、季报、年报和各种专项事故报告等。</w:t>
      </w:r>
    </w:p>
    <w:p w14:paraId="30F4E10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2．承包人应建立安全事故统计记录、未遂事故统计记录、违章统计记录，并根据统计情况进行分析，并就分析结果制定相应的预防措施。</w:t>
      </w:r>
    </w:p>
    <w:p w14:paraId="6E6951C8">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3．承包人应建立事故应急救援机制，明确事故处置的基本原则，即现场发生事故时，首先抢救生命，向救援组织报警，并采取措施限制事故扩大。</w:t>
      </w:r>
    </w:p>
    <w:p w14:paraId="5E0BF8F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4．承包人应建立相应的应急响应组织，以便能迅速处理突发意外。</w:t>
      </w:r>
    </w:p>
    <w:p w14:paraId="07B9382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5．承包人应建立专项应急响应预案，包括重大人身伤亡事故的救护预案、火灾响应预案、“四防”预案（防风、防冻、防雷、防暴雨）、重大疫病防护预案、环境污染防护预案、地质灾害防护预案等。</w:t>
      </w:r>
    </w:p>
    <w:p w14:paraId="10726AE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6．承包人应对应急预案进行适当演练，保证应急预案的可操作性。</w:t>
      </w:r>
    </w:p>
    <w:p w14:paraId="641D9285">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7．在工地的其他施工单位发生重大事故时，承包人应无条件立即配合、支持事故抢险。</w:t>
      </w:r>
    </w:p>
    <w:p w14:paraId="7F3970F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8．承包人必须为事故处置支付各项费用，包括受伤者的抚恤、补偿等费用，并按合同要求赔偿对发包人造成的损失。</w:t>
      </w:r>
    </w:p>
    <w:p w14:paraId="21A86AC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9．由于发包人原因而造成的事故，发包人应负责按事故的具体损失情况给予承包人经济赔偿。</w:t>
      </w:r>
    </w:p>
    <w:p w14:paraId="7E2842D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10．涉及承包人员工的伤害事故，承包人除要报告发包人委托的监理公司外，还应负责按照国家、行业和本单位上级公司的要求，上报事故。</w:t>
      </w:r>
    </w:p>
    <w:p w14:paraId="565A1C71">
      <w:pPr>
        <w:spacing w:line="360" w:lineRule="auto"/>
        <w:ind w:firstLine="360" w:firstLineChars="200"/>
        <w:rPr>
          <w:rFonts w:hint="eastAsia" w:ascii="宋体" w:hAnsi="宋体" w:eastAsia="宋体" w:cs="宋体"/>
          <w:color w:val="auto"/>
          <w:sz w:val="18"/>
          <w:szCs w:val="18"/>
          <w:highlight w:val="none"/>
        </w:rPr>
      </w:pPr>
      <w:bookmarkStart w:id="1336" w:name="_Toc239510307"/>
      <w:bookmarkStart w:id="1337" w:name="_Toc532375716"/>
      <w:bookmarkStart w:id="1338" w:name="_Toc247431441"/>
      <w:bookmarkStart w:id="1339" w:name="_Toc247418281"/>
      <w:r>
        <w:rPr>
          <w:rFonts w:hint="eastAsia" w:ascii="宋体" w:hAnsi="宋体" w:eastAsia="宋体" w:cs="宋体"/>
          <w:color w:val="auto"/>
          <w:sz w:val="18"/>
          <w:szCs w:val="18"/>
          <w:highlight w:val="none"/>
        </w:rPr>
        <w:t>十六、安全业绩考核</w:t>
      </w:r>
      <w:bookmarkEnd w:id="1336"/>
      <w:bookmarkEnd w:id="1337"/>
      <w:bookmarkEnd w:id="1338"/>
      <w:bookmarkEnd w:id="1339"/>
    </w:p>
    <w:p w14:paraId="56E98A2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为了落实安全管理的责任，承包人在施工过程中发生安全事故时，承包人除应按国家有关规定承担责任和处罚外，发包人还将按照以下标准进行考核：</w:t>
      </w:r>
    </w:p>
    <w:tbl>
      <w:tblPr>
        <w:tblStyle w:val="22"/>
        <w:tblW w:w="7005" w:type="dxa"/>
        <w:jc w:val="center"/>
        <w:tblLayout w:type="fixed"/>
        <w:tblCellMar>
          <w:top w:w="0" w:type="dxa"/>
          <w:left w:w="0" w:type="dxa"/>
          <w:bottom w:w="0" w:type="dxa"/>
          <w:right w:w="0" w:type="dxa"/>
        </w:tblCellMar>
      </w:tblPr>
      <w:tblGrid>
        <w:gridCol w:w="3240"/>
        <w:gridCol w:w="3765"/>
      </w:tblGrid>
      <w:tr w14:paraId="7CE1727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3EEC5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82DD4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违约金额</w:t>
            </w:r>
          </w:p>
        </w:tc>
      </w:tr>
      <w:tr w14:paraId="2936CEC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B51DE1">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0C53B9B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签约合同价</w:t>
            </w:r>
            <w:r>
              <w:rPr>
                <w:rFonts w:hint="eastAsia" w:ascii="宋体" w:hAnsi="宋体" w:eastAsia="宋体" w:cs="宋体"/>
                <w:color w:val="auto"/>
                <w:sz w:val="18"/>
                <w:szCs w:val="18"/>
                <w:highlight w:val="none"/>
              </w:rPr>
              <w:t>的0.5‰</w:t>
            </w:r>
          </w:p>
        </w:tc>
      </w:tr>
      <w:tr w14:paraId="1ABAC76B">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AC6EB4">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4A913A7B">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签约合同价的2‰</w:t>
            </w:r>
          </w:p>
        </w:tc>
      </w:tr>
      <w:tr w14:paraId="01206AD0">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8EB47C">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7FF3AD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签约合同价的4‰</w:t>
            </w:r>
          </w:p>
        </w:tc>
      </w:tr>
    </w:tbl>
    <w:p w14:paraId="2E02C74E">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（1）较大事故，是指造成3人以上10人以下死亡，或者10人以上50人以下重伤，或者1000万元以上5000万元以下直接经济损失的事故；</w:t>
      </w:r>
    </w:p>
    <w:p w14:paraId="3510C51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（2）重大事故，是指造成10人以上30人以下死亡，或者50人以上100人以下重伤，或者5000万元以上1亿元以下直接经济损失的事故；</w:t>
      </w:r>
    </w:p>
    <w:p w14:paraId="1B770C62">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（3）特别重大事故，是指造成30人以上死亡，或者100人以上重伤（包括急性工业中毒，下同），或者1亿元以上直接经济损失的事故；</w:t>
      </w:r>
    </w:p>
    <w:p w14:paraId="19CAF5AB">
      <w:pPr>
        <w:spacing w:line="276"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（4）所称的“以上”包括本数，所称的“以下”不包括本数。</w:t>
      </w:r>
    </w:p>
    <w:p w14:paraId="41212E20">
      <w:pPr>
        <w:spacing w:line="276"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（5）如整个施工过程未发生以上安全事故，则给予承包人建安费总额的1‰的安全奖励。</w:t>
      </w:r>
    </w:p>
    <w:p w14:paraId="79CC8678">
      <w:pPr>
        <w:spacing w:line="276"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w:t>
      </w:r>
      <w:r>
        <w:rPr>
          <w:rFonts w:hint="eastAsia" w:ascii="宋体" w:hAnsi="宋体" w:eastAsia="宋体" w:cs="宋体"/>
          <w:color w:val="auto"/>
          <w:sz w:val="18"/>
          <w:szCs w:val="18"/>
          <w:highlight w:val="none"/>
          <w:lang w:eastAsia="zh-CN"/>
        </w:rPr>
        <w:t>竞标</w:t>
      </w:r>
      <w:r>
        <w:rPr>
          <w:rFonts w:hint="eastAsia" w:ascii="宋体" w:hAnsi="宋体" w:eastAsia="宋体" w:cs="宋体"/>
          <w:color w:val="auto"/>
          <w:sz w:val="18"/>
          <w:szCs w:val="18"/>
          <w:highlight w:val="none"/>
        </w:rPr>
        <w:t xml:space="preserve">的依据之一。 </w:t>
      </w:r>
    </w:p>
    <w:p w14:paraId="19A9466D">
      <w:pPr>
        <w:spacing w:line="276" w:lineRule="auto"/>
        <w:ind w:firstLine="360" w:firstLineChars="200"/>
        <w:rPr>
          <w:rFonts w:hint="eastAsia" w:ascii="宋体" w:hAnsi="宋体" w:eastAsia="宋体" w:cs="宋体"/>
          <w:color w:val="auto"/>
          <w:sz w:val="18"/>
          <w:szCs w:val="18"/>
          <w:highlight w:val="none"/>
        </w:rPr>
      </w:pPr>
      <w:bookmarkStart w:id="1340" w:name="_Toc247418282"/>
      <w:bookmarkStart w:id="1341" w:name="_Toc247431442"/>
      <w:bookmarkStart w:id="1342" w:name="_Toc239510308"/>
      <w:bookmarkStart w:id="1343" w:name="_Toc532375717"/>
      <w:r>
        <w:rPr>
          <w:rFonts w:hint="eastAsia" w:ascii="宋体" w:hAnsi="宋体" w:eastAsia="宋体" w:cs="宋体"/>
          <w:color w:val="auto"/>
          <w:sz w:val="18"/>
          <w:szCs w:val="18"/>
          <w:highlight w:val="none"/>
        </w:rPr>
        <w:t>十七、协议条款的修订</w:t>
      </w:r>
      <w:bookmarkEnd w:id="1340"/>
      <w:bookmarkEnd w:id="1341"/>
      <w:bookmarkEnd w:id="1342"/>
      <w:bookmarkEnd w:id="1343"/>
    </w:p>
    <w:p w14:paraId="5350CC1D">
      <w:pPr>
        <w:spacing w:line="276"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在项目实施过程中，经双方友好协商，本协议的有关条款也可做出相应的修改。</w:t>
      </w:r>
    </w:p>
    <w:p w14:paraId="08676055">
      <w:pPr>
        <w:spacing w:line="276"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本工程安全管理协议，由发包人、承包人双方在施工承包合同签订后7天内共同签署，作为施工合同附件。</w:t>
      </w:r>
    </w:p>
    <w:p w14:paraId="239D7199">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  包  人（单位公章）：</w:t>
      </w:r>
      <w:r>
        <w:rPr>
          <w:rFonts w:hint="eastAsia" w:ascii="宋体" w:hAnsi="宋体" w:eastAsia="宋体" w:cs="宋体"/>
          <w:color w:val="auto"/>
          <w:sz w:val="18"/>
          <w:szCs w:val="18"/>
          <w:highlight w:val="none"/>
          <w:u w:val="single"/>
        </w:rPr>
        <w:t xml:space="preserve">                   </w:t>
      </w:r>
    </w:p>
    <w:p w14:paraId="7B7337C7">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法定代表人（签名）：</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 xml:space="preserve">  </w:t>
      </w:r>
    </w:p>
    <w:p w14:paraId="277EC376">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或其委托代理人（签名）：</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 xml:space="preserve">  </w:t>
      </w:r>
    </w:p>
    <w:p w14:paraId="5094540B">
      <w:pPr>
        <w:spacing w:line="360" w:lineRule="auto"/>
        <w:ind w:firstLine="360" w:firstLineChars="200"/>
        <w:jc w:val="left"/>
        <w:rPr>
          <w:rFonts w:hint="eastAsia" w:ascii="宋体" w:hAnsi="宋体" w:eastAsia="宋体" w:cs="宋体"/>
          <w:color w:val="auto"/>
          <w:sz w:val="18"/>
          <w:szCs w:val="18"/>
          <w:highlight w:val="none"/>
        </w:rPr>
      </w:pPr>
    </w:p>
    <w:p w14:paraId="29964F74">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承  包  人（单位公章）：</w:t>
      </w:r>
      <w:r>
        <w:rPr>
          <w:rFonts w:hint="eastAsia" w:ascii="宋体" w:hAnsi="宋体" w:eastAsia="宋体" w:cs="宋体"/>
          <w:color w:val="auto"/>
          <w:sz w:val="18"/>
          <w:szCs w:val="18"/>
          <w:highlight w:val="none"/>
          <w:u w:val="single"/>
        </w:rPr>
        <w:t xml:space="preserve">                   </w:t>
      </w:r>
    </w:p>
    <w:p w14:paraId="07BC035F">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法定代表人（签名）：</w:t>
      </w:r>
      <w:r>
        <w:rPr>
          <w:rFonts w:hint="eastAsia" w:ascii="宋体" w:hAnsi="宋体" w:eastAsia="宋体" w:cs="宋体"/>
          <w:color w:val="auto"/>
          <w:sz w:val="18"/>
          <w:szCs w:val="18"/>
          <w:highlight w:val="none"/>
          <w:u w:val="single"/>
        </w:rPr>
        <w:t xml:space="preserve">                       </w:t>
      </w:r>
    </w:p>
    <w:p w14:paraId="71094BDD">
      <w:pPr>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或其委托代理人（签名）：</w:t>
      </w:r>
      <w:r>
        <w:rPr>
          <w:rFonts w:hint="eastAsia" w:ascii="宋体" w:hAnsi="宋体" w:eastAsia="宋体" w:cs="宋体"/>
          <w:color w:val="auto"/>
          <w:sz w:val="18"/>
          <w:szCs w:val="18"/>
          <w:highlight w:val="none"/>
          <w:u w:val="single"/>
        </w:rPr>
        <w:t xml:space="preserve">                   </w:t>
      </w:r>
    </w:p>
    <w:p w14:paraId="01C34F88">
      <w:pPr>
        <w:snapToGrid w:val="0"/>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br w:type="page"/>
      </w:r>
    </w:p>
    <w:p w14:paraId="34CEE813">
      <w:pPr>
        <w:spacing w:line="48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w:t>
      </w:r>
      <w:r>
        <w:rPr>
          <w:rFonts w:hint="eastAsia" w:ascii="宋体" w:hAnsi="宋体" w:eastAsia="宋体" w:cs="宋体"/>
          <w:color w:val="auto"/>
          <w:sz w:val="18"/>
          <w:szCs w:val="18"/>
          <w:highlight w:val="none"/>
          <w:lang w:val="en-US" w:eastAsia="zh-CN"/>
        </w:rPr>
        <w:t>件5</w:t>
      </w:r>
      <w:r>
        <w:rPr>
          <w:rFonts w:hint="eastAsia" w:ascii="宋体" w:hAnsi="宋体" w:eastAsia="宋体" w:cs="宋体"/>
          <w:color w:val="auto"/>
          <w:sz w:val="18"/>
          <w:szCs w:val="18"/>
          <w:highlight w:val="none"/>
        </w:rPr>
        <w:t>：</w:t>
      </w:r>
    </w:p>
    <w:p w14:paraId="1A6821FD">
      <w:pPr>
        <w:spacing w:before="156" w:beforeLines="50" w:after="156" w:afterLines="50" w:line="48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保障农民工工资支付协议</w:t>
      </w:r>
    </w:p>
    <w:p w14:paraId="5D9526CC">
      <w:pPr>
        <w:snapToGrid w:val="0"/>
        <w:spacing w:line="48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发包人：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（发包人）</w:t>
      </w:r>
    </w:p>
    <w:p w14:paraId="2C1D9FB4">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承包人：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（承包人）</w:t>
      </w:r>
    </w:p>
    <w:p w14:paraId="7D5172B7">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018B28E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599F7975">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65A6A37F">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71C31303">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四、若发现承包人有下列事项的，发包人在支付当期进度款时暂扣当期应支付进度款5%比例的款项。</w:t>
      </w:r>
    </w:p>
    <w:p w14:paraId="37E782A9">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（一）现场检查发现项目存在拖欠农民工工资情况并经核查属实的；</w:t>
      </w:r>
    </w:p>
    <w:p w14:paraId="57887C1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（二）相关行政管理部门检查发现存在拖欠农民工工资情况并经核查属实的；</w:t>
      </w:r>
    </w:p>
    <w:p w14:paraId="761213A7">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（三）有拖欠农民工工资投诉事项并经核查属实的。</w:t>
      </w:r>
    </w:p>
    <w:p w14:paraId="7F7FB7F3">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48E33D0">
      <w:pPr>
        <w:tabs>
          <w:tab w:val="left" w:pos="1080"/>
          <w:tab w:val="left" w:pos="1260"/>
          <w:tab w:val="left" w:pos="1440"/>
        </w:tabs>
        <w:spacing w:line="360" w:lineRule="auto"/>
        <w:ind w:firstLine="360" w:firstLineChars="200"/>
        <w:rPr>
          <w:rFonts w:hint="eastAsia" w:ascii="宋体" w:hAnsi="宋体" w:eastAsia="宋体" w:cs="宋体"/>
          <w:snapToGrid w:val="0"/>
          <w:color w:val="auto"/>
          <w:spacing w:val="-4"/>
          <w:kern w:val="0"/>
          <w:sz w:val="18"/>
          <w:szCs w:val="18"/>
          <w:highlight w:val="none"/>
        </w:rPr>
      </w:pPr>
      <w:r>
        <w:rPr>
          <w:rFonts w:hint="eastAsia" w:ascii="宋体" w:hAnsi="宋体" w:eastAsia="宋体" w:cs="宋体"/>
          <w:color w:val="auto"/>
          <w:sz w:val="18"/>
          <w:szCs w:val="18"/>
          <w:highlight w:val="none"/>
        </w:rPr>
        <w:t>六、本协议经双方法定代表人或委托代理人签名并加盖单位公章后生效，履行完毕后自然失效。</w:t>
      </w:r>
    </w:p>
    <w:p w14:paraId="6196C44D">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w:t>
      </w:r>
    </w:p>
    <w:p w14:paraId="365BE00A">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1、关于农民工工资发放情况的说明表</w:t>
      </w:r>
    </w:p>
    <w:p w14:paraId="6110C3B4">
      <w:pPr>
        <w:pStyle w:val="2"/>
        <w:spacing w:line="360" w:lineRule="auto"/>
        <w:ind w:firstLine="360" w:firstLineChars="200"/>
        <w:rPr>
          <w:rFonts w:hint="eastAsia" w:ascii="宋体" w:hAnsi="宋体" w:eastAsia="宋体" w:cs="宋体"/>
          <w:color w:val="auto"/>
          <w:sz w:val="18"/>
          <w:szCs w:val="18"/>
          <w:highlight w:val="none"/>
        </w:rPr>
      </w:pPr>
    </w:p>
    <w:p w14:paraId="4E7E27DF">
      <w:pPr>
        <w:pStyle w:val="2"/>
        <w:spacing w:line="360" w:lineRule="auto"/>
        <w:ind w:firstLine="360" w:firstLineChars="200"/>
        <w:rPr>
          <w:rFonts w:hint="eastAsia" w:ascii="宋体" w:hAnsi="宋体" w:eastAsia="宋体" w:cs="宋体"/>
          <w:color w:val="auto"/>
          <w:sz w:val="18"/>
          <w:szCs w:val="18"/>
          <w:highlight w:val="none"/>
        </w:rPr>
      </w:pPr>
    </w:p>
    <w:p w14:paraId="55448D37">
      <w:pPr>
        <w:pStyle w:val="2"/>
        <w:spacing w:line="360" w:lineRule="auto"/>
        <w:ind w:firstLine="360" w:firstLineChars="200"/>
        <w:rPr>
          <w:rFonts w:hint="eastAsia" w:ascii="宋体" w:hAnsi="宋体" w:eastAsia="宋体" w:cs="宋体"/>
          <w:color w:val="auto"/>
          <w:sz w:val="18"/>
          <w:szCs w:val="18"/>
          <w:highlight w:val="none"/>
        </w:rPr>
      </w:pPr>
    </w:p>
    <w:p w14:paraId="4E0B4DDB">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（以下无正文）</w:t>
      </w:r>
    </w:p>
    <w:p w14:paraId="32A3849F">
      <w:pPr>
        <w:spacing w:line="360" w:lineRule="auto"/>
        <w:ind w:firstLine="360" w:firstLineChars="200"/>
        <w:rPr>
          <w:rFonts w:hint="eastAsia" w:ascii="宋体" w:hAnsi="宋体" w:eastAsia="宋体" w:cs="宋体"/>
          <w:color w:val="auto"/>
          <w:sz w:val="18"/>
          <w:szCs w:val="18"/>
          <w:highlight w:val="none"/>
        </w:rPr>
      </w:pPr>
    </w:p>
    <w:p w14:paraId="3012D1B1">
      <w:pPr>
        <w:spacing w:line="360" w:lineRule="auto"/>
        <w:ind w:firstLine="360" w:firstLineChars="200"/>
        <w:rPr>
          <w:rFonts w:hint="eastAsia" w:ascii="宋体" w:hAnsi="宋体" w:eastAsia="宋体" w:cs="宋体"/>
          <w:color w:val="auto"/>
          <w:sz w:val="18"/>
          <w:szCs w:val="18"/>
          <w:highlight w:val="none"/>
        </w:rPr>
      </w:pPr>
    </w:p>
    <w:p w14:paraId="4BDE967E">
      <w:pPr>
        <w:pStyle w:val="2"/>
        <w:spacing w:line="360" w:lineRule="auto"/>
        <w:rPr>
          <w:rFonts w:hint="eastAsia" w:ascii="宋体" w:hAnsi="宋体" w:eastAsia="宋体" w:cs="宋体"/>
          <w:color w:val="auto"/>
          <w:sz w:val="18"/>
          <w:szCs w:val="18"/>
          <w:highlight w:val="none"/>
        </w:rPr>
      </w:pPr>
    </w:p>
    <w:p w14:paraId="4288F48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发包人：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（发包人）</w:t>
      </w:r>
    </w:p>
    <w:p w14:paraId="1FBA0EDB">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w:t>
      </w:r>
      <w:r>
        <w:rPr>
          <w:rFonts w:hint="eastAsia" w:ascii="宋体" w:hAnsi="宋体" w:eastAsia="宋体" w:cs="宋体"/>
          <w:color w:val="auto"/>
          <w:sz w:val="18"/>
          <w:szCs w:val="18"/>
          <w:highlight w:val="none"/>
          <w:u w:val="single"/>
        </w:rPr>
        <w:t xml:space="preserve">       </w:t>
      </w:r>
    </w:p>
    <w:p w14:paraId="4BE236DF">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或委托代理人：</w:t>
      </w:r>
      <w:r>
        <w:rPr>
          <w:rFonts w:hint="eastAsia" w:ascii="宋体" w:hAnsi="宋体" w:eastAsia="宋体" w:cs="宋体"/>
          <w:color w:val="auto"/>
          <w:sz w:val="18"/>
          <w:szCs w:val="18"/>
          <w:highlight w:val="none"/>
          <w:u w:val="single"/>
        </w:rPr>
        <w:t xml:space="preserve">       </w:t>
      </w:r>
    </w:p>
    <w:p w14:paraId="5B196A7D">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single"/>
        </w:rPr>
        <w:t xml:space="preserve">       </w:t>
      </w:r>
    </w:p>
    <w:p w14:paraId="1A305041">
      <w:pPr>
        <w:spacing w:line="360" w:lineRule="auto"/>
        <w:rPr>
          <w:rFonts w:hint="eastAsia" w:ascii="宋体" w:hAnsi="宋体" w:eastAsia="宋体" w:cs="宋体"/>
          <w:color w:val="auto"/>
          <w:sz w:val="18"/>
          <w:szCs w:val="18"/>
          <w:highlight w:val="none"/>
        </w:rPr>
      </w:pPr>
    </w:p>
    <w:p w14:paraId="6FA63616">
      <w:pPr>
        <w:spacing w:line="360" w:lineRule="auto"/>
        <w:rPr>
          <w:rFonts w:hint="eastAsia" w:ascii="宋体" w:hAnsi="宋体" w:eastAsia="宋体" w:cs="宋体"/>
          <w:color w:val="auto"/>
          <w:sz w:val="18"/>
          <w:szCs w:val="18"/>
          <w:highlight w:val="none"/>
        </w:rPr>
      </w:pPr>
    </w:p>
    <w:p w14:paraId="01AB8EB8">
      <w:pPr>
        <w:spacing w:line="360" w:lineRule="auto"/>
        <w:rPr>
          <w:rFonts w:hint="eastAsia" w:ascii="宋体" w:hAnsi="宋体" w:eastAsia="宋体" w:cs="宋体"/>
          <w:color w:val="auto"/>
          <w:sz w:val="18"/>
          <w:szCs w:val="18"/>
          <w:highlight w:val="none"/>
        </w:rPr>
      </w:pPr>
    </w:p>
    <w:p w14:paraId="5F59E23A">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承包人：</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（承包人）</w:t>
      </w:r>
    </w:p>
    <w:p w14:paraId="0A55F01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w:t>
      </w:r>
      <w:r>
        <w:rPr>
          <w:rFonts w:hint="eastAsia" w:ascii="宋体" w:hAnsi="宋体" w:eastAsia="宋体" w:cs="宋体"/>
          <w:color w:val="auto"/>
          <w:sz w:val="18"/>
          <w:szCs w:val="18"/>
          <w:highlight w:val="none"/>
          <w:u w:val="single"/>
        </w:rPr>
        <w:t xml:space="preserve">       </w:t>
      </w:r>
    </w:p>
    <w:p w14:paraId="4324D0B7">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或委托代理人：</w:t>
      </w:r>
      <w:r>
        <w:rPr>
          <w:rFonts w:hint="eastAsia" w:ascii="宋体" w:hAnsi="宋体" w:eastAsia="宋体" w:cs="宋体"/>
          <w:color w:val="auto"/>
          <w:sz w:val="18"/>
          <w:szCs w:val="18"/>
          <w:highlight w:val="none"/>
          <w:u w:val="single"/>
        </w:rPr>
        <w:t xml:space="preserve">       </w:t>
      </w:r>
    </w:p>
    <w:p w14:paraId="240D8206">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single"/>
        </w:rPr>
        <w:t xml:space="preserve">       </w:t>
      </w:r>
    </w:p>
    <w:p w14:paraId="61A54FA9">
      <w:pPr>
        <w:snapToGrid w:val="0"/>
        <w:spacing w:line="360" w:lineRule="auto"/>
        <w:ind w:firstLine="560"/>
        <w:rPr>
          <w:rFonts w:hint="eastAsia" w:ascii="宋体" w:hAnsi="宋体" w:eastAsia="宋体" w:cs="宋体"/>
          <w:color w:val="auto"/>
          <w:sz w:val="18"/>
          <w:szCs w:val="18"/>
          <w:highlight w:val="none"/>
        </w:rPr>
      </w:pPr>
    </w:p>
    <w:p w14:paraId="18A1675E">
      <w:pPr>
        <w:spacing w:line="48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r>
        <w:rPr>
          <w:rFonts w:hint="eastAsia" w:ascii="宋体" w:hAnsi="宋体" w:eastAsia="宋体" w:cs="宋体"/>
          <w:color w:val="auto"/>
          <w:sz w:val="18"/>
          <w:szCs w:val="18"/>
          <w:highlight w:val="none"/>
        </w:rPr>
        <w:t>保障农民工工资支付协议附件1：</w:t>
      </w:r>
    </w:p>
    <w:p w14:paraId="340CA75D">
      <w:pPr>
        <w:widowControl/>
        <w:snapToGrid w:val="0"/>
        <w:spacing w:after="100" w:afterAutospacing="1" w:line="48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关于农民工工资发放情况的说明表</w:t>
      </w:r>
    </w:p>
    <w:tbl>
      <w:tblPr>
        <w:tblStyle w:val="2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2EC9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4F9FC1EB">
            <w:pPr>
              <w:widowControl/>
              <w:snapToGrid w:val="0"/>
              <w:spacing w:after="100" w:afterAutospacing="1" w:line="4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r>
      <w:tr w14:paraId="7DDA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4BA88A65">
            <w:pPr>
              <w:widowControl/>
              <w:snapToGrid w:val="0"/>
              <w:spacing w:after="100" w:afterAutospacing="1" w:line="4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施工单位：</w:t>
            </w:r>
          </w:p>
        </w:tc>
        <w:tc>
          <w:tcPr>
            <w:tcW w:w="6201" w:type="dxa"/>
          </w:tcPr>
          <w:p w14:paraId="4BA80F06">
            <w:pPr>
              <w:widowControl/>
              <w:snapToGrid w:val="0"/>
              <w:spacing w:after="100" w:afterAutospacing="1" w:line="400" w:lineRule="exact"/>
              <w:rPr>
                <w:rFonts w:hint="eastAsia" w:ascii="宋体" w:hAnsi="宋体" w:eastAsia="宋体" w:cs="宋体"/>
                <w:color w:val="auto"/>
                <w:kern w:val="0"/>
                <w:sz w:val="18"/>
                <w:szCs w:val="18"/>
                <w:highlight w:val="none"/>
              </w:rPr>
            </w:pPr>
          </w:p>
        </w:tc>
      </w:tr>
      <w:tr w14:paraId="320A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174AB4DE">
            <w:pPr>
              <w:widowControl/>
              <w:snapToGrid w:val="0"/>
              <w:spacing w:after="100" w:afterAutospacing="1" w:line="4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监理单位：</w:t>
            </w:r>
          </w:p>
        </w:tc>
        <w:tc>
          <w:tcPr>
            <w:tcW w:w="6201" w:type="dxa"/>
          </w:tcPr>
          <w:p w14:paraId="66D7BFE3">
            <w:pPr>
              <w:widowControl/>
              <w:snapToGrid w:val="0"/>
              <w:spacing w:after="100" w:afterAutospacing="1" w:line="400" w:lineRule="exact"/>
              <w:rPr>
                <w:rFonts w:hint="eastAsia" w:ascii="宋体" w:hAnsi="宋体" w:eastAsia="宋体" w:cs="宋体"/>
                <w:color w:val="auto"/>
                <w:kern w:val="0"/>
                <w:sz w:val="18"/>
                <w:szCs w:val="18"/>
                <w:highlight w:val="none"/>
              </w:rPr>
            </w:pPr>
          </w:p>
        </w:tc>
      </w:tr>
      <w:tr w14:paraId="68AF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1BDD46A7">
            <w:pPr>
              <w:widowControl/>
              <w:snapToGrid w:val="0"/>
              <w:spacing w:after="100" w:afterAutospacing="1" w:line="400" w:lineRule="exact"/>
              <w:rPr>
                <w:rFonts w:hint="eastAsia" w:ascii="宋体" w:hAnsi="宋体" w:eastAsia="宋体" w:cs="宋体"/>
                <w:color w:val="auto"/>
                <w:kern w:val="0"/>
                <w:sz w:val="18"/>
                <w:szCs w:val="18"/>
                <w:highlight w:val="none"/>
                <w:u w:val="single"/>
              </w:rPr>
            </w:pPr>
          </w:p>
          <w:p w14:paraId="205827CC">
            <w:pPr>
              <w:widowControl/>
              <w:snapToGrid w:val="0"/>
              <w:spacing w:after="100" w:afterAutospacing="1" w:line="4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（项目业主单位名称）：</w:t>
            </w:r>
          </w:p>
          <w:p w14:paraId="11C4E60E">
            <w:pPr>
              <w:widowControl/>
              <w:snapToGrid w:val="0"/>
              <w:spacing w:after="100" w:afterAutospacing="1" w:line="4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07869C45">
            <w:pPr>
              <w:pStyle w:val="30"/>
              <w:rPr>
                <w:rFonts w:hint="eastAsia" w:ascii="宋体" w:hAnsi="宋体" w:eastAsia="宋体" w:cs="宋体"/>
                <w:color w:val="auto"/>
                <w:sz w:val="18"/>
                <w:szCs w:val="18"/>
                <w:highlight w:val="none"/>
              </w:rPr>
            </w:pPr>
          </w:p>
          <w:p w14:paraId="1B619AD3">
            <w:pPr>
              <w:widowControl/>
              <w:snapToGrid w:val="0"/>
              <w:spacing w:after="100" w:afterAutospacing="1" w:line="400" w:lineRule="exact"/>
              <w:ind w:firstLine="1080" w:firstLineChars="600"/>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施工单位项目负责人签名（加盖项目章）：</w:t>
            </w:r>
            <w:r>
              <w:rPr>
                <w:rFonts w:hint="eastAsia" w:ascii="宋体" w:hAnsi="宋体" w:eastAsia="宋体" w:cs="宋体"/>
                <w:color w:val="auto"/>
                <w:kern w:val="0"/>
                <w:sz w:val="18"/>
                <w:szCs w:val="18"/>
                <w:highlight w:val="none"/>
                <w:u w:val="single"/>
              </w:rPr>
              <w:t xml:space="preserve">        </w:t>
            </w:r>
          </w:p>
        </w:tc>
      </w:tr>
      <w:tr w14:paraId="0012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F448618">
            <w:pPr>
              <w:widowControl/>
              <w:snapToGrid w:val="0"/>
              <w:spacing w:after="100" w:afterAutospacing="1"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监理单位意见：</w:t>
            </w:r>
          </w:p>
        </w:tc>
        <w:tc>
          <w:tcPr>
            <w:tcW w:w="6201" w:type="dxa"/>
          </w:tcPr>
          <w:p w14:paraId="263B4627">
            <w:pPr>
              <w:widowControl/>
              <w:snapToGrid w:val="0"/>
              <w:spacing w:after="100" w:afterAutospacing="1" w:line="400" w:lineRule="exact"/>
              <w:rPr>
                <w:rFonts w:hint="eastAsia" w:ascii="宋体" w:hAnsi="宋体" w:eastAsia="宋体" w:cs="宋体"/>
                <w:color w:val="auto"/>
                <w:kern w:val="0"/>
                <w:sz w:val="18"/>
                <w:szCs w:val="18"/>
                <w:highlight w:val="none"/>
                <w:u w:val="single"/>
              </w:rPr>
            </w:pPr>
          </w:p>
          <w:p w14:paraId="0E0F8A0E">
            <w:pPr>
              <w:widowControl/>
              <w:snapToGrid w:val="0"/>
              <w:spacing w:after="100" w:afterAutospacing="1" w:line="400" w:lineRule="exac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 xml:space="preserve">             总监签名并加盖项目章：</w:t>
            </w:r>
            <w:r>
              <w:rPr>
                <w:rFonts w:hint="eastAsia" w:ascii="宋体" w:hAnsi="宋体" w:eastAsia="宋体" w:cs="宋体"/>
                <w:color w:val="auto"/>
                <w:kern w:val="0"/>
                <w:sz w:val="18"/>
                <w:szCs w:val="18"/>
                <w:highlight w:val="none"/>
                <w:u w:val="single"/>
              </w:rPr>
              <w:t xml:space="preserve">        </w:t>
            </w:r>
          </w:p>
        </w:tc>
      </w:tr>
      <w:tr w14:paraId="730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69D92C09">
            <w:pPr>
              <w:widowControl/>
              <w:snapToGrid w:val="0"/>
              <w:spacing w:after="100" w:afterAutospacing="1"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工程部项目负责人意见：</w:t>
            </w:r>
          </w:p>
        </w:tc>
        <w:tc>
          <w:tcPr>
            <w:tcW w:w="6201" w:type="dxa"/>
          </w:tcPr>
          <w:p w14:paraId="6B6D886D">
            <w:pPr>
              <w:widowControl/>
              <w:snapToGrid w:val="0"/>
              <w:spacing w:after="100" w:afterAutospacing="1" w:line="400" w:lineRule="exact"/>
              <w:rPr>
                <w:rFonts w:hint="eastAsia" w:ascii="宋体" w:hAnsi="宋体" w:eastAsia="宋体" w:cs="宋体"/>
                <w:color w:val="auto"/>
                <w:kern w:val="0"/>
                <w:sz w:val="18"/>
                <w:szCs w:val="18"/>
                <w:highlight w:val="none"/>
                <w:u w:val="single"/>
              </w:rPr>
            </w:pPr>
          </w:p>
          <w:p w14:paraId="54EB5531">
            <w:pPr>
              <w:widowControl/>
              <w:snapToGrid w:val="0"/>
              <w:spacing w:after="100" w:afterAutospacing="1" w:line="400" w:lineRule="exact"/>
              <w:rPr>
                <w:rFonts w:hint="eastAsia" w:ascii="宋体" w:hAnsi="宋体" w:eastAsia="宋体" w:cs="宋体"/>
                <w:color w:val="auto"/>
                <w:kern w:val="0"/>
                <w:sz w:val="18"/>
                <w:szCs w:val="18"/>
                <w:highlight w:val="none"/>
                <w:u w:val="single"/>
              </w:rPr>
            </w:pPr>
            <w:r>
              <w:rPr>
                <w:rFonts w:hint="eastAsia" w:ascii="宋体" w:hAnsi="宋体" w:eastAsia="宋体" w:cs="宋体"/>
                <w:color w:val="auto"/>
                <w:kern w:val="0"/>
                <w:sz w:val="18"/>
                <w:szCs w:val="18"/>
                <w:highlight w:val="none"/>
              </w:rPr>
              <w:t xml:space="preserve">                   项目负责人签名：</w:t>
            </w:r>
            <w:r>
              <w:rPr>
                <w:rFonts w:hint="eastAsia" w:ascii="宋体" w:hAnsi="宋体" w:eastAsia="宋体" w:cs="宋体"/>
                <w:color w:val="auto"/>
                <w:kern w:val="0"/>
                <w:sz w:val="18"/>
                <w:szCs w:val="18"/>
                <w:highlight w:val="none"/>
                <w:u w:val="single"/>
              </w:rPr>
              <w:t xml:space="preserve">        </w:t>
            </w:r>
          </w:p>
        </w:tc>
      </w:tr>
    </w:tbl>
    <w:p w14:paraId="1A9B86DE">
      <w:pPr>
        <w:jc w:val="center"/>
        <w:rPr>
          <w:rFonts w:hint="eastAsia" w:ascii="宋体" w:hAnsi="宋体" w:eastAsia="宋体" w:cs="宋体"/>
          <w:color w:val="auto"/>
          <w:kern w:val="0"/>
          <w:sz w:val="36"/>
          <w:szCs w:val="36"/>
          <w:highlight w:val="none"/>
        </w:rPr>
      </w:pPr>
      <w:r>
        <w:rPr>
          <w:rFonts w:hint="eastAsia" w:ascii="方正仿宋_GBK" w:hAnsi="方正仿宋_GBK" w:eastAsia="方正仿宋_GBK" w:cs="方正仿宋_GBK"/>
          <w:color w:val="auto"/>
          <w:kern w:val="1"/>
          <w:sz w:val="24"/>
          <w:szCs w:val="24"/>
          <w:highlight w:val="none"/>
        </w:rPr>
        <w:br w:type="page"/>
      </w:r>
      <w:bookmarkStart w:id="1344" w:name="_Toc492244541"/>
      <w:r>
        <w:rPr>
          <w:rFonts w:hint="eastAsia" w:ascii="宋体" w:hAnsi="宋体" w:eastAsia="宋体" w:cs="宋体"/>
          <w:b/>
          <w:bCs/>
          <w:color w:val="auto"/>
          <w:kern w:val="0"/>
          <w:sz w:val="36"/>
          <w:szCs w:val="36"/>
          <w:highlight w:val="none"/>
        </w:rPr>
        <w:t xml:space="preserve"> </w:t>
      </w:r>
      <w:bookmarkStart w:id="1345" w:name="_Toc32226"/>
      <w:r>
        <w:rPr>
          <w:rFonts w:hint="eastAsia" w:ascii="宋体" w:hAnsi="宋体" w:eastAsia="宋体" w:cs="宋体"/>
          <w:b/>
          <w:bCs/>
          <w:color w:val="auto"/>
          <w:kern w:val="0"/>
          <w:sz w:val="36"/>
          <w:szCs w:val="36"/>
          <w:highlight w:val="none"/>
          <w:lang w:val="en-US" w:eastAsia="zh-CN"/>
        </w:rPr>
        <w:t xml:space="preserve">第五章 </w:t>
      </w:r>
      <w:r>
        <w:rPr>
          <w:rFonts w:hint="eastAsia" w:ascii="宋体" w:hAnsi="宋体" w:eastAsia="宋体" w:cs="宋体"/>
          <w:b/>
          <w:bCs/>
          <w:color w:val="auto"/>
          <w:kern w:val="0"/>
          <w:sz w:val="36"/>
          <w:szCs w:val="36"/>
          <w:highlight w:val="none"/>
        </w:rPr>
        <w:t>工程量清单</w:t>
      </w:r>
      <w:bookmarkEnd w:id="389"/>
      <w:bookmarkEnd w:id="1344"/>
      <w:bookmarkEnd w:id="1345"/>
    </w:p>
    <w:p w14:paraId="5F684896">
      <w:pPr>
        <w:pStyle w:val="30"/>
        <w:jc w:val="left"/>
        <w:rPr>
          <w:rFonts w:hint="eastAsia" w:ascii="方正仿宋_GBK" w:hAnsi="方正仿宋_GBK" w:eastAsia="方正仿宋_GBK" w:cs="方正仿宋_GBK"/>
          <w:color w:val="auto"/>
          <w:sz w:val="21"/>
          <w:szCs w:val="21"/>
          <w:highlight w:val="none"/>
        </w:rPr>
      </w:pPr>
      <w:bookmarkStart w:id="1346" w:name="_Toc492244546"/>
      <w:bookmarkStart w:id="1347" w:name="_Toc430206083"/>
    </w:p>
    <w:p w14:paraId="083ACDB3">
      <w:pPr>
        <w:pStyle w:val="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本工程工程量清单为电子版，随本</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文件一起发布。</w:t>
      </w:r>
    </w:p>
    <w:p w14:paraId="3CE57CAF">
      <w:pPr>
        <w:pStyle w:val="30"/>
        <w:jc w:val="center"/>
        <w:rPr>
          <w:rFonts w:hint="eastAsia" w:ascii="方正仿宋_GBK" w:hAnsi="方正仿宋_GBK" w:eastAsia="方正仿宋_GBK" w:cs="方正仿宋_GBK"/>
          <w:color w:val="auto"/>
          <w:sz w:val="21"/>
          <w:szCs w:val="21"/>
          <w:highlight w:val="none"/>
        </w:rPr>
      </w:pPr>
    </w:p>
    <w:p w14:paraId="208CB225">
      <w:pPr>
        <w:pStyle w:val="30"/>
        <w:jc w:val="center"/>
        <w:rPr>
          <w:rFonts w:hint="eastAsia" w:ascii="方正仿宋_GBK" w:hAnsi="方正仿宋_GBK" w:eastAsia="方正仿宋_GBK" w:cs="方正仿宋_GBK"/>
          <w:color w:val="auto"/>
          <w:sz w:val="21"/>
          <w:szCs w:val="21"/>
          <w:highlight w:val="none"/>
        </w:rPr>
      </w:pPr>
    </w:p>
    <w:p w14:paraId="1E29F1C4">
      <w:pPr>
        <w:pStyle w:val="30"/>
        <w:rPr>
          <w:rFonts w:hint="eastAsia" w:ascii="方正仿宋_GBK" w:hAnsi="方正仿宋_GBK" w:eastAsia="方正仿宋_GBK" w:cs="方正仿宋_GBK"/>
          <w:color w:val="auto"/>
          <w:sz w:val="21"/>
          <w:szCs w:val="21"/>
          <w:highlight w:val="none"/>
        </w:rPr>
      </w:pPr>
    </w:p>
    <w:p w14:paraId="1538F98C">
      <w:pPr>
        <w:pStyle w:val="30"/>
        <w:rPr>
          <w:rFonts w:hint="eastAsia" w:ascii="方正仿宋_GBK" w:hAnsi="方正仿宋_GBK" w:eastAsia="方正仿宋_GBK" w:cs="方正仿宋_GBK"/>
          <w:color w:val="auto"/>
          <w:sz w:val="21"/>
          <w:szCs w:val="21"/>
          <w:highlight w:val="none"/>
        </w:rPr>
      </w:pPr>
    </w:p>
    <w:p w14:paraId="5C7F7D6C">
      <w:pPr>
        <w:pStyle w:val="30"/>
        <w:rPr>
          <w:rFonts w:hint="eastAsia" w:ascii="方正仿宋_GBK" w:hAnsi="方正仿宋_GBK" w:eastAsia="方正仿宋_GBK" w:cs="方正仿宋_GBK"/>
          <w:color w:val="auto"/>
          <w:sz w:val="21"/>
          <w:szCs w:val="21"/>
          <w:highlight w:val="none"/>
        </w:rPr>
      </w:pPr>
    </w:p>
    <w:p w14:paraId="4AD16FC3">
      <w:pPr>
        <w:pStyle w:val="30"/>
        <w:rPr>
          <w:rFonts w:hint="eastAsia" w:ascii="方正仿宋_GBK" w:hAnsi="方正仿宋_GBK" w:eastAsia="方正仿宋_GBK" w:cs="方正仿宋_GBK"/>
          <w:color w:val="auto"/>
          <w:sz w:val="21"/>
          <w:szCs w:val="21"/>
          <w:highlight w:val="none"/>
        </w:rPr>
      </w:pPr>
    </w:p>
    <w:p w14:paraId="6A293D6D">
      <w:pPr>
        <w:pStyle w:val="30"/>
        <w:rPr>
          <w:rFonts w:hint="eastAsia" w:ascii="方正仿宋_GBK" w:hAnsi="方正仿宋_GBK" w:eastAsia="方正仿宋_GBK" w:cs="方正仿宋_GBK"/>
          <w:color w:val="auto"/>
          <w:sz w:val="21"/>
          <w:szCs w:val="21"/>
          <w:highlight w:val="none"/>
        </w:rPr>
      </w:pPr>
    </w:p>
    <w:p w14:paraId="242CF0EA">
      <w:pPr>
        <w:pStyle w:val="30"/>
        <w:rPr>
          <w:rFonts w:hint="eastAsia" w:ascii="方正仿宋_GBK" w:hAnsi="方正仿宋_GBK" w:eastAsia="方正仿宋_GBK" w:cs="方正仿宋_GBK"/>
          <w:color w:val="auto"/>
          <w:sz w:val="21"/>
          <w:szCs w:val="21"/>
          <w:highlight w:val="none"/>
        </w:rPr>
      </w:pPr>
    </w:p>
    <w:p w14:paraId="03404D8B">
      <w:pPr>
        <w:pStyle w:val="30"/>
        <w:rPr>
          <w:rFonts w:hint="eastAsia" w:ascii="方正仿宋_GBK" w:hAnsi="方正仿宋_GBK" w:eastAsia="方正仿宋_GBK" w:cs="方正仿宋_GBK"/>
          <w:color w:val="auto"/>
          <w:sz w:val="21"/>
          <w:szCs w:val="21"/>
          <w:highlight w:val="none"/>
        </w:rPr>
      </w:pPr>
    </w:p>
    <w:p w14:paraId="57149D97">
      <w:pPr>
        <w:pStyle w:val="30"/>
        <w:rPr>
          <w:rFonts w:hint="eastAsia" w:ascii="方正仿宋_GBK" w:hAnsi="方正仿宋_GBK" w:eastAsia="方正仿宋_GBK" w:cs="方正仿宋_GBK"/>
          <w:color w:val="auto"/>
          <w:sz w:val="21"/>
          <w:szCs w:val="21"/>
          <w:highlight w:val="none"/>
        </w:rPr>
      </w:pPr>
    </w:p>
    <w:p w14:paraId="6FD56A81">
      <w:pPr>
        <w:pStyle w:val="30"/>
        <w:rPr>
          <w:rFonts w:hint="eastAsia" w:ascii="方正仿宋_GBK" w:hAnsi="方正仿宋_GBK" w:eastAsia="方正仿宋_GBK" w:cs="方正仿宋_GBK"/>
          <w:color w:val="auto"/>
          <w:sz w:val="21"/>
          <w:szCs w:val="21"/>
          <w:highlight w:val="none"/>
        </w:rPr>
      </w:pPr>
    </w:p>
    <w:p w14:paraId="6389CA5C">
      <w:pPr>
        <w:pStyle w:val="30"/>
        <w:rPr>
          <w:rFonts w:hint="eastAsia" w:ascii="方正仿宋_GBK" w:hAnsi="方正仿宋_GBK" w:eastAsia="方正仿宋_GBK" w:cs="方正仿宋_GBK"/>
          <w:color w:val="auto"/>
          <w:sz w:val="21"/>
          <w:szCs w:val="21"/>
          <w:highlight w:val="none"/>
        </w:rPr>
      </w:pPr>
    </w:p>
    <w:p w14:paraId="0F5E9933">
      <w:pPr>
        <w:pStyle w:val="30"/>
        <w:rPr>
          <w:rFonts w:hint="eastAsia" w:ascii="方正仿宋_GBK" w:hAnsi="方正仿宋_GBK" w:eastAsia="方正仿宋_GBK" w:cs="方正仿宋_GBK"/>
          <w:color w:val="auto"/>
          <w:sz w:val="21"/>
          <w:szCs w:val="21"/>
          <w:highlight w:val="none"/>
        </w:rPr>
      </w:pPr>
    </w:p>
    <w:p w14:paraId="5B35FE39">
      <w:pPr>
        <w:pStyle w:val="30"/>
        <w:rPr>
          <w:rFonts w:hint="eastAsia" w:ascii="方正仿宋_GBK" w:hAnsi="方正仿宋_GBK" w:eastAsia="方正仿宋_GBK" w:cs="方正仿宋_GBK"/>
          <w:color w:val="auto"/>
          <w:sz w:val="21"/>
          <w:szCs w:val="21"/>
          <w:highlight w:val="none"/>
        </w:rPr>
      </w:pPr>
    </w:p>
    <w:p w14:paraId="7DE82B72">
      <w:pPr>
        <w:pStyle w:val="30"/>
        <w:rPr>
          <w:rFonts w:hint="eastAsia" w:ascii="方正仿宋_GBK" w:hAnsi="方正仿宋_GBK" w:eastAsia="方正仿宋_GBK" w:cs="方正仿宋_GBK"/>
          <w:color w:val="auto"/>
          <w:sz w:val="21"/>
          <w:szCs w:val="21"/>
          <w:highlight w:val="none"/>
        </w:rPr>
      </w:pPr>
    </w:p>
    <w:p w14:paraId="4E1BFFAE">
      <w:pPr>
        <w:pStyle w:val="30"/>
        <w:rPr>
          <w:rFonts w:hint="eastAsia" w:ascii="方正仿宋_GBK" w:hAnsi="方正仿宋_GBK" w:eastAsia="方正仿宋_GBK" w:cs="方正仿宋_GBK"/>
          <w:color w:val="auto"/>
          <w:sz w:val="21"/>
          <w:szCs w:val="21"/>
          <w:highlight w:val="none"/>
        </w:rPr>
      </w:pPr>
    </w:p>
    <w:p w14:paraId="2679743A">
      <w:pPr>
        <w:pStyle w:val="30"/>
        <w:rPr>
          <w:rFonts w:hint="eastAsia" w:ascii="方正仿宋_GBK" w:hAnsi="方正仿宋_GBK" w:eastAsia="方正仿宋_GBK" w:cs="方正仿宋_GBK"/>
          <w:color w:val="auto"/>
          <w:sz w:val="21"/>
          <w:szCs w:val="21"/>
          <w:highlight w:val="none"/>
        </w:rPr>
      </w:pPr>
    </w:p>
    <w:p w14:paraId="34A1FCB1">
      <w:pPr>
        <w:pStyle w:val="30"/>
        <w:rPr>
          <w:rFonts w:hint="eastAsia" w:ascii="方正仿宋_GBK" w:hAnsi="方正仿宋_GBK" w:eastAsia="方正仿宋_GBK" w:cs="方正仿宋_GBK"/>
          <w:color w:val="auto"/>
          <w:sz w:val="21"/>
          <w:szCs w:val="21"/>
          <w:highlight w:val="none"/>
        </w:rPr>
      </w:pPr>
    </w:p>
    <w:p w14:paraId="32CA8C10">
      <w:pPr>
        <w:pStyle w:val="30"/>
        <w:rPr>
          <w:rFonts w:hint="eastAsia" w:ascii="方正仿宋_GBK" w:hAnsi="方正仿宋_GBK" w:eastAsia="方正仿宋_GBK" w:cs="方正仿宋_GBK"/>
          <w:color w:val="auto"/>
          <w:sz w:val="21"/>
          <w:szCs w:val="21"/>
          <w:highlight w:val="none"/>
        </w:rPr>
      </w:pPr>
    </w:p>
    <w:p w14:paraId="33D73ECF">
      <w:pPr>
        <w:pStyle w:val="30"/>
        <w:rPr>
          <w:rFonts w:hint="eastAsia" w:ascii="方正仿宋_GBK" w:hAnsi="方正仿宋_GBK" w:eastAsia="方正仿宋_GBK" w:cs="方正仿宋_GBK"/>
          <w:color w:val="auto"/>
          <w:sz w:val="21"/>
          <w:szCs w:val="21"/>
          <w:highlight w:val="none"/>
        </w:rPr>
      </w:pPr>
    </w:p>
    <w:p w14:paraId="6CEDAA31">
      <w:pPr>
        <w:pStyle w:val="30"/>
        <w:rPr>
          <w:rFonts w:hint="eastAsia" w:ascii="方正仿宋_GBK" w:hAnsi="方正仿宋_GBK" w:eastAsia="方正仿宋_GBK" w:cs="方正仿宋_GBK"/>
          <w:color w:val="auto"/>
          <w:sz w:val="21"/>
          <w:szCs w:val="21"/>
          <w:highlight w:val="none"/>
        </w:rPr>
      </w:pPr>
    </w:p>
    <w:p w14:paraId="190259D9">
      <w:pPr>
        <w:pStyle w:val="30"/>
        <w:rPr>
          <w:rFonts w:hint="eastAsia" w:ascii="方正仿宋_GBK" w:hAnsi="方正仿宋_GBK" w:eastAsia="方正仿宋_GBK" w:cs="方正仿宋_GBK"/>
          <w:color w:val="auto"/>
          <w:sz w:val="21"/>
          <w:szCs w:val="21"/>
          <w:highlight w:val="none"/>
        </w:rPr>
      </w:pPr>
    </w:p>
    <w:p w14:paraId="10AD0587">
      <w:pPr>
        <w:pStyle w:val="30"/>
        <w:rPr>
          <w:rFonts w:hint="eastAsia" w:ascii="方正仿宋_GBK" w:hAnsi="方正仿宋_GBK" w:eastAsia="方正仿宋_GBK" w:cs="方正仿宋_GBK"/>
          <w:color w:val="auto"/>
          <w:sz w:val="21"/>
          <w:szCs w:val="21"/>
          <w:highlight w:val="none"/>
        </w:rPr>
      </w:pPr>
    </w:p>
    <w:p w14:paraId="17D48CC9">
      <w:pPr>
        <w:pStyle w:val="30"/>
        <w:rPr>
          <w:rFonts w:hint="eastAsia" w:ascii="方正仿宋_GBK" w:hAnsi="方正仿宋_GBK" w:eastAsia="方正仿宋_GBK" w:cs="方正仿宋_GBK"/>
          <w:color w:val="auto"/>
          <w:sz w:val="21"/>
          <w:szCs w:val="21"/>
          <w:highlight w:val="none"/>
        </w:rPr>
      </w:pPr>
    </w:p>
    <w:p w14:paraId="6EB9B1BF">
      <w:pPr>
        <w:pStyle w:val="30"/>
        <w:rPr>
          <w:rFonts w:hint="eastAsia" w:ascii="方正仿宋_GBK" w:hAnsi="方正仿宋_GBK" w:eastAsia="方正仿宋_GBK" w:cs="方正仿宋_GBK"/>
          <w:color w:val="auto"/>
          <w:sz w:val="21"/>
          <w:szCs w:val="21"/>
          <w:highlight w:val="none"/>
        </w:rPr>
      </w:pPr>
    </w:p>
    <w:p w14:paraId="4A99B633">
      <w:pPr>
        <w:pStyle w:val="30"/>
        <w:rPr>
          <w:rFonts w:hint="eastAsia" w:ascii="方正仿宋_GBK" w:hAnsi="方正仿宋_GBK" w:eastAsia="方正仿宋_GBK" w:cs="方正仿宋_GBK"/>
          <w:color w:val="auto"/>
          <w:sz w:val="21"/>
          <w:szCs w:val="21"/>
          <w:highlight w:val="none"/>
        </w:rPr>
      </w:pPr>
    </w:p>
    <w:p w14:paraId="23825DB6">
      <w:pPr>
        <w:pStyle w:val="30"/>
        <w:rPr>
          <w:rFonts w:hint="eastAsia" w:ascii="方正仿宋_GBK" w:hAnsi="方正仿宋_GBK" w:eastAsia="方正仿宋_GBK" w:cs="方正仿宋_GBK"/>
          <w:color w:val="auto"/>
          <w:sz w:val="21"/>
          <w:szCs w:val="21"/>
          <w:highlight w:val="none"/>
        </w:rPr>
      </w:pPr>
    </w:p>
    <w:p w14:paraId="77AF5F58">
      <w:pPr>
        <w:pStyle w:val="30"/>
        <w:rPr>
          <w:rFonts w:hint="eastAsia" w:ascii="方正仿宋_GBK" w:hAnsi="方正仿宋_GBK" w:eastAsia="方正仿宋_GBK" w:cs="方正仿宋_GBK"/>
          <w:color w:val="auto"/>
          <w:sz w:val="21"/>
          <w:szCs w:val="21"/>
          <w:highlight w:val="none"/>
        </w:rPr>
      </w:pPr>
    </w:p>
    <w:p w14:paraId="12B13350">
      <w:pPr>
        <w:pStyle w:val="30"/>
        <w:rPr>
          <w:rFonts w:hint="eastAsia" w:ascii="方正仿宋_GBK" w:hAnsi="方正仿宋_GBK" w:eastAsia="方正仿宋_GBK" w:cs="方正仿宋_GBK"/>
          <w:color w:val="auto"/>
          <w:sz w:val="21"/>
          <w:szCs w:val="21"/>
          <w:highlight w:val="none"/>
        </w:rPr>
      </w:pPr>
    </w:p>
    <w:p w14:paraId="282EE534">
      <w:pPr>
        <w:pStyle w:val="30"/>
        <w:rPr>
          <w:rFonts w:hint="eastAsia" w:ascii="方正仿宋_GBK" w:hAnsi="方正仿宋_GBK" w:eastAsia="方正仿宋_GBK" w:cs="方正仿宋_GBK"/>
          <w:color w:val="auto"/>
          <w:sz w:val="21"/>
          <w:szCs w:val="21"/>
          <w:highlight w:val="none"/>
        </w:rPr>
      </w:pPr>
    </w:p>
    <w:p w14:paraId="35619210">
      <w:pPr>
        <w:pStyle w:val="30"/>
        <w:rPr>
          <w:rFonts w:hint="eastAsia" w:ascii="方正仿宋_GBK" w:hAnsi="方正仿宋_GBK" w:eastAsia="方正仿宋_GBK" w:cs="方正仿宋_GBK"/>
          <w:color w:val="auto"/>
          <w:sz w:val="21"/>
          <w:szCs w:val="21"/>
          <w:highlight w:val="none"/>
        </w:rPr>
      </w:pPr>
    </w:p>
    <w:p w14:paraId="0B37DA36">
      <w:pPr>
        <w:pStyle w:val="30"/>
        <w:rPr>
          <w:rFonts w:hint="eastAsia" w:ascii="方正仿宋_GBK" w:hAnsi="方正仿宋_GBK" w:eastAsia="方正仿宋_GBK" w:cs="方正仿宋_GBK"/>
          <w:color w:val="auto"/>
          <w:sz w:val="21"/>
          <w:szCs w:val="21"/>
          <w:highlight w:val="none"/>
        </w:rPr>
      </w:pPr>
    </w:p>
    <w:p w14:paraId="3B404E34">
      <w:pPr>
        <w:pStyle w:val="30"/>
        <w:rPr>
          <w:rFonts w:hint="eastAsia" w:ascii="方正仿宋_GBK" w:hAnsi="方正仿宋_GBK" w:eastAsia="方正仿宋_GBK" w:cs="方正仿宋_GBK"/>
          <w:color w:val="auto"/>
          <w:sz w:val="21"/>
          <w:szCs w:val="21"/>
          <w:highlight w:val="none"/>
        </w:rPr>
      </w:pPr>
    </w:p>
    <w:p w14:paraId="601226BE">
      <w:pPr>
        <w:pStyle w:val="30"/>
        <w:rPr>
          <w:rFonts w:hint="eastAsia" w:ascii="方正仿宋_GBK" w:hAnsi="方正仿宋_GBK" w:eastAsia="方正仿宋_GBK" w:cs="方正仿宋_GBK"/>
          <w:color w:val="auto"/>
          <w:sz w:val="21"/>
          <w:szCs w:val="21"/>
          <w:highlight w:val="none"/>
        </w:rPr>
      </w:pPr>
    </w:p>
    <w:p w14:paraId="4E302A90">
      <w:pPr>
        <w:pStyle w:val="30"/>
        <w:rPr>
          <w:rFonts w:hint="eastAsia" w:ascii="方正仿宋_GBK" w:hAnsi="方正仿宋_GBK" w:eastAsia="方正仿宋_GBK" w:cs="方正仿宋_GBK"/>
          <w:color w:val="auto"/>
          <w:sz w:val="21"/>
          <w:szCs w:val="21"/>
          <w:highlight w:val="none"/>
        </w:rPr>
      </w:pPr>
    </w:p>
    <w:p w14:paraId="225DD6EE">
      <w:pPr>
        <w:pStyle w:val="30"/>
        <w:rPr>
          <w:rFonts w:hint="eastAsia" w:ascii="方正仿宋_GBK" w:hAnsi="方正仿宋_GBK" w:eastAsia="方正仿宋_GBK" w:cs="方正仿宋_GBK"/>
          <w:color w:val="auto"/>
          <w:sz w:val="21"/>
          <w:szCs w:val="21"/>
          <w:highlight w:val="none"/>
        </w:rPr>
      </w:pPr>
    </w:p>
    <w:p w14:paraId="44D1D85F">
      <w:pPr>
        <w:pStyle w:val="30"/>
        <w:rPr>
          <w:rFonts w:hint="eastAsia" w:ascii="方正仿宋_GBK" w:hAnsi="方正仿宋_GBK" w:eastAsia="方正仿宋_GBK" w:cs="方正仿宋_GBK"/>
          <w:color w:val="auto"/>
          <w:sz w:val="21"/>
          <w:szCs w:val="21"/>
          <w:highlight w:val="none"/>
        </w:rPr>
      </w:pPr>
    </w:p>
    <w:p w14:paraId="2FCB7F17">
      <w:pPr>
        <w:pStyle w:val="30"/>
        <w:rPr>
          <w:rFonts w:hint="eastAsia" w:ascii="方正仿宋_GBK" w:hAnsi="方正仿宋_GBK" w:eastAsia="方正仿宋_GBK" w:cs="方正仿宋_GBK"/>
          <w:color w:val="auto"/>
          <w:sz w:val="21"/>
          <w:szCs w:val="21"/>
          <w:highlight w:val="none"/>
        </w:rPr>
      </w:pPr>
    </w:p>
    <w:p w14:paraId="145CE867">
      <w:pPr>
        <w:pStyle w:val="30"/>
        <w:rPr>
          <w:rFonts w:hint="eastAsia" w:ascii="方正仿宋_GBK" w:hAnsi="方正仿宋_GBK" w:eastAsia="方正仿宋_GBK" w:cs="方正仿宋_GBK"/>
          <w:color w:val="auto"/>
          <w:sz w:val="21"/>
          <w:szCs w:val="21"/>
          <w:highlight w:val="none"/>
        </w:rPr>
      </w:pPr>
    </w:p>
    <w:p w14:paraId="51E2E419">
      <w:pPr>
        <w:pStyle w:val="30"/>
        <w:rPr>
          <w:rFonts w:hint="eastAsia" w:ascii="方正仿宋_GBK" w:hAnsi="方正仿宋_GBK" w:eastAsia="方正仿宋_GBK" w:cs="方正仿宋_GBK"/>
          <w:color w:val="auto"/>
          <w:sz w:val="21"/>
          <w:szCs w:val="21"/>
          <w:highlight w:val="none"/>
        </w:rPr>
      </w:pPr>
    </w:p>
    <w:p w14:paraId="61A9A03F">
      <w:pPr>
        <w:pStyle w:val="30"/>
        <w:rPr>
          <w:rFonts w:hint="eastAsia" w:ascii="方正仿宋_GBK" w:hAnsi="方正仿宋_GBK" w:eastAsia="方正仿宋_GBK" w:cs="方正仿宋_GBK"/>
          <w:color w:val="auto"/>
          <w:sz w:val="21"/>
          <w:szCs w:val="21"/>
          <w:highlight w:val="none"/>
        </w:rPr>
      </w:pPr>
    </w:p>
    <w:p w14:paraId="28FB3EE9">
      <w:pPr>
        <w:pStyle w:val="30"/>
        <w:rPr>
          <w:rFonts w:hint="eastAsia" w:ascii="方正仿宋_GBK" w:hAnsi="方正仿宋_GBK" w:eastAsia="方正仿宋_GBK" w:cs="方正仿宋_GBK"/>
          <w:color w:val="auto"/>
          <w:sz w:val="21"/>
          <w:szCs w:val="21"/>
          <w:highlight w:val="none"/>
        </w:rPr>
      </w:pPr>
    </w:p>
    <w:p w14:paraId="5CA8A684">
      <w:pPr>
        <w:pStyle w:val="30"/>
        <w:rPr>
          <w:rFonts w:hint="eastAsia" w:ascii="方正仿宋_GBK" w:hAnsi="方正仿宋_GBK" w:eastAsia="方正仿宋_GBK" w:cs="方正仿宋_GBK"/>
          <w:color w:val="auto"/>
          <w:sz w:val="21"/>
          <w:szCs w:val="21"/>
          <w:highlight w:val="none"/>
        </w:rPr>
      </w:pPr>
    </w:p>
    <w:p w14:paraId="307F504F">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6"/>
          <w:szCs w:val="36"/>
          <w:highlight w:val="none"/>
        </w:rPr>
      </w:pPr>
      <w:bookmarkStart w:id="1348" w:name="_Toc31719"/>
      <w:r>
        <w:rPr>
          <w:rFonts w:hint="eastAsia" w:ascii="宋体" w:hAnsi="宋体" w:eastAsia="宋体" w:cs="宋体"/>
          <w:color w:val="auto"/>
          <w:kern w:val="0"/>
          <w:sz w:val="36"/>
          <w:szCs w:val="36"/>
          <w:highlight w:val="none"/>
        </w:rPr>
        <w:t>第六章  图纸</w:t>
      </w:r>
      <w:bookmarkEnd w:id="1346"/>
      <w:bookmarkEnd w:id="1347"/>
      <w:bookmarkEnd w:id="1348"/>
    </w:p>
    <w:p w14:paraId="6BE294C5">
      <w:pPr>
        <w:spacing w:line="360" w:lineRule="auto"/>
        <w:ind w:right="561"/>
        <w:jc w:val="center"/>
        <w:rPr>
          <w:rFonts w:hint="eastAsia" w:ascii="宋体" w:hAnsi="宋体" w:eastAsia="宋体" w:cs="宋体"/>
          <w:color w:val="auto"/>
          <w:kern w:val="0"/>
          <w:sz w:val="24"/>
          <w:szCs w:val="24"/>
          <w:highlight w:val="none"/>
          <w:lang w:val="en-US" w:eastAsia="zh-CN" w:bidi="ar-SA"/>
        </w:rPr>
      </w:pPr>
      <w:bookmarkStart w:id="1349" w:name="_Toc430206084"/>
      <w:bookmarkStart w:id="1350" w:name="_Toc492244547"/>
      <w:r>
        <w:rPr>
          <w:rFonts w:hint="eastAsia" w:ascii="宋体" w:hAnsi="宋体" w:eastAsia="宋体" w:cs="宋体"/>
          <w:color w:val="auto"/>
          <w:kern w:val="0"/>
          <w:sz w:val="24"/>
          <w:szCs w:val="24"/>
          <w:highlight w:val="none"/>
          <w:lang w:val="en-US" w:eastAsia="zh-CN" w:bidi="ar-SA"/>
        </w:rPr>
        <w:t>本工程图纸为电子版，随本比选文件一起发布。</w:t>
      </w:r>
    </w:p>
    <w:p w14:paraId="2917E714">
      <w:pPr>
        <w:spacing w:line="360" w:lineRule="auto"/>
        <w:jc w:val="center"/>
        <w:rPr>
          <w:rFonts w:hint="eastAsia" w:ascii="方正仿宋_GBK" w:hAnsi="方正仿宋_GBK" w:eastAsia="方正仿宋_GBK" w:cs="方正仿宋_GBK"/>
          <w:b/>
          <w:color w:val="auto"/>
          <w:sz w:val="36"/>
          <w:szCs w:val="36"/>
          <w:highlight w:val="none"/>
        </w:rPr>
      </w:pPr>
      <w:r>
        <w:rPr>
          <w:rFonts w:hint="eastAsia" w:ascii="方正仿宋_GBK" w:hAnsi="方正仿宋_GBK" w:eastAsia="方正仿宋_GBK" w:cs="方正仿宋_GBK"/>
          <w:b/>
          <w:color w:val="auto"/>
          <w:sz w:val="36"/>
          <w:szCs w:val="36"/>
          <w:highlight w:val="none"/>
        </w:rPr>
        <w:br w:type="page"/>
      </w:r>
    </w:p>
    <w:p w14:paraId="21D23053">
      <w:pPr>
        <w:widowControl/>
        <w:snapToGrid w:val="0"/>
        <w:jc w:val="center"/>
        <w:outlineLvl w:val="9"/>
        <w:rPr>
          <w:rFonts w:hint="eastAsia" w:ascii="方正仿宋_GBK" w:hAnsi="方正仿宋_GBK" w:eastAsia="方正仿宋_GBK" w:cs="方正仿宋_GBK"/>
          <w:b/>
          <w:color w:val="auto"/>
          <w:sz w:val="36"/>
          <w:szCs w:val="36"/>
          <w:highlight w:val="none"/>
        </w:rPr>
      </w:pPr>
    </w:p>
    <w:p w14:paraId="31ABA464">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6"/>
          <w:szCs w:val="36"/>
          <w:highlight w:val="none"/>
        </w:rPr>
      </w:pPr>
      <w:bookmarkStart w:id="1351" w:name="_Toc23294"/>
      <w:r>
        <w:rPr>
          <w:rFonts w:hint="eastAsia" w:ascii="宋体" w:hAnsi="宋体" w:eastAsia="宋体" w:cs="宋体"/>
          <w:color w:val="auto"/>
          <w:kern w:val="0"/>
          <w:sz w:val="36"/>
          <w:szCs w:val="36"/>
          <w:highlight w:val="none"/>
        </w:rPr>
        <w:t>第七章  技术标准和要求</w:t>
      </w:r>
      <w:bookmarkEnd w:id="1349"/>
      <w:bookmarkEnd w:id="1350"/>
      <w:bookmarkEnd w:id="1351"/>
    </w:p>
    <w:p w14:paraId="6DBBEB34">
      <w:pPr>
        <w:pStyle w:val="2"/>
        <w:rPr>
          <w:rFonts w:hint="eastAsia" w:ascii="方正仿宋_GBK" w:hAnsi="方正仿宋_GBK" w:eastAsia="方正仿宋_GBK" w:cs="方正仿宋_GBK"/>
          <w:color w:val="auto"/>
          <w:sz w:val="24"/>
          <w:highlight w:val="none"/>
          <w:lang w:eastAsia="zh-CN"/>
        </w:rPr>
      </w:pPr>
      <w:bookmarkStart w:id="1352" w:name="_Toc430206085"/>
      <w:bookmarkStart w:id="1353" w:name="_Toc492244548"/>
      <w:r>
        <w:rPr>
          <w:rFonts w:hint="eastAsia" w:ascii="方正仿宋_GBK" w:hAnsi="方正仿宋_GBK" w:eastAsia="方正仿宋_GBK" w:cs="方正仿宋_GBK"/>
          <w:color w:val="auto"/>
          <w:sz w:val="24"/>
          <w:szCs w:val="24"/>
          <w:highlight w:val="none"/>
          <w:lang w:val="en-US" w:eastAsia="zh-CN"/>
        </w:rPr>
        <w:t xml:space="preserve"> </w:t>
      </w:r>
    </w:p>
    <w:p w14:paraId="48682838">
      <w:pPr>
        <w:pStyle w:val="2"/>
        <w:rPr>
          <w:rFonts w:hint="eastAsia" w:ascii="宋体" w:hAnsi="宋体" w:eastAsia="宋体" w:cs="宋体"/>
          <w:color w:val="auto"/>
          <w:sz w:val="24"/>
          <w:highlight w:val="none"/>
        </w:rPr>
      </w:pPr>
      <w:r>
        <w:rPr>
          <w:rFonts w:hint="eastAsia" w:ascii="宋体" w:hAnsi="宋体" w:eastAsia="宋体" w:cs="宋体"/>
          <w:szCs w:val="21"/>
          <w:lang w:val="en-US" w:eastAsia="zh-CN"/>
        </w:rPr>
        <w:t>具体技术标准和要求：详见施工图中相应的技术标准和要求。</w:t>
      </w:r>
    </w:p>
    <w:p w14:paraId="0E143E8E">
      <w:pPr>
        <w:rPr>
          <w:rFonts w:hint="eastAsia" w:ascii="宋体" w:hAnsi="宋体" w:eastAsia="宋体" w:cs="宋体"/>
          <w:color w:val="auto"/>
          <w:sz w:val="24"/>
          <w:highlight w:val="none"/>
        </w:rPr>
      </w:pPr>
    </w:p>
    <w:p w14:paraId="44F7645C">
      <w:pPr>
        <w:pStyle w:val="2"/>
        <w:rPr>
          <w:rFonts w:hint="eastAsia" w:ascii="方正仿宋_GBK" w:hAnsi="方正仿宋_GBK" w:eastAsia="方正仿宋_GBK" w:cs="方正仿宋_GBK"/>
          <w:color w:val="auto"/>
          <w:sz w:val="24"/>
          <w:highlight w:val="none"/>
        </w:rPr>
      </w:pPr>
    </w:p>
    <w:p w14:paraId="0A42C2DF">
      <w:pPr>
        <w:rPr>
          <w:rFonts w:hint="eastAsia" w:ascii="方正仿宋_GBK" w:hAnsi="方正仿宋_GBK" w:eastAsia="方正仿宋_GBK" w:cs="方正仿宋_GBK"/>
          <w:color w:val="auto"/>
          <w:sz w:val="24"/>
          <w:highlight w:val="none"/>
        </w:rPr>
      </w:pPr>
    </w:p>
    <w:p w14:paraId="4297BCDB">
      <w:pPr>
        <w:pStyle w:val="2"/>
        <w:rPr>
          <w:rFonts w:hint="eastAsia" w:ascii="方正仿宋_GBK" w:hAnsi="方正仿宋_GBK" w:eastAsia="方正仿宋_GBK" w:cs="方正仿宋_GBK"/>
          <w:color w:val="auto"/>
          <w:sz w:val="24"/>
          <w:highlight w:val="none"/>
        </w:rPr>
      </w:pPr>
    </w:p>
    <w:p w14:paraId="79012478">
      <w:pPr>
        <w:rPr>
          <w:rFonts w:hint="eastAsia" w:ascii="方正仿宋_GBK" w:hAnsi="方正仿宋_GBK" w:eastAsia="方正仿宋_GBK" w:cs="方正仿宋_GBK"/>
          <w:color w:val="auto"/>
          <w:sz w:val="24"/>
          <w:highlight w:val="none"/>
        </w:rPr>
      </w:pPr>
    </w:p>
    <w:p w14:paraId="7F3E5F28">
      <w:pPr>
        <w:pStyle w:val="2"/>
        <w:rPr>
          <w:rFonts w:hint="eastAsia" w:ascii="方正仿宋_GBK" w:hAnsi="方正仿宋_GBK" w:eastAsia="方正仿宋_GBK" w:cs="方正仿宋_GBK"/>
          <w:color w:val="auto"/>
          <w:sz w:val="24"/>
          <w:highlight w:val="none"/>
        </w:rPr>
      </w:pPr>
    </w:p>
    <w:p w14:paraId="58D351A5">
      <w:pPr>
        <w:rPr>
          <w:rFonts w:hint="eastAsia" w:ascii="方正仿宋_GBK" w:hAnsi="方正仿宋_GBK" w:eastAsia="方正仿宋_GBK" w:cs="方正仿宋_GBK"/>
          <w:color w:val="auto"/>
          <w:sz w:val="24"/>
          <w:highlight w:val="none"/>
        </w:rPr>
      </w:pPr>
    </w:p>
    <w:p w14:paraId="6D440277">
      <w:pPr>
        <w:pStyle w:val="2"/>
        <w:rPr>
          <w:rFonts w:hint="eastAsia" w:ascii="方正仿宋_GBK" w:hAnsi="方正仿宋_GBK" w:eastAsia="方正仿宋_GBK" w:cs="方正仿宋_GBK"/>
          <w:color w:val="auto"/>
          <w:sz w:val="24"/>
          <w:highlight w:val="none"/>
        </w:rPr>
      </w:pPr>
    </w:p>
    <w:p w14:paraId="10C74F29">
      <w:pPr>
        <w:rPr>
          <w:rFonts w:hint="eastAsia" w:ascii="方正仿宋_GBK" w:hAnsi="方正仿宋_GBK" w:eastAsia="方正仿宋_GBK" w:cs="方正仿宋_GBK"/>
          <w:color w:val="auto"/>
          <w:sz w:val="24"/>
          <w:highlight w:val="none"/>
        </w:rPr>
      </w:pPr>
    </w:p>
    <w:p w14:paraId="098DB7A1">
      <w:pPr>
        <w:pStyle w:val="2"/>
        <w:rPr>
          <w:rFonts w:hint="eastAsia" w:ascii="方正仿宋_GBK" w:hAnsi="方正仿宋_GBK" w:eastAsia="方正仿宋_GBK" w:cs="方正仿宋_GBK"/>
          <w:color w:val="auto"/>
          <w:sz w:val="24"/>
          <w:highlight w:val="none"/>
        </w:rPr>
      </w:pPr>
    </w:p>
    <w:p w14:paraId="3C57902D">
      <w:pPr>
        <w:rPr>
          <w:rFonts w:hint="eastAsia" w:ascii="方正仿宋_GBK" w:hAnsi="方正仿宋_GBK" w:eastAsia="方正仿宋_GBK" w:cs="方正仿宋_GBK"/>
          <w:color w:val="auto"/>
          <w:sz w:val="24"/>
          <w:highlight w:val="none"/>
        </w:rPr>
      </w:pPr>
    </w:p>
    <w:p w14:paraId="09BFF3FA">
      <w:pPr>
        <w:pStyle w:val="2"/>
        <w:rPr>
          <w:rFonts w:hint="eastAsia" w:ascii="方正仿宋_GBK" w:hAnsi="方正仿宋_GBK" w:eastAsia="方正仿宋_GBK" w:cs="方正仿宋_GBK"/>
          <w:color w:val="auto"/>
          <w:sz w:val="24"/>
          <w:highlight w:val="none"/>
        </w:rPr>
      </w:pPr>
    </w:p>
    <w:p w14:paraId="2BBFAA96">
      <w:pPr>
        <w:rPr>
          <w:rFonts w:hint="eastAsia" w:ascii="方正仿宋_GBK" w:hAnsi="方正仿宋_GBK" w:eastAsia="方正仿宋_GBK" w:cs="方正仿宋_GBK"/>
          <w:color w:val="auto"/>
          <w:sz w:val="24"/>
          <w:highlight w:val="none"/>
        </w:rPr>
      </w:pPr>
    </w:p>
    <w:p w14:paraId="3137AF20">
      <w:pPr>
        <w:pStyle w:val="2"/>
        <w:rPr>
          <w:rFonts w:hint="eastAsia" w:ascii="方正仿宋_GBK" w:hAnsi="方正仿宋_GBK" w:eastAsia="方正仿宋_GBK" w:cs="方正仿宋_GBK"/>
          <w:color w:val="auto"/>
          <w:sz w:val="24"/>
          <w:highlight w:val="none"/>
        </w:rPr>
      </w:pPr>
    </w:p>
    <w:p w14:paraId="3892583A">
      <w:pPr>
        <w:rPr>
          <w:rFonts w:hint="eastAsia" w:ascii="方正仿宋_GBK" w:hAnsi="方正仿宋_GBK" w:eastAsia="方正仿宋_GBK" w:cs="方正仿宋_GBK"/>
          <w:color w:val="auto"/>
          <w:sz w:val="24"/>
          <w:highlight w:val="none"/>
        </w:rPr>
      </w:pPr>
    </w:p>
    <w:p w14:paraId="4BFB8A48">
      <w:pPr>
        <w:pStyle w:val="2"/>
        <w:rPr>
          <w:rFonts w:hint="eastAsia" w:ascii="方正仿宋_GBK" w:hAnsi="方正仿宋_GBK" w:eastAsia="方正仿宋_GBK" w:cs="方正仿宋_GBK"/>
          <w:color w:val="auto"/>
          <w:sz w:val="24"/>
          <w:highlight w:val="none"/>
        </w:rPr>
      </w:pPr>
    </w:p>
    <w:p w14:paraId="540C2AD3">
      <w:pPr>
        <w:rPr>
          <w:rFonts w:hint="eastAsia" w:ascii="方正仿宋_GBK" w:hAnsi="方正仿宋_GBK" w:eastAsia="方正仿宋_GBK" w:cs="方正仿宋_GBK"/>
          <w:color w:val="auto"/>
          <w:sz w:val="24"/>
          <w:highlight w:val="none"/>
        </w:rPr>
      </w:pPr>
    </w:p>
    <w:p w14:paraId="3C0C6849">
      <w:pPr>
        <w:pStyle w:val="2"/>
        <w:rPr>
          <w:rFonts w:hint="eastAsia" w:ascii="方正仿宋_GBK" w:hAnsi="方正仿宋_GBK" w:eastAsia="方正仿宋_GBK" w:cs="方正仿宋_GBK"/>
          <w:color w:val="auto"/>
          <w:sz w:val="24"/>
          <w:highlight w:val="none"/>
        </w:rPr>
      </w:pPr>
    </w:p>
    <w:p w14:paraId="6321B3EC">
      <w:pPr>
        <w:rPr>
          <w:rFonts w:hint="eastAsia" w:ascii="方正仿宋_GBK" w:hAnsi="方正仿宋_GBK" w:eastAsia="方正仿宋_GBK" w:cs="方正仿宋_GBK"/>
          <w:color w:val="auto"/>
          <w:sz w:val="24"/>
          <w:highlight w:val="none"/>
        </w:rPr>
      </w:pPr>
    </w:p>
    <w:p w14:paraId="6B16C791">
      <w:pPr>
        <w:pStyle w:val="2"/>
        <w:rPr>
          <w:rFonts w:hint="eastAsia" w:ascii="方正仿宋_GBK" w:hAnsi="方正仿宋_GBK" w:eastAsia="方正仿宋_GBK" w:cs="方正仿宋_GBK"/>
          <w:color w:val="auto"/>
          <w:sz w:val="24"/>
          <w:highlight w:val="none"/>
        </w:rPr>
      </w:pPr>
    </w:p>
    <w:p w14:paraId="58AAA92A">
      <w:pPr>
        <w:rPr>
          <w:rFonts w:hint="eastAsia" w:ascii="方正仿宋_GBK" w:hAnsi="方正仿宋_GBK" w:eastAsia="方正仿宋_GBK" w:cs="方正仿宋_GBK"/>
          <w:color w:val="auto"/>
          <w:sz w:val="24"/>
          <w:highlight w:val="none"/>
        </w:rPr>
      </w:pPr>
    </w:p>
    <w:p w14:paraId="50477952">
      <w:pPr>
        <w:pStyle w:val="2"/>
        <w:rPr>
          <w:rFonts w:hint="eastAsia" w:ascii="方正仿宋_GBK" w:hAnsi="方正仿宋_GBK" w:eastAsia="方正仿宋_GBK" w:cs="方正仿宋_GBK"/>
          <w:color w:val="auto"/>
          <w:sz w:val="24"/>
          <w:highlight w:val="none"/>
        </w:rPr>
      </w:pPr>
    </w:p>
    <w:p w14:paraId="2C847057">
      <w:pPr>
        <w:rPr>
          <w:rFonts w:hint="eastAsia" w:ascii="方正仿宋_GBK" w:hAnsi="方正仿宋_GBK" w:eastAsia="方正仿宋_GBK" w:cs="方正仿宋_GBK"/>
          <w:color w:val="auto"/>
          <w:sz w:val="24"/>
          <w:highlight w:val="none"/>
        </w:rPr>
      </w:pPr>
    </w:p>
    <w:p w14:paraId="6F86506E">
      <w:pPr>
        <w:pStyle w:val="2"/>
        <w:rPr>
          <w:rFonts w:hint="eastAsia" w:ascii="方正仿宋_GBK" w:hAnsi="方正仿宋_GBK" w:eastAsia="方正仿宋_GBK" w:cs="方正仿宋_GBK"/>
          <w:color w:val="auto"/>
          <w:sz w:val="24"/>
          <w:highlight w:val="none"/>
        </w:rPr>
      </w:pPr>
    </w:p>
    <w:p w14:paraId="28BF40ED">
      <w:pPr>
        <w:rPr>
          <w:rFonts w:hint="eastAsia" w:ascii="方正仿宋_GBK" w:hAnsi="方正仿宋_GBK" w:eastAsia="方正仿宋_GBK" w:cs="方正仿宋_GBK"/>
          <w:color w:val="auto"/>
          <w:sz w:val="24"/>
          <w:highlight w:val="none"/>
        </w:rPr>
      </w:pPr>
    </w:p>
    <w:p w14:paraId="3D63B4EA">
      <w:pPr>
        <w:pStyle w:val="2"/>
        <w:rPr>
          <w:rFonts w:hint="eastAsia" w:ascii="方正仿宋_GBK" w:hAnsi="方正仿宋_GBK" w:eastAsia="方正仿宋_GBK" w:cs="方正仿宋_GBK"/>
          <w:color w:val="auto"/>
          <w:sz w:val="24"/>
          <w:highlight w:val="none"/>
        </w:rPr>
      </w:pPr>
    </w:p>
    <w:p w14:paraId="28C69FD3">
      <w:pPr>
        <w:rPr>
          <w:rFonts w:hint="eastAsia" w:ascii="方正仿宋_GBK" w:hAnsi="方正仿宋_GBK" w:eastAsia="方正仿宋_GBK" w:cs="方正仿宋_GBK"/>
          <w:color w:val="auto"/>
          <w:sz w:val="24"/>
          <w:highlight w:val="none"/>
        </w:rPr>
      </w:pPr>
    </w:p>
    <w:p w14:paraId="51231243">
      <w:pPr>
        <w:pStyle w:val="2"/>
        <w:rPr>
          <w:rFonts w:hint="eastAsia" w:ascii="方正仿宋_GBK" w:hAnsi="方正仿宋_GBK" w:eastAsia="方正仿宋_GBK" w:cs="方正仿宋_GBK"/>
          <w:color w:val="auto"/>
          <w:sz w:val="24"/>
          <w:highlight w:val="none"/>
        </w:rPr>
      </w:pPr>
    </w:p>
    <w:p w14:paraId="646530E5">
      <w:pPr>
        <w:rPr>
          <w:rFonts w:hint="eastAsia" w:ascii="方正仿宋_GBK" w:hAnsi="方正仿宋_GBK" w:eastAsia="方正仿宋_GBK" w:cs="方正仿宋_GBK"/>
          <w:color w:val="auto"/>
          <w:sz w:val="24"/>
          <w:highlight w:val="none"/>
        </w:rPr>
      </w:pPr>
    </w:p>
    <w:p w14:paraId="28CCA7A9">
      <w:pPr>
        <w:pStyle w:val="2"/>
        <w:rPr>
          <w:rFonts w:hint="eastAsia" w:ascii="方正仿宋_GBK" w:hAnsi="方正仿宋_GBK" w:eastAsia="方正仿宋_GBK" w:cs="方正仿宋_GBK"/>
          <w:color w:val="auto"/>
          <w:sz w:val="24"/>
          <w:highlight w:val="none"/>
        </w:rPr>
      </w:pPr>
    </w:p>
    <w:p w14:paraId="676E3CC4">
      <w:pPr>
        <w:rPr>
          <w:rFonts w:hint="eastAsia" w:ascii="方正仿宋_GBK" w:hAnsi="方正仿宋_GBK" w:eastAsia="方正仿宋_GBK" w:cs="方正仿宋_GBK"/>
          <w:color w:val="auto"/>
          <w:sz w:val="24"/>
          <w:highlight w:val="none"/>
        </w:rPr>
      </w:pPr>
    </w:p>
    <w:p w14:paraId="03DA8BC1">
      <w:pPr>
        <w:pStyle w:val="2"/>
        <w:rPr>
          <w:rFonts w:hint="eastAsia"/>
        </w:rPr>
      </w:pPr>
    </w:p>
    <w:p w14:paraId="31B48063">
      <w:pPr>
        <w:pStyle w:val="2"/>
        <w:rPr>
          <w:rFonts w:hint="eastAsia" w:ascii="方正仿宋_GBK" w:hAnsi="方正仿宋_GBK" w:eastAsia="方正仿宋_GBK" w:cs="方正仿宋_GBK"/>
          <w:color w:val="auto"/>
          <w:sz w:val="24"/>
          <w:highlight w:val="none"/>
        </w:rPr>
      </w:pPr>
    </w:p>
    <w:p w14:paraId="6FFC4D52">
      <w:pPr>
        <w:rPr>
          <w:rFonts w:hint="eastAsia" w:ascii="方正仿宋_GBK" w:hAnsi="方正仿宋_GBK" w:eastAsia="方正仿宋_GBK" w:cs="方正仿宋_GBK"/>
          <w:color w:val="auto"/>
          <w:sz w:val="24"/>
          <w:highlight w:val="none"/>
        </w:rPr>
      </w:pPr>
    </w:p>
    <w:p w14:paraId="69913409">
      <w:pPr>
        <w:pStyle w:val="2"/>
        <w:rPr>
          <w:rFonts w:hint="eastAsia" w:ascii="方正仿宋_GBK" w:hAnsi="方正仿宋_GBK" w:eastAsia="方正仿宋_GBK" w:cs="方正仿宋_GBK"/>
          <w:color w:val="auto"/>
          <w:sz w:val="24"/>
          <w:highlight w:val="none"/>
        </w:rPr>
      </w:pPr>
    </w:p>
    <w:p w14:paraId="624E7C07">
      <w:pPr>
        <w:pStyle w:val="3"/>
        <w:keepNext w:val="0"/>
        <w:keepLines w:val="0"/>
        <w:tabs>
          <w:tab w:val="left" w:pos="0"/>
        </w:tabs>
        <w:wordWrap w:val="0"/>
        <w:autoSpaceDE w:val="0"/>
        <w:autoSpaceDN w:val="0"/>
        <w:snapToGrid w:val="0"/>
        <w:spacing w:before="0" w:after="0" w:line="288" w:lineRule="auto"/>
        <w:jc w:val="center"/>
        <w:rPr>
          <w:rFonts w:hint="eastAsia" w:ascii="宋体" w:hAnsi="宋体" w:eastAsia="宋体" w:cs="宋体"/>
          <w:color w:val="auto"/>
          <w:kern w:val="0"/>
          <w:sz w:val="36"/>
          <w:szCs w:val="36"/>
          <w:highlight w:val="none"/>
        </w:rPr>
      </w:pPr>
      <w:bookmarkStart w:id="1354" w:name="_Toc6967"/>
      <w:r>
        <w:rPr>
          <w:rFonts w:hint="eastAsia" w:ascii="宋体" w:hAnsi="宋体" w:eastAsia="宋体" w:cs="宋体"/>
          <w:color w:val="auto"/>
          <w:kern w:val="0"/>
          <w:sz w:val="36"/>
          <w:szCs w:val="36"/>
          <w:highlight w:val="none"/>
        </w:rPr>
        <w:t xml:space="preserve">第八章  </w:t>
      </w:r>
      <w:r>
        <w:rPr>
          <w:rFonts w:hint="eastAsia" w:ascii="宋体" w:hAnsi="宋体" w:cs="宋体"/>
          <w:color w:val="auto"/>
          <w:kern w:val="0"/>
          <w:sz w:val="36"/>
          <w:szCs w:val="36"/>
          <w:highlight w:val="none"/>
          <w:lang w:eastAsia="zh-CN"/>
        </w:rPr>
        <w:t>竞标文件</w:t>
      </w:r>
      <w:r>
        <w:rPr>
          <w:rFonts w:hint="eastAsia" w:ascii="宋体" w:hAnsi="宋体" w:eastAsia="宋体" w:cs="宋体"/>
          <w:color w:val="auto"/>
          <w:kern w:val="0"/>
          <w:sz w:val="36"/>
          <w:szCs w:val="36"/>
          <w:highlight w:val="none"/>
        </w:rPr>
        <w:t>格式</w:t>
      </w:r>
      <w:bookmarkEnd w:id="1352"/>
      <w:bookmarkEnd w:id="1353"/>
      <w:bookmarkEnd w:id="1354"/>
    </w:p>
    <w:p w14:paraId="1048579A">
      <w:pPr>
        <w:jc w:val="center"/>
        <w:rPr>
          <w:rFonts w:hint="eastAsia" w:ascii="宋体" w:hAnsi="宋体" w:eastAsia="宋体" w:cs="宋体"/>
          <w:b/>
          <w:bCs/>
          <w:color w:val="auto"/>
          <w:sz w:val="24"/>
          <w:highlight w:val="none"/>
        </w:rPr>
      </w:pPr>
    </w:p>
    <w:p w14:paraId="0DBBDD8A">
      <w:pPr>
        <w:jc w:val="center"/>
        <w:outlineLvl w:val="0"/>
        <w:rPr>
          <w:rFonts w:hint="eastAsia" w:ascii="宋体" w:hAnsi="宋体" w:eastAsia="宋体" w:cs="宋体"/>
          <w:b/>
          <w:bCs/>
          <w:color w:val="auto"/>
          <w:sz w:val="24"/>
          <w:highlight w:val="none"/>
        </w:rPr>
      </w:pPr>
      <w:bookmarkStart w:id="1355" w:name="_Toc18237"/>
      <w:bookmarkStart w:id="1356" w:name="_Toc19234"/>
      <w:r>
        <w:rPr>
          <w:rFonts w:hint="eastAsia" w:ascii="宋体" w:hAnsi="宋体" w:eastAsia="宋体" w:cs="宋体"/>
          <w:b/>
          <w:bCs/>
          <w:color w:val="auto"/>
          <w:sz w:val="24"/>
          <w:highlight w:val="none"/>
        </w:rPr>
        <w:t>目    录</w:t>
      </w:r>
      <w:bookmarkEnd w:id="1355"/>
      <w:bookmarkEnd w:id="1356"/>
    </w:p>
    <w:p w14:paraId="6D134770">
      <w:pPr>
        <w:autoSpaceDE w:val="0"/>
        <w:autoSpaceDN w:val="0"/>
        <w:snapToGrid w:val="0"/>
        <w:spacing w:line="360" w:lineRule="auto"/>
        <w:jc w:val="left"/>
        <w:rPr>
          <w:rFonts w:hint="eastAsia" w:ascii="宋体" w:hAnsi="宋体" w:eastAsia="宋体" w:cs="宋体"/>
          <w:b/>
          <w:color w:val="auto"/>
          <w:sz w:val="24"/>
          <w:highlight w:val="none"/>
        </w:rPr>
      </w:pPr>
    </w:p>
    <w:p w14:paraId="7E1BA06F">
      <w:pPr>
        <w:autoSpaceDE w:val="0"/>
        <w:autoSpaceDN w:val="0"/>
        <w:snapToGrid w:val="0"/>
        <w:spacing w:line="360" w:lineRule="auto"/>
        <w:jc w:val="left"/>
        <w:outlineLvl w:val="0"/>
        <w:rPr>
          <w:rFonts w:hint="eastAsia" w:ascii="宋体" w:hAnsi="宋体" w:eastAsia="宋体" w:cs="宋体"/>
          <w:b/>
          <w:color w:val="auto"/>
          <w:sz w:val="21"/>
          <w:szCs w:val="21"/>
          <w:highlight w:val="none"/>
        </w:rPr>
      </w:pPr>
      <w:bookmarkStart w:id="1357" w:name="_Toc15621"/>
      <w:bookmarkStart w:id="1358" w:name="_Toc11657"/>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竞标</w:t>
      </w:r>
      <w:r>
        <w:rPr>
          <w:rFonts w:hint="eastAsia" w:ascii="宋体" w:hAnsi="宋体" w:eastAsia="宋体" w:cs="宋体"/>
          <w:b/>
          <w:color w:val="auto"/>
          <w:sz w:val="21"/>
          <w:szCs w:val="21"/>
          <w:highlight w:val="none"/>
        </w:rPr>
        <w:t>函部分</w:t>
      </w:r>
      <w:bookmarkEnd w:id="1357"/>
      <w:bookmarkEnd w:id="1358"/>
    </w:p>
    <w:p w14:paraId="5A48158D">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函</w:t>
      </w:r>
    </w:p>
    <w:p w14:paraId="4EE9BDD3">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kern w:val="0"/>
          <w:sz w:val="21"/>
          <w:szCs w:val="21"/>
          <w:highlight w:val="none"/>
          <w:lang w:val="en-US" w:eastAsia="zh-CN" w:bidi="ar-SA"/>
        </w:rPr>
        <w:t>竞标函附录</w:t>
      </w:r>
    </w:p>
    <w:p w14:paraId="055C8F7B">
      <w:pPr>
        <w:autoSpaceDE w:val="0"/>
        <w:autoSpaceDN w:val="0"/>
        <w:spacing w:line="360" w:lineRule="auto"/>
        <w:ind w:right="-2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sz w:val="21"/>
          <w:szCs w:val="21"/>
          <w:highlight w:val="none"/>
        </w:rPr>
        <w:t>法定代表人身份证明及授权委托书</w:t>
      </w:r>
    </w:p>
    <w:p w14:paraId="281348C3">
      <w:pPr>
        <w:autoSpaceDE w:val="0"/>
        <w:autoSpaceDN w:val="0"/>
        <w:snapToGrid w:val="0"/>
        <w:spacing w:line="360" w:lineRule="auto"/>
        <w:jc w:val="left"/>
        <w:outlineLvl w:val="0"/>
        <w:rPr>
          <w:rFonts w:hint="eastAsia" w:ascii="宋体" w:hAnsi="宋体" w:eastAsia="宋体" w:cs="宋体"/>
          <w:b/>
          <w:color w:val="auto"/>
          <w:sz w:val="21"/>
          <w:szCs w:val="21"/>
          <w:highlight w:val="none"/>
        </w:rPr>
      </w:pPr>
      <w:bookmarkStart w:id="1359" w:name="_Toc27200"/>
      <w:bookmarkStart w:id="1360" w:name="_Toc11442"/>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经济</w:t>
      </w:r>
      <w:r>
        <w:rPr>
          <w:rFonts w:hint="eastAsia" w:ascii="宋体" w:hAnsi="宋体" w:eastAsia="宋体" w:cs="宋体"/>
          <w:b/>
          <w:color w:val="auto"/>
          <w:sz w:val="21"/>
          <w:szCs w:val="21"/>
          <w:highlight w:val="none"/>
        </w:rPr>
        <w:t>部分</w:t>
      </w:r>
      <w:bookmarkEnd w:id="1359"/>
      <w:bookmarkEnd w:id="1360"/>
    </w:p>
    <w:p w14:paraId="3AF5766B">
      <w:pPr>
        <w:autoSpaceDE w:val="0"/>
        <w:autoSpaceDN w:val="0"/>
        <w:spacing w:line="360" w:lineRule="auto"/>
        <w:ind w:right="-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（一）已标价工程量清单</w:t>
      </w:r>
    </w:p>
    <w:p w14:paraId="2A23DC20">
      <w:pPr>
        <w:autoSpaceDE w:val="0"/>
        <w:autoSpaceDN w:val="0"/>
        <w:snapToGrid w:val="0"/>
        <w:spacing w:line="360" w:lineRule="auto"/>
        <w:jc w:val="left"/>
        <w:outlineLvl w:val="0"/>
        <w:rPr>
          <w:rFonts w:hint="eastAsia" w:ascii="宋体" w:hAnsi="宋体" w:eastAsia="宋体" w:cs="宋体"/>
          <w:b/>
          <w:color w:val="auto"/>
          <w:sz w:val="21"/>
          <w:szCs w:val="21"/>
          <w:highlight w:val="none"/>
        </w:rPr>
      </w:pPr>
      <w:bookmarkStart w:id="1361" w:name="_Toc6454"/>
      <w:bookmarkStart w:id="1362" w:name="_Toc30686"/>
      <w:r>
        <w:rPr>
          <w:rFonts w:hint="eastAsia" w:ascii="宋体" w:hAnsi="宋体" w:eastAsia="宋体" w:cs="宋体"/>
          <w:b/>
          <w:color w:val="auto"/>
          <w:sz w:val="21"/>
          <w:szCs w:val="21"/>
          <w:highlight w:val="none"/>
        </w:rPr>
        <w:t>三、资格审查资料</w:t>
      </w:r>
      <w:bookmarkEnd w:id="1361"/>
      <w:bookmarkEnd w:id="1362"/>
    </w:p>
    <w:p w14:paraId="286E0B5B">
      <w:pPr>
        <w:autoSpaceDE w:val="0"/>
        <w:autoSpaceDN w:val="0"/>
        <w:spacing w:line="360" w:lineRule="auto"/>
        <w:ind w:right="-20"/>
        <w:jc w:val="left"/>
        <w:rPr>
          <w:rFonts w:hint="eastAsia" w:ascii="宋体" w:hAnsi="宋体" w:eastAsia="宋体" w:cs="宋体"/>
          <w:color w:val="auto"/>
          <w:sz w:val="21"/>
          <w:szCs w:val="21"/>
          <w:highlight w:val="none"/>
        </w:rPr>
      </w:pPr>
      <w:bookmarkStart w:id="1363" w:name="_Toc492244549"/>
      <w:bookmarkStart w:id="1364" w:name="_Toc430206086"/>
      <w:r>
        <w:rPr>
          <w:rFonts w:hint="eastAsia" w:ascii="宋体" w:hAnsi="宋体" w:eastAsia="宋体" w:cs="宋体"/>
          <w:color w:val="auto"/>
          <w:sz w:val="21"/>
          <w:szCs w:val="21"/>
          <w:highlight w:val="none"/>
        </w:rPr>
        <w:t>（一）法定代表人身份证明或附有法定代表人身份证明的授权委托书</w:t>
      </w:r>
    </w:p>
    <w:p w14:paraId="07194CB7">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基本情况表</w:t>
      </w:r>
    </w:p>
    <w:p w14:paraId="3FDEEE1C">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）承诺</w:t>
      </w:r>
    </w:p>
    <w:p w14:paraId="1106044A">
      <w:pPr>
        <w:autoSpaceDE w:val="0"/>
        <w:autoSpaceDN w:val="0"/>
        <w:snapToGrid w:val="0"/>
        <w:spacing w:line="360" w:lineRule="auto"/>
        <w:jc w:val="left"/>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）其他资料</w:t>
      </w:r>
    </w:p>
    <w:p w14:paraId="20D5BBBE">
      <w:pPr>
        <w:autoSpaceDE w:val="0"/>
        <w:autoSpaceDN w:val="0"/>
        <w:snapToGrid w:val="0"/>
        <w:spacing w:line="360" w:lineRule="auto"/>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四、技术部分</w:t>
      </w:r>
    </w:p>
    <w:p w14:paraId="11357937">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w:t>
      </w:r>
    </w:p>
    <w:p w14:paraId="60950408">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拟投入本标段的主要施工设备表</w:t>
      </w:r>
    </w:p>
    <w:p w14:paraId="30CFC9AC">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拟配备本标段的试验和检测仪器设备表</w:t>
      </w:r>
    </w:p>
    <w:p w14:paraId="39999FED">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36F2E161">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182A5884">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20E500FC">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47002643">
      <w:pPr>
        <w:pStyle w:val="2"/>
        <w:rPr>
          <w:rFonts w:hint="eastAsia"/>
        </w:rPr>
      </w:pPr>
    </w:p>
    <w:p w14:paraId="5B035276">
      <w:pPr>
        <w:tabs>
          <w:tab w:val="left" w:pos="2000"/>
          <w:tab w:val="left" w:pos="5580"/>
          <w:tab w:val="left" w:pos="6220"/>
          <w:tab w:val="left" w:pos="6840"/>
          <w:tab w:val="left" w:pos="7460"/>
          <w:tab w:val="left" w:pos="8100"/>
        </w:tabs>
        <w:autoSpaceDE w:val="0"/>
        <w:autoSpaceDN w:val="0"/>
        <w:snapToGrid w:val="0"/>
        <w:spacing w:line="360" w:lineRule="auto"/>
        <w:ind w:firstLine="640" w:firstLineChars="200"/>
        <w:outlineLvl w:val="0"/>
        <w:rPr>
          <w:rFonts w:hint="eastAsia" w:ascii="宋体" w:hAnsi="宋体" w:eastAsia="宋体" w:cs="宋体"/>
          <w:b/>
          <w:bCs/>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 xml:space="preserve">    </w:t>
      </w:r>
      <w:r>
        <w:rPr>
          <w:rFonts w:hint="eastAsia" w:ascii="宋体" w:hAnsi="宋体" w:eastAsia="宋体" w:cs="宋体"/>
          <w:color w:val="auto"/>
          <w:highlight w:val="none"/>
        </w:rPr>
        <w:t xml:space="preserve">     </w:t>
      </w:r>
      <w:bookmarkStart w:id="1365" w:name="_Toc15892"/>
      <w:r>
        <w:rPr>
          <w:rFonts w:hint="eastAsia" w:ascii="宋体" w:hAnsi="宋体" w:eastAsia="宋体" w:cs="宋体"/>
          <w:b/>
          <w:bCs/>
          <w:color w:val="auto"/>
          <w:highlight w:val="none"/>
        </w:rPr>
        <w:t>一、</w:t>
      </w:r>
      <w:r>
        <w:rPr>
          <w:rFonts w:hint="eastAsia" w:ascii="宋体" w:hAnsi="宋体" w:eastAsia="宋体" w:cs="宋体"/>
          <w:b/>
          <w:bCs/>
          <w:color w:val="auto"/>
          <w:highlight w:val="none"/>
          <w:lang w:val="en-US" w:eastAsia="zh-CN"/>
        </w:rPr>
        <w:t>竞标</w:t>
      </w:r>
      <w:r>
        <w:rPr>
          <w:rFonts w:hint="eastAsia" w:ascii="宋体" w:hAnsi="宋体" w:eastAsia="宋体" w:cs="宋体"/>
          <w:b/>
          <w:bCs/>
          <w:color w:val="auto"/>
          <w:highlight w:val="none"/>
        </w:rPr>
        <w:t>函部分</w:t>
      </w:r>
      <w:bookmarkEnd w:id="1363"/>
      <w:bookmarkEnd w:id="1364"/>
      <w:bookmarkEnd w:id="1365"/>
    </w:p>
    <w:p w14:paraId="4E313F10">
      <w:pPr>
        <w:tabs>
          <w:tab w:val="left" w:pos="2000"/>
          <w:tab w:val="left" w:pos="5580"/>
          <w:tab w:val="left" w:pos="6220"/>
          <w:tab w:val="left" w:pos="6840"/>
          <w:tab w:val="left" w:pos="7460"/>
          <w:tab w:val="left" w:pos="8100"/>
        </w:tabs>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u w:val="single"/>
        </w:rPr>
        <w:br w:type="page"/>
      </w:r>
      <w:r>
        <w:rPr>
          <w:rFonts w:hint="eastAsia" w:ascii="方正仿宋_GBK" w:hAnsi="方正仿宋_GBK" w:eastAsia="方正仿宋_GBK" w:cs="方正仿宋_GBK"/>
          <w:b/>
          <w:color w:val="auto"/>
          <w:w w:val="99"/>
          <w:sz w:val="28"/>
          <w:szCs w:val="28"/>
          <w:highlight w:val="none"/>
          <w:u w:val="single"/>
        </w:rPr>
        <w:t xml:space="preserve">                               </w:t>
      </w:r>
      <w:r>
        <w:rPr>
          <w:rFonts w:hint="eastAsia" w:ascii="方正仿宋_GBK" w:hAnsi="方正仿宋_GBK" w:eastAsia="方正仿宋_GBK" w:cs="方正仿宋_GBK"/>
          <w:b/>
          <w:color w:val="auto"/>
          <w:w w:val="99"/>
          <w:sz w:val="28"/>
          <w:szCs w:val="28"/>
          <w:highlight w:val="none"/>
        </w:rPr>
        <w:t>（项目名称</w:t>
      </w:r>
      <w:r>
        <w:rPr>
          <w:rFonts w:hint="eastAsia" w:ascii="方正仿宋_GBK" w:hAnsi="方正仿宋_GBK" w:eastAsia="方正仿宋_GBK" w:cs="方正仿宋_GBK"/>
          <w:b/>
          <w:color w:val="auto"/>
          <w:spacing w:val="1"/>
          <w:w w:val="99"/>
          <w:sz w:val="28"/>
          <w:szCs w:val="28"/>
          <w:highlight w:val="none"/>
        </w:rPr>
        <w:t>）</w:t>
      </w:r>
    </w:p>
    <w:p w14:paraId="1F86FAD6">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rPr>
        <w:t xml:space="preserve">          </w:t>
      </w:r>
    </w:p>
    <w:p w14:paraId="70E7191D">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49914984">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046E6AB8">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736C7F19">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2F8E7F07">
      <w:pPr>
        <w:tabs>
          <w:tab w:val="left" w:pos="3600"/>
          <w:tab w:val="left" w:pos="4480"/>
          <w:tab w:val="left" w:pos="5360"/>
        </w:tabs>
        <w:autoSpaceDE w:val="0"/>
        <w:autoSpaceDN w:val="0"/>
        <w:snapToGrid w:val="0"/>
        <w:spacing w:line="360" w:lineRule="auto"/>
        <w:jc w:val="center"/>
        <w:rPr>
          <w:rFonts w:hint="eastAsia"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竞标文件</w:t>
      </w:r>
    </w:p>
    <w:p w14:paraId="662546A5">
      <w:pPr>
        <w:autoSpaceDE w:val="0"/>
        <w:autoSpaceDN w:val="0"/>
        <w:snapToGrid w:val="0"/>
        <w:spacing w:line="360" w:lineRule="auto"/>
        <w:jc w:val="left"/>
        <w:rPr>
          <w:rFonts w:hint="eastAsia" w:ascii="宋体" w:hAnsi="宋体" w:eastAsia="宋体" w:cs="宋体"/>
          <w:color w:val="auto"/>
          <w:sz w:val="16"/>
          <w:szCs w:val="16"/>
          <w:highlight w:val="none"/>
        </w:rPr>
      </w:pPr>
    </w:p>
    <w:p w14:paraId="230CB418">
      <w:pPr>
        <w:autoSpaceDE w:val="0"/>
        <w:autoSpaceDN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竞标</w:t>
      </w:r>
      <w:r>
        <w:rPr>
          <w:rFonts w:hint="eastAsia" w:ascii="宋体" w:hAnsi="宋体" w:eastAsia="宋体" w:cs="宋体"/>
          <w:b/>
          <w:color w:val="auto"/>
          <w:sz w:val="36"/>
          <w:szCs w:val="36"/>
          <w:highlight w:val="none"/>
        </w:rPr>
        <w:t>函部分</w:t>
      </w:r>
    </w:p>
    <w:p w14:paraId="19DB254B">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0C8078AE">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1483050F">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0F9E1356">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2926E022">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1B163E8D">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01667A28">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5B0CC429">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0D8A3AC9">
      <w:pPr>
        <w:autoSpaceDE w:val="0"/>
        <w:autoSpaceDN w:val="0"/>
        <w:snapToGrid w:val="0"/>
        <w:spacing w:line="360" w:lineRule="auto"/>
        <w:jc w:val="left"/>
        <w:rPr>
          <w:rFonts w:hint="eastAsia" w:ascii="宋体" w:hAnsi="宋体" w:eastAsia="宋体" w:cs="宋体"/>
          <w:b/>
          <w:color w:val="auto"/>
          <w:sz w:val="20"/>
          <w:szCs w:val="20"/>
          <w:highlight w:val="none"/>
        </w:rPr>
      </w:pPr>
    </w:p>
    <w:p w14:paraId="0325A9DD">
      <w:pPr>
        <w:tabs>
          <w:tab w:val="left" w:pos="6080"/>
          <w:tab w:val="left" w:pos="6640"/>
        </w:tabs>
        <w:autoSpaceDE w:val="0"/>
        <w:autoSpaceDN w:val="0"/>
        <w:snapToGrid w:val="0"/>
        <w:spacing w:line="360" w:lineRule="auto"/>
        <w:jc w:val="center"/>
        <w:rPr>
          <w:rFonts w:hint="eastAsia" w:ascii="宋体" w:hAnsi="宋体" w:eastAsia="宋体" w:cs="宋体"/>
          <w:b/>
          <w:color w:val="auto"/>
          <w:w w:val="99"/>
          <w:sz w:val="28"/>
          <w:szCs w:val="28"/>
          <w:highlight w:val="none"/>
        </w:rPr>
      </w:pPr>
      <w:r>
        <w:rPr>
          <w:rFonts w:hint="eastAsia" w:ascii="宋体" w:hAnsi="宋体" w:eastAsia="宋体" w:cs="宋体"/>
          <w:b/>
          <w:color w:val="auto"/>
          <w:w w:val="99"/>
          <w:sz w:val="28"/>
          <w:szCs w:val="28"/>
          <w:highlight w:val="none"/>
          <w:lang w:eastAsia="zh-CN"/>
        </w:rPr>
        <w:t>竞标人</w:t>
      </w:r>
      <w:r>
        <w:rPr>
          <w:rFonts w:hint="eastAsia" w:ascii="宋体" w:hAnsi="宋体" w:eastAsia="宋体" w:cs="宋体"/>
          <w:b/>
          <w:color w:val="auto"/>
          <w:spacing w:val="1"/>
          <w:w w:val="99"/>
          <w:sz w:val="28"/>
          <w:szCs w:val="28"/>
          <w:highlight w:val="none"/>
        </w:rPr>
        <w:t>：</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（盖单位法人章）</w:t>
      </w:r>
    </w:p>
    <w:p w14:paraId="4FD1E891">
      <w:pPr>
        <w:tabs>
          <w:tab w:val="left" w:pos="6080"/>
          <w:tab w:val="left" w:pos="6640"/>
        </w:tabs>
        <w:autoSpaceDE w:val="0"/>
        <w:autoSpaceDN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w w:val="99"/>
          <w:sz w:val="28"/>
          <w:szCs w:val="28"/>
          <w:highlight w:val="none"/>
        </w:rPr>
        <w:t>法定代表人或其委托代理人：</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（签字或盖章）</w:t>
      </w:r>
    </w:p>
    <w:p w14:paraId="52CEB02F">
      <w:pPr>
        <w:tabs>
          <w:tab w:val="left" w:pos="3280"/>
          <w:tab w:val="left" w:pos="4680"/>
          <w:tab w:val="left" w:pos="6080"/>
        </w:tabs>
        <w:autoSpaceDE w:val="0"/>
        <w:autoSpaceDN w:val="0"/>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b/>
          <w:color w:val="auto"/>
          <w:w w:val="99"/>
          <w:sz w:val="28"/>
          <w:szCs w:val="28"/>
          <w:highlight w:val="none"/>
          <w:u w:val="single"/>
        </w:rPr>
        <w:t xml:space="preserve">     　</w:t>
      </w:r>
      <w:r>
        <w:rPr>
          <w:rFonts w:hint="eastAsia" w:ascii="宋体" w:hAnsi="宋体" w:eastAsia="宋体" w:cs="宋体"/>
          <w:b/>
          <w:color w:val="auto"/>
          <w:w w:val="99"/>
          <w:sz w:val="28"/>
          <w:szCs w:val="28"/>
          <w:highlight w:val="none"/>
        </w:rPr>
        <w:t>年</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月</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日</w:t>
      </w:r>
    </w:p>
    <w:p w14:paraId="749AD2F6">
      <w:pPr>
        <w:autoSpaceDE w:val="0"/>
        <w:autoSpaceDN w:val="0"/>
        <w:snapToGrid w:val="0"/>
        <w:spacing w:line="360" w:lineRule="auto"/>
        <w:jc w:val="center"/>
        <w:rPr>
          <w:rFonts w:hint="eastAsia" w:ascii="宋体" w:hAnsi="宋体" w:eastAsia="宋体" w:cs="宋体"/>
          <w:b/>
          <w:bCs/>
          <w:color w:val="auto"/>
          <w:sz w:val="24"/>
          <w:szCs w:val="24"/>
          <w:highlight w:val="none"/>
        </w:rPr>
      </w:pPr>
      <w:r>
        <w:rPr>
          <w:rFonts w:hint="eastAsia" w:ascii="方正仿宋_GBK" w:hAnsi="方正仿宋_GBK" w:eastAsia="方正仿宋_GBK" w:cs="方正仿宋_GBK"/>
          <w:b/>
          <w:color w:val="auto"/>
          <w:highlight w:val="none"/>
        </w:rPr>
        <w:br w:type="page"/>
      </w:r>
      <w:r>
        <w:rPr>
          <w:rFonts w:hint="eastAsia" w:ascii="宋体" w:hAnsi="宋体" w:eastAsia="宋体" w:cs="宋体"/>
          <w:b/>
          <w:bCs/>
          <w:color w:val="auto"/>
          <w:sz w:val="24"/>
          <w:szCs w:val="24"/>
          <w:highlight w:val="none"/>
        </w:rPr>
        <w:t>目     录</w:t>
      </w:r>
    </w:p>
    <w:p w14:paraId="356BD9E4">
      <w:pPr>
        <w:autoSpaceDE w:val="0"/>
        <w:autoSpaceDN w:val="0"/>
        <w:snapToGrid w:val="0"/>
        <w:spacing w:line="360" w:lineRule="auto"/>
        <w:jc w:val="left"/>
        <w:rPr>
          <w:rFonts w:hint="eastAsia" w:ascii="宋体" w:hAnsi="宋体" w:eastAsia="宋体" w:cs="宋体"/>
          <w:color w:val="auto"/>
          <w:sz w:val="24"/>
          <w:szCs w:val="24"/>
          <w:highlight w:val="none"/>
        </w:rPr>
      </w:pPr>
    </w:p>
    <w:p w14:paraId="6A810FDD">
      <w:pPr>
        <w:autoSpaceDE w:val="0"/>
        <w:autoSpaceDN w:val="0"/>
        <w:spacing w:line="360" w:lineRule="auto"/>
        <w:ind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函</w:t>
      </w:r>
    </w:p>
    <w:p w14:paraId="36EB1C8D">
      <w:pPr>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竞标</w:t>
      </w:r>
      <w:r>
        <w:rPr>
          <w:rFonts w:hint="eastAsia" w:ascii="宋体" w:hAnsi="宋体" w:eastAsia="宋体" w:cs="宋体"/>
          <w:kern w:val="0"/>
          <w:sz w:val="21"/>
          <w:szCs w:val="21"/>
        </w:rPr>
        <w:t>函附录</w:t>
      </w:r>
    </w:p>
    <w:p w14:paraId="17CD70EB">
      <w:pPr>
        <w:autoSpaceDE w:val="0"/>
        <w:autoSpaceDN w:val="0"/>
        <w:spacing w:line="360" w:lineRule="auto"/>
        <w:ind w:left="31680" w:right="-20"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法定代表人身份证明及授权委托书</w:t>
      </w:r>
    </w:p>
    <w:p w14:paraId="6A7FC1CA">
      <w:pPr>
        <w:autoSpaceDE w:val="0"/>
        <w:autoSpaceDN w:val="0"/>
        <w:spacing w:line="360" w:lineRule="auto"/>
        <w:ind w:right="-23"/>
        <w:jc w:val="center"/>
        <w:outlineLvl w:val="9"/>
        <w:rPr>
          <w:rFonts w:hint="eastAsia" w:ascii="方正仿宋_GBK" w:hAnsi="方正仿宋_GBK" w:eastAsia="方正仿宋_GBK" w:cs="方正仿宋_GBK"/>
          <w:b/>
          <w:bCs/>
          <w:color w:val="auto"/>
          <w:highlight w:val="none"/>
        </w:rPr>
        <w:sectPr>
          <w:footerReference r:id="rId11" w:type="default"/>
          <w:pgSz w:w="11906" w:h="16838"/>
          <w:pgMar w:top="935" w:right="1616" w:bottom="936" w:left="1576" w:header="851" w:footer="992" w:gutter="0"/>
          <w:pgNumType w:fmt="decimal"/>
          <w:cols w:space="720" w:num="1"/>
          <w:docGrid w:linePitch="312" w:charSpace="0"/>
        </w:sectPr>
      </w:pPr>
      <w:r>
        <w:rPr>
          <w:rFonts w:hint="eastAsia" w:ascii="宋体" w:hAnsi="宋体" w:eastAsia="宋体" w:cs="宋体"/>
          <w:color w:val="auto"/>
          <w:sz w:val="21"/>
          <w:szCs w:val="21"/>
          <w:highlight w:val="none"/>
        </w:rPr>
        <w:t>（</w:t>
      </w:r>
      <w:bookmarkStart w:id="1366" w:name="_Toc430206087"/>
      <w:r>
        <w:rPr>
          <w:rFonts w:hint="eastAsia" w:ascii="宋体" w:hAnsi="宋体" w:eastAsia="宋体" w:cs="宋体"/>
          <w:color w:val="auto"/>
          <w:sz w:val="21"/>
          <w:szCs w:val="21"/>
          <w:highlight w:val="none"/>
          <w:lang w:val="en-US" w:eastAsia="zh-CN"/>
        </w:rPr>
        <w:t xml:space="preserve"> </w:t>
      </w:r>
    </w:p>
    <w:bookmarkEnd w:id="1366"/>
    <w:p w14:paraId="5C8A0C4B">
      <w:pPr>
        <w:pStyle w:val="5"/>
        <w:spacing w:before="0" w:after="0" w:line="240" w:lineRule="auto"/>
        <w:jc w:val="center"/>
        <w:rPr>
          <w:rFonts w:hint="eastAsia" w:ascii="宋体" w:hAnsi="宋体" w:eastAsia="宋体" w:cs="宋体"/>
          <w:b/>
          <w:bCs/>
          <w:sz w:val="28"/>
          <w:szCs w:val="28"/>
        </w:rPr>
      </w:pPr>
      <w:bookmarkStart w:id="1367" w:name="_Toc57820648"/>
      <w:bookmarkStart w:id="1368" w:name="_Toc10861"/>
      <w:bookmarkStart w:id="1369" w:name="_Toc364781348"/>
      <w:bookmarkStart w:id="1370" w:name="_Toc360434957"/>
      <w:bookmarkStart w:id="1371" w:name="_Toc430206088"/>
      <w:bookmarkStart w:id="1372" w:name="_Toc362508707"/>
      <w:bookmarkStart w:id="1373" w:name="_Toc277082645"/>
      <w:bookmarkStart w:id="1374" w:name="_Toc224103497"/>
      <w:bookmarkStart w:id="1375" w:name="_Toc287607869"/>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竞标</w:t>
      </w:r>
      <w:r>
        <w:rPr>
          <w:rFonts w:hint="eastAsia" w:ascii="宋体" w:hAnsi="宋体" w:eastAsia="宋体" w:cs="宋体"/>
          <w:b/>
          <w:bCs/>
          <w:sz w:val="28"/>
          <w:szCs w:val="28"/>
        </w:rPr>
        <w:t>函</w:t>
      </w:r>
      <w:bookmarkEnd w:id="1367"/>
    </w:p>
    <w:p w14:paraId="7FF55522">
      <w:pPr>
        <w:tabs>
          <w:tab w:val="left" w:pos="2640"/>
        </w:tabs>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比选</w:t>
      </w:r>
      <w:r>
        <w:rPr>
          <w:rFonts w:hint="eastAsia" w:ascii="宋体" w:hAnsi="宋体" w:eastAsia="宋体" w:cs="宋体"/>
          <w:kern w:val="0"/>
          <w:sz w:val="21"/>
          <w:szCs w:val="21"/>
          <w:u w:val="single"/>
        </w:rPr>
        <w:t>人名称）</w:t>
      </w:r>
      <w:r>
        <w:rPr>
          <w:rFonts w:hint="eastAsia" w:ascii="宋体" w:hAnsi="宋体" w:eastAsia="宋体" w:cs="宋体"/>
          <w:kern w:val="0"/>
          <w:sz w:val="21"/>
          <w:szCs w:val="21"/>
        </w:rPr>
        <w:t>：</w:t>
      </w:r>
    </w:p>
    <w:p w14:paraId="107E8297">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 我方已仔细研究了</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文件的全部内容，愿意以人民币（大写）</w:t>
      </w:r>
      <w:r>
        <w:rPr>
          <w:rFonts w:hint="eastAsia" w:ascii="宋体" w:hAnsi="宋体" w:eastAsia="宋体" w:cs="宋体"/>
          <w:kern w:val="0"/>
          <w:sz w:val="21"/>
          <w:szCs w:val="21"/>
          <w:u w:val="single"/>
        </w:rPr>
        <w:tab/>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总报价进行报价，其中安全文明施工费暂定金额为人民币（大写）</w:t>
      </w:r>
      <w:r>
        <w:rPr>
          <w:rFonts w:hint="eastAsia" w:ascii="宋体" w:hAnsi="宋体" w:eastAsia="宋体" w:cs="宋体"/>
          <w:kern w:val="0"/>
          <w:sz w:val="21"/>
          <w:szCs w:val="21"/>
          <w:u w:val="single"/>
        </w:rPr>
        <w:tab/>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），该工程项目经理为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，身份证号码为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；委托代理人为：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，身份证号码为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。工期</w:t>
      </w:r>
      <w:r>
        <w:rPr>
          <w:rFonts w:hint="eastAsia" w:ascii="宋体" w:hAnsi="宋体" w:eastAsia="宋体" w:cs="宋体"/>
          <w:kern w:val="0"/>
          <w:sz w:val="21"/>
          <w:szCs w:val="21"/>
          <w:u w:val="single"/>
        </w:rPr>
        <w:t>达到</w:t>
      </w:r>
      <w:r>
        <w:rPr>
          <w:rFonts w:hint="eastAsia" w:ascii="宋体" w:hAnsi="宋体" w:eastAsia="宋体" w:cs="宋体"/>
          <w:kern w:val="0"/>
          <w:sz w:val="21"/>
          <w:szCs w:val="21"/>
          <w:u w:val="single"/>
          <w:lang w:val="en-US" w:eastAsia="zh-CN"/>
        </w:rPr>
        <w:t>竞争性比选</w:t>
      </w:r>
      <w:r>
        <w:rPr>
          <w:rFonts w:hint="eastAsia" w:ascii="宋体" w:hAnsi="宋体" w:eastAsia="宋体" w:cs="宋体"/>
          <w:kern w:val="0"/>
          <w:sz w:val="21"/>
          <w:szCs w:val="21"/>
          <w:u w:val="single"/>
        </w:rPr>
        <w:t>文件的要求</w:t>
      </w:r>
      <w:r>
        <w:rPr>
          <w:rFonts w:hint="eastAsia" w:ascii="宋体" w:hAnsi="宋体" w:eastAsia="宋体" w:cs="宋体"/>
          <w:kern w:val="0"/>
          <w:sz w:val="21"/>
          <w:szCs w:val="21"/>
        </w:rPr>
        <w:t>，缺陷责任期</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按合同约定实施和完成承包工程，修补工程中的任何缺陷，工程质量</w:t>
      </w:r>
      <w:r>
        <w:rPr>
          <w:rFonts w:hint="eastAsia" w:ascii="宋体" w:hAnsi="宋体" w:eastAsia="宋体" w:cs="宋体"/>
          <w:kern w:val="0"/>
          <w:sz w:val="21"/>
          <w:szCs w:val="21"/>
          <w:u w:val="single"/>
        </w:rPr>
        <w:t>达到</w:t>
      </w:r>
      <w:r>
        <w:rPr>
          <w:rFonts w:hint="eastAsia" w:ascii="宋体" w:hAnsi="宋体" w:eastAsia="宋体" w:cs="宋体"/>
          <w:kern w:val="0"/>
          <w:sz w:val="21"/>
          <w:szCs w:val="21"/>
          <w:u w:val="single"/>
          <w:lang w:val="en-US" w:eastAsia="zh-CN"/>
        </w:rPr>
        <w:t>竞争性比选</w:t>
      </w:r>
      <w:r>
        <w:rPr>
          <w:rFonts w:hint="eastAsia" w:ascii="宋体" w:hAnsi="宋体" w:eastAsia="宋体" w:cs="宋体"/>
          <w:kern w:val="0"/>
          <w:sz w:val="21"/>
          <w:szCs w:val="21"/>
          <w:u w:val="single"/>
        </w:rPr>
        <w:t>文件的要求</w:t>
      </w:r>
      <w:r>
        <w:rPr>
          <w:rFonts w:hint="eastAsia" w:ascii="宋体" w:hAnsi="宋体" w:eastAsia="宋体" w:cs="宋体"/>
          <w:kern w:val="0"/>
          <w:sz w:val="21"/>
          <w:szCs w:val="21"/>
        </w:rPr>
        <w:t>。</w:t>
      </w:r>
    </w:p>
    <w:p w14:paraId="5E82CB10">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 我方承诺响应</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文件规定的</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有效期，在</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有效期内不修改、撤销</w:t>
      </w:r>
      <w:r>
        <w:rPr>
          <w:rFonts w:hint="eastAsia" w:ascii="宋体" w:hAnsi="宋体" w:eastAsia="宋体" w:cs="宋体"/>
          <w:kern w:val="0"/>
          <w:sz w:val="21"/>
          <w:szCs w:val="21"/>
          <w:lang w:val="en-US" w:eastAsia="zh-CN"/>
        </w:rPr>
        <w:t>竞标文件</w:t>
      </w:r>
      <w:r>
        <w:rPr>
          <w:rFonts w:hint="eastAsia" w:ascii="宋体" w:hAnsi="宋体" w:eastAsia="宋体" w:cs="宋体"/>
          <w:kern w:val="0"/>
          <w:sz w:val="21"/>
          <w:szCs w:val="21"/>
        </w:rPr>
        <w:t>。</w:t>
      </w:r>
    </w:p>
    <w:p w14:paraId="45EAB2B6">
      <w:pPr>
        <w:tabs>
          <w:tab w:val="left" w:pos="2730"/>
          <w:tab w:val="left" w:pos="798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 随同本</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函提交</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保证金一份，金额为人民币（大写）</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ascii="宋体" w:hAnsi="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保证金有效期与</w:t>
      </w:r>
      <w:r>
        <w:rPr>
          <w:rFonts w:hint="eastAsia" w:ascii="宋体" w:hAnsi="宋体" w:eastAsia="宋体" w:cs="宋体"/>
          <w:kern w:val="0"/>
          <w:sz w:val="21"/>
          <w:szCs w:val="21"/>
          <w:lang w:val="en-US" w:eastAsia="zh-CN"/>
        </w:rPr>
        <w:t>比选</w:t>
      </w:r>
      <w:r>
        <w:rPr>
          <w:rFonts w:hint="eastAsia" w:ascii="宋体" w:hAnsi="宋体" w:eastAsia="宋体" w:cs="宋体"/>
          <w:kern w:val="0"/>
          <w:sz w:val="21"/>
          <w:szCs w:val="21"/>
        </w:rPr>
        <w:t>有效期一致，在此期间，若我方违反招</w:t>
      </w:r>
      <w:r>
        <w:rPr>
          <w:rFonts w:hint="eastAsia" w:ascii="宋体" w:hAnsi="宋体" w:eastAsia="宋体" w:cs="宋体"/>
          <w:kern w:val="0"/>
          <w:sz w:val="21"/>
          <w:szCs w:val="21"/>
          <w:lang w:eastAsia="zh-CN"/>
        </w:rPr>
        <w:t>竞标</w:t>
      </w:r>
      <w:r>
        <w:rPr>
          <w:rFonts w:hint="eastAsia" w:ascii="宋体" w:hAnsi="宋体" w:eastAsia="宋体" w:cs="宋体"/>
          <w:kern w:val="0"/>
          <w:sz w:val="21"/>
          <w:szCs w:val="21"/>
        </w:rPr>
        <w:t>有关法律、法规及本</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文件的相关规定，</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保证金的受益人为</w:t>
      </w:r>
      <w:r>
        <w:rPr>
          <w:rFonts w:hint="eastAsia" w:ascii="宋体" w:hAnsi="宋体" w:eastAsia="宋体" w:cs="宋体"/>
          <w:kern w:val="0"/>
          <w:sz w:val="21"/>
          <w:szCs w:val="21"/>
          <w:lang w:val="en-US" w:eastAsia="zh-CN"/>
        </w:rPr>
        <w:t>比选</w:t>
      </w:r>
      <w:r>
        <w:rPr>
          <w:rFonts w:hint="eastAsia" w:ascii="宋体" w:hAnsi="宋体" w:eastAsia="宋体" w:cs="宋体"/>
          <w:kern w:val="0"/>
          <w:sz w:val="21"/>
          <w:szCs w:val="21"/>
        </w:rPr>
        <w:t>人。</w:t>
      </w:r>
    </w:p>
    <w:p w14:paraId="306636B2">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 如我方</w:t>
      </w:r>
      <w:r>
        <w:rPr>
          <w:rFonts w:hint="eastAsia" w:ascii="宋体" w:hAnsi="宋体" w:eastAsia="宋体" w:cs="宋体"/>
          <w:kern w:val="0"/>
          <w:sz w:val="21"/>
          <w:szCs w:val="21"/>
          <w:lang w:eastAsia="zh-CN"/>
        </w:rPr>
        <w:t>中选</w:t>
      </w:r>
      <w:r>
        <w:rPr>
          <w:rFonts w:hint="eastAsia" w:ascii="宋体" w:hAnsi="宋体" w:eastAsia="宋体" w:cs="宋体"/>
          <w:kern w:val="0"/>
          <w:sz w:val="21"/>
          <w:szCs w:val="21"/>
        </w:rPr>
        <w:t>：</w:t>
      </w:r>
    </w:p>
    <w:p w14:paraId="5BCA9116">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（1）我方承诺在收到</w:t>
      </w:r>
      <w:r>
        <w:rPr>
          <w:rFonts w:hint="eastAsia" w:ascii="宋体" w:hAnsi="宋体" w:eastAsia="宋体" w:cs="宋体"/>
          <w:kern w:val="0"/>
          <w:sz w:val="21"/>
          <w:szCs w:val="21"/>
          <w:lang w:eastAsia="zh-CN"/>
        </w:rPr>
        <w:t>中选</w:t>
      </w:r>
      <w:r>
        <w:rPr>
          <w:rFonts w:hint="eastAsia" w:ascii="宋体" w:hAnsi="宋体" w:eastAsia="宋体" w:cs="宋体"/>
          <w:kern w:val="0"/>
          <w:sz w:val="21"/>
          <w:szCs w:val="21"/>
        </w:rPr>
        <w:t>通知书后，在</w:t>
      </w:r>
      <w:r>
        <w:rPr>
          <w:rFonts w:hint="eastAsia" w:ascii="宋体" w:hAnsi="宋体" w:eastAsia="宋体" w:cs="宋体"/>
          <w:kern w:val="0"/>
          <w:sz w:val="21"/>
          <w:szCs w:val="21"/>
          <w:lang w:eastAsia="zh-CN"/>
        </w:rPr>
        <w:t>中选</w:t>
      </w:r>
      <w:r>
        <w:rPr>
          <w:rFonts w:hint="eastAsia" w:ascii="宋体" w:hAnsi="宋体" w:eastAsia="宋体" w:cs="宋体"/>
          <w:kern w:val="0"/>
          <w:sz w:val="21"/>
          <w:szCs w:val="21"/>
        </w:rPr>
        <w:t>通知书规定的期限内与你方签订合同。</w:t>
      </w:r>
    </w:p>
    <w:p w14:paraId="0EF68BF8">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（2）随同本投</w:t>
      </w:r>
      <w:r>
        <w:rPr>
          <w:rFonts w:hint="eastAsia" w:ascii="宋体" w:hAnsi="宋体" w:eastAsia="宋体" w:cs="宋体"/>
          <w:kern w:val="0"/>
          <w:sz w:val="21"/>
          <w:szCs w:val="21"/>
          <w:lang w:val="en-US" w:eastAsia="zh-CN"/>
        </w:rPr>
        <w:t>竞标函</w:t>
      </w:r>
      <w:r>
        <w:rPr>
          <w:rFonts w:hint="eastAsia" w:ascii="宋体" w:hAnsi="宋体" w:eastAsia="宋体" w:cs="宋体"/>
          <w:kern w:val="0"/>
          <w:sz w:val="21"/>
          <w:szCs w:val="21"/>
        </w:rPr>
        <w:t>递交的</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函附录属于合同文件的组成部分。</w:t>
      </w:r>
    </w:p>
    <w:p w14:paraId="617B96A7">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（3）我方承诺按照</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文件规定向你方递交履约担保。</w:t>
      </w:r>
    </w:p>
    <w:p w14:paraId="601BB674">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（4）我方承诺在合同约定的期限内完成并移交全部合同工程。</w:t>
      </w:r>
    </w:p>
    <w:p w14:paraId="7C7734F7">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（5）我方承诺以不低于</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文件第七章 技术标准和要求中所列的技术指标和参数要求完成全部合同工程。</w:t>
      </w:r>
    </w:p>
    <w:p w14:paraId="7C31E8AC">
      <w:pPr>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 我方</w:t>
      </w:r>
      <w:r>
        <w:rPr>
          <w:rFonts w:hint="eastAsia" w:ascii="宋体" w:hAnsi="宋体" w:eastAsia="宋体" w:cs="宋体"/>
          <w:spacing w:val="-2"/>
          <w:kern w:val="0"/>
          <w:sz w:val="21"/>
          <w:szCs w:val="21"/>
        </w:rPr>
        <w:t>在此声明，所递交的</w:t>
      </w:r>
      <w:r>
        <w:rPr>
          <w:rFonts w:hint="eastAsia" w:ascii="宋体" w:hAnsi="宋体" w:eastAsia="宋体" w:cs="宋体"/>
          <w:spacing w:val="-2"/>
          <w:kern w:val="0"/>
          <w:sz w:val="21"/>
          <w:szCs w:val="21"/>
          <w:lang w:val="en-US" w:eastAsia="zh-CN"/>
        </w:rPr>
        <w:t>竞标文件</w:t>
      </w:r>
      <w:r>
        <w:rPr>
          <w:rFonts w:hint="eastAsia" w:ascii="宋体" w:hAnsi="宋体" w:eastAsia="宋体" w:cs="宋体"/>
          <w:spacing w:val="-2"/>
          <w:kern w:val="0"/>
          <w:sz w:val="21"/>
          <w:szCs w:val="21"/>
        </w:rPr>
        <w:t>及有关资料内容完整、真实和准确，且不存在第二章“</w:t>
      </w:r>
      <w:r>
        <w:rPr>
          <w:rFonts w:hint="eastAsia" w:ascii="宋体" w:hAnsi="宋体" w:eastAsia="宋体" w:cs="宋体"/>
          <w:spacing w:val="-2"/>
          <w:kern w:val="0"/>
          <w:sz w:val="21"/>
          <w:szCs w:val="21"/>
          <w:lang w:val="en-US" w:eastAsia="zh-CN"/>
        </w:rPr>
        <w:t>竞标人</w:t>
      </w:r>
      <w:r>
        <w:rPr>
          <w:rFonts w:hint="eastAsia" w:ascii="宋体" w:hAnsi="宋体" w:eastAsia="宋体" w:cs="宋体"/>
          <w:kern w:val="0"/>
          <w:sz w:val="21"/>
          <w:szCs w:val="21"/>
        </w:rPr>
        <w:t>须知”第 1.4.3 项规定的任何一种情形。同时我方承诺接受</w:t>
      </w:r>
      <w:r>
        <w:rPr>
          <w:rFonts w:hint="eastAsia" w:ascii="宋体" w:hAnsi="宋体" w:eastAsia="宋体" w:cs="宋体"/>
          <w:kern w:val="0"/>
          <w:sz w:val="21"/>
          <w:szCs w:val="21"/>
          <w:lang w:val="en-US" w:eastAsia="zh-CN"/>
        </w:rPr>
        <w:t>竞争性比选</w:t>
      </w:r>
      <w:r>
        <w:rPr>
          <w:rFonts w:hint="eastAsia" w:ascii="宋体" w:hAnsi="宋体" w:eastAsia="宋体" w:cs="宋体"/>
          <w:kern w:val="0"/>
          <w:sz w:val="21"/>
          <w:szCs w:val="21"/>
        </w:rPr>
        <w:t>文件及附件、澄清及修改通知中所有的内容。</w:t>
      </w:r>
    </w:p>
    <w:p w14:paraId="489CCCED">
      <w:pPr>
        <w:tabs>
          <w:tab w:val="left" w:pos="5985"/>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6. </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（其他补充说明）</w:t>
      </w:r>
      <w:r>
        <w:rPr>
          <w:rFonts w:hint="eastAsia" w:ascii="宋体" w:hAnsi="宋体" w:eastAsia="宋体" w:cs="宋体"/>
          <w:kern w:val="0"/>
          <w:sz w:val="21"/>
          <w:szCs w:val="21"/>
        </w:rPr>
        <w:t>。</w:t>
      </w:r>
    </w:p>
    <w:p w14:paraId="3D93B05D">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（盖单位法人章） </w:t>
      </w:r>
    </w:p>
    <w:p w14:paraId="67BE94EC">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法定代表人或其委托代理人：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（签名或盖章）</w:t>
      </w:r>
    </w:p>
    <w:p w14:paraId="1BFCD753">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地    址：</w:t>
      </w:r>
      <w:r>
        <w:rPr>
          <w:rFonts w:hint="eastAsia" w:ascii="宋体" w:hAnsi="宋体" w:eastAsia="宋体" w:cs="宋体"/>
          <w:kern w:val="0"/>
          <w:sz w:val="21"/>
          <w:szCs w:val="21"/>
          <w:u w:val="single"/>
        </w:rPr>
        <w:t xml:space="preserve">                                                                            </w:t>
      </w:r>
    </w:p>
    <w:p w14:paraId="60575636">
      <w:pPr>
        <w:tabs>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网    址：</w:t>
      </w:r>
      <w:r>
        <w:rPr>
          <w:rFonts w:hint="eastAsia" w:ascii="宋体" w:hAnsi="宋体" w:eastAsia="宋体" w:cs="宋体"/>
          <w:kern w:val="0"/>
          <w:sz w:val="21"/>
          <w:szCs w:val="21"/>
          <w:u w:val="single"/>
        </w:rPr>
        <w:t xml:space="preserve">                                                                            </w:t>
      </w:r>
    </w:p>
    <w:p w14:paraId="148A0FDB">
      <w:pPr>
        <w:tabs>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单位电话（座机）：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委托代理人电话（手机）：</w:t>
      </w:r>
      <w:r>
        <w:rPr>
          <w:rFonts w:hint="eastAsia" w:ascii="宋体" w:hAnsi="宋体" w:eastAsia="宋体" w:cs="宋体"/>
          <w:kern w:val="0"/>
          <w:sz w:val="21"/>
          <w:szCs w:val="21"/>
          <w:u w:val="single"/>
        </w:rPr>
        <w:t xml:space="preserve">                      </w:t>
      </w:r>
    </w:p>
    <w:p w14:paraId="7E2EEB5A">
      <w:pPr>
        <w:tabs>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传    真：</w:t>
      </w:r>
      <w:r>
        <w:rPr>
          <w:rFonts w:hint="eastAsia" w:ascii="宋体" w:hAnsi="宋体" w:eastAsia="宋体" w:cs="宋体"/>
          <w:kern w:val="0"/>
          <w:sz w:val="21"/>
          <w:szCs w:val="21"/>
          <w:u w:val="single"/>
        </w:rPr>
        <w:t xml:space="preserve">                                                                            </w:t>
      </w:r>
    </w:p>
    <w:p w14:paraId="43F795D2">
      <w:pPr>
        <w:tabs>
          <w:tab w:val="left" w:pos="8300"/>
        </w:tabs>
        <w:autoSpaceDE w:val="0"/>
        <w:autoSpaceDN w:val="0"/>
        <w:adjustRightInd w:val="0"/>
        <w:spacing w:line="40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邮政编码：</w:t>
      </w:r>
      <w:r>
        <w:rPr>
          <w:rFonts w:hint="eastAsia" w:ascii="宋体" w:hAnsi="宋体" w:eastAsia="宋体" w:cs="宋体"/>
          <w:kern w:val="0"/>
          <w:sz w:val="21"/>
          <w:szCs w:val="21"/>
          <w:u w:val="single"/>
        </w:rPr>
        <w:t xml:space="preserve">                                                                            </w:t>
      </w:r>
    </w:p>
    <w:p w14:paraId="48151B65">
      <w:pPr>
        <w:tabs>
          <w:tab w:val="left" w:pos="8300"/>
        </w:tabs>
        <w:autoSpaceDE w:val="0"/>
        <w:autoSpaceDN w:val="0"/>
        <w:adjustRightInd w:val="0"/>
        <w:spacing w:line="400" w:lineRule="exact"/>
        <w:ind w:firstLine="420" w:firstLineChars="200"/>
        <w:rPr>
          <w:rFonts w:hint="eastAsia" w:ascii="宋体" w:hAnsi="宋体" w:eastAsia="宋体" w:cs="宋体"/>
          <w:kern w:val="0"/>
          <w:sz w:val="21"/>
          <w:szCs w:val="21"/>
        </w:rPr>
      </w:pPr>
    </w:p>
    <w:p w14:paraId="171560DA">
      <w:pPr>
        <w:tabs>
          <w:tab w:val="left" w:pos="8300"/>
        </w:tabs>
        <w:autoSpaceDE w:val="0"/>
        <w:autoSpaceDN w:val="0"/>
        <w:adjustRightInd w:val="0"/>
        <w:spacing w:line="400" w:lineRule="exact"/>
        <w:ind w:firstLine="420" w:firstLineChars="200"/>
        <w:jc w:val="righ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28A74EF6">
      <w:pPr>
        <w:pStyle w:val="5"/>
        <w:spacing w:before="0" w:after="0" w:line="240" w:lineRule="auto"/>
        <w:jc w:val="center"/>
        <w:rPr>
          <w:rFonts w:hint="eastAsia" w:ascii="宋体" w:hAnsi="宋体" w:eastAsia="宋体" w:cs="宋体"/>
          <w:color w:val="auto"/>
          <w:sz w:val="21"/>
          <w:szCs w:val="21"/>
          <w:highlight w:val="none"/>
        </w:rPr>
      </w:pPr>
    </w:p>
    <w:p w14:paraId="54BACE87">
      <w:pPr>
        <w:pStyle w:val="5"/>
        <w:spacing w:before="0" w:after="0" w:line="240" w:lineRule="auto"/>
        <w:jc w:val="center"/>
        <w:rPr>
          <w:rFonts w:hint="eastAsia" w:ascii="宋体" w:hAnsi="宋体" w:eastAsia="宋体" w:cs="宋体"/>
          <w:b/>
          <w:bCs/>
          <w:kern w:val="0"/>
          <w:sz w:val="28"/>
          <w:szCs w:val="28"/>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竞标</w:t>
      </w:r>
      <w:r>
        <w:rPr>
          <w:rFonts w:hint="eastAsia" w:ascii="宋体" w:hAnsi="宋体" w:eastAsia="宋体" w:cs="宋体"/>
          <w:b/>
          <w:bCs/>
          <w:sz w:val="28"/>
          <w:szCs w:val="28"/>
        </w:rPr>
        <w:t>函附录</w:t>
      </w:r>
    </w:p>
    <w:tbl>
      <w:tblPr>
        <w:tblStyle w:val="2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23155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C1B9DC3">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582" w:type="dxa"/>
            <w:vAlign w:val="center"/>
          </w:tcPr>
          <w:p w14:paraId="26927D4E">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条款名称</w:t>
            </w:r>
          </w:p>
        </w:tc>
        <w:tc>
          <w:tcPr>
            <w:tcW w:w="2388" w:type="dxa"/>
            <w:vAlign w:val="center"/>
          </w:tcPr>
          <w:p w14:paraId="462AD980">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合同条款号</w:t>
            </w:r>
          </w:p>
        </w:tc>
        <w:tc>
          <w:tcPr>
            <w:tcW w:w="2987" w:type="dxa"/>
            <w:vAlign w:val="center"/>
          </w:tcPr>
          <w:p w14:paraId="5F8B1A9B">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约定内容</w:t>
            </w:r>
          </w:p>
        </w:tc>
        <w:tc>
          <w:tcPr>
            <w:tcW w:w="792" w:type="dxa"/>
            <w:vAlign w:val="center"/>
          </w:tcPr>
          <w:p w14:paraId="4759CA74">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03DE18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8AD5D3F">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582" w:type="dxa"/>
            <w:vAlign w:val="center"/>
          </w:tcPr>
          <w:p w14:paraId="67A5F4EC">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工期</w:t>
            </w:r>
          </w:p>
        </w:tc>
        <w:tc>
          <w:tcPr>
            <w:tcW w:w="2388" w:type="dxa"/>
            <w:vAlign w:val="center"/>
          </w:tcPr>
          <w:p w14:paraId="0607FEEE">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1.1.4.3</w:t>
            </w:r>
          </w:p>
        </w:tc>
        <w:tc>
          <w:tcPr>
            <w:tcW w:w="2987" w:type="dxa"/>
            <w:vAlign w:val="center"/>
          </w:tcPr>
          <w:p w14:paraId="543B46B5">
            <w:pPr>
              <w:tabs>
                <w:tab w:val="left" w:pos="1560"/>
              </w:tabs>
              <w:autoSpaceDE w:val="0"/>
              <w:autoSpaceDN w:val="0"/>
              <w:adjustRightInd w:val="0"/>
              <w:jc w:val="center"/>
              <w:rPr>
                <w:rFonts w:hint="eastAsia" w:ascii="宋体" w:hAnsi="宋体" w:eastAsia="宋体" w:cs="宋体"/>
                <w:kern w:val="0"/>
                <w:sz w:val="21"/>
                <w:szCs w:val="21"/>
              </w:rPr>
            </w:pPr>
          </w:p>
        </w:tc>
        <w:tc>
          <w:tcPr>
            <w:tcW w:w="792" w:type="dxa"/>
            <w:vAlign w:val="center"/>
          </w:tcPr>
          <w:p w14:paraId="55257048">
            <w:pPr>
              <w:autoSpaceDE w:val="0"/>
              <w:autoSpaceDN w:val="0"/>
              <w:adjustRightInd w:val="0"/>
              <w:jc w:val="center"/>
              <w:rPr>
                <w:rFonts w:hint="eastAsia" w:ascii="宋体" w:hAnsi="宋体" w:eastAsia="宋体" w:cs="宋体"/>
                <w:kern w:val="0"/>
                <w:sz w:val="21"/>
                <w:szCs w:val="21"/>
              </w:rPr>
            </w:pPr>
          </w:p>
        </w:tc>
      </w:tr>
      <w:tr w14:paraId="1F047B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390F598">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582" w:type="dxa"/>
            <w:vAlign w:val="center"/>
          </w:tcPr>
          <w:p w14:paraId="35E3BB7E">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分包</w:t>
            </w:r>
          </w:p>
        </w:tc>
        <w:tc>
          <w:tcPr>
            <w:tcW w:w="2388" w:type="dxa"/>
            <w:vAlign w:val="center"/>
          </w:tcPr>
          <w:p w14:paraId="0C318623">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2987" w:type="dxa"/>
            <w:vAlign w:val="center"/>
          </w:tcPr>
          <w:p w14:paraId="2C2F8FA5">
            <w:pPr>
              <w:autoSpaceDE w:val="0"/>
              <w:autoSpaceDN w:val="0"/>
              <w:adjustRightInd w:val="0"/>
              <w:jc w:val="center"/>
              <w:rPr>
                <w:rFonts w:hint="eastAsia" w:ascii="宋体" w:hAnsi="宋体" w:eastAsia="宋体" w:cs="宋体"/>
                <w:kern w:val="0"/>
                <w:sz w:val="21"/>
                <w:szCs w:val="21"/>
              </w:rPr>
            </w:pPr>
          </w:p>
        </w:tc>
        <w:tc>
          <w:tcPr>
            <w:tcW w:w="792" w:type="dxa"/>
            <w:vAlign w:val="center"/>
          </w:tcPr>
          <w:p w14:paraId="5012C91A">
            <w:pPr>
              <w:autoSpaceDE w:val="0"/>
              <w:autoSpaceDN w:val="0"/>
              <w:adjustRightInd w:val="0"/>
              <w:jc w:val="center"/>
              <w:rPr>
                <w:rFonts w:hint="eastAsia" w:ascii="宋体" w:hAnsi="宋体" w:eastAsia="宋体" w:cs="宋体"/>
                <w:kern w:val="0"/>
                <w:sz w:val="21"/>
                <w:szCs w:val="21"/>
              </w:rPr>
            </w:pPr>
          </w:p>
        </w:tc>
      </w:tr>
      <w:tr w14:paraId="313DCD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64F438">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582" w:type="dxa"/>
            <w:vAlign w:val="center"/>
          </w:tcPr>
          <w:p w14:paraId="50D6F4E9">
            <w:pPr>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工程质量</w:t>
            </w:r>
          </w:p>
        </w:tc>
        <w:tc>
          <w:tcPr>
            <w:tcW w:w="2388" w:type="dxa"/>
            <w:vAlign w:val="center"/>
          </w:tcPr>
          <w:p w14:paraId="0B902248">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2987" w:type="dxa"/>
            <w:vAlign w:val="center"/>
          </w:tcPr>
          <w:p w14:paraId="779D4981">
            <w:pPr>
              <w:autoSpaceDE w:val="0"/>
              <w:autoSpaceDN w:val="0"/>
              <w:adjustRightInd w:val="0"/>
              <w:jc w:val="center"/>
              <w:rPr>
                <w:rFonts w:hint="eastAsia" w:ascii="宋体" w:hAnsi="宋体" w:eastAsia="宋体" w:cs="宋体"/>
                <w:kern w:val="0"/>
                <w:sz w:val="21"/>
                <w:szCs w:val="21"/>
              </w:rPr>
            </w:pPr>
          </w:p>
        </w:tc>
        <w:tc>
          <w:tcPr>
            <w:tcW w:w="792" w:type="dxa"/>
            <w:vAlign w:val="center"/>
          </w:tcPr>
          <w:p w14:paraId="2BCF1D51">
            <w:pPr>
              <w:autoSpaceDE w:val="0"/>
              <w:autoSpaceDN w:val="0"/>
              <w:adjustRightInd w:val="0"/>
              <w:jc w:val="center"/>
              <w:rPr>
                <w:rFonts w:hint="eastAsia" w:ascii="宋体" w:hAnsi="宋体" w:eastAsia="宋体" w:cs="宋体"/>
                <w:kern w:val="0"/>
                <w:sz w:val="21"/>
                <w:szCs w:val="21"/>
              </w:rPr>
            </w:pPr>
          </w:p>
        </w:tc>
      </w:tr>
      <w:tr w14:paraId="448599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E8DAEB">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582" w:type="dxa"/>
            <w:vAlign w:val="center"/>
          </w:tcPr>
          <w:p w14:paraId="437BBD7A">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388" w:type="dxa"/>
            <w:vAlign w:val="center"/>
          </w:tcPr>
          <w:p w14:paraId="79F23A99">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987" w:type="dxa"/>
            <w:vAlign w:val="center"/>
          </w:tcPr>
          <w:p w14:paraId="6DB842B4">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92" w:type="dxa"/>
            <w:vAlign w:val="center"/>
          </w:tcPr>
          <w:p w14:paraId="28A0FFBF">
            <w:pPr>
              <w:autoSpaceDE w:val="0"/>
              <w:autoSpaceDN w:val="0"/>
              <w:adjustRightInd w:val="0"/>
              <w:jc w:val="center"/>
              <w:rPr>
                <w:rFonts w:hint="eastAsia" w:ascii="宋体" w:hAnsi="宋体" w:eastAsia="宋体" w:cs="宋体"/>
                <w:kern w:val="0"/>
                <w:sz w:val="21"/>
                <w:szCs w:val="21"/>
              </w:rPr>
            </w:pPr>
          </w:p>
        </w:tc>
      </w:tr>
      <w:tr w14:paraId="63D447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8A8A6A">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582" w:type="dxa"/>
            <w:vAlign w:val="center"/>
          </w:tcPr>
          <w:p w14:paraId="46FE5774">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388" w:type="dxa"/>
            <w:vAlign w:val="center"/>
          </w:tcPr>
          <w:p w14:paraId="0A128EB7">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987" w:type="dxa"/>
            <w:vAlign w:val="center"/>
          </w:tcPr>
          <w:p w14:paraId="1CCB9A45">
            <w:pPr>
              <w:tabs>
                <w:tab w:val="left" w:pos="2051"/>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92" w:type="dxa"/>
            <w:vAlign w:val="center"/>
          </w:tcPr>
          <w:p w14:paraId="5786C352">
            <w:pPr>
              <w:autoSpaceDE w:val="0"/>
              <w:autoSpaceDN w:val="0"/>
              <w:adjustRightInd w:val="0"/>
              <w:jc w:val="center"/>
              <w:rPr>
                <w:rFonts w:hint="eastAsia" w:ascii="宋体" w:hAnsi="宋体" w:eastAsia="宋体" w:cs="宋体"/>
                <w:kern w:val="0"/>
                <w:sz w:val="21"/>
                <w:szCs w:val="21"/>
              </w:rPr>
            </w:pPr>
          </w:p>
        </w:tc>
      </w:tr>
    </w:tbl>
    <w:p w14:paraId="592549B1">
      <w:pPr>
        <w:spacing w:line="360" w:lineRule="auto"/>
        <w:rPr>
          <w:rFonts w:hint="eastAsia" w:ascii="宋体" w:hAnsi="宋体" w:eastAsia="宋体" w:cs="宋体"/>
          <w:w w:val="99"/>
          <w:sz w:val="21"/>
          <w:szCs w:val="21"/>
        </w:rPr>
      </w:pPr>
    </w:p>
    <w:p w14:paraId="6D44A274">
      <w:pPr>
        <w:spacing w:line="360" w:lineRule="auto"/>
        <w:rPr>
          <w:rFonts w:hint="eastAsia" w:ascii="宋体" w:hAnsi="宋体" w:eastAsia="宋体" w:cs="宋体"/>
          <w:kern w:val="0"/>
          <w:sz w:val="21"/>
          <w:szCs w:val="21"/>
        </w:rPr>
      </w:pPr>
    </w:p>
    <w:p w14:paraId="6B4E893C">
      <w:pPr>
        <w:spacing w:line="360" w:lineRule="auto"/>
        <w:rPr>
          <w:rFonts w:hint="eastAsia" w:ascii="宋体" w:hAnsi="宋体" w:eastAsia="宋体" w:cs="宋体"/>
          <w:sz w:val="21"/>
          <w:szCs w:val="21"/>
        </w:rPr>
      </w:pPr>
    </w:p>
    <w:p w14:paraId="06B4504A">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（盖单位法人章） </w:t>
      </w:r>
    </w:p>
    <w:p w14:paraId="14F127F5">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20C2654B">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eastAsia="宋体" w:cs="宋体"/>
          <w:kern w:val="0"/>
          <w:sz w:val="21"/>
          <w:szCs w:val="21"/>
        </w:rPr>
      </w:pPr>
      <w:r>
        <w:rPr>
          <w:rFonts w:hint="eastAsia" w:ascii="宋体" w:hAnsi="宋体" w:eastAsia="宋体" w:cs="宋体"/>
          <w:kern w:val="0"/>
          <w:sz w:val="21"/>
          <w:szCs w:val="21"/>
        </w:rPr>
        <w:t>法定代表人或其委托代理人：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（签名或盖章） </w:t>
      </w:r>
    </w:p>
    <w:p w14:paraId="4947ECC6">
      <w:pPr>
        <w:pStyle w:val="5"/>
        <w:jc w:val="center"/>
        <w:rPr>
          <w:rFonts w:hint="eastAsia" w:ascii="宋体" w:hAnsi="宋体" w:eastAsia="宋体" w:cs="宋体"/>
          <w:color w:val="auto"/>
          <w:sz w:val="24"/>
          <w:szCs w:val="24"/>
          <w:highlight w:val="none"/>
        </w:rPr>
      </w:pPr>
    </w:p>
    <w:p w14:paraId="570FA972">
      <w:pPr>
        <w:pStyle w:val="5"/>
        <w:jc w:val="center"/>
        <w:rPr>
          <w:rFonts w:hint="eastAsia" w:ascii="宋体" w:hAnsi="宋体" w:eastAsia="宋体" w:cs="宋体"/>
          <w:color w:val="auto"/>
          <w:sz w:val="24"/>
          <w:szCs w:val="24"/>
          <w:highlight w:val="none"/>
        </w:rPr>
      </w:pPr>
    </w:p>
    <w:p w14:paraId="3E12942C">
      <w:pPr>
        <w:pStyle w:val="5"/>
        <w:jc w:val="center"/>
        <w:rPr>
          <w:rFonts w:hint="eastAsia" w:ascii="宋体" w:hAnsi="宋体" w:eastAsia="宋体" w:cs="宋体"/>
          <w:color w:val="auto"/>
          <w:sz w:val="24"/>
          <w:szCs w:val="24"/>
          <w:highlight w:val="none"/>
        </w:rPr>
      </w:pPr>
    </w:p>
    <w:p w14:paraId="0D25AF52">
      <w:pPr>
        <w:pStyle w:val="5"/>
        <w:jc w:val="center"/>
        <w:rPr>
          <w:rFonts w:hint="eastAsia" w:ascii="宋体" w:hAnsi="宋体" w:eastAsia="宋体" w:cs="宋体"/>
          <w:color w:val="auto"/>
          <w:sz w:val="24"/>
          <w:szCs w:val="24"/>
          <w:highlight w:val="none"/>
        </w:rPr>
      </w:pPr>
    </w:p>
    <w:p w14:paraId="2D7F58B6">
      <w:pPr>
        <w:pStyle w:val="5"/>
        <w:jc w:val="center"/>
        <w:rPr>
          <w:rFonts w:hint="eastAsia" w:ascii="宋体" w:hAnsi="宋体" w:eastAsia="宋体" w:cs="宋体"/>
          <w:color w:val="auto"/>
          <w:sz w:val="24"/>
          <w:szCs w:val="24"/>
          <w:highlight w:val="none"/>
        </w:rPr>
      </w:pPr>
    </w:p>
    <w:p w14:paraId="585FAB64">
      <w:pPr>
        <w:pStyle w:val="5"/>
        <w:jc w:val="center"/>
        <w:rPr>
          <w:rFonts w:hint="eastAsia" w:ascii="宋体" w:hAnsi="宋体" w:eastAsia="宋体" w:cs="宋体"/>
          <w:color w:val="auto"/>
          <w:sz w:val="24"/>
          <w:szCs w:val="24"/>
          <w:highlight w:val="none"/>
        </w:rPr>
      </w:pPr>
    </w:p>
    <w:p w14:paraId="362CAFE9">
      <w:pPr>
        <w:pStyle w:val="5"/>
        <w:jc w:val="center"/>
        <w:rPr>
          <w:rFonts w:hint="eastAsia" w:ascii="宋体" w:hAnsi="宋体" w:eastAsia="宋体" w:cs="宋体"/>
          <w:color w:val="auto"/>
          <w:sz w:val="24"/>
          <w:szCs w:val="24"/>
          <w:highlight w:val="none"/>
        </w:rPr>
      </w:pPr>
    </w:p>
    <w:p w14:paraId="54C7C69C">
      <w:pPr>
        <w:pStyle w:val="5"/>
        <w:jc w:val="center"/>
        <w:rPr>
          <w:rFonts w:hint="eastAsia" w:ascii="宋体" w:hAnsi="宋体" w:eastAsia="宋体" w:cs="宋体"/>
          <w:color w:val="auto"/>
          <w:sz w:val="24"/>
          <w:szCs w:val="24"/>
          <w:highlight w:val="none"/>
        </w:rPr>
      </w:pPr>
    </w:p>
    <w:p w14:paraId="396A823C">
      <w:pPr>
        <w:rPr>
          <w:rFonts w:hint="eastAsia" w:ascii="宋体" w:hAnsi="宋体" w:eastAsia="宋体" w:cs="宋体"/>
          <w:b/>
          <w:bCs/>
          <w:color w:val="auto"/>
          <w:kern w:val="0"/>
          <w:sz w:val="24"/>
          <w:szCs w:val="24"/>
          <w:highlight w:val="none"/>
          <w:lang w:val="en-US" w:eastAsia="zh-CN" w:bidi="ar-SA"/>
        </w:rPr>
      </w:pPr>
    </w:p>
    <w:p w14:paraId="6FD17317">
      <w:pPr>
        <w:rPr>
          <w:rFonts w:hint="eastAsia" w:ascii="宋体" w:hAnsi="宋体" w:eastAsia="宋体" w:cs="宋体"/>
          <w:b/>
          <w:bCs/>
          <w:color w:val="auto"/>
          <w:kern w:val="0"/>
          <w:sz w:val="24"/>
          <w:szCs w:val="24"/>
          <w:highlight w:val="none"/>
          <w:lang w:val="en-US" w:eastAsia="zh-CN" w:bidi="ar-SA"/>
        </w:rPr>
      </w:pPr>
    </w:p>
    <w:p w14:paraId="68430F0D">
      <w:pPr>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（三）法定代表人身份证明及授权委托书</w:t>
      </w:r>
      <w:bookmarkEnd w:id="1368"/>
      <w:bookmarkEnd w:id="1369"/>
      <w:bookmarkEnd w:id="1370"/>
      <w:bookmarkEnd w:id="1371"/>
      <w:bookmarkEnd w:id="1372"/>
    </w:p>
    <w:p w14:paraId="7E699109">
      <w:pP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法定代表人身份证明</w:t>
      </w:r>
    </w:p>
    <w:p w14:paraId="4054FD7E">
      <w:pPr>
        <w:ind w:left="765"/>
        <w:rPr>
          <w:rFonts w:hint="eastAsia" w:ascii="宋体" w:hAnsi="宋体" w:eastAsia="宋体" w:cs="宋体"/>
          <w:color w:val="auto"/>
          <w:sz w:val="24"/>
          <w:szCs w:val="24"/>
          <w:highlight w:val="none"/>
        </w:rPr>
      </w:pPr>
    </w:p>
    <w:p w14:paraId="31B578E1">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 xml:space="preserve">名称： </w:t>
      </w:r>
      <w:r>
        <w:rPr>
          <w:rFonts w:hint="eastAsia" w:ascii="宋体" w:hAnsi="宋体" w:eastAsia="宋体" w:cs="宋体"/>
          <w:color w:val="auto"/>
          <w:spacing w:val="20"/>
          <w:sz w:val="21"/>
          <w:szCs w:val="21"/>
          <w:highlight w:val="none"/>
          <w:u w:val="single"/>
        </w:rPr>
        <w:t xml:space="preserve">            </w:t>
      </w:r>
    </w:p>
    <w:p w14:paraId="096D7C60">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单位性质：</w:t>
      </w:r>
      <w:r>
        <w:rPr>
          <w:rFonts w:hint="eastAsia" w:ascii="宋体" w:hAnsi="宋体" w:eastAsia="宋体" w:cs="宋体"/>
          <w:color w:val="auto"/>
          <w:spacing w:val="20"/>
          <w:sz w:val="21"/>
          <w:szCs w:val="21"/>
          <w:highlight w:val="none"/>
          <w:u w:val="single"/>
        </w:rPr>
        <w:t xml:space="preserve">            </w:t>
      </w:r>
    </w:p>
    <w:p w14:paraId="6117AD88">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地址： </w:t>
      </w:r>
      <w:r>
        <w:rPr>
          <w:rFonts w:hint="eastAsia" w:ascii="宋体" w:hAnsi="宋体" w:eastAsia="宋体" w:cs="宋体"/>
          <w:color w:val="auto"/>
          <w:spacing w:val="20"/>
          <w:sz w:val="21"/>
          <w:szCs w:val="21"/>
          <w:highlight w:val="none"/>
          <w:u w:val="single"/>
        </w:rPr>
        <w:t xml:space="preserve">            </w:t>
      </w:r>
    </w:p>
    <w:p w14:paraId="2202B34B">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成立时间：</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日</w:t>
      </w:r>
    </w:p>
    <w:p w14:paraId="25390BB5">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经营期限： </w:t>
      </w:r>
      <w:r>
        <w:rPr>
          <w:rFonts w:hint="eastAsia" w:ascii="宋体" w:hAnsi="宋体" w:eastAsia="宋体" w:cs="宋体"/>
          <w:color w:val="auto"/>
          <w:spacing w:val="20"/>
          <w:sz w:val="21"/>
          <w:szCs w:val="21"/>
          <w:highlight w:val="none"/>
          <w:u w:val="single"/>
        </w:rPr>
        <w:t xml:space="preserve">            </w:t>
      </w:r>
    </w:p>
    <w:p w14:paraId="3A1DE5AF">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姓名：</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性别：</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年龄：</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snapToGrid w:val="0"/>
          <w:color w:val="auto"/>
          <w:sz w:val="21"/>
          <w:szCs w:val="21"/>
          <w:highlight w:val="none"/>
        </w:rPr>
        <w:t xml:space="preserve"> 职务：</w:t>
      </w:r>
      <w:r>
        <w:rPr>
          <w:rFonts w:hint="eastAsia" w:ascii="宋体" w:hAnsi="宋体" w:eastAsia="宋体" w:cs="宋体"/>
          <w:color w:val="auto"/>
          <w:spacing w:val="20"/>
          <w:sz w:val="21"/>
          <w:szCs w:val="21"/>
          <w:highlight w:val="none"/>
          <w:u w:val="single"/>
        </w:rPr>
        <w:t xml:space="preserve">      </w:t>
      </w:r>
    </w:p>
    <w:p w14:paraId="4A86C421">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系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eastAsia="zh-CN"/>
        </w:rPr>
        <w:t>竞标人</w:t>
      </w:r>
      <w:r>
        <w:rPr>
          <w:rFonts w:hint="eastAsia" w:ascii="宋体" w:hAnsi="宋体" w:eastAsia="宋体" w:cs="宋体"/>
          <w:snapToGrid w:val="0"/>
          <w:color w:val="auto"/>
          <w:sz w:val="21"/>
          <w:szCs w:val="21"/>
          <w:highlight w:val="none"/>
        </w:rPr>
        <w:t>名称）的法定代表人。</w:t>
      </w:r>
    </w:p>
    <w:p w14:paraId="59FAA998">
      <w:pPr>
        <w:tabs>
          <w:tab w:val="left" w:pos="7035"/>
          <w:tab w:val="left" w:pos="7560"/>
          <w:tab w:val="left" w:pos="8300"/>
        </w:tabs>
        <w:autoSpaceDE w:val="0"/>
        <w:autoSpaceDN w:val="0"/>
        <w:spacing w:line="369" w:lineRule="auto"/>
        <w:ind w:right="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特此证明。</w:t>
      </w:r>
    </w:p>
    <w:p w14:paraId="1D3527F4">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139065</wp:posOffset>
                </wp:positionV>
                <wp:extent cx="5404485" cy="1638300"/>
                <wp:effectExtent l="4445" t="4445" r="20320" b="14605"/>
                <wp:wrapNone/>
                <wp:docPr id="3" name="矩形 3"/>
                <wp:cNvGraphicFramePr/>
                <a:graphic xmlns:a="http://schemas.openxmlformats.org/drawingml/2006/main">
                  <a:graphicData uri="http://schemas.microsoft.com/office/word/2010/wordprocessingShape">
                    <wps:wsp>
                      <wps:cNvSpPr/>
                      <wps:spPr>
                        <a:xfrm>
                          <a:off x="0" y="0"/>
                          <a:ext cx="5404485" cy="16383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637C7B18">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法定代表人身份证复印件（双面）</w:t>
                            </w:r>
                          </w:p>
                        </w:txbxContent>
                      </wps:txbx>
                      <wps:bodyPr upright="1"/>
                    </wps:wsp>
                  </a:graphicData>
                </a:graphic>
              </wp:anchor>
            </w:drawing>
          </mc:Choice>
          <mc:Fallback>
            <w:pict>
              <v:rect id="_x0000_s1026" o:spid="_x0000_s1026" o:spt="1" style="position:absolute;left:0pt;margin-left:2.85pt;margin-top:10.95pt;height:129pt;width:425.55pt;z-index:251660288;mso-width-relative:page;mso-height-relative:page;" fillcolor="#FFFFFF" filled="t" stroked="t" coordsize="21600,21600" o:gfxdata="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&#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ROpNtQAAAAIAQAADwAAAAAAAAABACAAAAAiAAAA&#10;ZHJzL2Rvd25yZXYueG1sUEsBAhQAFAAAAAgAh07iQM1GPzoLAgAAOQQAAA4AAAAAAAAAAQAgAAAA&#10;IwEAAGRycy9lMm9Eb2MueG1sUEsFBgAAAAAGAAYAWQEAAKAFAAAAAA==&#10;">
                <v:fill on="t" focussize="0,0"/>
                <v:stroke color="#000000" joinstyle="miter" dashstyle="1 1"/>
                <v:imagedata o:title=""/>
                <o:lock v:ext="edit" aspectratio="f"/>
                <v:textbox>
                  <w:txbxContent>
                    <w:p w14:paraId="637C7B18">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法定代表人身份证复印件（双面）</w:t>
                      </w:r>
                    </w:p>
                  </w:txbxContent>
                </v:textbox>
              </v:rect>
            </w:pict>
          </mc:Fallback>
        </mc:AlternateContent>
      </w:r>
    </w:p>
    <w:p w14:paraId="59351C18">
      <w:pPr>
        <w:autoSpaceDE w:val="0"/>
        <w:autoSpaceDN w:val="0"/>
        <w:snapToGrid w:val="0"/>
        <w:spacing w:line="360" w:lineRule="auto"/>
        <w:jc w:val="left"/>
        <w:rPr>
          <w:rFonts w:hint="eastAsia" w:ascii="宋体" w:hAnsi="宋体" w:eastAsia="宋体" w:cs="宋体"/>
          <w:color w:val="auto"/>
          <w:sz w:val="21"/>
          <w:szCs w:val="21"/>
          <w:highlight w:val="none"/>
        </w:rPr>
      </w:pPr>
    </w:p>
    <w:p w14:paraId="2137CB53">
      <w:pPr>
        <w:autoSpaceDE w:val="0"/>
        <w:autoSpaceDN w:val="0"/>
        <w:snapToGrid w:val="0"/>
        <w:spacing w:line="360" w:lineRule="auto"/>
        <w:jc w:val="left"/>
        <w:rPr>
          <w:rFonts w:hint="eastAsia" w:ascii="宋体" w:hAnsi="宋体" w:eastAsia="宋体" w:cs="宋体"/>
          <w:color w:val="auto"/>
          <w:sz w:val="21"/>
          <w:szCs w:val="21"/>
          <w:highlight w:val="none"/>
        </w:rPr>
      </w:pPr>
    </w:p>
    <w:p w14:paraId="0A5AE2DD">
      <w:pPr>
        <w:autoSpaceDE w:val="0"/>
        <w:autoSpaceDN w:val="0"/>
        <w:snapToGrid w:val="0"/>
        <w:spacing w:line="360" w:lineRule="auto"/>
        <w:jc w:val="left"/>
        <w:rPr>
          <w:rFonts w:hint="eastAsia" w:ascii="宋体" w:hAnsi="宋体" w:eastAsia="宋体" w:cs="宋体"/>
          <w:color w:val="auto"/>
          <w:sz w:val="21"/>
          <w:szCs w:val="21"/>
          <w:highlight w:val="none"/>
        </w:rPr>
      </w:pPr>
    </w:p>
    <w:p w14:paraId="54B779CA">
      <w:pPr>
        <w:autoSpaceDE w:val="0"/>
        <w:autoSpaceDN w:val="0"/>
        <w:snapToGrid w:val="0"/>
        <w:spacing w:line="360" w:lineRule="auto"/>
        <w:jc w:val="left"/>
        <w:rPr>
          <w:rFonts w:hint="eastAsia" w:ascii="宋体" w:hAnsi="宋体" w:eastAsia="宋体" w:cs="宋体"/>
          <w:color w:val="auto"/>
          <w:sz w:val="21"/>
          <w:szCs w:val="21"/>
          <w:highlight w:val="none"/>
        </w:rPr>
      </w:pPr>
    </w:p>
    <w:p w14:paraId="79C84279">
      <w:pPr>
        <w:tabs>
          <w:tab w:val="left" w:pos="5460"/>
        </w:tabs>
        <w:autoSpaceDE w:val="0"/>
        <w:autoSpaceDN w:val="0"/>
        <w:snapToGrid w:val="0"/>
        <w:spacing w:line="360" w:lineRule="auto"/>
        <w:ind w:firstLine="2100"/>
        <w:jc w:val="left"/>
        <w:rPr>
          <w:rFonts w:hint="eastAsia" w:ascii="宋体" w:hAnsi="宋体" w:eastAsia="宋体" w:cs="宋体"/>
          <w:color w:val="auto"/>
          <w:sz w:val="21"/>
          <w:szCs w:val="21"/>
          <w:highlight w:val="none"/>
        </w:rPr>
      </w:pPr>
    </w:p>
    <w:p w14:paraId="20FB64FC">
      <w:pPr>
        <w:tabs>
          <w:tab w:val="left" w:pos="5460"/>
        </w:tabs>
        <w:autoSpaceDE w:val="0"/>
        <w:autoSpaceDN w:val="0"/>
        <w:snapToGrid w:val="0"/>
        <w:spacing w:line="360" w:lineRule="auto"/>
        <w:ind w:firstLine="2100"/>
        <w:jc w:val="left"/>
        <w:rPr>
          <w:rFonts w:hint="eastAsia" w:ascii="宋体" w:hAnsi="宋体" w:eastAsia="宋体" w:cs="宋体"/>
          <w:color w:val="auto"/>
          <w:sz w:val="21"/>
          <w:szCs w:val="21"/>
          <w:highlight w:val="none"/>
        </w:rPr>
      </w:pPr>
    </w:p>
    <w:p w14:paraId="1A9C44D6">
      <w:pPr>
        <w:tabs>
          <w:tab w:val="left" w:pos="5460"/>
        </w:tabs>
        <w:autoSpaceDE w:val="0"/>
        <w:autoSpaceDN w:val="0"/>
        <w:snapToGrid w:val="0"/>
        <w:spacing w:line="360" w:lineRule="auto"/>
        <w:ind w:firstLine="2100"/>
        <w:jc w:val="left"/>
        <w:rPr>
          <w:rFonts w:hint="eastAsia" w:ascii="宋体" w:hAnsi="宋体" w:eastAsia="宋体" w:cs="宋体"/>
          <w:color w:val="auto"/>
          <w:sz w:val="21"/>
          <w:szCs w:val="21"/>
          <w:highlight w:val="none"/>
        </w:rPr>
      </w:pPr>
    </w:p>
    <w:p w14:paraId="42DAB0C4">
      <w:pPr>
        <w:tabs>
          <w:tab w:val="left" w:pos="5460"/>
        </w:tabs>
        <w:autoSpaceDE w:val="0"/>
        <w:autoSpaceDN w:val="0"/>
        <w:snapToGrid w:val="0"/>
        <w:spacing w:line="360" w:lineRule="auto"/>
        <w:ind w:firstLine="2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w:t>
      </w:r>
      <w:r>
        <w:rPr>
          <w:rFonts w:hint="eastAsia" w:ascii="宋体" w:hAnsi="宋体" w:eastAsia="宋体" w:cs="宋体"/>
          <w:color w:val="auto"/>
          <w:w w:val="200"/>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盖单位法人章）</w:t>
      </w:r>
    </w:p>
    <w:p w14:paraId="47A18023">
      <w:pPr>
        <w:autoSpaceDE w:val="0"/>
        <w:autoSpaceDN w:val="0"/>
        <w:snapToGrid w:val="0"/>
        <w:spacing w:line="360" w:lineRule="auto"/>
        <w:jc w:val="left"/>
        <w:rPr>
          <w:rFonts w:hint="eastAsia" w:ascii="宋体" w:hAnsi="宋体" w:eastAsia="宋体" w:cs="宋体"/>
          <w:color w:val="auto"/>
          <w:sz w:val="21"/>
          <w:szCs w:val="21"/>
          <w:highlight w:val="none"/>
        </w:rPr>
      </w:pPr>
    </w:p>
    <w:p w14:paraId="078EB5C5">
      <w:pPr>
        <w:tabs>
          <w:tab w:val="left" w:pos="4935"/>
          <w:tab w:val="left" w:pos="5460"/>
          <w:tab w:val="left" w:pos="6400"/>
        </w:tabs>
        <w:autoSpaceDE w:val="0"/>
        <w:autoSpaceDN w:val="0"/>
        <w:snapToGrid w:val="0"/>
        <w:spacing w:line="360" w:lineRule="auto"/>
        <w:ind w:firstLine="3780"/>
        <w:jc w:val="left"/>
        <w:rPr>
          <w:rFonts w:hint="eastAsia" w:ascii="宋体" w:hAnsi="宋体" w:eastAsia="宋体" w:cs="宋体"/>
          <w:color w:val="auto"/>
          <w:sz w:val="21"/>
          <w:szCs w:val="21"/>
          <w:highlight w:val="none"/>
        </w:rPr>
      </w:pPr>
      <w:r>
        <w:rPr>
          <w:rFonts w:hint="eastAsia" w:ascii="宋体" w:hAnsi="宋体" w:eastAsia="宋体" w:cs="宋体"/>
          <w:color w:val="auto"/>
          <w:w w:val="200"/>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
          <w:sz w:val="21"/>
          <w:szCs w:val="21"/>
          <w:highlight w:val="none"/>
        </w:rPr>
        <w:t>年</w:t>
      </w:r>
      <w:r>
        <w:rPr>
          <w:rFonts w:hint="eastAsia" w:ascii="宋体" w:hAnsi="宋体" w:eastAsia="宋体" w:cs="宋体"/>
          <w:color w:val="auto"/>
          <w:w w:val="200"/>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w w:val="200"/>
          <w:sz w:val="21"/>
          <w:szCs w:val="21"/>
          <w:highlight w:val="none"/>
          <w:u w:val="single"/>
        </w:rPr>
        <w:t xml:space="preserve">   </w:t>
      </w:r>
      <w:r>
        <w:rPr>
          <w:rFonts w:hint="eastAsia" w:ascii="宋体" w:hAnsi="宋体" w:eastAsia="宋体" w:cs="宋体"/>
          <w:color w:val="auto"/>
          <w:sz w:val="21"/>
          <w:szCs w:val="21"/>
          <w:highlight w:val="none"/>
        </w:rPr>
        <w:t>日</w:t>
      </w:r>
    </w:p>
    <w:p w14:paraId="429E5D95">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1"/>
          <w:szCs w:val="21"/>
          <w:highlight w:val="none"/>
        </w:rPr>
        <w:br w:type="page"/>
      </w:r>
      <w:bookmarkEnd w:id="1373"/>
      <w:bookmarkEnd w:id="1374"/>
      <w:bookmarkEnd w:id="1375"/>
      <w:bookmarkStart w:id="1376" w:name="_Toc20740"/>
      <w:bookmarkStart w:id="1377" w:name="_Toc362508711"/>
      <w:bookmarkStart w:id="1378" w:name="_Toc287607882"/>
      <w:bookmarkStart w:id="1379" w:name="_Toc364781352"/>
      <w:bookmarkStart w:id="1380" w:name="_Toc277082656"/>
      <w:bookmarkStart w:id="1381" w:name="_Toc360434967"/>
      <w:bookmarkStart w:id="1382" w:name="_Toc224103510"/>
      <w:r>
        <w:rPr>
          <w:rFonts w:hint="eastAsia" w:ascii="宋体" w:hAnsi="宋体" w:eastAsia="宋体" w:cs="宋体"/>
          <w:b/>
          <w:bCs/>
          <w:color w:val="auto"/>
          <w:sz w:val="28"/>
          <w:szCs w:val="28"/>
          <w:highlight w:val="none"/>
        </w:rPr>
        <w:t>授  权  委  托  书</w:t>
      </w:r>
    </w:p>
    <w:p w14:paraId="02BA5CAD">
      <w:pPr>
        <w:spacing w:line="360" w:lineRule="auto"/>
        <w:ind w:firstLine="482" w:firstLineChars="200"/>
        <w:jc w:val="center"/>
        <w:rPr>
          <w:rFonts w:hint="eastAsia" w:ascii="宋体" w:hAnsi="宋体" w:eastAsia="宋体" w:cs="宋体"/>
          <w:b/>
          <w:color w:val="auto"/>
          <w:sz w:val="24"/>
          <w:szCs w:val="24"/>
          <w:highlight w:val="none"/>
        </w:rPr>
      </w:pPr>
    </w:p>
    <w:p w14:paraId="26EBEE25">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（姓名）为我方代理人。代理人根据授权，以我方名义签署、澄清、说明、补正、递交、撤回、修改、领取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（项目名称）施工</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、签订合同和处理有关事宜，其法律后果由我方承担。</w:t>
      </w:r>
    </w:p>
    <w:p w14:paraId="2694AD77">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6CEF7B">
      <w:pPr>
        <w:spacing w:line="360" w:lineRule="exact"/>
        <w:ind w:firstLine="420" w:firstLineChars="200"/>
        <w:rPr>
          <w:rFonts w:hint="eastAsia" w:ascii="宋体" w:hAnsi="宋体" w:eastAsia="宋体" w:cs="宋体"/>
          <w:color w:val="auto"/>
          <w:sz w:val="21"/>
          <w:szCs w:val="21"/>
          <w:highlight w:val="none"/>
        </w:rPr>
      </w:pPr>
    </w:p>
    <w:p w14:paraId="09F0CE01">
      <w:pPr>
        <w:spacing w:line="360" w:lineRule="exact"/>
        <w:ind w:firstLine="420" w:firstLineChars="200"/>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附：法定代表人和代理人的身份证复印件。</w:t>
      </w:r>
    </w:p>
    <w:p w14:paraId="2DE66B9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0"/>
          <w:sz w:val="21"/>
          <w:szCs w:val="21"/>
          <w:highlight w:val="none"/>
          <w:lang w:eastAsia="zh-CN"/>
        </w:rPr>
        <w:t>竞标人</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（盖单位法人章）</w:t>
      </w:r>
    </w:p>
    <w:p w14:paraId="042807B1">
      <w:pPr>
        <w:spacing w:line="3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盖章）</w:t>
      </w:r>
    </w:p>
    <w:p w14:paraId="5FDD396D">
      <w:pPr>
        <w:spacing w:line="3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6D18DB5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7CE20294">
      <w:pPr>
        <w:spacing w:line="360" w:lineRule="exact"/>
        <w:ind w:firstLine="105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0804C3F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委托代理人社保号：</w:t>
      </w:r>
      <w:r>
        <w:rPr>
          <w:rFonts w:hint="eastAsia" w:ascii="宋体" w:hAnsi="宋体" w:eastAsia="宋体" w:cs="宋体"/>
          <w:color w:val="auto"/>
          <w:sz w:val="21"/>
          <w:szCs w:val="21"/>
          <w:highlight w:val="none"/>
          <w:u w:val="single"/>
        </w:rPr>
        <w:t xml:space="preserve">           </w:t>
      </w:r>
    </w:p>
    <w:p w14:paraId="36D2C2FB">
      <w:pPr>
        <w:spacing w:line="36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日期：    年   月   日</w:t>
      </w:r>
    </w:p>
    <w:p w14:paraId="696B1073">
      <w:pPr>
        <w:spacing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102235</wp:posOffset>
                </wp:positionV>
                <wp:extent cx="5476240" cy="1600200"/>
                <wp:effectExtent l="4445" t="4445" r="5715" b="14605"/>
                <wp:wrapNone/>
                <wp:docPr id="4" name="矩形 4"/>
                <wp:cNvGraphicFramePr/>
                <a:graphic xmlns:a="http://schemas.openxmlformats.org/drawingml/2006/main">
                  <a:graphicData uri="http://schemas.microsoft.com/office/word/2010/wordprocessingShape">
                    <wps:wsp>
                      <wps:cNvSpPr/>
                      <wps:spPr>
                        <a:xfrm>
                          <a:off x="0" y="0"/>
                          <a:ext cx="547624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5B69D07D">
                            <w:pPr>
                              <w:jc w:val="center"/>
                              <w:rPr>
                                <w:rFonts w:hint="eastAsia" w:ascii="宋体" w:hAnsi="宋体" w:eastAsia="宋体" w:cs="宋体"/>
                                <w:sz w:val="24"/>
                                <w:szCs w:val="24"/>
                              </w:rPr>
                            </w:pPr>
                            <w:r>
                              <w:rPr>
                                <w:rFonts w:hint="eastAsia" w:ascii="宋体" w:hAnsi="宋体" w:eastAsia="宋体" w:cs="宋体"/>
                                <w:sz w:val="24"/>
                                <w:szCs w:val="24"/>
                              </w:rPr>
                              <w:t>授权代表人身份证复印件（双面）</w:t>
                            </w:r>
                          </w:p>
                        </w:txbxContent>
                      </wps:txbx>
                      <wps:bodyPr upright="1"/>
                    </wps:wsp>
                  </a:graphicData>
                </a:graphic>
              </wp:anchor>
            </w:drawing>
          </mc:Choice>
          <mc:Fallback>
            <w:pict>
              <v:rect id="_x0000_s1026" o:spid="_x0000_s1026" o:spt="1" style="position:absolute;left:0pt;margin-left:4.55pt;margin-top:8.05pt;height:126pt;width:431.2pt;z-index:251659264;mso-width-relative:page;mso-height-relative:page;" fillcolor="#FFFFFF" filled="t" stroked="t" coordsize="21600,21600" o:gfxdata="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JHVT9MAAAAIAQAADwAAAAAAAAABACAAAAAiAAAAZHJzL2Rv&#10;d25yZXYueG1sUEsBAhQAFAAAAAgAh07iQF5UtgkGAgAAOQQAAA4AAAAAAAAAAQAgAAAAIgEAAGRy&#10;cy9lMm9Eb2MueG1sUEsFBgAAAAAGAAYAWQEAAJoFAAAAAA==&#10;">
                <v:fill on="t" focussize="0,0"/>
                <v:stroke color="#000000" joinstyle="miter" dashstyle="1 1"/>
                <v:imagedata o:title=""/>
                <o:lock v:ext="edit" aspectratio="f"/>
                <v:textbox>
                  <w:txbxContent>
                    <w:p w14:paraId="5B69D07D">
                      <w:pPr>
                        <w:jc w:val="center"/>
                        <w:rPr>
                          <w:rFonts w:hint="eastAsia" w:ascii="宋体" w:hAnsi="宋体" w:eastAsia="宋体" w:cs="宋体"/>
                          <w:sz w:val="24"/>
                          <w:szCs w:val="24"/>
                        </w:rPr>
                      </w:pPr>
                      <w:r>
                        <w:rPr>
                          <w:rFonts w:hint="eastAsia" w:ascii="宋体" w:hAnsi="宋体" w:eastAsia="宋体" w:cs="宋体"/>
                          <w:sz w:val="24"/>
                          <w:szCs w:val="24"/>
                        </w:rPr>
                        <w:t>授权代表人身份证复印件（双面）</w:t>
                      </w:r>
                    </w:p>
                  </w:txbxContent>
                </v:textbox>
              </v:rect>
            </w:pict>
          </mc:Fallback>
        </mc:AlternateContent>
      </w:r>
    </w:p>
    <w:p w14:paraId="1BEB5C01">
      <w:pPr>
        <w:spacing w:line="360" w:lineRule="auto"/>
        <w:jc w:val="center"/>
        <w:rPr>
          <w:rFonts w:hint="eastAsia" w:ascii="宋体" w:hAnsi="宋体" w:eastAsia="宋体" w:cs="宋体"/>
          <w:color w:val="auto"/>
          <w:spacing w:val="20"/>
          <w:sz w:val="24"/>
          <w:szCs w:val="24"/>
          <w:highlight w:val="none"/>
        </w:rPr>
      </w:pPr>
    </w:p>
    <w:p w14:paraId="3521A1D9">
      <w:pPr>
        <w:spacing w:line="360" w:lineRule="auto"/>
        <w:jc w:val="center"/>
        <w:rPr>
          <w:rFonts w:hint="eastAsia" w:ascii="宋体" w:hAnsi="宋体" w:eastAsia="宋体" w:cs="宋体"/>
          <w:color w:val="auto"/>
          <w:spacing w:val="20"/>
          <w:sz w:val="24"/>
          <w:szCs w:val="24"/>
          <w:highlight w:val="none"/>
        </w:rPr>
      </w:pPr>
    </w:p>
    <w:p w14:paraId="66A72047">
      <w:pPr>
        <w:spacing w:line="360" w:lineRule="auto"/>
        <w:jc w:val="center"/>
        <w:rPr>
          <w:rFonts w:hint="eastAsia" w:ascii="宋体" w:hAnsi="宋体" w:eastAsia="宋体" w:cs="宋体"/>
          <w:color w:val="auto"/>
          <w:spacing w:val="20"/>
          <w:sz w:val="24"/>
          <w:szCs w:val="24"/>
          <w:highlight w:val="none"/>
        </w:rPr>
      </w:pPr>
    </w:p>
    <w:p w14:paraId="3FAE6AA7">
      <w:pPr>
        <w:spacing w:line="360" w:lineRule="auto"/>
        <w:jc w:val="both"/>
        <w:rPr>
          <w:rFonts w:hint="eastAsia" w:ascii="宋体" w:hAnsi="宋体" w:eastAsia="宋体" w:cs="宋体"/>
          <w:color w:val="auto"/>
          <w:spacing w:val="20"/>
          <w:sz w:val="24"/>
          <w:szCs w:val="24"/>
          <w:highlight w:val="none"/>
        </w:rPr>
      </w:pPr>
    </w:p>
    <w:p w14:paraId="2233B43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2CBFD2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1、法定代表人参加</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活动并签署文件的不需要授权委托书，只需提供法定代表人身份证明；非法定代表人参加</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活动及签署文件的除提供法定代表人身份证明外还须提供授权委托书。</w:t>
      </w:r>
    </w:p>
    <w:p w14:paraId="6B72B81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2、法定代表人身份证明及授权委托书原件装入</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一并递交。另外须准备一份在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现场出具。</w:t>
      </w:r>
    </w:p>
    <w:p w14:paraId="74B38D63">
      <w:pPr>
        <w:pStyle w:val="5"/>
        <w:jc w:val="both"/>
        <w:rPr>
          <w:rFonts w:hint="eastAsia" w:ascii="方正仿宋_GBK" w:hAnsi="方正仿宋_GBK" w:eastAsia="方正仿宋_GBK" w:cs="方正仿宋_GBK"/>
          <w:color w:val="auto"/>
          <w:highlight w:val="none"/>
        </w:rPr>
      </w:pPr>
      <w:bookmarkStart w:id="1383" w:name="_Toc287620817"/>
      <w:bookmarkStart w:id="1384" w:name="_Toc224103498"/>
      <w:bookmarkStart w:id="1385" w:name="_Toc277082646"/>
      <w:bookmarkStart w:id="1386" w:name="_Toc287607870"/>
      <w:bookmarkStart w:id="1387" w:name="_Hlk86344884"/>
      <w:bookmarkStart w:id="1388" w:name="_Toc492244550"/>
      <w:bookmarkStart w:id="1389" w:name="_Toc430206089"/>
    </w:p>
    <w:p w14:paraId="4AA54337">
      <w:pPr>
        <w:rPr>
          <w:rFonts w:hint="eastAsia" w:ascii="方正仿宋_GBK" w:hAnsi="方正仿宋_GBK" w:eastAsia="方正仿宋_GBK" w:cs="方正仿宋_GBK"/>
          <w:color w:val="auto"/>
          <w:highlight w:val="none"/>
        </w:rPr>
      </w:pPr>
    </w:p>
    <w:p w14:paraId="7A4C84CA">
      <w:pPr>
        <w:pStyle w:val="2"/>
        <w:rPr>
          <w:rFonts w:hint="eastAsia" w:ascii="方正仿宋_GBK" w:hAnsi="方正仿宋_GBK" w:eastAsia="方正仿宋_GBK" w:cs="方正仿宋_GBK"/>
          <w:color w:val="auto"/>
          <w:highlight w:val="none"/>
        </w:rPr>
      </w:pPr>
    </w:p>
    <w:bookmarkEnd w:id="1383"/>
    <w:bookmarkEnd w:id="1384"/>
    <w:bookmarkEnd w:id="1385"/>
    <w:bookmarkEnd w:id="1386"/>
    <w:bookmarkEnd w:id="1387"/>
    <w:p w14:paraId="0A3814FB">
      <w:pPr>
        <w:pStyle w:val="30"/>
        <w:rPr>
          <w:rFonts w:hint="eastAsia" w:ascii="方正仿宋_GBK" w:hAnsi="方正仿宋_GBK" w:eastAsia="方正仿宋_GBK" w:cs="方正仿宋_GBK"/>
          <w:b/>
          <w:color w:val="auto"/>
          <w:sz w:val="28"/>
          <w:highlight w:val="none"/>
        </w:rPr>
      </w:pPr>
    </w:p>
    <w:p w14:paraId="51E880DA">
      <w:pPr>
        <w:pStyle w:val="30"/>
        <w:rPr>
          <w:rFonts w:hint="eastAsia" w:ascii="方正仿宋_GBK" w:hAnsi="方正仿宋_GBK" w:eastAsia="方正仿宋_GBK" w:cs="方正仿宋_GBK"/>
          <w:b/>
          <w:color w:val="auto"/>
          <w:sz w:val="28"/>
          <w:highlight w:val="none"/>
        </w:rPr>
      </w:pPr>
    </w:p>
    <w:p w14:paraId="127BCEFB">
      <w:pPr>
        <w:tabs>
          <w:tab w:val="left" w:pos="2000"/>
          <w:tab w:val="left" w:pos="5580"/>
          <w:tab w:val="left" w:pos="6220"/>
          <w:tab w:val="left" w:pos="6840"/>
          <w:tab w:val="left" w:pos="7460"/>
          <w:tab w:val="left" w:pos="8100"/>
        </w:tabs>
        <w:autoSpaceDE w:val="0"/>
        <w:autoSpaceDN w:val="0"/>
        <w:snapToGrid w:val="0"/>
        <w:spacing w:line="360" w:lineRule="auto"/>
        <w:ind w:firstLine="640" w:firstLineChars="200"/>
        <w:outlineLvl w:val="0"/>
        <w:rPr>
          <w:rFonts w:hint="eastAsia" w:ascii="宋体" w:hAnsi="宋体" w:eastAsia="宋体" w:cs="宋体"/>
          <w:color w:val="auto"/>
          <w:highlight w:val="none"/>
        </w:rPr>
      </w:pPr>
      <w:r>
        <w:rPr>
          <w:rFonts w:hint="eastAsia" w:ascii="方正仿宋_GBK" w:hAnsi="方正仿宋_GBK" w:eastAsia="方正仿宋_GBK" w:cs="方正仿宋_GBK"/>
          <w:color w:val="auto"/>
          <w:highlight w:val="none"/>
        </w:rPr>
        <w:t xml:space="preserve">            </w:t>
      </w:r>
      <w:r>
        <w:rPr>
          <w:rFonts w:hint="eastAsia" w:ascii="宋体" w:hAnsi="宋体" w:eastAsia="宋体" w:cs="宋体"/>
          <w:color w:val="auto"/>
          <w:highlight w:val="none"/>
        </w:rPr>
        <w:t xml:space="preserve">  </w:t>
      </w:r>
      <w:bookmarkStart w:id="1390" w:name="_Toc28318"/>
      <w:r>
        <w:rPr>
          <w:rFonts w:hint="eastAsia" w:ascii="宋体" w:hAnsi="宋体" w:eastAsia="宋体" w:cs="宋体"/>
          <w:b/>
          <w:bCs/>
          <w:color w:val="auto"/>
          <w:highlight w:val="none"/>
        </w:rPr>
        <w:t>二、</w:t>
      </w:r>
      <w:r>
        <w:rPr>
          <w:rFonts w:hint="eastAsia" w:ascii="宋体" w:hAnsi="宋体" w:eastAsia="宋体" w:cs="宋体"/>
          <w:b/>
          <w:bCs/>
          <w:color w:val="auto"/>
          <w:highlight w:val="none"/>
          <w:lang w:val="en-US" w:eastAsia="zh-CN"/>
        </w:rPr>
        <w:t>经济</w:t>
      </w:r>
      <w:r>
        <w:rPr>
          <w:rFonts w:hint="eastAsia" w:ascii="宋体" w:hAnsi="宋体" w:eastAsia="宋体" w:cs="宋体"/>
          <w:b/>
          <w:bCs/>
          <w:color w:val="auto"/>
          <w:highlight w:val="none"/>
        </w:rPr>
        <w:t>部分</w:t>
      </w:r>
      <w:bookmarkEnd w:id="1376"/>
      <w:bookmarkEnd w:id="1388"/>
      <w:bookmarkEnd w:id="1389"/>
      <w:bookmarkEnd w:id="1390"/>
    </w:p>
    <w:p w14:paraId="38CF598D">
      <w:pPr>
        <w:tabs>
          <w:tab w:val="left" w:pos="3530"/>
          <w:tab w:val="left" w:pos="5940"/>
        </w:tabs>
        <w:autoSpaceDE w:val="0"/>
        <w:autoSpaceDN w:val="0"/>
        <w:snapToGrid w:val="0"/>
        <w:spacing w:line="360" w:lineRule="auto"/>
        <w:jc w:val="left"/>
        <w:rPr>
          <w:rFonts w:hint="eastAsia" w:ascii="宋体" w:hAnsi="宋体" w:eastAsia="宋体" w:cs="宋体"/>
          <w:b/>
          <w:color w:val="auto"/>
          <w:sz w:val="28"/>
          <w:szCs w:val="28"/>
          <w:highlight w:val="none"/>
        </w:rPr>
      </w:pPr>
      <w:r>
        <w:rPr>
          <w:rFonts w:hint="eastAsia" w:ascii="方正仿宋_GBK" w:hAnsi="方正仿宋_GBK" w:eastAsia="方正仿宋_GBK" w:cs="方正仿宋_GBK"/>
          <w:b/>
          <w:color w:val="auto"/>
          <w:sz w:val="28"/>
          <w:szCs w:val="28"/>
          <w:highlight w:val="none"/>
          <w:u w:val="single"/>
        </w:rPr>
        <w:br w:type="page"/>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w w:val="99"/>
          <w:sz w:val="28"/>
          <w:szCs w:val="28"/>
          <w:highlight w:val="none"/>
        </w:rPr>
        <w:t>（项目名称</w:t>
      </w:r>
      <w:r>
        <w:rPr>
          <w:rFonts w:hint="eastAsia" w:ascii="宋体" w:hAnsi="宋体" w:eastAsia="宋体" w:cs="宋体"/>
          <w:b/>
          <w:color w:val="auto"/>
          <w:spacing w:val="1"/>
          <w:w w:val="99"/>
          <w:sz w:val="28"/>
          <w:szCs w:val="28"/>
          <w:highlight w:val="none"/>
        </w:rPr>
        <w:t>）</w:t>
      </w:r>
    </w:p>
    <w:p w14:paraId="06DB5A9D">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14:paraId="7CCF6C67">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4E0764FC">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2B1245A0">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14:paraId="152437F3">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5EAB6CD6">
      <w:pPr>
        <w:tabs>
          <w:tab w:val="left" w:pos="3600"/>
          <w:tab w:val="left" w:pos="4480"/>
          <w:tab w:val="left" w:pos="5360"/>
        </w:tabs>
        <w:autoSpaceDE w:val="0"/>
        <w:autoSpaceDN w:val="0"/>
        <w:snapToGrid w:val="0"/>
        <w:spacing w:line="360" w:lineRule="auto"/>
        <w:jc w:val="center"/>
        <w:rPr>
          <w:rFonts w:hint="eastAsia"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竞标文件</w:t>
      </w:r>
    </w:p>
    <w:p w14:paraId="5BAFD18D">
      <w:pPr>
        <w:autoSpaceDE w:val="0"/>
        <w:autoSpaceDN w:val="0"/>
        <w:snapToGrid w:val="0"/>
        <w:spacing w:line="360" w:lineRule="auto"/>
        <w:jc w:val="left"/>
        <w:rPr>
          <w:rFonts w:hint="eastAsia" w:ascii="宋体" w:hAnsi="宋体" w:eastAsia="宋体" w:cs="宋体"/>
          <w:color w:val="auto"/>
          <w:sz w:val="16"/>
          <w:szCs w:val="16"/>
          <w:highlight w:val="none"/>
        </w:rPr>
      </w:pPr>
    </w:p>
    <w:p w14:paraId="5918AEBB">
      <w:pPr>
        <w:autoSpaceDE w:val="0"/>
        <w:autoSpaceDN w:val="0"/>
        <w:snapToGrid w:val="0"/>
        <w:spacing w:line="360" w:lineRule="auto"/>
        <w:jc w:val="left"/>
        <w:rPr>
          <w:rFonts w:hint="eastAsia" w:ascii="宋体" w:hAnsi="宋体" w:eastAsia="宋体" w:cs="宋体"/>
          <w:b/>
          <w:color w:val="auto"/>
          <w:sz w:val="36"/>
          <w:szCs w:val="36"/>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36"/>
          <w:szCs w:val="36"/>
          <w:highlight w:val="none"/>
        </w:rPr>
        <w:t xml:space="preserve">     </w:t>
      </w:r>
      <w:r>
        <w:rPr>
          <w:rFonts w:hint="eastAsia" w:ascii="宋体" w:hAnsi="宋体" w:eastAsia="宋体" w:cs="宋体"/>
          <w:b/>
          <w:color w:val="auto"/>
          <w:sz w:val="36"/>
          <w:szCs w:val="36"/>
          <w:highlight w:val="none"/>
          <w:lang w:val="en-US" w:eastAsia="zh-CN"/>
        </w:rPr>
        <w:t>经济</w:t>
      </w:r>
      <w:r>
        <w:rPr>
          <w:rFonts w:hint="eastAsia" w:ascii="宋体" w:hAnsi="宋体" w:eastAsia="宋体" w:cs="宋体"/>
          <w:b/>
          <w:color w:val="auto"/>
          <w:sz w:val="36"/>
          <w:szCs w:val="36"/>
          <w:highlight w:val="none"/>
        </w:rPr>
        <w:t>部分</w:t>
      </w:r>
    </w:p>
    <w:p w14:paraId="1E9DB58E">
      <w:pPr>
        <w:autoSpaceDE w:val="0"/>
        <w:autoSpaceDN w:val="0"/>
        <w:snapToGrid w:val="0"/>
        <w:spacing w:line="360" w:lineRule="auto"/>
        <w:jc w:val="left"/>
        <w:rPr>
          <w:rFonts w:hint="eastAsia" w:ascii="宋体" w:hAnsi="宋体" w:eastAsia="宋体" w:cs="宋体"/>
          <w:color w:val="auto"/>
          <w:sz w:val="20"/>
          <w:szCs w:val="20"/>
          <w:highlight w:val="none"/>
        </w:rPr>
      </w:pPr>
    </w:p>
    <w:p w14:paraId="29C01E05">
      <w:pPr>
        <w:autoSpaceDE w:val="0"/>
        <w:autoSpaceDN w:val="0"/>
        <w:snapToGrid w:val="0"/>
        <w:spacing w:line="360" w:lineRule="auto"/>
        <w:jc w:val="left"/>
        <w:rPr>
          <w:rFonts w:hint="eastAsia" w:ascii="宋体" w:hAnsi="宋体" w:eastAsia="宋体" w:cs="宋体"/>
          <w:color w:val="auto"/>
          <w:sz w:val="20"/>
          <w:szCs w:val="20"/>
          <w:highlight w:val="none"/>
        </w:rPr>
      </w:pPr>
    </w:p>
    <w:p w14:paraId="7E02CE91">
      <w:pPr>
        <w:autoSpaceDE w:val="0"/>
        <w:autoSpaceDN w:val="0"/>
        <w:snapToGrid w:val="0"/>
        <w:spacing w:line="360" w:lineRule="auto"/>
        <w:jc w:val="left"/>
        <w:rPr>
          <w:rFonts w:hint="eastAsia" w:ascii="宋体" w:hAnsi="宋体" w:eastAsia="宋体" w:cs="宋体"/>
          <w:color w:val="auto"/>
          <w:sz w:val="20"/>
          <w:szCs w:val="20"/>
          <w:highlight w:val="none"/>
        </w:rPr>
      </w:pPr>
    </w:p>
    <w:p w14:paraId="68871FDA">
      <w:pPr>
        <w:autoSpaceDE w:val="0"/>
        <w:autoSpaceDN w:val="0"/>
        <w:snapToGrid w:val="0"/>
        <w:spacing w:line="360" w:lineRule="auto"/>
        <w:jc w:val="left"/>
        <w:rPr>
          <w:rFonts w:hint="eastAsia" w:ascii="宋体" w:hAnsi="宋体" w:eastAsia="宋体" w:cs="宋体"/>
          <w:color w:val="auto"/>
          <w:sz w:val="20"/>
          <w:szCs w:val="20"/>
          <w:highlight w:val="none"/>
        </w:rPr>
      </w:pPr>
    </w:p>
    <w:p w14:paraId="0C08682B">
      <w:pPr>
        <w:autoSpaceDE w:val="0"/>
        <w:autoSpaceDN w:val="0"/>
        <w:snapToGrid w:val="0"/>
        <w:spacing w:line="360" w:lineRule="auto"/>
        <w:jc w:val="left"/>
        <w:rPr>
          <w:rFonts w:hint="eastAsia" w:ascii="宋体" w:hAnsi="宋体" w:eastAsia="宋体" w:cs="宋体"/>
          <w:color w:val="auto"/>
          <w:sz w:val="20"/>
          <w:szCs w:val="20"/>
          <w:highlight w:val="none"/>
        </w:rPr>
      </w:pPr>
    </w:p>
    <w:p w14:paraId="0BD98E11">
      <w:pPr>
        <w:autoSpaceDE w:val="0"/>
        <w:autoSpaceDN w:val="0"/>
        <w:snapToGrid w:val="0"/>
        <w:spacing w:line="360" w:lineRule="auto"/>
        <w:jc w:val="left"/>
        <w:rPr>
          <w:rFonts w:hint="eastAsia" w:ascii="宋体" w:hAnsi="宋体" w:eastAsia="宋体" w:cs="宋体"/>
          <w:color w:val="auto"/>
          <w:sz w:val="20"/>
          <w:szCs w:val="20"/>
          <w:highlight w:val="none"/>
        </w:rPr>
      </w:pPr>
    </w:p>
    <w:p w14:paraId="0B87EB62">
      <w:pPr>
        <w:autoSpaceDE w:val="0"/>
        <w:autoSpaceDN w:val="0"/>
        <w:snapToGrid w:val="0"/>
        <w:spacing w:line="360" w:lineRule="auto"/>
        <w:jc w:val="left"/>
        <w:rPr>
          <w:rFonts w:hint="eastAsia" w:ascii="宋体" w:hAnsi="宋体" w:eastAsia="宋体" w:cs="宋体"/>
          <w:color w:val="auto"/>
          <w:sz w:val="20"/>
          <w:szCs w:val="20"/>
          <w:highlight w:val="none"/>
        </w:rPr>
      </w:pPr>
    </w:p>
    <w:p w14:paraId="10C1B913">
      <w:pPr>
        <w:autoSpaceDE w:val="0"/>
        <w:autoSpaceDN w:val="0"/>
        <w:snapToGrid w:val="0"/>
        <w:spacing w:line="360" w:lineRule="auto"/>
        <w:jc w:val="left"/>
        <w:rPr>
          <w:rFonts w:hint="eastAsia" w:ascii="宋体" w:hAnsi="宋体" w:eastAsia="宋体" w:cs="宋体"/>
          <w:color w:val="auto"/>
          <w:sz w:val="20"/>
          <w:szCs w:val="20"/>
          <w:highlight w:val="none"/>
        </w:rPr>
      </w:pPr>
    </w:p>
    <w:p w14:paraId="34FAECF6">
      <w:pPr>
        <w:tabs>
          <w:tab w:val="left" w:pos="6080"/>
          <w:tab w:val="left" w:pos="6640"/>
        </w:tabs>
        <w:autoSpaceDE w:val="0"/>
        <w:autoSpaceDN w:val="0"/>
        <w:snapToGrid w:val="0"/>
        <w:spacing w:line="360" w:lineRule="auto"/>
        <w:jc w:val="center"/>
        <w:rPr>
          <w:rFonts w:hint="eastAsia" w:ascii="宋体" w:hAnsi="宋体" w:eastAsia="宋体" w:cs="宋体"/>
          <w:b/>
          <w:color w:val="auto"/>
          <w:w w:val="99"/>
          <w:sz w:val="28"/>
          <w:szCs w:val="28"/>
          <w:highlight w:val="none"/>
        </w:rPr>
      </w:pPr>
      <w:r>
        <w:rPr>
          <w:rFonts w:hint="eastAsia" w:ascii="宋体" w:hAnsi="宋体" w:eastAsia="宋体" w:cs="宋体"/>
          <w:b/>
          <w:color w:val="auto"/>
          <w:w w:val="99"/>
          <w:sz w:val="28"/>
          <w:szCs w:val="28"/>
          <w:highlight w:val="none"/>
          <w:lang w:eastAsia="zh-CN"/>
        </w:rPr>
        <w:t>竞标人</w:t>
      </w:r>
      <w:r>
        <w:rPr>
          <w:rFonts w:hint="eastAsia" w:ascii="宋体" w:hAnsi="宋体" w:eastAsia="宋体" w:cs="宋体"/>
          <w:b/>
          <w:color w:val="auto"/>
          <w:spacing w:val="1"/>
          <w:w w:val="99"/>
          <w:sz w:val="28"/>
          <w:szCs w:val="28"/>
          <w:highlight w:val="none"/>
        </w:rPr>
        <w:t>：</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（盖单位法人章）</w:t>
      </w:r>
    </w:p>
    <w:p w14:paraId="2B1D39AA">
      <w:pPr>
        <w:tabs>
          <w:tab w:val="left" w:pos="6080"/>
          <w:tab w:val="left" w:pos="6640"/>
        </w:tabs>
        <w:autoSpaceDE w:val="0"/>
        <w:autoSpaceDN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w w:val="99"/>
          <w:sz w:val="28"/>
          <w:szCs w:val="28"/>
          <w:highlight w:val="none"/>
        </w:rPr>
        <w:t>法定代表人或其委托代理人：</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（签字或盖章）</w:t>
      </w:r>
    </w:p>
    <w:p w14:paraId="158F601F">
      <w:pPr>
        <w:tabs>
          <w:tab w:val="left" w:pos="3280"/>
          <w:tab w:val="left" w:pos="4680"/>
          <w:tab w:val="left" w:pos="6080"/>
        </w:tabs>
        <w:autoSpaceDE w:val="0"/>
        <w:autoSpaceDN w:val="0"/>
        <w:snapToGrid w:val="0"/>
        <w:spacing w:line="360" w:lineRule="auto"/>
        <w:jc w:val="center"/>
        <w:rPr>
          <w:rFonts w:hint="eastAsia" w:ascii="宋体" w:hAnsi="宋体" w:eastAsia="宋体" w:cs="宋体"/>
          <w:b/>
          <w:color w:val="auto"/>
          <w:w w:val="99"/>
          <w:sz w:val="28"/>
          <w:szCs w:val="28"/>
          <w:highlight w:val="none"/>
        </w:rPr>
      </w:pPr>
      <w:r>
        <w:rPr>
          <w:rFonts w:hint="eastAsia" w:ascii="宋体" w:hAnsi="宋体" w:eastAsia="宋体" w:cs="宋体"/>
          <w:b/>
          <w:color w:val="auto"/>
          <w:w w:val="99"/>
          <w:sz w:val="28"/>
          <w:szCs w:val="28"/>
          <w:highlight w:val="none"/>
          <w:u w:val="single"/>
        </w:rPr>
        <w:t xml:space="preserve">       </w:t>
      </w:r>
      <w:r>
        <w:rPr>
          <w:rFonts w:hint="eastAsia" w:ascii="宋体" w:hAnsi="宋体" w:eastAsia="宋体" w:cs="宋体"/>
          <w:b/>
          <w:color w:val="auto"/>
          <w:w w:val="99"/>
          <w:sz w:val="28"/>
          <w:szCs w:val="28"/>
          <w:highlight w:val="none"/>
        </w:rPr>
        <w:t>年</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月</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日</w:t>
      </w:r>
    </w:p>
    <w:p w14:paraId="7417638A">
      <w:pPr>
        <w:autoSpaceDE w:val="0"/>
        <w:autoSpaceDN w:val="0"/>
        <w:snapToGrid w:val="0"/>
        <w:spacing w:line="360" w:lineRule="auto"/>
        <w:jc w:val="center"/>
        <w:rPr>
          <w:rFonts w:hint="eastAsia" w:ascii="方正仿宋_GBK" w:hAnsi="方正仿宋_GBK" w:eastAsia="方正仿宋_GBK" w:cs="方正仿宋_GBK"/>
          <w:b/>
          <w:color w:val="auto"/>
          <w:sz w:val="28"/>
          <w:highlight w:val="none"/>
        </w:rPr>
      </w:pPr>
      <w:r>
        <w:rPr>
          <w:rFonts w:hint="eastAsia" w:ascii="方正仿宋_GBK" w:hAnsi="方正仿宋_GBK" w:eastAsia="方正仿宋_GBK" w:cs="方正仿宋_GBK"/>
          <w:b/>
          <w:color w:val="auto"/>
          <w:w w:val="99"/>
          <w:sz w:val="28"/>
          <w:szCs w:val="28"/>
          <w:highlight w:val="none"/>
        </w:rPr>
        <w:br w:type="page"/>
      </w:r>
      <w:bookmarkStart w:id="1391" w:name="_Toc19345"/>
    </w:p>
    <w:p w14:paraId="7C8D688B">
      <w:pPr>
        <w:autoSpaceDE w:val="0"/>
        <w:autoSpaceDN w:val="0"/>
        <w:adjustRightInd w:val="0"/>
        <w:snapToGrid w:val="0"/>
        <w:spacing w:line="360" w:lineRule="auto"/>
        <w:jc w:val="center"/>
        <w:rPr>
          <w:rFonts w:hint="eastAsia" w:ascii="宋体" w:hAnsi="宋体" w:eastAsia="宋体" w:cs="宋体"/>
          <w:kern w:val="0"/>
          <w:sz w:val="21"/>
          <w:szCs w:val="21"/>
        </w:rPr>
      </w:pPr>
      <w:bookmarkStart w:id="1392" w:name="_Toc492244551"/>
      <w:bookmarkStart w:id="1393" w:name="_Toc430206090"/>
      <w:r>
        <w:rPr>
          <w:rFonts w:hint="eastAsia" w:ascii="宋体" w:hAnsi="宋体" w:eastAsia="宋体" w:cs="宋体"/>
          <w:kern w:val="0"/>
          <w:sz w:val="21"/>
          <w:szCs w:val="21"/>
        </w:rPr>
        <w:t>目  录</w:t>
      </w:r>
    </w:p>
    <w:p w14:paraId="4A73C721">
      <w:pPr>
        <w:autoSpaceDE w:val="0"/>
        <w:autoSpaceDN w:val="0"/>
        <w:adjustRightInd w:val="0"/>
        <w:snapToGrid w:val="0"/>
        <w:spacing w:line="360" w:lineRule="auto"/>
        <w:jc w:val="left"/>
        <w:rPr>
          <w:rFonts w:hint="eastAsia" w:ascii="宋体" w:hAnsi="宋体" w:eastAsia="宋体" w:cs="宋体"/>
          <w:kern w:val="0"/>
          <w:sz w:val="21"/>
          <w:szCs w:val="21"/>
        </w:rPr>
      </w:pPr>
    </w:p>
    <w:p w14:paraId="15F1371E">
      <w:pPr>
        <w:autoSpaceDE w:val="0"/>
        <w:autoSpaceDN w:val="0"/>
        <w:adjustRightInd w:val="0"/>
        <w:snapToGrid w:val="0"/>
        <w:spacing w:line="360" w:lineRule="auto"/>
        <w:jc w:val="center"/>
        <w:rPr>
          <w:rFonts w:hint="eastAsia" w:ascii="宋体" w:hAnsi="宋体" w:eastAsia="宋体" w:cs="宋体"/>
          <w:i/>
          <w:iCs/>
          <w:kern w:val="0"/>
          <w:sz w:val="21"/>
          <w:szCs w:val="21"/>
        </w:rPr>
      </w:pPr>
      <w:r>
        <w:rPr>
          <w:rFonts w:hint="eastAsia" w:ascii="宋体" w:hAnsi="宋体" w:eastAsia="宋体" w:cs="宋体"/>
          <w:i/>
          <w:iCs/>
          <w:kern w:val="0"/>
          <w:sz w:val="21"/>
          <w:szCs w:val="21"/>
        </w:rPr>
        <w:t>[提示：目录由</w:t>
      </w:r>
      <w:r>
        <w:rPr>
          <w:rFonts w:hint="eastAsia" w:ascii="宋体" w:hAnsi="宋体" w:eastAsia="宋体" w:cs="宋体"/>
          <w:i/>
          <w:iCs/>
          <w:kern w:val="0"/>
          <w:sz w:val="21"/>
          <w:szCs w:val="21"/>
          <w:lang w:val="en-US" w:eastAsia="zh-CN"/>
        </w:rPr>
        <w:t>竞标人</w:t>
      </w:r>
      <w:r>
        <w:rPr>
          <w:rFonts w:hint="eastAsia" w:ascii="宋体" w:hAnsi="宋体" w:eastAsia="宋体" w:cs="宋体"/>
          <w:i/>
          <w:iCs/>
          <w:kern w:val="0"/>
          <w:sz w:val="21"/>
          <w:szCs w:val="21"/>
        </w:rPr>
        <w:t>自行编制]</w:t>
      </w:r>
    </w:p>
    <w:p w14:paraId="1BBA8C8A">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r>
        <w:rPr>
          <w:rFonts w:hint="eastAsia" w:ascii="方正仿宋_GBK" w:hAnsi="方正仿宋_GBK" w:eastAsia="方正仿宋_GBK" w:cs="方正仿宋_GBK"/>
          <w:b/>
          <w:color w:val="auto"/>
          <w:sz w:val="28"/>
          <w:highlight w:val="none"/>
        </w:rPr>
        <w:br w:type="page"/>
      </w:r>
    </w:p>
    <w:p w14:paraId="619D93D5">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lang w:eastAsia="zh-CN"/>
        </w:rPr>
      </w:pPr>
    </w:p>
    <w:p w14:paraId="255B7826">
      <w:pPr>
        <w:autoSpaceDE w:val="0"/>
        <w:autoSpaceDN w:val="0"/>
        <w:snapToGrid w:val="0"/>
        <w:spacing w:line="360" w:lineRule="auto"/>
        <w:ind w:firstLine="482" w:firstLineChars="200"/>
        <w:jc w:val="center"/>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（一）已标价工程量清单</w:t>
      </w:r>
    </w:p>
    <w:p w14:paraId="27A7EF88">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28F4CD7E">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6ABAAA8C">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707D122">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0C7FA1CE">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53F7DB9A">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041C211C">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13044C0F">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E9E8DE0">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7BA5A5A">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A4B2FF6">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34CBF7A0">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05B28E87">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19CF70D2">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2716A313">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6667150A">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2BBB844C">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77E9B1A9">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0FD4945F">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1F43C519">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65D0FFD">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7CAE143F">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41C42A65">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6BE67544">
      <w:pPr>
        <w:autoSpaceDE w:val="0"/>
        <w:autoSpaceDN w:val="0"/>
        <w:snapToGrid w:val="0"/>
        <w:spacing w:line="360" w:lineRule="auto"/>
        <w:ind w:firstLine="562" w:firstLineChars="200"/>
        <w:jc w:val="center"/>
        <w:outlineLvl w:val="9"/>
        <w:rPr>
          <w:rFonts w:hint="eastAsia" w:ascii="方正仿宋_GBK" w:hAnsi="方正仿宋_GBK" w:eastAsia="方正仿宋_GBK" w:cs="方正仿宋_GBK"/>
          <w:b/>
          <w:color w:val="auto"/>
          <w:sz w:val="28"/>
          <w:highlight w:val="none"/>
        </w:rPr>
      </w:pPr>
    </w:p>
    <w:p w14:paraId="5DF750F5">
      <w:pPr>
        <w:autoSpaceDE w:val="0"/>
        <w:autoSpaceDN w:val="0"/>
        <w:snapToGrid w:val="0"/>
        <w:spacing w:line="360" w:lineRule="auto"/>
        <w:jc w:val="center"/>
        <w:outlineLvl w:val="0"/>
        <w:rPr>
          <w:rFonts w:hint="eastAsia" w:ascii="宋体" w:hAnsi="宋体" w:eastAsia="宋体" w:cs="宋体"/>
          <w:color w:val="auto"/>
          <w:highlight w:val="none"/>
        </w:rPr>
      </w:pPr>
      <w:bookmarkStart w:id="1394" w:name="_Toc5731"/>
      <w:r>
        <w:rPr>
          <w:rFonts w:hint="eastAsia" w:ascii="宋体" w:hAnsi="宋体" w:eastAsia="宋体" w:cs="宋体"/>
          <w:b/>
          <w:color w:val="auto"/>
          <w:sz w:val="28"/>
          <w:highlight w:val="none"/>
        </w:rPr>
        <w:t>三、资格审查资料</w:t>
      </w:r>
      <w:bookmarkEnd w:id="1377"/>
      <w:bookmarkEnd w:id="1378"/>
      <w:bookmarkEnd w:id="1379"/>
      <w:bookmarkEnd w:id="1380"/>
      <w:bookmarkEnd w:id="1381"/>
      <w:bookmarkEnd w:id="1382"/>
      <w:bookmarkEnd w:id="1391"/>
      <w:bookmarkEnd w:id="1392"/>
      <w:bookmarkEnd w:id="1393"/>
      <w:bookmarkEnd w:id="1394"/>
    </w:p>
    <w:p w14:paraId="7081245E">
      <w:pPr>
        <w:tabs>
          <w:tab w:val="left" w:pos="3530"/>
          <w:tab w:val="left" w:pos="5940"/>
        </w:tabs>
        <w:autoSpaceDE w:val="0"/>
        <w:autoSpaceDN w:val="0"/>
        <w:snapToGrid w:val="0"/>
        <w:spacing w:line="360" w:lineRule="auto"/>
        <w:jc w:val="left"/>
        <w:outlineLvl w:val="1"/>
        <w:rPr>
          <w:rFonts w:hint="eastAsia" w:ascii="宋体" w:hAnsi="宋体" w:eastAsia="宋体" w:cs="宋体"/>
          <w:b/>
          <w:color w:val="auto"/>
          <w:sz w:val="28"/>
          <w:szCs w:val="28"/>
          <w:highlight w:val="none"/>
        </w:rPr>
      </w:pPr>
      <w:r>
        <w:rPr>
          <w:rFonts w:hint="eastAsia" w:ascii="方正仿宋_GBK" w:hAnsi="方正仿宋_GBK" w:eastAsia="方正仿宋_GBK" w:cs="方正仿宋_GBK"/>
          <w:b/>
          <w:color w:val="auto"/>
          <w:sz w:val="28"/>
          <w:szCs w:val="28"/>
          <w:highlight w:val="none"/>
          <w:u w:val="single"/>
        </w:rPr>
        <w:br w:type="page"/>
      </w:r>
      <w:r>
        <w:rPr>
          <w:rFonts w:hint="eastAsia" w:ascii="宋体" w:hAnsi="宋体" w:eastAsia="宋体" w:cs="宋体"/>
          <w:b/>
          <w:color w:val="auto"/>
          <w:sz w:val="28"/>
          <w:szCs w:val="28"/>
          <w:highlight w:val="none"/>
          <w:u w:val="single"/>
        </w:rPr>
        <w:tab/>
      </w:r>
      <w:r>
        <w:rPr>
          <w:rFonts w:hint="eastAsia" w:ascii="宋体" w:hAnsi="宋体" w:eastAsia="宋体" w:cs="宋体"/>
          <w:b/>
          <w:color w:val="auto"/>
          <w:w w:val="198"/>
          <w:sz w:val="28"/>
          <w:szCs w:val="28"/>
          <w:highlight w:val="none"/>
          <w:u w:val="single"/>
        </w:rPr>
        <w:t xml:space="preserve">           </w:t>
      </w:r>
      <w:bookmarkStart w:id="1395" w:name="_Toc26139"/>
      <w:bookmarkStart w:id="1396" w:name="_Toc8185"/>
      <w:r>
        <w:rPr>
          <w:rFonts w:hint="eastAsia" w:ascii="宋体" w:hAnsi="宋体" w:eastAsia="宋体" w:cs="宋体"/>
          <w:b/>
          <w:color w:val="auto"/>
          <w:w w:val="99"/>
          <w:sz w:val="28"/>
          <w:szCs w:val="28"/>
          <w:highlight w:val="none"/>
        </w:rPr>
        <w:t>（项目名称</w:t>
      </w:r>
      <w:r>
        <w:rPr>
          <w:rFonts w:hint="eastAsia" w:ascii="宋体" w:hAnsi="宋体" w:eastAsia="宋体" w:cs="宋体"/>
          <w:b/>
          <w:color w:val="auto"/>
          <w:spacing w:val="1"/>
          <w:w w:val="99"/>
          <w:sz w:val="28"/>
          <w:szCs w:val="28"/>
          <w:highlight w:val="none"/>
        </w:rPr>
        <w:t>）</w:t>
      </w:r>
      <w:bookmarkEnd w:id="1395"/>
      <w:bookmarkEnd w:id="1396"/>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sz w:val="28"/>
          <w:szCs w:val="28"/>
          <w:highlight w:val="none"/>
          <w:u w:val="single"/>
        </w:rPr>
        <w:t xml:space="preserve"> </w:t>
      </w:r>
    </w:p>
    <w:p w14:paraId="1AC9E51D">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14:paraId="67750F55">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3631691E">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1252E0DB">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76F2B517">
      <w:pPr>
        <w:tabs>
          <w:tab w:val="left" w:pos="3600"/>
          <w:tab w:val="left" w:pos="4480"/>
          <w:tab w:val="left" w:pos="5360"/>
        </w:tabs>
        <w:autoSpaceDE w:val="0"/>
        <w:autoSpaceDN w:val="0"/>
        <w:snapToGrid w:val="0"/>
        <w:spacing w:line="360" w:lineRule="auto"/>
        <w:jc w:val="left"/>
        <w:rPr>
          <w:rFonts w:hint="eastAsia" w:ascii="宋体" w:hAnsi="宋体" w:eastAsia="宋体" w:cs="宋体"/>
          <w:color w:val="auto"/>
          <w:sz w:val="44"/>
          <w:szCs w:val="44"/>
          <w:highlight w:val="none"/>
        </w:rPr>
      </w:pPr>
    </w:p>
    <w:p w14:paraId="34B005EB">
      <w:pPr>
        <w:tabs>
          <w:tab w:val="left" w:pos="3600"/>
          <w:tab w:val="left" w:pos="4480"/>
          <w:tab w:val="left" w:pos="5360"/>
        </w:tabs>
        <w:autoSpaceDE w:val="0"/>
        <w:autoSpaceDN w:val="0"/>
        <w:snapToGrid w:val="0"/>
        <w:spacing w:line="360" w:lineRule="auto"/>
        <w:jc w:val="center"/>
        <w:rPr>
          <w:rFonts w:hint="eastAsia"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竞标文件</w:t>
      </w:r>
    </w:p>
    <w:p w14:paraId="7EEE9ED9">
      <w:pPr>
        <w:autoSpaceDE w:val="0"/>
        <w:autoSpaceDN w:val="0"/>
        <w:snapToGrid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36"/>
          <w:szCs w:val="36"/>
          <w:highlight w:val="none"/>
        </w:rPr>
        <w:t xml:space="preserve"> </w:t>
      </w:r>
      <w:r>
        <w:rPr>
          <w:rFonts w:hint="eastAsia" w:ascii="宋体" w:hAnsi="宋体" w:eastAsia="宋体" w:cs="宋体"/>
          <w:b/>
          <w:color w:val="auto"/>
          <w:sz w:val="36"/>
          <w:szCs w:val="36"/>
          <w:highlight w:val="none"/>
        </w:rPr>
        <w:t>资格审查</w:t>
      </w:r>
      <w:r>
        <w:rPr>
          <w:rFonts w:hint="eastAsia" w:ascii="宋体" w:hAnsi="宋体" w:eastAsia="宋体" w:cs="宋体"/>
          <w:b/>
          <w:color w:val="auto"/>
          <w:sz w:val="36"/>
          <w:szCs w:val="36"/>
          <w:highlight w:val="none"/>
          <w:lang w:val="en-US" w:eastAsia="zh-CN"/>
        </w:rPr>
        <w:t>部分</w:t>
      </w:r>
    </w:p>
    <w:p w14:paraId="52842F2E">
      <w:pPr>
        <w:snapToGrid w:val="0"/>
        <w:spacing w:line="264" w:lineRule="auto"/>
        <w:ind w:firstLine="960" w:firstLineChars="300"/>
        <w:rPr>
          <w:rFonts w:hint="eastAsia" w:ascii="宋体" w:hAnsi="宋体" w:eastAsia="宋体" w:cs="宋体"/>
          <w:color w:val="auto"/>
          <w:szCs w:val="21"/>
          <w:highlight w:val="none"/>
        </w:rPr>
      </w:pPr>
    </w:p>
    <w:p w14:paraId="3DAF6E1D">
      <w:pPr>
        <w:autoSpaceDE w:val="0"/>
        <w:autoSpaceDN w:val="0"/>
        <w:snapToGrid w:val="0"/>
        <w:spacing w:line="360" w:lineRule="auto"/>
        <w:jc w:val="left"/>
        <w:rPr>
          <w:rFonts w:hint="eastAsia" w:ascii="宋体" w:hAnsi="宋体" w:eastAsia="宋体" w:cs="宋体"/>
          <w:color w:val="auto"/>
          <w:sz w:val="20"/>
          <w:szCs w:val="20"/>
          <w:highlight w:val="none"/>
        </w:rPr>
      </w:pPr>
    </w:p>
    <w:p w14:paraId="2C70D22A">
      <w:pPr>
        <w:autoSpaceDE w:val="0"/>
        <w:autoSpaceDN w:val="0"/>
        <w:snapToGrid w:val="0"/>
        <w:spacing w:line="360" w:lineRule="auto"/>
        <w:jc w:val="left"/>
        <w:rPr>
          <w:rFonts w:hint="eastAsia" w:ascii="宋体" w:hAnsi="宋体" w:eastAsia="宋体" w:cs="宋体"/>
          <w:color w:val="auto"/>
          <w:sz w:val="20"/>
          <w:szCs w:val="20"/>
          <w:highlight w:val="none"/>
        </w:rPr>
      </w:pPr>
    </w:p>
    <w:p w14:paraId="14554AB2">
      <w:pPr>
        <w:autoSpaceDE w:val="0"/>
        <w:autoSpaceDN w:val="0"/>
        <w:snapToGrid w:val="0"/>
        <w:spacing w:line="360" w:lineRule="auto"/>
        <w:jc w:val="left"/>
        <w:rPr>
          <w:rFonts w:hint="eastAsia" w:ascii="宋体" w:hAnsi="宋体" w:eastAsia="宋体" w:cs="宋体"/>
          <w:color w:val="auto"/>
          <w:sz w:val="20"/>
          <w:szCs w:val="20"/>
          <w:highlight w:val="none"/>
        </w:rPr>
      </w:pPr>
    </w:p>
    <w:p w14:paraId="6883D574">
      <w:pPr>
        <w:autoSpaceDE w:val="0"/>
        <w:autoSpaceDN w:val="0"/>
        <w:snapToGrid w:val="0"/>
        <w:spacing w:line="360" w:lineRule="auto"/>
        <w:jc w:val="left"/>
        <w:rPr>
          <w:rFonts w:hint="eastAsia" w:ascii="宋体" w:hAnsi="宋体" w:eastAsia="宋体" w:cs="宋体"/>
          <w:color w:val="auto"/>
          <w:sz w:val="20"/>
          <w:szCs w:val="20"/>
          <w:highlight w:val="none"/>
        </w:rPr>
      </w:pPr>
    </w:p>
    <w:p w14:paraId="08CE1124">
      <w:pPr>
        <w:autoSpaceDE w:val="0"/>
        <w:autoSpaceDN w:val="0"/>
        <w:snapToGrid w:val="0"/>
        <w:spacing w:line="360" w:lineRule="auto"/>
        <w:jc w:val="left"/>
        <w:rPr>
          <w:rFonts w:hint="eastAsia" w:ascii="宋体" w:hAnsi="宋体" w:eastAsia="宋体" w:cs="宋体"/>
          <w:color w:val="auto"/>
          <w:sz w:val="20"/>
          <w:szCs w:val="20"/>
          <w:highlight w:val="none"/>
        </w:rPr>
      </w:pPr>
    </w:p>
    <w:p w14:paraId="1452D928">
      <w:pPr>
        <w:autoSpaceDE w:val="0"/>
        <w:autoSpaceDN w:val="0"/>
        <w:snapToGrid w:val="0"/>
        <w:spacing w:line="360" w:lineRule="auto"/>
        <w:jc w:val="left"/>
        <w:rPr>
          <w:rFonts w:hint="eastAsia" w:ascii="宋体" w:hAnsi="宋体" w:eastAsia="宋体" w:cs="宋体"/>
          <w:color w:val="auto"/>
          <w:sz w:val="20"/>
          <w:szCs w:val="20"/>
          <w:highlight w:val="none"/>
        </w:rPr>
      </w:pPr>
    </w:p>
    <w:p w14:paraId="0F1A62A8">
      <w:pPr>
        <w:autoSpaceDE w:val="0"/>
        <w:autoSpaceDN w:val="0"/>
        <w:snapToGrid w:val="0"/>
        <w:spacing w:line="360" w:lineRule="auto"/>
        <w:jc w:val="left"/>
        <w:rPr>
          <w:rFonts w:hint="eastAsia" w:ascii="宋体" w:hAnsi="宋体" w:eastAsia="宋体" w:cs="宋体"/>
          <w:color w:val="auto"/>
          <w:sz w:val="20"/>
          <w:szCs w:val="20"/>
          <w:highlight w:val="none"/>
        </w:rPr>
      </w:pPr>
    </w:p>
    <w:p w14:paraId="65A2525E">
      <w:pPr>
        <w:autoSpaceDE w:val="0"/>
        <w:autoSpaceDN w:val="0"/>
        <w:snapToGrid w:val="0"/>
        <w:spacing w:line="360" w:lineRule="auto"/>
        <w:jc w:val="left"/>
        <w:rPr>
          <w:rFonts w:hint="eastAsia" w:ascii="宋体" w:hAnsi="宋体" w:eastAsia="宋体" w:cs="宋体"/>
          <w:color w:val="auto"/>
          <w:sz w:val="20"/>
          <w:szCs w:val="20"/>
          <w:highlight w:val="none"/>
        </w:rPr>
      </w:pPr>
    </w:p>
    <w:p w14:paraId="6E383A4B">
      <w:pPr>
        <w:tabs>
          <w:tab w:val="left" w:pos="6080"/>
          <w:tab w:val="left" w:pos="6640"/>
        </w:tabs>
        <w:autoSpaceDE w:val="0"/>
        <w:autoSpaceDN w:val="0"/>
        <w:snapToGrid w:val="0"/>
        <w:spacing w:line="360" w:lineRule="auto"/>
        <w:jc w:val="center"/>
        <w:outlineLvl w:val="1"/>
        <w:rPr>
          <w:rFonts w:hint="eastAsia" w:ascii="宋体" w:hAnsi="宋体" w:eastAsia="宋体" w:cs="宋体"/>
          <w:b/>
          <w:color w:val="auto"/>
          <w:w w:val="99"/>
          <w:sz w:val="28"/>
          <w:szCs w:val="28"/>
          <w:highlight w:val="none"/>
        </w:rPr>
      </w:pPr>
      <w:bookmarkStart w:id="1397" w:name="_Toc22149"/>
      <w:bookmarkStart w:id="1398" w:name="_Toc2126"/>
      <w:r>
        <w:rPr>
          <w:rFonts w:hint="eastAsia" w:ascii="宋体" w:hAnsi="宋体" w:eastAsia="宋体" w:cs="宋体"/>
          <w:b/>
          <w:color w:val="auto"/>
          <w:w w:val="99"/>
          <w:sz w:val="28"/>
          <w:szCs w:val="28"/>
          <w:highlight w:val="none"/>
          <w:lang w:eastAsia="zh-CN"/>
        </w:rPr>
        <w:t>竞标人</w:t>
      </w:r>
      <w:r>
        <w:rPr>
          <w:rFonts w:hint="eastAsia" w:ascii="宋体" w:hAnsi="宋体" w:eastAsia="宋体" w:cs="宋体"/>
          <w:b/>
          <w:color w:val="auto"/>
          <w:spacing w:val="1"/>
          <w:w w:val="99"/>
          <w:sz w:val="28"/>
          <w:szCs w:val="28"/>
          <w:highlight w:val="none"/>
        </w:rPr>
        <w:t>：</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（盖单位法人章）</w:t>
      </w:r>
      <w:bookmarkEnd w:id="1397"/>
      <w:bookmarkEnd w:id="1398"/>
    </w:p>
    <w:p w14:paraId="2D712320">
      <w:pPr>
        <w:tabs>
          <w:tab w:val="left" w:pos="6080"/>
          <w:tab w:val="left" w:pos="6640"/>
        </w:tabs>
        <w:autoSpaceDE w:val="0"/>
        <w:autoSpaceDN w:val="0"/>
        <w:snapToGrid w:val="0"/>
        <w:spacing w:line="360" w:lineRule="auto"/>
        <w:jc w:val="center"/>
        <w:outlineLvl w:val="1"/>
        <w:rPr>
          <w:rFonts w:hint="eastAsia" w:ascii="宋体" w:hAnsi="宋体" w:eastAsia="宋体" w:cs="宋体"/>
          <w:b/>
          <w:color w:val="auto"/>
          <w:sz w:val="28"/>
          <w:szCs w:val="28"/>
          <w:highlight w:val="none"/>
        </w:rPr>
      </w:pPr>
      <w:bookmarkStart w:id="1399" w:name="_Toc31313"/>
      <w:bookmarkStart w:id="1400" w:name="_Toc27964"/>
      <w:r>
        <w:rPr>
          <w:rFonts w:hint="eastAsia" w:ascii="宋体" w:hAnsi="宋体" w:eastAsia="宋体" w:cs="宋体"/>
          <w:b/>
          <w:color w:val="auto"/>
          <w:w w:val="99"/>
          <w:sz w:val="28"/>
          <w:szCs w:val="28"/>
          <w:highlight w:val="none"/>
        </w:rPr>
        <w:t>法定代表人或其委托代理人：</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（签字或盖章）</w:t>
      </w:r>
      <w:bookmarkEnd w:id="1399"/>
      <w:bookmarkEnd w:id="1400"/>
    </w:p>
    <w:p w14:paraId="01B890C0">
      <w:pPr>
        <w:tabs>
          <w:tab w:val="left" w:pos="3280"/>
          <w:tab w:val="left" w:pos="4680"/>
          <w:tab w:val="left" w:pos="6080"/>
        </w:tabs>
        <w:autoSpaceDE w:val="0"/>
        <w:autoSpaceDN w:val="0"/>
        <w:snapToGrid w:val="0"/>
        <w:spacing w:line="360" w:lineRule="auto"/>
        <w:jc w:val="center"/>
        <w:outlineLvl w:val="1"/>
        <w:rPr>
          <w:rFonts w:hint="eastAsia" w:ascii="宋体" w:hAnsi="宋体" w:eastAsia="宋体" w:cs="宋体"/>
          <w:color w:val="auto"/>
          <w:sz w:val="24"/>
          <w:szCs w:val="21"/>
          <w:highlight w:val="none"/>
        </w:rPr>
      </w:pPr>
      <w:r>
        <w:rPr>
          <w:rFonts w:hint="eastAsia" w:ascii="宋体" w:hAnsi="宋体" w:eastAsia="宋体" w:cs="宋体"/>
          <w:b/>
          <w:color w:val="auto"/>
          <w:w w:val="99"/>
          <w:sz w:val="28"/>
          <w:szCs w:val="28"/>
          <w:highlight w:val="none"/>
          <w:u w:val="single"/>
        </w:rPr>
        <w:t xml:space="preserve">       </w:t>
      </w:r>
      <w:bookmarkStart w:id="1401" w:name="_Toc13408"/>
      <w:bookmarkStart w:id="1402" w:name="_Toc16912"/>
      <w:r>
        <w:rPr>
          <w:rFonts w:hint="eastAsia" w:ascii="宋体" w:hAnsi="宋体" w:eastAsia="宋体" w:cs="宋体"/>
          <w:b/>
          <w:color w:val="auto"/>
          <w:w w:val="99"/>
          <w:sz w:val="28"/>
          <w:szCs w:val="28"/>
          <w:highlight w:val="none"/>
        </w:rPr>
        <w:t>年</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月</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日</w:t>
      </w:r>
      <w:bookmarkEnd w:id="1401"/>
      <w:bookmarkEnd w:id="1402"/>
    </w:p>
    <w:p w14:paraId="2EFAD7FE">
      <w:pPr>
        <w:snapToGrid w:val="0"/>
        <w:spacing w:line="520" w:lineRule="exact"/>
        <w:ind w:firstLine="301" w:firstLineChars="100"/>
        <w:jc w:val="center"/>
        <w:outlineLvl w:val="1"/>
        <w:rPr>
          <w:rFonts w:hint="eastAsia" w:ascii="方正仿宋_GBK" w:hAnsi="方正仿宋_GBK" w:eastAsia="方正仿宋_GBK" w:cs="方正仿宋_GBK"/>
          <w:b/>
          <w:color w:val="auto"/>
          <w:sz w:val="30"/>
          <w:szCs w:val="30"/>
          <w:highlight w:val="none"/>
        </w:rPr>
      </w:pPr>
      <w:bookmarkStart w:id="1403" w:name="_Toc18463"/>
      <w:bookmarkStart w:id="1404" w:name="_Toc8539"/>
    </w:p>
    <w:p w14:paraId="2255C886">
      <w:pPr>
        <w:snapToGrid w:val="0"/>
        <w:spacing w:line="520" w:lineRule="exact"/>
        <w:ind w:firstLine="301" w:firstLineChars="100"/>
        <w:jc w:val="center"/>
        <w:outlineLvl w:val="1"/>
        <w:rPr>
          <w:rFonts w:hint="eastAsia" w:ascii="方正仿宋_GBK" w:hAnsi="方正仿宋_GBK" w:eastAsia="方正仿宋_GBK" w:cs="方正仿宋_GBK"/>
          <w:b/>
          <w:color w:val="auto"/>
          <w:sz w:val="30"/>
          <w:szCs w:val="30"/>
          <w:highlight w:val="none"/>
        </w:rPr>
      </w:pPr>
    </w:p>
    <w:p w14:paraId="3135A31E">
      <w:pPr>
        <w:snapToGrid w:val="0"/>
        <w:spacing w:line="520" w:lineRule="exact"/>
        <w:ind w:firstLine="301" w:firstLineChars="100"/>
        <w:jc w:val="center"/>
        <w:outlineLvl w:val="1"/>
        <w:rPr>
          <w:rFonts w:hint="eastAsia" w:ascii="方正仿宋_GBK" w:hAnsi="方正仿宋_GBK" w:eastAsia="方正仿宋_GBK" w:cs="方正仿宋_GBK"/>
          <w:b/>
          <w:color w:val="auto"/>
          <w:sz w:val="30"/>
          <w:szCs w:val="30"/>
          <w:highlight w:val="none"/>
        </w:rPr>
      </w:pPr>
    </w:p>
    <w:p w14:paraId="2864B765">
      <w:pPr>
        <w:snapToGrid w:val="0"/>
        <w:spacing w:line="520" w:lineRule="exact"/>
        <w:ind w:firstLine="301" w:firstLineChars="100"/>
        <w:jc w:val="center"/>
        <w:outlineLvl w:val="1"/>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目录</w:t>
      </w:r>
      <w:bookmarkEnd w:id="1403"/>
      <w:bookmarkEnd w:id="1404"/>
    </w:p>
    <w:p w14:paraId="786CFDDF">
      <w:pPr>
        <w:autoSpaceDE w:val="0"/>
        <w:autoSpaceDN w:val="0"/>
        <w:snapToGrid w:val="0"/>
        <w:spacing w:before="70" w:line="360" w:lineRule="auto"/>
        <w:ind w:right="-20"/>
        <w:rPr>
          <w:rFonts w:hint="eastAsia" w:ascii="方正仿宋_GBK" w:hAnsi="方正仿宋_GBK" w:eastAsia="方正仿宋_GBK" w:cs="方正仿宋_GBK"/>
          <w:snapToGrid w:val="0"/>
          <w:color w:val="auto"/>
          <w:sz w:val="24"/>
          <w:highlight w:val="none"/>
        </w:rPr>
      </w:pPr>
    </w:p>
    <w:p w14:paraId="492EE0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（一）法定代表人身份证明或附有法定代表人身份证明的授权委托书</w:t>
      </w:r>
    </w:p>
    <w:p w14:paraId="1BAE22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w:t>
      </w:r>
      <w:r>
        <w:rPr>
          <w:rFonts w:hint="eastAsia" w:ascii="宋体" w:hAnsi="宋体" w:eastAsia="宋体" w:cs="宋体"/>
          <w:sz w:val="21"/>
          <w:szCs w:val="21"/>
        </w:rPr>
        <w:t>）</w:t>
      </w:r>
      <w:r>
        <w:rPr>
          <w:rFonts w:hint="eastAsia" w:ascii="宋体" w:hAnsi="宋体" w:eastAsia="宋体" w:cs="宋体"/>
          <w:sz w:val="21"/>
          <w:szCs w:val="21"/>
          <w:lang w:val="en-US" w:eastAsia="zh-CN"/>
        </w:rPr>
        <w:t>竞标人</w:t>
      </w:r>
      <w:r>
        <w:rPr>
          <w:rFonts w:hint="eastAsia" w:ascii="宋体" w:hAnsi="宋体" w:eastAsia="宋体" w:cs="宋体"/>
          <w:sz w:val="21"/>
          <w:szCs w:val="21"/>
        </w:rPr>
        <w:t>基本情况表</w:t>
      </w:r>
    </w:p>
    <w:p w14:paraId="2C7CC7C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）承诺</w:t>
      </w:r>
    </w:p>
    <w:p w14:paraId="31A1E729">
      <w:pPr>
        <w:pStyle w:val="5"/>
        <w:spacing w:before="0" w:after="0" w:line="240" w:lineRule="auto"/>
        <w:ind w:firstLine="420" w:firstLineChars="200"/>
        <w:jc w:val="both"/>
        <w:rPr>
          <w:rFonts w:hint="eastAsia" w:ascii="宋体" w:hAnsi="宋体" w:eastAsia="宋体" w:cs="宋体"/>
          <w:sz w:val="32"/>
          <w:szCs w:val="32"/>
        </w:rPr>
      </w:pPr>
      <w:r>
        <w:rPr>
          <w:rFonts w:hint="eastAsia" w:ascii="宋体" w:hAnsi="宋体" w:eastAsia="宋体" w:cs="宋体"/>
          <w:b w:val="0"/>
          <w:bCs w:val="0"/>
          <w:kern w:val="0"/>
          <w:sz w:val="21"/>
          <w:szCs w:val="21"/>
          <w:lang w:val="en-US" w:eastAsia="zh-CN" w:bidi="ar-SA"/>
        </w:rPr>
        <w:t>（四）其他资料</w:t>
      </w:r>
      <w:r>
        <w:rPr>
          <w:rFonts w:hint="eastAsia" w:ascii="宋体" w:hAnsi="宋体" w:eastAsia="宋体" w:cs="宋体"/>
          <w:b w:val="0"/>
          <w:bCs w:val="0"/>
          <w:kern w:val="0"/>
          <w:sz w:val="21"/>
          <w:szCs w:val="21"/>
          <w:lang w:val="en-US" w:eastAsia="zh-CN" w:bidi="ar-SA"/>
        </w:rPr>
        <w:br w:type="page"/>
      </w:r>
      <w:bookmarkStart w:id="1405" w:name="_Toc287607883"/>
      <w:bookmarkStart w:id="1406" w:name="_Toc57820658"/>
      <w:bookmarkStart w:id="1407" w:name="_Toc287620830"/>
      <w:bookmarkStart w:id="1408" w:name="_Toc224103511"/>
      <w:bookmarkStart w:id="1409" w:name="_Toc430530546"/>
      <w:bookmarkStart w:id="1410" w:name="_Toc277082657"/>
      <w:r>
        <w:rPr>
          <w:rFonts w:hint="eastAsia" w:ascii="宋体" w:hAnsi="宋体" w:eastAsia="宋体" w:cs="宋体"/>
          <w:b/>
          <w:bCs/>
          <w:sz w:val="28"/>
          <w:szCs w:val="28"/>
        </w:rPr>
        <w:t>（一）法定代表人身份证明或附有法定代表人身份证明的授权委托书</w:t>
      </w:r>
      <w:bookmarkEnd w:id="1405"/>
      <w:bookmarkEnd w:id="1406"/>
      <w:bookmarkEnd w:id="1407"/>
      <w:bookmarkEnd w:id="1408"/>
      <w:bookmarkEnd w:id="1409"/>
      <w:bookmarkEnd w:id="1410"/>
    </w:p>
    <w:p w14:paraId="0A67EB3B">
      <w:pPr>
        <w:spacing w:line="48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法定代表人身份证明</w:t>
      </w:r>
    </w:p>
    <w:p w14:paraId="47575A9A">
      <w:pPr>
        <w:spacing w:line="480" w:lineRule="auto"/>
        <w:jc w:val="center"/>
        <w:rPr>
          <w:rFonts w:hint="eastAsia" w:ascii="宋体" w:hAnsi="宋体" w:eastAsia="宋体" w:cs="宋体"/>
          <w:sz w:val="21"/>
          <w:szCs w:val="21"/>
        </w:rPr>
      </w:pPr>
    </w:p>
    <w:p w14:paraId="5DF8A3A8">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名称：</w:t>
      </w:r>
      <w:r>
        <w:rPr>
          <w:rFonts w:hint="eastAsia" w:ascii="宋体" w:hAnsi="宋体" w:eastAsia="宋体" w:cs="宋体"/>
          <w:w w:val="200"/>
          <w:kern w:val="0"/>
          <w:sz w:val="21"/>
          <w:szCs w:val="21"/>
          <w:u w:val="single"/>
        </w:rPr>
        <w:t xml:space="preserve">                                     </w:t>
      </w:r>
    </w:p>
    <w:p w14:paraId="6FA8571E">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单位性质：</w:t>
      </w:r>
      <w:r>
        <w:rPr>
          <w:rFonts w:hint="eastAsia" w:ascii="宋体" w:hAnsi="宋体" w:eastAsia="宋体" w:cs="宋体"/>
          <w:w w:val="200"/>
          <w:kern w:val="0"/>
          <w:sz w:val="21"/>
          <w:szCs w:val="21"/>
          <w:u w:val="single"/>
        </w:rPr>
        <w:t xml:space="preserve">                                     </w:t>
      </w:r>
    </w:p>
    <w:p w14:paraId="22822E87">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地    址：</w:t>
      </w:r>
      <w:r>
        <w:rPr>
          <w:rFonts w:hint="eastAsia" w:ascii="宋体" w:hAnsi="宋体" w:eastAsia="宋体" w:cs="宋体"/>
          <w:w w:val="200"/>
          <w:kern w:val="0"/>
          <w:sz w:val="21"/>
          <w:szCs w:val="21"/>
          <w:u w:val="single"/>
        </w:rPr>
        <w:t xml:space="preserve">                                     </w:t>
      </w:r>
    </w:p>
    <w:p w14:paraId="36CAADD2">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成立时间：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58FA1A0D">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经营期限：</w:t>
      </w:r>
      <w:r>
        <w:rPr>
          <w:rFonts w:hint="eastAsia" w:ascii="宋体" w:hAnsi="宋体" w:eastAsia="宋体" w:cs="宋体"/>
          <w:w w:val="200"/>
          <w:kern w:val="0"/>
          <w:sz w:val="21"/>
          <w:szCs w:val="21"/>
          <w:u w:val="single"/>
        </w:rPr>
        <w:t xml:space="preserve">                                     </w:t>
      </w:r>
    </w:p>
    <w:p w14:paraId="4421917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姓名：</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spacing w:val="-1"/>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spacing w:val="-1"/>
          <w:kern w:val="0"/>
          <w:sz w:val="21"/>
          <w:szCs w:val="21"/>
        </w:rPr>
        <w:t>年</w:t>
      </w:r>
      <w:r>
        <w:rPr>
          <w:rFonts w:hint="eastAsia" w:ascii="宋体" w:hAnsi="宋体" w:eastAsia="宋体" w:cs="宋体"/>
          <w:kern w:val="0"/>
          <w:sz w:val="21"/>
          <w:szCs w:val="21"/>
        </w:rPr>
        <w:t>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14:paraId="6BCBBF7F">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竞标人</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的法定代表人。</w:t>
      </w:r>
    </w:p>
    <w:p w14:paraId="0C79ED3C">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kern w:val="0"/>
          <w:sz w:val="21"/>
          <w:szCs w:val="21"/>
        </w:rPr>
      </w:pPr>
      <w:r>
        <w:rPr>
          <w:rFonts w:hint="eastAsia" w:ascii="宋体" w:hAnsi="宋体" w:eastAsia="宋体" w:cs="宋体"/>
          <w:kern w:val="0"/>
          <w:sz w:val="21"/>
          <w:szCs w:val="21"/>
        </w:rPr>
        <w:t>特此证明。</w:t>
      </w:r>
    </w:p>
    <w:p w14:paraId="444CFF2D">
      <w:pPr>
        <w:autoSpaceDE w:val="0"/>
        <w:autoSpaceDN w:val="0"/>
        <w:adjustRightInd w:val="0"/>
        <w:snapToGrid w:val="0"/>
        <w:spacing w:line="480" w:lineRule="auto"/>
        <w:ind w:firstLine="810" w:firstLineChars="386"/>
        <w:jc w:val="left"/>
        <w:rPr>
          <w:rFonts w:hint="eastAsia" w:ascii="宋体" w:hAnsi="宋体" w:eastAsia="宋体" w:cs="宋体"/>
          <w:kern w:val="0"/>
          <w:sz w:val="21"/>
          <w:szCs w:val="21"/>
        </w:rPr>
      </w:pPr>
      <w:r>
        <w:rPr>
          <w:rFonts w:hint="eastAsia" w:ascii="宋体" w:hAnsi="宋体" w:eastAsia="宋体" w:cs="宋体"/>
          <w:kern w:val="0"/>
          <w:sz w:val="21"/>
          <w:szCs w:val="21"/>
        </w:rPr>
        <w:t>附：法定代表人身份证扫描件（双面）</w:t>
      </w:r>
    </w:p>
    <w:p w14:paraId="00202B05">
      <w:pPr>
        <w:autoSpaceDE w:val="0"/>
        <w:autoSpaceDN w:val="0"/>
        <w:adjustRightInd w:val="0"/>
        <w:snapToGrid w:val="0"/>
        <w:spacing w:line="360" w:lineRule="auto"/>
        <w:jc w:val="left"/>
        <w:rPr>
          <w:rFonts w:hint="eastAsia" w:ascii="宋体" w:hAnsi="宋体" w:eastAsia="宋体" w:cs="宋体"/>
          <w:sz w:val="21"/>
          <w:szCs w:val="21"/>
        </w:rPr>
      </w:pPr>
    </w:p>
    <w:p w14:paraId="2B3DC0C9">
      <w:pPr>
        <w:pStyle w:val="2"/>
        <w:spacing w:after="0" w:line="360" w:lineRule="auto"/>
        <w:rPr>
          <w:rFonts w:hint="eastAsia" w:ascii="宋体" w:hAnsi="宋体" w:eastAsia="宋体" w:cs="宋体"/>
          <w:sz w:val="21"/>
          <w:szCs w:val="21"/>
        </w:rPr>
      </w:pPr>
    </w:p>
    <w:p w14:paraId="7773F4FE">
      <w:pPr>
        <w:pStyle w:val="2"/>
        <w:spacing w:after="0" w:line="360" w:lineRule="auto"/>
        <w:rPr>
          <w:rFonts w:hint="eastAsia" w:ascii="宋体" w:hAnsi="宋体" w:eastAsia="宋体" w:cs="宋体"/>
          <w:sz w:val="21"/>
          <w:szCs w:val="21"/>
        </w:rPr>
      </w:pPr>
    </w:p>
    <w:p w14:paraId="3F33F306">
      <w:pPr>
        <w:pStyle w:val="2"/>
        <w:spacing w:after="0" w:line="360" w:lineRule="auto"/>
        <w:rPr>
          <w:rFonts w:hint="eastAsia" w:ascii="宋体" w:hAnsi="宋体" w:eastAsia="宋体" w:cs="宋体"/>
          <w:sz w:val="21"/>
          <w:szCs w:val="21"/>
        </w:rPr>
      </w:pPr>
    </w:p>
    <w:p w14:paraId="38B12A6F">
      <w:pPr>
        <w:pStyle w:val="2"/>
        <w:spacing w:after="0" w:line="360" w:lineRule="auto"/>
        <w:rPr>
          <w:rFonts w:hint="eastAsia" w:ascii="宋体" w:hAnsi="宋体" w:eastAsia="宋体" w:cs="宋体"/>
          <w:sz w:val="21"/>
          <w:szCs w:val="21"/>
        </w:rPr>
      </w:pPr>
    </w:p>
    <w:p w14:paraId="45299B8C">
      <w:pPr>
        <w:pStyle w:val="2"/>
        <w:spacing w:after="0" w:line="360" w:lineRule="auto"/>
        <w:rPr>
          <w:rFonts w:hint="eastAsia" w:ascii="宋体" w:hAnsi="宋体" w:eastAsia="宋体" w:cs="宋体"/>
          <w:sz w:val="21"/>
          <w:szCs w:val="21"/>
        </w:rPr>
      </w:pPr>
    </w:p>
    <w:p w14:paraId="0DCBD118">
      <w:pPr>
        <w:autoSpaceDE w:val="0"/>
        <w:autoSpaceDN w:val="0"/>
        <w:adjustRightInd w:val="0"/>
        <w:snapToGrid w:val="0"/>
        <w:spacing w:line="480" w:lineRule="auto"/>
        <w:ind w:firstLine="420" w:firstLineChars="200"/>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spacing w:val="-1"/>
          <w:kern w:val="0"/>
          <w:sz w:val="21"/>
          <w:szCs w:val="21"/>
        </w:rPr>
        <w:t>（</w:t>
      </w:r>
      <w:r>
        <w:rPr>
          <w:rFonts w:hint="eastAsia" w:ascii="宋体" w:hAnsi="宋体" w:eastAsia="宋体" w:cs="宋体"/>
          <w:kern w:val="0"/>
          <w:sz w:val="21"/>
          <w:szCs w:val="21"/>
        </w:rPr>
        <w:t>盖单位法人章）</w:t>
      </w:r>
    </w:p>
    <w:p w14:paraId="737EE039">
      <w:pPr>
        <w:autoSpaceDE w:val="0"/>
        <w:autoSpaceDN w:val="0"/>
        <w:adjustRightInd w:val="0"/>
        <w:snapToGrid w:val="0"/>
        <w:spacing w:line="480" w:lineRule="auto"/>
        <w:jc w:val="left"/>
        <w:rPr>
          <w:rFonts w:hint="eastAsia" w:ascii="宋体" w:hAnsi="宋体" w:eastAsia="宋体" w:cs="宋体"/>
          <w:kern w:val="0"/>
          <w:sz w:val="21"/>
          <w:szCs w:val="21"/>
        </w:rPr>
      </w:pPr>
    </w:p>
    <w:p w14:paraId="7FC27E7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kern w:val="0"/>
          <w:sz w:val="21"/>
          <w:szCs w:val="21"/>
        </w:rPr>
      </w:pP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日  </w:t>
      </w:r>
    </w:p>
    <w:p w14:paraId="7CECA747">
      <w:pPr>
        <w:autoSpaceDE w:val="0"/>
        <w:autoSpaceDN w:val="0"/>
        <w:adjustRightInd w:val="0"/>
        <w:snapToGrid w:val="0"/>
        <w:spacing w:line="360" w:lineRule="auto"/>
        <w:jc w:val="left"/>
        <w:rPr>
          <w:rFonts w:hint="eastAsia" w:ascii="宋体" w:hAnsi="宋体" w:eastAsia="宋体" w:cs="宋体"/>
          <w:kern w:val="0"/>
          <w:sz w:val="21"/>
          <w:szCs w:val="21"/>
        </w:rPr>
      </w:pPr>
    </w:p>
    <w:p w14:paraId="4EEA37E8">
      <w:pPr>
        <w:autoSpaceDE w:val="0"/>
        <w:autoSpaceDN w:val="0"/>
        <w:adjustRightInd w:val="0"/>
        <w:snapToGrid w:val="0"/>
        <w:spacing w:line="360" w:lineRule="auto"/>
        <w:jc w:val="left"/>
        <w:rPr>
          <w:rFonts w:hint="eastAsia" w:ascii="宋体" w:hAnsi="宋体" w:eastAsia="宋体" w:cs="宋体"/>
          <w:kern w:val="0"/>
          <w:sz w:val="21"/>
          <w:szCs w:val="21"/>
        </w:rPr>
      </w:pPr>
    </w:p>
    <w:p w14:paraId="4033476B">
      <w:pPr>
        <w:tabs>
          <w:tab w:val="left" w:pos="1680"/>
          <w:tab w:val="left" w:pos="4215"/>
          <w:tab w:val="left" w:pos="4305"/>
          <w:tab w:val="left" w:pos="8000"/>
        </w:tabs>
        <w:autoSpaceDE w:val="0"/>
        <w:autoSpaceDN w:val="0"/>
        <w:adjustRightInd w:val="0"/>
        <w:snapToGrid w:val="0"/>
        <w:spacing w:line="360" w:lineRule="auto"/>
        <w:ind w:firstLine="411" w:firstLineChars="196"/>
        <w:jc w:val="center"/>
        <w:rPr>
          <w:rFonts w:hint="eastAsia" w:ascii="宋体" w:hAnsi="宋体" w:eastAsia="宋体" w:cs="宋体"/>
          <w:b/>
          <w:bCs/>
          <w:kern w:val="0"/>
          <w:sz w:val="28"/>
          <w:szCs w:val="28"/>
        </w:rPr>
      </w:pPr>
      <w:r>
        <w:rPr>
          <w:rFonts w:hint="eastAsia" w:ascii="宋体" w:hAnsi="宋体" w:eastAsia="宋体" w:cs="宋体"/>
          <w:sz w:val="21"/>
          <w:szCs w:val="21"/>
        </w:rPr>
        <w:t>注：法定代表人身份证明需按上述格式填写完整，不可缺少内容。在此基础上增加内容的不影响其有效性</w:t>
      </w:r>
      <w:r>
        <w:rPr>
          <w:rFonts w:hint="eastAsia" w:ascii="宋体" w:hAnsi="宋体" w:eastAsia="宋体" w:cs="宋体"/>
          <w:kern w:val="0"/>
          <w:sz w:val="21"/>
          <w:szCs w:val="21"/>
        </w:rPr>
        <w:t>。</w:t>
      </w:r>
      <w:r>
        <w:rPr>
          <w:rFonts w:hint="eastAsia" w:ascii="宋体" w:hAnsi="宋体" w:eastAsia="宋体" w:cs="宋体"/>
          <w:b/>
          <w:kern w:val="0"/>
          <w:sz w:val="21"/>
          <w:szCs w:val="21"/>
        </w:rPr>
        <w:br w:type="page"/>
      </w:r>
      <w:r>
        <w:rPr>
          <w:rFonts w:hint="eastAsia" w:ascii="宋体" w:hAnsi="宋体" w:eastAsia="宋体" w:cs="宋体"/>
          <w:b/>
          <w:bCs/>
          <w:snapToGrid w:val="0"/>
          <w:kern w:val="0"/>
          <w:sz w:val="28"/>
          <w:szCs w:val="28"/>
        </w:rPr>
        <w:t>授权委托书</w:t>
      </w:r>
    </w:p>
    <w:p w14:paraId="4921DC7C">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（姓名）</w:t>
      </w:r>
      <w:r>
        <w:rPr>
          <w:rFonts w:hint="eastAsia" w:ascii="宋体" w:hAnsi="宋体" w:eastAsia="宋体" w:cs="宋体"/>
          <w:kern w:val="0"/>
          <w:sz w:val="21"/>
          <w:szCs w:val="21"/>
        </w:rPr>
        <w:t>系</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w:t>
      </w:r>
      <w:r>
        <w:rPr>
          <w:rFonts w:hint="eastAsia" w:ascii="宋体" w:hAnsi="宋体" w:eastAsia="宋体" w:cs="宋体"/>
          <w:spacing w:val="-1"/>
          <w:kern w:val="0"/>
          <w:sz w:val="21"/>
          <w:szCs w:val="21"/>
          <w:u w:val="single"/>
          <w:lang w:val="en-US" w:eastAsia="zh-CN"/>
        </w:rPr>
        <w:t>竞标人</w:t>
      </w:r>
      <w:r>
        <w:rPr>
          <w:rFonts w:hint="eastAsia" w:ascii="宋体" w:hAnsi="宋体" w:eastAsia="宋体" w:cs="宋体"/>
          <w:kern w:val="0"/>
          <w:sz w:val="21"/>
          <w:szCs w:val="21"/>
          <w:u w:val="single"/>
        </w:rPr>
        <w:t>名称</w:t>
      </w:r>
      <w:r>
        <w:rPr>
          <w:rFonts w:hint="eastAsia" w:ascii="宋体" w:hAnsi="宋体" w:eastAsia="宋体" w:cs="宋体"/>
          <w:spacing w:val="1"/>
          <w:kern w:val="0"/>
          <w:sz w:val="21"/>
          <w:szCs w:val="21"/>
          <w:u w:val="single"/>
        </w:rPr>
        <w:t>）</w:t>
      </w:r>
      <w:r>
        <w:rPr>
          <w:rFonts w:hint="eastAsia" w:ascii="宋体" w:hAnsi="宋体" w:eastAsia="宋体" w:cs="宋体"/>
          <w:kern w:val="0"/>
          <w:sz w:val="21"/>
          <w:szCs w:val="21"/>
        </w:rPr>
        <w:t>的法定代</w:t>
      </w:r>
      <w:r>
        <w:rPr>
          <w:rFonts w:hint="eastAsia" w:ascii="宋体" w:hAnsi="宋体" w:eastAsia="宋体" w:cs="宋体"/>
          <w:spacing w:val="1"/>
          <w:kern w:val="0"/>
          <w:sz w:val="21"/>
          <w:szCs w:val="21"/>
        </w:rPr>
        <w:t>表</w:t>
      </w:r>
      <w:r>
        <w:rPr>
          <w:rFonts w:hint="eastAsia" w:ascii="宋体" w:hAnsi="宋体" w:eastAsia="宋体" w:cs="宋体"/>
          <w:kern w:val="0"/>
          <w:sz w:val="21"/>
          <w:szCs w:val="21"/>
        </w:rPr>
        <w:t>人，现委托</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（姓名）</w:t>
      </w:r>
      <w:r>
        <w:rPr>
          <w:rFonts w:hint="eastAsia" w:ascii="宋体" w:hAnsi="宋体" w:eastAsia="宋体" w:cs="宋体"/>
          <w:kern w:val="0"/>
          <w:sz w:val="21"/>
          <w:szCs w:val="21"/>
        </w:rPr>
        <w:t>为我方代理人。代理人根据授权，以我方名义签署、澄清、说明、补正、递交、撤回、 修改</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u w:val="single"/>
        </w:rPr>
        <w:t>（项</w:t>
      </w:r>
      <w:r>
        <w:rPr>
          <w:rFonts w:hint="eastAsia" w:ascii="宋体" w:hAnsi="宋体" w:eastAsia="宋体" w:cs="宋体"/>
          <w:spacing w:val="-1"/>
          <w:kern w:val="0"/>
          <w:sz w:val="21"/>
          <w:szCs w:val="21"/>
          <w:u w:val="single"/>
        </w:rPr>
        <w:t>目</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en-US" w:eastAsia="zh-CN"/>
        </w:rPr>
        <w:t>竞标文件</w:t>
      </w:r>
      <w:r>
        <w:rPr>
          <w:rFonts w:hint="eastAsia" w:ascii="宋体" w:hAnsi="宋体" w:eastAsia="宋体" w:cs="宋体"/>
          <w:kern w:val="0"/>
          <w:sz w:val="21"/>
          <w:szCs w:val="21"/>
        </w:rPr>
        <w:t>、签订合同和处理有关事宜， 其法律后果由我方承担。</w:t>
      </w:r>
    </w:p>
    <w:p w14:paraId="44E673C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委托</w:t>
      </w:r>
      <w:r>
        <w:rPr>
          <w:rFonts w:hint="eastAsia" w:ascii="宋体" w:hAnsi="宋体" w:eastAsia="宋体" w:cs="宋体"/>
          <w:spacing w:val="-1"/>
          <w:kern w:val="0"/>
          <w:sz w:val="21"/>
          <w:szCs w:val="21"/>
        </w:rPr>
        <w:t>期</w:t>
      </w:r>
      <w:r>
        <w:rPr>
          <w:rFonts w:hint="eastAsia" w:ascii="宋体" w:hAnsi="宋体" w:eastAsia="宋体" w:cs="宋体"/>
          <w:kern w:val="0"/>
          <w:sz w:val="21"/>
          <w:szCs w:val="21"/>
        </w:rPr>
        <w:t>限：</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 xml:space="preserve">。 </w:t>
      </w:r>
    </w:p>
    <w:p w14:paraId="74BF107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代理人无转委托权。</w:t>
      </w:r>
    </w:p>
    <w:p w14:paraId="64C9C748">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kern w:val="0"/>
          <w:sz w:val="21"/>
          <w:szCs w:val="21"/>
        </w:rPr>
      </w:pPr>
    </w:p>
    <w:p w14:paraId="6E6622DE">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盖单位法人章</w:t>
      </w:r>
      <w:r>
        <w:rPr>
          <w:rFonts w:hint="eastAsia" w:ascii="宋体" w:hAnsi="宋体" w:eastAsia="宋体" w:cs="宋体"/>
          <w:kern w:val="0"/>
          <w:sz w:val="21"/>
          <w:szCs w:val="21"/>
        </w:rPr>
        <w:t>）</w:t>
      </w:r>
    </w:p>
    <w:p w14:paraId="0BE5AC29">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（签名或盖章）</w:t>
      </w:r>
    </w:p>
    <w:p w14:paraId="62AE051B">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p>
    <w:p w14:paraId="3CC3A180">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委托代理人：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w:t>
      </w:r>
      <w:r>
        <w:rPr>
          <w:rFonts w:hint="eastAsia" w:ascii="宋体" w:hAnsi="宋体" w:eastAsia="宋体" w:cs="宋体"/>
          <w:spacing w:val="-1"/>
          <w:kern w:val="0"/>
          <w:sz w:val="21"/>
          <w:szCs w:val="21"/>
        </w:rPr>
        <w:t>）</w:t>
      </w:r>
    </w:p>
    <w:p w14:paraId="45AC9D70">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w w:val="200"/>
          <w:kern w:val="0"/>
          <w:sz w:val="21"/>
          <w:szCs w:val="21"/>
          <w:u w:val="single"/>
        </w:rPr>
      </w:pPr>
      <w:r>
        <w:rPr>
          <w:rFonts w:hint="eastAsia" w:ascii="宋体" w:hAnsi="宋体" w:eastAsia="宋体" w:cs="宋体"/>
          <w:kern w:val="0"/>
          <w:sz w:val="21"/>
          <w:szCs w:val="21"/>
        </w:rPr>
        <w:t>身份证号码：</w:t>
      </w:r>
      <w:r>
        <w:rPr>
          <w:rFonts w:hint="eastAsia" w:ascii="宋体" w:hAnsi="宋体" w:eastAsia="宋体" w:cs="宋体"/>
          <w:w w:val="200"/>
          <w:kern w:val="0"/>
          <w:sz w:val="21"/>
          <w:szCs w:val="21"/>
          <w:u w:val="single"/>
        </w:rPr>
        <w:t xml:space="preserve">                       </w:t>
      </w:r>
    </w:p>
    <w:p w14:paraId="514D4036">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单位电话（座机）：</w:t>
      </w:r>
      <w:r>
        <w:rPr>
          <w:rFonts w:hint="eastAsia" w:ascii="宋体" w:hAnsi="宋体" w:eastAsia="宋体" w:cs="宋体"/>
          <w:kern w:val="0"/>
          <w:sz w:val="21"/>
          <w:szCs w:val="21"/>
          <w:u w:val="single"/>
        </w:rPr>
        <w:t xml:space="preserve">                           </w:t>
      </w:r>
    </w:p>
    <w:p w14:paraId="52AD004B">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委托代理人电话（手机）：                                          </w:t>
      </w:r>
    </w:p>
    <w:p w14:paraId="22754AFD">
      <w:pPr>
        <w:autoSpaceDE w:val="0"/>
        <w:autoSpaceDN w:val="0"/>
        <w:adjustRightInd w:val="0"/>
        <w:snapToGrid w:val="0"/>
        <w:spacing w:line="480" w:lineRule="auto"/>
        <w:ind w:firstLine="810" w:firstLineChars="386"/>
        <w:jc w:val="left"/>
        <w:rPr>
          <w:rFonts w:hint="eastAsia" w:ascii="宋体" w:hAnsi="宋体" w:eastAsia="宋体" w:cs="宋体"/>
          <w:kern w:val="0"/>
          <w:sz w:val="21"/>
          <w:szCs w:val="21"/>
        </w:rPr>
      </w:pPr>
      <w:r>
        <w:rPr>
          <w:rFonts w:hint="eastAsia" w:ascii="宋体" w:hAnsi="宋体" w:eastAsia="宋体" w:cs="宋体"/>
          <w:kern w:val="0"/>
          <w:sz w:val="21"/>
          <w:szCs w:val="21"/>
        </w:rPr>
        <w:t>附：法定代表人和委托代理人身份证扫描件（双面）</w:t>
      </w:r>
    </w:p>
    <w:p w14:paraId="2FC3AA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w w:val="200"/>
          <w:kern w:val="0"/>
          <w:sz w:val="21"/>
          <w:szCs w:val="21"/>
          <w:u w:val="single"/>
        </w:rPr>
      </w:pPr>
    </w:p>
    <w:p w14:paraId="5FC6A85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w w:val="200"/>
          <w:kern w:val="0"/>
          <w:sz w:val="21"/>
          <w:szCs w:val="21"/>
          <w:u w:val="single"/>
        </w:rPr>
      </w:pPr>
    </w:p>
    <w:p w14:paraId="77C24B6D">
      <w:pPr>
        <w:tabs>
          <w:tab w:val="left" w:pos="4005"/>
          <w:tab w:val="left" w:pos="4100"/>
          <w:tab w:val="left" w:pos="5040"/>
        </w:tabs>
        <w:autoSpaceDE w:val="0"/>
        <w:autoSpaceDN w:val="0"/>
        <w:adjustRightInd w:val="0"/>
        <w:snapToGrid w:val="0"/>
        <w:spacing w:line="360" w:lineRule="auto"/>
        <w:jc w:val="both"/>
        <w:rPr>
          <w:rFonts w:hint="eastAsia" w:ascii="宋体" w:hAnsi="宋体" w:eastAsia="宋体" w:cs="宋体"/>
          <w:w w:val="200"/>
          <w:kern w:val="0"/>
          <w:sz w:val="21"/>
          <w:szCs w:val="21"/>
          <w:u w:val="single"/>
        </w:rPr>
      </w:pPr>
    </w:p>
    <w:p w14:paraId="05374039">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kern w:val="0"/>
          <w:sz w:val="21"/>
          <w:szCs w:val="21"/>
        </w:rPr>
      </w:pPr>
    </w:p>
    <w:p w14:paraId="0335446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kern w:val="0"/>
          <w:sz w:val="21"/>
          <w:szCs w:val="21"/>
        </w:rPr>
      </w:pP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 xml:space="preserve">日 </w:t>
      </w:r>
    </w:p>
    <w:p w14:paraId="18EF512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kern w:val="0"/>
          <w:sz w:val="21"/>
          <w:szCs w:val="21"/>
        </w:rPr>
      </w:pPr>
    </w:p>
    <w:p w14:paraId="4A50423B">
      <w:pPr>
        <w:tabs>
          <w:tab w:val="left" w:pos="5760"/>
        </w:tabs>
        <w:autoSpaceDE w:val="0"/>
        <w:autoSpaceDN w:val="0"/>
        <w:adjustRightInd w:val="0"/>
        <w:spacing w:line="360" w:lineRule="auto"/>
        <w:ind w:firstLine="420" w:firstLineChars="200"/>
        <w:rPr>
          <w:rFonts w:hint="eastAsia" w:ascii="宋体" w:hAnsi="宋体" w:eastAsia="宋体" w:cs="宋体"/>
          <w:kern w:val="0"/>
          <w:sz w:val="21"/>
          <w:szCs w:val="21"/>
        </w:rPr>
      </w:pPr>
    </w:p>
    <w:p w14:paraId="5296C5F0">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注：1、法定代表人参加</w:t>
      </w:r>
      <w:r>
        <w:rPr>
          <w:rFonts w:hint="eastAsia" w:ascii="宋体" w:hAnsi="宋体" w:eastAsia="宋体" w:cs="宋体"/>
          <w:kern w:val="0"/>
          <w:sz w:val="21"/>
          <w:szCs w:val="21"/>
          <w:lang w:eastAsia="zh-CN"/>
        </w:rPr>
        <w:t>竞标</w:t>
      </w:r>
      <w:r>
        <w:rPr>
          <w:rFonts w:hint="eastAsia" w:ascii="宋体" w:hAnsi="宋体" w:eastAsia="宋体" w:cs="宋体"/>
          <w:kern w:val="0"/>
          <w:sz w:val="21"/>
          <w:szCs w:val="21"/>
        </w:rPr>
        <w:t>活动并签署文件的不需要授权委托书，只需提供法定代表人身份证明；非法定代表人参加</w:t>
      </w:r>
      <w:r>
        <w:rPr>
          <w:rFonts w:hint="eastAsia" w:ascii="宋体" w:hAnsi="宋体" w:eastAsia="宋体" w:cs="宋体"/>
          <w:kern w:val="0"/>
          <w:sz w:val="21"/>
          <w:szCs w:val="21"/>
          <w:lang w:eastAsia="zh-CN"/>
        </w:rPr>
        <w:t>竞标</w:t>
      </w:r>
      <w:r>
        <w:rPr>
          <w:rFonts w:hint="eastAsia" w:ascii="宋体" w:hAnsi="宋体" w:eastAsia="宋体" w:cs="宋体"/>
          <w:kern w:val="0"/>
          <w:sz w:val="21"/>
          <w:szCs w:val="21"/>
        </w:rPr>
        <w:t>活动及签署文件的除提供法定代表人身份证明外还须提供授权委托书。</w:t>
      </w:r>
    </w:p>
    <w:p w14:paraId="05792619">
      <w:pPr>
        <w:autoSpaceDE w:val="0"/>
        <w:autoSpaceDN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授权委托书需按上述格式填写完整，不可缺少内容。在此基础上增加内容的不影响其有效性。</w:t>
      </w:r>
    </w:p>
    <w:p w14:paraId="6DC40C61">
      <w:pPr>
        <w:autoSpaceDE w:val="0"/>
        <w:autoSpaceDN w:val="0"/>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br w:type="page"/>
      </w:r>
    </w:p>
    <w:p w14:paraId="3901C525">
      <w:pPr>
        <w:pStyle w:val="5"/>
        <w:spacing w:before="0" w:after="0" w:line="240" w:lineRule="auto"/>
        <w:jc w:val="center"/>
        <w:rPr>
          <w:rFonts w:hint="eastAsia" w:ascii="宋体" w:hAnsi="宋体" w:eastAsia="宋体" w:cs="宋体"/>
          <w:b/>
          <w:bCs/>
          <w:sz w:val="28"/>
          <w:szCs w:val="28"/>
        </w:rPr>
      </w:pPr>
      <w:bookmarkStart w:id="1411" w:name="_Toc57820660"/>
      <w:bookmarkStart w:id="1412" w:name="_Toc287607887"/>
      <w:bookmarkStart w:id="1413" w:name="_Toc277082659"/>
      <w:r>
        <w:rPr>
          <w:rFonts w:hint="eastAsia" w:ascii="宋体" w:hAnsi="宋体" w:eastAsia="宋体" w:cs="宋体"/>
          <w:b/>
          <w:bCs/>
          <w:sz w:val="28"/>
          <w:szCs w:val="28"/>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竞标人</w:t>
      </w:r>
      <w:r>
        <w:rPr>
          <w:rFonts w:hint="eastAsia" w:ascii="宋体" w:hAnsi="宋体" w:eastAsia="宋体" w:cs="宋体"/>
          <w:b/>
          <w:bCs/>
          <w:sz w:val="28"/>
          <w:szCs w:val="28"/>
        </w:rPr>
        <w:t>基本情况表</w:t>
      </w:r>
      <w:bookmarkEnd w:id="1411"/>
    </w:p>
    <w:tbl>
      <w:tblPr>
        <w:tblStyle w:val="2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C0A6D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03BAE6">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名称</w:t>
            </w:r>
          </w:p>
        </w:tc>
        <w:tc>
          <w:tcPr>
            <w:tcW w:w="7607" w:type="dxa"/>
            <w:gridSpan w:val="9"/>
            <w:vAlign w:val="center"/>
          </w:tcPr>
          <w:p w14:paraId="30C99C2E">
            <w:pPr>
              <w:autoSpaceDE w:val="0"/>
              <w:autoSpaceDN w:val="0"/>
              <w:adjustRightInd w:val="0"/>
              <w:snapToGrid w:val="0"/>
              <w:jc w:val="center"/>
              <w:rPr>
                <w:rFonts w:hint="eastAsia" w:ascii="宋体" w:hAnsi="宋体" w:eastAsia="宋体" w:cs="宋体"/>
                <w:kern w:val="0"/>
                <w:sz w:val="21"/>
                <w:szCs w:val="21"/>
              </w:rPr>
            </w:pPr>
          </w:p>
        </w:tc>
      </w:tr>
      <w:tr w14:paraId="12AB88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159B28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注册地址</w:t>
            </w:r>
          </w:p>
        </w:tc>
        <w:tc>
          <w:tcPr>
            <w:tcW w:w="3450" w:type="dxa"/>
            <w:gridSpan w:val="5"/>
            <w:vAlign w:val="center"/>
          </w:tcPr>
          <w:p w14:paraId="42A30418">
            <w:pPr>
              <w:autoSpaceDE w:val="0"/>
              <w:autoSpaceDN w:val="0"/>
              <w:adjustRightInd w:val="0"/>
              <w:snapToGrid w:val="0"/>
              <w:jc w:val="center"/>
              <w:rPr>
                <w:rFonts w:hint="eastAsia" w:ascii="宋体" w:hAnsi="宋体" w:eastAsia="宋体" w:cs="宋体"/>
                <w:kern w:val="0"/>
                <w:sz w:val="21"/>
                <w:szCs w:val="21"/>
              </w:rPr>
            </w:pPr>
          </w:p>
        </w:tc>
        <w:tc>
          <w:tcPr>
            <w:tcW w:w="1392" w:type="dxa"/>
            <w:vAlign w:val="center"/>
          </w:tcPr>
          <w:p w14:paraId="5F8D845B">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邮政编码</w:t>
            </w:r>
          </w:p>
        </w:tc>
        <w:tc>
          <w:tcPr>
            <w:tcW w:w="2765" w:type="dxa"/>
            <w:gridSpan w:val="3"/>
            <w:vAlign w:val="center"/>
          </w:tcPr>
          <w:p w14:paraId="10823F0A">
            <w:pPr>
              <w:autoSpaceDE w:val="0"/>
              <w:autoSpaceDN w:val="0"/>
              <w:adjustRightInd w:val="0"/>
              <w:snapToGrid w:val="0"/>
              <w:jc w:val="center"/>
              <w:rPr>
                <w:rFonts w:hint="eastAsia" w:ascii="宋体" w:hAnsi="宋体" w:eastAsia="宋体" w:cs="宋体"/>
                <w:kern w:val="0"/>
                <w:sz w:val="21"/>
                <w:szCs w:val="21"/>
              </w:rPr>
            </w:pPr>
          </w:p>
        </w:tc>
      </w:tr>
      <w:tr w14:paraId="6EA51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3C7FFEE">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联系方式</w:t>
            </w:r>
          </w:p>
        </w:tc>
        <w:tc>
          <w:tcPr>
            <w:tcW w:w="967" w:type="dxa"/>
            <w:vAlign w:val="center"/>
          </w:tcPr>
          <w:p w14:paraId="75C4885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联系人</w:t>
            </w:r>
          </w:p>
        </w:tc>
        <w:tc>
          <w:tcPr>
            <w:tcW w:w="2483" w:type="dxa"/>
            <w:gridSpan w:val="4"/>
            <w:vAlign w:val="center"/>
          </w:tcPr>
          <w:p w14:paraId="2633EE1C">
            <w:pPr>
              <w:autoSpaceDE w:val="0"/>
              <w:autoSpaceDN w:val="0"/>
              <w:adjustRightInd w:val="0"/>
              <w:snapToGrid w:val="0"/>
              <w:jc w:val="center"/>
              <w:rPr>
                <w:rFonts w:hint="eastAsia" w:ascii="宋体" w:hAnsi="宋体" w:eastAsia="宋体" w:cs="宋体"/>
                <w:kern w:val="0"/>
                <w:sz w:val="21"/>
                <w:szCs w:val="21"/>
              </w:rPr>
            </w:pPr>
          </w:p>
        </w:tc>
        <w:tc>
          <w:tcPr>
            <w:tcW w:w="1392" w:type="dxa"/>
            <w:vAlign w:val="center"/>
          </w:tcPr>
          <w:p w14:paraId="66B31C52">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电话</w:t>
            </w:r>
          </w:p>
        </w:tc>
        <w:tc>
          <w:tcPr>
            <w:tcW w:w="2765" w:type="dxa"/>
            <w:gridSpan w:val="3"/>
            <w:vAlign w:val="center"/>
          </w:tcPr>
          <w:p w14:paraId="75CE64F3">
            <w:pPr>
              <w:autoSpaceDE w:val="0"/>
              <w:autoSpaceDN w:val="0"/>
              <w:adjustRightInd w:val="0"/>
              <w:snapToGrid w:val="0"/>
              <w:jc w:val="center"/>
              <w:rPr>
                <w:rFonts w:hint="eastAsia" w:ascii="宋体" w:hAnsi="宋体" w:eastAsia="宋体" w:cs="宋体"/>
                <w:kern w:val="0"/>
                <w:sz w:val="21"/>
                <w:szCs w:val="21"/>
              </w:rPr>
            </w:pPr>
          </w:p>
        </w:tc>
      </w:tr>
      <w:tr w14:paraId="72EFAB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D564A2B">
            <w:pPr>
              <w:autoSpaceDE w:val="0"/>
              <w:autoSpaceDN w:val="0"/>
              <w:adjustRightInd w:val="0"/>
              <w:snapToGrid w:val="0"/>
              <w:jc w:val="center"/>
              <w:rPr>
                <w:rFonts w:hint="eastAsia" w:ascii="宋体" w:hAnsi="宋体" w:eastAsia="宋体" w:cs="宋体"/>
                <w:kern w:val="0"/>
                <w:sz w:val="21"/>
                <w:szCs w:val="21"/>
              </w:rPr>
            </w:pPr>
          </w:p>
        </w:tc>
        <w:tc>
          <w:tcPr>
            <w:tcW w:w="967" w:type="dxa"/>
            <w:vAlign w:val="center"/>
          </w:tcPr>
          <w:p w14:paraId="13601316">
            <w:pPr>
              <w:tabs>
                <w:tab w:val="left" w:pos="540"/>
              </w:tabs>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传  真</w:t>
            </w:r>
          </w:p>
        </w:tc>
        <w:tc>
          <w:tcPr>
            <w:tcW w:w="2483" w:type="dxa"/>
            <w:gridSpan w:val="4"/>
            <w:vAlign w:val="center"/>
          </w:tcPr>
          <w:p w14:paraId="54FD261E">
            <w:pPr>
              <w:autoSpaceDE w:val="0"/>
              <w:autoSpaceDN w:val="0"/>
              <w:adjustRightInd w:val="0"/>
              <w:snapToGrid w:val="0"/>
              <w:jc w:val="center"/>
              <w:rPr>
                <w:rFonts w:hint="eastAsia" w:ascii="宋体" w:hAnsi="宋体" w:eastAsia="宋体" w:cs="宋体"/>
                <w:kern w:val="0"/>
                <w:sz w:val="21"/>
                <w:szCs w:val="21"/>
              </w:rPr>
            </w:pPr>
          </w:p>
        </w:tc>
        <w:tc>
          <w:tcPr>
            <w:tcW w:w="1392" w:type="dxa"/>
            <w:vAlign w:val="center"/>
          </w:tcPr>
          <w:p w14:paraId="1A7EF1A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网址</w:t>
            </w:r>
          </w:p>
        </w:tc>
        <w:tc>
          <w:tcPr>
            <w:tcW w:w="2765" w:type="dxa"/>
            <w:gridSpan w:val="3"/>
            <w:vAlign w:val="center"/>
          </w:tcPr>
          <w:p w14:paraId="1A7266E5">
            <w:pPr>
              <w:autoSpaceDE w:val="0"/>
              <w:autoSpaceDN w:val="0"/>
              <w:adjustRightInd w:val="0"/>
              <w:snapToGrid w:val="0"/>
              <w:jc w:val="center"/>
              <w:rPr>
                <w:rFonts w:hint="eastAsia" w:ascii="宋体" w:hAnsi="宋体" w:eastAsia="宋体" w:cs="宋体"/>
                <w:kern w:val="0"/>
                <w:sz w:val="21"/>
                <w:szCs w:val="21"/>
              </w:rPr>
            </w:pPr>
          </w:p>
        </w:tc>
      </w:tr>
      <w:tr w14:paraId="0D119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FCCAB9A">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组织结构</w:t>
            </w:r>
          </w:p>
        </w:tc>
        <w:tc>
          <w:tcPr>
            <w:tcW w:w="7607" w:type="dxa"/>
            <w:gridSpan w:val="9"/>
            <w:vAlign w:val="center"/>
          </w:tcPr>
          <w:p w14:paraId="50D75EE6">
            <w:pPr>
              <w:autoSpaceDE w:val="0"/>
              <w:autoSpaceDN w:val="0"/>
              <w:adjustRightInd w:val="0"/>
              <w:snapToGrid w:val="0"/>
              <w:jc w:val="center"/>
              <w:rPr>
                <w:rFonts w:hint="eastAsia" w:ascii="宋体" w:hAnsi="宋体" w:eastAsia="宋体" w:cs="宋体"/>
                <w:kern w:val="0"/>
                <w:sz w:val="21"/>
                <w:szCs w:val="21"/>
              </w:rPr>
            </w:pPr>
          </w:p>
        </w:tc>
      </w:tr>
      <w:tr w14:paraId="2AC11B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7FD50E">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法定代表人</w:t>
            </w:r>
          </w:p>
        </w:tc>
        <w:tc>
          <w:tcPr>
            <w:tcW w:w="967" w:type="dxa"/>
            <w:vAlign w:val="center"/>
          </w:tcPr>
          <w:p w14:paraId="695DDBEA">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姓  名</w:t>
            </w:r>
          </w:p>
        </w:tc>
        <w:tc>
          <w:tcPr>
            <w:tcW w:w="1024" w:type="dxa"/>
            <w:vAlign w:val="center"/>
          </w:tcPr>
          <w:p w14:paraId="49C16432">
            <w:pPr>
              <w:autoSpaceDE w:val="0"/>
              <w:autoSpaceDN w:val="0"/>
              <w:adjustRightInd w:val="0"/>
              <w:snapToGrid w:val="0"/>
              <w:jc w:val="center"/>
              <w:rPr>
                <w:rFonts w:hint="eastAsia" w:ascii="宋体" w:hAnsi="宋体" w:eastAsia="宋体" w:cs="宋体"/>
                <w:kern w:val="0"/>
                <w:sz w:val="21"/>
                <w:szCs w:val="21"/>
              </w:rPr>
            </w:pPr>
          </w:p>
        </w:tc>
        <w:tc>
          <w:tcPr>
            <w:tcW w:w="1356" w:type="dxa"/>
            <w:gridSpan w:val="2"/>
            <w:vAlign w:val="center"/>
          </w:tcPr>
          <w:p w14:paraId="1E193676">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技术职称</w:t>
            </w:r>
          </w:p>
        </w:tc>
        <w:tc>
          <w:tcPr>
            <w:tcW w:w="2024" w:type="dxa"/>
            <w:gridSpan w:val="3"/>
            <w:vAlign w:val="center"/>
          </w:tcPr>
          <w:p w14:paraId="0260E41A">
            <w:pPr>
              <w:autoSpaceDE w:val="0"/>
              <w:autoSpaceDN w:val="0"/>
              <w:adjustRightInd w:val="0"/>
              <w:snapToGrid w:val="0"/>
              <w:jc w:val="center"/>
              <w:rPr>
                <w:rFonts w:hint="eastAsia" w:ascii="宋体" w:hAnsi="宋体" w:eastAsia="宋体" w:cs="宋体"/>
                <w:kern w:val="0"/>
                <w:sz w:val="21"/>
                <w:szCs w:val="21"/>
              </w:rPr>
            </w:pPr>
          </w:p>
        </w:tc>
        <w:tc>
          <w:tcPr>
            <w:tcW w:w="925" w:type="dxa"/>
            <w:vAlign w:val="center"/>
          </w:tcPr>
          <w:p w14:paraId="03B265EA">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电  话</w:t>
            </w:r>
          </w:p>
        </w:tc>
        <w:tc>
          <w:tcPr>
            <w:tcW w:w="1311" w:type="dxa"/>
            <w:vAlign w:val="center"/>
          </w:tcPr>
          <w:p w14:paraId="74E69EFB">
            <w:pPr>
              <w:autoSpaceDE w:val="0"/>
              <w:autoSpaceDN w:val="0"/>
              <w:adjustRightInd w:val="0"/>
              <w:snapToGrid w:val="0"/>
              <w:jc w:val="center"/>
              <w:rPr>
                <w:rFonts w:hint="eastAsia" w:ascii="宋体" w:hAnsi="宋体" w:eastAsia="宋体" w:cs="宋体"/>
                <w:kern w:val="0"/>
                <w:sz w:val="21"/>
                <w:szCs w:val="21"/>
              </w:rPr>
            </w:pPr>
          </w:p>
        </w:tc>
      </w:tr>
      <w:tr w14:paraId="1210B6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51A454">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技术负责人</w:t>
            </w:r>
          </w:p>
        </w:tc>
        <w:tc>
          <w:tcPr>
            <w:tcW w:w="967" w:type="dxa"/>
            <w:vAlign w:val="center"/>
          </w:tcPr>
          <w:p w14:paraId="73B920C6">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姓  名</w:t>
            </w:r>
          </w:p>
        </w:tc>
        <w:tc>
          <w:tcPr>
            <w:tcW w:w="1024" w:type="dxa"/>
            <w:vAlign w:val="center"/>
          </w:tcPr>
          <w:p w14:paraId="6326C9B7">
            <w:pPr>
              <w:autoSpaceDE w:val="0"/>
              <w:autoSpaceDN w:val="0"/>
              <w:adjustRightInd w:val="0"/>
              <w:snapToGrid w:val="0"/>
              <w:jc w:val="center"/>
              <w:rPr>
                <w:rFonts w:hint="eastAsia" w:ascii="宋体" w:hAnsi="宋体" w:eastAsia="宋体" w:cs="宋体"/>
                <w:kern w:val="0"/>
                <w:sz w:val="21"/>
                <w:szCs w:val="21"/>
              </w:rPr>
            </w:pPr>
          </w:p>
        </w:tc>
        <w:tc>
          <w:tcPr>
            <w:tcW w:w="1356" w:type="dxa"/>
            <w:gridSpan w:val="2"/>
            <w:vAlign w:val="center"/>
          </w:tcPr>
          <w:p w14:paraId="3834F169">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技术职称</w:t>
            </w:r>
          </w:p>
        </w:tc>
        <w:tc>
          <w:tcPr>
            <w:tcW w:w="2024" w:type="dxa"/>
            <w:gridSpan w:val="3"/>
            <w:vAlign w:val="center"/>
          </w:tcPr>
          <w:p w14:paraId="6642FB83">
            <w:pPr>
              <w:autoSpaceDE w:val="0"/>
              <w:autoSpaceDN w:val="0"/>
              <w:adjustRightInd w:val="0"/>
              <w:snapToGrid w:val="0"/>
              <w:jc w:val="center"/>
              <w:rPr>
                <w:rFonts w:hint="eastAsia" w:ascii="宋体" w:hAnsi="宋体" w:eastAsia="宋体" w:cs="宋体"/>
                <w:kern w:val="0"/>
                <w:sz w:val="21"/>
                <w:szCs w:val="21"/>
              </w:rPr>
            </w:pPr>
          </w:p>
        </w:tc>
        <w:tc>
          <w:tcPr>
            <w:tcW w:w="925" w:type="dxa"/>
            <w:vAlign w:val="center"/>
          </w:tcPr>
          <w:p w14:paraId="3B4E8D4F">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电  话</w:t>
            </w:r>
          </w:p>
        </w:tc>
        <w:tc>
          <w:tcPr>
            <w:tcW w:w="1311" w:type="dxa"/>
            <w:vAlign w:val="center"/>
          </w:tcPr>
          <w:p w14:paraId="2BD83ACE">
            <w:pPr>
              <w:autoSpaceDE w:val="0"/>
              <w:autoSpaceDN w:val="0"/>
              <w:adjustRightInd w:val="0"/>
              <w:snapToGrid w:val="0"/>
              <w:jc w:val="center"/>
              <w:rPr>
                <w:rFonts w:hint="eastAsia" w:ascii="宋体" w:hAnsi="宋体" w:eastAsia="宋体" w:cs="宋体"/>
                <w:kern w:val="0"/>
                <w:sz w:val="21"/>
                <w:szCs w:val="21"/>
              </w:rPr>
            </w:pPr>
          </w:p>
        </w:tc>
      </w:tr>
      <w:tr w14:paraId="0D407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34772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成立时间</w:t>
            </w:r>
          </w:p>
        </w:tc>
        <w:tc>
          <w:tcPr>
            <w:tcW w:w="1991" w:type="dxa"/>
            <w:gridSpan w:val="2"/>
            <w:vAlign w:val="center"/>
          </w:tcPr>
          <w:p w14:paraId="2C67290C">
            <w:pPr>
              <w:autoSpaceDE w:val="0"/>
              <w:autoSpaceDN w:val="0"/>
              <w:adjustRightInd w:val="0"/>
              <w:snapToGrid w:val="0"/>
              <w:jc w:val="center"/>
              <w:rPr>
                <w:rFonts w:hint="eastAsia" w:ascii="宋体" w:hAnsi="宋体" w:eastAsia="宋体" w:cs="宋体"/>
                <w:kern w:val="0"/>
                <w:sz w:val="21"/>
                <w:szCs w:val="21"/>
              </w:rPr>
            </w:pPr>
          </w:p>
        </w:tc>
        <w:tc>
          <w:tcPr>
            <w:tcW w:w="5616" w:type="dxa"/>
            <w:gridSpan w:val="7"/>
            <w:vAlign w:val="center"/>
          </w:tcPr>
          <w:p w14:paraId="3450BED0">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员工总人数：</w:t>
            </w:r>
          </w:p>
        </w:tc>
      </w:tr>
      <w:tr w14:paraId="6B169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88867F">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企业资质等级</w:t>
            </w:r>
          </w:p>
        </w:tc>
        <w:tc>
          <w:tcPr>
            <w:tcW w:w="1991" w:type="dxa"/>
            <w:gridSpan w:val="2"/>
            <w:vAlign w:val="center"/>
          </w:tcPr>
          <w:p w14:paraId="3D998E99">
            <w:pPr>
              <w:autoSpaceDE w:val="0"/>
              <w:autoSpaceDN w:val="0"/>
              <w:adjustRightInd w:val="0"/>
              <w:snapToGrid w:val="0"/>
              <w:jc w:val="center"/>
              <w:rPr>
                <w:rFonts w:hint="eastAsia" w:ascii="宋体" w:hAnsi="宋体" w:eastAsia="宋体" w:cs="宋体"/>
                <w:kern w:val="0"/>
                <w:sz w:val="21"/>
                <w:szCs w:val="21"/>
              </w:rPr>
            </w:pPr>
          </w:p>
        </w:tc>
        <w:tc>
          <w:tcPr>
            <w:tcW w:w="904" w:type="dxa"/>
            <w:vMerge w:val="restart"/>
            <w:vAlign w:val="center"/>
          </w:tcPr>
          <w:p w14:paraId="209E2AC8">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其中</w:t>
            </w:r>
          </w:p>
        </w:tc>
        <w:tc>
          <w:tcPr>
            <w:tcW w:w="2476" w:type="dxa"/>
            <w:gridSpan w:val="4"/>
            <w:vAlign w:val="center"/>
          </w:tcPr>
          <w:p w14:paraId="1BDC3D0C">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项目经理</w:t>
            </w:r>
          </w:p>
        </w:tc>
        <w:tc>
          <w:tcPr>
            <w:tcW w:w="2236" w:type="dxa"/>
            <w:gridSpan w:val="2"/>
            <w:vAlign w:val="center"/>
          </w:tcPr>
          <w:p w14:paraId="777FA1B6">
            <w:pPr>
              <w:autoSpaceDE w:val="0"/>
              <w:autoSpaceDN w:val="0"/>
              <w:adjustRightInd w:val="0"/>
              <w:snapToGrid w:val="0"/>
              <w:jc w:val="center"/>
              <w:rPr>
                <w:rFonts w:hint="eastAsia" w:ascii="宋体" w:hAnsi="宋体" w:eastAsia="宋体" w:cs="宋体"/>
                <w:kern w:val="0"/>
                <w:sz w:val="21"/>
                <w:szCs w:val="21"/>
              </w:rPr>
            </w:pPr>
          </w:p>
        </w:tc>
      </w:tr>
      <w:tr w14:paraId="435AA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48C4C9">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统一社会信用代码</w:t>
            </w:r>
          </w:p>
        </w:tc>
        <w:tc>
          <w:tcPr>
            <w:tcW w:w="1991" w:type="dxa"/>
            <w:gridSpan w:val="2"/>
            <w:vAlign w:val="center"/>
          </w:tcPr>
          <w:p w14:paraId="659948CF">
            <w:pPr>
              <w:autoSpaceDE w:val="0"/>
              <w:autoSpaceDN w:val="0"/>
              <w:adjustRightInd w:val="0"/>
              <w:snapToGrid w:val="0"/>
              <w:jc w:val="center"/>
              <w:rPr>
                <w:rFonts w:hint="eastAsia" w:ascii="宋体" w:hAnsi="宋体" w:eastAsia="宋体" w:cs="宋体"/>
                <w:kern w:val="0"/>
                <w:sz w:val="21"/>
                <w:szCs w:val="21"/>
              </w:rPr>
            </w:pPr>
          </w:p>
        </w:tc>
        <w:tc>
          <w:tcPr>
            <w:tcW w:w="904" w:type="dxa"/>
            <w:vMerge w:val="continue"/>
            <w:vAlign w:val="center"/>
          </w:tcPr>
          <w:p w14:paraId="7C1C1393">
            <w:pPr>
              <w:autoSpaceDE w:val="0"/>
              <w:autoSpaceDN w:val="0"/>
              <w:adjustRightInd w:val="0"/>
              <w:snapToGrid w:val="0"/>
              <w:jc w:val="center"/>
              <w:rPr>
                <w:rFonts w:hint="eastAsia" w:ascii="宋体" w:hAnsi="宋体" w:eastAsia="宋体" w:cs="宋体"/>
                <w:kern w:val="0"/>
                <w:sz w:val="21"/>
                <w:szCs w:val="21"/>
              </w:rPr>
            </w:pPr>
          </w:p>
        </w:tc>
        <w:tc>
          <w:tcPr>
            <w:tcW w:w="2476" w:type="dxa"/>
            <w:gridSpan w:val="4"/>
            <w:vAlign w:val="center"/>
          </w:tcPr>
          <w:p w14:paraId="0B7CB4E8">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高级职称人员</w:t>
            </w:r>
          </w:p>
        </w:tc>
        <w:tc>
          <w:tcPr>
            <w:tcW w:w="2236" w:type="dxa"/>
            <w:gridSpan w:val="2"/>
            <w:vAlign w:val="center"/>
          </w:tcPr>
          <w:p w14:paraId="5E626B53">
            <w:pPr>
              <w:autoSpaceDE w:val="0"/>
              <w:autoSpaceDN w:val="0"/>
              <w:adjustRightInd w:val="0"/>
              <w:snapToGrid w:val="0"/>
              <w:jc w:val="center"/>
              <w:rPr>
                <w:rFonts w:hint="eastAsia" w:ascii="宋体" w:hAnsi="宋体" w:eastAsia="宋体" w:cs="宋体"/>
                <w:kern w:val="0"/>
                <w:sz w:val="21"/>
                <w:szCs w:val="21"/>
              </w:rPr>
            </w:pPr>
          </w:p>
        </w:tc>
      </w:tr>
      <w:tr w14:paraId="52788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E66668">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注册资金</w:t>
            </w:r>
          </w:p>
        </w:tc>
        <w:tc>
          <w:tcPr>
            <w:tcW w:w="1991" w:type="dxa"/>
            <w:gridSpan w:val="2"/>
            <w:vAlign w:val="center"/>
          </w:tcPr>
          <w:p w14:paraId="46338BD6">
            <w:pPr>
              <w:autoSpaceDE w:val="0"/>
              <w:autoSpaceDN w:val="0"/>
              <w:adjustRightInd w:val="0"/>
              <w:snapToGrid w:val="0"/>
              <w:jc w:val="center"/>
              <w:rPr>
                <w:rFonts w:hint="eastAsia" w:ascii="宋体" w:hAnsi="宋体" w:eastAsia="宋体" w:cs="宋体"/>
                <w:kern w:val="0"/>
                <w:sz w:val="21"/>
                <w:szCs w:val="21"/>
              </w:rPr>
            </w:pPr>
          </w:p>
        </w:tc>
        <w:tc>
          <w:tcPr>
            <w:tcW w:w="904" w:type="dxa"/>
            <w:vMerge w:val="continue"/>
            <w:vAlign w:val="center"/>
          </w:tcPr>
          <w:p w14:paraId="3B00285F">
            <w:pPr>
              <w:autoSpaceDE w:val="0"/>
              <w:autoSpaceDN w:val="0"/>
              <w:adjustRightInd w:val="0"/>
              <w:snapToGrid w:val="0"/>
              <w:jc w:val="center"/>
              <w:rPr>
                <w:rFonts w:hint="eastAsia" w:ascii="宋体" w:hAnsi="宋体" w:eastAsia="宋体" w:cs="宋体"/>
                <w:kern w:val="0"/>
                <w:sz w:val="21"/>
                <w:szCs w:val="21"/>
              </w:rPr>
            </w:pPr>
          </w:p>
        </w:tc>
        <w:tc>
          <w:tcPr>
            <w:tcW w:w="2476" w:type="dxa"/>
            <w:gridSpan w:val="4"/>
            <w:vAlign w:val="center"/>
          </w:tcPr>
          <w:p w14:paraId="6AAF586A">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中级职称人员</w:t>
            </w:r>
          </w:p>
        </w:tc>
        <w:tc>
          <w:tcPr>
            <w:tcW w:w="2236" w:type="dxa"/>
            <w:gridSpan w:val="2"/>
            <w:vAlign w:val="center"/>
          </w:tcPr>
          <w:p w14:paraId="47AE5955">
            <w:pPr>
              <w:autoSpaceDE w:val="0"/>
              <w:autoSpaceDN w:val="0"/>
              <w:adjustRightInd w:val="0"/>
              <w:snapToGrid w:val="0"/>
              <w:jc w:val="center"/>
              <w:rPr>
                <w:rFonts w:hint="eastAsia" w:ascii="宋体" w:hAnsi="宋体" w:eastAsia="宋体" w:cs="宋体"/>
                <w:kern w:val="0"/>
                <w:sz w:val="21"/>
                <w:szCs w:val="21"/>
              </w:rPr>
            </w:pPr>
          </w:p>
        </w:tc>
      </w:tr>
      <w:tr w14:paraId="4444E8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D4F4B6">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开户银行</w:t>
            </w:r>
          </w:p>
        </w:tc>
        <w:tc>
          <w:tcPr>
            <w:tcW w:w="1991" w:type="dxa"/>
            <w:gridSpan w:val="2"/>
            <w:vAlign w:val="center"/>
          </w:tcPr>
          <w:p w14:paraId="305CB26A">
            <w:pPr>
              <w:autoSpaceDE w:val="0"/>
              <w:autoSpaceDN w:val="0"/>
              <w:adjustRightInd w:val="0"/>
              <w:snapToGrid w:val="0"/>
              <w:jc w:val="center"/>
              <w:rPr>
                <w:rFonts w:hint="eastAsia" w:ascii="宋体" w:hAnsi="宋体" w:eastAsia="宋体" w:cs="宋体"/>
                <w:kern w:val="0"/>
                <w:sz w:val="21"/>
                <w:szCs w:val="21"/>
              </w:rPr>
            </w:pPr>
          </w:p>
        </w:tc>
        <w:tc>
          <w:tcPr>
            <w:tcW w:w="904" w:type="dxa"/>
            <w:vMerge w:val="continue"/>
            <w:vAlign w:val="center"/>
          </w:tcPr>
          <w:p w14:paraId="09BC9D23">
            <w:pPr>
              <w:autoSpaceDE w:val="0"/>
              <w:autoSpaceDN w:val="0"/>
              <w:adjustRightInd w:val="0"/>
              <w:snapToGrid w:val="0"/>
              <w:jc w:val="center"/>
              <w:rPr>
                <w:rFonts w:hint="eastAsia" w:ascii="宋体" w:hAnsi="宋体" w:eastAsia="宋体" w:cs="宋体"/>
                <w:kern w:val="0"/>
                <w:sz w:val="21"/>
                <w:szCs w:val="21"/>
              </w:rPr>
            </w:pPr>
          </w:p>
        </w:tc>
        <w:tc>
          <w:tcPr>
            <w:tcW w:w="2476" w:type="dxa"/>
            <w:gridSpan w:val="4"/>
            <w:vAlign w:val="center"/>
          </w:tcPr>
          <w:p w14:paraId="315D0DAC">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初级职称人员</w:t>
            </w:r>
          </w:p>
        </w:tc>
        <w:tc>
          <w:tcPr>
            <w:tcW w:w="2236" w:type="dxa"/>
            <w:gridSpan w:val="2"/>
            <w:vAlign w:val="center"/>
          </w:tcPr>
          <w:p w14:paraId="6C7C9A8B">
            <w:pPr>
              <w:autoSpaceDE w:val="0"/>
              <w:autoSpaceDN w:val="0"/>
              <w:adjustRightInd w:val="0"/>
              <w:snapToGrid w:val="0"/>
              <w:jc w:val="center"/>
              <w:rPr>
                <w:rFonts w:hint="eastAsia" w:ascii="宋体" w:hAnsi="宋体" w:eastAsia="宋体" w:cs="宋体"/>
                <w:kern w:val="0"/>
                <w:sz w:val="21"/>
                <w:szCs w:val="21"/>
              </w:rPr>
            </w:pPr>
          </w:p>
        </w:tc>
      </w:tr>
      <w:tr w14:paraId="639BC6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E8855A1">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账号</w:t>
            </w:r>
          </w:p>
        </w:tc>
        <w:tc>
          <w:tcPr>
            <w:tcW w:w="1991" w:type="dxa"/>
            <w:gridSpan w:val="2"/>
            <w:vAlign w:val="center"/>
          </w:tcPr>
          <w:p w14:paraId="316E0C60">
            <w:pPr>
              <w:autoSpaceDE w:val="0"/>
              <w:autoSpaceDN w:val="0"/>
              <w:adjustRightInd w:val="0"/>
              <w:snapToGrid w:val="0"/>
              <w:jc w:val="center"/>
              <w:rPr>
                <w:rFonts w:hint="eastAsia" w:ascii="宋体" w:hAnsi="宋体" w:eastAsia="宋体" w:cs="宋体"/>
                <w:kern w:val="0"/>
                <w:sz w:val="21"/>
                <w:szCs w:val="21"/>
              </w:rPr>
            </w:pPr>
          </w:p>
        </w:tc>
        <w:tc>
          <w:tcPr>
            <w:tcW w:w="904" w:type="dxa"/>
            <w:vMerge w:val="continue"/>
            <w:vAlign w:val="center"/>
          </w:tcPr>
          <w:p w14:paraId="7471B56D">
            <w:pPr>
              <w:autoSpaceDE w:val="0"/>
              <w:autoSpaceDN w:val="0"/>
              <w:adjustRightInd w:val="0"/>
              <w:snapToGrid w:val="0"/>
              <w:jc w:val="center"/>
              <w:rPr>
                <w:rFonts w:hint="eastAsia" w:ascii="宋体" w:hAnsi="宋体" w:eastAsia="宋体" w:cs="宋体"/>
                <w:kern w:val="0"/>
                <w:sz w:val="21"/>
                <w:szCs w:val="21"/>
              </w:rPr>
            </w:pPr>
          </w:p>
        </w:tc>
        <w:tc>
          <w:tcPr>
            <w:tcW w:w="2476" w:type="dxa"/>
            <w:gridSpan w:val="4"/>
            <w:vAlign w:val="center"/>
          </w:tcPr>
          <w:p w14:paraId="6CD5518F">
            <w:pPr>
              <w:tabs>
                <w:tab w:val="left" w:pos="1240"/>
              </w:tabs>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w:t>
            </w:r>
            <w:r>
              <w:rPr>
                <w:rFonts w:hint="eastAsia" w:ascii="宋体" w:hAnsi="宋体" w:eastAsia="宋体" w:cs="宋体"/>
                <w:kern w:val="0"/>
                <w:sz w:val="21"/>
                <w:szCs w:val="21"/>
              </w:rPr>
              <w:tab/>
            </w:r>
            <w:r>
              <w:rPr>
                <w:rFonts w:hint="eastAsia" w:ascii="宋体" w:hAnsi="宋体" w:eastAsia="宋体" w:cs="宋体"/>
                <w:kern w:val="0"/>
                <w:sz w:val="21"/>
                <w:szCs w:val="21"/>
              </w:rPr>
              <w:t>工</w:t>
            </w:r>
          </w:p>
        </w:tc>
        <w:tc>
          <w:tcPr>
            <w:tcW w:w="2236" w:type="dxa"/>
            <w:gridSpan w:val="2"/>
            <w:vAlign w:val="center"/>
          </w:tcPr>
          <w:p w14:paraId="42D116D2">
            <w:pPr>
              <w:autoSpaceDE w:val="0"/>
              <w:autoSpaceDN w:val="0"/>
              <w:adjustRightInd w:val="0"/>
              <w:snapToGrid w:val="0"/>
              <w:jc w:val="center"/>
              <w:rPr>
                <w:rFonts w:hint="eastAsia" w:ascii="宋体" w:hAnsi="宋体" w:eastAsia="宋体" w:cs="宋体"/>
                <w:kern w:val="0"/>
                <w:sz w:val="21"/>
                <w:szCs w:val="21"/>
              </w:rPr>
            </w:pPr>
          </w:p>
        </w:tc>
      </w:tr>
      <w:tr w14:paraId="65DB9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70C2AC">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经营范围</w:t>
            </w:r>
          </w:p>
        </w:tc>
        <w:tc>
          <w:tcPr>
            <w:tcW w:w="7607" w:type="dxa"/>
            <w:gridSpan w:val="9"/>
            <w:vAlign w:val="center"/>
          </w:tcPr>
          <w:p w14:paraId="70785F4A">
            <w:pPr>
              <w:autoSpaceDE w:val="0"/>
              <w:autoSpaceDN w:val="0"/>
              <w:adjustRightInd w:val="0"/>
              <w:snapToGrid w:val="0"/>
              <w:jc w:val="center"/>
              <w:rPr>
                <w:rFonts w:hint="eastAsia" w:ascii="宋体" w:hAnsi="宋体" w:eastAsia="宋体" w:cs="宋体"/>
                <w:kern w:val="0"/>
                <w:sz w:val="21"/>
                <w:szCs w:val="21"/>
              </w:rPr>
            </w:pPr>
          </w:p>
        </w:tc>
      </w:tr>
      <w:tr w14:paraId="010A59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B00BC3">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c>
          <w:tcPr>
            <w:tcW w:w="7607" w:type="dxa"/>
            <w:gridSpan w:val="9"/>
            <w:vAlign w:val="center"/>
          </w:tcPr>
          <w:p w14:paraId="73F125ED">
            <w:pPr>
              <w:autoSpaceDE w:val="0"/>
              <w:autoSpaceDN w:val="0"/>
              <w:adjustRightInd w:val="0"/>
              <w:snapToGrid w:val="0"/>
              <w:jc w:val="center"/>
              <w:rPr>
                <w:rFonts w:hint="eastAsia" w:ascii="宋体" w:hAnsi="宋体" w:eastAsia="宋体" w:cs="宋体"/>
                <w:kern w:val="0"/>
                <w:sz w:val="21"/>
                <w:szCs w:val="21"/>
              </w:rPr>
            </w:pPr>
          </w:p>
        </w:tc>
      </w:tr>
    </w:tbl>
    <w:p w14:paraId="16C38AF4">
      <w:pPr>
        <w:spacing w:line="360" w:lineRule="auto"/>
        <w:jc w:val="center"/>
        <w:rPr>
          <w:rFonts w:hint="eastAsia" w:ascii="宋体" w:hAnsi="宋体" w:eastAsia="宋体" w:cs="宋体"/>
          <w:sz w:val="21"/>
          <w:szCs w:val="21"/>
        </w:rPr>
      </w:pPr>
    </w:p>
    <w:p w14:paraId="6571F5CF">
      <w:pPr>
        <w:pStyle w:val="5"/>
        <w:spacing w:before="0" w:line="360" w:lineRule="auto"/>
        <w:jc w:val="center"/>
        <w:rPr>
          <w:rFonts w:hint="eastAsia" w:ascii="宋体" w:hAnsi="宋体" w:eastAsia="宋体" w:cs="宋体"/>
          <w:b/>
          <w:bCs w:val="0"/>
          <w:sz w:val="28"/>
          <w:szCs w:val="28"/>
        </w:rPr>
      </w:pPr>
      <w:r>
        <w:rPr>
          <w:rFonts w:hint="eastAsia" w:ascii="宋体" w:hAnsi="宋体" w:eastAsia="宋体" w:cs="宋体"/>
          <w:sz w:val="21"/>
          <w:szCs w:val="21"/>
        </w:rPr>
        <w:br w:type="page"/>
      </w:r>
      <w:bookmarkEnd w:id="1412"/>
      <w:bookmarkEnd w:id="1413"/>
      <w:bookmarkStart w:id="1414" w:name="_Toc224103520"/>
      <w:bookmarkStart w:id="1415" w:name="_Toc430530552"/>
      <w:bookmarkStart w:id="1416" w:name="_Toc287620839"/>
      <w:bookmarkStart w:id="1417" w:name="_Toc534185843"/>
      <w:bookmarkStart w:id="1418" w:name="_Toc509218866"/>
      <w:bookmarkStart w:id="1419" w:name="_Toc287607893"/>
      <w:bookmarkStart w:id="1420" w:name="_Toc277082663"/>
      <w:bookmarkStart w:id="1421" w:name="_Toc57820664"/>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w:t>
      </w:r>
      <w:bookmarkEnd w:id="1414"/>
      <w:bookmarkEnd w:id="1415"/>
      <w:bookmarkEnd w:id="1416"/>
      <w:bookmarkEnd w:id="1417"/>
      <w:bookmarkEnd w:id="1418"/>
      <w:bookmarkEnd w:id="1419"/>
      <w:bookmarkEnd w:id="1420"/>
      <w:r>
        <w:rPr>
          <w:rFonts w:hint="eastAsia" w:ascii="宋体" w:hAnsi="宋体" w:eastAsia="宋体" w:cs="宋体"/>
          <w:b/>
          <w:bCs w:val="0"/>
          <w:sz w:val="28"/>
          <w:szCs w:val="28"/>
        </w:rPr>
        <w:t>承诺</w:t>
      </w:r>
      <w:bookmarkEnd w:id="1421"/>
    </w:p>
    <w:p w14:paraId="353AFBD8">
      <w:pPr>
        <w:snapToGrid w:val="0"/>
        <w:spacing w:line="380" w:lineRule="exac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比选</w:t>
      </w:r>
      <w:r>
        <w:rPr>
          <w:rFonts w:hint="eastAsia" w:ascii="宋体" w:hAnsi="宋体" w:eastAsia="宋体" w:cs="宋体"/>
          <w:sz w:val="21"/>
          <w:szCs w:val="21"/>
          <w:u w:val="single"/>
        </w:rPr>
        <w:t>人名称）</w:t>
      </w:r>
      <w:r>
        <w:rPr>
          <w:rFonts w:hint="eastAsia" w:ascii="宋体" w:hAnsi="宋体" w:eastAsia="宋体" w:cs="宋体"/>
          <w:sz w:val="21"/>
          <w:szCs w:val="21"/>
        </w:rPr>
        <w:t>：</w:t>
      </w:r>
    </w:p>
    <w:p w14:paraId="0858AE75">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我公司</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竞标人</w:t>
      </w:r>
      <w:r>
        <w:rPr>
          <w:rFonts w:hint="eastAsia" w:ascii="宋体" w:hAnsi="宋体" w:eastAsia="宋体" w:cs="宋体"/>
          <w:sz w:val="21"/>
          <w:szCs w:val="21"/>
          <w:u w:val="single"/>
        </w:rPr>
        <w:t>名称）</w:t>
      </w:r>
      <w:r>
        <w:rPr>
          <w:rFonts w:hint="eastAsia" w:ascii="宋体" w:hAnsi="宋体" w:eastAsia="宋体" w:cs="宋体"/>
          <w:sz w:val="21"/>
          <w:szCs w:val="21"/>
        </w:rPr>
        <w:t>参加了贵单位</w:t>
      </w:r>
      <w:r>
        <w:rPr>
          <w:rFonts w:hint="eastAsia" w:ascii="宋体" w:hAnsi="宋体" w:eastAsia="宋体" w:cs="宋体"/>
          <w:sz w:val="21"/>
          <w:szCs w:val="21"/>
          <w:u w:val="single"/>
        </w:rPr>
        <w:t xml:space="preserve">        （项目名称）</w:t>
      </w:r>
      <w:r>
        <w:rPr>
          <w:rFonts w:hint="eastAsia" w:ascii="宋体" w:hAnsi="宋体" w:eastAsia="宋体" w:cs="宋体"/>
          <w:sz w:val="21"/>
          <w:szCs w:val="21"/>
        </w:rPr>
        <w:t>的</w:t>
      </w:r>
      <w:r>
        <w:rPr>
          <w:rFonts w:hint="eastAsia" w:ascii="宋体" w:hAnsi="宋体" w:eastAsia="宋体" w:cs="宋体"/>
          <w:sz w:val="21"/>
          <w:szCs w:val="21"/>
          <w:lang w:eastAsia="zh-CN"/>
        </w:rPr>
        <w:t>竞标</w:t>
      </w:r>
      <w:r>
        <w:rPr>
          <w:rFonts w:hint="eastAsia" w:ascii="宋体" w:hAnsi="宋体" w:eastAsia="宋体" w:cs="宋体"/>
          <w:sz w:val="21"/>
          <w:szCs w:val="21"/>
        </w:rPr>
        <w:t>，自愿作出以下承诺：</w:t>
      </w:r>
    </w:p>
    <w:p w14:paraId="23D9C177">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1、我公司</w:t>
      </w:r>
      <w:r>
        <w:rPr>
          <w:rFonts w:hint="eastAsia" w:ascii="宋体" w:hAnsi="宋体" w:eastAsia="宋体" w:cs="宋体"/>
          <w:sz w:val="21"/>
          <w:szCs w:val="21"/>
          <w:lang w:eastAsia="zh-CN"/>
        </w:rPr>
        <w:t>竞标</w:t>
      </w:r>
      <w:r>
        <w:rPr>
          <w:rFonts w:hint="eastAsia" w:ascii="宋体" w:hAnsi="宋体" w:eastAsia="宋体" w:cs="宋体"/>
          <w:sz w:val="21"/>
          <w:szCs w:val="21"/>
        </w:rPr>
        <w:t>截止日</w:t>
      </w:r>
      <w:r>
        <w:rPr>
          <w:rFonts w:hint="eastAsia" w:ascii="宋体" w:hAnsi="宋体" w:eastAsia="宋体" w:cs="宋体"/>
          <w:sz w:val="21"/>
          <w:szCs w:val="21"/>
          <w:lang w:eastAsia="zh-CN"/>
        </w:rPr>
        <w:t>竞标</w:t>
      </w:r>
      <w:r>
        <w:rPr>
          <w:rFonts w:hint="eastAsia" w:ascii="宋体" w:hAnsi="宋体" w:eastAsia="宋体" w:cs="宋体"/>
          <w:sz w:val="21"/>
          <w:szCs w:val="21"/>
        </w:rPr>
        <w:t>资格情况不存在下列情形之一：</w:t>
      </w:r>
    </w:p>
    <w:p w14:paraId="2EB2FF2A">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（1）被人民法院列入失信被执行人名单且在被执行期内；</w:t>
      </w:r>
    </w:p>
    <w:p w14:paraId="52594A56">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（2）被列入《重庆市工程建设领域招标</w:t>
      </w:r>
      <w:r>
        <w:rPr>
          <w:rFonts w:hint="eastAsia" w:ascii="宋体" w:hAnsi="宋体" w:eastAsia="宋体" w:cs="宋体"/>
          <w:sz w:val="21"/>
          <w:szCs w:val="21"/>
          <w:lang w:eastAsia="zh-CN"/>
        </w:rPr>
        <w:t>竞标</w:t>
      </w:r>
      <w:r>
        <w:rPr>
          <w:rFonts w:hint="eastAsia" w:ascii="宋体" w:hAnsi="宋体" w:eastAsia="宋体" w:cs="宋体"/>
          <w:sz w:val="21"/>
          <w:szCs w:val="21"/>
        </w:rPr>
        <w:t>信用管理暂行办法》规定的重点关注名单且记分达到12分且在记分有效期内；</w:t>
      </w:r>
    </w:p>
    <w:p w14:paraId="049506EA">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（3）被列入《重庆市工程建设领域招标</w:t>
      </w:r>
      <w:r>
        <w:rPr>
          <w:rFonts w:hint="eastAsia" w:ascii="宋体" w:hAnsi="宋体" w:eastAsia="宋体" w:cs="宋体"/>
          <w:sz w:val="21"/>
          <w:szCs w:val="21"/>
          <w:lang w:eastAsia="zh-CN"/>
        </w:rPr>
        <w:t>竞标</w:t>
      </w:r>
      <w:r>
        <w:rPr>
          <w:rFonts w:hint="eastAsia" w:ascii="宋体" w:hAnsi="宋体" w:eastAsia="宋体" w:cs="宋体"/>
          <w:sz w:val="21"/>
          <w:szCs w:val="21"/>
        </w:rPr>
        <w:t>信用管理暂行办法》规定的黑名单且在记分有效期内；</w:t>
      </w:r>
    </w:p>
    <w:p w14:paraId="3E131DBA">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（4）被国家、重庆市（含市或任意区县）有关行政部门处以暂停</w:t>
      </w:r>
      <w:r>
        <w:rPr>
          <w:rFonts w:hint="eastAsia" w:ascii="宋体" w:hAnsi="宋体" w:eastAsia="宋体" w:cs="宋体"/>
          <w:sz w:val="21"/>
          <w:szCs w:val="21"/>
          <w:lang w:eastAsia="zh-CN"/>
        </w:rPr>
        <w:t>竞标</w:t>
      </w:r>
      <w:r>
        <w:rPr>
          <w:rFonts w:hint="eastAsia" w:ascii="宋体" w:hAnsi="宋体" w:eastAsia="宋体" w:cs="宋体"/>
          <w:sz w:val="21"/>
          <w:szCs w:val="21"/>
        </w:rPr>
        <w:t>资格行政处罚，且在处罚期限内；</w:t>
      </w:r>
    </w:p>
    <w:p w14:paraId="66431199">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（5）被重庆市</w:t>
      </w:r>
      <w:r>
        <w:rPr>
          <w:rFonts w:hint="eastAsia" w:ascii="宋体" w:hAnsi="宋体" w:eastAsia="宋体" w:cs="宋体"/>
          <w:sz w:val="21"/>
          <w:szCs w:val="21"/>
          <w:lang w:eastAsia="zh-CN"/>
        </w:rPr>
        <w:t>市级有关行业</w:t>
      </w:r>
      <w:r>
        <w:rPr>
          <w:rFonts w:hint="eastAsia" w:ascii="宋体" w:hAnsi="宋体" w:eastAsia="宋体" w:cs="宋体"/>
          <w:sz w:val="21"/>
          <w:szCs w:val="21"/>
        </w:rPr>
        <w:t>主管部门暂停在渝承揽新业务且在暂停期内。</w:t>
      </w:r>
    </w:p>
    <w:p w14:paraId="5A17C8FD">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2、我公司在资格审查部分中提供的相关证明材料真实有效，不存在弄虚作假情形。</w:t>
      </w:r>
      <w:r>
        <w:rPr>
          <w:rFonts w:hint="eastAsia" w:ascii="宋体" w:hAnsi="宋体" w:eastAsia="宋体" w:cs="宋体"/>
          <w:sz w:val="21"/>
          <w:szCs w:val="21"/>
          <w:u w:val="single"/>
          <w:lang w:eastAsia="zh-CN"/>
        </w:rPr>
        <w:t>贵单位</w:t>
      </w:r>
      <w:r>
        <w:rPr>
          <w:rFonts w:hint="eastAsia" w:ascii="宋体" w:hAnsi="宋体" w:eastAsia="宋体" w:cs="宋体"/>
          <w:sz w:val="21"/>
          <w:szCs w:val="21"/>
          <w:u w:val="single"/>
        </w:rPr>
        <w:t>在合同签订前均有权对我</w:t>
      </w:r>
      <w:r>
        <w:rPr>
          <w:rFonts w:hint="eastAsia" w:ascii="宋体" w:hAnsi="宋体" w:eastAsia="宋体" w:cs="宋体"/>
          <w:sz w:val="21"/>
          <w:szCs w:val="21"/>
          <w:u w:val="single"/>
          <w:lang w:eastAsia="zh-CN"/>
        </w:rPr>
        <w:t>公</w:t>
      </w:r>
      <w:r>
        <w:rPr>
          <w:rFonts w:hint="eastAsia" w:ascii="宋体" w:hAnsi="宋体" w:eastAsia="宋体" w:cs="宋体"/>
          <w:sz w:val="21"/>
          <w:szCs w:val="21"/>
          <w:u w:val="single"/>
        </w:rPr>
        <w:t>司提供的资料进行核实，若发现弄虚作假，</w:t>
      </w:r>
      <w:r>
        <w:rPr>
          <w:rFonts w:hint="eastAsia" w:ascii="宋体" w:hAnsi="宋体" w:eastAsia="宋体" w:cs="宋体"/>
          <w:sz w:val="21"/>
          <w:szCs w:val="21"/>
          <w:u w:val="single"/>
          <w:lang w:eastAsia="zh-CN"/>
        </w:rPr>
        <w:t>按相关规定</w:t>
      </w:r>
      <w:r>
        <w:rPr>
          <w:rFonts w:hint="eastAsia" w:ascii="宋体" w:hAnsi="宋体" w:eastAsia="宋体" w:cs="宋体"/>
          <w:sz w:val="21"/>
          <w:szCs w:val="21"/>
          <w:u w:val="single"/>
        </w:rPr>
        <w:t>取消</w:t>
      </w:r>
      <w:r>
        <w:rPr>
          <w:rFonts w:hint="eastAsia" w:ascii="宋体" w:hAnsi="宋体" w:eastAsia="宋体" w:cs="宋体"/>
          <w:sz w:val="21"/>
          <w:szCs w:val="21"/>
          <w:u w:val="single"/>
          <w:lang w:eastAsia="zh-CN"/>
        </w:rPr>
        <w:t>我公司中选</w:t>
      </w:r>
      <w:r>
        <w:rPr>
          <w:rFonts w:hint="eastAsia" w:ascii="宋体" w:hAnsi="宋体" w:eastAsia="宋体" w:cs="宋体"/>
          <w:sz w:val="21"/>
          <w:szCs w:val="21"/>
          <w:u w:val="single"/>
        </w:rPr>
        <w:t>资格，并按相关法律法规报招标</w:t>
      </w:r>
      <w:r>
        <w:rPr>
          <w:rFonts w:hint="eastAsia" w:ascii="宋体" w:hAnsi="宋体" w:eastAsia="宋体" w:cs="宋体"/>
          <w:sz w:val="21"/>
          <w:szCs w:val="21"/>
          <w:u w:val="single"/>
          <w:lang w:eastAsia="zh-CN"/>
        </w:rPr>
        <w:t>竞标</w:t>
      </w:r>
      <w:r>
        <w:rPr>
          <w:rFonts w:hint="eastAsia" w:ascii="宋体" w:hAnsi="宋体" w:eastAsia="宋体" w:cs="宋体"/>
          <w:sz w:val="21"/>
          <w:szCs w:val="21"/>
          <w:u w:val="single"/>
        </w:rPr>
        <w:t>监督部门，</w:t>
      </w:r>
      <w:r>
        <w:rPr>
          <w:rFonts w:hint="eastAsia" w:ascii="宋体" w:hAnsi="宋体" w:eastAsia="宋体" w:cs="宋体"/>
          <w:sz w:val="21"/>
          <w:szCs w:val="21"/>
          <w:u w:val="single"/>
          <w:lang w:eastAsia="zh-CN"/>
        </w:rPr>
        <w:t>竞标</w:t>
      </w:r>
      <w:r>
        <w:rPr>
          <w:rFonts w:hint="eastAsia" w:ascii="宋体" w:hAnsi="宋体" w:eastAsia="宋体" w:cs="宋体"/>
          <w:sz w:val="21"/>
          <w:szCs w:val="21"/>
          <w:u w:val="single"/>
        </w:rPr>
        <w:t>保证金不予退还，我</w:t>
      </w:r>
      <w:r>
        <w:rPr>
          <w:rFonts w:hint="eastAsia" w:ascii="宋体" w:hAnsi="宋体" w:eastAsia="宋体" w:cs="宋体"/>
          <w:sz w:val="21"/>
          <w:szCs w:val="21"/>
          <w:u w:val="single"/>
          <w:lang w:eastAsia="zh-CN"/>
        </w:rPr>
        <w:t>公</w:t>
      </w:r>
      <w:r>
        <w:rPr>
          <w:rFonts w:hint="eastAsia" w:ascii="宋体" w:hAnsi="宋体" w:eastAsia="宋体" w:cs="宋体"/>
          <w:sz w:val="21"/>
          <w:szCs w:val="21"/>
          <w:u w:val="single"/>
        </w:rPr>
        <w:t>司自愿承担因此造成的相关责任并赔偿相应损失</w:t>
      </w:r>
      <w:r>
        <w:rPr>
          <w:rFonts w:hint="eastAsia" w:ascii="宋体" w:hAnsi="宋体" w:eastAsia="宋体" w:cs="宋体"/>
          <w:sz w:val="21"/>
          <w:szCs w:val="21"/>
        </w:rPr>
        <w:t>。</w:t>
      </w:r>
    </w:p>
    <w:p w14:paraId="0DAC0A9D">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、我公司不存在第二章 </w:t>
      </w:r>
      <w:r>
        <w:rPr>
          <w:rFonts w:hint="eastAsia" w:ascii="宋体" w:hAnsi="宋体" w:eastAsia="宋体" w:cs="宋体"/>
          <w:sz w:val="21"/>
          <w:szCs w:val="21"/>
          <w:lang w:eastAsia="zh-CN"/>
        </w:rPr>
        <w:t>竞标人</w:t>
      </w:r>
      <w:r>
        <w:rPr>
          <w:rFonts w:hint="eastAsia" w:ascii="宋体" w:hAnsi="宋体" w:eastAsia="宋体" w:cs="宋体"/>
          <w:sz w:val="21"/>
          <w:szCs w:val="21"/>
        </w:rPr>
        <w:t>须知第 1.4.3 项规定的任何一种情形。</w:t>
      </w:r>
    </w:p>
    <w:p w14:paraId="7EA8BC83">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、我公司的</w:t>
      </w:r>
      <w:r>
        <w:rPr>
          <w:rFonts w:hint="eastAsia" w:ascii="宋体" w:hAnsi="宋体" w:eastAsia="宋体" w:cs="宋体"/>
          <w:sz w:val="21"/>
          <w:szCs w:val="21"/>
          <w:lang w:eastAsia="zh-CN"/>
        </w:rPr>
        <w:t>竞标文件</w:t>
      </w:r>
      <w:r>
        <w:rPr>
          <w:rFonts w:hint="eastAsia" w:ascii="宋体" w:hAnsi="宋体" w:eastAsia="宋体" w:cs="宋体"/>
          <w:sz w:val="21"/>
          <w:szCs w:val="21"/>
        </w:rPr>
        <w:t xml:space="preserve">符合第二章 </w:t>
      </w:r>
      <w:r>
        <w:rPr>
          <w:rFonts w:hint="eastAsia" w:ascii="宋体" w:hAnsi="宋体" w:eastAsia="宋体" w:cs="宋体"/>
          <w:sz w:val="21"/>
          <w:szCs w:val="21"/>
          <w:lang w:eastAsia="zh-CN"/>
        </w:rPr>
        <w:t>竞标人</w:t>
      </w:r>
      <w:r>
        <w:rPr>
          <w:rFonts w:hint="eastAsia" w:ascii="宋体" w:hAnsi="宋体" w:eastAsia="宋体" w:cs="宋体"/>
          <w:sz w:val="21"/>
          <w:szCs w:val="21"/>
        </w:rPr>
        <w:t>须知第 1.3.1 项的规定。</w:t>
      </w:r>
    </w:p>
    <w:p w14:paraId="1FA7B28A">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、我公司的</w:t>
      </w:r>
      <w:r>
        <w:rPr>
          <w:rFonts w:hint="eastAsia" w:ascii="宋体" w:hAnsi="宋体" w:eastAsia="宋体" w:cs="宋体"/>
          <w:sz w:val="21"/>
          <w:szCs w:val="21"/>
          <w:lang w:eastAsia="zh-CN"/>
        </w:rPr>
        <w:t>竞标文件</w:t>
      </w:r>
      <w:r>
        <w:rPr>
          <w:rFonts w:hint="eastAsia" w:ascii="宋体" w:hAnsi="宋体" w:eastAsia="宋体" w:cs="宋体"/>
          <w:sz w:val="21"/>
          <w:szCs w:val="21"/>
        </w:rPr>
        <w:t>符合第四章 合同条款及格式规定，</w:t>
      </w:r>
      <w:r>
        <w:rPr>
          <w:rFonts w:hint="eastAsia" w:ascii="宋体" w:hAnsi="宋体" w:eastAsia="宋体" w:cs="宋体"/>
          <w:sz w:val="21"/>
          <w:szCs w:val="21"/>
          <w:lang w:eastAsia="zh-CN"/>
        </w:rPr>
        <w:t>竞标文件</w:t>
      </w:r>
      <w:r>
        <w:rPr>
          <w:rFonts w:hint="eastAsia" w:ascii="宋体" w:hAnsi="宋体" w:eastAsia="宋体" w:cs="宋体"/>
          <w:sz w:val="21"/>
          <w:szCs w:val="21"/>
        </w:rPr>
        <w:t>中没有</w:t>
      </w:r>
      <w:r>
        <w:rPr>
          <w:rFonts w:hint="eastAsia" w:ascii="宋体" w:hAnsi="宋体" w:eastAsia="宋体" w:cs="宋体"/>
          <w:sz w:val="21"/>
          <w:szCs w:val="21"/>
          <w:lang w:eastAsia="zh-CN"/>
        </w:rPr>
        <w:t>贵单位</w:t>
      </w:r>
      <w:r>
        <w:rPr>
          <w:rFonts w:hint="eastAsia" w:ascii="宋体" w:hAnsi="宋体" w:eastAsia="宋体" w:cs="宋体"/>
          <w:sz w:val="21"/>
          <w:szCs w:val="21"/>
        </w:rPr>
        <w:t>不能接受的条件。</w:t>
      </w:r>
    </w:p>
    <w:p w14:paraId="4FAA7F25">
      <w:pPr>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、我公司的</w:t>
      </w:r>
      <w:r>
        <w:rPr>
          <w:rFonts w:hint="eastAsia" w:ascii="宋体" w:hAnsi="宋体" w:eastAsia="宋体" w:cs="宋体"/>
          <w:sz w:val="21"/>
          <w:szCs w:val="21"/>
          <w:lang w:eastAsia="zh-CN"/>
        </w:rPr>
        <w:t>竞标文件</w:t>
      </w:r>
      <w:r>
        <w:rPr>
          <w:rFonts w:hint="eastAsia" w:ascii="宋体" w:hAnsi="宋体" w:eastAsia="宋体" w:cs="宋体"/>
          <w:sz w:val="21"/>
          <w:szCs w:val="21"/>
        </w:rPr>
        <w:t>符合第七章 技术标准和要求（如有）。</w:t>
      </w:r>
    </w:p>
    <w:p w14:paraId="03C94ECB">
      <w:pPr>
        <w:snapToGrid w:val="0"/>
        <w:spacing w:line="380" w:lineRule="exact"/>
        <w:ind w:firstLine="420" w:firstLineChars="200"/>
        <w:rPr>
          <w:rFonts w:hint="eastAsia" w:ascii="宋体" w:hAnsi="宋体" w:eastAsia="宋体" w:cs="宋体"/>
          <w:sz w:val="21"/>
          <w:szCs w:val="21"/>
        </w:rPr>
      </w:pPr>
    </w:p>
    <w:p w14:paraId="087297C6">
      <w:pPr>
        <w:tabs>
          <w:tab w:val="left" w:pos="4200"/>
          <w:tab w:val="left" w:pos="4620"/>
        </w:tabs>
        <w:autoSpaceDE w:val="0"/>
        <w:autoSpaceDN w:val="0"/>
        <w:adjustRightInd w:val="0"/>
        <w:snapToGrid w:val="0"/>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竞标人</w:t>
      </w:r>
      <w:r>
        <w:rPr>
          <w:rFonts w:hint="eastAsia" w:ascii="宋体" w:hAnsi="宋体" w:eastAsia="宋体" w:cs="宋体"/>
          <w:kern w:val="0"/>
          <w:sz w:val="21"/>
          <w:szCs w:val="21"/>
        </w:rPr>
        <w:t>：</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盖单位法人章</w:t>
      </w:r>
      <w:r>
        <w:rPr>
          <w:rFonts w:hint="eastAsia" w:ascii="宋体" w:hAnsi="宋体" w:eastAsia="宋体" w:cs="宋体"/>
          <w:kern w:val="0"/>
          <w:sz w:val="21"/>
          <w:szCs w:val="21"/>
        </w:rPr>
        <w:t>）</w:t>
      </w:r>
    </w:p>
    <w:p w14:paraId="31F2D631">
      <w:pPr>
        <w:tabs>
          <w:tab w:val="left" w:pos="6300"/>
        </w:tabs>
        <w:autoSpaceDE w:val="0"/>
        <w:autoSpaceDN w:val="0"/>
        <w:adjustRightInd w:val="0"/>
        <w:snapToGrid w:val="0"/>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（签名或盖章）</w:t>
      </w:r>
    </w:p>
    <w:p w14:paraId="1E633A9A">
      <w:pPr>
        <w:snapToGrid w:val="0"/>
        <w:spacing w:line="380" w:lineRule="exact"/>
        <w:ind w:firstLine="420" w:firstLineChars="200"/>
        <w:jc w:val="right"/>
        <w:rPr>
          <w:rFonts w:hint="eastAsia" w:ascii="宋体" w:hAnsi="宋体" w:eastAsia="宋体" w:cs="宋体"/>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3DF3CA83">
      <w:pPr>
        <w:rPr>
          <w:rFonts w:hint="eastAsia" w:ascii="宋体" w:hAnsi="宋体" w:eastAsia="宋体" w:cs="宋体"/>
          <w:sz w:val="21"/>
          <w:szCs w:val="21"/>
        </w:rPr>
      </w:pPr>
    </w:p>
    <w:p w14:paraId="38A59BA5">
      <w:pPr>
        <w:rPr>
          <w:rFonts w:hint="eastAsia" w:ascii="宋体" w:hAnsi="宋体" w:eastAsia="宋体" w:cs="宋体"/>
          <w:sz w:val="21"/>
          <w:szCs w:val="21"/>
        </w:rPr>
      </w:pPr>
      <w:r>
        <w:rPr>
          <w:rFonts w:hint="eastAsia" w:ascii="宋体" w:hAnsi="宋体" w:eastAsia="宋体" w:cs="宋体"/>
          <w:sz w:val="21"/>
          <w:szCs w:val="21"/>
        </w:rPr>
        <w:br w:type="page"/>
      </w:r>
    </w:p>
    <w:p w14:paraId="2E35B9F0">
      <w:pPr>
        <w:pStyle w:val="5"/>
        <w:spacing w:before="0" w:line="360" w:lineRule="auto"/>
        <w:jc w:val="center"/>
        <w:rPr>
          <w:rFonts w:hint="eastAsia" w:ascii="宋体" w:hAnsi="宋体" w:eastAsia="宋体" w:cs="宋体"/>
          <w:b/>
          <w:bCs w:val="0"/>
          <w:sz w:val="28"/>
          <w:szCs w:val="28"/>
        </w:rPr>
      </w:pPr>
      <w:bookmarkStart w:id="1422" w:name="_Toc57820665"/>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）其他资料</w:t>
      </w:r>
      <w:bookmarkEnd w:id="1422"/>
    </w:p>
    <w:p w14:paraId="1CE66327">
      <w:pPr>
        <w:autoSpaceDE w:val="0"/>
        <w:autoSpaceDN w:val="0"/>
        <w:snapToGrid w:val="0"/>
        <w:spacing w:line="360" w:lineRule="auto"/>
        <w:ind w:firstLine="420" w:firstLineChars="200"/>
        <w:rPr>
          <w:rFonts w:hint="eastAsia" w:ascii="宋体" w:hAnsi="宋体" w:eastAsia="宋体" w:cs="宋体"/>
          <w:color w:val="auto"/>
          <w:sz w:val="21"/>
          <w:szCs w:val="21"/>
          <w:highlight w:val="none"/>
        </w:rPr>
      </w:pPr>
    </w:p>
    <w:p w14:paraId="55FE9853">
      <w:pPr>
        <w:pStyle w:val="2"/>
        <w:rPr>
          <w:rFonts w:hint="eastAsia" w:ascii="宋体" w:hAnsi="宋体" w:eastAsia="宋体" w:cs="宋体"/>
          <w:color w:val="auto"/>
          <w:sz w:val="21"/>
          <w:szCs w:val="21"/>
          <w:highlight w:val="none"/>
        </w:rPr>
      </w:pPr>
    </w:p>
    <w:p w14:paraId="3204ACC8">
      <w:pPr>
        <w:rPr>
          <w:rFonts w:hint="eastAsia" w:ascii="宋体" w:hAnsi="宋体" w:eastAsia="宋体" w:cs="宋体"/>
          <w:color w:val="auto"/>
          <w:sz w:val="21"/>
          <w:szCs w:val="21"/>
          <w:highlight w:val="none"/>
        </w:rPr>
      </w:pPr>
    </w:p>
    <w:p w14:paraId="53546125">
      <w:pPr>
        <w:pStyle w:val="2"/>
        <w:rPr>
          <w:rFonts w:hint="eastAsia" w:ascii="宋体" w:hAnsi="宋体" w:eastAsia="宋体" w:cs="宋体"/>
          <w:color w:val="auto"/>
          <w:sz w:val="21"/>
          <w:szCs w:val="21"/>
          <w:highlight w:val="none"/>
        </w:rPr>
      </w:pPr>
    </w:p>
    <w:p w14:paraId="705A1BBC">
      <w:pPr>
        <w:rPr>
          <w:rFonts w:hint="eastAsia" w:ascii="宋体" w:hAnsi="宋体" w:eastAsia="宋体" w:cs="宋体"/>
          <w:color w:val="auto"/>
          <w:sz w:val="21"/>
          <w:szCs w:val="21"/>
          <w:highlight w:val="none"/>
        </w:rPr>
      </w:pPr>
    </w:p>
    <w:p w14:paraId="670DEA6E">
      <w:pPr>
        <w:pStyle w:val="2"/>
        <w:rPr>
          <w:rFonts w:hint="eastAsia" w:ascii="宋体" w:hAnsi="宋体" w:eastAsia="宋体" w:cs="宋体"/>
          <w:color w:val="auto"/>
          <w:sz w:val="21"/>
          <w:szCs w:val="21"/>
          <w:highlight w:val="none"/>
        </w:rPr>
      </w:pPr>
    </w:p>
    <w:p w14:paraId="61ABB1E2">
      <w:pPr>
        <w:rPr>
          <w:rFonts w:hint="eastAsia" w:ascii="宋体" w:hAnsi="宋体" w:eastAsia="宋体" w:cs="宋体"/>
          <w:color w:val="auto"/>
          <w:sz w:val="21"/>
          <w:szCs w:val="21"/>
          <w:highlight w:val="none"/>
        </w:rPr>
      </w:pPr>
    </w:p>
    <w:p w14:paraId="57A5C54C">
      <w:pPr>
        <w:pStyle w:val="2"/>
        <w:rPr>
          <w:rFonts w:hint="eastAsia" w:ascii="宋体" w:hAnsi="宋体" w:eastAsia="宋体" w:cs="宋体"/>
          <w:color w:val="auto"/>
          <w:sz w:val="21"/>
          <w:szCs w:val="21"/>
          <w:highlight w:val="none"/>
        </w:rPr>
      </w:pPr>
    </w:p>
    <w:p w14:paraId="0C9C5AA9">
      <w:pPr>
        <w:rPr>
          <w:rFonts w:hint="eastAsia" w:ascii="宋体" w:hAnsi="宋体" w:eastAsia="宋体" w:cs="宋体"/>
          <w:color w:val="auto"/>
          <w:sz w:val="21"/>
          <w:szCs w:val="21"/>
          <w:highlight w:val="none"/>
        </w:rPr>
      </w:pPr>
    </w:p>
    <w:p w14:paraId="58FD30DD">
      <w:pPr>
        <w:pStyle w:val="2"/>
        <w:rPr>
          <w:rFonts w:hint="eastAsia" w:ascii="宋体" w:hAnsi="宋体" w:eastAsia="宋体" w:cs="宋体"/>
          <w:color w:val="auto"/>
          <w:sz w:val="21"/>
          <w:szCs w:val="21"/>
          <w:highlight w:val="none"/>
        </w:rPr>
      </w:pPr>
    </w:p>
    <w:p w14:paraId="4E5D73FA">
      <w:pPr>
        <w:rPr>
          <w:rFonts w:hint="eastAsia" w:ascii="宋体" w:hAnsi="宋体" w:eastAsia="宋体" w:cs="宋体"/>
          <w:color w:val="auto"/>
          <w:sz w:val="21"/>
          <w:szCs w:val="21"/>
          <w:highlight w:val="none"/>
        </w:rPr>
      </w:pPr>
    </w:p>
    <w:p w14:paraId="4DF4B4C0">
      <w:pPr>
        <w:pStyle w:val="2"/>
        <w:rPr>
          <w:rFonts w:hint="eastAsia" w:ascii="宋体" w:hAnsi="宋体" w:eastAsia="宋体" w:cs="宋体"/>
          <w:color w:val="auto"/>
          <w:sz w:val="21"/>
          <w:szCs w:val="21"/>
          <w:highlight w:val="none"/>
        </w:rPr>
      </w:pPr>
    </w:p>
    <w:p w14:paraId="43424562">
      <w:pPr>
        <w:rPr>
          <w:rFonts w:hint="eastAsia" w:ascii="宋体" w:hAnsi="宋体" w:eastAsia="宋体" w:cs="宋体"/>
          <w:color w:val="auto"/>
          <w:sz w:val="21"/>
          <w:szCs w:val="21"/>
          <w:highlight w:val="none"/>
        </w:rPr>
      </w:pPr>
    </w:p>
    <w:p w14:paraId="7EE2DDF2">
      <w:pPr>
        <w:pStyle w:val="2"/>
        <w:rPr>
          <w:rFonts w:hint="eastAsia" w:ascii="宋体" w:hAnsi="宋体" w:eastAsia="宋体" w:cs="宋体"/>
          <w:color w:val="auto"/>
          <w:sz w:val="21"/>
          <w:szCs w:val="21"/>
          <w:highlight w:val="none"/>
        </w:rPr>
      </w:pPr>
    </w:p>
    <w:p w14:paraId="06B21AB8">
      <w:pPr>
        <w:rPr>
          <w:rFonts w:hint="eastAsia" w:ascii="宋体" w:hAnsi="宋体" w:eastAsia="宋体" w:cs="宋体"/>
          <w:color w:val="auto"/>
          <w:sz w:val="21"/>
          <w:szCs w:val="21"/>
          <w:highlight w:val="none"/>
        </w:rPr>
      </w:pPr>
    </w:p>
    <w:p w14:paraId="3751DF96">
      <w:pPr>
        <w:pStyle w:val="2"/>
        <w:rPr>
          <w:rFonts w:hint="eastAsia" w:ascii="宋体" w:hAnsi="宋体" w:eastAsia="宋体" w:cs="宋体"/>
          <w:color w:val="auto"/>
          <w:sz w:val="21"/>
          <w:szCs w:val="21"/>
          <w:highlight w:val="none"/>
        </w:rPr>
      </w:pPr>
    </w:p>
    <w:p w14:paraId="6CA0948F">
      <w:pPr>
        <w:rPr>
          <w:rFonts w:hint="eastAsia" w:ascii="宋体" w:hAnsi="宋体" w:eastAsia="宋体" w:cs="宋体"/>
          <w:color w:val="auto"/>
          <w:sz w:val="21"/>
          <w:szCs w:val="21"/>
          <w:highlight w:val="none"/>
        </w:rPr>
      </w:pPr>
    </w:p>
    <w:p w14:paraId="0EF3C033">
      <w:pPr>
        <w:pStyle w:val="2"/>
        <w:rPr>
          <w:rFonts w:hint="eastAsia" w:ascii="宋体" w:hAnsi="宋体" w:eastAsia="宋体" w:cs="宋体"/>
          <w:color w:val="auto"/>
          <w:sz w:val="21"/>
          <w:szCs w:val="21"/>
          <w:highlight w:val="none"/>
        </w:rPr>
      </w:pPr>
    </w:p>
    <w:p w14:paraId="39858EE3">
      <w:pPr>
        <w:rPr>
          <w:rFonts w:hint="eastAsia" w:ascii="宋体" w:hAnsi="宋体" w:eastAsia="宋体" w:cs="宋体"/>
          <w:color w:val="auto"/>
          <w:sz w:val="21"/>
          <w:szCs w:val="21"/>
          <w:highlight w:val="none"/>
        </w:rPr>
      </w:pPr>
    </w:p>
    <w:p w14:paraId="32C16FDE">
      <w:pPr>
        <w:pStyle w:val="2"/>
        <w:rPr>
          <w:rFonts w:hint="eastAsia" w:ascii="宋体" w:hAnsi="宋体" w:eastAsia="宋体" w:cs="宋体"/>
          <w:color w:val="auto"/>
          <w:sz w:val="21"/>
          <w:szCs w:val="21"/>
          <w:highlight w:val="none"/>
        </w:rPr>
      </w:pPr>
    </w:p>
    <w:p w14:paraId="41D9F5B4">
      <w:pPr>
        <w:rPr>
          <w:rFonts w:hint="eastAsia" w:ascii="宋体" w:hAnsi="宋体" w:eastAsia="宋体" w:cs="宋体"/>
          <w:color w:val="auto"/>
          <w:sz w:val="21"/>
          <w:szCs w:val="21"/>
          <w:highlight w:val="none"/>
        </w:rPr>
      </w:pPr>
    </w:p>
    <w:p w14:paraId="65FB6235">
      <w:pPr>
        <w:pStyle w:val="2"/>
        <w:rPr>
          <w:rFonts w:hint="eastAsia" w:ascii="宋体" w:hAnsi="宋体" w:eastAsia="宋体" w:cs="宋体"/>
          <w:color w:val="auto"/>
          <w:sz w:val="21"/>
          <w:szCs w:val="21"/>
          <w:highlight w:val="none"/>
        </w:rPr>
      </w:pPr>
    </w:p>
    <w:p w14:paraId="2C05741B">
      <w:pPr>
        <w:rPr>
          <w:rFonts w:hint="eastAsia" w:ascii="宋体" w:hAnsi="宋体" w:eastAsia="宋体" w:cs="宋体"/>
          <w:color w:val="auto"/>
          <w:sz w:val="21"/>
          <w:szCs w:val="21"/>
          <w:highlight w:val="none"/>
        </w:rPr>
      </w:pPr>
    </w:p>
    <w:p w14:paraId="3DF799E1">
      <w:pPr>
        <w:pStyle w:val="2"/>
        <w:rPr>
          <w:rFonts w:hint="eastAsia" w:ascii="宋体" w:hAnsi="宋体" w:eastAsia="宋体" w:cs="宋体"/>
          <w:color w:val="auto"/>
          <w:sz w:val="21"/>
          <w:szCs w:val="21"/>
          <w:highlight w:val="none"/>
        </w:rPr>
      </w:pPr>
    </w:p>
    <w:p w14:paraId="74841F3B">
      <w:pPr>
        <w:rPr>
          <w:rFonts w:hint="eastAsia" w:ascii="宋体" w:hAnsi="宋体" w:eastAsia="宋体" w:cs="宋体"/>
          <w:color w:val="auto"/>
          <w:sz w:val="21"/>
          <w:szCs w:val="21"/>
          <w:highlight w:val="none"/>
        </w:rPr>
      </w:pPr>
    </w:p>
    <w:p w14:paraId="44EEF674">
      <w:pPr>
        <w:pStyle w:val="2"/>
        <w:rPr>
          <w:rFonts w:hint="eastAsia" w:ascii="宋体" w:hAnsi="宋体" w:eastAsia="宋体" w:cs="宋体"/>
          <w:color w:val="auto"/>
          <w:sz w:val="21"/>
          <w:szCs w:val="21"/>
          <w:highlight w:val="none"/>
        </w:rPr>
      </w:pPr>
    </w:p>
    <w:p w14:paraId="20A80B15">
      <w:pPr>
        <w:rPr>
          <w:rFonts w:hint="eastAsia" w:ascii="宋体" w:hAnsi="宋体" w:eastAsia="宋体" w:cs="宋体"/>
          <w:color w:val="auto"/>
          <w:sz w:val="21"/>
          <w:szCs w:val="21"/>
          <w:highlight w:val="none"/>
        </w:rPr>
      </w:pPr>
    </w:p>
    <w:p w14:paraId="4D6ECB87">
      <w:pPr>
        <w:pStyle w:val="2"/>
        <w:rPr>
          <w:rFonts w:hint="eastAsia" w:ascii="宋体" w:hAnsi="宋体" w:eastAsia="宋体" w:cs="宋体"/>
          <w:color w:val="auto"/>
          <w:sz w:val="21"/>
          <w:szCs w:val="21"/>
          <w:highlight w:val="none"/>
        </w:rPr>
      </w:pPr>
    </w:p>
    <w:p w14:paraId="7859296F">
      <w:pPr>
        <w:rPr>
          <w:rFonts w:hint="eastAsia" w:ascii="宋体" w:hAnsi="宋体" w:eastAsia="宋体" w:cs="宋体"/>
          <w:color w:val="auto"/>
          <w:sz w:val="21"/>
          <w:szCs w:val="21"/>
          <w:highlight w:val="none"/>
        </w:rPr>
      </w:pPr>
    </w:p>
    <w:p w14:paraId="07C2FD45">
      <w:pPr>
        <w:pStyle w:val="2"/>
        <w:rPr>
          <w:rFonts w:hint="eastAsia" w:ascii="宋体" w:hAnsi="宋体" w:eastAsia="宋体" w:cs="宋体"/>
          <w:color w:val="auto"/>
          <w:sz w:val="21"/>
          <w:szCs w:val="21"/>
          <w:highlight w:val="none"/>
        </w:rPr>
      </w:pPr>
    </w:p>
    <w:p w14:paraId="2FEDCDA8">
      <w:pPr>
        <w:rPr>
          <w:rFonts w:hint="eastAsia" w:ascii="宋体" w:hAnsi="宋体" w:eastAsia="宋体" w:cs="宋体"/>
          <w:color w:val="auto"/>
          <w:sz w:val="21"/>
          <w:szCs w:val="21"/>
          <w:highlight w:val="none"/>
        </w:rPr>
      </w:pPr>
    </w:p>
    <w:p w14:paraId="5F2EEF15">
      <w:pPr>
        <w:pStyle w:val="2"/>
        <w:rPr>
          <w:rFonts w:hint="eastAsia" w:ascii="宋体" w:hAnsi="宋体" w:eastAsia="宋体" w:cs="宋体"/>
          <w:color w:val="auto"/>
          <w:sz w:val="21"/>
          <w:szCs w:val="21"/>
          <w:highlight w:val="none"/>
        </w:rPr>
      </w:pPr>
    </w:p>
    <w:p w14:paraId="50A3149D">
      <w:pPr>
        <w:rPr>
          <w:rFonts w:hint="eastAsia" w:ascii="宋体" w:hAnsi="宋体" w:eastAsia="宋体" w:cs="宋体"/>
          <w:color w:val="auto"/>
          <w:sz w:val="21"/>
          <w:szCs w:val="21"/>
          <w:highlight w:val="none"/>
        </w:rPr>
      </w:pPr>
    </w:p>
    <w:p w14:paraId="150A19BA">
      <w:pPr>
        <w:pStyle w:val="2"/>
        <w:rPr>
          <w:rFonts w:hint="eastAsia" w:ascii="宋体" w:hAnsi="宋体" w:eastAsia="宋体" w:cs="宋体"/>
          <w:color w:val="auto"/>
          <w:sz w:val="21"/>
          <w:szCs w:val="21"/>
          <w:highlight w:val="none"/>
        </w:rPr>
      </w:pPr>
    </w:p>
    <w:p w14:paraId="5614B8A8">
      <w:pPr>
        <w:rPr>
          <w:rFonts w:hint="eastAsia" w:ascii="宋体" w:hAnsi="宋体" w:eastAsia="宋体" w:cs="宋体"/>
          <w:color w:val="auto"/>
          <w:sz w:val="21"/>
          <w:szCs w:val="21"/>
          <w:highlight w:val="none"/>
        </w:rPr>
      </w:pPr>
    </w:p>
    <w:p w14:paraId="545A6E9B">
      <w:pPr>
        <w:pStyle w:val="2"/>
        <w:rPr>
          <w:rFonts w:hint="eastAsia" w:ascii="宋体" w:hAnsi="宋体" w:eastAsia="宋体" w:cs="宋体"/>
          <w:color w:val="auto"/>
          <w:sz w:val="21"/>
          <w:szCs w:val="21"/>
          <w:highlight w:val="none"/>
        </w:rPr>
      </w:pPr>
    </w:p>
    <w:p w14:paraId="565196AB">
      <w:pPr>
        <w:rPr>
          <w:rFonts w:hint="eastAsia" w:ascii="宋体" w:hAnsi="宋体" w:eastAsia="宋体" w:cs="宋体"/>
          <w:color w:val="auto"/>
          <w:sz w:val="21"/>
          <w:szCs w:val="21"/>
          <w:highlight w:val="none"/>
        </w:rPr>
      </w:pPr>
    </w:p>
    <w:p w14:paraId="4C53AA1C">
      <w:pPr>
        <w:pStyle w:val="2"/>
        <w:rPr>
          <w:rFonts w:hint="eastAsia" w:ascii="宋体" w:hAnsi="宋体" w:eastAsia="宋体" w:cs="宋体"/>
          <w:color w:val="auto"/>
          <w:sz w:val="21"/>
          <w:szCs w:val="21"/>
          <w:highlight w:val="none"/>
        </w:rPr>
      </w:pPr>
    </w:p>
    <w:p w14:paraId="12C9F6BB">
      <w:pPr>
        <w:rPr>
          <w:rFonts w:hint="eastAsia" w:ascii="宋体" w:hAnsi="宋体" w:eastAsia="宋体" w:cs="宋体"/>
          <w:color w:val="auto"/>
          <w:sz w:val="21"/>
          <w:szCs w:val="21"/>
          <w:highlight w:val="none"/>
        </w:rPr>
      </w:pPr>
    </w:p>
    <w:p w14:paraId="7AC5F306">
      <w:pPr>
        <w:pStyle w:val="2"/>
        <w:rPr>
          <w:rFonts w:hint="eastAsia" w:ascii="宋体" w:hAnsi="宋体" w:eastAsia="宋体" w:cs="宋体"/>
          <w:color w:val="auto"/>
          <w:sz w:val="21"/>
          <w:szCs w:val="21"/>
          <w:highlight w:val="none"/>
        </w:rPr>
      </w:pPr>
    </w:p>
    <w:p w14:paraId="55B3B347">
      <w:pPr>
        <w:rPr>
          <w:rFonts w:hint="eastAsia" w:ascii="宋体" w:hAnsi="宋体" w:eastAsia="宋体" w:cs="宋体"/>
          <w:color w:val="auto"/>
          <w:sz w:val="21"/>
          <w:szCs w:val="21"/>
          <w:highlight w:val="none"/>
        </w:rPr>
      </w:pPr>
    </w:p>
    <w:p w14:paraId="3C33CED1">
      <w:pPr>
        <w:pStyle w:val="4"/>
        <w:spacing w:line="360" w:lineRule="auto"/>
        <w:jc w:val="center"/>
        <w:rPr>
          <w:rFonts w:ascii="宋体" w:hAnsi="宋体"/>
          <w:b w:val="0"/>
          <w:bCs w:val="0"/>
          <w:sz w:val="44"/>
          <w:szCs w:val="44"/>
          <w:highlight w:val="none"/>
        </w:rPr>
      </w:pPr>
      <w:bookmarkStart w:id="1423" w:name="_Toc57905926"/>
      <w:bookmarkStart w:id="1424" w:name="_Toc29644"/>
      <w:bookmarkStart w:id="1425" w:name="_Toc104554784"/>
      <w:r>
        <w:rPr>
          <w:rFonts w:hint="eastAsia" w:ascii="宋体" w:hAnsi="宋体"/>
          <w:b w:val="0"/>
          <w:bCs w:val="0"/>
          <w:sz w:val="44"/>
          <w:szCs w:val="44"/>
          <w:highlight w:val="none"/>
        </w:rPr>
        <w:t>四、技术部分</w:t>
      </w:r>
      <w:bookmarkEnd w:id="1423"/>
      <w:bookmarkEnd w:id="1424"/>
      <w:bookmarkEnd w:id="1425"/>
    </w:p>
    <w:p w14:paraId="294E2C4F">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4268DC88">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50F6423B">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7449A5CE">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07AA9D77">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50083E7F">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4D1CFBAF">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14879E9A">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3570E802">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000A5B0B">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2125D994">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036961C4">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2E5F8E33">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065F61F6">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2235CD9C">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1B003A44">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44544F86">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16BC6385">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277AFA6C">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380CD981">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7FDFDB59">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w w:val="99"/>
          <w:sz w:val="28"/>
          <w:szCs w:val="28"/>
          <w:highlight w:val="none"/>
          <w:u w:val="single"/>
        </w:rPr>
      </w:pPr>
    </w:p>
    <w:p w14:paraId="644149F1">
      <w:pPr>
        <w:tabs>
          <w:tab w:val="left" w:pos="2000"/>
          <w:tab w:val="left" w:pos="5580"/>
          <w:tab w:val="left" w:pos="6220"/>
          <w:tab w:val="left" w:pos="6840"/>
          <w:tab w:val="left" w:pos="7460"/>
          <w:tab w:val="left" w:pos="8100"/>
        </w:tabs>
        <w:autoSpaceDE w:val="0"/>
        <w:autoSpaceDN w:val="0"/>
        <w:snapToGrid w:val="0"/>
        <w:spacing w:line="360" w:lineRule="auto"/>
        <w:ind w:firstLine="556" w:firstLineChars="200"/>
        <w:jc w:val="center"/>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w w:val="99"/>
          <w:sz w:val="28"/>
          <w:szCs w:val="28"/>
          <w:highlight w:val="none"/>
          <w:u w:val="single"/>
        </w:rPr>
        <w:t xml:space="preserve">                               </w:t>
      </w:r>
      <w:r>
        <w:rPr>
          <w:rFonts w:hint="eastAsia" w:ascii="方正仿宋_GBK" w:hAnsi="方正仿宋_GBK" w:eastAsia="方正仿宋_GBK" w:cs="方正仿宋_GBK"/>
          <w:b/>
          <w:color w:val="auto"/>
          <w:w w:val="99"/>
          <w:sz w:val="28"/>
          <w:szCs w:val="28"/>
          <w:highlight w:val="none"/>
        </w:rPr>
        <w:t>（项目名称</w:t>
      </w:r>
      <w:r>
        <w:rPr>
          <w:rFonts w:hint="eastAsia" w:ascii="方正仿宋_GBK" w:hAnsi="方正仿宋_GBK" w:eastAsia="方正仿宋_GBK" w:cs="方正仿宋_GBK"/>
          <w:b/>
          <w:color w:val="auto"/>
          <w:spacing w:val="1"/>
          <w:w w:val="99"/>
          <w:sz w:val="28"/>
          <w:szCs w:val="28"/>
          <w:highlight w:val="none"/>
        </w:rPr>
        <w:t>）</w:t>
      </w:r>
    </w:p>
    <w:p w14:paraId="520B9B65">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rPr>
        <w:t xml:space="preserve">          </w:t>
      </w:r>
    </w:p>
    <w:p w14:paraId="361B9C98">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33E4ED79">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00096A34">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644C77EC">
      <w:pPr>
        <w:tabs>
          <w:tab w:val="left" w:pos="3600"/>
          <w:tab w:val="left" w:pos="4480"/>
          <w:tab w:val="left" w:pos="5360"/>
        </w:tabs>
        <w:autoSpaceDE w:val="0"/>
        <w:autoSpaceDN w:val="0"/>
        <w:snapToGrid w:val="0"/>
        <w:spacing w:line="360" w:lineRule="auto"/>
        <w:jc w:val="left"/>
        <w:rPr>
          <w:rFonts w:hint="eastAsia" w:ascii="方正仿宋_GBK" w:hAnsi="方正仿宋_GBK" w:eastAsia="方正仿宋_GBK" w:cs="方正仿宋_GBK"/>
          <w:color w:val="auto"/>
          <w:sz w:val="44"/>
          <w:szCs w:val="44"/>
          <w:highlight w:val="none"/>
        </w:rPr>
      </w:pPr>
    </w:p>
    <w:p w14:paraId="61257F44">
      <w:pPr>
        <w:tabs>
          <w:tab w:val="left" w:pos="3600"/>
          <w:tab w:val="left" w:pos="4480"/>
          <w:tab w:val="left" w:pos="5360"/>
        </w:tabs>
        <w:autoSpaceDE w:val="0"/>
        <w:autoSpaceDN w:val="0"/>
        <w:snapToGrid w:val="0"/>
        <w:spacing w:line="360" w:lineRule="auto"/>
        <w:jc w:val="center"/>
        <w:rPr>
          <w:rFonts w:hint="eastAsia"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竞标文件</w:t>
      </w:r>
    </w:p>
    <w:p w14:paraId="463400F1">
      <w:pPr>
        <w:autoSpaceDE w:val="0"/>
        <w:autoSpaceDN w:val="0"/>
        <w:snapToGrid w:val="0"/>
        <w:spacing w:line="360" w:lineRule="auto"/>
        <w:jc w:val="left"/>
        <w:rPr>
          <w:rFonts w:hint="eastAsia" w:ascii="宋体" w:hAnsi="宋体" w:eastAsia="宋体" w:cs="宋体"/>
          <w:color w:val="auto"/>
          <w:sz w:val="16"/>
          <w:szCs w:val="16"/>
          <w:highlight w:val="none"/>
        </w:rPr>
      </w:pPr>
    </w:p>
    <w:p w14:paraId="2B8044DD">
      <w:pPr>
        <w:autoSpaceDE w:val="0"/>
        <w:autoSpaceDN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技术</w:t>
      </w:r>
      <w:r>
        <w:rPr>
          <w:rFonts w:hint="eastAsia" w:ascii="宋体" w:hAnsi="宋体" w:eastAsia="宋体" w:cs="宋体"/>
          <w:b/>
          <w:color w:val="auto"/>
          <w:sz w:val="36"/>
          <w:szCs w:val="36"/>
          <w:highlight w:val="none"/>
        </w:rPr>
        <w:t>部分</w:t>
      </w:r>
    </w:p>
    <w:p w14:paraId="2D5D5D5E">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46713588">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3BBEB68D">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4CF61398">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69CAA373">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0F841BC5">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60C077D4">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36A9A8A2">
      <w:pPr>
        <w:autoSpaceDE w:val="0"/>
        <w:autoSpaceDN w:val="0"/>
        <w:snapToGrid w:val="0"/>
        <w:spacing w:line="360" w:lineRule="auto"/>
        <w:jc w:val="left"/>
        <w:rPr>
          <w:rFonts w:hint="eastAsia" w:ascii="方正仿宋_GBK" w:hAnsi="方正仿宋_GBK" w:eastAsia="方正仿宋_GBK" w:cs="方正仿宋_GBK"/>
          <w:b/>
          <w:color w:val="auto"/>
          <w:sz w:val="20"/>
          <w:szCs w:val="20"/>
          <w:highlight w:val="none"/>
        </w:rPr>
      </w:pPr>
    </w:p>
    <w:p w14:paraId="16DD7F64">
      <w:pPr>
        <w:autoSpaceDE w:val="0"/>
        <w:autoSpaceDN w:val="0"/>
        <w:snapToGrid w:val="0"/>
        <w:spacing w:line="360" w:lineRule="auto"/>
        <w:jc w:val="left"/>
        <w:rPr>
          <w:rFonts w:hint="eastAsia" w:ascii="宋体" w:hAnsi="宋体" w:eastAsia="宋体" w:cs="宋体"/>
          <w:b/>
          <w:color w:val="auto"/>
          <w:sz w:val="20"/>
          <w:szCs w:val="20"/>
          <w:highlight w:val="none"/>
        </w:rPr>
      </w:pPr>
    </w:p>
    <w:p w14:paraId="3083BA4D">
      <w:pPr>
        <w:tabs>
          <w:tab w:val="left" w:pos="6080"/>
          <w:tab w:val="left" w:pos="6640"/>
        </w:tabs>
        <w:autoSpaceDE w:val="0"/>
        <w:autoSpaceDN w:val="0"/>
        <w:snapToGrid w:val="0"/>
        <w:spacing w:line="360" w:lineRule="auto"/>
        <w:ind w:firstLine="278" w:firstLineChars="100"/>
        <w:jc w:val="both"/>
        <w:rPr>
          <w:rFonts w:hint="eastAsia" w:ascii="宋体" w:hAnsi="宋体" w:eastAsia="宋体" w:cs="宋体"/>
          <w:b/>
          <w:color w:val="auto"/>
          <w:w w:val="99"/>
          <w:sz w:val="28"/>
          <w:szCs w:val="28"/>
          <w:highlight w:val="none"/>
        </w:rPr>
      </w:pPr>
      <w:bookmarkStart w:id="1428" w:name="_GoBack"/>
      <w:bookmarkEnd w:id="1428"/>
      <w:r>
        <w:rPr>
          <w:rFonts w:hint="eastAsia" w:ascii="宋体" w:hAnsi="宋体" w:eastAsia="宋体" w:cs="宋体"/>
          <w:b/>
          <w:color w:val="auto"/>
          <w:w w:val="99"/>
          <w:sz w:val="28"/>
          <w:szCs w:val="28"/>
          <w:highlight w:val="none"/>
          <w:lang w:eastAsia="zh-CN"/>
        </w:rPr>
        <w:t>竞标人</w:t>
      </w:r>
      <w:r>
        <w:rPr>
          <w:rFonts w:hint="eastAsia" w:ascii="宋体" w:hAnsi="宋体" w:eastAsia="宋体" w:cs="宋体"/>
          <w:b/>
          <w:color w:val="auto"/>
          <w:spacing w:val="1"/>
          <w:w w:val="99"/>
          <w:sz w:val="28"/>
          <w:szCs w:val="28"/>
          <w:highlight w:val="none"/>
        </w:rPr>
        <w:t>：</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（盖单位法人章）</w:t>
      </w:r>
    </w:p>
    <w:p w14:paraId="58ACC780">
      <w:pPr>
        <w:tabs>
          <w:tab w:val="left" w:pos="6080"/>
          <w:tab w:val="left" w:pos="6640"/>
        </w:tabs>
        <w:autoSpaceDE w:val="0"/>
        <w:autoSpaceDN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w w:val="99"/>
          <w:sz w:val="28"/>
          <w:szCs w:val="28"/>
          <w:highlight w:val="none"/>
        </w:rPr>
        <w:t>法定代表人或其委托代理人：</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（签字或盖章）</w:t>
      </w:r>
    </w:p>
    <w:p w14:paraId="216DC097">
      <w:pPr>
        <w:tabs>
          <w:tab w:val="left" w:pos="3280"/>
          <w:tab w:val="left" w:pos="4680"/>
          <w:tab w:val="left" w:pos="6080"/>
        </w:tabs>
        <w:autoSpaceDE w:val="0"/>
        <w:autoSpaceDN w:val="0"/>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b/>
          <w:color w:val="auto"/>
          <w:w w:val="99"/>
          <w:sz w:val="28"/>
          <w:szCs w:val="28"/>
          <w:highlight w:val="none"/>
          <w:u w:val="single"/>
        </w:rPr>
        <w:t xml:space="preserve">     　</w:t>
      </w:r>
      <w:r>
        <w:rPr>
          <w:rFonts w:hint="eastAsia" w:ascii="宋体" w:hAnsi="宋体" w:eastAsia="宋体" w:cs="宋体"/>
          <w:b/>
          <w:color w:val="auto"/>
          <w:w w:val="99"/>
          <w:sz w:val="28"/>
          <w:szCs w:val="28"/>
          <w:highlight w:val="none"/>
        </w:rPr>
        <w:t>年</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月</w:t>
      </w:r>
      <w:r>
        <w:rPr>
          <w:rFonts w:hint="eastAsia" w:ascii="宋体" w:hAnsi="宋体" w:eastAsia="宋体" w:cs="宋体"/>
          <w:b/>
          <w:color w:val="auto"/>
          <w:w w:val="198"/>
          <w:sz w:val="28"/>
          <w:szCs w:val="28"/>
          <w:highlight w:val="none"/>
          <w:u w:val="single"/>
        </w:rPr>
        <w:t xml:space="preserve">  </w:t>
      </w:r>
      <w:r>
        <w:rPr>
          <w:rFonts w:hint="eastAsia" w:ascii="宋体" w:hAnsi="宋体" w:eastAsia="宋体" w:cs="宋体"/>
          <w:b/>
          <w:color w:val="auto"/>
          <w:w w:val="99"/>
          <w:sz w:val="28"/>
          <w:szCs w:val="28"/>
          <w:highlight w:val="none"/>
        </w:rPr>
        <w:t>日</w:t>
      </w:r>
    </w:p>
    <w:p w14:paraId="056796D1">
      <w:pPr>
        <w:autoSpaceDE w:val="0"/>
        <w:autoSpaceDN w:val="0"/>
        <w:adjustRightInd w:val="0"/>
        <w:snapToGrid w:val="0"/>
        <w:spacing w:line="360" w:lineRule="auto"/>
        <w:jc w:val="center"/>
        <w:rPr>
          <w:rFonts w:ascii="宋体" w:hAnsi="宋体"/>
          <w:kern w:val="0"/>
          <w:sz w:val="36"/>
          <w:szCs w:val="36"/>
          <w:highlight w:val="none"/>
        </w:rPr>
      </w:pPr>
      <w:r>
        <w:rPr>
          <w:highlight w:val="none"/>
        </w:rPr>
        <w:br w:type="page"/>
      </w:r>
    </w:p>
    <w:p w14:paraId="41D8506E">
      <w:pPr>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6"/>
          <w:szCs w:val="36"/>
          <w:highlight w:val="none"/>
        </w:rPr>
        <w:t>目  录</w:t>
      </w:r>
    </w:p>
    <w:p w14:paraId="63E51268">
      <w:pPr>
        <w:autoSpaceDE w:val="0"/>
        <w:autoSpaceDN w:val="0"/>
        <w:adjustRightInd w:val="0"/>
        <w:snapToGrid w:val="0"/>
        <w:spacing w:line="360" w:lineRule="auto"/>
        <w:jc w:val="left"/>
        <w:rPr>
          <w:rFonts w:ascii="宋体" w:hAnsi="宋体"/>
          <w:kern w:val="0"/>
          <w:sz w:val="32"/>
          <w:szCs w:val="32"/>
          <w:highlight w:val="none"/>
        </w:rPr>
      </w:pPr>
    </w:p>
    <w:p w14:paraId="133FF793">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[目录由</w:t>
      </w:r>
      <w:r>
        <w:rPr>
          <w:rFonts w:hint="eastAsia" w:ascii="宋体" w:hAnsi="宋体"/>
          <w:i/>
          <w:iCs/>
          <w:kern w:val="0"/>
          <w:szCs w:val="21"/>
          <w:highlight w:val="none"/>
        </w:rPr>
        <w:t>竞标人</w:t>
      </w:r>
      <w:r>
        <w:rPr>
          <w:rFonts w:ascii="宋体" w:hAnsi="宋体"/>
          <w:i/>
          <w:iCs/>
          <w:kern w:val="0"/>
          <w:szCs w:val="21"/>
          <w:highlight w:val="none"/>
        </w:rPr>
        <w:t>自行编制]</w:t>
      </w:r>
    </w:p>
    <w:p w14:paraId="1D1B3A85">
      <w:pPr>
        <w:autoSpaceDE w:val="0"/>
        <w:autoSpaceDN w:val="0"/>
        <w:adjustRightInd w:val="0"/>
        <w:snapToGrid w:val="0"/>
        <w:spacing w:line="360" w:lineRule="auto"/>
        <w:jc w:val="left"/>
        <w:rPr>
          <w:rFonts w:ascii="宋体" w:hAnsi="宋体"/>
          <w:w w:val="99"/>
          <w:kern w:val="0"/>
          <w:sz w:val="28"/>
          <w:szCs w:val="28"/>
          <w:highlight w:val="none"/>
        </w:rPr>
      </w:pPr>
    </w:p>
    <w:p w14:paraId="3302EA6F">
      <w:pPr>
        <w:pStyle w:val="5"/>
        <w:spacing w:before="0" w:after="0" w:line="240" w:lineRule="auto"/>
        <w:jc w:val="center"/>
        <w:rPr>
          <w:rFonts w:hint="eastAsia" w:asciiTheme="minorEastAsia" w:hAnsiTheme="minorEastAsia" w:eastAsiaTheme="minorEastAsia" w:cstheme="minorEastAsia"/>
          <w:b w:val="0"/>
          <w:sz w:val="36"/>
          <w:szCs w:val="36"/>
          <w:highlight w:val="none"/>
        </w:rPr>
      </w:pPr>
      <w:r>
        <w:rPr>
          <w:rFonts w:ascii="宋体" w:hAnsi="宋体"/>
          <w:highlight w:val="none"/>
        </w:rPr>
        <w:br w:type="page"/>
      </w:r>
      <w:bookmarkStart w:id="1426" w:name="_Toc26272"/>
      <w:bookmarkStart w:id="1427" w:name="_Toc57820656"/>
      <w:r>
        <w:rPr>
          <w:rFonts w:hint="eastAsia" w:asciiTheme="minorEastAsia" w:hAnsiTheme="minorEastAsia" w:eastAsiaTheme="minorEastAsia" w:cstheme="minorEastAsia"/>
          <w:b w:val="0"/>
          <w:highlight w:val="none"/>
        </w:rPr>
        <w:t>（一）</w:t>
      </w:r>
      <w:r>
        <w:rPr>
          <w:rFonts w:hint="eastAsia" w:asciiTheme="minorEastAsia" w:hAnsiTheme="minorEastAsia" w:eastAsiaTheme="minorEastAsia" w:cstheme="minorEastAsia"/>
          <w:b w:val="0"/>
          <w:bCs w:val="0"/>
          <w:highlight w:val="none"/>
        </w:rPr>
        <w:t>技术方案</w:t>
      </w:r>
      <w:bookmarkEnd w:id="1426"/>
      <w:bookmarkEnd w:id="1427"/>
    </w:p>
    <w:p w14:paraId="2299E0B9">
      <w:pPr>
        <w:autoSpaceDE w:val="0"/>
        <w:autoSpaceDN w:val="0"/>
        <w:adjustRightInd w:val="0"/>
        <w:snapToGrid w:val="0"/>
        <w:spacing w:line="360" w:lineRule="auto"/>
        <w:jc w:val="left"/>
        <w:rPr>
          <w:rFonts w:ascii="宋体" w:hAnsi="宋体"/>
          <w:kern w:val="0"/>
          <w:sz w:val="12"/>
          <w:szCs w:val="12"/>
          <w:highlight w:val="none"/>
        </w:rPr>
      </w:pPr>
    </w:p>
    <w:p w14:paraId="438A452E">
      <w:pPr>
        <w:pStyle w:val="2"/>
        <w:spacing w:line="360" w:lineRule="auto"/>
        <w:ind w:firstLine="480" w:firstLineChars="200"/>
        <w:jc w:val="center"/>
        <w:rPr>
          <w:rFonts w:hint="eastAsia" w:ascii="宋体" w:hAnsi="宋体" w:eastAsia="宋体" w:cs="宋体"/>
          <w:i/>
          <w:kern w:val="0"/>
          <w:sz w:val="24"/>
          <w:szCs w:val="24"/>
          <w:highlight w:val="none"/>
        </w:rPr>
      </w:pPr>
      <w:r>
        <w:rPr>
          <w:rFonts w:hint="eastAsia" w:ascii="宋体" w:hAnsi="宋体" w:eastAsia="宋体" w:cs="宋体"/>
          <w:i/>
          <w:kern w:val="0"/>
          <w:sz w:val="24"/>
          <w:szCs w:val="24"/>
          <w:highlight w:val="none"/>
        </w:rPr>
        <w:t>[提示：竞标人应根据竞争性比选文件的要求编制技术方案]</w:t>
      </w:r>
    </w:p>
    <w:p w14:paraId="3EF74A4B">
      <w:pPr>
        <w:autoSpaceDE w:val="0"/>
        <w:autoSpaceDN w:val="0"/>
        <w:adjustRightInd w:val="0"/>
        <w:snapToGrid w:val="0"/>
        <w:spacing w:line="360" w:lineRule="auto"/>
        <w:ind w:firstLine="42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竞标人编制技术方案的要求：编制时应采用文字并结合图表形式说明施工方法；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ascii="宋体" w:hAnsi="宋体" w:eastAsia="宋体" w:cs="宋体"/>
          <w:kern w:val="0"/>
          <w:sz w:val="24"/>
          <w:szCs w:val="24"/>
          <w:highlight w:val="none"/>
        </w:rPr>
        <w:t>。</w:t>
      </w:r>
    </w:p>
    <w:p w14:paraId="6C340B31">
      <w:pPr>
        <w:tabs>
          <w:tab w:val="left" w:pos="735"/>
          <w:tab w:val="left" w:pos="840"/>
          <w:tab w:val="left" w:pos="1050"/>
          <w:tab w:val="left" w:pos="1700"/>
        </w:tabs>
        <w:autoSpaceDE w:val="0"/>
        <w:autoSpaceDN w:val="0"/>
        <w:adjustRightInd w:val="0"/>
        <w:snapToGrid w:val="0"/>
        <w:spacing w:line="360" w:lineRule="auto"/>
        <w:ind w:left="-3" w:leftChars="-1"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2.技术方案除采用文字表述外可附下列图表，图表及格式要求附后。 </w:t>
      </w:r>
    </w:p>
    <w:p w14:paraId="412F307A">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p>
    <w:p w14:paraId="715C62E5">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附表一  拟投入本标段的主要施工设备表</w:t>
      </w:r>
    </w:p>
    <w:p w14:paraId="7CC86771">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附表二  拟配备本标段的试验和检测仪器设备表</w:t>
      </w:r>
    </w:p>
    <w:p w14:paraId="3F410B3A">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附表三  劳动力计划表</w:t>
      </w:r>
    </w:p>
    <w:p w14:paraId="0F3F91EA">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附表四  计划开、竣工日期和施工进度网络图</w:t>
      </w:r>
    </w:p>
    <w:p w14:paraId="69381C7A">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附表五  施工总平面图</w:t>
      </w:r>
    </w:p>
    <w:p w14:paraId="1E0C6DDD">
      <w:pPr>
        <w:tabs>
          <w:tab w:val="left" w:pos="1700"/>
        </w:tabs>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附表六  临时用地表</w:t>
      </w:r>
    </w:p>
    <w:p w14:paraId="5B1E6D5A">
      <w:pPr>
        <w:jc w:val="center"/>
        <w:rPr>
          <w:rFonts w:hint="eastAsia" w:ascii="宋体" w:hAnsi="宋体" w:eastAsia="宋体" w:cs="宋体"/>
          <w:sz w:val="24"/>
          <w:szCs w:val="24"/>
          <w:highlight w:val="none"/>
        </w:rPr>
      </w:pPr>
      <w:r>
        <w:rPr>
          <w:rFonts w:ascii="宋体" w:hAnsi="宋体"/>
          <w:kern w:val="0"/>
          <w:sz w:val="24"/>
          <w:highlight w:val="none"/>
        </w:rPr>
        <w:br w:type="page"/>
      </w:r>
      <w:r>
        <w:rPr>
          <w:rFonts w:hint="eastAsia" w:ascii="宋体" w:hAnsi="宋体" w:eastAsia="宋体" w:cs="宋体"/>
          <w:sz w:val="24"/>
          <w:szCs w:val="24"/>
          <w:highlight w:val="none"/>
        </w:rPr>
        <w:t>附表一：拟投入本标段的主要施工设备表</w:t>
      </w:r>
    </w:p>
    <w:tbl>
      <w:tblPr>
        <w:tblStyle w:val="22"/>
        <w:tblW w:w="9469" w:type="dxa"/>
        <w:tblInd w:w="-1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0BF693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4C4F2C1C">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76" w:type="dxa"/>
            <w:vAlign w:val="center"/>
          </w:tcPr>
          <w:p w14:paraId="1D1D5999">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824" w:type="dxa"/>
            <w:vAlign w:val="center"/>
          </w:tcPr>
          <w:p w14:paraId="555014A0">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型号</w:t>
            </w:r>
          </w:p>
          <w:p w14:paraId="0C1FA92A">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w:t>
            </w:r>
          </w:p>
        </w:tc>
        <w:tc>
          <w:tcPr>
            <w:tcW w:w="1072" w:type="dxa"/>
            <w:vAlign w:val="center"/>
          </w:tcPr>
          <w:p w14:paraId="278F59B8">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728" w:type="dxa"/>
            <w:vAlign w:val="center"/>
          </w:tcPr>
          <w:p w14:paraId="1AE97634">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国别 产地</w:t>
            </w:r>
          </w:p>
        </w:tc>
        <w:tc>
          <w:tcPr>
            <w:tcW w:w="799" w:type="dxa"/>
            <w:vAlign w:val="center"/>
          </w:tcPr>
          <w:p w14:paraId="55636F93">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制造</w:t>
            </w:r>
          </w:p>
          <w:p w14:paraId="5825D2D4">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年份</w:t>
            </w:r>
          </w:p>
        </w:tc>
        <w:tc>
          <w:tcPr>
            <w:tcW w:w="1312" w:type="dxa"/>
            <w:vAlign w:val="center"/>
          </w:tcPr>
          <w:p w14:paraId="130B8645">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额定功率</w:t>
            </w:r>
          </w:p>
          <w:p w14:paraId="4FE4C71B">
            <w:pPr>
              <w:autoSpaceDE w:val="0"/>
              <w:autoSpaceDN w:val="0"/>
              <w:adjustRightInd w:val="0"/>
              <w:snapToGrid w:val="0"/>
              <w:jc w:val="center"/>
              <w:rPr>
                <w:rFonts w:hint="eastAsia" w:ascii="宋体" w:hAnsi="宋体" w:eastAsia="宋体" w:cs="宋体"/>
                <w:kern w:val="0"/>
                <w:sz w:val="24"/>
                <w:szCs w:val="24"/>
                <w:highlight w:val="none"/>
              </w:rPr>
            </w:pPr>
          </w:p>
          <w:p w14:paraId="4AFF0067">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（KW）</w:t>
            </w:r>
          </w:p>
        </w:tc>
        <w:tc>
          <w:tcPr>
            <w:tcW w:w="947" w:type="dxa"/>
            <w:vAlign w:val="center"/>
          </w:tcPr>
          <w:p w14:paraId="27ED946C">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生产</w:t>
            </w:r>
          </w:p>
          <w:p w14:paraId="295F91AB">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1141" w:type="dxa"/>
            <w:vAlign w:val="center"/>
          </w:tcPr>
          <w:p w14:paraId="133C7CFB">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用于施</w:t>
            </w:r>
          </w:p>
          <w:p w14:paraId="31448714">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工部位</w:t>
            </w:r>
          </w:p>
        </w:tc>
        <w:tc>
          <w:tcPr>
            <w:tcW w:w="749" w:type="dxa"/>
            <w:vAlign w:val="center"/>
          </w:tcPr>
          <w:p w14:paraId="40ADC135">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5C629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BC7A05D">
            <w:pPr>
              <w:autoSpaceDE w:val="0"/>
              <w:autoSpaceDN w:val="0"/>
              <w:adjustRightInd w:val="0"/>
              <w:snapToGrid w:val="0"/>
              <w:jc w:val="center"/>
              <w:rPr>
                <w:rFonts w:ascii="宋体" w:hAnsi="宋体"/>
                <w:kern w:val="0"/>
                <w:sz w:val="24"/>
                <w:highlight w:val="none"/>
              </w:rPr>
            </w:pPr>
          </w:p>
        </w:tc>
        <w:tc>
          <w:tcPr>
            <w:tcW w:w="1176" w:type="dxa"/>
            <w:vAlign w:val="center"/>
          </w:tcPr>
          <w:p w14:paraId="2815E916">
            <w:pPr>
              <w:autoSpaceDE w:val="0"/>
              <w:autoSpaceDN w:val="0"/>
              <w:adjustRightInd w:val="0"/>
              <w:snapToGrid w:val="0"/>
              <w:jc w:val="center"/>
              <w:rPr>
                <w:rFonts w:ascii="宋体" w:hAnsi="宋体"/>
                <w:kern w:val="0"/>
                <w:sz w:val="24"/>
                <w:highlight w:val="none"/>
              </w:rPr>
            </w:pPr>
          </w:p>
        </w:tc>
        <w:tc>
          <w:tcPr>
            <w:tcW w:w="824" w:type="dxa"/>
            <w:vAlign w:val="center"/>
          </w:tcPr>
          <w:p w14:paraId="64254737">
            <w:pPr>
              <w:autoSpaceDE w:val="0"/>
              <w:autoSpaceDN w:val="0"/>
              <w:adjustRightInd w:val="0"/>
              <w:snapToGrid w:val="0"/>
              <w:jc w:val="center"/>
              <w:rPr>
                <w:rFonts w:ascii="宋体" w:hAnsi="宋体"/>
                <w:kern w:val="0"/>
                <w:sz w:val="24"/>
                <w:highlight w:val="none"/>
              </w:rPr>
            </w:pPr>
          </w:p>
        </w:tc>
        <w:tc>
          <w:tcPr>
            <w:tcW w:w="1072" w:type="dxa"/>
            <w:vAlign w:val="center"/>
          </w:tcPr>
          <w:p w14:paraId="27F143A7">
            <w:pPr>
              <w:autoSpaceDE w:val="0"/>
              <w:autoSpaceDN w:val="0"/>
              <w:adjustRightInd w:val="0"/>
              <w:snapToGrid w:val="0"/>
              <w:jc w:val="center"/>
              <w:rPr>
                <w:rFonts w:ascii="宋体" w:hAnsi="宋体"/>
                <w:kern w:val="0"/>
                <w:sz w:val="24"/>
                <w:highlight w:val="none"/>
              </w:rPr>
            </w:pPr>
          </w:p>
        </w:tc>
        <w:tc>
          <w:tcPr>
            <w:tcW w:w="728" w:type="dxa"/>
            <w:vAlign w:val="center"/>
          </w:tcPr>
          <w:p w14:paraId="407AE33F">
            <w:pPr>
              <w:autoSpaceDE w:val="0"/>
              <w:autoSpaceDN w:val="0"/>
              <w:adjustRightInd w:val="0"/>
              <w:snapToGrid w:val="0"/>
              <w:jc w:val="center"/>
              <w:rPr>
                <w:rFonts w:ascii="宋体" w:hAnsi="宋体"/>
                <w:kern w:val="0"/>
                <w:sz w:val="24"/>
                <w:highlight w:val="none"/>
              </w:rPr>
            </w:pPr>
          </w:p>
        </w:tc>
        <w:tc>
          <w:tcPr>
            <w:tcW w:w="799" w:type="dxa"/>
            <w:vAlign w:val="center"/>
          </w:tcPr>
          <w:p w14:paraId="50C0F086">
            <w:pPr>
              <w:autoSpaceDE w:val="0"/>
              <w:autoSpaceDN w:val="0"/>
              <w:adjustRightInd w:val="0"/>
              <w:snapToGrid w:val="0"/>
              <w:jc w:val="center"/>
              <w:rPr>
                <w:rFonts w:ascii="宋体" w:hAnsi="宋体"/>
                <w:kern w:val="0"/>
                <w:sz w:val="24"/>
                <w:highlight w:val="none"/>
              </w:rPr>
            </w:pPr>
          </w:p>
        </w:tc>
        <w:tc>
          <w:tcPr>
            <w:tcW w:w="1312" w:type="dxa"/>
            <w:vAlign w:val="center"/>
          </w:tcPr>
          <w:p w14:paraId="227056EC">
            <w:pPr>
              <w:autoSpaceDE w:val="0"/>
              <w:autoSpaceDN w:val="0"/>
              <w:adjustRightInd w:val="0"/>
              <w:snapToGrid w:val="0"/>
              <w:jc w:val="center"/>
              <w:rPr>
                <w:rFonts w:ascii="宋体" w:hAnsi="宋体"/>
                <w:kern w:val="0"/>
                <w:sz w:val="24"/>
                <w:highlight w:val="none"/>
              </w:rPr>
            </w:pPr>
          </w:p>
        </w:tc>
        <w:tc>
          <w:tcPr>
            <w:tcW w:w="947" w:type="dxa"/>
            <w:vAlign w:val="center"/>
          </w:tcPr>
          <w:p w14:paraId="10986BB5">
            <w:pPr>
              <w:autoSpaceDE w:val="0"/>
              <w:autoSpaceDN w:val="0"/>
              <w:adjustRightInd w:val="0"/>
              <w:snapToGrid w:val="0"/>
              <w:jc w:val="center"/>
              <w:rPr>
                <w:rFonts w:ascii="宋体" w:hAnsi="宋体"/>
                <w:kern w:val="0"/>
                <w:sz w:val="24"/>
                <w:highlight w:val="none"/>
              </w:rPr>
            </w:pPr>
          </w:p>
        </w:tc>
        <w:tc>
          <w:tcPr>
            <w:tcW w:w="1141" w:type="dxa"/>
            <w:vAlign w:val="center"/>
          </w:tcPr>
          <w:p w14:paraId="41CC7B7C">
            <w:pPr>
              <w:autoSpaceDE w:val="0"/>
              <w:autoSpaceDN w:val="0"/>
              <w:adjustRightInd w:val="0"/>
              <w:snapToGrid w:val="0"/>
              <w:jc w:val="center"/>
              <w:rPr>
                <w:rFonts w:ascii="宋体" w:hAnsi="宋体"/>
                <w:kern w:val="0"/>
                <w:sz w:val="24"/>
                <w:highlight w:val="none"/>
              </w:rPr>
            </w:pPr>
          </w:p>
        </w:tc>
        <w:tc>
          <w:tcPr>
            <w:tcW w:w="749" w:type="dxa"/>
            <w:vAlign w:val="center"/>
          </w:tcPr>
          <w:p w14:paraId="7D8B7FBF">
            <w:pPr>
              <w:autoSpaceDE w:val="0"/>
              <w:autoSpaceDN w:val="0"/>
              <w:adjustRightInd w:val="0"/>
              <w:snapToGrid w:val="0"/>
              <w:jc w:val="center"/>
              <w:rPr>
                <w:rFonts w:ascii="宋体" w:hAnsi="宋体"/>
                <w:kern w:val="0"/>
                <w:sz w:val="24"/>
                <w:highlight w:val="none"/>
              </w:rPr>
            </w:pPr>
          </w:p>
        </w:tc>
      </w:tr>
      <w:tr w14:paraId="68DA4D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4F7EA70">
            <w:pPr>
              <w:autoSpaceDE w:val="0"/>
              <w:autoSpaceDN w:val="0"/>
              <w:adjustRightInd w:val="0"/>
              <w:snapToGrid w:val="0"/>
              <w:jc w:val="center"/>
              <w:rPr>
                <w:rFonts w:ascii="宋体" w:hAnsi="宋体"/>
                <w:kern w:val="0"/>
                <w:sz w:val="24"/>
                <w:highlight w:val="none"/>
              </w:rPr>
            </w:pPr>
          </w:p>
        </w:tc>
        <w:tc>
          <w:tcPr>
            <w:tcW w:w="1176" w:type="dxa"/>
            <w:vAlign w:val="center"/>
          </w:tcPr>
          <w:p w14:paraId="1C77E992">
            <w:pPr>
              <w:autoSpaceDE w:val="0"/>
              <w:autoSpaceDN w:val="0"/>
              <w:adjustRightInd w:val="0"/>
              <w:snapToGrid w:val="0"/>
              <w:jc w:val="center"/>
              <w:rPr>
                <w:rFonts w:ascii="宋体" w:hAnsi="宋体"/>
                <w:kern w:val="0"/>
                <w:sz w:val="24"/>
                <w:highlight w:val="none"/>
              </w:rPr>
            </w:pPr>
          </w:p>
        </w:tc>
        <w:tc>
          <w:tcPr>
            <w:tcW w:w="824" w:type="dxa"/>
            <w:vAlign w:val="center"/>
          </w:tcPr>
          <w:p w14:paraId="2ED63EEA">
            <w:pPr>
              <w:autoSpaceDE w:val="0"/>
              <w:autoSpaceDN w:val="0"/>
              <w:adjustRightInd w:val="0"/>
              <w:snapToGrid w:val="0"/>
              <w:jc w:val="center"/>
              <w:rPr>
                <w:rFonts w:ascii="宋体" w:hAnsi="宋体"/>
                <w:kern w:val="0"/>
                <w:sz w:val="24"/>
                <w:highlight w:val="none"/>
              </w:rPr>
            </w:pPr>
          </w:p>
        </w:tc>
        <w:tc>
          <w:tcPr>
            <w:tcW w:w="1072" w:type="dxa"/>
            <w:vAlign w:val="center"/>
          </w:tcPr>
          <w:p w14:paraId="56521A0C">
            <w:pPr>
              <w:autoSpaceDE w:val="0"/>
              <w:autoSpaceDN w:val="0"/>
              <w:adjustRightInd w:val="0"/>
              <w:snapToGrid w:val="0"/>
              <w:jc w:val="center"/>
              <w:rPr>
                <w:rFonts w:ascii="宋体" w:hAnsi="宋体"/>
                <w:kern w:val="0"/>
                <w:sz w:val="24"/>
                <w:highlight w:val="none"/>
              </w:rPr>
            </w:pPr>
          </w:p>
        </w:tc>
        <w:tc>
          <w:tcPr>
            <w:tcW w:w="728" w:type="dxa"/>
            <w:vAlign w:val="center"/>
          </w:tcPr>
          <w:p w14:paraId="1D5D959C">
            <w:pPr>
              <w:autoSpaceDE w:val="0"/>
              <w:autoSpaceDN w:val="0"/>
              <w:adjustRightInd w:val="0"/>
              <w:snapToGrid w:val="0"/>
              <w:jc w:val="center"/>
              <w:rPr>
                <w:rFonts w:ascii="宋体" w:hAnsi="宋体"/>
                <w:kern w:val="0"/>
                <w:sz w:val="24"/>
                <w:highlight w:val="none"/>
              </w:rPr>
            </w:pPr>
          </w:p>
        </w:tc>
        <w:tc>
          <w:tcPr>
            <w:tcW w:w="799" w:type="dxa"/>
            <w:vAlign w:val="center"/>
          </w:tcPr>
          <w:p w14:paraId="5A6562AB">
            <w:pPr>
              <w:autoSpaceDE w:val="0"/>
              <w:autoSpaceDN w:val="0"/>
              <w:adjustRightInd w:val="0"/>
              <w:snapToGrid w:val="0"/>
              <w:jc w:val="center"/>
              <w:rPr>
                <w:rFonts w:ascii="宋体" w:hAnsi="宋体"/>
                <w:kern w:val="0"/>
                <w:sz w:val="24"/>
                <w:highlight w:val="none"/>
              </w:rPr>
            </w:pPr>
          </w:p>
        </w:tc>
        <w:tc>
          <w:tcPr>
            <w:tcW w:w="1312" w:type="dxa"/>
            <w:vAlign w:val="center"/>
          </w:tcPr>
          <w:p w14:paraId="568B6484">
            <w:pPr>
              <w:autoSpaceDE w:val="0"/>
              <w:autoSpaceDN w:val="0"/>
              <w:adjustRightInd w:val="0"/>
              <w:snapToGrid w:val="0"/>
              <w:jc w:val="center"/>
              <w:rPr>
                <w:rFonts w:ascii="宋体" w:hAnsi="宋体"/>
                <w:kern w:val="0"/>
                <w:sz w:val="24"/>
                <w:highlight w:val="none"/>
              </w:rPr>
            </w:pPr>
          </w:p>
        </w:tc>
        <w:tc>
          <w:tcPr>
            <w:tcW w:w="947" w:type="dxa"/>
            <w:vAlign w:val="center"/>
          </w:tcPr>
          <w:p w14:paraId="2E7FF415">
            <w:pPr>
              <w:autoSpaceDE w:val="0"/>
              <w:autoSpaceDN w:val="0"/>
              <w:adjustRightInd w:val="0"/>
              <w:snapToGrid w:val="0"/>
              <w:jc w:val="center"/>
              <w:rPr>
                <w:rFonts w:ascii="宋体" w:hAnsi="宋体"/>
                <w:kern w:val="0"/>
                <w:sz w:val="24"/>
                <w:highlight w:val="none"/>
              </w:rPr>
            </w:pPr>
          </w:p>
        </w:tc>
        <w:tc>
          <w:tcPr>
            <w:tcW w:w="1141" w:type="dxa"/>
            <w:vAlign w:val="center"/>
          </w:tcPr>
          <w:p w14:paraId="13966ADF">
            <w:pPr>
              <w:autoSpaceDE w:val="0"/>
              <w:autoSpaceDN w:val="0"/>
              <w:adjustRightInd w:val="0"/>
              <w:snapToGrid w:val="0"/>
              <w:jc w:val="center"/>
              <w:rPr>
                <w:rFonts w:ascii="宋体" w:hAnsi="宋体"/>
                <w:kern w:val="0"/>
                <w:sz w:val="24"/>
                <w:highlight w:val="none"/>
              </w:rPr>
            </w:pPr>
          </w:p>
        </w:tc>
        <w:tc>
          <w:tcPr>
            <w:tcW w:w="749" w:type="dxa"/>
            <w:vAlign w:val="center"/>
          </w:tcPr>
          <w:p w14:paraId="7D0A6DE7">
            <w:pPr>
              <w:autoSpaceDE w:val="0"/>
              <w:autoSpaceDN w:val="0"/>
              <w:adjustRightInd w:val="0"/>
              <w:snapToGrid w:val="0"/>
              <w:jc w:val="center"/>
              <w:rPr>
                <w:rFonts w:ascii="宋体" w:hAnsi="宋体"/>
                <w:kern w:val="0"/>
                <w:sz w:val="24"/>
                <w:highlight w:val="none"/>
              </w:rPr>
            </w:pPr>
          </w:p>
        </w:tc>
      </w:tr>
      <w:tr w14:paraId="0F6C7C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687AE1D">
            <w:pPr>
              <w:autoSpaceDE w:val="0"/>
              <w:autoSpaceDN w:val="0"/>
              <w:adjustRightInd w:val="0"/>
              <w:snapToGrid w:val="0"/>
              <w:jc w:val="center"/>
              <w:rPr>
                <w:rFonts w:ascii="宋体" w:hAnsi="宋体"/>
                <w:kern w:val="0"/>
                <w:sz w:val="24"/>
                <w:highlight w:val="none"/>
              </w:rPr>
            </w:pPr>
          </w:p>
        </w:tc>
        <w:tc>
          <w:tcPr>
            <w:tcW w:w="1176" w:type="dxa"/>
            <w:vAlign w:val="center"/>
          </w:tcPr>
          <w:p w14:paraId="67375B26">
            <w:pPr>
              <w:autoSpaceDE w:val="0"/>
              <w:autoSpaceDN w:val="0"/>
              <w:adjustRightInd w:val="0"/>
              <w:snapToGrid w:val="0"/>
              <w:jc w:val="center"/>
              <w:rPr>
                <w:rFonts w:ascii="宋体" w:hAnsi="宋体"/>
                <w:kern w:val="0"/>
                <w:sz w:val="24"/>
                <w:highlight w:val="none"/>
              </w:rPr>
            </w:pPr>
          </w:p>
        </w:tc>
        <w:tc>
          <w:tcPr>
            <w:tcW w:w="824" w:type="dxa"/>
            <w:vAlign w:val="center"/>
          </w:tcPr>
          <w:p w14:paraId="40774CBA">
            <w:pPr>
              <w:autoSpaceDE w:val="0"/>
              <w:autoSpaceDN w:val="0"/>
              <w:adjustRightInd w:val="0"/>
              <w:snapToGrid w:val="0"/>
              <w:jc w:val="center"/>
              <w:rPr>
                <w:rFonts w:ascii="宋体" w:hAnsi="宋体"/>
                <w:kern w:val="0"/>
                <w:sz w:val="24"/>
                <w:highlight w:val="none"/>
              </w:rPr>
            </w:pPr>
          </w:p>
        </w:tc>
        <w:tc>
          <w:tcPr>
            <w:tcW w:w="1072" w:type="dxa"/>
            <w:vAlign w:val="center"/>
          </w:tcPr>
          <w:p w14:paraId="517C7643">
            <w:pPr>
              <w:autoSpaceDE w:val="0"/>
              <w:autoSpaceDN w:val="0"/>
              <w:adjustRightInd w:val="0"/>
              <w:snapToGrid w:val="0"/>
              <w:jc w:val="center"/>
              <w:rPr>
                <w:rFonts w:ascii="宋体" w:hAnsi="宋体"/>
                <w:kern w:val="0"/>
                <w:sz w:val="24"/>
                <w:highlight w:val="none"/>
              </w:rPr>
            </w:pPr>
          </w:p>
        </w:tc>
        <w:tc>
          <w:tcPr>
            <w:tcW w:w="728" w:type="dxa"/>
            <w:vAlign w:val="center"/>
          </w:tcPr>
          <w:p w14:paraId="1B8D5E3D">
            <w:pPr>
              <w:autoSpaceDE w:val="0"/>
              <w:autoSpaceDN w:val="0"/>
              <w:adjustRightInd w:val="0"/>
              <w:snapToGrid w:val="0"/>
              <w:jc w:val="center"/>
              <w:rPr>
                <w:rFonts w:ascii="宋体" w:hAnsi="宋体"/>
                <w:kern w:val="0"/>
                <w:sz w:val="24"/>
                <w:highlight w:val="none"/>
              </w:rPr>
            </w:pPr>
          </w:p>
        </w:tc>
        <w:tc>
          <w:tcPr>
            <w:tcW w:w="799" w:type="dxa"/>
            <w:vAlign w:val="center"/>
          </w:tcPr>
          <w:p w14:paraId="7884D300">
            <w:pPr>
              <w:autoSpaceDE w:val="0"/>
              <w:autoSpaceDN w:val="0"/>
              <w:adjustRightInd w:val="0"/>
              <w:snapToGrid w:val="0"/>
              <w:jc w:val="center"/>
              <w:rPr>
                <w:rFonts w:ascii="宋体" w:hAnsi="宋体"/>
                <w:kern w:val="0"/>
                <w:sz w:val="24"/>
                <w:highlight w:val="none"/>
              </w:rPr>
            </w:pPr>
          </w:p>
        </w:tc>
        <w:tc>
          <w:tcPr>
            <w:tcW w:w="1312" w:type="dxa"/>
            <w:vAlign w:val="center"/>
          </w:tcPr>
          <w:p w14:paraId="5C8520EB">
            <w:pPr>
              <w:autoSpaceDE w:val="0"/>
              <w:autoSpaceDN w:val="0"/>
              <w:adjustRightInd w:val="0"/>
              <w:snapToGrid w:val="0"/>
              <w:jc w:val="center"/>
              <w:rPr>
                <w:rFonts w:ascii="宋体" w:hAnsi="宋体"/>
                <w:kern w:val="0"/>
                <w:sz w:val="24"/>
                <w:highlight w:val="none"/>
              </w:rPr>
            </w:pPr>
          </w:p>
        </w:tc>
        <w:tc>
          <w:tcPr>
            <w:tcW w:w="947" w:type="dxa"/>
            <w:vAlign w:val="center"/>
          </w:tcPr>
          <w:p w14:paraId="67B9AAC4">
            <w:pPr>
              <w:autoSpaceDE w:val="0"/>
              <w:autoSpaceDN w:val="0"/>
              <w:adjustRightInd w:val="0"/>
              <w:snapToGrid w:val="0"/>
              <w:jc w:val="center"/>
              <w:rPr>
                <w:rFonts w:ascii="宋体" w:hAnsi="宋体"/>
                <w:kern w:val="0"/>
                <w:sz w:val="24"/>
                <w:highlight w:val="none"/>
              </w:rPr>
            </w:pPr>
          </w:p>
        </w:tc>
        <w:tc>
          <w:tcPr>
            <w:tcW w:w="1141" w:type="dxa"/>
            <w:vAlign w:val="center"/>
          </w:tcPr>
          <w:p w14:paraId="2C0531BF">
            <w:pPr>
              <w:autoSpaceDE w:val="0"/>
              <w:autoSpaceDN w:val="0"/>
              <w:adjustRightInd w:val="0"/>
              <w:snapToGrid w:val="0"/>
              <w:jc w:val="center"/>
              <w:rPr>
                <w:rFonts w:ascii="宋体" w:hAnsi="宋体"/>
                <w:kern w:val="0"/>
                <w:sz w:val="24"/>
                <w:highlight w:val="none"/>
              </w:rPr>
            </w:pPr>
          </w:p>
        </w:tc>
        <w:tc>
          <w:tcPr>
            <w:tcW w:w="749" w:type="dxa"/>
            <w:vAlign w:val="center"/>
          </w:tcPr>
          <w:p w14:paraId="002025F4">
            <w:pPr>
              <w:autoSpaceDE w:val="0"/>
              <w:autoSpaceDN w:val="0"/>
              <w:adjustRightInd w:val="0"/>
              <w:snapToGrid w:val="0"/>
              <w:jc w:val="center"/>
              <w:rPr>
                <w:rFonts w:ascii="宋体" w:hAnsi="宋体"/>
                <w:kern w:val="0"/>
                <w:sz w:val="24"/>
                <w:highlight w:val="none"/>
              </w:rPr>
            </w:pPr>
          </w:p>
        </w:tc>
      </w:tr>
      <w:tr w14:paraId="5AF460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20D03C9">
            <w:pPr>
              <w:autoSpaceDE w:val="0"/>
              <w:autoSpaceDN w:val="0"/>
              <w:adjustRightInd w:val="0"/>
              <w:snapToGrid w:val="0"/>
              <w:jc w:val="center"/>
              <w:rPr>
                <w:rFonts w:ascii="宋体" w:hAnsi="宋体"/>
                <w:kern w:val="0"/>
                <w:sz w:val="24"/>
                <w:highlight w:val="none"/>
              </w:rPr>
            </w:pPr>
          </w:p>
        </w:tc>
        <w:tc>
          <w:tcPr>
            <w:tcW w:w="1176" w:type="dxa"/>
            <w:vAlign w:val="center"/>
          </w:tcPr>
          <w:p w14:paraId="49368F8F">
            <w:pPr>
              <w:autoSpaceDE w:val="0"/>
              <w:autoSpaceDN w:val="0"/>
              <w:adjustRightInd w:val="0"/>
              <w:snapToGrid w:val="0"/>
              <w:jc w:val="center"/>
              <w:rPr>
                <w:rFonts w:ascii="宋体" w:hAnsi="宋体"/>
                <w:kern w:val="0"/>
                <w:sz w:val="24"/>
                <w:highlight w:val="none"/>
              </w:rPr>
            </w:pPr>
          </w:p>
        </w:tc>
        <w:tc>
          <w:tcPr>
            <w:tcW w:w="824" w:type="dxa"/>
            <w:vAlign w:val="center"/>
          </w:tcPr>
          <w:p w14:paraId="5F18D4A2">
            <w:pPr>
              <w:autoSpaceDE w:val="0"/>
              <w:autoSpaceDN w:val="0"/>
              <w:adjustRightInd w:val="0"/>
              <w:snapToGrid w:val="0"/>
              <w:jc w:val="center"/>
              <w:rPr>
                <w:rFonts w:ascii="宋体" w:hAnsi="宋体"/>
                <w:kern w:val="0"/>
                <w:sz w:val="24"/>
                <w:highlight w:val="none"/>
              </w:rPr>
            </w:pPr>
          </w:p>
        </w:tc>
        <w:tc>
          <w:tcPr>
            <w:tcW w:w="1072" w:type="dxa"/>
            <w:vAlign w:val="center"/>
          </w:tcPr>
          <w:p w14:paraId="33CEAC0D">
            <w:pPr>
              <w:autoSpaceDE w:val="0"/>
              <w:autoSpaceDN w:val="0"/>
              <w:adjustRightInd w:val="0"/>
              <w:snapToGrid w:val="0"/>
              <w:jc w:val="center"/>
              <w:rPr>
                <w:rFonts w:ascii="宋体" w:hAnsi="宋体"/>
                <w:kern w:val="0"/>
                <w:sz w:val="24"/>
                <w:highlight w:val="none"/>
              </w:rPr>
            </w:pPr>
          </w:p>
        </w:tc>
        <w:tc>
          <w:tcPr>
            <w:tcW w:w="728" w:type="dxa"/>
            <w:vAlign w:val="center"/>
          </w:tcPr>
          <w:p w14:paraId="38F5D6B8">
            <w:pPr>
              <w:autoSpaceDE w:val="0"/>
              <w:autoSpaceDN w:val="0"/>
              <w:adjustRightInd w:val="0"/>
              <w:snapToGrid w:val="0"/>
              <w:jc w:val="center"/>
              <w:rPr>
                <w:rFonts w:ascii="宋体" w:hAnsi="宋体"/>
                <w:kern w:val="0"/>
                <w:sz w:val="24"/>
                <w:highlight w:val="none"/>
              </w:rPr>
            </w:pPr>
          </w:p>
        </w:tc>
        <w:tc>
          <w:tcPr>
            <w:tcW w:w="799" w:type="dxa"/>
            <w:vAlign w:val="center"/>
          </w:tcPr>
          <w:p w14:paraId="3DB5E752">
            <w:pPr>
              <w:autoSpaceDE w:val="0"/>
              <w:autoSpaceDN w:val="0"/>
              <w:adjustRightInd w:val="0"/>
              <w:snapToGrid w:val="0"/>
              <w:jc w:val="center"/>
              <w:rPr>
                <w:rFonts w:ascii="宋体" w:hAnsi="宋体"/>
                <w:kern w:val="0"/>
                <w:sz w:val="24"/>
                <w:highlight w:val="none"/>
              </w:rPr>
            </w:pPr>
          </w:p>
        </w:tc>
        <w:tc>
          <w:tcPr>
            <w:tcW w:w="1312" w:type="dxa"/>
            <w:vAlign w:val="center"/>
          </w:tcPr>
          <w:p w14:paraId="6AEA0DE2">
            <w:pPr>
              <w:autoSpaceDE w:val="0"/>
              <w:autoSpaceDN w:val="0"/>
              <w:adjustRightInd w:val="0"/>
              <w:snapToGrid w:val="0"/>
              <w:jc w:val="center"/>
              <w:rPr>
                <w:rFonts w:ascii="宋体" w:hAnsi="宋体"/>
                <w:kern w:val="0"/>
                <w:sz w:val="24"/>
                <w:highlight w:val="none"/>
              </w:rPr>
            </w:pPr>
          </w:p>
        </w:tc>
        <w:tc>
          <w:tcPr>
            <w:tcW w:w="947" w:type="dxa"/>
            <w:vAlign w:val="center"/>
          </w:tcPr>
          <w:p w14:paraId="06BABBC1">
            <w:pPr>
              <w:autoSpaceDE w:val="0"/>
              <w:autoSpaceDN w:val="0"/>
              <w:adjustRightInd w:val="0"/>
              <w:snapToGrid w:val="0"/>
              <w:jc w:val="center"/>
              <w:rPr>
                <w:rFonts w:ascii="宋体" w:hAnsi="宋体"/>
                <w:kern w:val="0"/>
                <w:sz w:val="24"/>
                <w:highlight w:val="none"/>
              </w:rPr>
            </w:pPr>
          </w:p>
        </w:tc>
        <w:tc>
          <w:tcPr>
            <w:tcW w:w="1141" w:type="dxa"/>
            <w:vAlign w:val="center"/>
          </w:tcPr>
          <w:p w14:paraId="11F950C8">
            <w:pPr>
              <w:autoSpaceDE w:val="0"/>
              <w:autoSpaceDN w:val="0"/>
              <w:adjustRightInd w:val="0"/>
              <w:snapToGrid w:val="0"/>
              <w:jc w:val="center"/>
              <w:rPr>
                <w:rFonts w:ascii="宋体" w:hAnsi="宋体"/>
                <w:kern w:val="0"/>
                <w:sz w:val="24"/>
                <w:highlight w:val="none"/>
              </w:rPr>
            </w:pPr>
          </w:p>
        </w:tc>
        <w:tc>
          <w:tcPr>
            <w:tcW w:w="749" w:type="dxa"/>
            <w:vAlign w:val="center"/>
          </w:tcPr>
          <w:p w14:paraId="2EE0966C">
            <w:pPr>
              <w:autoSpaceDE w:val="0"/>
              <w:autoSpaceDN w:val="0"/>
              <w:adjustRightInd w:val="0"/>
              <w:snapToGrid w:val="0"/>
              <w:jc w:val="center"/>
              <w:rPr>
                <w:rFonts w:ascii="宋体" w:hAnsi="宋体"/>
                <w:kern w:val="0"/>
                <w:sz w:val="24"/>
                <w:highlight w:val="none"/>
              </w:rPr>
            </w:pPr>
          </w:p>
        </w:tc>
      </w:tr>
      <w:tr w14:paraId="56FCE1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AB1EDAB">
            <w:pPr>
              <w:autoSpaceDE w:val="0"/>
              <w:autoSpaceDN w:val="0"/>
              <w:adjustRightInd w:val="0"/>
              <w:snapToGrid w:val="0"/>
              <w:jc w:val="center"/>
              <w:rPr>
                <w:rFonts w:ascii="宋体" w:hAnsi="宋体"/>
                <w:kern w:val="0"/>
                <w:sz w:val="24"/>
                <w:highlight w:val="none"/>
              </w:rPr>
            </w:pPr>
          </w:p>
        </w:tc>
        <w:tc>
          <w:tcPr>
            <w:tcW w:w="1176" w:type="dxa"/>
            <w:vAlign w:val="center"/>
          </w:tcPr>
          <w:p w14:paraId="6810AD34">
            <w:pPr>
              <w:autoSpaceDE w:val="0"/>
              <w:autoSpaceDN w:val="0"/>
              <w:adjustRightInd w:val="0"/>
              <w:snapToGrid w:val="0"/>
              <w:jc w:val="center"/>
              <w:rPr>
                <w:rFonts w:ascii="宋体" w:hAnsi="宋体"/>
                <w:kern w:val="0"/>
                <w:sz w:val="24"/>
                <w:highlight w:val="none"/>
              </w:rPr>
            </w:pPr>
          </w:p>
        </w:tc>
        <w:tc>
          <w:tcPr>
            <w:tcW w:w="824" w:type="dxa"/>
            <w:vAlign w:val="center"/>
          </w:tcPr>
          <w:p w14:paraId="23214504">
            <w:pPr>
              <w:autoSpaceDE w:val="0"/>
              <w:autoSpaceDN w:val="0"/>
              <w:adjustRightInd w:val="0"/>
              <w:snapToGrid w:val="0"/>
              <w:jc w:val="center"/>
              <w:rPr>
                <w:rFonts w:ascii="宋体" w:hAnsi="宋体"/>
                <w:kern w:val="0"/>
                <w:sz w:val="24"/>
                <w:highlight w:val="none"/>
              </w:rPr>
            </w:pPr>
          </w:p>
        </w:tc>
        <w:tc>
          <w:tcPr>
            <w:tcW w:w="1072" w:type="dxa"/>
            <w:vAlign w:val="center"/>
          </w:tcPr>
          <w:p w14:paraId="57C2EEEE">
            <w:pPr>
              <w:autoSpaceDE w:val="0"/>
              <w:autoSpaceDN w:val="0"/>
              <w:adjustRightInd w:val="0"/>
              <w:snapToGrid w:val="0"/>
              <w:jc w:val="center"/>
              <w:rPr>
                <w:rFonts w:ascii="宋体" w:hAnsi="宋体"/>
                <w:kern w:val="0"/>
                <w:sz w:val="24"/>
                <w:highlight w:val="none"/>
              </w:rPr>
            </w:pPr>
          </w:p>
        </w:tc>
        <w:tc>
          <w:tcPr>
            <w:tcW w:w="728" w:type="dxa"/>
            <w:vAlign w:val="center"/>
          </w:tcPr>
          <w:p w14:paraId="4647D0A8">
            <w:pPr>
              <w:autoSpaceDE w:val="0"/>
              <w:autoSpaceDN w:val="0"/>
              <w:adjustRightInd w:val="0"/>
              <w:snapToGrid w:val="0"/>
              <w:jc w:val="center"/>
              <w:rPr>
                <w:rFonts w:ascii="宋体" w:hAnsi="宋体"/>
                <w:kern w:val="0"/>
                <w:sz w:val="24"/>
                <w:highlight w:val="none"/>
              </w:rPr>
            </w:pPr>
          </w:p>
        </w:tc>
        <w:tc>
          <w:tcPr>
            <w:tcW w:w="799" w:type="dxa"/>
            <w:vAlign w:val="center"/>
          </w:tcPr>
          <w:p w14:paraId="1FE92B67">
            <w:pPr>
              <w:autoSpaceDE w:val="0"/>
              <w:autoSpaceDN w:val="0"/>
              <w:adjustRightInd w:val="0"/>
              <w:snapToGrid w:val="0"/>
              <w:jc w:val="center"/>
              <w:rPr>
                <w:rFonts w:ascii="宋体" w:hAnsi="宋体"/>
                <w:kern w:val="0"/>
                <w:sz w:val="24"/>
                <w:highlight w:val="none"/>
              </w:rPr>
            </w:pPr>
          </w:p>
        </w:tc>
        <w:tc>
          <w:tcPr>
            <w:tcW w:w="1312" w:type="dxa"/>
            <w:vAlign w:val="center"/>
          </w:tcPr>
          <w:p w14:paraId="081611B7">
            <w:pPr>
              <w:autoSpaceDE w:val="0"/>
              <w:autoSpaceDN w:val="0"/>
              <w:adjustRightInd w:val="0"/>
              <w:snapToGrid w:val="0"/>
              <w:jc w:val="center"/>
              <w:rPr>
                <w:rFonts w:ascii="宋体" w:hAnsi="宋体"/>
                <w:kern w:val="0"/>
                <w:sz w:val="24"/>
                <w:highlight w:val="none"/>
              </w:rPr>
            </w:pPr>
          </w:p>
        </w:tc>
        <w:tc>
          <w:tcPr>
            <w:tcW w:w="947" w:type="dxa"/>
            <w:vAlign w:val="center"/>
          </w:tcPr>
          <w:p w14:paraId="0F08AF13">
            <w:pPr>
              <w:autoSpaceDE w:val="0"/>
              <w:autoSpaceDN w:val="0"/>
              <w:adjustRightInd w:val="0"/>
              <w:snapToGrid w:val="0"/>
              <w:jc w:val="center"/>
              <w:rPr>
                <w:rFonts w:ascii="宋体" w:hAnsi="宋体"/>
                <w:kern w:val="0"/>
                <w:sz w:val="24"/>
                <w:highlight w:val="none"/>
              </w:rPr>
            </w:pPr>
          </w:p>
        </w:tc>
        <w:tc>
          <w:tcPr>
            <w:tcW w:w="1141" w:type="dxa"/>
            <w:vAlign w:val="center"/>
          </w:tcPr>
          <w:p w14:paraId="6FF34AB5">
            <w:pPr>
              <w:autoSpaceDE w:val="0"/>
              <w:autoSpaceDN w:val="0"/>
              <w:adjustRightInd w:val="0"/>
              <w:snapToGrid w:val="0"/>
              <w:jc w:val="center"/>
              <w:rPr>
                <w:rFonts w:ascii="宋体" w:hAnsi="宋体"/>
                <w:kern w:val="0"/>
                <w:sz w:val="24"/>
                <w:highlight w:val="none"/>
              </w:rPr>
            </w:pPr>
          </w:p>
        </w:tc>
        <w:tc>
          <w:tcPr>
            <w:tcW w:w="749" w:type="dxa"/>
            <w:vAlign w:val="center"/>
          </w:tcPr>
          <w:p w14:paraId="43195438">
            <w:pPr>
              <w:autoSpaceDE w:val="0"/>
              <w:autoSpaceDN w:val="0"/>
              <w:adjustRightInd w:val="0"/>
              <w:snapToGrid w:val="0"/>
              <w:jc w:val="center"/>
              <w:rPr>
                <w:rFonts w:ascii="宋体" w:hAnsi="宋体"/>
                <w:kern w:val="0"/>
                <w:sz w:val="24"/>
                <w:highlight w:val="none"/>
              </w:rPr>
            </w:pPr>
          </w:p>
        </w:tc>
      </w:tr>
      <w:tr w14:paraId="24CAA2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32527BA">
            <w:pPr>
              <w:autoSpaceDE w:val="0"/>
              <w:autoSpaceDN w:val="0"/>
              <w:adjustRightInd w:val="0"/>
              <w:snapToGrid w:val="0"/>
              <w:jc w:val="center"/>
              <w:rPr>
                <w:rFonts w:ascii="宋体" w:hAnsi="宋体"/>
                <w:kern w:val="0"/>
                <w:sz w:val="24"/>
                <w:highlight w:val="none"/>
              </w:rPr>
            </w:pPr>
          </w:p>
        </w:tc>
        <w:tc>
          <w:tcPr>
            <w:tcW w:w="1176" w:type="dxa"/>
            <w:vAlign w:val="center"/>
          </w:tcPr>
          <w:p w14:paraId="58C4227E">
            <w:pPr>
              <w:autoSpaceDE w:val="0"/>
              <w:autoSpaceDN w:val="0"/>
              <w:adjustRightInd w:val="0"/>
              <w:snapToGrid w:val="0"/>
              <w:jc w:val="center"/>
              <w:rPr>
                <w:rFonts w:ascii="宋体" w:hAnsi="宋体"/>
                <w:kern w:val="0"/>
                <w:sz w:val="24"/>
                <w:highlight w:val="none"/>
              </w:rPr>
            </w:pPr>
          </w:p>
        </w:tc>
        <w:tc>
          <w:tcPr>
            <w:tcW w:w="824" w:type="dxa"/>
            <w:vAlign w:val="center"/>
          </w:tcPr>
          <w:p w14:paraId="1AFF8B12">
            <w:pPr>
              <w:autoSpaceDE w:val="0"/>
              <w:autoSpaceDN w:val="0"/>
              <w:adjustRightInd w:val="0"/>
              <w:snapToGrid w:val="0"/>
              <w:jc w:val="center"/>
              <w:rPr>
                <w:rFonts w:ascii="宋体" w:hAnsi="宋体"/>
                <w:kern w:val="0"/>
                <w:sz w:val="24"/>
                <w:highlight w:val="none"/>
              </w:rPr>
            </w:pPr>
          </w:p>
        </w:tc>
        <w:tc>
          <w:tcPr>
            <w:tcW w:w="1072" w:type="dxa"/>
            <w:vAlign w:val="center"/>
          </w:tcPr>
          <w:p w14:paraId="15F9B13B">
            <w:pPr>
              <w:autoSpaceDE w:val="0"/>
              <w:autoSpaceDN w:val="0"/>
              <w:adjustRightInd w:val="0"/>
              <w:snapToGrid w:val="0"/>
              <w:jc w:val="center"/>
              <w:rPr>
                <w:rFonts w:ascii="宋体" w:hAnsi="宋体"/>
                <w:kern w:val="0"/>
                <w:sz w:val="24"/>
                <w:highlight w:val="none"/>
              </w:rPr>
            </w:pPr>
          </w:p>
        </w:tc>
        <w:tc>
          <w:tcPr>
            <w:tcW w:w="728" w:type="dxa"/>
            <w:vAlign w:val="center"/>
          </w:tcPr>
          <w:p w14:paraId="7CF72311">
            <w:pPr>
              <w:autoSpaceDE w:val="0"/>
              <w:autoSpaceDN w:val="0"/>
              <w:adjustRightInd w:val="0"/>
              <w:snapToGrid w:val="0"/>
              <w:jc w:val="center"/>
              <w:rPr>
                <w:rFonts w:ascii="宋体" w:hAnsi="宋体"/>
                <w:kern w:val="0"/>
                <w:sz w:val="24"/>
                <w:highlight w:val="none"/>
              </w:rPr>
            </w:pPr>
          </w:p>
        </w:tc>
        <w:tc>
          <w:tcPr>
            <w:tcW w:w="799" w:type="dxa"/>
            <w:vAlign w:val="center"/>
          </w:tcPr>
          <w:p w14:paraId="44811FF9">
            <w:pPr>
              <w:autoSpaceDE w:val="0"/>
              <w:autoSpaceDN w:val="0"/>
              <w:adjustRightInd w:val="0"/>
              <w:snapToGrid w:val="0"/>
              <w:jc w:val="center"/>
              <w:rPr>
                <w:rFonts w:ascii="宋体" w:hAnsi="宋体"/>
                <w:kern w:val="0"/>
                <w:sz w:val="24"/>
                <w:highlight w:val="none"/>
              </w:rPr>
            </w:pPr>
          </w:p>
        </w:tc>
        <w:tc>
          <w:tcPr>
            <w:tcW w:w="1312" w:type="dxa"/>
            <w:vAlign w:val="center"/>
          </w:tcPr>
          <w:p w14:paraId="76C7130E">
            <w:pPr>
              <w:autoSpaceDE w:val="0"/>
              <w:autoSpaceDN w:val="0"/>
              <w:adjustRightInd w:val="0"/>
              <w:snapToGrid w:val="0"/>
              <w:jc w:val="center"/>
              <w:rPr>
                <w:rFonts w:ascii="宋体" w:hAnsi="宋体"/>
                <w:kern w:val="0"/>
                <w:sz w:val="24"/>
                <w:highlight w:val="none"/>
              </w:rPr>
            </w:pPr>
          </w:p>
        </w:tc>
        <w:tc>
          <w:tcPr>
            <w:tcW w:w="947" w:type="dxa"/>
            <w:vAlign w:val="center"/>
          </w:tcPr>
          <w:p w14:paraId="68BA948A">
            <w:pPr>
              <w:autoSpaceDE w:val="0"/>
              <w:autoSpaceDN w:val="0"/>
              <w:adjustRightInd w:val="0"/>
              <w:snapToGrid w:val="0"/>
              <w:jc w:val="center"/>
              <w:rPr>
                <w:rFonts w:ascii="宋体" w:hAnsi="宋体"/>
                <w:kern w:val="0"/>
                <w:sz w:val="24"/>
                <w:highlight w:val="none"/>
              </w:rPr>
            </w:pPr>
          </w:p>
        </w:tc>
        <w:tc>
          <w:tcPr>
            <w:tcW w:w="1141" w:type="dxa"/>
            <w:vAlign w:val="center"/>
          </w:tcPr>
          <w:p w14:paraId="4F0F692D">
            <w:pPr>
              <w:autoSpaceDE w:val="0"/>
              <w:autoSpaceDN w:val="0"/>
              <w:adjustRightInd w:val="0"/>
              <w:snapToGrid w:val="0"/>
              <w:jc w:val="center"/>
              <w:rPr>
                <w:rFonts w:ascii="宋体" w:hAnsi="宋体"/>
                <w:kern w:val="0"/>
                <w:sz w:val="24"/>
                <w:highlight w:val="none"/>
              </w:rPr>
            </w:pPr>
          </w:p>
        </w:tc>
        <w:tc>
          <w:tcPr>
            <w:tcW w:w="749" w:type="dxa"/>
            <w:vAlign w:val="center"/>
          </w:tcPr>
          <w:p w14:paraId="13BCA325">
            <w:pPr>
              <w:autoSpaceDE w:val="0"/>
              <w:autoSpaceDN w:val="0"/>
              <w:adjustRightInd w:val="0"/>
              <w:snapToGrid w:val="0"/>
              <w:jc w:val="center"/>
              <w:rPr>
                <w:rFonts w:ascii="宋体" w:hAnsi="宋体"/>
                <w:kern w:val="0"/>
                <w:sz w:val="24"/>
                <w:highlight w:val="none"/>
              </w:rPr>
            </w:pPr>
          </w:p>
        </w:tc>
      </w:tr>
      <w:tr w14:paraId="0D2029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BAEE2E0">
            <w:pPr>
              <w:autoSpaceDE w:val="0"/>
              <w:autoSpaceDN w:val="0"/>
              <w:adjustRightInd w:val="0"/>
              <w:snapToGrid w:val="0"/>
              <w:jc w:val="center"/>
              <w:rPr>
                <w:rFonts w:ascii="宋体" w:hAnsi="宋体"/>
                <w:kern w:val="0"/>
                <w:sz w:val="24"/>
                <w:highlight w:val="none"/>
              </w:rPr>
            </w:pPr>
          </w:p>
        </w:tc>
        <w:tc>
          <w:tcPr>
            <w:tcW w:w="1176" w:type="dxa"/>
            <w:vAlign w:val="center"/>
          </w:tcPr>
          <w:p w14:paraId="0E87ED6C">
            <w:pPr>
              <w:autoSpaceDE w:val="0"/>
              <w:autoSpaceDN w:val="0"/>
              <w:adjustRightInd w:val="0"/>
              <w:snapToGrid w:val="0"/>
              <w:jc w:val="center"/>
              <w:rPr>
                <w:rFonts w:ascii="宋体" w:hAnsi="宋体"/>
                <w:kern w:val="0"/>
                <w:sz w:val="24"/>
                <w:highlight w:val="none"/>
              </w:rPr>
            </w:pPr>
          </w:p>
        </w:tc>
        <w:tc>
          <w:tcPr>
            <w:tcW w:w="824" w:type="dxa"/>
            <w:vAlign w:val="center"/>
          </w:tcPr>
          <w:p w14:paraId="42E6CE6C">
            <w:pPr>
              <w:autoSpaceDE w:val="0"/>
              <w:autoSpaceDN w:val="0"/>
              <w:adjustRightInd w:val="0"/>
              <w:snapToGrid w:val="0"/>
              <w:jc w:val="center"/>
              <w:rPr>
                <w:rFonts w:ascii="宋体" w:hAnsi="宋体"/>
                <w:kern w:val="0"/>
                <w:sz w:val="24"/>
                <w:highlight w:val="none"/>
              </w:rPr>
            </w:pPr>
          </w:p>
        </w:tc>
        <w:tc>
          <w:tcPr>
            <w:tcW w:w="1072" w:type="dxa"/>
            <w:vAlign w:val="center"/>
          </w:tcPr>
          <w:p w14:paraId="46057D54">
            <w:pPr>
              <w:autoSpaceDE w:val="0"/>
              <w:autoSpaceDN w:val="0"/>
              <w:adjustRightInd w:val="0"/>
              <w:snapToGrid w:val="0"/>
              <w:jc w:val="center"/>
              <w:rPr>
                <w:rFonts w:ascii="宋体" w:hAnsi="宋体"/>
                <w:kern w:val="0"/>
                <w:sz w:val="24"/>
                <w:highlight w:val="none"/>
              </w:rPr>
            </w:pPr>
          </w:p>
        </w:tc>
        <w:tc>
          <w:tcPr>
            <w:tcW w:w="728" w:type="dxa"/>
            <w:vAlign w:val="center"/>
          </w:tcPr>
          <w:p w14:paraId="4828F29B">
            <w:pPr>
              <w:autoSpaceDE w:val="0"/>
              <w:autoSpaceDN w:val="0"/>
              <w:adjustRightInd w:val="0"/>
              <w:snapToGrid w:val="0"/>
              <w:jc w:val="center"/>
              <w:rPr>
                <w:rFonts w:ascii="宋体" w:hAnsi="宋体"/>
                <w:kern w:val="0"/>
                <w:sz w:val="24"/>
                <w:highlight w:val="none"/>
              </w:rPr>
            </w:pPr>
          </w:p>
        </w:tc>
        <w:tc>
          <w:tcPr>
            <w:tcW w:w="799" w:type="dxa"/>
            <w:vAlign w:val="center"/>
          </w:tcPr>
          <w:p w14:paraId="73E622BA">
            <w:pPr>
              <w:autoSpaceDE w:val="0"/>
              <w:autoSpaceDN w:val="0"/>
              <w:adjustRightInd w:val="0"/>
              <w:snapToGrid w:val="0"/>
              <w:jc w:val="center"/>
              <w:rPr>
                <w:rFonts w:ascii="宋体" w:hAnsi="宋体"/>
                <w:kern w:val="0"/>
                <w:sz w:val="24"/>
                <w:highlight w:val="none"/>
              </w:rPr>
            </w:pPr>
          </w:p>
        </w:tc>
        <w:tc>
          <w:tcPr>
            <w:tcW w:w="1312" w:type="dxa"/>
            <w:vAlign w:val="center"/>
          </w:tcPr>
          <w:p w14:paraId="425F1CB4">
            <w:pPr>
              <w:autoSpaceDE w:val="0"/>
              <w:autoSpaceDN w:val="0"/>
              <w:adjustRightInd w:val="0"/>
              <w:snapToGrid w:val="0"/>
              <w:jc w:val="center"/>
              <w:rPr>
                <w:rFonts w:ascii="宋体" w:hAnsi="宋体"/>
                <w:kern w:val="0"/>
                <w:sz w:val="24"/>
                <w:highlight w:val="none"/>
              </w:rPr>
            </w:pPr>
          </w:p>
        </w:tc>
        <w:tc>
          <w:tcPr>
            <w:tcW w:w="947" w:type="dxa"/>
            <w:vAlign w:val="center"/>
          </w:tcPr>
          <w:p w14:paraId="4AA80DCF">
            <w:pPr>
              <w:autoSpaceDE w:val="0"/>
              <w:autoSpaceDN w:val="0"/>
              <w:adjustRightInd w:val="0"/>
              <w:snapToGrid w:val="0"/>
              <w:jc w:val="center"/>
              <w:rPr>
                <w:rFonts w:ascii="宋体" w:hAnsi="宋体"/>
                <w:kern w:val="0"/>
                <w:sz w:val="24"/>
                <w:highlight w:val="none"/>
              </w:rPr>
            </w:pPr>
          </w:p>
        </w:tc>
        <w:tc>
          <w:tcPr>
            <w:tcW w:w="1141" w:type="dxa"/>
            <w:vAlign w:val="center"/>
          </w:tcPr>
          <w:p w14:paraId="737BA6C8">
            <w:pPr>
              <w:autoSpaceDE w:val="0"/>
              <w:autoSpaceDN w:val="0"/>
              <w:adjustRightInd w:val="0"/>
              <w:snapToGrid w:val="0"/>
              <w:jc w:val="center"/>
              <w:rPr>
                <w:rFonts w:ascii="宋体" w:hAnsi="宋体"/>
                <w:kern w:val="0"/>
                <w:sz w:val="24"/>
                <w:highlight w:val="none"/>
              </w:rPr>
            </w:pPr>
          </w:p>
        </w:tc>
        <w:tc>
          <w:tcPr>
            <w:tcW w:w="749" w:type="dxa"/>
            <w:vAlign w:val="center"/>
          </w:tcPr>
          <w:p w14:paraId="1F45C960">
            <w:pPr>
              <w:autoSpaceDE w:val="0"/>
              <w:autoSpaceDN w:val="0"/>
              <w:adjustRightInd w:val="0"/>
              <w:snapToGrid w:val="0"/>
              <w:jc w:val="center"/>
              <w:rPr>
                <w:rFonts w:ascii="宋体" w:hAnsi="宋体"/>
                <w:kern w:val="0"/>
                <w:sz w:val="24"/>
                <w:highlight w:val="none"/>
              </w:rPr>
            </w:pPr>
          </w:p>
        </w:tc>
      </w:tr>
      <w:tr w14:paraId="2662E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D370400">
            <w:pPr>
              <w:autoSpaceDE w:val="0"/>
              <w:autoSpaceDN w:val="0"/>
              <w:adjustRightInd w:val="0"/>
              <w:snapToGrid w:val="0"/>
              <w:jc w:val="center"/>
              <w:rPr>
                <w:rFonts w:ascii="宋体" w:hAnsi="宋体"/>
                <w:kern w:val="0"/>
                <w:sz w:val="24"/>
                <w:highlight w:val="none"/>
              </w:rPr>
            </w:pPr>
          </w:p>
        </w:tc>
        <w:tc>
          <w:tcPr>
            <w:tcW w:w="1176" w:type="dxa"/>
            <w:vAlign w:val="center"/>
          </w:tcPr>
          <w:p w14:paraId="32510C9D">
            <w:pPr>
              <w:autoSpaceDE w:val="0"/>
              <w:autoSpaceDN w:val="0"/>
              <w:adjustRightInd w:val="0"/>
              <w:snapToGrid w:val="0"/>
              <w:jc w:val="center"/>
              <w:rPr>
                <w:rFonts w:ascii="宋体" w:hAnsi="宋体"/>
                <w:kern w:val="0"/>
                <w:sz w:val="24"/>
                <w:highlight w:val="none"/>
              </w:rPr>
            </w:pPr>
          </w:p>
        </w:tc>
        <w:tc>
          <w:tcPr>
            <w:tcW w:w="824" w:type="dxa"/>
            <w:vAlign w:val="center"/>
          </w:tcPr>
          <w:p w14:paraId="4B4FC32C">
            <w:pPr>
              <w:autoSpaceDE w:val="0"/>
              <w:autoSpaceDN w:val="0"/>
              <w:adjustRightInd w:val="0"/>
              <w:snapToGrid w:val="0"/>
              <w:jc w:val="center"/>
              <w:rPr>
                <w:rFonts w:ascii="宋体" w:hAnsi="宋体"/>
                <w:kern w:val="0"/>
                <w:sz w:val="24"/>
                <w:highlight w:val="none"/>
              </w:rPr>
            </w:pPr>
          </w:p>
        </w:tc>
        <w:tc>
          <w:tcPr>
            <w:tcW w:w="1072" w:type="dxa"/>
            <w:vAlign w:val="center"/>
          </w:tcPr>
          <w:p w14:paraId="2015F851">
            <w:pPr>
              <w:autoSpaceDE w:val="0"/>
              <w:autoSpaceDN w:val="0"/>
              <w:adjustRightInd w:val="0"/>
              <w:snapToGrid w:val="0"/>
              <w:jc w:val="center"/>
              <w:rPr>
                <w:rFonts w:ascii="宋体" w:hAnsi="宋体"/>
                <w:kern w:val="0"/>
                <w:sz w:val="24"/>
                <w:highlight w:val="none"/>
              </w:rPr>
            </w:pPr>
          </w:p>
        </w:tc>
        <w:tc>
          <w:tcPr>
            <w:tcW w:w="728" w:type="dxa"/>
            <w:vAlign w:val="center"/>
          </w:tcPr>
          <w:p w14:paraId="70838E6C">
            <w:pPr>
              <w:autoSpaceDE w:val="0"/>
              <w:autoSpaceDN w:val="0"/>
              <w:adjustRightInd w:val="0"/>
              <w:snapToGrid w:val="0"/>
              <w:jc w:val="center"/>
              <w:rPr>
                <w:rFonts w:ascii="宋体" w:hAnsi="宋体"/>
                <w:kern w:val="0"/>
                <w:sz w:val="24"/>
                <w:highlight w:val="none"/>
              </w:rPr>
            </w:pPr>
          </w:p>
        </w:tc>
        <w:tc>
          <w:tcPr>
            <w:tcW w:w="799" w:type="dxa"/>
            <w:vAlign w:val="center"/>
          </w:tcPr>
          <w:p w14:paraId="22CE4D9E">
            <w:pPr>
              <w:autoSpaceDE w:val="0"/>
              <w:autoSpaceDN w:val="0"/>
              <w:adjustRightInd w:val="0"/>
              <w:snapToGrid w:val="0"/>
              <w:jc w:val="center"/>
              <w:rPr>
                <w:rFonts w:ascii="宋体" w:hAnsi="宋体"/>
                <w:kern w:val="0"/>
                <w:sz w:val="24"/>
                <w:highlight w:val="none"/>
              </w:rPr>
            </w:pPr>
          </w:p>
        </w:tc>
        <w:tc>
          <w:tcPr>
            <w:tcW w:w="1312" w:type="dxa"/>
            <w:vAlign w:val="center"/>
          </w:tcPr>
          <w:p w14:paraId="1D88F02A">
            <w:pPr>
              <w:autoSpaceDE w:val="0"/>
              <w:autoSpaceDN w:val="0"/>
              <w:adjustRightInd w:val="0"/>
              <w:snapToGrid w:val="0"/>
              <w:jc w:val="center"/>
              <w:rPr>
                <w:rFonts w:ascii="宋体" w:hAnsi="宋体"/>
                <w:kern w:val="0"/>
                <w:sz w:val="24"/>
                <w:highlight w:val="none"/>
              </w:rPr>
            </w:pPr>
          </w:p>
        </w:tc>
        <w:tc>
          <w:tcPr>
            <w:tcW w:w="947" w:type="dxa"/>
            <w:vAlign w:val="center"/>
          </w:tcPr>
          <w:p w14:paraId="166C3494">
            <w:pPr>
              <w:autoSpaceDE w:val="0"/>
              <w:autoSpaceDN w:val="0"/>
              <w:adjustRightInd w:val="0"/>
              <w:snapToGrid w:val="0"/>
              <w:jc w:val="center"/>
              <w:rPr>
                <w:rFonts w:ascii="宋体" w:hAnsi="宋体"/>
                <w:kern w:val="0"/>
                <w:sz w:val="24"/>
                <w:highlight w:val="none"/>
              </w:rPr>
            </w:pPr>
          </w:p>
        </w:tc>
        <w:tc>
          <w:tcPr>
            <w:tcW w:w="1141" w:type="dxa"/>
            <w:vAlign w:val="center"/>
          </w:tcPr>
          <w:p w14:paraId="6D29ADD3">
            <w:pPr>
              <w:autoSpaceDE w:val="0"/>
              <w:autoSpaceDN w:val="0"/>
              <w:adjustRightInd w:val="0"/>
              <w:snapToGrid w:val="0"/>
              <w:jc w:val="center"/>
              <w:rPr>
                <w:rFonts w:ascii="宋体" w:hAnsi="宋体"/>
                <w:kern w:val="0"/>
                <w:sz w:val="24"/>
                <w:highlight w:val="none"/>
              </w:rPr>
            </w:pPr>
          </w:p>
        </w:tc>
        <w:tc>
          <w:tcPr>
            <w:tcW w:w="749" w:type="dxa"/>
            <w:vAlign w:val="center"/>
          </w:tcPr>
          <w:p w14:paraId="1ED4F8B5">
            <w:pPr>
              <w:autoSpaceDE w:val="0"/>
              <w:autoSpaceDN w:val="0"/>
              <w:adjustRightInd w:val="0"/>
              <w:snapToGrid w:val="0"/>
              <w:jc w:val="center"/>
              <w:rPr>
                <w:rFonts w:ascii="宋体" w:hAnsi="宋体"/>
                <w:kern w:val="0"/>
                <w:sz w:val="24"/>
                <w:highlight w:val="none"/>
              </w:rPr>
            </w:pPr>
          </w:p>
        </w:tc>
      </w:tr>
      <w:tr w14:paraId="76636C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7A6F0E6">
            <w:pPr>
              <w:autoSpaceDE w:val="0"/>
              <w:autoSpaceDN w:val="0"/>
              <w:adjustRightInd w:val="0"/>
              <w:snapToGrid w:val="0"/>
              <w:jc w:val="center"/>
              <w:rPr>
                <w:rFonts w:ascii="宋体" w:hAnsi="宋体"/>
                <w:kern w:val="0"/>
                <w:sz w:val="24"/>
                <w:highlight w:val="none"/>
              </w:rPr>
            </w:pPr>
          </w:p>
        </w:tc>
        <w:tc>
          <w:tcPr>
            <w:tcW w:w="1176" w:type="dxa"/>
            <w:vAlign w:val="center"/>
          </w:tcPr>
          <w:p w14:paraId="4662CECF">
            <w:pPr>
              <w:autoSpaceDE w:val="0"/>
              <w:autoSpaceDN w:val="0"/>
              <w:adjustRightInd w:val="0"/>
              <w:snapToGrid w:val="0"/>
              <w:jc w:val="center"/>
              <w:rPr>
                <w:rFonts w:ascii="宋体" w:hAnsi="宋体"/>
                <w:kern w:val="0"/>
                <w:sz w:val="24"/>
                <w:highlight w:val="none"/>
              </w:rPr>
            </w:pPr>
          </w:p>
        </w:tc>
        <w:tc>
          <w:tcPr>
            <w:tcW w:w="824" w:type="dxa"/>
            <w:vAlign w:val="center"/>
          </w:tcPr>
          <w:p w14:paraId="09C3AF62">
            <w:pPr>
              <w:autoSpaceDE w:val="0"/>
              <w:autoSpaceDN w:val="0"/>
              <w:adjustRightInd w:val="0"/>
              <w:snapToGrid w:val="0"/>
              <w:jc w:val="center"/>
              <w:rPr>
                <w:rFonts w:ascii="宋体" w:hAnsi="宋体"/>
                <w:kern w:val="0"/>
                <w:sz w:val="24"/>
                <w:highlight w:val="none"/>
              </w:rPr>
            </w:pPr>
          </w:p>
        </w:tc>
        <w:tc>
          <w:tcPr>
            <w:tcW w:w="1072" w:type="dxa"/>
            <w:vAlign w:val="center"/>
          </w:tcPr>
          <w:p w14:paraId="1C98BE5B">
            <w:pPr>
              <w:autoSpaceDE w:val="0"/>
              <w:autoSpaceDN w:val="0"/>
              <w:adjustRightInd w:val="0"/>
              <w:snapToGrid w:val="0"/>
              <w:jc w:val="center"/>
              <w:rPr>
                <w:rFonts w:ascii="宋体" w:hAnsi="宋体"/>
                <w:kern w:val="0"/>
                <w:sz w:val="24"/>
                <w:highlight w:val="none"/>
              </w:rPr>
            </w:pPr>
          </w:p>
        </w:tc>
        <w:tc>
          <w:tcPr>
            <w:tcW w:w="728" w:type="dxa"/>
            <w:vAlign w:val="center"/>
          </w:tcPr>
          <w:p w14:paraId="44628A88">
            <w:pPr>
              <w:autoSpaceDE w:val="0"/>
              <w:autoSpaceDN w:val="0"/>
              <w:adjustRightInd w:val="0"/>
              <w:snapToGrid w:val="0"/>
              <w:jc w:val="center"/>
              <w:rPr>
                <w:rFonts w:ascii="宋体" w:hAnsi="宋体"/>
                <w:kern w:val="0"/>
                <w:sz w:val="24"/>
                <w:highlight w:val="none"/>
              </w:rPr>
            </w:pPr>
          </w:p>
        </w:tc>
        <w:tc>
          <w:tcPr>
            <w:tcW w:w="799" w:type="dxa"/>
            <w:vAlign w:val="center"/>
          </w:tcPr>
          <w:p w14:paraId="55C29EB0">
            <w:pPr>
              <w:autoSpaceDE w:val="0"/>
              <w:autoSpaceDN w:val="0"/>
              <w:adjustRightInd w:val="0"/>
              <w:snapToGrid w:val="0"/>
              <w:jc w:val="center"/>
              <w:rPr>
                <w:rFonts w:ascii="宋体" w:hAnsi="宋体"/>
                <w:kern w:val="0"/>
                <w:sz w:val="24"/>
                <w:highlight w:val="none"/>
              </w:rPr>
            </w:pPr>
          </w:p>
        </w:tc>
        <w:tc>
          <w:tcPr>
            <w:tcW w:w="1312" w:type="dxa"/>
            <w:vAlign w:val="center"/>
          </w:tcPr>
          <w:p w14:paraId="3A2F129B">
            <w:pPr>
              <w:autoSpaceDE w:val="0"/>
              <w:autoSpaceDN w:val="0"/>
              <w:adjustRightInd w:val="0"/>
              <w:snapToGrid w:val="0"/>
              <w:jc w:val="center"/>
              <w:rPr>
                <w:rFonts w:ascii="宋体" w:hAnsi="宋体"/>
                <w:kern w:val="0"/>
                <w:sz w:val="24"/>
                <w:highlight w:val="none"/>
              </w:rPr>
            </w:pPr>
          </w:p>
        </w:tc>
        <w:tc>
          <w:tcPr>
            <w:tcW w:w="947" w:type="dxa"/>
            <w:vAlign w:val="center"/>
          </w:tcPr>
          <w:p w14:paraId="55351672">
            <w:pPr>
              <w:autoSpaceDE w:val="0"/>
              <w:autoSpaceDN w:val="0"/>
              <w:adjustRightInd w:val="0"/>
              <w:snapToGrid w:val="0"/>
              <w:jc w:val="center"/>
              <w:rPr>
                <w:rFonts w:ascii="宋体" w:hAnsi="宋体"/>
                <w:kern w:val="0"/>
                <w:sz w:val="24"/>
                <w:highlight w:val="none"/>
              </w:rPr>
            </w:pPr>
          </w:p>
        </w:tc>
        <w:tc>
          <w:tcPr>
            <w:tcW w:w="1141" w:type="dxa"/>
            <w:vAlign w:val="center"/>
          </w:tcPr>
          <w:p w14:paraId="238BEEB1">
            <w:pPr>
              <w:autoSpaceDE w:val="0"/>
              <w:autoSpaceDN w:val="0"/>
              <w:adjustRightInd w:val="0"/>
              <w:snapToGrid w:val="0"/>
              <w:jc w:val="center"/>
              <w:rPr>
                <w:rFonts w:ascii="宋体" w:hAnsi="宋体"/>
                <w:kern w:val="0"/>
                <w:sz w:val="24"/>
                <w:highlight w:val="none"/>
              </w:rPr>
            </w:pPr>
          </w:p>
        </w:tc>
        <w:tc>
          <w:tcPr>
            <w:tcW w:w="749" w:type="dxa"/>
            <w:vAlign w:val="center"/>
          </w:tcPr>
          <w:p w14:paraId="6CEA3D35">
            <w:pPr>
              <w:autoSpaceDE w:val="0"/>
              <w:autoSpaceDN w:val="0"/>
              <w:adjustRightInd w:val="0"/>
              <w:snapToGrid w:val="0"/>
              <w:jc w:val="center"/>
              <w:rPr>
                <w:rFonts w:ascii="宋体" w:hAnsi="宋体"/>
                <w:kern w:val="0"/>
                <w:sz w:val="24"/>
                <w:highlight w:val="none"/>
              </w:rPr>
            </w:pPr>
          </w:p>
        </w:tc>
      </w:tr>
      <w:tr w14:paraId="748B37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4F60029">
            <w:pPr>
              <w:autoSpaceDE w:val="0"/>
              <w:autoSpaceDN w:val="0"/>
              <w:adjustRightInd w:val="0"/>
              <w:snapToGrid w:val="0"/>
              <w:jc w:val="center"/>
              <w:rPr>
                <w:rFonts w:ascii="宋体" w:hAnsi="宋体"/>
                <w:kern w:val="0"/>
                <w:sz w:val="24"/>
                <w:highlight w:val="none"/>
              </w:rPr>
            </w:pPr>
          </w:p>
        </w:tc>
        <w:tc>
          <w:tcPr>
            <w:tcW w:w="1176" w:type="dxa"/>
            <w:vAlign w:val="center"/>
          </w:tcPr>
          <w:p w14:paraId="2EF91FA9">
            <w:pPr>
              <w:autoSpaceDE w:val="0"/>
              <w:autoSpaceDN w:val="0"/>
              <w:adjustRightInd w:val="0"/>
              <w:snapToGrid w:val="0"/>
              <w:jc w:val="center"/>
              <w:rPr>
                <w:rFonts w:ascii="宋体" w:hAnsi="宋体"/>
                <w:kern w:val="0"/>
                <w:sz w:val="24"/>
                <w:highlight w:val="none"/>
              </w:rPr>
            </w:pPr>
          </w:p>
        </w:tc>
        <w:tc>
          <w:tcPr>
            <w:tcW w:w="824" w:type="dxa"/>
            <w:vAlign w:val="center"/>
          </w:tcPr>
          <w:p w14:paraId="0D93BA09">
            <w:pPr>
              <w:autoSpaceDE w:val="0"/>
              <w:autoSpaceDN w:val="0"/>
              <w:adjustRightInd w:val="0"/>
              <w:snapToGrid w:val="0"/>
              <w:jc w:val="center"/>
              <w:rPr>
                <w:rFonts w:ascii="宋体" w:hAnsi="宋体"/>
                <w:kern w:val="0"/>
                <w:sz w:val="24"/>
                <w:highlight w:val="none"/>
              </w:rPr>
            </w:pPr>
          </w:p>
        </w:tc>
        <w:tc>
          <w:tcPr>
            <w:tcW w:w="1072" w:type="dxa"/>
            <w:vAlign w:val="center"/>
          </w:tcPr>
          <w:p w14:paraId="6D85878B">
            <w:pPr>
              <w:autoSpaceDE w:val="0"/>
              <w:autoSpaceDN w:val="0"/>
              <w:adjustRightInd w:val="0"/>
              <w:snapToGrid w:val="0"/>
              <w:jc w:val="center"/>
              <w:rPr>
                <w:rFonts w:ascii="宋体" w:hAnsi="宋体"/>
                <w:kern w:val="0"/>
                <w:sz w:val="24"/>
                <w:highlight w:val="none"/>
              </w:rPr>
            </w:pPr>
          </w:p>
        </w:tc>
        <w:tc>
          <w:tcPr>
            <w:tcW w:w="728" w:type="dxa"/>
            <w:vAlign w:val="center"/>
          </w:tcPr>
          <w:p w14:paraId="6185B2CF">
            <w:pPr>
              <w:autoSpaceDE w:val="0"/>
              <w:autoSpaceDN w:val="0"/>
              <w:adjustRightInd w:val="0"/>
              <w:snapToGrid w:val="0"/>
              <w:jc w:val="center"/>
              <w:rPr>
                <w:rFonts w:ascii="宋体" w:hAnsi="宋体"/>
                <w:kern w:val="0"/>
                <w:sz w:val="24"/>
                <w:highlight w:val="none"/>
              </w:rPr>
            </w:pPr>
          </w:p>
        </w:tc>
        <w:tc>
          <w:tcPr>
            <w:tcW w:w="799" w:type="dxa"/>
            <w:vAlign w:val="center"/>
          </w:tcPr>
          <w:p w14:paraId="4A132C3B">
            <w:pPr>
              <w:autoSpaceDE w:val="0"/>
              <w:autoSpaceDN w:val="0"/>
              <w:adjustRightInd w:val="0"/>
              <w:snapToGrid w:val="0"/>
              <w:jc w:val="center"/>
              <w:rPr>
                <w:rFonts w:ascii="宋体" w:hAnsi="宋体"/>
                <w:kern w:val="0"/>
                <w:sz w:val="24"/>
                <w:highlight w:val="none"/>
              </w:rPr>
            </w:pPr>
          </w:p>
        </w:tc>
        <w:tc>
          <w:tcPr>
            <w:tcW w:w="1312" w:type="dxa"/>
            <w:vAlign w:val="center"/>
          </w:tcPr>
          <w:p w14:paraId="233DC532">
            <w:pPr>
              <w:autoSpaceDE w:val="0"/>
              <w:autoSpaceDN w:val="0"/>
              <w:adjustRightInd w:val="0"/>
              <w:snapToGrid w:val="0"/>
              <w:jc w:val="center"/>
              <w:rPr>
                <w:rFonts w:ascii="宋体" w:hAnsi="宋体"/>
                <w:kern w:val="0"/>
                <w:sz w:val="24"/>
                <w:highlight w:val="none"/>
              </w:rPr>
            </w:pPr>
          </w:p>
        </w:tc>
        <w:tc>
          <w:tcPr>
            <w:tcW w:w="947" w:type="dxa"/>
            <w:vAlign w:val="center"/>
          </w:tcPr>
          <w:p w14:paraId="0BABB72E">
            <w:pPr>
              <w:autoSpaceDE w:val="0"/>
              <w:autoSpaceDN w:val="0"/>
              <w:adjustRightInd w:val="0"/>
              <w:snapToGrid w:val="0"/>
              <w:jc w:val="center"/>
              <w:rPr>
                <w:rFonts w:ascii="宋体" w:hAnsi="宋体"/>
                <w:kern w:val="0"/>
                <w:sz w:val="24"/>
                <w:highlight w:val="none"/>
              </w:rPr>
            </w:pPr>
          </w:p>
        </w:tc>
        <w:tc>
          <w:tcPr>
            <w:tcW w:w="1141" w:type="dxa"/>
            <w:vAlign w:val="center"/>
          </w:tcPr>
          <w:p w14:paraId="587AFB7B">
            <w:pPr>
              <w:autoSpaceDE w:val="0"/>
              <w:autoSpaceDN w:val="0"/>
              <w:adjustRightInd w:val="0"/>
              <w:snapToGrid w:val="0"/>
              <w:jc w:val="center"/>
              <w:rPr>
                <w:rFonts w:ascii="宋体" w:hAnsi="宋体"/>
                <w:kern w:val="0"/>
                <w:sz w:val="24"/>
                <w:highlight w:val="none"/>
              </w:rPr>
            </w:pPr>
          </w:p>
        </w:tc>
        <w:tc>
          <w:tcPr>
            <w:tcW w:w="749" w:type="dxa"/>
            <w:vAlign w:val="center"/>
          </w:tcPr>
          <w:p w14:paraId="1D0E0D84">
            <w:pPr>
              <w:autoSpaceDE w:val="0"/>
              <w:autoSpaceDN w:val="0"/>
              <w:adjustRightInd w:val="0"/>
              <w:snapToGrid w:val="0"/>
              <w:jc w:val="center"/>
              <w:rPr>
                <w:rFonts w:ascii="宋体" w:hAnsi="宋体"/>
                <w:kern w:val="0"/>
                <w:sz w:val="24"/>
                <w:highlight w:val="none"/>
              </w:rPr>
            </w:pPr>
          </w:p>
        </w:tc>
      </w:tr>
      <w:tr w14:paraId="6927D2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57A56A">
            <w:pPr>
              <w:autoSpaceDE w:val="0"/>
              <w:autoSpaceDN w:val="0"/>
              <w:adjustRightInd w:val="0"/>
              <w:snapToGrid w:val="0"/>
              <w:jc w:val="center"/>
              <w:rPr>
                <w:rFonts w:ascii="宋体" w:hAnsi="宋体"/>
                <w:kern w:val="0"/>
                <w:sz w:val="24"/>
                <w:highlight w:val="none"/>
              </w:rPr>
            </w:pPr>
          </w:p>
        </w:tc>
        <w:tc>
          <w:tcPr>
            <w:tcW w:w="1176" w:type="dxa"/>
            <w:vAlign w:val="center"/>
          </w:tcPr>
          <w:p w14:paraId="2F9CAE2E">
            <w:pPr>
              <w:autoSpaceDE w:val="0"/>
              <w:autoSpaceDN w:val="0"/>
              <w:adjustRightInd w:val="0"/>
              <w:snapToGrid w:val="0"/>
              <w:jc w:val="center"/>
              <w:rPr>
                <w:rFonts w:ascii="宋体" w:hAnsi="宋体"/>
                <w:kern w:val="0"/>
                <w:sz w:val="24"/>
                <w:highlight w:val="none"/>
              </w:rPr>
            </w:pPr>
          </w:p>
        </w:tc>
        <w:tc>
          <w:tcPr>
            <w:tcW w:w="824" w:type="dxa"/>
            <w:vAlign w:val="center"/>
          </w:tcPr>
          <w:p w14:paraId="21C6AE6D">
            <w:pPr>
              <w:autoSpaceDE w:val="0"/>
              <w:autoSpaceDN w:val="0"/>
              <w:adjustRightInd w:val="0"/>
              <w:snapToGrid w:val="0"/>
              <w:jc w:val="center"/>
              <w:rPr>
                <w:rFonts w:ascii="宋体" w:hAnsi="宋体"/>
                <w:kern w:val="0"/>
                <w:sz w:val="24"/>
                <w:highlight w:val="none"/>
              </w:rPr>
            </w:pPr>
          </w:p>
        </w:tc>
        <w:tc>
          <w:tcPr>
            <w:tcW w:w="1072" w:type="dxa"/>
            <w:vAlign w:val="center"/>
          </w:tcPr>
          <w:p w14:paraId="017A6F61">
            <w:pPr>
              <w:autoSpaceDE w:val="0"/>
              <w:autoSpaceDN w:val="0"/>
              <w:adjustRightInd w:val="0"/>
              <w:snapToGrid w:val="0"/>
              <w:jc w:val="center"/>
              <w:rPr>
                <w:rFonts w:ascii="宋体" w:hAnsi="宋体"/>
                <w:kern w:val="0"/>
                <w:sz w:val="24"/>
                <w:highlight w:val="none"/>
              </w:rPr>
            </w:pPr>
          </w:p>
        </w:tc>
        <w:tc>
          <w:tcPr>
            <w:tcW w:w="728" w:type="dxa"/>
            <w:vAlign w:val="center"/>
          </w:tcPr>
          <w:p w14:paraId="5B2BDFE9">
            <w:pPr>
              <w:autoSpaceDE w:val="0"/>
              <w:autoSpaceDN w:val="0"/>
              <w:adjustRightInd w:val="0"/>
              <w:snapToGrid w:val="0"/>
              <w:jc w:val="center"/>
              <w:rPr>
                <w:rFonts w:ascii="宋体" w:hAnsi="宋体"/>
                <w:kern w:val="0"/>
                <w:sz w:val="24"/>
                <w:highlight w:val="none"/>
              </w:rPr>
            </w:pPr>
          </w:p>
        </w:tc>
        <w:tc>
          <w:tcPr>
            <w:tcW w:w="799" w:type="dxa"/>
            <w:vAlign w:val="center"/>
          </w:tcPr>
          <w:p w14:paraId="2E166991">
            <w:pPr>
              <w:autoSpaceDE w:val="0"/>
              <w:autoSpaceDN w:val="0"/>
              <w:adjustRightInd w:val="0"/>
              <w:snapToGrid w:val="0"/>
              <w:jc w:val="center"/>
              <w:rPr>
                <w:rFonts w:ascii="宋体" w:hAnsi="宋体"/>
                <w:kern w:val="0"/>
                <w:sz w:val="24"/>
                <w:highlight w:val="none"/>
              </w:rPr>
            </w:pPr>
          </w:p>
        </w:tc>
        <w:tc>
          <w:tcPr>
            <w:tcW w:w="1312" w:type="dxa"/>
            <w:vAlign w:val="center"/>
          </w:tcPr>
          <w:p w14:paraId="42540874">
            <w:pPr>
              <w:autoSpaceDE w:val="0"/>
              <w:autoSpaceDN w:val="0"/>
              <w:adjustRightInd w:val="0"/>
              <w:snapToGrid w:val="0"/>
              <w:jc w:val="center"/>
              <w:rPr>
                <w:rFonts w:ascii="宋体" w:hAnsi="宋体"/>
                <w:kern w:val="0"/>
                <w:sz w:val="24"/>
                <w:highlight w:val="none"/>
              </w:rPr>
            </w:pPr>
          </w:p>
        </w:tc>
        <w:tc>
          <w:tcPr>
            <w:tcW w:w="947" w:type="dxa"/>
            <w:vAlign w:val="center"/>
          </w:tcPr>
          <w:p w14:paraId="7740E917">
            <w:pPr>
              <w:autoSpaceDE w:val="0"/>
              <w:autoSpaceDN w:val="0"/>
              <w:adjustRightInd w:val="0"/>
              <w:snapToGrid w:val="0"/>
              <w:jc w:val="center"/>
              <w:rPr>
                <w:rFonts w:ascii="宋体" w:hAnsi="宋体"/>
                <w:kern w:val="0"/>
                <w:sz w:val="24"/>
                <w:highlight w:val="none"/>
              </w:rPr>
            </w:pPr>
          </w:p>
        </w:tc>
        <w:tc>
          <w:tcPr>
            <w:tcW w:w="1141" w:type="dxa"/>
            <w:vAlign w:val="center"/>
          </w:tcPr>
          <w:p w14:paraId="7D2E9917">
            <w:pPr>
              <w:autoSpaceDE w:val="0"/>
              <w:autoSpaceDN w:val="0"/>
              <w:adjustRightInd w:val="0"/>
              <w:snapToGrid w:val="0"/>
              <w:jc w:val="center"/>
              <w:rPr>
                <w:rFonts w:ascii="宋体" w:hAnsi="宋体"/>
                <w:kern w:val="0"/>
                <w:sz w:val="24"/>
                <w:highlight w:val="none"/>
              </w:rPr>
            </w:pPr>
          </w:p>
        </w:tc>
        <w:tc>
          <w:tcPr>
            <w:tcW w:w="749" w:type="dxa"/>
            <w:vAlign w:val="center"/>
          </w:tcPr>
          <w:p w14:paraId="2261F644">
            <w:pPr>
              <w:autoSpaceDE w:val="0"/>
              <w:autoSpaceDN w:val="0"/>
              <w:adjustRightInd w:val="0"/>
              <w:snapToGrid w:val="0"/>
              <w:jc w:val="center"/>
              <w:rPr>
                <w:rFonts w:ascii="宋体" w:hAnsi="宋体"/>
                <w:kern w:val="0"/>
                <w:sz w:val="24"/>
                <w:highlight w:val="none"/>
              </w:rPr>
            </w:pPr>
          </w:p>
        </w:tc>
      </w:tr>
      <w:tr w14:paraId="09AEED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73859D7">
            <w:pPr>
              <w:autoSpaceDE w:val="0"/>
              <w:autoSpaceDN w:val="0"/>
              <w:adjustRightInd w:val="0"/>
              <w:snapToGrid w:val="0"/>
              <w:jc w:val="center"/>
              <w:rPr>
                <w:rFonts w:ascii="宋体" w:hAnsi="宋体"/>
                <w:kern w:val="0"/>
                <w:sz w:val="24"/>
                <w:highlight w:val="none"/>
              </w:rPr>
            </w:pPr>
          </w:p>
        </w:tc>
        <w:tc>
          <w:tcPr>
            <w:tcW w:w="1176" w:type="dxa"/>
            <w:vAlign w:val="center"/>
          </w:tcPr>
          <w:p w14:paraId="0D4223AF">
            <w:pPr>
              <w:autoSpaceDE w:val="0"/>
              <w:autoSpaceDN w:val="0"/>
              <w:adjustRightInd w:val="0"/>
              <w:snapToGrid w:val="0"/>
              <w:jc w:val="center"/>
              <w:rPr>
                <w:rFonts w:ascii="宋体" w:hAnsi="宋体"/>
                <w:kern w:val="0"/>
                <w:sz w:val="24"/>
                <w:highlight w:val="none"/>
              </w:rPr>
            </w:pPr>
          </w:p>
        </w:tc>
        <w:tc>
          <w:tcPr>
            <w:tcW w:w="824" w:type="dxa"/>
            <w:vAlign w:val="center"/>
          </w:tcPr>
          <w:p w14:paraId="75866CDA">
            <w:pPr>
              <w:autoSpaceDE w:val="0"/>
              <w:autoSpaceDN w:val="0"/>
              <w:adjustRightInd w:val="0"/>
              <w:snapToGrid w:val="0"/>
              <w:jc w:val="center"/>
              <w:rPr>
                <w:rFonts w:ascii="宋体" w:hAnsi="宋体"/>
                <w:kern w:val="0"/>
                <w:sz w:val="24"/>
                <w:highlight w:val="none"/>
              </w:rPr>
            </w:pPr>
          </w:p>
        </w:tc>
        <w:tc>
          <w:tcPr>
            <w:tcW w:w="1072" w:type="dxa"/>
            <w:vAlign w:val="center"/>
          </w:tcPr>
          <w:p w14:paraId="0A0D5D13">
            <w:pPr>
              <w:autoSpaceDE w:val="0"/>
              <w:autoSpaceDN w:val="0"/>
              <w:adjustRightInd w:val="0"/>
              <w:snapToGrid w:val="0"/>
              <w:jc w:val="center"/>
              <w:rPr>
                <w:rFonts w:ascii="宋体" w:hAnsi="宋体"/>
                <w:kern w:val="0"/>
                <w:sz w:val="24"/>
                <w:highlight w:val="none"/>
              </w:rPr>
            </w:pPr>
          </w:p>
        </w:tc>
        <w:tc>
          <w:tcPr>
            <w:tcW w:w="728" w:type="dxa"/>
            <w:vAlign w:val="center"/>
          </w:tcPr>
          <w:p w14:paraId="7BD55E5C">
            <w:pPr>
              <w:autoSpaceDE w:val="0"/>
              <w:autoSpaceDN w:val="0"/>
              <w:adjustRightInd w:val="0"/>
              <w:snapToGrid w:val="0"/>
              <w:jc w:val="center"/>
              <w:rPr>
                <w:rFonts w:ascii="宋体" w:hAnsi="宋体"/>
                <w:kern w:val="0"/>
                <w:sz w:val="24"/>
                <w:highlight w:val="none"/>
              </w:rPr>
            </w:pPr>
          </w:p>
        </w:tc>
        <w:tc>
          <w:tcPr>
            <w:tcW w:w="799" w:type="dxa"/>
            <w:vAlign w:val="center"/>
          </w:tcPr>
          <w:p w14:paraId="471E8E95">
            <w:pPr>
              <w:autoSpaceDE w:val="0"/>
              <w:autoSpaceDN w:val="0"/>
              <w:adjustRightInd w:val="0"/>
              <w:snapToGrid w:val="0"/>
              <w:jc w:val="center"/>
              <w:rPr>
                <w:rFonts w:ascii="宋体" w:hAnsi="宋体"/>
                <w:kern w:val="0"/>
                <w:sz w:val="24"/>
                <w:highlight w:val="none"/>
              </w:rPr>
            </w:pPr>
          </w:p>
        </w:tc>
        <w:tc>
          <w:tcPr>
            <w:tcW w:w="1312" w:type="dxa"/>
            <w:vAlign w:val="center"/>
          </w:tcPr>
          <w:p w14:paraId="5F3071BC">
            <w:pPr>
              <w:autoSpaceDE w:val="0"/>
              <w:autoSpaceDN w:val="0"/>
              <w:adjustRightInd w:val="0"/>
              <w:snapToGrid w:val="0"/>
              <w:jc w:val="center"/>
              <w:rPr>
                <w:rFonts w:ascii="宋体" w:hAnsi="宋体"/>
                <w:kern w:val="0"/>
                <w:sz w:val="24"/>
                <w:highlight w:val="none"/>
              </w:rPr>
            </w:pPr>
          </w:p>
        </w:tc>
        <w:tc>
          <w:tcPr>
            <w:tcW w:w="947" w:type="dxa"/>
            <w:vAlign w:val="center"/>
          </w:tcPr>
          <w:p w14:paraId="00CAC066">
            <w:pPr>
              <w:autoSpaceDE w:val="0"/>
              <w:autoSpaceDN w:val="0"/>
              <w:adjustRightInd w:val="0"/>
              <w:snapToGrid w:val="0"/>
              <w:jc w:val="center"/>
              <w:rPr>
                <w:rFonts w:ascii="宋体" w:hAnsi="宋体"/>
                <w:kern w:val="0"/>
                <w:sz w:val="24"/>
                <w:highlight w:val="none"/>
              </w:rPr>
            </w:pPr>
          </w:p>
        </w:tc>
        <w:tc>
          <w:tcPr>
            <w:tcW w:w="1141" w:type="dxa"/>
            <w:vAlign w:val="center"/>
          </w:tcPr>
          <w:p w14:paraId="28AD23DF">
            <w:pPr>
              <w:autoSpaceDE w:val="0"/>
              <w:autoSpaceDN w:val="0"/>
              <w:adjustRightInd w:val="0"/>
              <w:snapToGrid w:val="0"/>
              <w:jc w:val="center"/>
              <w:rPr>
                <w:rFonts w:ascii="宋体" w:hAnsi="宋体"/>
                <w:kern w:val="0"/>
                <w:sz w:val="24"/>
                <w:highlight w:val="none"/>
              </w:rPr>
            </w:pPr>
          </w:p>
        </w:tc>
        <w:tc>
          <w:tcPr>
            <w:tcW w:w="749" w:type="dxa"/>
            <w:vAlign w:val="center"/>
          </w:tcPr>
          <w:p w14:paraId="396E2690">
            <w:pPr>
              <w:autoSpaceDE w:val="0"/>
              <w:autoSpaceDN w:val="0"/>
              <w:adjustRightInd w:val="0"/>
              <w:snapToGrid w:val="0"/>
              <w:jc w:val="center"/>
              <w:rPr>
                <w:rFonts w:ascii="宋体" w:hAnsi="宋体"/>
                <w:kern w:val="0"/>
                <w:sz w:val="24"/>
                <w:highlight w:val="none"/>
              </w:rPr>
            </w:pPr>
          </w:p>
        </w:tc>
      </w:tr>
      <w:tr w14:paraId="2148BD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9E4D111">
            <w:pPr>
              <w:autoSpaceDE w:val="0"/>
              <w:autoSpaceDN w:val="0"/>
              <w:adjustRightInd w:val="0"/>
              <w:snapToGrid w:val="0"/>
              <w:jc w:val="center"/>
              <w:rPr>
                <w:rFonts w:ascii="宋体" w:hAnsi="宋体"/>
                <w:kern w:val="0"/>
                <w:sz w:val="24"/>
                <w:highlight w:val="none"/>
              </w:rPr>
            </w:pPr>
          </w:p>
        </w:tc>
        <w:tc>
          <w:tcPr>
            <w:tcW w:w="1176" w:type="dxa"/>
            <w:vAlign w:val="center"/>
          </w:tcPr>
          <w:p w14:paraId="3DF080EB">
            <w:pPr>
              <w:autoSpaceDE w:val="0"/>
              <w:autoSpaceDN w:val="0"/>
              <w:adjustRightInd w:val="0"/>
              <w:snapToGrid w:val="0"/>
              <w:jc w:val="center"/>
              <w:rPr>
                <w:rFonts w:ascii="宋体" w:hAnsi="宋体"/>
                <w:kern w:val="0"/>
                <w:sz w:val="24"/>
                <w:highlight w:val="none"/>
              </w:rPr>
            </w:pPr>
          </w:p>
        </w:tc>
        <w:tc>
          <w:tcPr>
            <w:tcW w:w="824" w:type="dxa"/>
            <w:vAlign w:val="center"/>
          </w:tcPr>
          <w:p w14:paraId="1404C213">
            <w:pPr>
              <w:autoSpaceDE w:val="0"/>
              <w:autoSpaceDN w:val="0"/>
              <w:adjustRightInd w:val="0"/>
              <w:snapToGrid w:val="0"/>
              <w:jc w:val="center"/>
              <w:rPr>
                <w:rFonts w:ascii="宋体" w:hAnsi="宋体"/>
                <w:kern w:val="0"/>
                <w:sz w:val="24"/>
                <w:highlight w:val="none"/>
              </w:rPr>
            </w:pPr>
          </w:p>
        </w:tc>
        <w:tc>
          <w:tcPr>
            <w:tcW w:w="1072" w:type="dxa"/>
            <w:vAlign w:val="center"/>
          </w:tcPr>
          <w:p w14:paraId="2A820A9D">
            <w:pPr>
              <w:autoSpaceDE w:val="0"/>
              <w:autoSpaceDN w:val="0"/>
              <w:adjustRightInd w:val="0"/>
              <w:snapToGrid w:val="0"/>
              <w:jc w:val="center"/>
              <w:rPr>
                <w:rFonts w:ascii="宋体" w:hAnsi="宋体"/>
                <w:kern w:val="0"/>
                <w:sz w:val="24"/>
                <w:highlight w:val="none"/>
              </w:rPr>
            </w:pPr>
          </w:p>
        </w:tc>
        <w:tc>
          <w:tcPr>
            <w:tcW w:w="728" w:type="dxa"/>
            <w:vAlign w:val="center"/>
          </w:tcPr>
          <w:p w14:paraId="0B6306BB">
            <w:pPr>
              <w:autoSpaceDE w:val="0"/>
              <w:autoSpaceDN w:val="0"/>
              <w:adjustRightInd w:val="0"/>
              <w:snapToGrid w:val="0"/>
              <w:jc w:val="center"/>
              <w:rPr>
                <w:rFonts w:ascii="宋体" w:hAnsi="宋体"/>
                <w:kern w:val="0"/>
                <w:sz w:val="24"/>
                <w:highlight w:val="none"/>
              </w:rPr>
            </w:pPr>
          </w:p>
        </w:tc>
        <w:tc>
          <w:tcPr>
            <w:tcW w:w="799" w:type="dxa"/>
            <w:vAlign w:val="center"/>
          </w:tcPr>
          <w:p w14:paraId="465B18CE">
            <w:pPr>
              <w:autoSpaceDE w:val="0"/>
              <w:autoSpaceDN w:val="0"/>
              <w:adjustRightInd w:val="0"/>
              <w:snapToGrid w:val="0"/>
              <w:jc w:val="center"/>
              <w:rPr>
                <w:rFonts w:ascii="宋体" w:hAnsi="宋体"/>
                <w:kern w:val="0"/>
                <w:sz w:val="24"/>
                <w:highlight w:val="none"/>
              </w:rPr>
            </w:pPr>
          </w:p>
        </w:tc>
        <w:tc>
          <w:tcPr>
            <w:tcW w:w="1312" w:type="dxa"/>
            <w:vAlign w:val="center"/>
          </w:tcPr>
          <w:p w14:paraId="02F9C0F9">
            <w:pPr>
              <w:autoSpaceDE w:val="0"/>
              <w:autoSpaceDN w:val="0"/>
              <w:adjustRightInd w:val="0"/>
              <w:snapToGrid w:val="0"/>
              <w:jc w:val="center"/>
              <w:rPr>
                <w:rFonts w:ascii="宋体" w:hAnsi="宋体"/>
                <w:kern w:val="0"/>
                <w:sz w:val="24"/>
                <w:highlight w:val="none"/>
              </w:rPr>
            </w:pPr>
          </w:p>
        </w:tc>
        <w:tc>
          <w:tcPr>
            <w:tcW w:w="947" w:type="dxa"/>
            <w:vAlign w:val="center"/>
          </w:tcPr>
          <w:p w14:paraId="48C84183">
            <w:pPr>
              <w:autoSpaceDE w:val="0"/>
              <w:autoSpaceDN w:val="0"/>
              <w:adjustRightInd w:val="0"/>
              <w:snapToGrid w:val="0"/>
              <w:jc w:val="center"/>
              <w:rPr>
                <w:rFonts w:ascii="宋体" w:hAnsi="宋体"/>
                <w:kern w:val="0"/>
                <w:sz w:val="24"/>
                <w:highlight w:val="none"/>
              </w:rPr>
            </w:pPr>
          </w:p>
        </w:tc>
        <w:tc>
          <w:tcPr>
            <w:tcW w:w="1141" w:type="dxa"/>
            <w:vAlign w:val="center"/>
          </w:tcPr>
          <w:p w14:paraId="0C29B35B">
            <w:pPr>
              <w:autoSpaceDE w:val="0"/>
              <w:autoSpaceDN w:val="0"/>
              <w:adjustRightInd w:val="0"/>
              <w:snapToGrid w:val="0"/>
              <w:jc w:val="center"/>
              <w:rPr>
                <w:rFonts w:ascii="宋体" w:hAnsi="宋体"/>
                <w:kern w:val="0"/>
                <w:sz w:val="24"/>
                <w:highlight w:val="none"/>
              </w:rPr>
            </w:pPr>
          </w:p>
        </w:tc>
        <w:tc>
          <w:tcPr>
            <w:tcW w:w="749" w:type="dxa"/>
            <w:vAlign w:val="center"/>
          </w:tcPr>
          <w:p w14:paraId="3F386A7D">
            <w:pPr>
              <w:autoSpaceDE w:val="0"/>
              <w:autoSpaceDN w:val="0"/>
              <w:adjustRightInd w:val="0"/>
              <w:snapToGrid w:val="0"/>
              <w:jc w:val="center"/>
              <w:rPr>
                <w:rFonts w:ascii="宋体" w:hAnsi="宋体"/>
                <w:kern w:val="0"/>
                <w:sz w:val="24"/>
                <w:highlight w:val="none"/>
              </w:rPr>
            </w:pPr>
          </w:p>
        </w:tc>
      </w:tr>
      <w:tr w14:paraId="1A9D65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B6141A5">
            <w:pPr>
              <w:autoSpaceDE w:val="0"/>
              <w:autoSpaceDN w:val="0"/>
              <w:adjustRightInd w:val="0"/>
              <w:snapToGrid w:val="0"/>
              <w:jc w:val="center"/>
              <w:rPr>
                <w:rFonts w:ascii="宋体" w:hAnsi="宋体"/>
                <w:kern w:val="0"/>
                <w:sz w:val="24"/>
                <w:highlight w:val="none"/>
              </w:rPr>
            </w:pPr>
          </w:p>
        </w:tc>
        <w:tc>
          <w:tcPr>
            <w:tcW w:w="1176" w:type="dxa"/>
            <w:vAlign w:val="center"/>
          </w:tcPr>
          <w:p w14:paraId="284B35A7">
            <w:pPr>
              <w:autoSpaceDE w:val="0"/>
              <w:autoSpaceDN w:val="0"/>
              <w:adjustRightInd w:val="0"/>
              <w:snapToGrid w:val="0"/>
              <w:jc w:val="center"/>
              <w:rPr>
                <w:rFonts w:ascii="宋体" w:hAnsi="宋体"/>
                <w:kern w:val="0"/>
                <w:sz w:val="24"/>
                <w:highlight w:val="none"/>
              </w:rPr>
            </w:pPr>
          </w:p>
        </w:tc>
        <w:tc>
          <w:tcPr>
            <w:tcW w:w="824" w:type="dxa"/>
            <w:vAlign w:val="center"/>
          </w:tcPr>
          <w:p w14:paraId="6D2AF4B2">
            <w:pPr>
              <w:autoSpaceDE w:val="0"/>
              <w:autoSpaceDN w:val="0"/>
              <w:adjustRightInd w:val="0"/>
              <w:snapToGrid w:val="0"/>
              <w:jc w:val="center"/>
              <w:rPr>
                <w:rFonts w:ascii="宋体" w:hAnsi="宋体"/>
                <w:kern w:val="0"/>
                <w:sz w:val="24"/>
                <w:highlight w:val="none"/>
              </w:rPr>
            </w:pPr>
          </w:p>
        </w:tc>
        <w:tc>
          <w:tcPr>
            <w:tcW w:w="1072" w:type="dxa"/>
            <w:vAlign w:val="center"/>
          </w:tcPr>
          <w:p w14:paraId="0D01450F">
            <w:pPr>
              <w:autoSpaceDE w:val="0"/>
              <w:autoSpaceDN w:val="0"/>
              <w:adjustRightInd w:val="0"/>
              <w:snapToGrid w:val="0"/>
              <w:jc w:val="center"/>
              <w:rPr>
                <w:rFonts w:ascii="宋体" w:hAnsi="宋体"/>
                <w:kern w:val="0"/>
                <w:sz w:val="24"/>
                <w:highlight w:val="none"/>
              </w:rPr>
            </w:pPr>
          </w:p>
        </w:tc>
        <w:tc>
          <w:tcPr>
            <w:tcW w:w="728" w:type="dxa"/>
            <w:vAlign w:val="center"/>
          </w:tcPr>
          <w:p w14:paraId="6C7B2601">
            <w:pPr>
              <w:autoSpaceDE w:val="0"/>
              <w:autoSpaceDN w:val="0"/>
              <w:adjustRightInd w:val="0"/>
              <w:snapToGrid w:val="0"/>
              <w:jc w:val="center"/>
              <w:rPr>
                <w:rFonts w:ascii="宋体" w:hAnsi="宋体"/>
                <w:kern w:val="0"/>
                <w:sz w:val="24"/>
                <w:highlight w:val="none"/>
              </w:rPr>
            </w:pPr>
          </w:p>
        </w:tc>
        <w:tc>
          <w:tcPr>
            <w:tcW w:w="799" w:type="dxa"/>
            <w:vAlign w:val="center"/>
          </w:tcPr>
          <w:p w14:paraId="2BEFB265">
            <w:pPr>
              <w:autoSpaceDE w:val="0"/>
              <w:autoSpaceDN w:val="0"/>
              <w:adjustRightInd w:val="0"/>
              <w:snapToGrid w:val="0"/>
              <w:jc w:val="center"/>
              <w:rPr>
                <w:rFonts w:ascii="宋体" w:hAnsi="宋体"/>
                <w:kern w:val="0"/>
                <w:sz w:val="24"/>
                <w:highlight w:val="none"/>
              </w:rPr>
            </w:pPr>
          </w:p>
        </w:tc>
        <w:tc>
          <w:tcPr>
            <w:tcW w:w="1312" w:type="dxa"/>
            <w:vAlign w:val="center"/>
          </w:tcPr>
          <w:p w14:paraId="187C6462">
            <w:pPr>
              <w:autoSpaceDE w:val="0"/>
              <w:autoSpaceDN w:val="0"/>
              <w:adjustRightInd w:val="0"/>
              <w:snapToGrid w:val="0"/>
              <w:jc w:val="center"/>
              <w:rPr>
                <w:rFonts w:ascii="宋体" w:hAnsi="宋体"/>
                <w:kern w:val="0"/>
                <w:sz w:val="24"/>
                <w:highlight w:val="none"/>
              </w:rPr>
            </w:pPr>
          </w:p>
        </w:tc>
        <w:tc>
          <w:tcPr>
            <w:tcW w:w="947" w:type="dxa"/>
            <w:vAlign w:val="center"/>
          </w:tcPr>
          <w:p w14:paraId="0BD0FDF2">
            <w:pPr>
              <w:autoSpaceDE w:val="0"/>
              <w:autoSpaceDN w:val="0"/>
              <w:adjustRightInd w:val="0"/>
              <w:snapToGrid w:val="0"/>
              <w:jc w:val="center"/>
              <w:rPr>
                <w:rFonts w:ascii="宋体" w:hAnsi="宋体"/>
                <w:kern w:val="0"/>
                <w:sz w:val="24"/>
                <w:highlight w:val="none"/>
              </w:rPr>
            </w:pPr>
          </w:p>
        </w:tc>
        <w:tc>
          <w:tcPr>
            <w:tcW w:w="1141" w:type="dxa"/>
            <w:vAlign w:val="center"/>
          </w:tcPr>
          <w:p w14:paraId="400E5D9D">
            <w:pPr>
              <w:autoSpaceDE w:val="0"/>
              <w:autoSpaceDN w:val="0"/>
              <w:adjustRightInd w:val="0"/>
              <w:snapToGrid w:val="0"/>
              <w:jc w:val="center"/>
              <w:rPr>
                <w:rFonts w:ascii="宋体" w:hAnsi="宋体"/>
                <w:kern w:val="0"/>
                <w:sz w:val="24"/>
                <w:highlight w:val="none"/>
              </w:rPr>
            </w:pPr>
          </w:p>
        </w:tc>
        <w:tc>
          <w:tcPr>
            <w:tcW w:w="749" w:type="dxa"/>
            <w:vAlign w:val="center"/>
          </w:tcPr>
          <w:p w14:paraId="24B52091">
            <w:pPr>
              <w:autoSpaceDE w:val="0"/>
              <w:autoSpaceDN w:val="0"/>
              <w:adjustRightInd w:val="0"/>
              <w:snapToGrid w:val="0"/>
              <w:jc w:val="center"/>
              <w:rPr>
                <w:rFonts w:ascii="宋体" w:hAnsi="宋体"/>
                <w:kern w:val="0"/>
                <w:sz w:val="24"/>
                <w:highlight w:val="none"/>
              </w:rPr>
            </w:pPr>
          </w:p>
        </w:tc>
      </w:tr>
      <w:tr w14:paraId="4A1F3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7728FD5">
            <w:pPr>
              <w:autoSpaceDE w:val="0"/>
              <w:autoSpaceDN w:val="0"/>
              <w:adjustRightInd w:val="0"/>
              <w:snapToGrid w:val="0"/>
              <w:jc w:val="center"/>
              <w:rPr>
                <w:rFonts w:ascii="宋体" w:hAnsi="宋体"/>
                <w:kern w:val="0"/>
                <w:sz w:val="24"/>
                <w:highlight w:val="none"/>
              </w:rPr>
            </w:pPr>
          </w:p>
        </w:tc>
        <w:tc>
          <w:tcPr>
            <w:tcW w:w="1176" w:type="dxa"/>
            <w:vAlign w:val="center"/>
          </w:tcPr>
          <w:p w14:paraId="294819B5">
            <w:pPr>
              <w:autoSpaceDE w:val="0"/>
              <w:autoSpaceDN w:val="0"/>
              <w:adjustRightInd w:val="0"/>
              <w:snapToGrid w:val="0"/>
              <w:jc w:val="center"/>
              <w:rPr>
                <w:rFonts w:ascii="宋体" w:hAnsi="宋体"/>
                <w:kern w:val="0"/>
                <w:sz w:val="24"/>
                <w:highlight w:val="none"/>
              </w:rPr>
            </w:pPr>
          </w:p>
        </w:tc>
        <w:tc>
          <w:tcPr>
            <w:tcW w:w="824" w:type="dxa"/>
            <w:vAlign w:val="center"/>
          </w:tcPr>
          <w:p w14:paraId="0FFDD13C">
            <w:pPr>
              <w:autoSpaceDE w:val="0"/>
              <w:autoSpaceDN w:val="0"/>
              <w:adjustRightInd w:val="0"/>
              <w:snapToGrid w:val="0"/>
              <w:jc w:val="center"/>
              <w:rPr>
                <w:rFonts w:ascii="宋体" w:hAnsi="宋体"/>
                <w:kern w:val="0"/>
                <w:sz w:val="24"/>
                <w:highlight w:val="none"/>
              </w:rPr>
            </w:pPr>
          </w:p>
        </w:tc>
        <w:tc>
          <w:tcPr>
            <w:tcW w:w="1072" w:type="dxa"/>
            <w:vAlign w:val="center"/>
          </w:tcPr>
          <w:p w14:paraId="61110AE5">
            <w:pPr>
              <w:autoSpaceDE w:val="0"/>
              <w:autoSpaceDN w:val="0"/>
              <w:adjustRightInd w:val="0"/>
              <w:snapToGrid w:val="0"/>
              <w:jc w:val="center"/>
              <w:rPr>
                <w:rFonts w:ascii="宋体" w:hAnsi="宋体"/>
                <w:kern w:val="0"/>
                <w:sz w:val="24"/>
                <w:highlight w:val="none"/>
              </w:rPr>
            </w:pPr>
          </w:p>
        </w:tc>
        <w:tc>
          <w:tcPr>
            <w:tcW w:w="728" w:type="dxa"/>
            <w:vAlign w:val="center"/>
          </w:tcPr>
          <w:p w14:paraId="01E1A20D">
            <w:pPr>
              <w:autoSpaceDE w:val="0"/>
              <w:autoSpaceDN w:val="0"/>
              <w:adjustRightInd w:val="0"/>
              <w:snapToGrid w:val="0"/>
              <w:jc w:val="center"/>
              <w:rPr>
                <w:rFonts w:ascii="宋体" w:hAnsi="宋体"/>
                <w:kern w:val="0"/>
                <w:sz w:val="24"/>
                <w:highlight w:val="none"/>
              </w:rPr>
            </w:pPr>
          </w:p>
        </w:tc>
        <w:tc>
          <w:tcPr>
            <w:tcW w:w="799" w:type="dxa"/>
            <w:vAlign w:val="center"/>
          </w:tcPr>
          <w:p w14:paraId="156847D5">
            <w:pPr>
              <w:autoSpaceDE w:val="0"/>
              <w:autoSpaceDN w:val="0"/>
              <w:adjustRightInd w:val="0"/>
              <w:snapToGrid w:val="0"/>
              <w:jc w:val="center"/>
              <w:rPr>
                <w:rFonts w:ascii="宋体" w:hAnsi="宋体"/>
                <w:kern w:val="0"/>
                <w:sz w:val="24"/>
                <w:highlight w:val="none"/>
              </w:rPr>
            </w:pPr>
          </w:p>
        </w:tc>
        <w:tc>
          <w:tcPr>
            <w:tcW w:w="1312" w:type="dxa"/>
            <w:vAlign w:val="center"/>
          </w:tcPr>
          <w:p w14:paraId="7C9FA32B">
            <w:pPr>
              <w:autoSpaceDE w:val="0"/>
              <w:autoSpaceDN w:val="0"/>
              <w:adjustRightInd w:val="0"/>
              <w:snapToGrid w:val="0"/>
              <w:jc w:val="center"/>
              <w:rPr>
                <w:rFonts w:ascii="宋体" w:hAnsi="宋体"/>
                <w:kern w:val="0"/>
                <w:sz w:val="24"/>
                <w:highlight w:val="none"/>
              </w:rPr>
            </w:pPr>
          </w:p>
        </w:tc>
        <w:tc>
          <w:tcPr>
            <w:tcW w:w="947" w:type="dxa"/>
            <w:vAlign w:val="center"/>
          </w:tcPr>
          <w:p w14:paraId="117F95C9">
            <w:pPr>
              <w:autoSpaceDE w:val="0"/>
              <w:autoSpaceDN w:val="0"/>
              <w:adjustRightInd w:val="0"/>
              <w:snapToGrid w:val="0"/>
              <w:jc w:val="center"/>
              <w:rPr>
                <w:rFonts w:ascii="宋体" w:hAnsi="宋体"/>
                <w:kern w:val="0"/>
                <w:sz w:val="24"/>
                <w:highlight w:val="none"/>
              </w:rPr>
            </w:pPr>
          </w:p>
        </w:tc>
        <w:tc>
          <w:tcPr>
            <w:tcW w:w="1141" w:type="dxa"/>
            <w:vAlign w:val="center"/>
          </w:tcPr>
          <w:p w14:paraId="25EBC1CF">
            <w:pPr>
              <w:autoSpaceDE w:val="0"/>
              <w:autoSpaceDN w:val="0"/>
              <w:adjustRightInd w:val="0"/>
              <w:snapToGrid w:val="0"/>
              <w:jc w:val="center"/>
              <w:rPr>
                <w:rFonts w:ascii="宋体" w:hAnsi="宋体"/>
                <w:kern w:val="0"/>
                <w:sz w:val="24"/>
                <w:highlight w:val="none"/>
              </w:rPr>
            </w:pPr>
          </w:p>
        </w:tc>
        <w:tc>
          <w:tcPr>
            <w:tcW w:w="749" w:type="dxa"/>
            <w:vAlign w:val="center"/>
          </w:tcPr>
          <w:p w14:paraId="03AB437F">
            <w:pPr>
              <w:autoSpaceDE w:val="0"/>
              <w:autoSpaceDN w:val="0"/>
              <w:adjustRightInd w:val="0"/>
              <w:snapToGrid w:val="0"/>
              <w:jc w:val="center"/>
              <w:rPr>
                <w:rFonts w:ascii="宋体" w:hAnsi="宋体"/>
                <w:kern w:val="0"/>
                <w:sz w:val="24"/>
                <w:highlight w:val="none"/>
              </w:rPr>
            </w:pPr>
          </w:p>
        </w:tc>
      </w:tr>
      <w:tr w14:paraId="2452B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51D1F1C">
            <w:pPr>
              <w:autoSpaceDE w:val="0"/>
              <w:autoSpaceDN w:val="0"/>
              <w:adjustRightInd w:val="0"/>
              <w:snapToGrid w:val="0"/>
              <w:jc w:val="center"/>
              <w:rPr>
                <w:rFonts w:ascii="宋体" w:hAnsi="宋体"/>
                <w:kern w:val="0"/>
                <w:sz w:val="24"/>
                <w:highlight w:val="none"/>
              </w:rPr>
            </w:pPr>
          </w:p>
        </w:tc>
        <w:tc>
          <w:tcPr>
            <w:tcW w:w="1176" w:type="dxa"/>
            <w:vAlign w:val="center"/>
          </w:tcPr>
          <w:p w14:paraId="52E03F6A">
            <w:pPr>
              <w:autoSpaceDE w:val="0"/>
              <w:autoSpaceDN w:val="0"/>
              <w:adjustRightInd w:val="0"/>
              <w:snapToGrid w:val="0"/>
              <w:jc w:val="center"/>
              <w:rPr>
                <w:rFonts w:ascii="宋体" w:hAnsi="宋体"/>
                <w:kern w:val="0"/>
                <w:sz w:val="24"/>
                <w:highlight w:val="none"/>
              </w:rPr>
            </w:pPr>
          </w:p>
        </w:tc>
        <w:tc>
          <w:tcPr>
            <w:tcW w:w="824" w:type="dxa"/>
            <w:vAlign w:val="center"/>
          </w:tcPr>
          <w:p w14:paraId="3CA1C9A2">
            <w:pPr>
              <w:autoSpaceDE w:val="0"/>
              <w:autoSpaceDN w:val="0"/>
              <w:adjustRightInd w:val="0"/>
              <w:snapToGrid w:val="0"/>
              <w:jc w:val="center"/>
              <w:rPr>
                <w:rFonts w:ascii="宋体" w:hAnsi="宋体"/>
                <w:kern w:val="0"/>
                <w:sz w:val="24"/>
                <w:highlight w:val="none"/>
              </w:rPr>
            </w:pPr>
          </w:p>
        </w:tc>
        <w:tc>
          <w:tcPr>
            <w:tcW w:w="1072" w:type="dxa"/>
            <w:vAlign w:val="center"/>
          </w:tcPr>
          <w:p w14:paraId="1BF8D634">
            <w:pPr>
              <w:autoSpaceDE w:val="0"/>
              <w:autoSpaceDN w:val="0"/>
              <w:adjustRightInd w:val="0"/>
              <w:snapToGrid w:val="0"/>
              <w:jc w:val="center"/>
              <w:rPr>
                <w:rFonts w:ascii="宋体" w:hAnsi="宋体"/>
                <w:kern w:val="0"/>
                <w:sz w:val="24"/>
                <w:highlight w:val="none"/>
              </w:rPr>
            </w:pPr>
          </w:p>
        </w:tc>
        <w:tc>
          <w:tcPr>
            <w:tcW w:w="728" w:type="dxa"/>
            <w:vAlign w:val="center"/>
          </w:tcPr>
          <w:p w14:paraId="5A75DCA3">
            <w:pPr>
              <w:autoSpaceDE w:val="0"/>
              <w:autoSpaceDN w:val="0"/>
              <w:adjustRightInd w:val="0"/>
              <w:snapToGrid w:val="0"/>
              <w:jc w:val="center"/>
              <w:rPr>
                <w:rFonts w:ascii="宋体" w:hAnsi="宋体"/>
                <w:kern w:val="0"/>
                <w:sz w:val="24"/>
                <w:highlight w:val="none"/>
              </w:rPr>
            </w:pPr>
          </w:p>
        </w:tc>
        <w:tc>
          <w:tcPr>
            <w:tcW w:w="799" w:type="dxa"/>
            <w:vAlign w:val="center"/>
          </w:tcPr>
          <w:p w14:paraId="6EB5FBBA">
            <w:pPr>
              <w:autoSpaceDE w:val="0"/>
              <w:autoSpaceDN w:val="0"/>
              <w:adjustRightInd w:val="0"/>
              <w:snapToGrid w:val="0"/>
              <w:jc w:val="center"/>
              <w:rPr>
                <w:rFonts w:ascii="宋体" w:hAnsi="宋体"/>
                <w:kern w:val="0"/>
                <w:sz w:val="24"/>
                <w:highlight w:val="none"/>
              </w:rPr>
            </w:pPr>
          </w:p>
        </w:tc>
        <w:tc>
          <w:tcPr>
            <w:tcW w:w="1312" w:type="dxa"/>
            <w:vAlign w:val="center"/>
          </w:tcPr>
          <w:p w14:paraId="69832BFB">
            <w:pPr>
              <w:autoSpaceDE w:val="0"/>
              <w:autoSpaceDN w:val="0"/>
              <w:adjustRightInd w:val="0"/>
              <w:snapToGrid w:val="0"/>
              <w:jc w:val="center"/>
              <w:rPr>
                <w:rFonts w:ascii="宋体" w:hAnsi="宋体"/>
                <w:kern w:val="0"/>
                <w:sz w:val="24"/>
                <w:highlight w:val="none"/>
              </w:rPr>
            </w:pPr>
          </w:p>
        </w:tc>
        <w:tc>
          <w:tcPr>
            <w:tcW w:w="947" w:type="dxa"/>
            <w:vAlign w:val="center"/>
          </w:tcPr>
          <w:p w14:paraId="72594AA8">
            <w:pPr>
              <w:autoSpaceDE w:val="0"/>
              <w:autoSpaceDN w:val="0"/>
              <w:adjustRightInd w:val="0"/>
              <w:snapToGrid w:val="0"/>
              <w:jc w:val="center"/>
              <w:rPr>
                <w:rFonts w:ascii="宋体" w:hAnsi="宋体"/>
                <w:kern w:val="0"/>
                <w:sz w:val="24"/>
                <w:highlight w:val="none"/>
              </w:rPr>
            </w:pPr>
          </w:p>
        </w:tc>
        <w:tc>
          <w:tcPr>
            <w:tcW w:w="1141" w:type="dxa"/>
            <w:vAlign w:val="center"/>
          </w:tcPr>
          <w:p w14:paraId="57664B91">
            <w:pPr>
              <w:autoSpaceDE w:val="0"/>
              <w:autoSpaceDN w:val="0"/>
              <w:adjustRightInd w:val="0"/>
              <w:snapToGrid w:val="0"/>
              <w:jc w:val="center"/>
              <w:rPr>
                <w:rFonts w:ascii="宋体" w:hAnsi="宋体"/>
                <w:kern w:val="0"/>
                <w:sz w:val="24"/>
                <w:highlight w:val="none"/>
              </w:rPr>
            </w:pPr>
          </w:p>
        </w:tc>
        <w:tc>
          <w:tcPr>
            <w:tcW w:w="749" w:type="dxa"/>
            <w:vAlign w:val="center"/>
          </w:tcPr>
          <w:p w14:paraId="7E93DA26">
            <w:pPr>
              <w:autoSpaceDE w:val="0"/>
              <w:autoSpaceDN w:val="0"/>
              <w:adjustRightInd w:val="0"/>
              <w:snapToGrid w:val="0"/>
              <w:jc w:val="center"/>
              <w:rPr>
                <w:rFonts w:ascii="宋体" w:hAnsi="宋体"/>
                <w:kern w:val="0"/>
                <w:sz w:val="24"/>
                <w:highlight w:val="none"/>
              </w:rPr>
            </w:pPr>
          </w:p>
        </w:tc>
      </w:tr>
      <w:tr w14:paraId="470ECC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FA27285">
            <w:pPr>
              <w:autoSpaceDE w:val="0"/>
              <w:autoSpaceDN w:val="0"/>
              <w:adjustRightInd w:val="0"/>
              <w:snapToGrid w:val="0"/>
              <w:jc w:val="center"/>
              <w:rPr>
                <w:rFonts w:ascii="宋体" w:hAnsi="宋体"/>
                <w:kern w:val="0"/>
                <w:sz w:val="24"/>
                <w:highlight w:val="none"/>
              </w:rPr>
            </w:pPr>
          </w:p>
        </w:tc>
        <w:tc>
          <w:tcPr>
            <w:tcW w:w="1176" w:type="dxa"/>
            <w:vAlign w:val="center"/>
          </w:tcPr>
          <w:p w14:paraId="7C7D9DFE">
            <w:pPr>
              <w:autoSpaceDE w:val="0"/>
              <w:autoSpaceDN w:val="0"/>
              <w:adjustRightInd w:val="0"/>
              <w:snapToGrid w:val="0"/>
              <w:jc w:val="center"/>
              <w:rPr>
                <w:rFonts w:ascii="宋体" w:hAnsi="宋体"/>
                <w:kern w:val="0"/>
                <w:sz w:val="24"/>
                <w:highlight w:val="none"/>
              </w:rPr>
            </w:pPr>
          </w:p>
        </w:tc>
        <w:tc>
          <w:tcPr>
            <w:tcW w:w="824" w:type="dxa"/>
            <w:vAlign w:val="center"/>
          </w:tcPr>
          <w:p w14:paraId="66348E4D">
            <w:pPr>
              <w:autoSpaceDE w:val="0"/>
              <w:autoSpaceDN w:val="0"/>
              <w:adjustRightInd w:val="0"/>
              <w:snapToGrid w:val="0"/>
              <w:jc w:val="center"/>
              <w:rPr>
                <w:rFonts w:ascii="宋体" w:hAnsi="宋体"/>
                <w:kern w:val="0"/>
                <w:sz w:val="24"/>
                <w:highlight w:val="none"/>
              </w:rPr>
            </w:pPr>
          </w:p>
        </w:tc>
        <w:tc>
          <w:tcPr>
            <w:tcW w:w="1072" w:type="dxa"/>
            <w:vAlign w:val="center"/>
          </w:tcPr>
          <w:p w14:paraId="5D5F670C">
            <w:pPr>
              <w:autoSpaceDE w:val="0"/>
              <w:autoSpaceDN w:val="0"/>
              <w:adjustRightInd w:val="0"/>
              <w:snapToGrid w:val="0"/>
              <w:jc w:val="center"/>
              <w:rPr>
                <w:rFonts w:ascii="宋体" w:hAnsi="宋体"/>
                <w:kern w:val="0"/>
                <w:sz w:val="24"/>
                <w:highlight w:val="none"/>
              </w:rPr>
            </w:pPr>
          </w:p>
        </w:tc>
        <w:tc>
          <w:tcPr>
            <w:tcW w:w="728" w:type="dxa"/>
            <w:vAlign w:val="center"/>
          </w:tcPr>
          <w:p w14:paraId="7A8F43D9">
            <w:pPr>
              <w:autoSpaceDE w:val="0"/>
              <w:autoSpaceDN w:val="0"/>
              <w:adjustRightInd w:val="0"/>
              <w:snapToGrid w:val="0"/>
              <w:jc w:val="center"/>
              <w:rPr>
                <w:rFonts w:ascii="宋体" w:hAnsi="宋体"/>
                <w:kern w:val="0"/>
                <w:sz w:val="24"/>
                <w:highlight w:val="none"/>
              </w:rPr>
            </w:pPr>
          </w:p>
        </w:tc>
        <w:tc>
          <w:tcPr>
            <w:tcW w:w="799" w:type="dxa"/>
            <w:vAlign w:val="center"/>
          </w:tcPr>
          <w:p w14:paraId="1FBFCF14">
            <w:pPr>
              <w:autoSpaceDE w:val="0"/>
              <w:autoSpaceDN w:val="0"/>
              <w:adjustRightInd w:val="0"/>
              <w:snapToGrid w:val="0"/>
              <w:jc w:val="center"/>
              <w:rPr>
                <w:rFonts w:ascii="宋体" w:hAnsi="宋体"/>
                <w:kern w:val="0"/>
                <w:sz w:val="24"/>
                <w:highlight w:val="none"/>
              </w:rPr>
            </w:pPr>
          </w:p>
        </w:tc>
        <w:tc>
          <w:tcPr>
            <w:tcW w:w="1312" w:type="dxa"/>
            <w:vAlign w:val="center"/>
          </w:tcPr>
          <w:p w14:paraId="176E774E">
            <w:pPr>
              <w:autoSpaceDE w:val="0"/>
              <w:autoSpaceDN w:val="0"/>
              <w:adjustRightInd w:val="0"/>
              <w:snapToGrid w:val="0"/>
              <w:jc w:val="center"/>
              <w:rPr>
                <w:rFonts w:ascii="宋体" w:hAnsi="宋体"/>
                <w:kern w:val="0"/>
                <w:sz w:val="24"/>
                <w:highlight w:val="none"/>
              </w:rPr>
            </w:pPr>
          </w:p>
        </w:tc>
        <w:tc>
          <w:tcPr>
            <w:tcW w:w="947" w:type="dxa"/>
            <w:vAlign w:val="center"/>
          </w:tcPr>
          <w:p w14:paraId="5F543BE1">
            <w:pPr>
              <w:autoSpaceDE w:val="0"/>
              <w:autoSpaceDN w:val="0"/>
              <w:adjustRightInd w:val="0"/>
              <w:snapToGrid w:val="0"/>
              <w:jc w:val="center"/>
              <w:rPr>
                <w:rFonts w:ascii="宋体" w:hAnsi="宋体"/>
                <w:kern w:val="0"/>
                <w:sz w:val="24"/>
                <w:highlight w:val="none"/>
              </w:rPr>
            </w:pPr>
          </w:p>
        </w:tc>
        <w:tc>
          <w:tcPr>
            <w:tcW w:w="1141" w:type="dxa"/>
            <w:vAlign w:val="center"/>
          </w:tcPr>
          <w:p w14:paraId="34B19CEA">
            <w:pPr>
              <w:autoSpaceDE w:val="0"/>
              <w:autoSpaceDN w:val="0"/>
              <w:adjustRightInd w:val="0"/>
              <w:snapToGrid w:val="0"/>
              <w:jc w:val="center"/>
              <w:rPr>
                <w:rFonts w:ascii="宋体" w:hAnsi="宋体"/>
                <w:kern w:val="0"/>
                <w:sz w:val="24"/>
                <w:highlight w:val="none"/>
              </w:rPr>
            </w:pPr>
          </w:p>
        </w:tc>
        <w:tc>
          <w:tcPr>
            <w:tcW w:w="749" w:type="dxa"/>
            <w:vAlign w:val="center"/>
          </w:tcPr>
          <w:p w14:paraId="1A79B571">
            <w:pPr>
              <w:autoSpaceDE w:val="0"/>
              <w:autoSpaceDN w:val="0"/>
              <w:adjustRightInd w:val="0"/>
              <w:snapToGrid w:val="0"/>
              <w:jc w:val="center"/>
              <w:rPr>
                <w:rFonts w:ascii="宋体" w:hAnsi="宋体"/>
                <w:kern w:val="0"/>
                <w:sz w:val="24"/>
                <w:highlight w:val="none"/>
              </w:rPr>
            </w:pPr>
          </w:p>
        </w:tc>
      </w:tr>
      <w:tr w14:paraId="251624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9ABB933">
            <w:pPr>
              <w:autoSpaceDE w:val="0"/>
              <w:autoSpaceDN w:val="0"/>
              <w:adjustRightInd w:val="0"/>
              <w:snapToGrid w:val="0"/>
              <w:jc w:val="center"/>
              <w:rPr>
                <w:rFonts w:ascii="宋体" w:hAnsi="宋体"/>
                <w:kern w:val="0"/>
                <w:sz w:val="24"/>
                <w:highlight w:val="none"/>
              </w:rPr>
            </w:pPr>
          </w:p>
        </w:tc>
        <w:tc>
          <w:tcPr>
            <w:tcW w:w="1176" w:type="dxa"/>
            <w:vAlign w:val="center"/>
          </w:tcPr>
          <w:p w14:paraId="4D9E696C">
            <w:pPr>
              <w:autoSpaceDE w:val="0"/>
              <w:autoSpaceDN w:val="0"/>
              <w:adjustRightInd w:val="0"/>
              <w:snapToGrid w:val="0"/>
              <w:jc w:val="center"/>
              <w:rPr>
                <w:rFonts w:ascii="宋体" w:hAnsi="宋体"/>
                <w:kern w:val="0"/>
                <w:sz w:val="24"/>
                <w:highlight w:val="none"/>
              </w:rPr>
            </w:pPr>
          </w:p>
        </w:tc>
        <w:tc>
          <w:tcPr>
            <w:tcW w:w="824" w:type="dxa"/>
            <w:vAlign w:val="center"/>
          </w:tcPr>
          <w:p w14:paraId="4B2696EE">
            <w:pPr>
              <w:autoSpaceDE w:val="0"/>
              <w:autoSpaceDN w:val="0"/>
              <w:adjustRightInd w:val="0"/>
              <w:snapToGrid w:val="0"/>
              <w:jc w:val="center"/>
              <w:rPr>
                <w:rFonts w:ascii="宋体" w:hAnsi="宋体"/>
                <w:kern w:val="0"/>
                <w:sz w:val="24"/>
                <w:highlight w:val="none"/>
              </w:rPr>
            </w:pPr>
          </w:p>
        </w:tc>
        <w:tc>
          <w:tcPr>
            <w:tcW w:w="1072" w:type="dxa"/>
            <w:vAlign w:val="center"/>
          </w:tcPr>
          <w:p w14:paraId="783DFE68">
            <w:pPr>
              <w:autoSpaceDE w:val="0"/>
              <w:autoSpaceDN w:val="0"/>
              <w:adjustRightInd w:val="0"/>
              <w:snapToGrid w:val="0"/>
              <w:jc w:val="center"/>
              <w:rPr>
                <w:rFonts w:ascii="宋体" w:hAnsi="宋体"/>
                <w:kern w:val="0"/>
                <w:sz w:val="24"/>
                <w:highlight w:val="none"/>
              </w:rPr>
            </w:pPr>
          </w:p>
        </w:tc>
        <w:tc>
          <w:tcPr>
            <w:tcW w:w="728" w:type="dxa"/>
            <w:vAlign w:val="center"/>
          </w:tcPr>
          <w:p w14:paraId="7A98C4B7">
            <w:pPr>
              <w:autoSpaceDE w:val="0"/>
              <w:autoSpaceDN w:val="0"/>
              <w:adjustRightInd w:val="0"/>
              <w:snapToGrid w:val="0"/>
              <w:jc w:val="center"/>
              <w:rPr>
                <w:rFonts w:ascii="宋体" w:hAnsi="宋体"/>
                <w:kern w:val="0"/>
                <w:sz w:val="24"/>
                <w:highlight w:val="none"/>
              </w:rPr>
            </w:pPr>
          </w:p>
        </w:tc>
        <w:tc>
          <w:tcPr>
            <w:tcW w:w="799" w:type="dxa"/>
            <w:vAlign w:val="center"/>
          </w:tcPr>
          <w:p w14:paraId="5360345C">
            <w:pPr>
              <w:autoSpaceDE w:val="0"/>
              <w:autoSpaceDN w:val="0"/>
              <w:adjustRightInd w:val="0"/>
              <w:snapToGrid w:val="0"/>
              <w:jc w:val="center"/>
              <w:rPr>
                <w:rFonts w:ascii="宋体" w:hAnsi="宋体"/>
                <w:kern w:val="0"/>
                <w:sz w:val="24"/>
                <w:highlight w:val="none"/>
              </w:rPr>
            </w:pPr>
          </w:p>
        </w:tc>
        <w:tc>
          <w:tcPr>
            <w:tcW w:w="1312" w:type="dxa"/>
            <w:vAlign w:val="center"/>
          </w:tcPr>
          <w:p w14:paraId="37DAA7F4">
            <w:pPr>
              <w:autoSpaceDE w:val="0"/>
              <w:autoSpaceDN w:val="0"/>
              <w:adjustRightInd w:val="0"/>
              <w:snapToGrid w:val="0"/>
              <w:jc w:val="center"/>
              <w:rPr>
                <w:rFonts w:ascii="宋体" w:hAnsi="宋体"/>
                <w:kern w:val="0"/>
                <w:sz w:val="24"/>
                <w:highlight w:val="none"/>
              </w:rPr>
            </w:pPr>
          </w:p>
        </w:tc>
        <w:tc>
          <w:tcPr>
            <w:tcW w:w="947" w:type="dxa"/>
            <w:vAlign w:val="center"/>
          </w:tcPr>
          <w:p w14:paraId="5EAA434C">
            <w:pPr>
              <w:autoSpaceDE w:val="0"/>
              <w:autoSpaceDN w:val="0"/>
              <w:adjustRightInd w:val="0"/>
              <w:snapToGrid w:val="0"/>
              <w:jc w:val="center"/>
              <w:rPr>
                <w:rFonts w:ascii="宋体" w:hAnsi="宋体"/>
                <w:kern w:val="0"/>
                <w:sz w:val="24"/>
                <w:highlight w:val="none"/>
              </w:rPr>
            </w:pPr>
          </w:p>
        </w:tc>
        <w:tc>
          <w:tcPr>
            <w:tcW w:w="1141" w:type="dxa"/>
            <w:vAlign w:val="center"/>
          </w:tcPr>
          <w:p w14:paraId="6425AF77">
            <w:pPr>
              <w:autoSpaceDE w:val="0"/>
              <w:autoSpaceDN w:val="0"/>
              <w:adjustRightInd w:val="0"/>
              <w:snapToGrid w:val="0"/>
              <w:jc w:val="center"/>
              <w:rPr>
                <w:rFonts w:ascii="宋体" w:hAnsi="宋体"/>
                <w:kern w:val="0"/>
                <w:sz w:val="24"/>
                <w:highlight w:val="none"/>
              </w:rPr>
            </w:pPr>
          </w:p>
        </w:tc>
        <w:tc>
          <w:tcPr>
            <w:tcW w:w="749" w:type="dxa"/>
            <w:vAlign w:val="center"/>
          </w:tcPr>
          <w:p w14:paraId="1DF25836">
            <w:pPr>
              <w:autoSpaceDE w:val="0"/>
              <w:autoSpaceDN w:val="0"/>
              <w:adjustRightInd w:val="0"/>
              <w:snapToGrid w:val="0"/>
              <w:jc w:val="center"/>
              <w:rPr>
                <w:rFonts w:ascii="宋体" w:hAnsi="宋体"/>
                <w:kern w:val="0"/>
                <w:sz w:val="24"/>
                <w:highlight w:val="none"/>
              </w:rPr>
            </w:pPr>
          </w:p>
        </w:tc>
      </w:tr>
      <w:tr w14:paraId="7261F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D7E4C6B">
            <w:pPr>
              <w:autoSpaceDE w:val="0"/>
              <w:autoSpaceDN w:val="0"/>
              <w:adjustRightInd w:val="0"/>
              <w:snapToGrid w:val="0"/>
              <w:jc w:val="center"/>
              <w:rPr>
                <w:rFonts w:ascii="宋体" w:hAnsi="宋体"/>
                <w:kern w:val="0"/>
                <w:sz w:val="24"/>
                <w:highlight w:val="none"/>
              </w:rPr>
            </w:pPr>
          </w:p>
        </w:tc>
        <w:tc>
          <w:tcPr>
            <w:tcW w:w="1176" w:type="dxa"/>
            <w:vAlign w:val="center"/>
          </w:tcPr>
          <w:p w14:paraId="36E8A203">
            <w:pPr>
              <w:autoSpaceDE w:val="0"/>
              <w:autoSpaceDN w:val="0"/>
              <w:adjustRightInd w:val="0"/>
              <w:snapToGrid w:val="0"/>
              <w:jc w:val="center"/>
              <w:rPr>
                <w:rFonts w:ascii="宋体" w:hAnsi="宋体"/>
                <w:kern w:val="0"/>
                <w:sz w:val="24"/>
                <w:highlight w:val="none"/>
              </w:rPr>
            </w:pPr>
          </w:p>
        </w:tc>
        <w:tc>
          <w:tcPr>
            <w:tcW w:w="824" w:type="dxa"/>
            <w:vAlign w:val="center"/>
          </w:tcPr>
          <w:p w14:paraId="4CEA0E8B">
            <w:pPr>
              <w:autoSpaceDE w:val="0"/>
              <w:autoSpaceDN w:val="0"/>
              <w:adjustRightInd w:val="0"/>
              <w:snapToGrid w:val="0"/>
              <w:jc w:val="center"/>
              <w:rPr>
                <w:rFonts w:ascii="宋体" w:hAnsi="宋体"/>
                <w:kern w:val="0"/>
                <w:sz w:val="24"/>
                <w:highlight w:val="none"/>
              </w:rPr>
            </w:pPr>
          </w:p>
        </w:tc>
        <w:tc>
          <w:tcPr>
            <w:tcW w:w="1072" w:type="dxa"/>
            <w:vAlign w:val="center"/>
          </w:tcPr>
          <w:p w14:paraId="6DA67B11">
            <w:pPr>
              <w:autoSpaceDE w:val="0"/>
              <w:autoSpaceDN w:val="0"/>
              <w:adjustRightInd w:val="0"/>
              <w:snapToGrid w:val="0"/>
              <w:jc w:val="center"/>
              <w:rPr>
                <w:rFonts w:ascii="宋体" w:hAnsi="宋体"/>
                <w:kern w:val="0"/>
                <w:sz w:val="24"/>
                <w:highlight w:val="none"/>
              </w:rPr>
            </w:pPr>
          </w:p>
        </w:tc>
        <w:tc>
          <w:tcPr>
            <w:tcW w:w="728" w:type="dxa"/>
            <w:vAlign w:val="center"/>
          </w:tcPr>
          <w:p w14:paraId="42EA72A1">
            <w:pPr>
              <w:autoSpaceDE w:val="0"/>
              <w:autoSpaceDN w:val="0"/>
              <w:adjustRightInd w:val="0"/>
              <w:snapToGrid w:val="0"/>
              <w:jc w:val="center"/>
              <w:rPr>
                <w:rFonts w:ascii="宋体" w:hAnsi="宋体"/>
                <w:kern w:val="0"/>
                <w:sz w:val="24"/>
                <w:highlight w:val="none"/>
              </w:rPr>
            </w:pPr>
          </w:p>
        </w:tc>
        <w:tc>
          <w:tcPr>
            <w:tcW w:w="799" w:type="dxa"/>
            <w:vAlign w:val="center"/>
          </w:tcPr>
          <w:p w14:paraId="6B36EBAD">
            <w:pPr>
              <w:autoSpaceDE w:val="0"/>
              <w:autoSpaceDN w:val="0"/>
              <w:adjustRightInd w:val="0"/>
              <w:snapToGrid w:val="0"/>
              <w:jc w:val="center"/>
              <w:rPr>
                <w:rFonts w:ascii="宋体" w:hAnsi="宋体"/>
                <w:kern w:val="0"/>
                <w:sz w:val="24"/>
                <w:highlight w:val="none"/>
              </w:rPr>
            </w:pPr>
          </w:p>
        </w:tc>
        <w:tc>
          <w:tcPr>
            <w:tcW w:w="1312" w:type="dxa"/>
            <w:vAlign w:val="center"/>
          </w:tcPr>
          <w:p w14:paraId="02FF66B9">
            <w:pPr>
              <w:autoSpaceDE w:val="0"/>
              <w:autoSpaceDN w:val="0"/>
              <w:adjustRightInd w:val="0"/>
              <w:snapToGrid w:val="0"/>
              <w:jc w:val="center"/>
              <w:rPr>
                <w:rFonts w:ascii="宋体" w:hAnsi="宋体"/>
                <w:kern w:val="0"/>
                <w:sz w:val="24"/>
                <w:highlight w:val="none"/>
              </w:rPr>
            </w:pPr>
          </w:p>
        </w:tc>
        <w:tc>
          <w:tcPr>
            <w:tcW w:w="947" w:type="dxa"/>
            <w:vAlign w:val="center"/>
          </w:tcPr>
          <w:p w14:paraId="4756BBA2">
            <w:pPr>
              <w:autoSpaceDE w:val="0"/>
              <w:autoSpaceDN w:val="0"/>
              <w:adjustRightInd w:val="0"/>
              <w:snapToGrid w:val="0"/>
              <w:jc w:val="center"/>
              <w:rPr>
                <w:rFonts w:ascii="宋体" w:hAnsi="宋体"/>
                <w:kern w:val="0"/>
                <w:sz w:val="24"/>
                <w:highlight w:val="none"/>
              </w:rPr>
            </w:pPr>
          </w:p>
        </w:tc>
        <w:tc>
          <w:tcPr>
            <w:tcW w:w="1141" w:type="dxa"/>
            <w:vAlign w:val="center"/>
          </w:tcPr>
          <w:p w14:paraId="7CB5D877">
            <w:pPr>
              <w:autoSpaceDE w:val="0"/>
              <w:autoSpaceDN w:val="0"/>
              <w:adjustRightInd w:val="0"/>
              <w:snapToGrid w:val="0"/>
              <w:jc w:val="center"/>
              <w:rPr>
                <w:rFonts w:ascii="宋体" w:hAnsi="宋体"/>
                <w:kern w:val="0"/>
                <w:sz w:val="24"/>
                <w:highlight w:val="none"/>
              </w:rPr>
            </w:pPr>
          </w:p>
        </w:tc>
        <w:tc>
          <w:tcPr>
            <w:tcW w:w="749" w:type="dxa"/>
            <w:vAlign w:val="center"/>
          </w:tcPr>
          <w:p w14:paraId="2D28DDEB">
            <w:pPr>
              <w:autoSpaceDE w:val="0"/>
              <w:autoSpaceDN w:val="0"/>
              <w:adjustRightInd w:val="0"/>
              <w:snapToGrid w:val="0"/>
              <w:jc w:val="center"/>
              <w:rPr>
                <w:rFonts w:ascii="宋体" w:hAnsi="宋体"/>
                <w:kern w:val="0"/>
                <w:sz w:val="24"/>
                <w:highlight w:val="none"/>
              </w:rPr>
            </w:pPr>
          </w:p>
        </w:tc>
      </w:tr>
      <w:tr w14:paraId="4AB161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D9CD9CB">
            <w:pPr>
              <w:autoSpaceDE w:val="0"/>
              <w:autoSpaceDN w:val="0"/>
              <w:adjustRightInd w:val="0"/>
              <w:snapToGrid w:val="0"/>
              <w:jc w:val="center"/>
              <w:rPr>
                <w:rFonts w:ascii="宋体" w:hAnsi="宋体"/>
                <w:kern w:val="0"/>
                <w:sz w:val="24"/>
                <w:highlight w:val="none"/>
              </w:rPr>
            </w:pPr>
          </w:p>
        </w:tc>
        <w:tc>
          <w:tcPr>
            <w:tcW w:w="1176" w:type="dxa"/>
            <w:vAlign w:val="center"/>
          </w:tcPr>
          <w:p w14:paraId="6736215E">
            <w:pPr>
              <w:autoSpaceDE w:val="0"/>
              <w:autoSpaceDN w:val="0"/>
              <w:adjustRightInd w:val="0"/>
              <w:snapToGrid w:val="0"/>
              <w:jc w:val="center"/>
              <w:rPr>
                <w:rFonts w:ascii="宋体" w:hAnsi="宋体"/>
                <w:kern w:val="0"/>
                <w:sz w:val="24"/>
                <w:highlight w:val="none"/>
              </w:rPr>
            </w:pPr>
          </w:p>
        </w:tc>
        <w:tc>
          <w:tcPr>
            <w:tcW w:w="824" w:type="dxa"/>
            <w:vAlign w:val="center"/>
          </w:tcPr>
          <w:p w14:paraId="0352F0A9">
            <w:pPr>
              <w:autoSpaceDE w:val="0"/>
              <w:autoSpaceDN w:val="0"/>
              <w:adjustRightInd w:val="0"/>
              <w:snapToGrid w:val="0"/>
              <w:jc w:val="center"/>
              <w:rPr>
                <w:rFonts w:ascii="宋体" w:hAnsi="宋体"/>
                <w:kern w:val="0"/>
                <w:sz w:val="24"/>
                <w:highlight w:val="none"/>
              </w:rPr>
            </w:pPr>
          </w:p>
        </w:tc>
        <w:tc>
          <w:tcPr>
            <w:tcW w:w="1072" w:type="dxa"/>
            <w:vAlign w:val="center"/>
          </w:tcPr>
          <w:p w14:paraId="1346BA40">
            <w:pPr>
              <w:autoSpaceDE w:val="0"/>
              <w:autoSpaceDN w:val="0"/>
              <w:adjustRightInd w:val="0"/>
              <w:snapToGrid w:val="0"/>
              <w:jc w:val="center"/>
              <w:rPr>
                <w:rFonts w:ascii="宋体" w:hAnsi="宋体"/>
                <w:kern w:val="0"/>
                <w:sz w:val="24"/>
                <w:highlight w:val="none"/>
              </w:rPr>
            </w:pPr>
          </w:p>
        </w:tc>
        <w:tc>
          <w:tcPr>
            <w:tcW w:w="728" w:type="dxa"/>
            <w:vAlign w:val="center"/>
          </w:tcPr>
          <w:p w14:paraId="17EBEF40">
            <w:pPr>
              <w:autoSpaceDE w:val="0"/>
              <w:autoSpaceDN w:val="0"/>
              <w:adjustRightInd w:val="0"/>
              <w:snapToGrid w:val="0"/>
              <w:jc w:val="center"/>
              <w:rPr>
                <w:rFonts w:ascii="宋体" w:hAnsi="宋体"/>
                <w:kern w:val="0"/>
                <w:sz w:val="24"/>
                <w:highlight w:val="none"/>
              </w:rPr>
            </w:pPr>
          </w:p>
        </w:tc>
        <w:tc>
          <w:tcPr>
            <w:tcW w:w="799" w:type="dxa"/>
            <w:vAlign w:val="center"/>
          </w:tcPr>
          <w:p w14:paraId="10A5697C">
            <w:pPr>
              <w:autoSpaceDE w:val="0"/>
              <w:autoSpaceDN w:val="0"/>
              <w:adjustRightInd w:val="0"/>
              <w:snapToGrid w:val="0"/>
              <w:jc w:val="center"/>
              <w:rPr>
                <w:rFonts w:ascii="宋体" w:hAnsi="宋体"/>
                <w:kern w:val="0"/>
                <w:sz w:val="24"/>
                <w:highlight w:val="none"/>
              </w:rPr>
            </w:pPr>
          </w:p>
        </w:tc>
        <w:tc>
          <w:tcPr>
            <w:tcW w:w="1312" w:type="dxa"/>
            <w:vAlign w:val="center"/>
          </w:tcPr>
          <w:p w14:paraId="28C5ABB9">
            <w:pPr>
              <w:autoSpaceDE w:val="0"/>
              <w:autoSpaceDN w:val="0"/>
              <w:adjustRightInd w:val="0"/>
              <w:snapToGrid w:val="0"/>
              <w:jc w:val="center"/>
              <w:rPr>
                <w:rFonts w:ascii="宋体" w:hAnsi="宋体"/>
                <w:kern w:val="0"/>
                <w:sz w:val="24"/>
                <w:highlight w:val="none"/>
              </w:rPr>
            </w:pPr>
          </w:p>
        </w:tc>
        <w:tc>
          <w:tcPr>
            <w:tcW w:w="947" w:type="dxa"/>
            <w:vAlign w:val="center"/>
          </w:tcPr>
          <w:p w14:paraId="5987DEA8">
            <w:pPr>
              <w:autoSpaceDE w:val="0"/>
              <w:autoSpaceDN w:val="0"/>
              <w:adjustRightInd w:val="0"/>
              <w:snapToGrid w:val="0"/>
              <w:jc w:val="center"/>
              <w:rPr>
                <w:rFonts w:ascii="宋体" w:hAnsi="宋体"/>
                <w:kern w:val="0"/>
                <w:sz w:val="24"/>
                <w:highlight w:val="none"/>
              </w:rPr>
            </w:pPr>
          </w:p>
        </w:tc>
        <w:tc>
          <w:tcPr>
            <w:tcW w:w="1141" w:type="dxa"/>
            <w:vAlign w:val="center"/>
          </w:tcPr>
          <w:p w14:paraId="067953C6">
            <w:pPr>
              <w:autoSpaceDE w:val="0"/>
              <w:autoSpaceDN w:val="0"/>
              <w:adjustRightInd w:val="0"/>
              <w:snapToGrid w:val="0"/>
              <w:jc w:val="center"/>
              <w:rPr>
                <w:rFonts w:ascii="宋体" w:hAnsi="宋体"/>
                <w:kern w:val="0"/>
                <w:sz w:val="24"/>
                <w:highlight w:val="none"/>
              </w:rPr>
            </w:pPr>
          </w:p>
        </w:tc>
        <w:tc>
          <w:tcPr>
            <w:tcW w:w="749" w:type="dxa"/>
            <w:vAlign w:val="center"/>
          </w:tcPr>
          <w:p w14:paraId="37453EBF">
            <w:pPr>
              <w:autoSpaceDE w:val="0"/>
              <w:autoSpaceDN w:val="0"/>
              <w:adjustRightInd w:val="0"/>
              <w:snapToGrid w:val="0"/>
              <w:jc w:val="center"/>
              <w:rPr>
                <w:rFonts w:ascii="宋体" w:hAnsi="宋体"/>
                <w:kern w:val="0"/>
                <w:sz w:val="24"/>
                <w:highlight w:val="none"/>
              </w:rPr>
            </w:pPr>
          </w:p>
        </w:tc>
      </w:tr>
      <w:tr w14:paraId="4F8B9F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656E736">
            <w:pPr>
              <w:autoSpaceDE w:val="0"/>
              <w:autoSpaceDN w:val="0"/>
              <w:adjustRightInd w:val="0"/>
              <w:snapToGrid w:val="0"/>
              <w:jc w:val="center"/>
              <w:rPr>
                <w:rFonts w:ascii="宋体" w:hAnsi="宋体"/>
                <w:kern w:val="0"/>
                <w:sz w:val="24"/>
                <w:highlight w:val="none"/>
              </w:rPr>
            </w:pPr>
          </w:p>
        </w:tc>
        <w:tc>
          <w:tcPr>
            <w:tcW w:w="1176" w:type="dxa"/>
            <w:vAlign w:val="center"/>
          </w:tcPr>
          <w:p w14:paraId="0187232C">
            <w:pPr>
              <w:autoSpaceDE w:val="0"/>
              <w:autoSpaceDN w:val="0"/>
              <w:adjustRightInd w:val="0"/>
              <w:snapToGrid w:val="0"/>
              <w:jc w:val="center"/>
              <w:rPr>
                <w:rFonts w:ascii="宋体" w:hAnsi="宋体"/>
                <w:kern w:val="0"/>
                <w:sz w:val="24"/>
                <w:highlight w:val="none"/>
              </w:rPr>
            </w:pPr>
          </w:p>
        </w:tc>
        <w:tc>
          <w:tcPr>
            <w:tcW w:w="824" w:type="dxa"/>
            <w:vAlign w:val="center"/>
          </w:tcPr>
          <w:p w14:paraId="5CBE7F9F">
            <w:pPr>
              <w:autoSpaceDE w:val="0"/>
              <w:autoSpaceDN w:val="0"/>
              <w:adjustRightInd w:val="0"/>
              <w:snapToGrid w:val="0"/>
              <w:jc w:val="center"/>
              <w:rPr>
                <w:rFonts w:ascii="宋体" w:hAnsi="宋体"/>
                <w:kern w:val="0"/>
                <w:sz w:val="24"/>
                <w:highlight w:val="none"/>
              </w:rPr>
            </w:pPr>
          </w:p>
        </w:tc>
        <w:tc>
          <w:tcPr>
            <w:tcW w:w="1072" w:type="dxa"/>
            <w:vAlign w:val="center"/>
          </w:tcPr>
          <w:p w14:paraId="2EC4FD93">
            <w:pPr>
              <w:autoSpaceDE w:val="0"/>
              <w:autoSpaceDN w:val="0"/>
              <w:adjustRightInd w:val="0"/>
              <w:snapToGrid w:val="0"/>
              <w:jc w:val="center"/>
              <w:rPr>
                <w:rFonts w:ascii="宋体" w:hAnsi="宋体"/>
                <w:kern w:val="0"/>
                <w:sz w:val="24"/>
                <w:highlight w:val="none"/>
              </w:rPr>
            </w:pPr>
          </w:p>
        </w:tc>
        <w:tc>
          <w:tcPr>
            <w:tcW w:w="728" w:type="dxa"/>
            <w:vAlign w:val="center"/>
          </w:tcPr>
          <w:p w14:paraId="127824DF">
            <w:pPr>
              <w:autoSpaceDE w:val="0"/>
              <w:autoSpaceDN w:val="0"/>
              <w:adjustRightInd w:val="0"/>
              <w:snapToGrid w:val="0"/>
              <w:jc w:val="center"/>
              <w:rPr>
                <w:rFonts w:ascii="宋体" w:hAnsi="宋体"/>
                <w:kern w:val="0"/>
                <w:sz w:val="24"/>
                <w:highlight w:val="none"/>
              </w:rPr>
            </w:pPr>
          </w:p>
        </w:tc>
        <w:tc>
          <w:tcPr>
            <w:tcW w:w="799" w:type="dxa"/>
            <w:vAlign w:val="center"/>
          </w:tcPr>
          <w:p w14:paraId="7D3BD77C">
            <w:pPr>
              <w:autoSpaceDE w:val="0"/>
              <w:autoSpaceDN w:val="0"/>
              <w:adjustRightInd w:val="0"/>
              <w:snapToGrid w:val="0"/>
              <w:jc w:val="center"/>
              <w:rPr>
                <w:rFonts w:ascii="宋体" w:hAnsi="宋体"/>
                <w:kern w:val="0"/>
                <w:sz w:val="24"/>
                <w:highlight w:val="none"/>
              </w:rPr>
            </w:pPr>
          </w:p>
        </w:tc>
        <w:tc>
          <w:tcPr>
            <w:tcW w:w="1312" w:type="dxa"/>
            <w:vAlign w:val="center"/>
          </w:tcPr>
          <w:p w14:paraId="6F4780F5">
            <w:pPr>
              <w:autoSpaceDE w:val="0"/>
              <w:autoSpaceDN w:val="0"/>
              <w:adjustRightInd w:val="0"/>
              <w:snapToGrid w:val="0"/>
              <w:jc w:val="center"/>
              <w:rPr>
                <w:rFonts w:ascii="宋体" w:hAnsi="宋体"/>
                <w:kern w:val="0"/>
                <w:sz w:val="24"/>
                <w:highlight w:val="none"/>
              </w:rPr>
            </w:pPr>
          </w:p>
        </w:tc>
        <w:tc>
          <w:tcPr>
            <w:tcW w:w="947" w:type="dxa"/>
            <w:vAlign w:val="center"/>
          </w:tcPr>
          <w:p w14:paraId="0BA27E8B">
            <w:pPr>
              <w:autoSpaceDE w:val="0"/>
              <w:autoSpaceDN w:val="0"/>
              <w:adjustRightInd w:val="0"/>
              <w:snapToGrid w:val="0"/>
              <w:jc w:val="center"/>
              <w:rPr>
                <w:rFonts w:ascii="宋体" w:hAnsi="宋体"/>
                <w:kern w:val="0"/>
                <w:sz w:val="24"/>
                <w:highlight w:val="none"/>
              </w:rPr>
            </w:pPr>
          </w:p>
        </w:tc>
        <w:tc>
          <w:tcPr>
            <w:tcW w:w="1141" w:type="dxa"/>
            <w:vAlign w:val="center"/>
          </w:tcPr>
          <w:p w14:paraId="39ED868D">
            <w:pPr>
              <w:autoSpaceDE w:val="0"/>
              <w:autoSpaceDN w:val="0"/>
              <w:adjustRightInd w:val="0"/>
              <w:snapToGrid w:val="0"/>
              <w:jc w:val="center"/>
              <w:rPr>
                <w:rFonts w:ascii="宋体" w:hAnsi="宋体"/>
                <w:kern w:val="0"/>
                <w:sz w:val="24"/>
                <w:highlight w:val="none"/>
              </w:rPr>
            </w:pPr>
          </w:p>
        </w:tc>
        <w:tc>
          <w:tcPr>
            <w:tcW w:w="749" w:type="dxa"/>
            <w:vAlign w:val="center"/>
          </w:tcPr>
          <w:p w14:paraId="5D833D91">
            <w:pPr>
              <w:autoSpaceDE w:val="0"/>
              <w:autoSpaceDN w:val="0"/>
              <w:adjustRightInd w:val="0"/>
              <w:snapToGrid w:val="0"/>
              <w:jc w:val="center"/>
              <w:rPr>
                <w:rFonts w:ascii="宋体" w:hAnsi="宋体"/>
                <w:kern w:val="0"/>
                <w:sz w:val="24"/>
                <w:highlight w:val="none"/>
              </w:rPr>
            </w:pPr>
          </w:p>
        </w:tc>
      </w:tr>
      <w:tr w14:paraId="3287C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A878283">
            <w:pPr>
              <w:autoSpaceDE w:val="0"/>
              <w:autoSpaceDN w:val="0"/>
              <w:adjustRightInd w:val="0"/>
              <w:snapToGrid w:val="0"/>
              <w:jc w:val="center"/>
              <w:rPr>
                <w:rFonts w:ascii="宋体" w:hAnsi="宋体"/>
                <w:kern w:val="0"/>
                <w:sz w:val="24"/>
                <w:highlight w:val="none"/>
              </w:rPr>
            </w:pPr>
          </w:p>
        </w:tc>
        <w:tc>
          <w:tcPr>
            <w:tcW w:w="1176" w:type="dxa"/>
            <w:vAlign w:val="center"/>
          </w:tcPr>
          <w:p w14:paraId="46EDB7A3">
            <w:pPr>
              <w:autoSpaceDE w:val="0"/>
              <w:autoSpaceDN w:val="0"/>
              <w:adjustRightInd w:val="0"/>
              <w:snapToGrid w:val="0"/>
              <w:jc w:val="center"/>
              <w:rPr>
                <w:rFonts w:ascii="宋体" w:hAnsi="宋体"/>
                <w:kern w:val="0"/>
                <w:sz w:val="24"/>
                <w:highlight w:val="none"/>
              </w:rPr>
            </w:pPr>
          </w:p>
        </w:tc>
        <w:tc>
          <w:tcPr>
            <w:tcW w:w="824" w:type="dxa"/>
            <w:vAlign w:val="center"/>
          </w:tcPr>
          <w:p w14:paraId="387F5FC7">
            <w:pPr>
              <w:autoSpaceDE w:val="0"/>
              <w:autoSpaceDN w:val="0"/>
              <w:adjustRightInd w:val="0"/>
              <w:snapToGrid w:val="0"/>
              <w:jc w:val="center"/>
              <w:rPr>
                <w:rFonts w:ascii="宋体" w:hAnsi="宋体"/>
                <w:kern w:val="0"/>
                <w:sz w:val="24"/>
                <w:highlight w:val="none"/>
              </w:rPr>
            </w:pPr>
          </w:p>
        </w:tc>
        <w:tc>
          <w:tcPr>
            <w:tcW w:w="1072" w:type="dxa"/>
            <w:vAlign w:val="center"/>
          </w:tcPr>
          <w:p w14:paraId="6CBF7048">
            <w:pPr>
              <w:autoSpaceDE w:val="0"/>
              <w:autoSpaceDN w:val="0"/>
              <w:adjustRightInd w:val="0"/>
              <w:snapToGrid w:val="0"/>
              <w:jc w:val="center"/>
              <w:rPr>
                <w:rFonts w:ascii="宋体" w:hAnsi="宋体"/>
                <w:kern w:val="0"/>
                <w:sz w:val="24"/>
                <w:highlight w:val="none"/>
              </w:rPr>
            </w:pPr>
          </w:p>
        </w:tc>
        <w:tc>
          <w:tcPr>
            <w:tcW w:w="728" w:type="dxa"/>
            <w:vAlign w:val="center"/>
          </w:tcPr>
          <w:p w14:paraId="6CE66781">
            <w:pPr>
              <w:autoSpaceDE w:val="0"/>
              <w:autoSpaceDN w:val="0"/>
              <w:adjustRightInd w:val="0"/>
              <w:snapToGrid w:val="0"/>
              <w:jc w:val="center"/>
              <w:rPr>
                <w:rFonts w:ascii="宋体" w:hAnsi="宋体"/>
                <w:kern w:val="0"/>
                <w:sz w:val="24"/>
                <w:highlight w:val="none"/>
              </w:rPr>
            </w:pPr>
          </w:p>
        </w:tc>
        <w:tc>
          <w:tcPr>
            <w:tcW w:w="799" w:type="dxa"/>
            <w:vAlign w:val="center"/>
          </w:tcPr>
          <w:p w14:paraId="1035FE93">
            <w:pPr>
              <w:autoSpaceDE w:val="0"/>
              <w:autoSpaceDN w:val="0"/>
              <w:adjustRightInd w:val="0"/>
              <w:snapToGrid w:val="0"/>
              <w:jc w:val="center"/>
              <w:rPr>
                <w:rFonts w:ascii="宋体" w:hAnsi="宋体"/>
                <w:kern w:val="0"/>
                <w:sz w:val="24"/>
                <w:highlight w:val="none"/>
              </w:rPr>
            </w:pPr>
          </w:p>
        </w:tc>
        <w:tc>
          <w:tcPr>
            <w:tcW w:w="1312" w:type="dxa"/>
            <w:vAlign w:val="center"/>
          </w:tcPr>
          <w:p w14:paraId="5F29A485">
            <w:pPr>
              <w:autoSpaceDE w:val="0"/>
              <w:autoSpaceDN w:val="0"/>
              <w:adjustRightInd w:val="0"/>
              <w:snapToGrid w:val="0"/>
              <w:jc w:val="center"/>
              <w:rPr>
                <w:rFonts w:ascii="宋体" w:hAnsi="宋体"/>
                <w:kern w:val="0"/>
                <w:sz w:val="24"/>
                <w:highlight w:val="none"/>
              </w:rPr>
            </w:pPr>
          </w:p>
        </w:tc>
        <w:tc>
          <w:tcPr>
            <w:tcW w:w="947" w:type="dxa"/>
            <w:vAlign w:val="center"/>
          </w:tcPr>
          <w:p w14:paraId="7E7AAFA4">
            <w:pPr>
              <w:autoSpaceDE w:val="0"/>
              <w:autoSpaceDN w:val="0"/>
              <w:adjustRightInd w:val="0"/>
              <w:snapToGrid w:val="0"/>
              <w:jc w:val="center"/>
              <w:rPr>
                <w:rFonts w:ascii="宋体" w:hAnsi="宋体"/>
                <w:kern w:val="0"/>
                <w:sz w:val="24"/>
                <w:highlight w:val="none"/>
              </w:rPr>
            </w:pPr>
          </w:p>
        </w:tc>
        <w:tc>
          <w:tcPr>
            <w:tcW w:w="1141" w:type="dxa"/>
            <w:vAlign w:val="center"/>
          </w:tcPr>
          <w:p w14:paraId="3DBE9B2B">
            <w:pPr>
              <w:autoSpaceDE w:val="0"/>
              <w:autoSpaceDN w:val="0"/>
              <w:adjustRightInd w:val="0"/>
              <w:snapToGrid w:val="0"/>
              <w:jc w:val="center"/>
              <w:rPr>
                <w:rFonts w:ascii="宋体" w:hAnsi="宋体"/>
                <w:kern w:val="0"/>
                <w:sz w:val="24"/>
                <w:highlight w:val="none"/>
              </w:rPr>
            </w:pPr>
          </w:p>
        </w:tc>
        <w:tc>
          <w:tcPr>
            <w:tcW w:w="749" w:type="dxa"/>
            <w:vAlign w:val="center"/>
          </w:tcPr>
          <w:p w14:paraId="1E9E4B01">
            <w:pPr>
              <w:autoSpaceDE w:val="0"/>
              <w:autoSpaceDN w:val="0"/>
              <w:adjustRightInd w:val="0"/>
              <w:snapToGrid w:val="0"/>
              <w:jc w:val="center"/>
              <w:rPr>
                <w:rFonts w:ascii="宋体" w:hAnsi="宋体"/>
                <w:kern w:val="0"/>
                <w:sz w:val="24"/>
                <w:highlight w:val="none"/>
              </w:rPr>
            </w:pPr>
          </w:p>
        </w:tc>
      </w:tr>
      <w:tr w14:paraId="33D7D5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88832C3">
            <w:pPr>
              <w:autoSpaceDE w:val="0"/>
              <w:autoSpaceDN w:val="0"/>
              <w:adjustRightInd w:val="0"/>
              <w:snapToGrid w:val="0"/>
              <w:jc w:val="center"/>
              <w:rPr>
                <w:rFonts w:ascii="宋体" w:hAnsi="宋体"/>
                <w:kern w:val="0"/>
                <w:sz w:val="24"/>
                <w:highlight w:val="none"/>
              </w:rPr>
            </w:pPr>
          </w:p>
        </w:tc>
        <w:tc>
          <w:tcPr>
            <w:tcW w:w="1176" w:type="dxa"/>
            <w:vAlign w:val="center"/>
          </w:tcPr>
          <w:p w14:paraId="1A0E370F">
            <w:pPr>
              <w:autoSpaceDE w:val="0"/>
              <w:autoSpaceDN w:val="0"/>
              <w:adjustRightInd w:val="0"/>
              <w:snapToGrid w:val="0"/>
              <w:jc w:val="center"/>
              <w:rPr>
                <w:rFonts w:ascii="宋体" w:hAnsi="宋体"/>
                <w:kern w:val="0"/>
                <w:sz w:val="24"/>
                <w:highlight w:val="none"/>
              </w:rPr>
            </w:pPr>
          </w:p>
        </w:tc>
        <w:tc>
          <w:tcPr>
            <w:tcW w:w="824" w:type="dxa"/>
            <w:vAlign w:val="center"/>
          </w:tcPr>
          <w:p w14:paraId="4D5108C2">
            <w:pPr>
              <w:autoSpaceDE w:val="0"/>
              <w:autoSpaceDN w:val="0"/>
              <w:adjustRightInd w:val="0"/>
              <w:snapToGrid w:val="0"/>
              <w:jc w:val="center"/>
              <w:rPr>
                <w:rFonts w:ascii="宋体" w:hAnsi="宋体"/>
                <w:kern w:val="0"/>
                <w:sz w:val="24"/>
                <w:highlight w:val="none"/>
              </w:rPr>
            </w:pPr>
          </w:p>
        </w:tc>
        <w:tc>
          <w:tcPr>
            <w:tcW w:w="1072" w:type="dxa"/>
            <w:vAlign w:val="center"/>
          </w:tcPr>
          <w:p w14:paraId="5F459109">
            <w:pPr>
              <w:autoSpaceDE w:val="0"/>
              <w:autoSpaceDN w:val="0"/>
              <w:adjustRightInd w:val="0"/>
              <w:snapToGrid w:val="0"/>
              <w:jc w:val="center"/>
              <w:rPr>
                <w:rFonts w:ascii="宋体" w:hAnsi="宋体"/>
                <w:kern w:val="0"/>
                <w:sz w:val="24"/>
                <w:highlight w:val="none"/>
              </w:rPr>
            </w:pPr>
          </w:p>
        </w:tc>
        <w:tc>
          <w:tcPr>
            <w:tcW w:w="728" w:type="dxa"/>
            <w:vAlign w:val="center"/>
          </w:tcPr>
          <w:p w14:paraId="43504A1F">
            <w:pPr>
              <w:autoSpaceDE w:val="0"/>
              <w:autoSpaceDN w:val="0"/>
              <w:adjustRightInd w:val="0"/>
              <w:snapToGrid w:val="0"/>
              <w:jc w:val="center"/>
              <w:rPr>
                <w:rFonts w:ascii="宋体" w:hAnsi="宋体"/>
                <w:kern w:val="0"/>
                <w:sz w:val="24"/>
                <w:highlight w:val="none"/>
              </w:rPr>
            </w:pPr>
          </w:p>
        </w:tc>
        <w:tc>
          <w:tcPr>
            <w:tcW w:w="799" w:type="dxa"/>
            <w:vAlign w:val="center"/>
          </w:tcPr>
          <w:p w14:paraId="19DB6B9F">
            <w:pPr>
              <w:autoSpaceDE w:val="0"/>
              <w:autoSpaceDN w:val="0"/>
              <w:adjustRightInd w:val="0"/>
              <w:snapToGrid w:val="0"/>
              <w:jc w:val="center"/>
              <w:rPr>
                <w:rFonts w:ascii="宋体" w:hAnsi="宋体"/>
                <w:kern w:val="0"/>
                <w:sz w:val="24"/>
                <w:highlight w:val="none"/>
              </w:rPr>
            </w:pPr>
          </w:p>
        </w:tc>
        <w:tc>
          <w:tcPr>
            <w:tcW w:w="1312" w:type="dxa"/>
            <w:vAlign w:val="center"/>
          </w:tcPr>
          <w:p w14:paraId="2B14A6F2">
            <w:pPr>
              <w:autoSpaceDE w:val="0"/>
              <w:autoSpaceDN w:val="0"/>
              <w:adjustRightInd w:val="0"/>
              <w:snapToGrid w:val="0"/>
              <w:jc w:val="center"/>
              <w:rPr>
                <w:rFonts w:ascii="宋体" w:hAnsi="宋体"/>
                <w:kern w:val="0"/>
                <w:sz w:val="24"/>
                <w:highlight w:val="none"/>
              </w:rPr>
            </w:pPr>
          </w:p>
        </w:tc>
        <w:tc>
          <w:tcPr>
            <w:tcW w:w="947" w:type="dxa"/>
            <w:vAlign w:val="center"/>
          </w:tcPr>
          <w:p w14:paraId="4A05B918">
            <w:pPr>
              <w:autoSpaceDE w:val="0"/>
              <w:autoSpaceDN w:val="0"/>
              <w:adjustRightInd w:val="0"/>
              <w:snapToGrid w:val="0"/>
              <w:jc w:val="center"/>
              <w:rPr>
                <w:rFonts w:ascii="宋体" w:hAnsi="宋体"/>
                <w:kern w:val="0"/>
                <w:sz w:val="24"/>
                <w:highlight w:val="none"/>
              </w:rPr>
            </w:pPr>
          </w:p>
        </w:tc>
        <w:tc>
          <w:tcPr>
            <w:tcW w:w="1141" w:type="dxa"/>
            <w:vAlign w:val="center"/>
          </w:tcPr>
          <w:p w14:paraId="6E9A5625">
            <w:pPr>
              <w:autoSpaceDE w:val="0"/>
              <w:autoSpaceDN w:val="0"/>
              <w:adjustRightInd w:val="0"/>
              <w:snapToGrid w:val="0"/>
              <w:jc w:val="center"/>
              <w:rPr>
                <w:rFonts w:ascii="宋体" w:hAnsi="宋体"/>
                <w:kern w:val="0"/>
                <w:sz w:val="24"/>
                <w:highlight w:val="none"/>
              </w:rPr>
            </w:pPr>
          </w:p>
        </w:tc>
        <w:tc>
          <w:tcPr>
            <w:tcW w:w="749" w:type="dxa"/>
            <w:vAlign w:val="center"/>
          </w:tcPr>
          <w:p w14:paraId="0ADFB54C">
            <w:pPr>
              <w:autoSpaceDE w:val="0"/>
              <w:autoSpaceDN w:val="0"/>
              <w:adjustRightInd w:val="0"/>
              <w:snapToGrid w:val="0"/>
              <w:jc w:val="center"/>
              <w:rPr>
                <w:rFonts w:ascii="宋体" w:hAnsi="宋体"/>
                <w:kern w:val="0"/>
                <w:sz w:val="24"/>
                <w:highlight w:val="none"/>
              </w:rPr>
            </w:pPr>
          </w:p>
        </w:tc>
      </w:tr>
    </w:tbl>
    <w:p w14:paraId="73030B79">
      <w:pPr>
        <w:autoSpaceDE w:val="0"/>
        <w:autoSpaceDN w:val="0"/>
        <w:adjustRightInd w:val="0"/>
        <w:snapToGrid w:val="0"/>
        <w:spacing w:line="20" w:lineRule="exact"/>
        <w:jc w:val="left"/>
        <w:rPr>
          <w:rFonts w:ascii="宋体" w:hAnsi="宋体"/>
          <w:kern w:val="0"/>
          <w:highlight w:val="none"/>
        </w:rPr>
      </w:pPr>
    </w:p>
    <w:p w14:paraId="7D053437">
      <w:pPr>
        <w:jc w:val="center"/>
        <w:rPr>
          <w:rFonts w:hint="eastAsia" w:asciiTheme="minorEastAsia" w:hAnsiTheme="minorEastAsia" w:eastAsiaTheme="minorEastAsia" w:cstheme="minorEastAsia"/>
          <w:kern w:val="0"/>
          <w:sz w:val="24"/>
          <w:szCs w:val="24"/>
          <w:highlight w:val="none"/>
        </w:rPr>
      </w:pPr>
      <w:r>
        <w:rPr>
          <w:rFonts w:ascii="宋体" w:hAnsi="宋体"/>
          <w:sz w:val="28"/>
          <w:highlight w:val="none"/>
        </w:rPr>
        <w:br w:type="page"/>
      </w:r>
      <w:r>
        <w:rPr>
          <w:rFonts w:hint="eastAsia" w:asciiTheme="minorEastAsia" w:hAnsiTheme="minorEastAsia" w:eastAsiaTheme="minorEastAsia" w:cstheme="minorEastAsia"/>
          <w:sz w:val="24"/>
          <w:szCs w:val="24"/>
          <w:highlight w:val="none"/>
        </w:rPr>
        <w:t>附表二：拟配备本标段的试验和检测仪器设备表</w:t>
      </w:r>
    </w:p>
    <w:tbl>
      <w:tblPr>
        <w:tblStyle w:val="22"/>
        <w:tblW w:w="9494" w:type="dxa"/>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24C691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34FD8711">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序号</w:t>
            </w:r>
          </w:p>
        </w:tc>
        <w:tc>
          <w:tcPr>
            <w:tcW w:w="1219" w:type="dxa"/>
            <w:vAlign w:val="center"/>
          </w:tcPr>
          <w:p w14:paraId="68DC1684">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仪器设备</w:t>
            </w:r>
          </w:p>
          <w:p w14:paraId="5426C7CB">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w:t>
            </w:r>
          </w:p>
        </w:tc>
        <w:tc>
          <w:tcPr>
            <w:tcW w:w="852" w:type="dxa"/>
            <w:vAlign w:val="center"/>
          </w:tcPr>
          <w:p w14:paraId="3C886E13">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型号</w:t>
            </w:r>
          </w:p>
          <w:p w14:paraId="22E92BDC">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规格</w:t>
            </w:r>
          </w:p>
        </w:tc>
        <w:tc>
          <w:tcPr>
            <w:tcW w:w="1111" w:type="dxa"/>
            <w:vAlign w:val="center"/>
          </w:tcPr>
          <w:p w14:paraId="169A78D8">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数量</w:t>
            </w:r>
          </w:p>
        </w:tc>
        <w:tc>
          <w:tcPr>
            <w:tcW w:w="754" w:type="dxa"/>
            <w:vAlign w:val="center"/>
          </w:tcPr>
          <w:p w14:paraId="3180D894">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国别</w:t>
            </w:r>
          </w:p>
          <w:p w14:paraId="6CEC0141">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产地</w:t>
            </w:r>
          </w:p>
        </w:tc>
        <w:tc>
          <w:tcPr>
            <w:tcW w:w="827" w:type="dxa"/>
            <w:vAlign w:val="center"/>
          </w:tcPr>
          <w:p w14:paraId="34365FD4">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制造</w:t>
            </w:r>
          </w:p>
          <w:p w14:paraId="1F6164E5">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年份</w:t>
            </w:r>
          </w:p>
        </w:tc>
        <w:tc>
          <w:tcPr>
            <w:tcW w:w="1359" w:type="dxa"/>
            <w:vAlign w:val="center"/>
          </w:tcPr>
          <w:p w14:paraId="1F9A4F6B">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已使用</w:t>
            </w:r>
          </w:p>
          <w:p w14:paraId="35E7F328">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台时数</w:t>
            </w:r>
          </w:p>
        </w:tc>
        <w:tc>
          <w:tcPr>
            <w:tcW w:w="1855" w:type="dxa"/>
            <w:vAlign w:val="center"/>
          </w:tcPr>
          <w:p w14:paraId="66268EFE">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用途</w:t>
            </w:r>
          </w:p>
        </w:tc>
        <w:tc>
          <w:tcPr>
            <w:tcW w:w="770" w:type="dxa"/>
            <w:vAlign w:val="center"/>
          </w:tcPr>
          <w:p w14:paraId="01B0CBB9">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备注</w:t>
            </w:r>
          </w:p>
        </w:tc>
      </w:tr>
      <w:tr w14:paraId="6B313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FC41F57">
            <w:pPr>
              <w:autoSpaceDE w:val="0"/>
              <w:autoSpaceDN w:val="0"/>
              <w:adjustRightInd w:val="0"/>
              <w:snapToGrid w:val="0"/>
              <w:jc w:val="left"/>
              <w:rPr>
                <w:rFonts w:ascii="宋体" w:hAnsi="宋体"/>
                <w:kern w:val="0"/>
                <w:sz w:val="24"/>
                <w:highlight w:val="none"/>
              </w:rPr>
            </w:pPr>
          </w:p>
        </w:tc>
        <w:tc>
          <w:tcPr>
            <w:tcW w:w="1219" w:type="dxa"/>
          </w:tcPr>
          <w:p w14:paraId="7C557D3C">
            <w:pPr>
              <w:autoSpaceDE w:val="0"/>
              <w:autoSpaceDN w:val="0"/>
              <w:adjustRightInd w:val="0"/>
              <w:snapToGrid w:val="0"/>
              <w:jc w:val="left"/>
              <w:rPr>
                <w:rFonts w:ascii="宋体" w:hAnsi="宋体"/>
                <w:kern w:val="0"/>
                <w:sz w:val="24"/>
                <w:highlight w:val="none"/>
              </w:rPr>
            </w:pPr>
          </w:p>
        </w:tc>
        <w:tc>
          <w:tcPr>
            <w:tcW w:w="852" w:type="dxa"/>
          </w:tcPr>
          <w:p w14:paraId="72DF921D">
            <w:pPr>
              <w:autoSpaceDE w:val="0"/>
              <w:autoSpaceDN w:val="0"/>
              <w:adjustRightInd w:val="0"/>
              <w:snapToGrid w:val="0"/>
              <w:jc w:val="left"/>
              <w:rPr>
                <w:rFonts w:ascii="宋体" w:hAnsi="宋体"/>
                <w:kern w:val="0"/>
                <w:sz w:val="24"/>
                <w:highlight w:val="none"/>
              </w:rPr>
            </w:pPr>
          </w:p>
        </w:tc>
        <w:tc>
          <w:tcPr>
            <w:tcW w:w="1111" w:type="dxa"/>
          </w:tcPr>
          <w:p w14:paraId="544179A1">
            <w:pPr>
              <w:autoSpaceDE w:val="0"/>
              <w:autoSpaceDN w:val="0"/>
              <w:adjustRightInd w:val="0"/>
              <w:snapToGrid w:val="0"/>
              <w:jc w:val="left"/>
              <w:rPr>
                <w:rFonts w:ascii="宋体" w:hAnsi="宋体"/>
                <w:kern w:val="0"/>
                <w:sz w:val="24"/>
                <w:highlight w:val="none"/>
              </w:rPr>
            </w:pPr>
          </w:p>
        </w:tc>
        <w:tc>
          <w:tcPr>
            <w:tcW w:w="754" w:type="dxa"/>
          </w:tcPr>
          <w:p w14:paraId="45C70D7E">
            <w:pPr>
              <w:autoSpaceDE w:val="0"/>
              <w:autoSpaceDN w:val="0"/>
              <w:adjustRightInd w:val="0"/>
              <w:snapToGrid w:val="0"/>
              <w:jc w:val="left"/>
              <w:rPr>
                <w:rFonts w:ascii="宋体" w:hAnsi="宋体"/>
                <w:kern w:val="0"/>
                <w:sz w:val="24"/>
                <w:highlight w:val="none"/>
              </w:rPr>
            </w:pPr>
          </w:p>
        </w:tc>
        <w:tc>
          <w:tcPr>
            <w:tcW w:w="827" w:type="dxa"/>
          </w:tcPr>
          <w:p w14:paraId="0CA27C46">
            <w:pPr>
              <w:autoSpaceDE w:val="0"/>
              <w:autoSpaceDN w:val="0"/>
              <w:adjustRightInd w:val="0"/>
              <w:snapToGrid w:val="0"/>
              <w:jc w:val="left"/>
              <w:rPr>
                <w:rFonts w:ascii="宋体" w:hAnsi="宋体"/>
                <w:kern w:val="0"/>
                <w:sz w:val="24"/>
                <w:highlight w:val="none"/>
              </w:rPr>
            </w:pPr>
          </w:p>
        </w:tc>
        <w:tc>
          <w:tcPr>
            <w:tcW w:w="1359" w:type="dxa"/>
          </w:tcPr>
          <w:p w14:paraId="3047225F">
            <w:pPr>
              <w:autoSpaceDE w:val="0"/>
              <w:autoSpaceDN w:val="0"/>
              <w:adjustRightInd w:val="0"/>
              <w:snapToGrid w:val="0"/>
              <w:jc w:val="left"/>
              <w:rPr>
                <w:rFonts w:ascii="宋体" w:hAnsi="宋体"/>
                <w:kern w:val="0"/>
                <w:sz w:val="24"/>
                <w:highlight w:val="none"/>
              </w:rPr>
            </w:pPr>
          </w:p>
        </w:tc>
        <w:tc>
          <w:tcPr>
            <w:tcW w:w="1855" w:type="dxa"/>
          </w:tcPr>
          <w:p w14:paraId="582D8DD5">
            <w:pPr>
              <w:autoSpaceDE w:val="0"/>
              <w:autoSpaceDN w:val="0"/>
              <w:adjustRightInd w:val="0"/>
              <w:snapToGrid w:val="0"/>
              <w:jc w:val="left"/>
              <w:rPr>
                <w:rFonts w:ascii="宋体" w:hAnsi="宋体"/>
                <w:kern w:val="0"/>
                <w:sz w:val="24"/>
                <w:highlight w:val="none"/>
              </w:rPr>
            </w:pPr>
          </w:p>
        </w:tc>
        <w:tc>
          <w:tcPr>
            <w:tcW w:w="770" w:type="dxa"/>
          </w:tcPr>
          <w:p w14:paraId="450E6E18">
            <w:pPr>
              <w:autoSpaceDE w:val="0"/>
              <w:autoSpaceDN w:val="0"/>
              <w:adjustRightInd w:val="0"/>
              <w:snapToGrid w:val="0"/>
              <w:jc w:val="left"/>
              <w:rPr>
                <w:rFonts w:ascii="宋体" w:hAnsi="宋体"/>
                <w:kern w:val="0"/>
                <w:sz w:val="24"/>
                <w:highlight w:val="none"/>
              </w:rPr>
            </w:pPr>
          </w:p>
        </w:tc>
      </w:tr>
      <w:tr w14:paraId="78FFA7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E74D29C">
            <w:pPr>
              <w:autoSpaceDE w:val="0"/>
              <w:autoSpaceDN w:val="0"/>
              <w:adjustRightInd w:val="0"/>
              <w:snapToGrid w:val="0"/>
              <w:jc w:val="left"/>
              <w:rPr>
                <w:rFonts w:ascii="宋体" w:hAnsi="宋体"/>
                <w:kern w:val="0"/>
                <w:sz w:val="24"/>
                <w:highlight w:val="none"/>
              </w:rPr>
            </w:pPr>
          </w:p>
        </w:tc>
        <w:tc>
          <w:tcPr>
            <w:tcW w:w="1219" w:type="dxa"/>
          </w:tcPr>
          <w:p w14:paraId="0895C52E">
            <w:pPr>
              <w:autoSpaceDE w:val="0"/>
              <w:autoSpaceDN w:val="0"/>
              <w:adjustRightInd w:val="0"/>
              <w:snapToGrid w:val="0"/>
              <w:jc w:val="left"/>
              <w:rPr>
                <w:rFonts w:ascii="宋体" w:hAnsi="宋体"/>
                <w:kern w:val="0"/>
                <w:sz w:val="24"/>
                <w:highlight w:val="none"/>
              </w:rPr>
            </w:pPr>
          </w:p>
        </w:tc>
        <w:tc>
          <w:tcPr>
            <w:tcW w:w="852" w:type="dxa"/>
          </w:tcPr>
          <w:p w14:paraId="44A56820">
            <w:pPr>
              <w:autoSpaceDE w:val="0"/>
              <w:autoSpaceDN w:val="0"/>
              <w:adjustRightInd w:val="0"/>
              <w:snapToGrid w:val="0"/>
              <w:jc w:val="left"/>
              <w:rPr>
                <w:rFonts w:ascii="宋体" w:hAnsi="宋体"/>
                <w:kern w:val="0"/>
                <w:sz w:val="24"/>
                <w:highlight w:val="none"/>
              </w:rPr>
            </w:pPr>
          </w:p>
        </w:tc>
        <w:tc>
          <w:tcPr>
            <w:tcW w:w="1111" w:type="dxa"/>
          </w:tcPr>
          <w:p w14:paraId="77DEFAA9">
            <w:pPr>
              <w:autoSpaceDE w:val="0"/>
              <w:autoSpaceDN w:val="0"/>
              <w:adjustRightInd w:val="0"/>
              <w:snapToGrid w:val="0"/>
              <w:jc w:val="left"/>
              <w:rPr>
                <w:rFonts w:ascii="宋体" w:hAnsi="宋体"/>
                <w:kern w:val="0"/>
                <w:sz w:val="24"/>
                <w:highlight w:val="none"/>
              </w:rPr>
            </w:pPr>
          </w:p>
        </w:tc>
        <w:tc>
          <w:tcPr>
            <w:tcW w:w="754" w:type="dxa"/>
          </w:tcPr>
          <w:p w14:paraId="52010F68">
            <w:pPr>
              <w:autoSpaceDE w:val="0"/>
              <w:autoSpaceDN w:val="0"/>
              <w:adjustRightInd w:val="0"/>
              <w:snapToGrid w:val="0"/>
              <w:jc w:val="left"/>
              <w:rPr>
                <w:rFonts w:ascii="宋体" w:hAnsi="宋体"/>
                <w:kern w:val="0"/>
                <w:sz w:val="24"/>
                <w:highlight w:val="none"/>
              </w:rPr>
            </w:pPr>
          </w:p>
        </w:tc>
        <w:tc>
          <w:tcPr>
            <w:tcW w:w="827" w:type="dxa"/>
          </w:tcPr>
          <w:p w14:paraId="7B972EDD">
            <w:pPr>
              <w:autoSpaceDE w:val="0"/>
              <w:autoSpaceDN w:val="0"/>
              <w:adjustRightInd w:val="0"/>
              <w:snapToGrid w:val="0"/>
              <w:jc w:val="left"/>
              <w:rPr>
                <w:rFonts w:ascii="宋体" w:hAnsi="宋体"/>
                <w:kern w:val="0"/>
                <w:sz w:val="24"/>
                <w:highlight w:val="none"/>
              </w:rPr>
            </w:pPr>
          </w:p>
        </w:tc>
        <w:tc>
          <w:tcPr>
            <w:tcW w:w="1359" w:type="dxa"/>
          </w:tcPr>
          <w:p w14:paraId="649B3AAA">
            <w:pPr>
              <w:autoSpaceDE w:val="0"/>
              <w:autoSpaceDN w:val="0"/>
              <w:adjustRightInd w:val="0"/>
              <w:snapToGrid w:val="0"/>
              <w:jc w:val="left"/>
              <w:rPr>
                <w:rFonts w:ascii="宋体" w:hAnsi="宋体"/>
                <w:kern w:val="0"/>
                <w:sz w:val="24"/>
                <w:highlight w:val="none"/>
              </w:rPr>
            </w:pPr>
          </w:p>
        </w:tc>
        <w:tc>
          <w:tcPr>
            <w:tcW w:w="1855" w:type="dxa"/>
          </w:tcPr>
          <w:p w14:paraId="79FB08A4">
            <w:pPr>
              <w:autoSpaceDE w:val="0"/>
              <w:autoSpaceDN w:val="0"/>
              <w:adjustRightInd w:val="0"/>
              <w:snapToGrid w:val="0"/>
              <w:jc w:val="left"/>
              <w:rPr>
                <w:rFonts w:ascii="宋体" w:hAnsi="宋体"/>
                <w:kern w:val="0"/>
                <w:sz w:val="24"/>
                <w:highlight w:val="none"/>
              </w:rPr>
            </w:pPr>
          </w:p>
        </w:tc>
        <w:tc>
          <w:tcPr>
            <w:tcW w:w="770" w:type="dxa"/>
          </w:tcPr>
          <w:p w14:paraId="44856893">
            <w:pPr>
              <w:autoSpaceDE w:val="0"/>
              <w:autoSpaceDN w:val="0"/>
              <w:adjustRightInd w:val="0"/>
              <w:snapToGrid w:val="0"/>
              <w:jc w:val="left"/>
              <w:rPr>
                <w:rFonts w:ascii="宋体" w:hAnsi="宋体"/>
                <w:kern w:val="0"/>
                <w:sz w:val="24"/>
                <w:highlight w:val="none"/>
              </w:rPr>
            </w:pPr>
          </w:p>
        </w:tc>
      </w:tr>
      <w:tr w14:paraId="2BD3E7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EBF7752">
            <w:pPr>
              <w:autoSpaceDE w:val="0"/>
              <w:autoSpaceDN w:val="0"/>
              <w:adjustRightInd w:val="0"/>
              <w:snapToGrid w:val="0"/>
              <w:jc w:val="left"/>
              <w:rPr>
                <w:rFonts w:ascii="宋体" w:hAnsi="宋体"/>
                <w:kern w:val="0"/>
                <w:sz w:val="24"/>
                <w:highlight w:val="none"/>
              </w:rPr>
            </w:pPr>
          </w:p>
        </w:tc>
        <w:tc>
          <w:tcPr>
            <w:tcW w:w="1219" w:type="dxa"/>
          </w:tcPr>
          <w:p w14:paraId="14DC445A">
            <w:pPr>
              <w:autoSpaceDE w:val="0"/>
              <w:autoSpaceDN w:val="0"/>
              <w:adjustRightInd w:val="0"/>
              <w:snapToGrid w:val="0"/>
              <w:jc w:val="left"/>
              <w:rPr>
                <w:rFonts w:ascii="宋体" w:hAnsi="宋体"/>
                <w:kern w:val="0"/>
                <w:sz w:val="24"/>
                <w:highlight w:val="none"/>
              </w:rPr>
            </w:pPr>
          </w:p>
        </w:tc>
        <w:tc>
          <w:tcPr>
            <w:tcW w:w="852" w:type="dxa"/>
          </w:tcPr>
          <w:p w14:paraId="3A486FA4">
            <w:pPr>
              <w:autoSpaceDE w:val="0"/>
              <w:autoSpaceDN w:val="0"/>
              <w:adjustRightInd w:val="0"/>
              <w:snapToGrid w:val="0"/>
              <w:jc w:val="left"/>
              <w:rPr>
                <w:rFonts w:ascii="宋体" w:hAnsi="宋体"/>
                <w:kern w:val="0"/>
                <w:sz w:val="24"/>
                <w:highlight w:val="none"/>
              </w:rPr>
            </w:pPr>
          </w:p>
        </w:tc>
        <w:tc>
          <w:tcPr>
            <w:tcW w:w="1111" w:type="dxa"/>
          </w:tcPr>
          <w:p w14:paraId="717D1519">
            <w:pPr>
              <w:autoSpaceDE w:val="0"/>
              <w:autoSpaceDN w:val="0"/>
              <w:adjustRightInd w:val="0"/>
              <w:snapToGrid w:val="0"/>
              <w:jc w:val="left"/>
              <w:rPr>
                <w:rFonts w:ascii="宋体" w:hAnsi="宋体"/>
                <w:kern w:val="0"/>
                <w:sz w:val="24"/>
                <w:highlight w:val="none"/>
              </w:rPr>
            </w:pPr>
          </w:p>
        </w:tc>
        <w:tc>
          <w:tcPr>
            <w:tcW w:w="754" w:type="dxa"/>
          </w:tcPr>
          <w:p w14:paraId="419E81B1">
            <w:pPr>
              <w:autoSpaceDE w:val="0"/>
              <w:autoSpaceDN w:val="0"/>
              <w:adjustRightInd w:val="0"/>
              <w:snapToGrid w:val="0"/>
              <w:jc w:val="left"/>
              <w:rPr>
                <w:rFonts w:ascii="宋体" w:hAnsi="宋体"/>
                <w:kern w:val="0"/>
                <w:sz w:val="24"/>
                <w:highlight w:val="none"/>
              </w:rPr>
            </w:pPr>
          </w:p>
        </w:tc>
        <w:tc>
          <w:tcPr>
            <w:tcW w:w="827" w:type="dxa"/>
          </w:tcPr>
          <w:p w14:paraId="1F2EEFCA">
            <w:pPr>
              <w:autoSpaceDE w:val="0"/>
              <w:autoSpaceDN w:val="0"/>
              <w:adjustRightInd w:val="0"/>
              <w:snapToGrid w:val="0"/>
              <w:jc w:val="left"/>
              <w:rPr>
                <w:rFonts w:ascii="宋体" w:hAnsi="宋体"/>
                <w:kern w:val="0"/>
                <w:sz w:val="24"/>
                <w:highlight w:val="none"/>
              </w:rPr>
            </w:pPr>
          </w:p>
        </w:tc>
        <w:tc>
          <w:tcPr>
            <w:tcW w:w="1359" w:type="dxa"/>
          </w:tcPr>
          <w:p w14:paraId="40C5A7E1">
            <w:pPr>
              <w:autoSpaceDE w:val="0"/>
              <w:autoSpaceDN w:val="0"/>
              <w:adjustRightInd w:val="0"/>
              <w:snapToGrid w:val="0"/>
              <w:jc w:val="left"/>
              <w:rPr>
                <w:rFonts w:ascii="宋体" w:hAnsi="宋体"/>
                <w:kern w:val="0"/>
                <w:sz w:val="24"/>
                <w:highlight w:val="none"/>
              </w:rPr>
            </w:pPr>
          </w:p>
        </w:tc>
        <w:tc>
          <w:tcPr>
            <w:tcW w:w="1855" w:type="dxa"/>
          </w:tcPr>
          <w:p w14:paraId="0F39F866">
            <w:pPr>
              <w:autoSpaceDE w:val="0"/>
              <w:autoSpaceDN w:val="0"/>
              <w:adjustRightInd w:val="0"/>
              <w:snapToGrid w:val="0"/>
              <w:jc w:val="left"/>
              <w:rPr>
                <w:rFonts w:ascii="宋体" w:hAnsi="宋体"/>
                <w:kern w:val="0"/>
                <w:sz w:val="24"/>
                <w:highlight w:val="none"/>
              </w:rPr>
            </w:pPr>
          </w:p>
        </w:tc>
        <w:tc>
          <w:tcPr>
            <w:tcW w:w="770" w:type="dxa"/>
          </w:tcPr>
          <w:p w14:paraId="722D6FBB">
            <w:pPr>
              <w:autoSpaceDE w:val="0"/>
              <w:autoSpaceDN w:val="0"/>
              <w:adjustRightInd w:val="0"/>
              <w:snapToGrid w:val="0"/>
              <w:jc w:val="left"/>
              <w:rPr>
                <w:rFonts w:ascii="宋体" w:hAnsi="宋体"/>
                <w:kern w:val="0"/>
                <w:sz w:val="24"/>
                <w:highlight w:val="none"/>
              </w:rPr>
            </w:pPr>
          </w:p>
        </w:tc>
      </w:tr>
      <w:tr w14:paraId="2B91D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5790379">
            <w:pPr>
              <w:autoSpaceDE w:val="0"/>
              <w:autoSpaceDN w:val="0"/>
              <w:adjustRightInd w:val="0"/>
              <w:snapToGrid w:val="0"/>
              <w:jc w:val="left"/>
              <w:rPr>
                <w:rFonts w:ascii="宋体" w:hAnsi="宋体"/>
                <w:kern w:val="0"/>
                <w:sz w:val="24"/>
                <w:highlight w:val="none"/>
              </w:rPr>
            </w:pPr>
          </w:p>
        </w:tc>
        <w:tc>
          <w:tcPr>
            <w:tcW w:w="1219" w:type="dxa"/>
          </w:tcPr>
          <w:p w14:paraId="3168581B">
            <w:pPr>
              <w:autoSpaceDE w:val="0"/>
              <w:autoSpaceDN w:val="0"/>
              <w:adjustRightInd w:val="0"/>
              <w:snapToGrid w:val="0"/>
              <w:jc w:val="left"/>
              <w:rPr>
                <w:rFonts w:ascii="宋体" w:hAnsi="宋体"/>
                <w:kern w:val="0"/>
                <w:sz w:val="24"/>
                <w:highlight w:val="none"/>
              </w:rPr>
            </w:pPr>
          </w:p>
        </w:tc>
        <w:tc>
          <w:tcPr>
            <w:tcW w:w="852" w:type="dxa"/>
          </w:tcPr>
          <w:p w14:paraId="6D3C5BA4">
            <w:pPr>
              <w:autoSpaceDE w:val="0"/>
              <w:autoSpaceDN w:val="0"/>
              <w:adjustRightInd w:val="0"/>
              <w:snapToGrid w:val="0"/>
              <w:jc w:val="left"/>
              <w:rPr>
                <w:rFonts w:ascii="宋体" w:hAnsi="宋体"/>
                <w:kern w:val="0"/>
                <w:sz w:val="24"/>
                <w:highlight w:val="none"/>
              </w:rPr>
            </w:pPr>
          </w:p>
        </w:tc>
        <w:tc>
          <w:tcPr>
            <w:tcW w:w="1111" w:type="dxa"/>
          </w:tcPr>
          <w:p w14:paraId="629C1153">
            <w:pPr>
              <w:autoSpaceDE w:val="0"/>
              <w:autoSpaceDN w:val="0"/>
              <w:adjustRightInd w:val="0"/>
              <w:snapToGrid w:val="0"/>
              <w:jc w:val="left"/>
              <w:rPr>
                <w:rFonts w:ascii="宋体" w:hAnsi="宋体"/>
                <w:kern w:val="0"/>
                <w:sz w:val="24"/>
                <w:highlight w:val="none"/>
              </w:rPr>
            </w:pPr>
          </w:p>
        </w:tc>
        <w:tc>
          <w:tcPr>
            <w:tcW w:w="754" w:type="dxa"/>
          </w:tcPr>
          <w:p w14:paraId="50BDC76F">
            <w:pPr>
              <w:autoSpaceDE w:val="0"/>
              <w:autoSpaceDN w:val="0"/>
              <w:adjustRightInd w:val="0"/>
              <w:snapToGrid w:val="0"/>
              <w:jc w:val="left"/>
              <w:rPr>
                <w:rFonts w:ascii="宋体" w:hAnsi="宋体"/>
                <w:kern w:val="0"/>
                <w:sz w:val="24"/>
                <w:highlight w:val="none"/>
              </w:rPr>
            </w:pPr>
          </w:p>
        </w:tc>
        <w:tc>
          <w:tcPr>
            <w:tcW w:w="827" w:type="dxa"/>
          </w:tcPr>
          <w:p w14:paraId="71716E6E">
            <w:pPr>
              <w:autoSpaceDE w:val="0"/>
              <w:autoSpaceDN w:val="0"/>
              <w:adjustRightInd w:val="0"/>
              <w:snapToGrid w:val="0"/>
              <w:jc w:val="left"/>
              <w:rPr>
                <w:rFonts w:ascii="宋体" w:hAnsi="宋体"/>
                <w:kern w:val="0"/>
                <w:sz w:val="24"/>
                <w:highlight w:val="none"/>
              </w:rPr>
            </w:pPr>
          </w:p>
        </w:tc>
        <w:tc>
          <w:tcPr>
            <w:tcW w:w="1359" w:type="dxa"/>
          </w:tcPr>
          <w:p w14:paraId="45DAA0E5">
            <w:pPr>
              <w:autoSpaceDE w:val="0"/>
              <w:autoSpaceDN w:val="0"/>
              <w:adjustRightInd w:val="0"/>
              <w:snapToGrid w:val="0"/>
              <w:jc w:val="left"/>
              <w:rPr>
                <w:rFonts w:ascii="宋体" w:hAnsi="宋体"/>
                <w:kern w:val="0"/>
                <w:sz w:val="24"/>
                <w:highlight w:val="none"/>
              </w:rPr>
            </w:pPr>
          </w:p>
        </w:tc>
        <w:tc>
          <w:tcPr>
            <w:tcW w:w="1855" w:type="dxa"/>
          </w:tcPr>
          <w:p w14:paraId="73C21718">
            <w:pPr>
              <w:autoSpaceDE w:val="0"/>
              <w:autoSpaceDN w:val="0"/>
              <w:adjustRightInd w:val="0"/>
              <w:snapToGrid w:val="0"/>
              <w:jc w:val="left"/>
              <w:rPr>
                <w:rFonts w:ascii="宋体" w:hAnsi="宋体"/>
                <w:kern w:val="0"/>
                <w:sz w:val="24"/>
                <w:highlight w:val="none"/>
              </w:rPr>
            </w:pPr>
          </w:p>
        </w:tc>
        <w:tc>
          <w:tcPr>
            <w:tcW w:w="770" w:type="dxa"/>
          </w:tcPr>
          <w:p w14:paraId="1B3195D1">
            <w:pPr>
              <w:autoSpaceDE w:val="0"/>
              <w:autoSpaceDN w:val="0"/>
              <w:adjustRightInd w:val="0"/>
              <w:snapToGrid w:val="0"/>
              <w:jc w:val="left"/>
              <w:rPr>
                <w:rFonts w:ascii="宋体" w:hAnsi="宋体"/>
                <w:kern w:val="0"/>
                <w:sz w:val="24"/>
                <w:highlight w:val="none"/>
              </w:rPr>
            </w:pPr>
          </w:p>
        </w:tc>
      </w:tr>
      <w:tr w14:paraId="2B85E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FBC4FCB">
            <w:pPr>
              <w:autoSpaceDE w:val="0"/>
              <w:autoSpaceDN w:val="0"/>
              <w:adjustRightInd w:val="0"/>
              <w:snapToGrid w:val="0"/>
              <w:jc w:val="left"/>
              <w:rPr>
                <w:rFonts w:ascii="宋体" w:hAnsi="宋体"/>
                <w:kern w:val="0"/>
                <w:sz w:val="24"/>
                <w:highlight w:val="none"/>
              </w:rPr>
            </w:pPr>
          </w:p>
        </w:tc>
        <w:tc>
          <w:tcPr>
            <w:tcW w:w="1219" w:type="dxa"/>
          </w:tcPr>
          <w:p w14:paraId="7666004A">
            <w:pPr>
              <w:autoSpaceDE w:val="0"/>
              <w:autoSpaceDN w:val="0"/>
              <w:adjustRightInd w:val="0"/>
              <w:snapToGrid w:val="0"/>
              <w:jc w:val="left"/>
              <w:rPr>
                <w:rFonts w:ascii="宋体" w:hAnsi="宋体"/>
                <w:kern w:val="0"/>
                <w:sz w:val="24"/>
                <w:highlight w:val="none"/>
              </w:rPr>
            </w:pPr>
          </w:p>
        </w:tc>
        <w:tc>
          <w:tcPr>
            <w:tcW w:w="852" w:type="dxa"/>
          </w:tcPr>
          <w:p w14:paraId="261A33AF">
            <w:pPr>
              <w:autoSpaceDE w:val="0"/>
              <w:autoSpaceDN w:val="0"/>
              <w:adjustRightInd w:val="0"/>
              <w:snapToGrid w:val="0"/>
              <w:jc w:val="left"/>
              <w:rPr>
                <w:rFonts w:ascii="宋体" w:hAnsi="宋体"/>
                <w:kern w:val="0"/>
                <w:sz w:val="24"/>
                <w:highlight w:val="none"/>
              </w:rPr>
            </w:pPr>
          </w:p>
        </w:tc>
        <w:tc>
          <w:tcPr>
            <w:tcW w:w="1111" w:type="dxa"/>
          </w:tcPr>
          <w:p w14:paraId="7B4F45A5">
            <w:pPr>
              <w:autoSpaceDE w:val="0"/>
              <w:autoSpaceDN w:val="0"/>
              <w:adjustRightInd w:val="0"/>
              <w:snapToGrid w:val="0"/>
              <w:jc w:val="left"/>
              <w:rPr>
                <w:rFonts w:ascii="宋体" w:hAnsi="宋体"/>
                <w:kern w:val="0"/>
                <w:sz w:val="24"/>
                <w:highlight w:val="none"/>
              </w:rPr>
            </w:pPr>
          </w:p>
        </w:tc>
        <w:tc>
          <w:tcPr>
            <w:tcW w:w="754" w:type="dxa"/>
          </w:tcPr>
          <w:p w14:paraId="1EB07A3B">
            <w:pPr>
              <w:autoSpaceDE w:val="0"/>
              <w:autoSpaceDN w:val="0"/>
              <w:adjustRightInd w:val="0"/>
              <w:snapToGrid w:val="0"/>
              <w:jc w:val="left"/>
              <w:rPr>
                <w:rFonts w:ascii="宋体" w:hAnsi="宋体"/>
                <w:kern w:val="0"/>
                <w:sz w:val="24"/>
                <w:highlight w:val="none"/>
              </w:rPr>
            </w:pPr>
          </w:p>
        </w:tc>
        <w:tc>
          <w:tcPr>
            <w:tcW w:w="827" w:type="dxa"/>
          </w:tcPr>
          <w:p w14:paraId="6C21F978">
            <w:pPr>
              <w:autoSpaceDE w:val="0"/>
              <w:autoSpaceDN w:val="0"/>
              <w:adjustRightInd w:val="0"/>
              <w:snapToGrid w:val="0"/>
              <w:jc w:val="left"/>
              <w:rPr>
                <w:rFonts w:ascii="宋体" w:hAnsi="宋体"/>
                <w:kern w:val="0"/>
                <w:sz w:val="24"/>
                <w:highlight w:val="none"/>
              </w:rPr>
            </w:pPr>
          </w:p>
        </w:tc>
        <w:tc>
          <w:tcPr>
            <w:tcW w:w="1359" w:type="dxa"/>
          </w:tcPr>
          <w:p w14:paraId="5E5FAF9E">
            <w:pPr>
              <w:autoSpaceDE w:val="0"/>
              <w:autoSpaceDN w:val="0"/>
              <w:adjustRightInd w:val="0"/>
              <w:snapToGrid w:val="0"/>
              <w:jc w:val="left"/>
              <w:rPr>
                <w:rFonts w:ascii="宋体" w:hAnsi="宋体"/>
                <w:kern w:val="0"/>
                <w:sz w:val="24"/>
                <w:highlight w:val="none"/>
              </w:rPr>
            </w:pPr>
          </w:p>
        </w:tc>
        <w:tc>
          <w:tcPr>
            <w:tcW w:w="1855" w:type="dxa"/>
          </w:tcPr>
          <w:p w14:paraId="061EA1D1">
            <w:pPr>
              <w:autoSpaceDE w:val="0"/>
              <w:autoSpaceDN w:val="0"/>
              <w:adjustRightInd w:val="0"/>
              <w:snapToGrid w:val="0"/>
              <w:jc w:val="left"/>
              <w:rPr>
                <w:rFonts w:ascii="宋体" w:hAnsi="宋体"/>
                <w:kern w:val="0"/>
                <w:sz w:val="24"/>
                <w:highlight w:val="none"/>
              </w:rPr>
            </w:pPr>
          </w:p>
        </w:tc>
        <w:tc>
          <w:tcPr>
            <w:tcW w:w="770" w:type="dxa"/>
          </w:tcPr>
          <w:p w14:paraId="1EBE4668">
            <w:pPr>
              <w:autoSpaceDE w:val="0"/>
              <w:autoSpaceDN w:val="0"/>
              <w:adjustRightInd w:val="0"/>
              <w:snapToGrid w:val="0"/>
              <w:jc w:val="left"/>
              <w:rPr>
                <w:rFonts w:ascii="宋体" w:hAnsi="宋体"/>
                <w:kern w:val="0"/>
                <w:sz w:val="24"/>
                <w:highlight w:val="none"/>
              </w:rPr>
            </w:pPr>
          </w:p>
        </w:tc>
      </w:tr>
      <w:tr w14:paraId="6935A2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F373888">
            <w:pPr>
              <w:autoSpaceDE w:val="0"/>
              <w:autoSpaceDN w:val="0"/>
              <w:adjustRightInd w:val="0"/>
              <w:snapToGrid w:val="0"/>
              <w:jc w:val="left"/>
              <w:rPr>
                <w:rFonts w:ascii="宋体" w:hAnsi="宋体"/>
                <w:kern w:val="0"/>
                <w:sz w:val="24"/>
                <w:highlight w:val="none"/>
              </w:rPr>
            </w:pPr>
          </w:p>
        </w:tc>
        <w:tc>
          <w:tcPr>
            <w:tcW w:w="1219" w:type="dxa"/>
          </w:tcPr>
          <w:p w14:paraId="08AF8374">
            <w:pPr>
              <w:autoSpaceDE w:val="0"/>
              <w:autoSpaceDN w:val="0"/>
              <w:adjustRightInd w:val="0"/>
              <w:snapToGrid w:val="0"/>
              <w:jc w:val="left"/>
              <w:rPr>
                <w:rFonts w:ascii="宋体" w:hAnsi="宋体"/>
                <w:kern w:val="0"/>
                <w:sz w:val="24"/>
                <w:highlight w:val="none"/>
              </w:rPr>
            </w:pPr>
          </w:p>
        </w:tc>
        <w:tc>
          <w:tcPr>
            <w:tcW w:w="852" w:type="dxa"/>
          </w:tcPr>
          <w:p w14:paraId="23A133A4">
            <w:pPr>
              <w:autoSpaceDE w:val="0"/>
              <w:autoSpaceDN w:val="0"/>
              <w:adjustRightInd w:val="0"/>
              <w:snapToGrid w:val="0"/>
              <w:jc w:val="left"/>
              <w:rPr>
                <w:rFonts w:ascii="宋体" w:hAnsi="宋体"/>
                <w:kern w:val="0"/>
                <w:sz w:val="24"/>
                <w:highlight w:val="none"/>
              </w:rPr>
            </w:pPr>
          </w:p>
        </w:tc>
        <w:tc>
          <w:tcPr>
            <w:tcW w:w="1111" w:type="dxa"/>
          </w:tcPr>
          <w:p w14:paraId="7707049B">
            <w:pPr>
              <w:autoSpaceDE w:val="0"/>
              <w:autoSpaceDN w:val="0"/>
              <w:adjustRightInd w:val="0"/>
              <w:snapToGrid w:val="0"/>
              <w:jc w:val="left"/>
              <w:rPr>
                <w:rFonts w:ascii="宋体" w:hAnsi="宋体"/>
                <w:kern w:val="0"/>
                <w:sz w:val="24"/>
                <w:highlight w:val="none"/>
              </w:rPr>
            </w:pPr>
          </w:p>
        </w:tc>
        <w:tc>
          <w:tcPr>
            <w:tcW w:w="754" w:type="dxa"/>
          </w:tcPr>
          <w:p w14:paraId="34A1B9E1">
            <w:pPr>
              <w:autoSpaceDE w:val="0"/>
              <w:autoSpaceDN w:val="0"/>
              <w:adjustRightInd w:val="0"/>
              <w:snapToGrid w:val="0"/>
              <w:jc w:val="left"/>
              <w:rPr>
                <w:rFonts w:ascii="宋体" w:hAnsi="宋体"/>
                <w:kern w:val="0"/>
                <w:sz w:val="24"/>
                <w:highlight w:val="none"/>
              </w:rPr>
            </w:pPr>
          </w:p>
        </w:tc>
        <w:tc>
          <w:tcPr>
            <w:tcW w:w="827" w:type="dxa"/>
          </w:tcPr>
          <w:p w14:paraId="0A133488">
            <w:pPr>
              <w:autoSpaceDE w:val="0"/>
              <w:autoSpaceDN w:val="0"/>
              <w:adjustRightInd w:val="0"/>
              <w:snapToGrid w:val="0"/>
              <w:jc w:val="left"/>
              <w:rPr>
                <w:rFonts w:ascii="宋体" w:hAnsi="宋体"/>
                <w:kern w:val="0"/>
                <w:sz w:val="24"/>
                <w:highlight w:val="none"/>
              </w:rPr>
            </w:pPr>
          </w:p>
        </w:tc>
        <w:tc>
          <w:tcPr>
            <w:tcW w:w="1359" w:type="dxa"/>
          </w:tcPr>
          <w:p w14:paraId="28FB5469">
            <w:pPr>
              <w:autoSpaceDE w:val="0"/>
              <w:autoSpaceDN w:val="0"/>
              <w:adjustRightInd w:val="0"/>
              <w:snapToGrid w:val="0"/>
              <w:jc w:val="left"/>
              <w:rPr>
                <w:rFonts w:ascii="宋体" w:hAnsi="宋体"/>
                <w:kern w:val="0"/>
                <w:sz w:val="24"/>
                <w:highlight w:val="none"/>
              </w:rPr>
            </w:pPr>
          </w:p>
        </w:tc>
        <w:tc>
          <w:tcPr>
            <w:tcW w:w="1855" w:type="dxa"/>
          </w:tcPr>
          <w:p w14:paraId="2F125A5D">
            <w:pPr>
              <w:autoSpaceDE w:val="0"/>
              <w:autoSpaceDN w:val="0"/>
              <w:adjustRightInd w:val="0"/>
              <w:snapToGrid w:val="0"/>
              <w:jc w:val="left"/>
              <w:rPr>
                <w:rFonts w:ascii="宋体" w:hAnsi="宋体"/>
                <w:kern w:val="0"/>
                <w:sz w:val="24"/>
                <w:highlight w:val="none"/>
              </w:rPr>
            </w:pPr>
          </w:p>
        </w:tc>
        <w:tc>
          <w:tcPr>
            <w:tcW w:w="770" w:type="dxa"/>
          </w:tcPr>
          <w:p w14:paraId="565B4BDD">
            <w:pPr>
              <w:autoSpaceDE w:val="0"/>
              <w:autoSpaceDN w:val="0"/>
              <w:adjustRightInd w:val="0"/>
              <w:snapToGrid w:val="0"/>
              <w:jc w:val="left"/>
              <w:rPr>
                <w:rFonts w:ascii="宋体" w:hAnsi="宋体"/>
                <w:kern w:val="0"/>
                <w:sz w:val="24"/>
                <w:highlight w:val="none"/>
              </w:rPr>
            </w:pPr>
          </w:p>
        </w:tc>
      </w:tr>
      <w:tr w14:paraId="09A9A2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38F43F">
            <w:pPr>
              <w:autoSpaceDE w:val="0"/>
              <w:autoSpaceDN w:val="0"/>
              <w:adjustRightInd w:val="0"/>
              <w:snapToGrid w:val="0"/>
              <w:jc w:val="left"/>
              <w:rPr>
                <w:rFonts w:ascii="宋体" w:hAnsi="宋体"/>
                <w:kern w:val="0"/>
                <w:sz w:val="24"/>
                <w:highlight w:val="none"/>
              </w:rPr>
            </w:pPr>
          </w:p>
        </w:tc>
        <w:tc>
          <w:tcPr>
            <w:tcW w:w="1219" w:type="dxa"/>
          </w:tcPr>
          <w:p w14:paraId="483F1ACC">
            <w:pPr>
              <w:autoSpaceDE w:val="0"/>
              <w:autoSpaceDN w:val="0"/>
              <w:adjustRightInd w:val="0"/>
              <w:snapToGrid w:val="0"/>
              <w:jc w:val="left"/>
              <w:rPr>
                <w:rFonts w:ascii="宋体" w:hAnsi="宋体"/>
                <w:kern w:val="0"/>
                <w:sz w:val="24"/>
                <w:highlight w:val="none"/>
              </w:rPr>
            </w:pPr>
          </w:p>
        </w:tc>
        <w:tc>
          <w:tcPr>
            <w:tcW w:w="852" w:type="dxa"/>
          </w:tcPr>
          <w:p w14:paraId="66CD4F23">
            <w:pPr>
              <w:autoSpaceDE w:val="0"/>
              <w:autoSpaceDN w:val="0"/>
              <w:adjustRightInd w:val="0"/>
              <w:snapToGrid w:val="0"/>
              <w:jc w:val="left"/>
              <w:rPr>
                <w:rFonts w:ascii="宋体" w:hAnsi="宋体"/>
                <w:kern w:val="0"/>
                <w:sz w:val="24"/>
                <w:highlight w:val="none"/>
              </w:rPr>
            </w:pPr>
          </w:p>
        </w:tc>
        <w:tc>
          <w:tcPr>
            <w:tcW w:w="1111" w:type="dxa"/>
          </w:tcPr>
          <w:p w14:paraId="70E96FD4">
            <w:pPr>
              <w:autoSpaceDE w:val="0"/>
              <w:autoSpaceDN w:val="0"/>
              <w:adjustRightInd w:val="0"/>
              <w:snapToGrid w:val="0"/>
              <w:jc w:val="left"/>
              <w:rPr>
                <w:rFonts w:ascii="宋体" w:hAnsi="宋体"/>
                <w:kern w:val="0"/>
                <w:sz w:val="24"/>
                <w:highlight w:val="none"/>
              </w:rPr>
            </w:pPr>
          </w:p>
        </w:tc>
        <w:tc>
          <w:tcPr>
            <w:tcW w:w="754" w:type="dxa"/>
          </w:tcPr>
          <w:p w14:paraId="65EAAFCA">
            <w:pPr>
              <w:autoSpaceDE w:val="0"/>
              <w:autoSpaceDN w:val="0"/>
              <w:adjustRightInd w:val="0"/>
              <w:snapToGrid w:val="0"/>
              <w:jc w:val="left"/>
              <w:rPr>
                <w:rFonts w:ascii="宋体" w:hAnsi="宋体"/>
                <w:kern w:val="0"/>
                <w:sz w:val="24"/>
                <w:highlight w:val="none"/>
              </w:rPr>
            </w:pPr>
          </w:p>
        </w:tc>
        <w:tc>
          <w:tcPr>
            <w:tcW w:w="827" w:type="dxa"/>
          </w:tcPr>
          <w:p w14:paraId="3D8CD3D4">
            <w:pPr>
              <w:autoSpaceDE w:val="0"/>
              <w:autoSpaceDN w:val="0"/>
              <w:adjustRightInd w:val="0"/>
              <w:snapToGrid w:val="0"/>
              <w:jc w:val="left"/>
              <w:rPr>
                <w:rFonts w:ascii="宋体" w:hAnsi="宋体"/>
                <w:kern w:val="0"/>
                <w:sz w:val="24"/>
                <w:highlight w:val="none"/>
              </w:rPr>
            </w:pPr>
          </w:p>
        </w:tc>
        <w:tc>
          <w:tcPr>
            <w:tcW w:w="1359" w:type="dxa"/>
          </w:tcPr>
          <w:p w14:paraId="0B32B71B">
            <w:pPr>
              <w:autoSpaceDE w:val="0"/>
              <w:autoSpaceDN w:val="0"/>
              <w:adjustRightInd w:val="0"/>
              <w:snapToGrid w:val="0"/>
              <w:jc w:val="left"/>
              <w:rPr>
                <w:rFonts w:ascii="宋体" w:hAnsi="宋体"/>
                <w:kern w:val="0"/>
                <w:sz w:val="24"/>
                <w:highlight w:val="none"/>
              </w:rPr>
            </w:pPr>
          </w:p>
        </w:tc>
        <w:tc>
          <w:tcPr>
            <w:tcW w:w="1855" w:type="dxa"/>
          </w:tcPr>
          <w:p w14:paraId="37059EE8">
            <w:pPr>
              <w:autoSpaceDE w:val="0"/>
              <w:autoSpaceDN w:val="0"/>
              <w:adjustRightInd w:val="0"/>
              <w:snapToGrid w:val="0"/>
              <w:jc w:val="left"/>
              <w:rPr>
                <w:rFonts w:ascii="宋体" w:hAnsi="宋体"/>
                <w:kern w:val="0"/>
                <w:sz w:val="24"/>
                <w:highlight w:val="none"/>
              </w:rPr>
            </w:pPr>
          </w:p>
        </w:tc>
        <w:tc>
          <w:tcPr>
            <w:tcW w:w="770" w:type="dxa"/>
          </w:tcPr>
          <w:p w14:paraId="02317D09">
            <w:pPr>
              <w:autoSpaceDE w:val="0"/>
              <w:autoSpaceDN w:val="0"/>
              <w:adjustRightInd w:val="0"/>
              <w:snapToGrid w:val="0"/>
              <w:jc w:val="left"/>
              <w:rPr>
                <w:rFonts w:ascii="宋体" w:hAnsi="宋体"/>
                <w:kern w:val="0"/>
                <w:sz w:val="24"/>
                <w:highlight w:val="none"/>
              </w:rPr>
            </w:pPr>
          </w:p>
        </w:tc>
      </w:tr>
      <w:tr w14:paraId="2CE54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85335B">
            <w:pPr>
              <w:autoSpaceDE w:val="0"/>
              <w:autoSpaceDN w:val="0"/>
              <w:adjustRightInd w:val="0"/>
              <w:snapToGrid w:val="0"/>
              <w:jc w:val="left"/>
              <w:rPr>
                <w:rFonts w:ascii="宋体" w:hAnsi="宋体"/>
                <w:kern w:val="0"/>
                <w:sz w:val="24"/>
                <w:highlight w:val="none"/>
              </w:rPr>
            </w:pPr>
          </w:p>
        </w:tc>
        <w:tc>
          <w:tcPr>
            <w:tcW w:w="1219" w:type="dxa"/>
          </w:tcPr>
          <w:p w14:paraId="599FBCEC">
            <w:pPr>
              <w:autoSpaceDE w:val="0"/>
              <w:autoSpaceDN w:val="0"/>
              <w:adjustRightInd w:val="0"/>
              <w:snapToGrid w:val="0"/>
              <w:jc w:val="left"/>
              <w:rPr>
                <w:rFonts w:ascii="宋体" w:hAnsi="宋体"/>
                <w:kern w:val="0"/>
                <w:sz w:val="24"/>
                <w:highlight w:val="none"/>
              </w:rPr>
            </w:pPr>
          </w:p>
        </w:tc>
        <w:tc>
          <w:tcPr>
            <w:tcW w:w="852" w:type="dxa"/>
          </w:tcPr>
          <w:p w14:paraId="3C46EC11">
            <w:pPr>
              <w:autoSpaceDE w:val="0"/>
              <w:autoSpaceDN w:val="0"/>
              <w:adjustRightInd w:val="0"/>
              <w:snapToGrid w:val="0"/>
              <w:jc w:val="left"/>
              <w:rPr>
                <w:rFonts w:ascii="宋体" w:hAnsi="宋体"/>
                <w:kern w:val="0"/>
                <w:sz w:val="24"/>
                <w:highlight w:val="none"/>
              </w:rPr>
            </w:pPr>
          </w:p>
        </w:tc>
        <w:tc>
          <w:tcPr>
            <w:tcW w:w="1111" w:type="dxa"/>
          </w:tcPr>
          <w:p w14:paraId="39896CBD">
            <w:pPr>
              <w:autoSpaceDE w:val="0"/>
              <w:autoSpaceDN w:val="0"/>
              <w:adjustRightInd w:val="0"/>
              <w:snapToGrid w:val="0"/>
              <w:jc w:val="left"/>
              <w:rPr>
                <w:rFonts w:ascii="宋体" w:hAnsi="宋体"/>
                <w:kern w:val="0"/>
                <w:sz w:val="24"/>
                <w:highlight w:val="none"/>
              </w:rPr>
            </w:pPr>
          </w:p>
        </w:tc>
        <w:tc>
          <w:tcPr>
            <w:tcW w:w="754" w:type="dxa"/>
          </w:tcPr>
          <w:p w14:paraId="4CE00600">
            <w:pPr>
              <w:autoSpaceDE w:val="0"/>
              <w:autoSpaceDN w:val="0"/>
              <w:adjustRightInd w:val="0"/>
              <w:snapToGrid w:val="0"/>
              <w:jc w:val="left"/>
              <w:rPr>
                <w:rFonts w:ascii="宋体" w:hAnsi="宋体"/>
                <w:kern w:val="0"/>
                <w:sz w:val="24"/>
                <w:highlight w:val="none"/>
              </w:rPr>
            </w:pPr>
          </w:p>
        </w:tc>
        <w:tc>
          <w:tcPr>
            <w:tcW w:w="827" w:type="dxa"/>
          </w:tcPr>
          <w:p w14:paraId="2AA1EE50">
            <w:pPr>
              <w:autoSpaceDE w:val="0"/>
              <w:autoSpaceDN w:val="0"/>
              <w:adjustRightInd w:val="0"/>
              <w:snapToGrid w:val="0"/>
              <w:jc w:val="left"/>
              <w:rPr>
                <w:rFonts w:ascii="宋体" w:hAnsi="宋体"/>
                <w:kern w:val="0"/>
                <w:sz w:val="24"/>
                <w:highlight w:val="none"/>
              </w:rPr>
            </w:pPr>
          </w:p>
        </w:tc>
        <w:tc>
          <w:tcPr>
            <w:tcW w:w="1359" w:type="dxa"/>
          </w:tcPr>
          <w:p w14:paraId="091427C6">
            <w:pPr>
              <w:autoSpaceDE w:val="0"/>
              <w:autoSpaceDN w:val="0"/>
              <w:adjustRightInd w:val="0"/>
              <w:snapToGrid w:val="0"/>
              <w:jc w:val="left"/>
              <w:rPr>
                <w:rFonts w:ascii="宋体" w:hAnsi="宋体"/>
                <w:kern w:val="0"/>
                <w:sz w:val="24"/>
                <w:highlight w:val="none"/>
              </w:rPr>
            </w:pPr>
          </w:p>
        </w:tc>
        <w:tc>
          <w:tcPr>
            <w:tcW w:w="1855" w:type="dxa"/>
          </w:tcPr>
          <w:p w14:paraId="694E5692">
            <w:pPr>
              <w:autoSpaceDE w:val="0"/>
              <w:autoSpaceDN w:val="0"/>
              <w:adjustRightInd w:val="0"/>
              <w:snapToGrid w:val="0"/>
              <w:jc w:val="left"/>
              <w:rPr>
                <w:rFonts w:ascii="宋体" w:hAnsi="宋体"/>
                <w:kern w:val="0"/>
                <w:sz w:val="24"/>
                <w:highlight w:val="none"/>
              </w:rPr>
            </w:pPr>
          </w:p>
        </w:tc>
        <w:tc>
          <w:tcPr>
            <w:tcW w:w="770" w:type="dxa"/>
          </w:tcPr>
          <w:p w14:paraId="0278613D">
            <w:pPr>
              <w:autoSpaceDE w:val="0"/>
              <w:autoSpaceDN w:val="0"/>
              <w:adjustRightInd w:val="0"/>
              <w:snapToGrid w:val="0"/>
              <w:jc w:val="left"/>
              <w:rPr>
                <w:rFonts w:ascii="宋体" w:hAnsi="宋体"/>
                <w:kern w:val="0"/>
                <w:sz w:val="24"/>
                <w:highlight w:val="none"/>
              </w:rPr>
            </w:pPr>
          </w:p>
        </w:tc>
      </w:tr>
      <w:tr w14:paraId="28224E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D484834">
            <w:pPr>
              <w:autoSpaceDE w:val="0"/>
              <w:autoSpaceDN w:val="0"/>
              <w:adjustRightInd w:val="0"/>
              <w:snapToGrid w:val="0"/>
              <w:jc w:val="left"/>
              <w:rPr>
                <w:rFonts w:ascii="宋体" w:hAnsi="宋体"/>
                <w:kern w:val="0"/>
                <w:sz w:val="24"/>
                <w:highlight w:val="none"/>
              </w:rPr>
            </w:pPr>
          </w:p>
        </w:tc>
        <w:tc>
          <w:tcPr>
            <w:tcW w:w="1219" w:type="dxa"/>
          </w:tcPr>
          <w:p w14:paraId="53FCF0D8">
            <w:pPr>
              <w:autoSpaceDE w:val="0"/>
              <w:autoSpaceDN w:val="0"/>
              <w:adjustRightInd w:val="0"/>
              <w:snapToGrid w:val="0"/>
              <w:jc w:val="left"/>
              <w:rPr>
                <w:rFonts w:ascii="宋体" w:hAnsi="宋体"/>
                <w:kern w:val="0"/>
                <w:sz w:val="24"/>
                <w:highlight w:val="none"/>
              </w:rPr>
            </w:pPr>
          </w:p>
        </w:tc>
        <w:tc>
          <w:tcPr>
            <w:tcW w:w="852" w:type="dxa"/>
          </w:tcPr>
          <w:p w14:paraId="6700F42E">
            <w:pPr>
              <w:autoSpaceDE w:val="0"/>
              <w:autoSpaceDN w:val="0"/>
              <w:adjustRightInd w:val="0"/>
              <w:snapToGrid w:val="0"/>
              <w:jc w:val="left"/>
              <w:rPr>
                <w:rFonts w:ascii="宋体" w:hAnsi="宋体"/>
                <w:kern w:val="0"/>
                <w:sz w:val="24"/>
                <w:highlight w:val="none"/>
              </w:rPr>
            </w:pPr>
          </w:p>
        </w:tc>
        <w:tc>
          <w:tcPr>
            <w:tcW w:w="1111" w:type="dxa"/>
          </w:tcPr>
          <w:p w14:paraId="694559A9">
            <w:pPr>
              <w:autoSpaceDE w:val="0"/>
              <w:autoSpaceDN w:val="0"/>
              <w:adjustRightInd w:val="0"/>
              <w:snapToGrid w:val="0"/>
              <w:jc w:val="left"/>
              <w:rPr>
                <w:rFonts w:ascii="宋体" w:hAnsi="宋体"/>
                <w:kern w:val="0"/>
                <w:sz w:val="24"/>
                <w:highlight w:val="none"/>
              </w:rPr>
            </w:pPr>
          </w:p>
        </w:tc>
        <w:tc>
          <w:tcPr>
            <w:tcW w:w="754" w:type="dxa"/>
          </w:tcPr>
          <w:p w14:paraId="22E6548A">
            <w:pPr>
              <w:autoSpaceDE w:val="0"/>
              <w:autoSpaceDN w:val="0"/>
              <w:adjustRightInd w:val="0"/>
              <w:snapToGrid w:val="0"/>
              <w:jc w:val="left"/>
              <w:rPr>
                <w:rFonts w:ascii="宋体" w:hAnsi="宋体"/>
                <w:kern w:val="0"/>
                <w:sz w:val="24"/>
                <w:highlight w:val="none"/>
              </w:rPr>
            </w:pPr>
          </w:p>
        </w:tc>
        <w:tc>
          <w:tcPr>
            <w:tcW w:w="827" w:type="dxa"/>
          </w:tcPr>
          <w:p w14:paraId="0F94E47A">
            <w:pPr>
              <w:autoSpaceDE w:val="0"/>
              <w:autoSpaceDN w:val="0"/>
              <w:adjustRightInd w:val="0"/>
              <w:snapToGrid w:val="0"/>
              <w:jc w:val="left"/>
              <w:rPr>
                <w:rFonts w:ascii="宋体" w:hAnsi="宋体"/>
                <w:kern w:val="0"/>
                <w:sz w:val="24"/>
                <w:highlight w:val="none"/>
              </w:rPr>
            </w:pPr>
          </w:p>
        </w:tc>
        <w:tc>
          <w:tcPr>
            <w:tcW w:w="1359" w:type="dxa"/>
          </w:tcPr>
          <w:p w14:paraId="72AD4D43">
            <w:pPr>
              <w:autoSpaceDE w:val="0"/>
              <w:autoSpaceDN w:val="0"/>
              <w:adjustRightInd w:val="0"/>
              <w:snapToGrid w:val="0"/>
              <w:jc w:val="left"/>
              <w:rPr>
                <w:rFonts w:ascii="宋体" w:hAnsi="宋体"/>
                <w:kern w:val="0"/>
                <w:sz w:val="24"/>
                <w:highlight w:val="none"/>
              </w:rPr>
            </w:pPr>
          </w:p>
        </w:tc>
        <w:tc>
          <w:tcPr>
            <w:tcW w:w="1855" w:type="dxa"/>
          </w:tcPr>
          <w:p w14:paraId="16FB38ED">
            <w:pPr>
              <w:autoSpaceDE w:val="0"/>
              <w:autoSpaceDN w:val="0"/>
              <w:adjustRightInd w:val="0"/>
              <w:snapToGrid w:val="0"/>
              <w:jc w:val="left"/>
              <w:rPr>
                <w:rFonts w:ascii="宋体" w:hAnsi="宋体"/>
                <w:kern w:val="0"/>
                <w:sz w:val="24"/>
                <w:highlight w:val="none"/>
              </w:rPr>
            </w:pPr>
          </w:p>
        </w:tc>
        <w:tc>
          <w:tcPr>
            <w:tcW w:w="770" w:type="dxa"/>
          </w:tcPr>
          <w:p w14:paraId="29ABE0CC">
            <w:pPr>
              <w:autoSpaceDE w:val="0"/>
              <w:autoSpaceDN w:val="0"/>
              <w:adjustRightInd w:val="0"/>
              <w:snapToGrid w:val="0"/>
              <w:jc w:val="left"/>
              <w:rPr>
                <w:rFonts w:ascii="宋体" w:hAnsi="宋体"/>
                <w:kern w:val="0"/>
                <w:sz w:val="24"/>
                <w:highlight w:val="none"/>
              </w:rPr>
            </w:pPr>
          </w:p>
        </w:tc>
      </w:tr>
      <w:tr w14:paraId="5F45D5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3905324">
            <w:pPr>
              <w:autoSpaceDE w:val="0"/>
              <w:autoSpaceDN w:val="0"/>
              <w:adjustRightInd w:val="0"/>
              <w:snapToGrid w:val="0"/>
              <w:jc w:val="left"/>
              <w:rPr>
                <w:rFonts w:ascii="宋体" w:hAnsi="宋体"/>
                <w:kern w:val="0"/>
                <w:sz w:val="24"/>
                <w:highlight w:val="none"/>
              </w:rPr>
            </w:pPr>
          </w:p>
        </w:tc>
        <w:tc>
          <w:tcPr>
            <w:tcW w:w="1219" w:type="dxa"/>
          </w:tcPr>
          <w:p w14:paraId="462A4082">
            <w:pPr>
              <w:autoSpaceDE w:val="0"/>
              <w:autoSpaceDN w:val="0"/>
              <w:adjustRightInd w:val="0"/>
              <w:snapToGrid w:val="0"/>
              <w:jc w:val="left"/>
              <w:rPr>
                <w:rFonts w:ascii="宋体" w:hAnsi="宋体"/>
                <w:kern w:val="0"/>
                <w:sz w:val="24"/>
                <w:highlight w:val="none"/>
              </w:rPr>
            </w:pPr>
          </w:p>
        </w:tc>
        <w:tc>
          <w:tcPr>
            <w:tcW w:w="852" w:type="dxa"/>
          </w:tcPr>
          <w:p w14:paraId="261747B1">
            <w:pPr>
              <w:autoSpaceDE w:val="0"/>
              <w:autoSpaceDN w:val="0"/>
              <w:adjustRightInd w:val="0"/>
              <w:snapToGrid w:val="0"/>
              <w:jc w:val="left"/>
              <w:rPr>
                <w:rFonts w:ascii="宋体" w:hAnsi="宋体"/>
                <w:kern w:val="0"/>
                <w:sz w:val="24"/>
                <w:highlight w:val="none"/>
              </w:rPr>
            </w:pPr>
          </w:p>
        </w:tc>
        <w:tc>
          <w:tcPr>
            <w:tcW w:w="1111" w:type="dxa"/>
          </w:tcPr>
          <w:p w14:paraId="7017F3E5">
            <w:pPr>
              <w:autoSpaceDE w:val="0"/>
              <w:autoSpaceDN w:val="0"/>
              <w:adjustRightInd w:val="0"/>
              <w:snapToGrid w:val="0"/>
              <w:jc w:val="left"/>
              <w:rPr>
                <w:rFonts w:ascii="宋体" w:hAnsi="宋体"/>
                <w:kern w:val="0"/>
                <w:sz w:val="24"/>
                <w:highlight w:val="none"/>
              </w:rPr>
            </w:pPr>
          </w:p>
        </w:tc>
        <w:tc>
          <w:tcPr>
            <w:tcW w:w="754" w:type="dxa"/>
          </w:tcPr>
          <w:p w14:paraId="0E7EBB55">
            <w:pPr>
              <w:autoSpaceDE w:val="0"/>
              <w:autoSpaceDN w:val="0"/>
              <w:adjustRightInd w:val="0"/>
              <w:snapToGrid w:val="0"/>
              <w:jc w:val="left"/>
              <w:rPr>
                <w:rFonts w:ascii="宋体" w:hAnsi="宋体"/>
                <w:kern w:val="0"/>
                <w:sz w:val="24"/>
                <w:highlight w:val="none"/>
              </w:rPr>
            </w:pPr>
          </w:p>
        </w:tc>
        <w:tc>
          <w:tcPr>
            <w:tcW w:w="827" w:type="dxa"/>
          </w:tcPr>
          <w:p w14:paraId="777E1AD6">
            <w:pPr>
              <w:autoSpaceDE w:val="0"/>
              <w:autoSpaceDN w:val="0"/>
              <w:adjustRightInd w:val="0"/>
              <w:snapToGrid w:val="0"/>
              <w:jc w:val="left"/>
              <w:rPr>
                <w:rFonts w:ascii="宋体" w:hAnsi="宋体"/>
                <w:kern w:val="0"/>
                <w:sz w:val="24"/>
                <w:highlight w:val="none"/>
              </w:rPr>
            </w:pPr>
          </w:p>
        </w:tc>
        <w:tc>
          <w:tcPr>
            <w:tcW w:w="1359" w:type="dxa"/>
          </w:tcPr>
          <w:p w14:paraId="6895C6A7">
            <w:pPr>
              <w:autoSpaceDE w:val="0"/>
              <w:autoSpaceDN w:val="0"/>
              <w:adjustRightInd w:val="0"/>
              <w:snapToGrid w:val="0"/>
              <w:jc w:val="left"/>
              <w:rPr>
                <w:rFonts w:ascii="宋体" w:hAnsi="宋体"/>
                <w:kern w:val="0"/>
                <w:sz w:val="24"/>
                <w:highlight w:val="none"/>
              </w:rPr>
            </w:pPr>
          </w:p>
        </w:tc>
        <w:tc>
          <w:tcPr>
            <w:tcW w:w="1855" w:type="dxa"/>
          </w:tcPr>
          <w:p w14:paraId="66FA2442">
            <w:pPr>
              <w:autoSpaceDE w:val="0"/>
              <w:autoSpaceDN w:val="0"/>
              <w:adjustRightInd w:val="0"/>
              <w:snapToGrid w:val="0"/>
              <w:jc w:val="left"/>
              <w:rPr>
                <w:rFonts w:ascii="宋体" w:hAnsi="宋体"/>
                <w:kern w:val="0"/>
                <w:sz w:val="24"/>
                <w:highlight w:val="none"/>
              </w:rPr>
            </w:pPr>
          </w:p>
        </w:tc>
        <w:tc>
          <w:tcPr>
            <w:tcW w:w="770" w:type="dxa"/>
          </w:tcPr>
          <w:p w14:paraId="4DE3ED52">
            <w:pPr>
              <w:autoSpaceDE w:val="0"/>
              <w:autoSpaceDN w:val="0"/>
              <w:adjustRightInd w:val="0"/>
              <w:snapToGrid w:val="0"/>
              <w:jc w:val="left"/>
              <w:rPr>
                <w:rFonts w:ascii="宋体" w:hAnsi="宋体"/>
                <w:kern w:val="0"/>
                <w:sz w:val="24"/>
                <w:highlight w:val="none"/>
              </w:rPr>
            </w:pPr>
          </w:p>
        </w:tc>
      </w:tr>
      <w:tr w14:paraId="0F22C5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2EAE38C">
            <w:pPr>
              <w:autoSpaceDE w:val="0"/>
              <w:autoSpaceDN w:val="0"/>
              <w:adjustRightInd w:val="0"/>
              <w:snapToGrid w:val="0"/>
              <w:jc w:val="left"/>
              <w:rPr>
                <w:rFonts w:ascii="宋体" w:hAnsi="宋体"/>
                <w:kern w:val="0"/>
                <w:sz w:val="24"/>
                <w:highlight w:val="none"/>
              </w:rPr>
            </w:pPr>
          </w:p>
        </w:tc>
        <w:tc>
          <w:tcPr>
            <w:tcW w:w="1219" w:type="dxa"/>
          </w:tcPr>
          <w:p w14:paraId="07A576EC">
            <w:pPr>
              <w:autoSpaceDE w:val="0"/>
              <w:autoSpaceDN w:val="0"/>
              <w:adjustRightInd w:val="0"/>
              <w:snapToGrid w:val="0"/>
              <w:jc w:val="left"/>
              <w:rPr>
                <w:rFonts w:ascii="宋体" w:hAnsi="宋体"/>
                <w:kern w:val="0"/>
                <w:sz w:val="24"/>
                <w:highlight w:val="none"/>
              </w:rPr>
            </w:pPr>
          </w:p>
        </w:tc>
        <w:tc>
          <w:tcPr>
            <w:tcW w:w="852" w:type="dxa"/>
          </w:tcPr>
          <w:p w14:paraId="457F6A5E">
            <w:pPr>
              <w:autoSpaceDE w:val="0"/>
              <w:autoSpaceDN w:val="0"/>
              <w:adjustRightInd w:val="0"/>
              <w:snapToGrid w:val="0"/>
              <w:jc w:val="left"/>
              <w:rPr>
                <w:rFonts w:ascii="宋体" w:hAnsi="宋体"/>
                <w:kern w:val="0"/>
                <w:sz w:val="24"/>
                <w:highlight w:val="none"/>
              </w:rPr>
            </w:pPr>
          </w:p>
        </w:tc>
        <w:tc>
          <w:tcPr>
            <w:tcW w:w="1111" w:type="dxa"/>
          </w:tcPr>
          <w:p w14:paraId="7A653A7E">
            <w:pPr>
              <w:autoSpaceDE w:val="0"/>
              <w:autoSpaceDN w:val="0"/>
              <w:adjustRightInd w:val="0"/>
              <w:snapToGrid w:val="0"/>
              <w:jc w:val="left"/>
              <w:rPr>
                <w:rFonts w:ascii="宋体" w:hAnsi="宋体"/>
                <w:kern w:val="0"/>
                <w:sz w:val="24"/>
                <w:highlight w:val="none"/>
              </w:rPr>
            </w:pPr>
          </w:p>
        </w:tc>
        <w:tc>
          <w:tcPr>
            <w:tcW w:w="754" w:type="dxa"/>
          </w:tcPr>
          <w:p w14:paraId="5F325180">
            <w:pPr>
              <w:autoSpaceDE w:val="0"/>
              <w:autoSpaceDN w:val="0"/>
              <w:adjustRightInd w:val="0"/>
              <w:snapToGrid w:val="0"/>
              <w:jc w:val="left"/>
              <w:rPr>
                <w:rFonts w:ascii="宋体" w:hAnsi="宋体"/>
                <w:kern w:val="0"/>
                <w:sz w:val="24"/>
                <w:highlight w:val="none"/>
              </w:rPr>
            </w:pPr>
          </w:p>
        </w:tc>
        <w:tc>
          <w:tcPr>
            <w:tcW w:w="827" w:type="dxa"/>
          </w:tcPr>
          <w:p w14:paraId="17675BDA">
            <w:pPr>
              <w:autoSpaceDE w:val="0"/>
              <w:autoSpaceDN w:val="0"/>
              <w:adjustRightInd w:val="0"/>
              <w:snapToGrid w:val="0"/>
              <w:jc w:val="left"/>
              <w:rPr>
                <w:rFonts w:ascii="宋体" w:hAnsi="宋体"/>
                <w:kern w:val="0"/>
                <w:sz w:val="24"/>
                <w:highlight w:val="none"/>
              </w:rPr>
            </w:pPr>
          </w:p>
        </w:tc>
        <w:tc>
          <w:tcPr>
            <w:tcW w:w="1359" w:type="dxa"/>
          </w:tcPr>
          <w:p w14:paraId="4CD4C893">
            <w:pPr>
              <w:autoSpaceDE w:val="0"/>
              <w:autoSpaceDN w:val="0"/>
              <w:adjustRightInd w:val="0"/>
              <w:snapToGrid w:val="0"/>
              <w:jc w:val="left"/>
              <w:rPr>
                <w:rFonts w:ascii="宋体" w:hAnsi="宋体"/>
                <w:kern w:val="0"/>
                <w:sz w:val="24"/>
                <w:highlight w:val="none"/>
              </w:rPr>
            </w:pPr>
          </w:p>
        </w:tc>
        <w:tc>
          <w:tcPr>
            <w:tcW w:w="1855" w:type="dxa"/>
          </w:tcPr>
          <w:p w14:paraId="618B96F9">
            <w:pPr>
              <w:autoSpaceDE w:val="0"/>
              <w:autoSpaceDN w:val="0"/>
              <w:adjustRightInd w:val="0"/>
              <w:snapToGrid w:val="0"/>
              <w:jc w:val="left"/>
              <w:rPr>
                <w:rFonts w:ascii="宋体" w:hAnsi="宋体"/>
                <w:kern w:val="0"/>
                <w:sz w:val="24"/>
                <w:highlight w:val="none"/>
              </w:rPr>
            </w:pPr>
          </w:p>
        </w:tc>
        <w:tc>
          <w:tcPr>
            <w:tcW w:w="770" w:type="dxa"/>
          </w:tcPr>
          <w:p w14:paraId="22F9C784">
            <w:pPr>
              <w:autoSpaceDE w:val="0"/>
              <w:autoSpaceDN w:val="0"/>
              <w:adjustRightInd w:val="0"/>
              <w:snapToGrid w:val="0"/>
              <w:jc w:val="left"/>
              <w:rPr>
                <w:rFonts w:ascii="宋体" w:hAnsi="宋体"/>
                <w:kern w:val="0"/>
                <w:sz w:val="24"/>
                <w:highlight w:val="none"/>
              </w:rPr>
            </w:pPr>
          </w:p>
        </w:tc>
      </w:tr>
      <w:tr w14:paraId="56A18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A464DAF">
            <w:pPr>
              <w:autoSpaceDE w:val="0"/>
              <w:autoSpaceDN w:val="0"/>
              <w:adjustRightInd w:val="0"/>
              <w:snapToGrid w:val="0"/>
              <w:jc w:val="left"/>
              <w:rPr>
                <w:rFonts w:ascii="宋体" w:hAnsi="宋体"/>
                <w:kern w:val="0"/>
                <w:sz w:val="24"/>
                <w:highlight w:val="none"/>
              </w:rPr>
            </w:pPr>
          </w:p>
        </w:tc>
        <w:tc>
          <w:tcPr>
            <w:tcW w:w="1219" w:type="dxa"/>
          </w:tcPr>
          <w:p w14:paraId="4DAF3E85">
            <w:pPr>
              <w:autoSpaceDE w:val="0"/>
              <w:autoSpaceDN w:val="0"/>
              <w:adjustRightInd w:val="0"/>
              <w:snapToGrid w:val="0"/>
              <w:jc w:val="left"/>
              <w:rPr>
                <w:rFonts w:ascii="宋体" w:hAnsi="宋体"/>
                <w:kern w:val="0"/>
                <w:sz w:val="24"/>
                <w:highlight w:val="none"/>
              </w:rPr>
            </w:pPr>
          </w:p>
        </w:tc>
        <w:tc>
          <w:tcPr>
            <w:tcW w:w="852" w:type="dxa"/>
          </w:tcPr>
          <w:p w14:paraId="597D801F">
            <w:pPr>
              <w:autoSpaceDE w:val="0"/>
              <w:autoSpaceDN w:val="0"/>
              <w:adjustRightInd w:val="0"/>
              <w:snapToGrid w:val="0"/>
              <w:jc w:val="left"/>
              <w:rPr>
                <w:rFonts w:ascii="宋体" w:hAnsi="宋体"/>
                <w:kern w:val="0"/>
                <w:sz w:val="24"/>
                <w:highlight w:val="none"/>
              </w:rPr>
            </w:pPr>
          </w:p>
        </w:tc>
        <w:tc>
          <w:tcPr>
            <w:tcW w:w="1111" w:type="dxa"/>
          </w:tcPr>
          <w:p w14:paraId="0657CF16">
            <w:pPr>
              <w:autoSpaceDE w:val="0"/>
              <w:autoSpaceDN w:val="0"/>
              <w:adjustRightInd w:val="0"/>
              <w:snapToGrid w:val="0"/>
              <w:jc w:val="left"/>
              <w:rPr>
                <w:rFonts w:ascii="宋体" w:hAnsi="宋体"/>
                <w:kern w:val="0"/>
                <w:sz w:val="24"/>
                <w:highlight w:val="none"/>
              </w:rPr>
            </w:pPr>
          </w:p>
        </w:tc>
        <w:tc>
          <w:tcPr>
            <w:tcW w:w="754" w:type="dxa"/>
          </w:tcPr>
          <w:p w14:paraId="116EEB1E">
            <w:pPr>
              <w:autoSpaceDE w:val="0"/>
              <w:autoSpaceDN w:val="0"/>
              <w:adjustRightInd w:val="0"/>
              <w:snapToGrid w:val="0"/>
              <w:jc w:val="left"/>
              <w:rPr>
                <w:rFonts w:ascii="宋体" w:hAnsi="宋体"/>
                <w:kern w:val="0"/>
                <w:sz w:val="24"/>
                <w:highlight w:val="none"/>
              </w:rPr>
            </w:pPr>
          </w:p>
        </w:tc>
        <w:tc>
          <w:tcPr>
            <w:tcW w:w="827" w:type="dxa"/>
          </w:tcPr>
          <w:p w14:paraId="13383480">
            <w:pPr>
              <w:autoSpaceDE w:val="0"/>
              <w:autoSpaceDN w:val="0"/>
              <w:adjustRightInd w:val="0"/>
              <w:snapToGrid w:val="0"/>
              <w:jc w:val="left"/>
              <w:rPr>
                <w:rFonts w:ascii="宋体" w:hAnsi="宋体"/>
                <w:kern w:val="0"/>
                <w:sz w:val="24"/>
                <w:highlight w:val="none"/>
              </w:rPr>
            </w:pPr>
          </w:p>
        </w:tc>
        <w:tc>
          <w:tcPr>
            <w:tcW w:w="1359" w:type="dxa"/>
          </w:tcPr>
          <w:p w14:paraId="20F69892">
            <w:pPr>
              <w:autoSpaceDE w:val="0"/>
              <w:autoSpaceDN w:val="0"/>
              <w:adjustRightInd w:val="0"/>
              <w:snapToGrid w:val="0"/>
              <w:jc w:val="left"/>
              <w:rPr>
                <w:rFonts w:ascii="宋体" w:hAnsi="宋体"/>
                <w:kern w:val="0"/>
                <w:sz w:val="24"/>
                <w:highlight w:val="none"/>
              </w:rPr>
            </w:pPr>
          </w:p>
        </w:tc>
        <w:tc>
          <w:tcPr>
            <w:tcW w:w="1855" w:type="dxa"/>
          </w:tcPr>
          <w:p w14:paraId="314E0677">
            <w:pPr>
              <w:autoSpaceDE w:val="0"/>
              <w:autoSpaceDN w:val="0"/>
              <w:adjustRightInd w:val="0"/>
              <w:snapToGrid w:val="0"/>
              <w:jc w:val="left"/>
              <w:rPr>
                <w:rFonts w:ascii="宋体" w:hAnsi="宋体"/>
                <w:kern w:val="0"/>
                <w:sz w:val="24"/>
                <w:highlight w:val="none"/>
              </w:rPr>
            </w:pPr>
          </w:p>
        </w:tc>
        <w:tc>
          <w:tcPr>
            <w:tcW w:w="770" w:type="dxa"/>
          </w:tcPr>
          <w:p w14:paraId="0CD23BCE">
            <w:pPr>
              <w:autoSpaceDE w:val="0"/>
              <w:autoSpaceDN w:val="0"/>
              <w:adjustRightInd w:val="0"/>
              <w:snapToGrid w:val="0"/>
              <w:jc w:val="left"/>
              <w:rPr>
                <w:rFonts w:ascii="宋体" w:hAnsi="宋体"/>
                <w:kern w:val="0"/>
                <w:sz w:val="24"/>
                <w:highlight w:val="none"/>
              </w:rPr>
            </w:pPr>
          </w:p>
        </w:tc>
      </w:tr>
      <w:tr w14:paraId="654A7E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105EE61">
            <w:pPr>
              <w:autoSpaceDE w:val="0"/>
              <w:autoSpaceDN w:val="0"/>
              <w:adjustRightInd w:val="0"/>
              <w:snapToGrid w:val="0"/>
              <w:jc w:val="left"/>
              <w:rPr>
                <w:rFonts w:ascii="宋体" w:hAnsi="宋体"/>
                <w:kern w:val="0"/>
                <w:sz w:val="24"/>
                <w:highlight w:val="none"/>
              </w:rPr>
            </w:pPr>
          </w:p>
        </w:tc>
        <w:tc>
          <w:tcPr>
            <w:tcW w:w="1219" w:type="dxa"/>
          </w:tcPr>
          <w:p w14:paraId="1D6D2EB4">
            <w:pPr>
              <w:autoSpaceDE w:val="0"/>
              <w:autoSpaceDN w:val="0"/>
              <w:adjustRightInd w:val="0"/>
              <w:snapToGrid w:val="0"/>
              <w:jc w:val="left"/>
              <w:rPr>
                <w:rFonts w:ascii="宋体" w:hAnsi="宋体"/>
                <w:kern w:val="0"/>
                <w:sz w:val="24"/>
                <w:highlight w:val="none"/>
              </w:rPr>
            </w:pPr>
          </w:p>
        </w:tc>
        <w:tc>
          <w:tcPr>
            <w:tcW w:w="852" w:type="dxa"/>
          </w:tcPr>
          <w:p w14:paraId="0EF6514C">
            <w:pPr>
              <w:autoSpaceDE w:val="0"/>
              <w:autoSpaceDN w:val="0"/>
              <w:adjustRightInd w:val="0"/>
              <w:snapToGrid w:val="0"/>
              <w:jc w:val="left"/>
              <w:rPr>
                <w:rFonts w:ascii="宋体" w:hAnsi="宋体"/>
                <w:kern w:val="0"/>
                <w:sz w:val="24"/>
                <w:highlight w:val="none"/>
              </w:rPr>
            </w:pPr>
          </w:p>
        </w:tc>
        <w:tc>
          <w:tcPr>
            <w:tcW w:w="1111" w:type="dxa"/>
          </w:tcPr>
          <w:p w14:paraId="001BBC73">
            <w:pPr>
              <w:autoSpaceDE w:val="0"/>
              <w:autoSpaceDN w:val="0"/>
              <w:adjustRightInd w:val="0"/>
              <w:snapToGrid w:val="0"/>
              <w:jc w:val="left"/>
              <w:rPr>
                <w:rFonts w:ascii="宋体" w:hAnsi="宋体"/>
                <w:kern w:val="0"/>
                <w:sz w:val="24"/>
                <w:highlight w:val="none"/>
              </w:rPr>
            </w:pPr>
          </w:p>
        </w:tc>
        <w:tc>
          <w:tcPr>
            <w:tcW w:w="754" w:type="dxa"/>
          </w:tcPr>
          <w:p w14:paraId="1BDB2597">
            <w:pPr>
              <w:autoSpaceDE w:val="0"/>
              <w:autoSpaceDN w:val="0"/>
              <w:adjustRightInd w:val="0"/>
              <w:snapToGrid w:val="0"/>
              <w:jc w:val="left"/>
              <w:rPr>
                <w:rFonts w:ascii="宋体" w:hAnsi="宋体"/>
                <w:kern w:val="0"/>
                <w:sz w:val="24"/>
                <w:highlight w:val="none"/>
              </w:rPr>
            </w:pPr>
          </w:p>
        </w:tc>
        <w:tc>
          <w:tcPr>
            <w:tcW w:w="827" w:type="dxa"/>
          </w:tcPr>
          <w:p w14:paraId="091A3EB9">
            <w:pPr>
              <w:autoSpaceDE w:val="0"/>
              <w:autoSpaceDN w:val="0"/>
              <w:adjustRightInd w:val="0"/>
              <w:snapToGrid w:val="0"/>
              <w:jc w:val="left"/>
              <w:rPr>
                <w:rFonts w:ascii="宋体" w:hAnsi="宋体"/>
                <w:kern w:val="0"/>
                <w:sz w:val="24"/>
                <w:highlight w:val="none"/>
              </w:rPr>
            </w:pPr>
          </w:p>
        </w:tc>
        <w:tc>
          <w:tcPr>
            <w:tcW w:w="1359" w:type="dxa"/>
          </w:tcPr>
          <w:p w14:paraId="05C4D717">
            <w:pPr>
              <w:autoSpaceDE w:val="0"/>
              <w:autoSpaceDN w:val="0"/>
              <w:adjustRightInd w:val="0"/>
              <w:snapToGrid w:val="0"/>
              <w:jc w:val="left"/>
              <w:rPr>
                <w:rFonts w:ascii="宋体" w:hAnsi="宋体"/>
                <w:kern w:val="0"/>
                <w:sz w:val="24"/>
                <w:highlight w:val="none"/>
              </w:rPr>
            </w:pPr>
          </w:p>
        </w:tc>
        <w:tc>
          <w:tcPr>
            <w:tcW w:w="1855" w:type="dxa"/>
          </w:tcPr>
          <w:p w14:paraId="08072276">
            <w:pPr>
              <w:autoSpaceDE w:val="0"/>
              <w:autoSpaceDN w:val="0"/>
              <w:adjustRightInd w:val="0"/>
              <w:snapToGrid w:val="0"/>
              <w:jc w:val="left"/>
              <w:rPr>
                <w:rFonts w:ascii="宋体" w:hAnsi="宋体"/>
                <w:kern w:val="0"/>
                <w:sz w:val="24"/>
                <w:highlight w:val="none"/>
              </w:rPr>
            </w:pPr>
          </w:p>
        </w:tc>
        <w:tc>
          <w:tcPr>
            <w:tcW w:w="770" w:type="dxa"/>
          </w:tcPr>
          <w:p w14:paraId="0F4B8B34">
            <w:pPr>
              <w:autoSpaceDE w:val="0"/>
              <w:autoSpaceDN w:val="0"/>
              <w:adjustRightInd w:val="0"/>
              <w:snapToGrid w:val="0"/>
              <w:jc w:val="left"/>
              <w:rPr>
                <w:rFonts w:ascii="宋体" w:hAnsi="宋体"/>
                <w:kern w:val="0"/>
                <w:sz w:val="24"/>
                <w:highlight w:val="none"/>
              </w:rPr>
            </w:pPr>
          </w:p>
        </w:tc>
      </w:tr>
      <w:tr w14:paraId="5C799E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738D838">
            <w:pPr>
              <w:autoSpaceDE w:val="0"/>
              <w:autoSpaceDN w:val="0"/>
              <w:adjustRightInd w:val="0"/>
              <w:snapToGrid w:val="0"/>
              <w:jc w:val="left"/>
              <w:rPr>
                <w:rFonts w:ascii="宋体" w:hAnsi="宋体"/>
                <w:kern w:val="0"/>
                <w:sz w:val="24"/>
                <w:highlight w:val="none"/>
              </w:rPr>
            </w:pPr>
          </w:p>
        </w:tc>
        <w:tc>
          <w:tcPr>
            <w:tcW w:w="1219" w:type="dxa"/>
          </w:tcPr>
          <w:p w14:paraId="45037996">
            <w:pPr>
              <w:autoSpaceDE w:val="0"/>
              <w:autoSpaceDN w:val="0"/>
              <w:adjustRightInd w:val="0"/>
              <w:snapToGrid w:val="0"/>
              <w:jc w:val="left"/>
              <w:rPr>
                <w:rFonts w:ascii="宋体" w:hAnsi="宋体"/>
                <w:kern w:val="0"/>
                <w:sz w:val="24"/>
                <w:highlight w:val="none"/>
              </w:rPr>
            </w:pPr>
          </w:p>
        </w:tc>
        <w:tc>
          <w:tcPr>
            <w:tcW w:w="852" w:type="dxa"/>
          </w:tcPr>
          <w:p w14:paraId="666AFC3B">
            <w:pPr>
              <w:autoSpaceDE w:val="0"/>
              <w:autoSpaceDN w:val="0"/>
              <w:adjustRightInd w:val="0"/>
              <w:snapToGrid w:val="0"/>
              <w:jc w:val="left"/>
              <w:rPr>
                <w:rFonts w:ascii="宋体" w:hAnsi="宋体"/>
                <w:kern w:val="0"/>
                <w:sz w:val="24"/>
                <w:highlight w:val="none"/>
              </w:rPr>
            </w:pPr>
          </w:p>
        </w:tc>
        <w:tc>
          <w:tcPr>
            <w:tcW w:w="1111" w:type="dxa"/>
          </w:tcPr>
          <w:p w14:paraId="598C7E2B">
            <w:pPr>
              <w:autoSpaceDE w:val="0"/>
              <w:autoSpaceDN w:val="0"/>
              <w:adjustRightInd w:val="0"/>
              <w:snapToGrid w:val="0"/>
              <w:jc w:val="left"/>
              <w:rPr>
                <w:rFonts w:ascii="宋体" w:hAnsi="宋体"/>
                <w:kern w:val="0"/>
                <w:sz w:val="24"/>
                <w:highlight w:val="none"/>
              </w:rPr>
            </w:pPr>
          </w:p>
        </w:tc>
        <w:tc>
          <w:tcPr>
            <w:tcW w:w="754" w:type="dxa"/>
          </w:tcPr>
          <w:p w14:paraId="084DB32E">
            <w:pPr>
              <w:autoSpaceDE w:val="0"/>
              <w:autoSpaceDN w:val="0"/>
              <w:adjustRightInd w:val="0"/>
              <w:snapToGrid w:val="0"/>
              <w:jc w:val="left"/>
              <w:rPr>
                <w:rFonts w:ascii="宋体" w:hAnsi="宋体"/>
                <w:kern w:val="0"/>
                <w:sz w:val="24"/>
                <w:highlight w:val="none"/>
              </w:rPr>
            </w:pPr>
          </w:p>
        </w:tc>
        <w:tc>
          <w:tcPr>
            <w:tcW w:w="827" w:type="dxa"/>
          </w:tcPr>
          <w:p w14:paraId="0CC957C1">
            <w:pPr>
              <w:autoSpaceDE w:val="0"/>
              <w:autoSpaceDN w:val="0"/>
              <w:adjustRightInd w:val="0"/>
              <w:snapToGrid w:val="0"/>
              <w:jc w:val="left"/>
              <w:rPr>
                <w:rFonts w:ascii="宋体" w:hAnsi="宋体"/>
                <w:kern w:val="0"/>
                <w:sz w:val="24"/>
                <w:highlight w:val="none"/>
              </w:rPr>
            </w:pPr>
          </w:p>
        </w:tc>
        <w:tc>
          <w:tcPr>
            <w:tcW w:w="1359" w:type="dxa"/>
          </w:tcPr>
          <w:p w14:paraId="1376AF52">
            <w:pPr>
              <w:autoSpaceDE w:val="0"/>
              <w:autoSpaceDN w:val="0"/>
              <w:adjustRightInd w:val="0"/>
              <w:snapToGrid w:val="0"/>
              <w:jc w:val="left"/>
              <w:rPr>
                <w:rFonts w:ascii="宋体" w:hAnsi="宋体"/>
                <w:kern w:val="0"/>
                <w:sz w:val="24"/>
                <w:highlight w:val="none"/>
              </w:rPr>
            </w:pPr>
          </w:p>
        </w:tc>
        <w:tc>
          <w:tcPr>
            <w:tcW w:w="1855" w:type="dxa"/>
          </w:tcPr>
          <w:p w14:paraId="0E072B40">
            <w:pPr>
              <w:autoSpaceDE w:val="0"/>
              <w:autoSpaceDN w:val="0"/>
              <w:adjustRightInd w:val="0"/>
              <w:snapToGrid w:val="0"/>
              <w:jc w:val="left"/>
              <w:rPr>
                <w:rFonts w:ascii="宋体" w:hAnsi="宋体"/>
                <w:kern w:val="0"/>
                <w:sz w:val="24"/>
                <w:highlight w:val="none"/>
              </w:rPr>
            </w:pPr>
          </w:p>
        </w:tc>
        <w:tc>
          <w:tcPr>
            <w:tcW w:w="770" w:type="dxa"/>
          </w:tcPr>
          <w:p w14:paraId="6893D5FA">
            <w:pPr>
              <w:autoSpaceDE w:val="0"/>
              <w:autoSpaceDN w:val="0"/>
              <w:adjustRightInd w:val="0"/>
              <w:snapToGrid w:val="0"/>
              <w:jc w:val="left"/>
              <w:rPr>
                <w:rFonts w:ascii="宋体" w:hAnsi="宋体"/>
                <w:kern w:val="0"/>
                <w:sz w:val="24"/>
                <w:highlight w:val="none"/>
              </w:rPr>
            </w:pPr>
          </w:p>
        </w:tc>
      </w:tr>
      <w:tr w14:paraId="67E63B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7B28895">
            <w:pPr>
              <w:autoSpaceDE w:val="0"/>
              <w:autoSpaceDN w:val="0"/>
              <w:adjustRightInd w:val="0"/>
              <w:snapToGrid w:val="0"/>
              <w:jc w:val="left"/>
              <w:rPr>
                <w:rFonts w:ascii="宋体" w:hAnsi="宋体"/>
                <w:kern w:val="0"/>
                <w:sz w:val="24"/>
                <w:highlight w:val="none"/>
              </w:rPr>
            </w:pPr>
          </w:p>
        </w:tc>
        <w:tc>
          <w:tcPr>
            <w:tcW w:w="1219" w:type="dxa"/>
          </w:tcPr>
          <w:p w14:paraId="3432C3C5">
            <w:pPr>
              <w:autoSpaceDE w:val="0"/>
              <w:autoSpaceDN w:val="0"/>
              <w:adjustRightInd w:val="0"/>
              <w:snapToGrid w:val="0"/>
              <w:jc w:val="left"/>
              <w:rPr>
                <w:rFonts w:ascii="宋体" w:hAnsi="宋体"/>
                <w:kern w:val="0"/>
                <w:sz w:val="24"/>
                <w:highlight w:val="none"/>
              </w:rPr>
            </w:pPr>
          </w:p>
        </w:tc>
        <w:tc>
          <w:tcPr>
            <w:tcW w:w="852" w:type="dxa"/>
          </w:tcPr>
          <w:p w14:paraId="46E5E586">
            <w:pPr>
              <w:autoSpaceDE w:val="0"/>
              <w:autoSpaceDN w:val="0"/>
              <w:adjustRightInd w:val="0"/>
              <w:snapToGrid w:val="0"/>
              <w:jc w:val="left"/>
              <w:rPr>
                <w:rFonts w:ascii="宋体" w:hAnsi="宋体"/>
                <w:kern w:val="0"/>
                <w:sz w:val="24"/>
                <w:highlight w:val="none"/>
              </w:rPr>
            </w:pPr>
          </w:p>
        </w:tc>
        <w:tc>
          <w:tcPr>
            <w:tcW w:w="1111" w:type="dxa"/>
          </w:tcPr>
          <w:p w14:paraId="6EFF430C">
            <w:pPr>
              <w:autoSpaceDE w:val="0"/>
              <w:autoSpaceDN w:val="0"/>
              <w:adjustRightInd w:val="0"/>
              <w:snapToGrid w:val="0"/>
              <w:jc w:val="left"/>
              <w:rPr>
                <w:rFonts w:ascii="宋体" w:hAnsi="宋体"/>
                <w:kern w:val="0"/>
                <w:sz w:val="24"/>
                <w:highlight w:val="none"/>
              </w:rPr>
            </w:pPr>
          </w:p>
        </w:tc>
        <w:tc>
          <w:tcPr>
            <w:tcW w:w="754" w:type="dxa"/>
          </w:tcPr>
          <w:p w14:paraId="1FB06BB8">
            <w:pPr>
              <w:autoSpaceDE w:val="0"/>
              <w:autoSpaceDN w:val="0"/>
              <w:adjustRightInd w:val="0"/>
              <w:snapToGrid w:val="0"/>
              <w:jc w:val="left"/>
              <w:rPr>
                <w:rFonts w:ascii="宋体" w:hAnsi="宋体"/>
                <w:kern w:val="0"/>
                <w:sz w:val="24"/>
                <w:highlight w:val="none"/>
              </w:rPr>
            </w:pPr>
          </w:p>
        </w:tc>
        <w:tc>
          <w:tcPr>
            <w:tcW w:w="827" w:type="dxa"/>
          </w:tcPr>
          <w:p w14:paraId="31ACBE40">
            <w:pPr>
              <w:autoSpaceDE w:val="0"/>
              <w:autoSpaceDN w:val="0"/>
              <w:adjustRightInd w:val="0"/>
              <w:snapToGrid w:val="0"/>
              <w:jc w:val="left"/>
              <w:rPr>
                <w:rFonts w:ascii="宋体" w:hAnsi="宋体"/>
                <w:kern w:val="0"/>
                <w:sz w:val="24"/>
                <w:highlight w:val="none"/>
              </w:rPr>
            </w:pPr>
          </w:p>
        </w:tc>
        <w:tc>
          <w:tcPr>
            <w:tcW w:w="1359" w:type="dxa"/>
          </w:tcPr>
          <w:p w14:paraId="780CC8A5">
            <w:pPr>
              <w:autoSpaceDE w:val="0"/>
              <w:autoSpaceDN w:val="0"/>
              <w:adjustRightInd w:val="0"/>
              <w:snapToGrid w:val="0"/>
              <w:jc w:val="left"/>
              <w:rPr>
                <w:rFonts w:ascii="宋体" w:hAnsi="宋体"/>
                <w:kern w:val="0"/>
                <w:sz w:val="24"/>
                <w:highlight w:val="none"/>
              </w:rPr>
            </w:pPr>
          </w:p>
        </w:tc>
        <w:tc>
          <w:tcPr>
            <w:tcW w:w="1855" w:type="dxa"/>
          </w:tcPr>
          <w:p w14:paraId="1F42B805">
            <w:pPr>
              <w:autoSpaceDE w:val="0"/>
              <w:autoSpaceDN w:val="0"/>
              <w:adjustRightInd w:val="0"/>
              <w:snapToGrid w:val="0"/>
              <w:jc w:val="left"/>
              <w:rPr>
                <w:rFonts w:ascii="宋体" w:hAnsi="宋体"/>
                <w:kern w:val="0"/>
                <w:sz w:val="24"/>
                <w:highlight w:val="none"/>
              </w:rPr>
            </w:pPr>
          </w:p>
        </w:tc>
        <w:tc>
          <w:tcPr>
            <w:tcW w:w="770" w:type="dxa"/>
          </w:tcPr>
          <w:p w14:paraId="1A2BF65E">
            <w:pPr>
              <w:autoSpaceDE w:val="0"/>
              <w:autoSpaceDN w:val="0"/>
              <w:adjustRightInd w:val="0"/>
              <w:snapToGrid w:val="0"/>
              <w:jc w:val="left"/>
              <w:rPr>
                <w:rFonts w:ascii="宋体" w:hAnsi="宋体"/>
                <w:kern w:val="0"/>
                <w:sz w:val="24"/>
                <w:highlight w:val="none"/>
              </w:rPr>
            </w:pPr>
          </w:p>
        </w:tc>
      </w:tr>
      <w:tr w14:paraId="2DE40B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ED19B97">
            <w:pPr>
              <w:autoSpaceDE w:val="0"/>
              <w:autoSpaceDN w:val="0"/>
              <w:adjustRightInd w:val="0"/>
              <w:snapToGrid w:val="0"/>
              <w:jc w:val="left"/>
              <w:rPr>
                <w:rFonts w:ascii="宋体" w:hAnsi="宋体"/>
                <w:kern w:val="0"/>
                <w:sz w:val="24"/>
                <w:highlight w:val="none"/>
              </w:rPr>
            </w:pPr>
          </w:p>
        </w:tc>
        <w:tc>
          <w:tcPr>
            <w:tcW w:w="1219" w:type="dxa"/>
          </w:tcPr>
          <w:p w14:paraId="05E3731B">
            <w:pPr>
              <w:autoSpaceDE w:val="0"/>
              <w:autoSpaceDN w:val="0"/>
              <w:adjustRightInd w:val="0"/>
              <w:snapToGrid w:val="0"/>
              <w:jc w:val="left"/>
              <w:rPr>
                <w:rFonts w:ascii="宋体" w:hAnsi="宋体"/>
                <w:kern w:val="0"/>
                <w:sz w:val="24"/>
                <w:highlight w:val="none"/>
              </w:rPr>
            </w:pPr>
          </w:p>
        </w:tc>
        <w:tc>
          <w:tcPr>
            <w:tcW w:w="852" w:type="dxa"/>
          </w:tcPr>
          <w:p w14:paraId="734F565F">
            <w:pPr>
              <w:autoSpaceDE w:val="0"/>
              <w:autoSpaceDN w:val="0"/>
              <w:adjustRightInd w:val="0"/>
              <w:snapToGrid w:val="0"/>
              <w:jc w:val="left"/>
              <w:rPr>
                <w:rFonts w:ascii="宋体" w:hAnsi="宋体"/>
                <w:kern w:val="0"/>
                <w:sz w:val="24"/>
                <w:highlight w:val="none"/>
              </w:rPr>
            </w:pPr>
          </w:p>
        </w:tc>
        <w:tc>
          <w:tcPr>
            <w:tcW w:w="1111" w:type="dxa"/>
          </w:tcPr>
          <w:p w14:paraId="2969107D">
            <w:pPr>
              <w:autoSpaceDE w:val="0"/>
              <w:autoSpaceDN w:val="0"/>
              <w:adjustRightInd w:val="0"/>
              <w:snapToGrid w:val="0"/>
              <w:jc w:val="left"/>
              <w:rPr>
                <w:rFonts w:ascii="宋体" w:hAnsi="宋体"/>
                <w:kern w:val="0"/>
                <w:sz w:val="24"/>
                <w:highlight w:val="none"/>
              </w:rPr>
            </w:pPr>
          </w:p>
        </w:tc>
        <w:tc>
          <w:tcPr>
            <w:tcW w:w="754" w:type="dxa"/>
          </w:tcPr>
          <w:p w14:paraId="1AE9ED06">
            <w:pPr>
              <w:autoSpaceDE w:val="0"/>
              <w:autoSpaceDN w:val="0"/>
              <w:adjustRightInd w:val="0"/>
              <w:snapToGrid w:val="0"/>
              <w:jc w:val="left"/>
              <w:rPr>
                <w:rFonts w:ascii="宋体" w:hAnsi="宋体"/>
                <w:kern w:val="0"/>
                <w:sz w:val="24"/>
                <w:highlight w:val="none"/>
              </w:rPr>
            </w:pPr>
          </w:p>
        </w:tc>
        <w:tc>
          <w:tcPr>
            <w:tcW w:w="827" w:type="dxa"/>
          </w:tcPr>
          <w:p w14:paraId="35928015">
            <w:pPr>
              <w:autoSpaceDE w:val="0"/>
              <w:autoSpaceDN w:val="0"/>
              <w:adjustRightInd w:val="0"/>
              <w:snapToGrid w:val="0"/>
              <w:jc w:val="left"/>
              <w:rPr>
                <w:rFonts w:ascii="宋体" w:hAnsi="宋体"/>
                <w:kern w:val="0"/>
                <w:sz w:val="24"/>
                <w:highlight w:val="none"/>
              </w:rPr>
            </w:pPr>
          </w:p>
        </w:tc>
        <w:tc>
          <w:tcPr>
            <w:tcW w:w="1359" w:type="dxa"/>
          </w:tcPr>
          <w:p w14:paraId="3B19B3C3">
            <w:pPr>
              <w:autoSpaceDE w:val="0"/>
              <w:autoSpaceDN w:val="0"/>
              <w:adjustRightInd w:val="0"/>
              <w:snapToGrid w:val="0"/>
              <w:jc w:val="left"/>
              <w:rPr>
                <w:rFonts w:ascii="宋体" w:hAnsi="宋体"/>
                <w:kern w:val="0"/>
                <w:sz w:val="24"/>
                <w:highlight w:val="none"/>
              </w:rPr>
            </w:pPr>
          </w:p>
        </w:tc>
        <w:tc>
          <w:tcPr>
            <w:tcW w:w="1855" w:type="dxa"/>
          </w:tcPr>
          <w:p w14:paraId="0F8042AE">
            <w:pPr>
              <w:autoSpaceDE w:val="0"/>
              <w:autoSpaceDN w:val="0"/>
              <w:adjustRightInd w:val="0"/>
              <w:snapToGrid w:val="0"/>
              <w:jc w:val="left"/>
              <w:rPr>
                <w:rFonts w:ascii="宋体" w:hAnsi="宋体"/>
                <w:kern w:val="0"/>
                <w:sz w:val="24"/>
                <w:highlight w:val="none"/>
              </w:rPr>
            </w:pPr>
          </w:p>
        </w:tc>
        <w:tc>
          <w:tcPr>
            <w:tcW w:w="770" w:type="dxa"/>
          </w:tcPr>
          <w:p w14:paraId="3A07C242">
            <w:pPr>
              <w:autoSpaceDE w:val="0"/>
              <w:autoSpaceDN w:val="0"/>
              <w:adjustRightInd w:val="0"/>
              <w:snapToGrid w:val="0"/>
              <w:jc w:val="left"/>
              <w:rPr>
                <w:rFonts w:ascii="宋体" w:hAnsi="宋体"/>
                <w:kern w:val="0"/>
                <w:sz w:val="24"/>
                <w:highlight w:val="none"/>
              </w:rPr>
            </w:pPr>
          </w:p>
        </w:tc>
      </w:tr>
      <w:tr w14:paraId="3E4B6A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749D9B2">
            <w:pPr>
              <w:autoSpaceDE w:val="0"/>
              <w:autoSpaceDN w:val="0"/>
              <w:adjustRightInd w:val="0"/>
              <w:snapToGrid w:val="0"/>
              <w:jc w:val="left"/>
              <w:rPr>
                <w:rFonts w:ascii="宋体" w:hAnsi="宋体"/>
                <w:kern w:val="0"/>
                <w:sz w:val="24"/>
                <w:highlight w:val="none"/>
              </w:rPr>
            </w:pPr>
          </w:p>
        </w:tc>
        <w:tc>
          <w:tcPr>
            <w:tcW w:w="1219" w:type="dxa"/>
          </w:tcPr>
          <w:p w14:paraId="54E6C4BC">
            <w:pPr>
              <w:autoSpaceDE w:val="0"/>
              <w:autoSpaceDN w:val="0"/>
              <w:adjustRightInd w:val="0"/>
              <w:snapToGrid w:val="0"/>
              <w:jc w:val="left"/>
              <w:rPr>
                <w:rFonts w:ascii="宋体" w:hAnsi="宋体"/>
                <w:kern w:val="0"/>
                <w:sz w:val="24"/>
                <w:highlight w:val="none"/>
              </w:rPr>
            </w:pPr>
          </w:p>
        </w:tc>
        <w:tc>
          <w:tcPr>
            <w:tcW w:w="852" w:type="dxa"/>
          </w:tcPr>
          <w:p w14:paraId="09F99E23">
            <w:pPr>
              <w:autoSpaceDE w:val="0"/>
              <w:autoSpaceDN w:val="0"/>
              <w:adjustRightInd w:val="0"/>
              <w:snapToGrid w:val="0"/>
              <w:jc w:val="left"/>
              <w:rPr>
                <w:rFonts w:ascii="宋体" w:hAnsi="宋体"/>
                <w:kern w:val="0"/>
                <w:sz w:val="24"/>
                <w:highlight w:val="none"/>
              </w:rPr>
            </w:pPr>
          </w:p>
        </w:tc>
        <w:tc>
          <w:tcPr>
            <w:tcW w:w="1111" w:type="dxa"/>
          </w:tcPr>
          <w:p w14:paraId="3716C9EA">
            <w:pPr>
              <w:autoSpaceDE w:val="0"/>
              <w:autoSpaceDN w:val="0"/>
              <w:adjustRightInd w:val="0"/>
              <w:snapToGrid w:val="0"/>
              <w:jc w:val="left"/>
              <w:rPr>
                <w:rFonts w:ascii="宋体" w:hAnsi="宋体"/>
                <w:kern w:val="0"/>
                <w:sz w:val="24"/>
                <w:highlight w:val="none"/>
              </w:rPr>
            </w:pPr>
          </w:p>
        </w:tc>
        <w:tc>
          <w:tcPr>
            <w:tcW w:w="754" w:type="dxa"/>
          </w:tcPr>
          <w:p w14:paraId="35CDAC49">
            <w:pPr>
              <w:autoSpaceDE w:val="0"/>
              <w:autoSpaceDN w:val="0"/>
              <w:adjustRightInd w:val="0"/>
              <w:snapToGrid w:val="0"/>
              <w:jc w:val="left"/>
              <w:rPr>
                <w:rFonts w:ascii="宋体" w:hAnsi="宋体"/>
                <w:kern w:val="0"/>
                <w:sz w:val="24"/>
                <w:highlight w:val="none"/>
              </w:rPr>
            </w:pPr>
          </w:p>
        </w:tc>
        <w:tc>
          <w:tcPr>
            <w:tcW w:w="827" w:type="dxa"/>
          </w:tcPr>
          <w:p w14:paraId="6A772D72">
            <w:pPr>
              <w:autoSpaceDE w:val="0"/>
              <w:autoSpaceDN w:val="0"/>
              <w:adjustRightInd w:val="0"/>
              <w:snapToGrid w:val="0"/>
              <w:jc w:val="left"/>
              <w:rPr>
                <w:rFonts w:ascii="宋体" w:hAnsi="宋体"/>
                <w:kern w:val="0"/>
                <w:sz w:val="24"/>
                <w:highlight w:val="none"/>
              </w:rPr>
            </w:pPr>
          </w:p>
        </w:tc>
        <w:tc>
          <w:tcPr>
            <w:tcW w:w="1359" w:type="dxa"/>
          </w:tcPr>
          <w:p w14:paraId="486710DA">
            <w:pPr>
              <w:autoSpaceDE w:val="0"/>
              <w:autoSpaceDN w:val="0"/>
              <w:adjustRightInd w:val="0"/>
              <w:snapToGrid w:val="0"/>
              <w:jc w:val="left"/>
              <w:rPr>
                <w:rFonts w:ascii="宋体" w:hAnsi="宋体"/>
                <w:kern w:val="0"/>
                <w:sz w:val="24"/>
                <w:highlight w:val="none"/>
              </w:rPr>
            </w:pPr>
          </w:p>
        </w:tc>
        <w:tc>
          <w:tcPr>
            <w:tcW w:w="1855" w:type="dxa"/>
          </w:tcPr>
          <w:p w14:paraId="09343C0B">
            <w:pPr>
              <w:autoSpaceDE w:val="0"/>
              <w:autoSpaceDN w:val="0"/>
              <w:adjustRightInd w:val="0"/>
              <w:snapToGrid w:val="0"/>
              <w:jc w:val="left"/>
              <w:rPr>
                <w:rFonts w:ascii="宋体" w:hAnsi="宋体"/>
                <w:kern w:val="0"/>
                <w:sz w:val="24"/>
                <w:highlight w:val="none"/>
              </w:rPr>
            </w:pPr>
          </w:p>
        </w:tc>
        <w:tc>
          <w:tcPr>
            <w:tcW w:w="770" w:type="dxa"/>
          </w:tcPr>
          <w:p w14:paraId="75C12C57">
            <w:pPr>
              <w:autoSpaceDE w:val="0"/>
              <w:autoSpaceDN w:val="0"/>
              <w:adjustRightInd w:val="0"/>
              <w:snapToGrid w:val="0"/>
              <w:jc w:val="left"/>
              <w:rPr>
                <w:rFonts w:ascii="宋体" w:hAnsi="宋体"/>
                <w:kern w:val="0"/>
                <w:sz w:val="24"/>
                <w:highlight w:val="none"/>
              </w:rPr>
            </w:pPr>
          </w:p>
        </w:tc>
      </w:tr>
      <w:tr w14:paraId="44ED0C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AC3F893">
            <w:pPr>
              <w:autoSpaceDE w:val="0"/>
              <w:autoSpaceDN w:val="0"/>
              <w:adjustRightInd w:val="0"/>
              <w:snapToGrid w:val="0"/>
              <w:jc w:val="left"/>
              <w:rPr>
                <w:rFonts w:ascii="宋体" w:hAnsi="宋体"/>
                <w:kern w:val="0"/>
                <w:sz w:val="24"/>
                <w:highlight w:val="none"/>
              </w:rPr>
            </w:pPr>
          </w:p>
        </w:tc>
        <w:tc>
          <w:tcPr>
            <w:tcW w:w="1219" w:type="dxa"/>
          </w:tcPr>
          <w:p w14:paraId="623DBC8B">
            <w:pPr>
              <w:autoSpaceDE w:val="0"/>
              <w:autoSpaceDN w:val="0"/>
              <w:adjustRightInd w:val="0"/>
              <w:snapToGrid w:val="0"/>
              <w:jc w:val="left"/>
              <w:rPr>
                <w:rFonts w:ascii="宋体" w:hAnsi="宋体"/>
                <w:kern w:val="0"/>
                <w:sz w:val="24"/>
                <w:highlight w:val="none"/>
              </w:rPr>
            </w:pPr>
          </w:p>
        </w:tc>
        <w:tc>
          <w:tcPr>
            <w:tcW w:w="852" w:type="dxa"/>
          </w:tcPr>
          <w:p w14:paraId="5C603E0F">
            <w:pPr>
              <w:autoSpaceDE w:val="0"/>
              <w:autoSpaceDN w:val="0"/>
              <w:adjustRightInd w:val="0"/>
              <w:snapToGrid w:val="0"/>
              <w:jc w:val="left"/>
              <w:rPr>
                <w:rFonts w:ascii="宋体" w:hAnsi="宋体"/>
                <w:kern w:val="0"/>
                <w:sz w:val="24"/>
                <w:highlight w:val="none"/>
              </w:rPr>
            </w:pPr>
          </w:p>
        </w:tc>
        <w:tc>
          <w:tcPr>
            <w:tcW w:w="1111" w:type="dxa"/>
          </w:tcPr>
          <w:p w14:paraId="60E3A2F2">
            <w:pPr>
              <w:autoSpaceDE w:val="0"/>
              <w:autoSpaceDN w:val="0"/>
              <w:adjustRightInd w:val="0"/>
              <w:snapToGrid w:val="0"/>
              <w:jc w:val="left"/>
              <w:rPr>
                <w:rFonts w:ascii="宋体" w:hAnsi="宋体"/>
                <w:kern w:val="0"/>
                <w:sz w:val="24"/>
                <w:highlight w:val="none"/>
              </w:rPr>
            </w:pPr>
          </w:p>
        </w:tc>
        <w:tc>
          <w:tcPr>
            <w:tcW w:w="754" w:type="dxa"/>
          </w:tcPr>
          <w:p w14:paraId="2890B2AD">
            <w:pPr>
              <w:autoSpaceDE w:val="0"/>
              <w:autoSpaceDN w:val="0"/>
              <w:adjustRightInd w:val="0"/>
              <w:snapToGrid w:val="0"/>
              <w:jc w:val="left"/>
              <w:rPr>
                <w:rFonts w:ascii="宋体" w:hAnsi="宋体"/>
                <w:kern w:val="0"/>
                <w:sz w:val="24"/>
                <w:highlight w:val="none"/>
              </w:rPr>
            </w:pPr>
          </w:p>
        </w:tc>
        <w:tc>
          <w:tcPr>
            <w:tcW w:w="827" w:type="dxa"/>
          </w:tcPr>
          <w:p w14:paraId="15D9E5F5">
            <w:pPr>
              <w:autoSpaceDE w:val="0"/>
              <w:autoSpaceDN w:val="0"/>
              <w:adjustRightInd w:val="0"/>
              <w:snapToGrid w:val="0"/>
              <w:jc w:val="left"/>
              <w:rPr>
                <w:rFonts w:ascii="宋体" w:hAnsi="宋体"/>
                <w:kern w:val="0"/>
                <w:sz w:val="24"/>
                <w:highlight w:val="none"/>
              </w:rPr>
            </w:pPr>
          </w:p>
        </w:tc>
        <w:tc>
          <w:tcPr>
            <w:tcW w:w="1359" w:type="dxa"/>
          </w:tcPr>
          <w:p w14:paraId="06404074">
            <w:pPr>
              <w:autoSpaceDE w:val="0"/>
              <w:autoSpaceDN w:val="0"/>
              <w:adjustRightInd w:val="0"/>
              <w:snapToGrid w:val="0"/>
              <w:jc w:val="left"/>
              <w:rPr>
                <w:rFonts w:ascii="宋体" w:hAnsi="宋体"/>
                <w:kern w:val="0"/>
                <w:sz w:val="24"/>
                <w:highlight w:val="none"/>
              </w:rPr>
            </w:pPr>
          </w:p>
        </w:tc>
        <w:tc>
          <w:tcPr>
            <w:tcW w:w="1855" w:type="dxa"/>
          </w:tcPr>
          <w:p w14:paraId="4ED80D4E">
            <w:pPr>
              <w:autoSpaceDE w:val="0"/>
              <w:autoSpaceDN w:val="0"/>
              <w:adjustRightInd w:val="0"/>
              <w:snapToGrid w:val="0"/>
              <w:jc w:val="left"/>
              <w:rPr>
                <w:rFonts w:ascii="宋体" w:hAnsi="宋体"/>
                <w:kern w:val="0"/>
                <w:sz w:val="24"/>
                <w:highlight w:val="none"/>
              </w:rPr>
            </w:pPr>
          </w:p>
        </w:tc>
        <w:tc>
          <w:tcPr>
            <w:tcW w:w="770" w:type="dxa"/>
          </w:tcPr>
          <w:p w14:paraId="2B74F845">
            <w:pPr>
              <w:autoSpaceDE w:val="0"/>
              <w:autoSpaceDN w:val="0"/>
              <w:adjustRightInd w:val="0"/>
              <w:snapToGrid w:val="0"/>
              <w:jc w:val="left"/>
              <w:rPr>
                <w:rFonts w:ascii="宋体" w:hAnsi="宋体"/>
                <w:kern w:val="0"/>
                <w:sz w:val="24"/>
                <w:highlight w:val="none"/>
              </w:rPr>
            </w:pPr>
          </w:p>
        </w:tc>
      </w:tr>
      <w:tr w14:paraId="005EE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1CCD805">
            <w:pPr>
              <w:autoSpaceDE w:val="0"/>
              <w:autoSpaceDN w:val="0"/>
              <w:adjustRightInd w:val="0"/>
              <w:snapToGrid w:val="0"/>
              <w:jc w:val="left"/>
              <w:rPr>
                <w:rFonts w:ascii="宋体" w:hAnsi="宋体"/>
                <w:kern w:val="0"/>
                <w:sz w:val="24"/>
                <w:highlight w:val="none"/>
              </w:rPr>
            </w:pPr>
          </w:p>
        </w:tc>
        <w:tc>
          <w:tcPr>
            <w:tcW w:w="1219" w:type="dxa"/>
          </w:tcPr>
          <w:p w14:paraId="60FD701E">
            <w:pPr>
              <w:autoSpaceDE w:val="0"/>
              <w:autoSpaceDN w:val="0"/>
              <w:adjustRightInd w:val="0"/>
              <w:snapToGrid w:val="0"/>
              <w:jc w:val="left"/>
              <w:rPr>
                <w:rFonts w:ascii="宋体" w:hAnsi="宋体"/>
                <w:kern w:val="0"/>
                <w:sz w:val="24"/>
                <w:highlight w:val="none"/>
              </w:rPr>
            </w:pPr>
          </w:p>
        </w:tc>
        <w:tc>
          <w:tcPr>
            <w:tcW w:w="852" w:type="dxa"/>
          </w:tcPr>
          <w:p w14:paraId="3E0F77C4">
            <w:pPr>
              <w:autoSpaceDE w:val="0"/>
              <w:autoSpaceDN w:val="0"/>
              <w:adjustRightInd w:val="0"/>
              <w:snapToGrid w:val="0"/>
              <w:jc w:val="left"/>
              <w:rPr>
                <w:rFonts w:ascii="宋体" w:hAnsi="宋体"/>
                <w:kern w:val="0"/>
                <w:sz w:val="24"/>
                <w:highlight w:val="none"/>
              </w:rPr>
            </w:pPr>
          </w:p>
        </w:tc>
        <w:tc>
          <w:tcPr>
            <w:tcW w:w="1111" w:type="dxa"/>
          </w:tcPr>
          <w:p w14:paraId="40EDCB3B">
            <w:pPr>
              <w:autoSpaceDE w:val="0"/>
              <w:autoSpaceDN w:val="0"/>
              <w:adjustRightInd w:val="0"/>
              <w:snapToGrid w:val="0"/>
              <w:jc w:val="left"/>
              <w:rPr>
                <w:rFonts w:ascii="宋体" w:hAnsi="宋体"/>
                <w:kern w:val="0"/>
                <w:sz w:val="24"/>
                <w:highlight w:val="none"/>
              </w:rPr>
            </w:pPr>
          </w:p>
        </w:tc>
        <w:tc>
          <w:tcPr>
            <w:tcW w:w="754" w:type="dxa"/>
          </w:tcPr>
          <w:p w14:paraId="18CFCA6A">
            <w:pPr>
              <w:autoSpaceDE w:val="0"/>
              <w:autoSpaceDN w:val="0"/>
              <w:adjustRightInd w:val="0"/>
              <w:snapToGrid w:val="0"/>
              <w:jc w:val="left"/>
              <w:rPr>
                <w:rFonts w:ascii="宋体" w:hAnsi="宋体"/>
                <w:kern w:val="0"/>
                <w:sz w:val="24"/>
                <w:highlight w:val="none"/>
              </w:rPr>
            </w:pPr>
          </w:p>
        </w:tc>
        <w:tc>
          <w:tcPr>
            <w:tcW w:w="827" w:type="dxa"/>
          </w:tcPr>
          <w:p w14:paraId="26F92B86">
            <w:pPr>
              <w:autoSpaceDE w:val="0"/>
              <w:autoSpaceDN w:val="0"/>
              <w:adjustRightInd w:val="0"/>
              <w:snapToGrid w:val="0"/>
              <w:jc w:val="left"/>
              <w:rPr>
                <w:rFonts w:ascii="宋体" w:hAnsi="宋体"/>
                <w:kern w:val="0"/>
                <w:sz w:val="24"/>
                <w:highlight w:val="none"/>
              </w:rPr>
            </w:pPr>
          </w:p>
        </w:tc>
        <w:tc>
          <w:tcPr>
            <w:tcW w:w="1359" w:type="dxa"/>
          </w:tcPr>
          <w:p w14:paraId="0860A64E">
            <w:pPr>
              <w:autoSpaceDE w:val="0"/>
              <w:autoSpaceDN w:val="0"/>
              <w:adjustRightInd w:val="0"/>
              <w:snapToGrid w:val="0"/>
              <w:jc w:val="left"/>
              <w:rPr>
                <w:rFonts w:ascii="宋体" w:hAnsi="宋体"/>
                <w:kern w:val="0"/>
                <w:sz w:val="24"/>
                <w:highlight w:val="none"/>
              </w:rPr>
            </w:pPr>
          </w:p>
        </w:tc>
        <w:tc>
          <w:tcPr>
            <w:tcW w:w="1855" w:type="dxa"/>
          </w:tcPr>
          <w:p w14:paraId="7505BC03">
            <w:pPr>
              <w:autoSpaceDE w:val="0"/>
              <w:autoSpaceDN w:val="0"/>
              <w:adjustRightInd w:val="0"/>
              <w:snapToGrid w:val="0"/>
              <w:jc w:val="left"/>
              <w:rPr>
                <w:rFonts w:ascii="宋体" w:hAnsi="宋体"/>
                <w:kern w:val="0"/>
                <w:sz w:val="24"/>
                <w:highlight w:val="none"/>
              </w:rPr>
            </w:pPr>
          </w:p>
        </w:tc>
        <w:tc>
          <w:tcPr>
            <w:tcW w:w="770" w:type="dxa"/>
          </w:tcPr>
          <w:p w14:paraId="2A76D016">
            <w:pPr>
              <w:autoSpaceDE w:val="0"/>
              <w:autoSpaceDN w:val="0"/>
              <w:adjustRightInd w:val="0"/>
              <w:snapToGrid w:val="0"/>
              <w:jc w:val="left"/>
              <w:rPr>
                <w:rFonts w:ascii="宋体" w:hAnsi="宋体"/>
                <w:kern w:val="0"/>
                <w:sz w:val="24"/>
                <w:highlight w:val="none"/>
              </w:rPr>
            </w:pPr>
          </w:p>
        </w:tc>
      </w:tr>
      <w:tr w14:paraId="732E7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CFE7908">
            <w:pPr>
              <w:autoSpaceDE w:val="0"/>
              <w:autoSpaceDN w:val="0"/>
              <w:adjustRightInd w:val="0"/>
              <w:snapToGrid w:val="0"/>
              <w:jc w:val="left"/>
              <w:rPr>
                <w:rFonts w:ascii="宋体" w:hAnsi="宋体"/>
                <w:kern w:val="0"/>
                <w:sz w:val="24"/>
                <w:highlight w:val="none"/>
              </w:rPr>
            </w:pPr>
          </w:p>
        </w:tc>
        <w:tc>
          <w:tcPr>
            <w:tcW w:w="1219" w:type="dxa"/>
          </w:tcPr>
          <w:p w14:paraId="4CD37BF9">
            <w:pPr>
              <w:autoSpaceDE w:val="0"/>
              <w:autoSpaceDN w:val="0"/>
              <w:adjustRightInd w:val="0"/>
              <w:snapToGrid w:val="0"/>
              <w:jc w:val="left"/>
              <w:rPr>
                <w:rFonts w:ascii="宋体" w:hAnsi="宋体"/>
                <w:kern w:val="0"/>
                <w:sz w:val="24"/>
                <w:highlight w:val="none"/>
              </w:rPr>
            </w:pPr>
          </w:p>
        </w:tc>
        <w:tc>
          <w:tcPr>
            <w:tcW w:w="852" w:type="dxa"/>
          </w:tcPr>
          <w:p w14:paraId="56436444">
            <w:pPr>
              <w:autoSpaceDE w:val="0"/>
              <w:autoSpaceDN w:val="0"/>
              <w:adjustRightInd w:val="0"/>
              <w:snapToGrid w:val="0"/>
              <w:jc w:val="left"/>
              <w:rPr>
                <w:rFonts w:ascii="宋体" w:hAnsi="宋体"/>
                <w:kern w:val="0"/>
                <w:sz w:val="24"/>
                <w:highlight w:val="none"/>
              </w:rPr>
            </w:pPr>
          </w:p>
        </w:tc>
        <w:tc>
          <w:tcPr>
            <w:tcW w:w="1111" w:type="dxa"/>
          </w:tcPr>
          <w:p w14:paraId="750E0D4A">
            <w:pPr>
              <w:autoSpaceDE w:val="0"/>
              <w:autoSpaceDN w:val="0"/>
              <w:adjustRightInd w:val="0"/>
              <w:snapToGrid w:val="0"/>
              <w:jc w:val="left"/>
              <w:rPr>
                <w:rFonts w:ascii="宋体" w:hAnsi="宋体"/>
                <w:kern w:val="0"/>
                <w:sz w:val="24"/>
                <w:highlight w:val="none"/>
              </w:rPr>
            </w:pPr>
          </w:p>
        </w:tc>
        <w:tc>
          <w:tcPr>
            <w:tcW w:w="754" w:type="dxa"/>
          </w:tcPr>
          <w:p w14:paraId="7A0714BC">
            <w:pPr>
              <w:autoSpaceDE w:val="0"/>
              <w:autoSpaceDN w:val="0"/>
              <w:adjustRightInd w:val="0"/>
              <w:snapToGrid w:val="0"/>
              <w:jc w:val="left"/>
              <w:rPr>
                <w:rFonts w:ascii="宋体" w:hAnsi="宋体"/>
                <w:kern w:val="0"/>
                <w:sz w:val="24"/>
                <w:highlight w:val="none"/>
              </w:rPr>
            </w:pPr>
          </w:p>
        </w:tc>
        <w:tc>
          <w:tcPr>
            <w:tcW w:w="827" w:type="dxa"/>
          </w:tcPr>
          <w:p w14:paraId="5931BB7E">
            <w:pPr>
              <w:autoSpaceDE w:val="0"/>
              <w:autoSpaceDN w:val="0"/>
              <w:adjustRightInd w:val="0"/>
              <w:snapToGrid w:val="0"/>
              <w:jc w:val="left"/>
              <w:rPr>
                <w:rFonts w:ascii="宋体" w:hAnsi="宋体"/>
                <w:kern w:val="0"/>
                <w:sz w:val="24"/>
                <w:highlight w:val="none"/>
              </w:rPr>
            </w:pPr>
          </w:p>
        </w:tc>
        <w:tc>
          <w:tcPr>
            <w:tcW w:w="1359" w:type="dxa"/>
          </w:tcPr>
          <w:p w14:paraId="2C9851D8">
            <w:pPr>
              <w:autoSpaceDE w:val="0"/>
              <w:autoSpaceDN w:val="0"/>
              <w:adjustRightInd w:val="0"/>
              <w:snapToGrid w:val="0"/>
              <w:jc w:val="left"/>
              <w:rPr>
                <w:rFonts w:ascii="宋体" w:hAnsi="宋体"/>
                <w:kern w:val="0"/>
                <w:sz w:val="24"/>
                <w:highlight w:val="none"/>
              </w:rPr>
            </w:pPr>
          </w:p>
        </w:tc>
        <w:tc>
          <w:tcPr>
            <w:tcW w:w="1855" w:type="dxa"/>
          </w:tcPr>
          <w:p w14:paraId="1BC6BE98">
            <w:pPr>
              <w:autoSpaceDE w:val="0"/>
              <w:autoSpaceDN w:val="0"/>
              <w:adjustRightInd w:val="0"/>
              <w:snapToGrid w:val="0"/>
              <w:jc w:val="left"/>
              <w:rPr>
                <w:rFonts w:ascii="宋体" w:hAnsi="宋体"/>
                <w:kern w:val="0"/>
                <w:sz w:val="24"/>
                <w:highlight w:val="none"/>
              </w:rPr>
            </w:pPr>
          </w:p>
        </w:tc>
        <w:tc>
          <w:tcPr>
            <w:tcW w:w="770" w:type="dxa"/>
          </w:tcPr>
          <w:p w14:paraId="7387003E">
            <w:pPr>
              <w:autoSpaceDE w:val="0"/>
              <w:autoSpaceDN w:val="0"/>
              <w:adjustRightInd w:val="0"/>
              <w:snapToGrid w:val="0"/>
              <w:jc w:val="left"/>
              <w:rPr>
                <w:rFonts w:ascii="宋体" w:hAnsi="宋体"/>
                <w:kern w:val="0"/>
                <w:sz w:val="24"/>
                <w:highlight w:val="none"/>
              </w:rPr>
            </w:pPr>
          </w:p>
        </w:tc>
      </w:tr>
      <w:tr w14:paraId="5C1B3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16AADF0">
            <w:pPr>
              <w:autoSpaceDE w:val="0"/>
              <w:autoSpaceDN w:val="0"/>
              <w:adjustRightInd w:val="0"/>
              <w:snapToGrid w:val="0"/>
              <w:jc w:val="left"/>
              <w:rPr>
                <w:rFonts w:ascii="宋体" w:hAnsi="宋体"/>
                <w:kern w:val="0"/>
                <w:sz w:val="24"/>
                <w:highlight w:val="none"/>
              </w:rPr>
            </w:pPr>
          </w:p>
        </w:tc>
        <w:tc>
          <w:tcPr>
            <w:tcW w:w="1219" w:type="dxa"/>
          </w:tcPr>
          <w:p w14:paraId="21517409">
            <w:pPr>
              <w:autoSpaceDE w:val="0"/>
              <w:autoSpaceDN w:val="0"/>
              <w:adjustRightInd w:val="0"/>
              <w:snapToGrid w:val="0"/>
              <w:jc w:val="left"/>
              <w:rPr>
                <w:rFonts w:ascii="宋体" w:hAnsi="宋体"/>
                <w:kern w:val="0"/>
                <w:sz w:val="24"/>
                <w:highlight w:val="none"/>
              </w:rPr>
            </w:pPr>
          </w:p>
        </w:tc>
        <w:tc>
          <w:tcPr>
            <w:tcW w:w="852" w:type="dxa"/>
          </w:tcPr>
          <w:p w14:paraId="390FF950">
            <w:pPr>
              <w:autoSpaceDE w:val="0"/>
              <w:autoSpaceDN w:val="0"/>
              <w:adjustRightInd w:val="0"/>
              <w:snapToGrid w:val="0"/>
              <w:jc w:val="left"/>
              <w:rPr>
                <w:rFonts w:ascii="宋体" w:hAnsi="宋体"/>
                <w:kern w:val="0"/>
                <w:sz w:val="24"/>
                <w:highlight w:val="none"/>
              </w:rPr>
            </w:pPr>
          </w:p>
        </w:tc>
        <w:tc>
          <w:tcPr>
            <w:tcW w:w="1111" w:type="dxa"/>
          </w:tcPr>
          <w:p w14:paraId="37CA08DC">
            <w:pPr>
              <w:autoSpaceDE w:val="0"/>
              <w:autoSpaceDN w:val="0"/>
              <w:adjustRightInd w:val="0"/>
              <w:snapToGrid w:val="0"/>
              <w:jc w:val="left"/>
              <w:rPr>
                <w:rFonts w:ascii="宋体" w:hAnsi="宋体"/>
                <w:kern w:val="0"/>
                <w:sz w:val="24"/>
                <w:highlight w:val="none"/>
              </w:rPr>
            </w:pPr>
          </w:p>
        </w:tc>
        <w:tc>
          <w:tcPr>
            <w:tcW w:w="754" w:type="dxa"/>
          </w:tcPr>
          <w:p w14:paraId="432F8CAA">
            <w:pPr>
              <w:autoSpaceDE w:val="0"/>
              <w:autoSpaceDN w:val="0"/>
              <w:adjustRightInd w:val="0"/>
              <w:snapToGrid w:val="0"/>
              <w:jc w:val="left"/>
              <w:rPr>
                <w:rFonts w:ascii="宋体" w:hAnsi="宋体"/>
                <w:kern w:val="0"/>
                <w:sz w:val="24"/>
                <w:highlight w:val="none"/>
              </w:rPr>
            </w:pPr>
          </w:p>
        </w:tc>
        <w:tc>
          <w:tcPr>
            <w:tcW w:w="827" w:type="dxa"/>
          </w:tcPr>
          <w:p w14:paraId="240557AA">
            <w:pPr>
              <w:autoSpaceDE w:val="0"/>
              <w:autoSpaceDN w:val="0"/>
              <w:adjustRightInd w:val="0"/>
              <w:snapToGrid w:val="0"/>
              <w:jc w:val="left"/>
              <w:rPr>
                <w:rFonts w:ascii="宋体" w:hAnsi="宋体"/>
                <w:kern w:val="0"/>
                <w:sz w:val="24"/>
                <w:highlight w:val="none"/>
              </w:rPr>
            </w:pPr>
          </w:p>
        </w:tc>
        <w:tc>
          <w:tcPr>
            <w:tcW w:w="1359" w:type="dxa"/>
          </w:tcPr>
          <w:p w14:paraId="5E9620DD">
            <w:pPr>
              <w:autoSpaceDE w:val="0"/>
              <w:autoSpaceDN w:val="0"/>
              <w:adjustRightInd w:val="0"/>
              <w:snapToGrid w:val="0"/>
              <w:jc w:val="left"/>
              <w:rPr>
                <w:rFonts w:ascii="宋体" w:hAnsi="宋体"/>
                <w:kern w:val="0"/>
                <w:sz w:val="24"/>
                <w:highlight w:val="none"/>
              </w:rPr>
            </w:pPr>
          </w:p>
        </w:tc>
        <w:tc>
          <w:tcPr>
            <w:tcW w:w="1855" w:type="dxa"/>
          </w:tcPr>
          <w:p w14:paraId="76389145">
            <w:pPr>
              <w:autoSpaceDE w:val="0"/>
              <w:autoSpaceDN w:val="0"/>
              <w:adjustRightInd w:val="0"/>
              <w:snapToGrid w:val="0"/>
              <w:jc w:val="left"/>
              <w:rPr>
                <w:rFonts w:ascii="宋体" w:hAnsi="宋体"/>
                <w:kern w:val="0"/>
                <w:sz w:val="24"/>
                <w:highlight w:val="none"/>
              </w:rPr>
            </w:pPr>
          </w:p>
        </w:tc>
        <w:tc>
          <w:tcPr>
            <w:tcW w:w="770" w:type="dxa"/>
          </w:tcPr>
          <w:p w14:paraId="2B7040F0">
            <w:pPr>
              <w:autoSpaceDE w:val="0"/>
              <w:autoSpaceDN w:val="0"/>
              <w:adjustRightInd w:val="0"/>
              <w:snapToGrid w:val="0"/>
              <w:jc w:val="left"/>
              <w:rPr>
                <w:rFonts w:ascii="宋体" w:hAnsi="宋体"/>
                <w:kern w:val="0"/>
                <w:sz w:val="24"/>
                <w:highlight w:val="none"/>
              </w:rPr>
            </w:pPr>
          </w:p>
        </w:tc>
      </w:tr>
      <w:tr w14:paraId="53E27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B5DEB0A">
            <w:pPr>
              <w:autoSpaceDE w:val="0"/>
              <w:autoSpaceDN w:val="0"/>
              <w:adjustRightInd w:val="0"/>
              <w:snapToGrid w:val="0"/>
              <w:jc w:val="left"/>
              <w:rPr>
                <w:rFonts w:ascii="宋体" w:hAnsi="宋体"/>
                <w:kern w:val="0"/>
                <w:sz w:val="24"/>
                <w:highlight w:val="none"/>
              </w:rPr>
            </w:pPr>
          </w:p>
        </w:tc>
        <w:tc>
          <w:tcPr>
            <w:tcW w:w="1219" w:type="dxa"/>
          </w:tcPr>
          <w:p w14:paraId="52CDC8BC">
            <w:pPr>
              <w:autoSpaceDE w:val="0"/>
              <w:autoSpaceDN w:val="0"/>
              <w:adjustRightInd w:val="0"/>
              <w:snapToGrid w:val="0"/>
              <w:jc w:val="left"/>
              <w:rPr>
                <w:rFonts w:ascii="宋体" w:hAnsi="宋体"/>
                <w:kern w:val="0"/>
                <w:sz w:val="24"/>
                <w:highlight w:val="none"/>
              </w:rPr>
            </w:pPr>
          </w:p>
        </w:tc>
        <w:tc>
          <w:tcPr>
            <w:tcW w:w="852" w:type="dxa"/>
          </w:tcPr>
          <w:p w14:paraId="48A9A7AB">
            <w:pPr>
              <w:autoSpaceDE w:val="0"/>
              <w:autoSpaceDN w:val="0"/>
              <w:adjustRightInd w:val="0"/>
              <w:snapToGrid w:val="0"/>
              <w:jc w:val="left"/>
              <w:rPr>
                <w:rFonts w:ascii="宋体" w:hAnsi="宋体"/>
                <w:kern w:val="0"/>
                <w:sz w:val="24"/>
                <w:highlight w:val="none"/>
              </w:rPr>
            </w:pPr>
          </w:p>
        </w:tc>
        <w:tc>
          <w:tcPr>
            <w:tcW w:w="1111" w:type="dxa"/>
          </w:tcPr>
          <w:p w14:paraId="1EA74F4B">
            <w:pPr>
              <w:autoSpaceDE w:val="0"/>
              <w:autoSpaceDN w:val="0"/>
              <w:adjustRightInd w:val="0"/>
              <w:snapToGrid w:val="0"/>
              <w:jc w:val="left"/>
              <w:rPr>
                <w:rFonts w:ascii="宋体" w:hAnsi="宋体"/>
                <w:kern w:val="0"/>
                <w:sz w:val="24"/>
                <w:highlight w:val="none"/>
              </w:rPr>
            </w:pPr>
          </w:p>
        </w:tc>
        <w:tc>
          <w:tcPr>
            <w:tcW w:w="754" w:type="dxa"/>
          </w:tcPr>
          <w:p w14:paraId="1E513CBD">
            <w:pPr>
              <w:autoSpaceDE w:val="0"/>
              <w:autoSpaceDN w:val="0"/>
              <w:adjustRightInd w:val="0"/>
              <w:snapToGrid w:val="0"/>
              <w:jc w:val="left"/>
              <w:rPr>
                <w:rFonts w:ascii="宋体" w:hAnsi="宋体"/>
                <w:kern w:val="0"/>
                <w:sz w:val="24"/>
                <w:highlight w:val="none"/>
              </w:rPr>
            </w:pPr>
          </w:p>
        </w:tc>
        <w:tc>
          <w:tcPr>
            <w:tcW w:w="827" w:type="dxa"/>
          </w:tcPr>
          <w:p w14:paraId="35352739">
            <w:pPr>
              <w:autoSpaceDE w:val="0"/>
              <w:autoSpaceDN w:val="0"/>
              <w:adjustRightInd w:val="0"/>
              <w:snapToGrid w:val="0"/>
              <w:jc w:val="left"/>
              <w:rPr>
                <w:rFonts w:ascii="宋体" w:hAnsi="宋体"/>
                <w:kern w:val="0"/>
                <w:sz w:val="24"/>
                <w:highlight w:val="none"/>
              </w:rPr>
            </w:pPr>
          </w:p>
        </w:tc>
        <w:tc>
          <w:tcPr>
            <w:tcW w:w="1359" w:type="dxa"/>
          </w:tcPr>
          <w:p w14:paraId="3259EBE6">
            <w:pPr>
              <w:autoSpaceDE w:val="0"/>
              <w:autoSpaceDN w:val="0"/>
              <w:adjustRightInd w:val="0"/>
              <w:snapToGrid w:val="0"/>
              <w:jc w:val="left"/>
              <w:rPr>
                <w:rFonts w:ascii="宋体" w:hAnsi="宋体"/>
                <w:kern w:val="0"/>
                <w:sz w:val="24"/>
                <w:highlight w:val="none"/>
              </w:rPr>
            </w:pPr>
          </w:p>
        </w:tc>
        <w:tc>
          <w:tcPr>
            <w:tcW w:w="1855" w:type="dxa"/>
          </w:tcPr>
          <w:p w14:paraId="7AA8C303">
            <w:pPr>
              <w:autoSpaceDE w:val="0"/>
              <w:autoSpaceDN w:val="0"/>
              <w:adjustRightInd w:val="0"/>
              <w:snapToGrid w:val="0"/>
              <w:jc w:val="left"/>
              <w:rPr>
                <w:rFonts w:ascii="宋体" w:hAnsi="宋体"/>
                <w:kern w:val="0"/>
                <w:sz w:val="24"/>
                <w:highlight w:val="none"/>
              </w:rPr>
            </w:pPr>
          </w:p>
        </w:tc>
        <w:tc>
          <w:tcPr>
            <w:tcW w:w="770" w:type="dxa"/>
          </w:tcPr>
          <w:p w14:paraId="0D1E6C90">
            <w:pPr>
              <w:autoSpaceDE w:val="0"/>
              <w:autoSpaceDN w:val="0"/>
              <w:adjustRightInd w:val="0"/>
              <w:snapToGrid w:val="0"/>
              <w:jc w:val="left"/>
              <w:rPr>
                <w:rFonts w:ascii="宋体" w:hAnsi="宋体"/>
                <w:kern w:val="0"/>
                <w:sz w:val="24"/>
                <w:highlight w:val="none"/>
              </w:rPr>
            </w:pPr>
          </w:p>
        </w:tc>
      </w:tr>
    </w:tbl>
    <w:p w14:paraId="17A0158F">
      <w:pPr>
        <w:spacing w:line="20" w:lineRule="exact"/>
        <w:rPr>
          <w:rFonts w:ascii="宋体" w:hAnsi="宋体"/>
          <w:highlight w:val="none"/>
        </w:rPr>
      </w:pPr>
    </w:p>
    <w:p w14:paraId="57469BEB">
      <w:pPr>
        <w:jc w:val="center"/>
        <w:rPr>
          <w:rFonts w:hint="eastAsia" w:asciiTheme="minorEastAsia" w:hAnsiTheme="minorEastAsia" w:eastAsiaTheme="minorEastAsia" w:cstheme="minorEastAsia"/>
          <w:b/>
          <w:sz w:val="24"/>
          <w:szCs w:val="24"/>
          <w:highlight w:val="none"/>
        </w:rPr>
      </w:pPr>
      <w:r>
        <w:rPr>
          <w:rFonts w:ascii="宋体" w:hAnsi="宋体"/>
          <w:sz w:val="28"/>
          <w:highlight w:val="none"/>
        </w:rPr>
        <w:br w:type="page"/>
      </w:r>
      <w:r>
        <w:rPr>
          <w:rFonts w:hint="eastAsia" w:asciiTheme="minorEastAsia" w:hAnsiTheme="minorEastAsia" w:eastAsiaTheme="minorEastAsia" w:cstheme="minorEastAsia"/>
          <w:sz w:val="24"/>
          <w:szCs w:val="24"/>
          <w:highlight w:val="none"/>
        </w:rPr>
        <w:t>附表三：劳动力计划表</w:t>
      </w:r>
    </w:p>
    <w:p w14:paraId="3F5DF463">
      <w:pPr>
        <w:autoSpaceDE w:val="0"/>
        <w:autoSpaceDN w:val="0"/>
        <w:adjustRightInd w:val="0"/>
        <w:snapToGrid w:val="0"/>
        <w:spacing w:line="360" w:lineRule="auto"/>
        <w:ind w:right="210"/>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单位：人</w:t>
      </w:r>
    </w:p>
    <w:tbl>
      <w:tblPr>
        <w:tblStyle w:val="22"/>
        <w:tblW w:w="9498" w:type="dxa"/>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6E1E2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1A913017">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工种</w:t>
            </w:r>
          </w:p>
        </w:tc>
        <w:tc>
          <w:tcPr>
            <w:tcW w:w="8574" w:type="dxa"/>
            <w:gridSpan w:val="7"/>
            <w:vAlign w:val="center"/>
          </w:tcPr>
          <w:p w14:paraId="1D62BB7B">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按工程施工阶段投入劳动力情况</w:t>
            </w:r>
          </w:p>
        </w:tc>
      </w:tr>
      <w:tr w14:paraId="070FDC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40FCB93C">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453" w:type="dxa"/>
          </w:tcPr>
          <w:p w14:paraId="11BFBE79">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108CB390">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0E68043D">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7BC333E3">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0D195537">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70723550">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7" w:type="dxa"/>
          </w:tcPr>
          <w:p w14:paraId="5B30C4E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r>
      <w:tr w14:paraId="24D4A3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2959E7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453" w:type="dxa"/>
          </w:tcPr>
          <w:p w14:paraId="5210ECFA">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309A72DD">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4282FE54">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436C119F">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561840CD">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00470646">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7" w:type="dxa"/>
          </w:tcPr>
          <w:p w14:paraId="0998FACB">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r>
      <w:tr w14:paraId="0398E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B510FFC">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453" w:type="dxa"/>
          </w:tcPr>
          <w:p w14:paraId="442B291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7109293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25BBB9F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2738319D">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7C9A885F">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4FC836B9">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7" w:type="dxa"/>
          </w:tcPr>
          <w:p w14:paraId="69678FF1">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r>
      <w:tr w14:paraId="783FEA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73F55BE">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453" w:type="dxa"/>
          </w:tcPr>
          <w:p w14:paraId="7C275F67">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1DE65394">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555D0A8B">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533D0635">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8" w:type="dxa"/>
          </w:tcPr>
          <w:p w14:paraId="7369B06C">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6" w:type="dxa"/>
          </w:tcPr>
          <w:p w14:paraId="55E6837F">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1187" w:type="dxa"/>
          </w:tcPr>
          <w:p w14:paraId="53BF77CB">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r>
      <w:tr w14:paraId="3BFF48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732DEDE">
            <w:pPr>
              <w:autoSpaceDE w:val="0"/>
              <w:autoSpaceDN w:val="0"/>
              <w:adjustRightInd w:val="0"/>
              <w:snapToGrid w:val="0"/>
              <w:jc w:val="left"/>
              <w:rPr>
                <w:rFonts w:ascii="宋体" w:hAnsi="宋体"/>
                <w:kern w:val="0"/>
                <w:sz w:val="24"/>
                <w:highlight w:val="none"/>
              </w:rPr>
            </w:pPr>
          </w:p>
        </w:tc>
        <w:tc>
          <w:tcPr>
            <w:tcW w:w="1453" w:type="dxa"/>
          </w:tcPr>
          <w:p w14:paraId="1E5EDEC3">
            <w:pPr>
              <w:autoSpaceDE w:val="0"/>
              <w:autoSpaceDN w:val="0"/>
              <w:adjustRightInd w:val="0"/>
              <w:snapToGrid w:val="0"/>
              <w:jc w:val="left"/>
              <w:rPr>
                <w:rFonts w:ascii="宋体" w:hAnsi="宋体"/>
                <w:kern w:val="0"/>
                <w:sz w:val="24"/>
                <w:highlight w:val="none"/>
              </w:rPr>
            </w:pPr>
          </w:p>
        </w:tc>
        <w:tc>
          <w:tcPr>
            <w:tcW w:w="1186" w:type="dxa"/>
          </w:tcPr>
          <w:p w14:paraId="7AC00876">
            <w:pPr>
              <w:autoSpaceDE w:val="0"/>
              <w:autoSpaceDN w:val="0"/>
              <w:adjustRightInd w:val="0"/>
              <w:snapToGrid w:val="0"/>
              <w:jc w:val="left"/>
              <w:rPr>
                <w:rFonts w:ascii="宋体" w:hAnsi="宋体"/>
                <w:kern w:val="0"/>
                <w:sz w:val="24"/>
                <w:highlight w:val="none"/>
              </w:rPr>
            </w:pPr>
          </w:p>
        </w:tc>
        <w:tc>
          <w:tcPr>
            <w:tcW w:w="1188" w:type="dxa"/>
          </w:tcPr>
          <w:p w14:paraId="09E77FF1">
            <w:pPr>
              <w:autoSpaceDE w:val="0"/>
              <w:autoSpaceDN w:val="0"/>
              <w:adjustRightInd w:val="0"/>
              <w:snapToGrid w:val="0"/>
              <w:jc w:val="left"/>
              <w:rPr>
                <w:rFonts w:ascii="宋体" w:hAnsi="宋体"/>
                <w:kern w:val="0"/>
                <w:sz w:val="24"/>
                <w:highlight w:val="none"/>
              </w:rPr>
            </w:pPr>
          </w:p>
        </w:tc>
        <w:tc>
          <w:tcPr>
            <w:tcW w:w="1186" w:type="dxa"/>
          </w:tcPr>
          <w:p w14:paraId="677A82D7">
            <w:pPr>
              <w:autoSpaceDE w:val="0"/>
              <w:autoSpaceDN w:val="0"/>
              <w:adjustRightInd w:val="0"/>
              <w:snapToGrid w:val="0"/>
              <w:jc w:val="left"/>
              <w:rPr>
                <w:rFonts w:ascii="宋体" w:hAnsi="宋体"/>
                <w:kern w:val="0"/>
                <w:sz w:val="24"/>
                <w:highlight w:val="none"/>
              </w:rPr>
            </w:pPr>
          </w:p>
        </w:tc>
        <w:tc>
          <w:tcPr>
            <w:tcW w:w="1188" w:type="dxa"/>
          </w:tcPr>
          <w:p w14:paraId="706B3FC6">
            <w:pPr>
              <w:autoSpaceDE w:val="0"/>
              <w:autoSpaceDN w:val="0"/>
              <w:adjustRightInd w:val="0"/>
              <w:snapToGrid w:val="0"/>
              <w:jc w:val="left"/>
              <w:rPr>
                <w:rFonts w:ascii="宋体" w:hAnsi="宋体"/>
                <w:kern w:val="0"/>
                <w:sz w:val="24"/>
                <w:highlight w:val="none"/>
              </w:rPr>
            </w:pPr>
          </w:p>
        </w:tc>
        <w:tc>
          <w:tcPr>
            <w:tcW w:w="1186" w:type="dxa"/>
          </w:tcPr>
          <w:p w14:paraId="5FC88105">
            <w:pPr>
              <w:autoSpaceDE w:val="0"/>
              <w:autoSpaceDN w:val="0"/>
              <w:adjustRightInd w:val="0"/>
              <w:snapToGrid w:val="0"/>
              <w:jc w:val="left"/>
              <w:rPr>
                <w:rFonts w:ascii="宋体" w:hAnsi="宋体"/>
                <w:kern w:val="0"/>
                <w:sz w:val="24"/>
                <w:highlight w:val="none"/>
              </w:rPr>
            </w:pPr>
          </w:p>
        </w:tc>
        <w:tc>
          <w:tcPr>
            <w:tcW w:w="1187" w:type="dxa"/>
          </w:tcPr>
          <w:p w14:paraId="0204F054">
            <w:pPr>
              <w:autoSpaceDE w:val="0"/>
              <w:autoSpaceDN w:val="0"/>
              <w:adjustRightInd w:val="0"/>
              <w:snapToGrid w:val="0"/>
              <w:jc w:val="left"/>
              <w:rPr>
                <w:rFonts w:ascii="宋体" w:hAnsi="宋体"/>
                <w:kern w:val="0"/>
                <w:sz w:val="24"/>
                <w:highlight w:val="none"/>
              </w:rPr>
            </w:pPr>
          </w:p>
        </w:tc>
      </w:tr>
      <w:tr w14:paraId="7ACCFC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3E5C05F">
            <w:pPr>
              <w:autoSpaceDE w:val="0"/>
              <w:autoSpaceDN w:val="0"/>
              <w:adjustRightInd w:val="0"/>
              <w:snapToGrid w:val="0"/>
              <w:jc w:val="left"/>
              <w:rPr>
                <w:rFonts w:ascii="宋体" w:hAnsi="宋体"/>
                <w:kern w:val="0"/>
                <w:sz w:val="24"/>
                <w:highlight w:val="none"/>
              </w:rPr>
            </w:pPr>
          </w:p>
        </w:tc>
        <w:tc>
          <w:tcPr>
            <w:tcW w:w="1453" w:type="dxa"/>
          </w:tcPr>
          <w:p w14:paraId="4A51083F">
            <w:pPr>
              <w:autoSpaceDE w:val="0"/>
              <w:autoSpaceDN w:val="0"/>
              <w:adjustRightInd w:val="0"/>
              <w:snapToGrid w:val="0"/>
              <w:jc w:val="left"/>
              <w:rPr>
                <w:rFonts w:ascii="宋体" w:hAnsi="宋体"/>
                <w:kern w:val="0"/>
                <w:sz w:val="24"/>
                <w:highlight w:val="none"/>
              </w:rPr>
            </w:pPr>
          </w:p>
        </w:tc>
        <w:tc>
          <w:tcPr>
            <w:tcW w:w="1186" w:type="dxa"/>
          </w:tcPr>
          <w:p w14:paraId="17B266AF">
            <w:pPr>
              <w:autoSpaceDE w:val="0"/>
              <w:autoSpaceDN w:val="0"/>
              <w:adjustRightInd w:val="0"/>
              <w:snapToGrid w:val="0"/>
              <w:jc w:val="left"/>
              <w:rPr>
                <w:rFonts w:ascii="宋体" w:hAnsi="宋体"/>
                <w:kern w:val="0"/>
                <w:sz w:val="24"/>
                <w:highlight w:val="none"/>
              </w:rPr>
            </w:pPr>
          </w:p>
        </w:tc>
        <w:tc>
          <w:tcPr>
            <w:tcW w:w="1188" w:type="dxa"/>
          </w:tcPr>
          <w:p w14:paraId="0B8DF3C2">
            <w:pPr>
              <w:autoSpaceDE w:val="0"/>
              <w:autoSpaceDN w:val="0"/>
              <w:adjustRightInd w:val="0"/>
              <w:snapToGrid w:val="0"/>
              <w:jc w:val="left"/>
              <w:rPr>
                <w:rFonts w:ascii="宋体" w:hAnsi="宋体"/>
                <w:kern w:val="0"/>
                <w:sz w:val="24"/>
                <w:highlight w:val="none"/>
              </w:rPr>
            </w:pPr>
          </w:p>
        </w:tc>
        <w:tc>
          <w:tcPr>
            <w:tcW w:w="1186" w:type="dxa"/>
          </w:tcPr>
          <w:p w14:paraId="36999B5B">
            <w:pPr>
              <w:autoSpaceDE w:val="0"/>
              <w:autoSpaceDN w:val="0"/>
              <w:adjustRightInd w:val="0"/>
              <w:snapToGrid w:val="0"/>
              <w:jc w:val="left"/>
              <w:rPr>
                <w:rFonts w:ascii="宋体" w:hAnsi="宋体"/>
                <w:kern w:val="0"/>
                <w:sz w:val="24"/>
                <w:highlight w:val="none"/>
              </w:rPr>
            </w:pPr>
          </w:p>
        </w:tc>
        <w:tc>
          <w:tcPr>
            <w:tcW w:w="1188" w:type="dxa"/>
          </w:tcPr>
          <w:p w14:paraId="1972870F">
            <w:pPr>
              <w:autoSpaceDE w:val="0"/>
              <w:autoSpaceDN w:val="0"/>
              <w:adjustRightInd w:val="0"/>
              <w:snapToGrid w:val="0"/>
              <w:jc w:val="left"/>
              <w:rPr>
                <w:rFonts w:ascii="宋体" w:hAnsi="宋体"/>
                <w:kern w:val="0"/>
                <w:sz w:val="24"/>
                <w:highlight w:val="none"/>
              </w:rPr>
            </w:pPr>
          </w:p>
        </w:tc>
        <w:tc>
          <w:tcPr>
            <w:tcW w:w="1186" w:type="dxa"/>
          </w:tcPr>
          <w:p w14:paraId="3477834D">
            <w:pPr>
              <w:autoSpaceDE w:val="0"/>
              <w:autoSpaceDN w:val="0"/>
              <w:adjustRightInd w:val="0"/>
              <w:snapToGrid w:val="0"/>
              <w:jc w:val="left"/>
              <w:rPr>
                <w:rFonts w:ascii="宋体" w:hAnsi="宋体"/>
                <w:kern w:val="0"/>
                <w:sz w:val="24"/>
                <w:highlight w:val="none"/>
              </w:rPr>
            </w:pPr>
          </w:p>
        </w:tc>
        <w:tc>
          <w:tcPr>
            <w:tcW w:w="1187" w:type="dxa"/>
          </w:tcPr>
          <w:p w14:paraId="1DCEED87">
            <w:pPr>
              <w:autoSpaceDE w:val="0"/>
              <w:autoSpaceDN w:val="0"/>
              <w:adjustRightInd w:val="0"/>
              <w:snapToGrid w:val="0"/>
              <w:jc w:val="left"/>
              <w:rPr>
                <w:rFonts w:ascii="宋体" w:hAnsi="宋体"/>
                <w:kern w:val="0"/>
                <w:sz w:val="24"/>
                <w:highlight w:val="none"/>
              </w:rPr>
            </w:pPr>
          </w:p>
        </w:tc>
      </w:tr>
      <w:tr w14:paraId="0808BE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7B5C616">
            <w:pPr>
              <w:autoSpaceDE w:val="0"/>
              <w:autoSpaceDN w:val="0"/>
              <w:adjustRightInd w:val="0"/>
              <w:snapToGrid w:val="0"/>
              <w:jc w:val="left"/>
              <w:rPr>
                <w:rFonts w:ascii="宋体" w:hAnsi="宋体"/>
                <w:kern w:val="0"/>
                <w:sz w:val="24"/>
                <w:highlight w:val="none"/>
              </w:rPr>
            </w:pPr>
          </w:p>
        </w:tc>
        <w:tc>
          <w:tcPr>
            <w:tcW w:w="1453" w:type="dxa"/>
          </w:tcPr>
          <w:p w14:paraId="2EBC2166">
            <w:pPr>
              <w:autoSpaceDE w:val="0"/>
              <w:autoSpaceDN w:val="0"/>
              <w:adjustRightInd w:val="0"/>
              <w:snapToGrid w:val="0"/>
              <w:jc w:val="left"/>
              <w:rPr>
                <w:rFonts w:ascii="宋体" w:hAnsi="宋体"/>
                <w:kern w:val="0"/>
                <w:sz w:val="24"/>
                <w:highlight w:val="none"/>
              </w:rPr>
            </w:pPr>
          </w:p>
        </w:tc>
        <w:tc>
          <w:tcPr>
            <w:tcW w:w="1186" w:type="dxa"/>
          </w:tcPr>
          <w:p w14:paraId="4E570F7B">
            <w:pPr>
              <w:autoSpaceDE w:val="0"/>
              <w:autoSpaceDN w:val="0"/>
              <w:adjustRightInd w:val="0"/>
              <w:snapToGrid w:val="0"/>
              <w:jc w:val="left"/>
              <w:rPr>
                <w:rFonts w:ascii="宋体" w:hAnsi="宋体"/>
                <w:kern w:val="0"/>
                <w:sz w:val="24"/>
                <w:highlight w:val="none"/>
              </w:rPr>
            </w:pPr>
          </w:p>
        </w:tc>
        <w:tc>
          <w:tcPr>
            <w:tcW w:w="1188" w:type="dxa"/>
          </w:tcPr>
          <w:p w14:paraId="13C0AC31">
            <w:pPr>
              <w:autoSpaceDE w:val="0"/>
              <w:autoSpaceDN w:val="0"/>
              <w:adjustRightInd w:val="0"/>
              <w:snapToGrid w:val="0"/>
              <w:jc w:val="left"/>
              <w:rPr>
                <w:rFonts w:ascii="宋体" w:hAnsi="宋体"/>
                <w:kern w:val="0"/>
                <w:sz w:val="24"/>
                <w:highlight w:val="none"/>
              </w:rPr>
            </w:pPr>
          </w:p>
        </w:tc>
        <w:tc>
          <w:tcPr>
            <w:tcW w:w="1186" w:type="dxa"/>
          </w:tcPr>
          <w:p w14:paraId="3A36ED86">
            <w:pPr>
              <w:autoSpaceDE w:val="0"/>
              <w:autoSpaceDN w:val="0"/>
              <w:adjustRightInd w:val="0"/>
              <w:snapToGrid w:val="0"/>
              <w:jc w:val="left"/>
              <w:rPr>
                <w:rFonts w:ascii="宋体" w:hAnsi="宋体"/>
                <w:kern w:val="0"/>
                <w:sz w:val="24"/>
                <w:highlight w:val="none"/>
              </w:rPr>
            </w:pPr>
          </w:p>
        </w:tc>
        <w:tc>
          <w:tcPr>
            <w:tcW w:w="1188" w:type="dxa"/>
          </w:tcPr>
          <w:p w14:paraId="546B292B">
            <w:pPr>
              <w:autoSpaceDE w:val="0"/>
              <w:autoSpaceDN w:val="0"/>
              <w:adjustRightInd w:val="0"/>
              <w:snapToGrid w:val="0"/>
              <w:jc w:val="left"/>
              <w:rPr>
                <w:rFonts w:ascii="宋体" w:hAnsi="宋体"/>
                <w:kern w:val="0"/>
                <w:sz w:val="24"/>
                <w:highlight w:val="none"/>
              </w:rPr>
            </w:pPr>
          </w:p>
        </w:tc>
        <w:tc>
          <w:tcPr>
            <w:tcW w:w="1186" w:type="dxa"/>
          </w:tcPr>
          <w:p w14:paraId="4B7C95DA">
            <w:pPr>
              <w:autoSpaceDE w:val="0"/>
              <w:autoSpaceDN w:val="0"/>
              <w:adjustRightInd w:val="0"/>
              <w:snapToGrid w:val="0"/>
              <w:jc w:val="left"/>
              <w:rPr>
                <w:rFonts w:ascii="宋体" w:hAnsi="宋体"/>
                <w:kern w:val="0"/>
                <w:sz w:val="24"/>
                <w:highlight w:val="none"/>
              </w:rPr>
            </w:pPr>
          </w:p>
        </w:tc>
        <w:tc>
          <w:tcPr>
            <w:tcW w:w="1187" w:type="dxa"/>
          </w:tcPr>
          <w:p w14:paraId="244F7BF1">
            <w:pPr>
              <w:autoSpaceDE w:val="0"/>
              <w:autoSpaceDN w:val="0"/>
              <w:adjustRightInd w:val="0"/>
              <w:snapToGrid w:val="0"/>
              <w:jc w:val="left"/>
              <w:rPr>
                <w:rFonts w:ascii="宋体" w:hAnsi="宋体"/>
                <w:kern w:val="0"/>
                <w:sz w:val="24"/>
                <w:highlight w:val="none"/>
              </w:rPr>
            </w:pPr>
          </w:p>
        </w:tc>
      </w:tr>
      <w:tr w14:paraId="11FC69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5713309">
            <w:pPr>
              <w:autoSpaceDE w:val="0"/>
              <w:autoSpaceDN w:val="0"/>
              <w:adjustRightInd w:val="0"/>
              <w:snapToGrid w:val="0"/>
              <w:jc w:val="left"/>
              <w:rPr>
                <w:rFonts w:ascii="宋体" w:hAnsi="宋体"/>
                <w:kern w:val="0"/>
                <w:sz w:val="24"/>
                <w:highlight w:val="none"/>
              </w:rPr>
            </w:pPr>
          </w:p>
        </w:tc>
        <w:tc>
          <w:tcPr>
            <w:tcW w:w="1453" w:type="dxa"/>
          </w:tcPr>
          <w:p w14:paraId="1A67D536">
            <w:pPr>
              <w:autoSpaceDE w:val="0"/>
              <w:autoSpaceDN w:val="0"/>
              <w:adjustRightInd w:val="0"/>
              <w:snapToGrid w:val="0"/>
              <w:jc w:val="left"/>
              <w:rPr>
                <w:rFonts w:ascii="宋体" w:hAnsi="宋体"/>
                <w:kern w:val="0"/>
                <w:sz w:val="24"/>
                <w:highlight w:val="none"/>
              </w:rPr>
            </w:pPr>
          </w:p>
        </w:tc>
        <w:tc>
          <w:tcPr>
            <w:tcW w:w="1186" w:type="dxa"/>
          </w:tcPr>
          <w:p w14:paraId="42A460AA">
            <w:pPr>
              <w:autoSpaceDE w:val="0"/>
              <w:autoSpaceDN w:val="0"/>
              <w:adjustRightInd w:val="0"/>
              <w:snapToGrid w:val="0"/>
              <w:jc w:val="left"/>
              <w:rPr>
                <w:rFonts w:ascii="宋体" w:hAnsi="宋体"/>
                <w:kern w:val="0"/>
                <w:sz w:val="24"/>
                <w:highlight w:val="none"/>
              </w:rPr>
            </w:pPr>
          </w:p>
        </w:tc>
        <w:tc>
          <w:tcPr>
            <w:tcW w:w="1188" w:type="dxa"/>
          </w:tcPr>
          <w:p w14:paraId="4913B0E8">
            <w:pPr>
              <w:autoSpaceDE w:val="0"/>
              <w:autoSpaceDN w:val="0"/>
              <w:adjustRightInd w:val="0"/>
              <w:snapToGrid w:val="0"/>
              <w:jc w:val="left"/>
              <w:rPr>
                <w:rFonts w:ascii="宋体" w:hAnsi="宋体"/>
                <w:kern w:val="0"/>
                <w:sz w:val="24"/>
                <w:highlight w:val="none"/>
              </w:rPr>
            </w:pPr>
          </w:p>
        </w:tc>
        <w:tc>
          <w:tcPr>
            <w:tcW w:w="1186" w:type="dxa"/>
          </w:tcPr>
          <w:p w14:paraId="2D8658E6">
            <w:pPr>
              <w:autoSpaceDE w:val="0"/>
              <w:autoSpaceDN w:val="0"/>
              <w:adjustRightInd w:val="0"/>
              <w:snapToGrid w:val="0"/>
              <w:jc w:val="left"/>
              <w:rPr>
                <w:rFonts w:ascii="宋体" w:hAnsi="宋体"/>
                <w:kern w:val="0"/>
                <w:sz w:val="24"/>
                <w:highlight w:val="none"/>
              </w:rPr>
            </w:pPr>
          </w:p>
        </w:tc>
        <w:tc>
          <w:tcPr>
            <w:tcW w:w="1188" w:type="dxa"/>
          </w:tcPr>
          <w:p w14:paraId="41DC3779">
            <w:pPr>
              <w:autoSpaceDE w:val="0"/>
              <w:autoSpaceDN w:val="0"/>
              <w:adjustRightInd w:val="0"/>
              <w:snapToGrid w:val="0"/>
              <w:jc w:val="left"/>
              <w:rPr>
                <w:rFonts w:ascii="宋体" w:hAnsi="宋体"/>
                <w:kern w:val="0"/>
                <w:sz w:val="24"/>
                <w:highlight w:val="none"/>
              </w:rPr>
            </w:pPr>
          </w:p>
        </w:tc>
        <w:tc>
          <w:tcPr>
            <w:tcW w:w="1186" w:type="dxa"/>
          </w:tcPr>
          <w:p w14:paraId="62EB8FE8">
            <w:pPr>
              <w:autoSpaceDE w:val="0"/>
              <w:autoSpaceDN w:val="0"/>
              <w:adjustRightInd w:val="0"/>
              <w:snapToGrid w:val="0"/>
              <w:jc w:val="left"/>
              <w:rPr>
                <w:rFonts w:ascii="宋体" w:hAnsi="宋体"/>
                <w:kern w:val="0"/>
                <w:sz w:val="24"/>
                <w:highlight w:val="none"/>
              </w:rPr>
            </w:pPr>
          </w:p>
        </w:tc>
        <w:tc>
          <w:tcPr>
            <w:tcW w:w="1187" w:type="dxa"/>
          </w:tcPr>
          <w:p w14:paraId="7722C0F3">
            <w:pPr>
              <w:autoSpaceDE w:val="0"/>
              <w:autoSpaceDN w:val="0"/>
              <w:adjustRightInd w:val="0"/>
              <w:snapToGrid w:val="0"/>
              <w:jc w:val="left"/>
              <w:rPr>
                <w:rFonts w:ascii="宋体" w:hAnsi="宋体"/>
                <w:kern w:val="0"/>
                <w:sz w:val="24"/>
                <w:highlight w:val="none"/>
              </w:rPr>
            </w:pPr>
          </w:p>
        </w:tc>
      </w:tr>
      <w:tr w14:paraId="67448D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34A877B">
            <w:pPr>
              <w:autoSpaceDE w:val="0"/>
              <w:autoSpaceDN w:val="0"/>
              <w:adjustRightInd w:val="0"/>
              <w:snapToGrid w:val="0"/>
              <w:jc w:val="left"/>
              <w:rPr>
                <w:rFonts w:ascii="宋体" w:hAnsi="宋体"/>
                <w:kern w:val="0"/>
                <w:sz w:val="24"/>
                <w:highlight w:val="none"/>
              </w:rPr>
            </w:pPr>
          </w:p>
        </w:tc>
        <w:tc>
          <w:tcPr>
            <w:tcW w:w="1453" w:type="dxa"/>
          </w:tcPr>
          <w:p w14:paraId="662F88F9">
            <w:pPr>
              <w:autoSpaceDE w:val="0"/>
              <w:autoSpaceDN w:val="0"/>
              <w:adjustRightInd w:val="0"/>
              <w:snapToGrid w:val="0"/>
              <w:jc w:val="left"/>
              <w:rPr>
                <w:rFonts w:ascii="宋体" w:hAnsi="宋体"/>
                <w:kern w:val="0"/>
                <w:sz w:val="24"/>
                <w:highlight w:val="none"/>
              </w:rPr>
            </w:pPr>
          </w:p>
        </w:tc>
        <w:tc>
          <w:tcPr>
            <w:tcW w:w="1186" w:type="dxa"/>
          </w:tcPr>
          <w:p w14:paraId="3E4818FE">
            <w:pPr>
              <w:autoSpaceDE w:val="0"/>
              <w:autoSpaceDN w:val="0"/>
              <w:adjustRightInd w:val="0"/>
              <w:snapToGrid w:val="0"/>
              <w:jc w:val="left"/>
              <w:rPr>
                <w:rFonts w:ascii="宋体" w:hAnsi="宋体"/>
                <w:kern w:val="0"/>
                <w:sz w:val="24"/>
                <w:highlight w:val="none"/>
              </w:rPr>
            </w:pPr>
          </w:p>
        </w:tc>
        <w:tc>
          <w:tcPr>
            <w:tcW w:w="1188" w:type="dxa"/>
          </w:tcPr>
          <w:p w14:paraId="50AD963E">
            <w:pPr>
              <w:autoSpaceDE w:val="0"/>
              <w:autoSpaceDN w:val="0"/>
              <w:adjustRightInd w:val="0"/>
              <w:snapToGrid w:val="0"/>
              <w:jc w:val="left"/>
              <w:rPr>
                <w:rFonts w:ascii="宋体" w:hAnsi="宋体"/>
                <w:kern w:val="0"/>
                <w:sz w:val="24"/>
                <w:highlight w:val="none"/>
              </w:rPr>
            </w:pPr>
          </w:p>
        </w:tc>
        <w:tc>
          <w:tcPr>
            <w:tcW w:w="1186" w:type="dxa"/>
          </w:tcPr>
          <w:p w14:paraId="645C2E1A">
            <w:pPr>
              <w:autoSpaceDE w:val="0"/>
              <w:autoSpaceDN w:val="0"/>
              <w:adjustRightInd w:val="0"/>
              <w:snapToGrid w:val="0"/>
              <w:jc w:val="left"/>
              <w:rPr>
                <w:rFonts w:ascii="宋体" w:hAnsi="宋体"/>
                <w:kern w:val="0"/>
                <w:sz w:val="24"/>
                <w:highlight w:val="none"/>
              </w:rPr>
            </w:pPr>
          </w:p>
        </w:tc>
        <w:tc>
          <w:tcPr>
            <w:tcW w:w="1188" w:type="dxa"/>
          </w:tcPr>
          <w:p w14:paraId="493C3CC3">
            <w:pPr>
              <w:autoSpaceDE w:val="0"/>
              <w:autoSpaceDN w:val="0"/>
              <w:adjustRightInd w:val="0"/>
              <w:snapToGrid w:val="0"/>
              <w:jc w:val="left"/>
              <w:rPr>
                <w:rFonts w:ascii="宋体" w:hAnsi="宋体"/>
                <w:kern w:val="0"/>
                <w:sz w:val="24"/>
                <w:highlight w:val="none"/>
              </w:rPr>
            </w:pPr>
          </w:p>
        </w:tc>
        <w:tc>
          <w:tcPr>
            <w:tcW w:w="1186" w:type="dxa"/>
          </w:tcPr>
          <w:p w14:paraId="1EA9B9C1">
            <w:pPr>
              <w:autoSpaceDE w:val="0"/>
              <w:autoSpaceDN w:val="0"/>
              <w:adjustRightInd w:val="0"/>
              <w:snapToGrid w:val="0"/>
              <w:jc w:val="left"/>
              <w:rPr>
                <w:rFonts w:ascii="宋体" w:hAnsi="宋体"/>
                <w:kern w:val="0"/>
                <w:sz w:val="24"/>
                <w:highlight w:val="none"/>
              </w:rPr>
            </w:pPr>
          </w:p>
        </w:tc>
        <w:tc>
          <w:tcPr>
            <w:tcW w:w="1187" w:type="dxa"/>
          </w:tcPr>
          <w:p w14:paraId="04016055">
            <w:pPr>
              <w:autoSpaceDE w:val="0"/>
              <w:autoSpaceDN w:val="0"/>
              <w:adjustRightInd w:val="0"/>
              <w:snapToGrid w:val="0"/>
              <w:jc w:val="left"/>
              <w:rPr>
                <w:rFonts w:ascii="宋体" w:hAnsi="宋体"/>
                <w:kern w:val="0"/>
                <w:sz w:val="24"/>
                <w:highlight w:val="none"/>
              </w:rPr>
            </w:pPr>
          </w:p>
        </w:tc>
      </w:tr>
      <w:tr w14:paraId="2AC6AB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D7DE98B">
            <w:pPr>
              <w:autoSpaceDE w:val="0"/>
              <w:autoSpaceDN w:val="0"/>
              <w:adjustRightInd w:val="0"/>
              <w:snapToGrid w:val="0"/>
              <w:jc w:val="left"/>
              <w:rPr>
                <w:rFonts w:ascii="宋体" w:hAnsi="宋体"/>
                <w:kern w:val="0"/>
                <w:sz w:val="24"/>
                <w:highlight w:val="none"/>
              </w:rPr>
            </w:pPr>
          </w:p>
        </w:tc>
        <w:tc>
          <w:tcPr>
            <w:tcW w:w="1453" w:type="dxa"/>
          </w:tcPr>
          <w:p w14:paraId="5000409B">
            <w:pPr>
              <w:autoSpaceDE w:val="0"/>
              <w:autoSpaceDN w:val="0"/>
              <w:adjustRightInd w:val="0"/>
              <w:snapToGrid w:val="0"/>
              <w:jc w:val="left"/>
              <w:rPr>
                <w:rFonts w:ascii="宋体" w:hAnsi="宋体"/>
                <w:kern w:val="0"/>
                <w:sz w:val="24"/>
                <w:highlight w:val="none"/>
              </w:rPr>
            </w:pPr>
          </w:p>
        </w:tc>
        <w:tc>
          <w:tcPr>
            <w:tcW w:w="1186" w:type="dxa"/>
          </w:tcPr>
          <w:p w14:paraId="6FF0879A">
            <w:pPr>
              <w:autoSpaceDE w:val="0"/>
              <w:autoSpaceDN w:val="0"/>
              <w:adjustRightInd w:val="0"/>
              <w:snapToGrid w:val="0"/>
              <w:jc w:val="left"/>
              <w:rPr>
                <w:rFonts w:ascii="宋体" w:hAnsi="宋体"/>
                <w:kern w:val="0"/>
                <w:sz w:val="24"/>
                <w:highlight w:val="none"/>
              </w:rPr>
            </w:pPr>
          </w:p>
        </w:tc>
        <w:tc>
          <w:tcPr>
            <w:tcW w:w="1188" w:type="dxa"/>
          </w:tcPr>
          <w:p w14:paraId="49F2D656">
            <w:pPr>
              <w:autoSpaceDE w:val="0"/>
              <w:autoSpaceDN w:val="0"/>
              <w:adjustRightInd w:val="0"/>
              <w:snapToGrid w:val="0"/>
              <w:jc w:val="left"/>
              <w:rPr>
                <w:rFonts w:ascii="宋体" w:hAnsi="宋体"/>
                <w:kern w:val="0"/>
                <w:sz w:val="24"/>
                <w:highlight w:val="none"/>
              </w:rPr>
            </w:pPr>
          </w:p>
        </w:tc>
        <w:tc>
          <w:tcPr>
            <w:tcW w:w="1186" w:type="dxa"/>
          </w:tcPr>
          <w:p w14:paraId="3A98C7C9">
            <w:pPr>
              <w:autoSpaceDE w:val="0"/>
              <w:autoSpaceDN w:val="0"/>
              <w:adjustRightInd w:val="0"/>
              <w:snapToGrid w:val="0"/>
              <w:jc w:val="left"/>
              <w:rPr>
                <w:rFonts w:ascii="宋体" w:hAnsi="宋体"/>
                <w:kern w:val="0"/>
                <w:sz w:val="24"/>
                <w:highlight w:val="none"/>
              </w:rPr>
            </w:pPr>
          </w:p>
        </w:tc>
        <w:tc>
          <w:tcPr>
            <w:tcW w:w="1188" w:type="dxa"/>
          </w:tcPr>
          <w:p w14:paraId="47F5549C">
            <w:pPr>
              <w:autoSpaceDE w:val="0"/>
              <w:autoSpaceDN w:val="0"/>
              <w:adjustRightInd w:val="0"/>
              <w:snapToGrid w:val="0"/>
              <w:jc w:val="left"/>
              <w:rPr>
                <w:rFonts w:ascii="宋体" w:hAnsi="宋体"/>
                <w:kern w:val="0"/>
                <w:sz w:val="24"/>
                <w:highlight w:val="none"/>
              </w:rPr>
            </w:pPr>
          </w:p>
        </w:tc>
        <w:tc>
          <w:tcPr>
            <w:tcW w:w="1186" w:type="dxa"/>
          </w:tcPr>
          <w:p w14:paraId="6307DC6F">
            <w:pPr>
              <w:autoSpaceDE w:val="0"/>
              <w:autoSpaceDN w:val="0"/>
              <w:adjustRightInd w:val="0"/>
              <w:snapToGrid w:val="0"/>
              <w:jc w:val="left"/>
              <w:rPr>
                <w:rFonts w:ascii="宋体" w:hAnsi="宋体"/>
                <w:kern w:val="0"/>
                <w:sz w:val="24"/>
                <w:highlight w:val="none"/>
              </w:rPr>
            </w:pPr>
          </w:p>
        </w:tc>
        <w:tc>
          <w:tcPr>
            <w:tcW w:w="1187" w:type="dxa"/>
          </w:tcPr>
          <w:p w14:paraId="0A25A06D">
            <w:pPr>
              <w:autoSpaceDE w:val="0"/>
              <w:autoSpaceDN w:val="0"/>
              <w:adjustRightInd w:val="0"/>
              <w:snapToGrid w:val="0"/>
              <w:jc w:val="left"/>
              <w:rPr>
                <w:rFonts w:ascii="宋体" w:hAnsi="宋体"/>
                <w:kern w:val="0"/>
                <w:sz w:val="24"/>
                <w:highlight w:val="none"/>
              </w:rPr>
            </w:pPr>
          </w:p>
        </w:tc>
      </w:tr>
      <w:tr w14:paraId="73AAF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8AC090">
            <w:pPr>
              <w:autoSpaceDE w:val="0"/>
              <w:autoSpaceDN w:val="0"/>
              <w:adjustRightInd w:val="0"/>
              <w:snapToGrid w:val="0"/>
              <w:jc w:val="left"/>
              <w:rPr>
                <w:rFonts w:ascii="宋体" w:hAnsi="宋体"/>
                <w:kern w:val="0"/>
                <w:sz w:val="24"/>
                <w:highlight w:val="none"/>
              </w:rPr>
            </w:pPr>
          </w:p>
        </w:tc>
        <w:tc>
          <w:tcPr>
            <w:tcW w:w="1453" w:type="dxa"/>
          </w:tcPr>
          <w:p w14:paraId="50D607AC">
            <w:pPr>
              <w:autoSpaceDE w:val="0"/>
              <w:autoSpaceDN w:val="0"/>
              <w:adjustRightInd w:val="0"/>
              <w:snapToGrid w:val="0"/>
              <w:jc w:val="left"/>
              <w:rPr>
                <w:rFonts w:ascii="宋体" w:hAnsi="宋体"/>
                <w:kern w:val="0"/>
                <w:sz w:val="24"/>
                <w:highlight w:val="none"/>
              </w:rPr>
            </w:pPr>
          </w:p>
        </w:tc>
        <w:tc>
          <w:tcPr>
            <w:tcW w:w="1186" w:type="dxa"/>
          </w:tcPr>
          <w:p w14:paraId="26476809">
            <w:pPr>
              <w:autoSpaceDE w:val="0"/>
              <w:autoSpaceDN w:val="0"/>
              <w:adjustRightInd w:val="0"/>
              <w:snapToGrid w:val="0"/>
              <w:jc w:val="left"/>
              <w:rPr>
                <w:rFonts w:ascii="宋体" w:hAnsi="宋体"/>
                <w:kern w:val="0"/>
                <w:sz w:val="24"/>
                <w:highlight w:val="none"/>
              </w:rPr>
            </w:pPr>
          </w:p>
        </w:tc>
        <w:tc>
          <w:tcPr>
            <w:tcW w:w="1188" w:type="dxa"/>
          </w:tcPr>
          <w:p w14:paraId="0792B9E5">
            <w:pPr>
              <w:autoSpaceDE w:val="0"/>
              <w:autoSpaceDN w:val="0"/>
              <w:adjustRightInd w:val="0"/>
              <w:snapToGrid w:val="0"/>
              <w:jc w:val="left"/>
              <w:rPr>
                <w:rFonts w:ascii="宋体" w:hAnsi="宋体"/>
                <w:kern w:val="0"/>
                <w:sz w:val="24"/>
                <w:highlight w:val="none"/>
              </w:rPr>
            </w:pPr>
          </w:p>
        </w:tc>
        <w:tc>
          <w:tcPr>
            <w:tcW w:w="1186" w:type="dxa"/>
          </w:tcPr>
          <w:p w14:paraId="3AF0015C">
            <w:pPr>
              <w:autoSpaceDE w:val="0"/>
              <w:autoSpaceDN w:val="0"/>
              <w:adjustRightInd w:val="0"/>
              <w:snapToGrid w:val="0"/>
              <w:jc w:val="left"/>
              <w:rPr>
                <w:rFonts w:ascii="宋体" w:hAnsi="宋体"/>
                <w:kern w:val="0"/>
                <w:sz w:val="24"/>
                <w:highlight w:val="none"/>
              </w:rPr>
            </w:pPr>
          </w:p>
        </w:tc>
        <w:tc>
          <w:tcPr>
            <w:tcW w:w="1188" w:type="dxa"/>
          </w:tcPr>
          <w:p w14:paraId="65B4F3FB">
            <w:pPr>
              <w:autoSpaceDE w:val="0"/>
              <w:autoSpaceDN w:val="0"/>
              <w:adjustRightInd w:val="0"/>
              <w:snapToGrid w:val="0"/>
              <w:jc w:val="left"/>
              <w:rPr>
                <w:rFonts w:ascii="宋体" w:hAnsi="宋体"/>
                <w:kern w:val="0"/>
                <w:sz w:val="24"/>
                <w:highlight w:val="none"/>
              </w:rPr>
            </w:pPr>
          </w:p>
        </w:tc>
        <w:tc>
          <w:tcPr>
            <w:tcW w:w="1186" w:type="dxa"/>
          </w:tcPr>
          <w:p w14:paraId="04F11712">
            <w:pPr>
              <w:autoSpaceDE w:val="0"/>
              <w:autoSpaceDN w:val="0"/>
              <w:adjustRightInd w:val="0"/>
              <w:snapToGrid w:val="0"/>
              <w:jc w:val="left"/>
              <w:rPr>
                <w:rFonts w:ascii="宋体" w:hAnsi="宋体"/>
                <w:kern w:val="0"/>
                <w:sz w:val="24"/>
                <w:highlight w:val="none"/>
              </w:rPr>
            </w:pPr>
          </w:p>
        </w:tc>
        <w:tc>
          <w:tcPr>
            <w:tcW w:w="1187" w:type="dxa"/>
          </w:tcPr>
          <w:p w14:paraId="09857C4F">
            <w:pPr>
              <w:autoSpaceDE w:val="0"/>
              <w:autoSpaceDN w:val="0"/>
              <w:adjustRightInd w:val="0"/>
              <w:snapToGrid w:val="0"/>
              <w:jc w:val="left"/>
              <w:rPr>
                <w:rFonts w:ascii="宋体" w:hAnsi="宋体"/>
                <w:kern w:val="0"/>
                <w:sz w:val="24"/>
                <w:highlight w:val="none"/>
              </w:rPr>
            </w:pPr>
          </w:p>
        </w:tc>
      </w:tr>
      <w:tr w14:paraId="181200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1F46C81">
            <w:pPr>
              <w:autoSpaceDE w:val="0"/>
              <w:autoSpaceDN w:val="0"/>
              <w:adjustRightInd w:val="0"/>
              <w:snapToGrid w:val="0"/>
              <w:jc w:val="left"/>
              <w:rPr>
                <w:rFonts w:ascii="宋体" w:hAnsi="宋体"/>
                <w:kern w:val="0"/>
                <w:sz w:val="24"/>
                <w:highlight w:val="none"/>
              </w:rPr>
            </w:pPr>
          </w:p>
        </w:tc>
        <w:tc>
          <w:tcPr>
            <w:tcW w:w="1453" w:type="dxa"/>
          </w:tcPr>
          <w:p w14:paraId="7AAFB3AB">
            <w:pPr>
              <w:autoSpaceDE w:val="0"/>
              <w:autoSpaceDN w:val="0"/>
              <w:adjustRightInd w:val="0"/>
              <w:snapToGrid w:val="0"/>
              <w:jc w:val="left"/>
              <w:rPr>
                <w:rFonts w:ascii="宋体" w:hAnsi="宋体"/>
                <w:kern w:val="0"/>
                <w:sz w:val="24"/>
                <w:highlight w:val="none"/>
              </w:rPr>
            </w:pPr>
          </w:p>
        </w:tc>
        <w:tc>
          <w:tcPr>
            <w:tcW w:w="1186" w:type="dxa"/>
          </w:tcPr>
          <w:p w14:paraId="6BEA3F09">
            <w:pPr>
              <w:autoSpaceDE w:val="0"/>
              <w:autoSpaceDN w:val="0"/>
              <w:adjustRightInd w:val="0"/>
              <w:snapToGrid w:val="0"/>
              <w:jc w:val="left"/>
              <w:rPr>
                <w:rFonts w:ascii="宋体" w:hAnsi="宋体"/>
                <w:kern w:val="0"/>
                <w:sz w:val="24"/>
                <w:highlight w:val="none"/>
              </w:rPr>
            </w:pPr>
          </w:p>
        </w:tc>
        <w:tc>
          <w:tcPr>
            <w:tcW w:w="1188" w:type="dxa"/>
          </w:tcPr>
          <w:p w14:paraId="693F1598">
            <w:pPr>
              <w:autoSpaceDE w:val="0"/>
              <w:autoSpaceDN w:val="0"/>
              <w:adjustRightInd w:val="0"/>
              <w:snapToGrid w:val="0"/>
              <w:jc w:val="left"/>
              <w:rPr>
                <w:rFonts w:ascii="宋体" w:hAnsi="宋体"/>
                <w:kern w:val="0"/>
                <w:sz w:val="24"/>
                <w:highlight w:val="none"/>
              </w:rPr>
            </w:pPr>
          </w:p>
        </w:tc>
        <w:tc>
          <w:tcPr>
            <w:tcW w:w="1186" w:type="dxa"/>
          </w:tcPr>
          <w:p w14:paraId="1169E984">
            <w:pPr>
              <w:autoSpaceDE w:val="0"/>
              <w:autoSpaceDN w:val="0"/>
              <w:adjustRightInd w:val="0"/>
              <w:snapToGrid w:val="0"/>
              <w:jc w:val="left"/>
              <w:rPr>
                <w:rFonts w:ascii="宋体" w:hAnsi="宋体"/>
                <w:kern w:val="0"/>
                <w:sz w:val="24"/>
                <w:highlight w:val="none"/>
              </w:rPr>
            </w:pPr>
          </w:p>
        </w:tc>
        <w:tc>
          <w:tcPr>
            <w:tcW w:w="1188" w:type="dxa"/>
          </w:tcPr>
          <w:p w14:paraId="19803180">
            <w:pPr>
              <w:autoSpaceDE w:val="0"/>
              <w:autoSpaceDN w:val="0"/>
              <w:adjustRightInd w:val="0"/>
              <w:snapToGrid w:val="0"/>
              <w:jc w:val="left"/>
              <w:rPr>
                <w:rFonts w:ascii="宋体" w:hAnsi="宋体"/>
                <w:kern w:val="0"/>
                <w:sz w:val="24"/>
                <w:highlight w:val="none"/>
              </w:rPr>
            </w:pPr>
          </w:p>
        </w:tc>
        <w:tc>
          <w:tcPr>
            <w:tcW w:w="1186" w:type="dxa"/>
          </w:tcPr>
          <w:p w14:paraId="6F9F7C16">
            <w:pPr>
              <w:autoSpaceDE w:val="0"/>
              <w:autoSpaceDN w:val="0"/>
              <w:adjustRightInd w:val="0"/>
              <w:snapToGrid w:val="0"/>
              <w:jc w:val="left"/>
              <w:rPr>
                <w:rFonts w:ascii="宋体" w:hAnsi="宋体"/>
                <w:kern w:val="0"/>
                <w:sz w:val="24"/>
                <w:highlight w:val="none"/>
              </w:rPr>
            </w:pPr>
          </w:p>
        </w:tc>
        <w:tc>
          <w:tcPr>
            <w:tcW w:w="1187" w:type="dxa"/>
          </w:tcPr>
          <w:p w14:paraId="5939F8F5">
            <w:pPr>
              <w:autoSpaceDE w:val="0"/>
              <w:autoSpaceDN w:val="0"/>
              <w:adjustRightInd w:val="0"/>
              <w:snapToGrid w:val="0"/>
              <w:jc w:val="left"/>
              <w:rPr>
                <w:rFonts w:ascii="宋体" w:hAnsi="宋体"/>
                <w:kern w:val="0"/>
                <w:sz w:val="24"/>
                <w:highlight w:val="none"/>
              </w:rPr>
            </w:pPr>
          </w:p>
        </w:tc>
      </w:tr>
      <w:tr w14:paraId="3E79EB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188B966">
            <w:pPr>
              <w:autoSpaceDE w:val="0"/>
              <w:autoSpaceDN w:val="0"/>
              <w:adjustRightInd w:val="0"/>
              <w:snapToGrid w:val="0"/>
              <w:jc w:val="left"/>
              <w:rPr>
                <w:rFonts w:ascii="宋体" w:hAnsi="宋体"/>
                <w:kern w:val="0"/>
                <w:sz w:val="24"/>
                <w:highlight w:val="none"/>
              </w:rPr>
            </w:pPr>
          </w:p>
        </w:tc>
        <w:tc>
          <w:tcPr>
            <w:tcW w:w="1453" w:type="dxa"/>
          </w:tcPr>
          <w:p w14:paraId="6B1DAE25">
            <w:pPr>
              <w:autoSpaceDE w:val="0"/>
              <w:autoSpaceDN w:val="0"/>
              <w:adjustRightInd w:val="0"/>
              <w:snapToGrid w:val="0"/>
              <w:jc w:val="left"/>
              <w:rPr>
                <w:rFonts w:ascii="宋体" w:hAnsi="宋体"/>
                <w:kern w:val="0"/>
                <w:sz w:val="24"/>
                <w:highlight w:val="none"/>
              </w:rPr>
            </w:pPr>
          </w:p>
        </w:tc>
        <w:tc>
          <w:tcPr>
            <w:tcW w:w="1186" w:type="dxa"/>
          </w:tcPr>
          <w:p w14:paraId="325A565F">
            <w:pPr>
              <w:autoSpaceDE w:val="0"/>
              <w:autoSpaceDN w:val="0"/>
              <w:adjustRightInd w:val="0"/>
              <w:snapToGrid w:val="0"/>
              <w:jc w:val="left"/>
              <w:rPr>
                <w:rFonts w:ascii="宋体" w:hAnsi="宋体"/>
                <w:kern w:val="0"/>
                <w:sz w:val="24"/>
                <w:highlight w:val="none"/>
              </w:rPr>
            </w:pPr>
          </w:p>
        </w:tc>
        <w:tc>
          <w:tcPr>
            <w:tcW w:w="1188" w:type="dxa"/>
          </w:tcPr>
          <w:p w14:paraId="4789A509">
            <w:pPr>
              <w:autoSpaceDE w:val="0"/>
              <w:autoSpaceDN w:val="0"/>
              <w:adjustRightInd w:val="0"/>
              <w:snapToGrid w:val="0"/>
              <w:jc w:val="left"/>
              <w:rPr>
                <w:rFonts w:ascii="宋体" w:hAnsi="宋体"/>
                <w:kern w:val="0"/>
                <w:sz w:val="24"/>
                <w:highlight w:val="none"/>
              </w:rPr>
            </w:pPr>
          </w:p>
        </w:tc>
        <w:tc>
          <w:tcPr>
            <w:tcW w:w="1186" w:type="dxa"/>
          </w:tcPr>
          <w:p w14:paraId="481EC29D">
            <w:pPr>
              <w:autoSpaceDE w:val="0"/>
              <w:autoSpaceDN w:val="0"/>
              <w:adjustRightInd w:val="0"/>
              <w:snapToGrid w:val="0"/>
              <w:jc w:val="left"/>
              <w:rPr>
                <w:rFonts w:ascii="宋体" w:hAnsi="宋体"/>
                <w:kern w:val="0"/>
                <w:sz w:val="24"/>
                <w:highlight w:val="none"/>
              </w:rPr>
            </w:pPr>
          </w:p>
        </w:tc>
        <w:tc>
          <w:tcPr>
            <w:tcW w:w="1188" w:type="dxa"/>
          </w:tcPr>
          <w:p w14:paraId="2FD2288E">
            <w:pPr>
              <w:autoSpaceDE w:val="0"/>
              <w:autoSpaceDN w:val="0"/>
              <w:adjustRightInd w:val="0"/>
              <w:snapToGrid w:val="0"/>
              <w:jc w:val="left"/>
              <w:rPr>
                <w:rFonts w:ascii="宋体" w:hAnsi="宋体"/>
                <w:kern w:val="0"/>
                <w:sz w:val="24"/>
                <w:highlight w:val="none"/>
              </w:rPr>
            </w:pPr>
          </w:p>
        </w:tc>
        <w:tc>
          <w:tcPr>
            <w:tcW w:w="1186" w:type="dxa"/>
          </w:tcPr>
          <w:p w14:paraId="52C2CFBF">
            <w:pPr>
              <w:autoSpaceDE w:val="0"/>
              <w:autoSpaceDN w:val="0"/>
              <w:adjustRightInd w:val="0"/>
              <w:snapToGrid w:val="0"/>
              <w:jc w:val="left"/>
              <w:rPr>
                <w:rFonts w:ascii="宋体" w:hAnsi="宋体"/>
                <w:kern w:val="0"/>
                <w:sz w:val="24"/>
                <w:highlight w:val="none"/>
              </w:rPr>
            </w:pPr>
          </w:p>
        </w:tc>
        <w:tc>
          <w:tcPr>
            <w:tcW w:w="1187" w:type="dxa"/>
          </w:tcPr>
          <w:p w14:paraId="0FAA8375">
            <w:pPr>
              <w:autoSpaceDE w:val="0"/>
              <w:autoSpaceDN w:val="0"/>
              <w:adjustRightInd w:val="0"/>
              <w:snapToGrid w:val="0"/>
              <w:jc w:val="left"/>
              <w:rPr>
                <w:rFonts w:ascii="宋体" w:hAnsi="宋体"/>
                <w:kern w:val="0"/>
                <w:sz w:val="24"/>
                <w:highlight w:val="none"/>
              </w:rPr>
            </w:pPr>
          </w:p>
        </w:tc>
      </w:tr>
      <w:tr w14:paraId="0D0AC8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F61DEBE">
            <w:pPr>
              <w:autoSpaceDE w:val="0"/>
              <w:autoSpaceDN w:val="0"/>
              <w:adjustRightInd w:val="0"/>
              <w:snapToGrid w:val="0"/>
              <w:jc w:val="left"/>
              <w:rPr>
                <w:rFonts w:ascii="宋体" w:hAnsi="宋体"/>
                <w:kern w:val="0"/>
                <w:sz w:val="24"/>
                <w:highlight w:val="none"/>
              </w:rPr>
            </w:pPr>
          </w:p>
        </w:tc>
        <w:tc>
          <w:tcPr>
            <w:tcW w:w="1453" w:type="dxa"/>
          </w:tcPr>
          <w:p w14:paraId="79013C49">
            <w:pPr>
              <w:autoSpaceDE w:val="0"/>
              <w:autoSpaceDN w:val="0"/>
              <w:adjustRightInd w:val="0"/>
              <w:snapToGrid w:val="0"/>
              <w:jc w:val="left"/>
              <w:rPr>
                <w:rFonts w:ascii="宋体" w:hAnsi="宋体"/>
                <w:kern w:val="0"/>
                <w:sz w:val="24"/>
                <w:highlight w:val="none"/>
              </w:rPr>
            </w:pPr>
          </w:p>
        </w:tc>
        <w:tc>
          <w:tcPr>
            <w:tcW w:w="1186" w:type="dxa"/>
          </w:tcPr>
          <w:p w14:paraId="304646F3">
            <w:pPr>
              <w:autoSpaceDE w:val="0"/>
              <w:autoSpaceDN w:val="0"/>
              <w:adjustRightInd w:val="0"/>
              <w:snapToGrid w:val="0"/>
              <w:jc w:val="left"/>
              <w:rPr>
                <w:rFonts w:ascii="宋体" w:hAnsi="宋体"/>
                <w:kern w:val="0"/>
                <w:sz w:val="24"/>
                <w:highlight w:val="none"/>
              </w:rPr>
            </w:pPr>
          </w:p>
        </w:tc>
        <w:tc>
          <w:tcPr>
            <w:tcW w:w="1188" w:type="dxa"/>
          </w:tcPr>
          <w:p w14:paraId="1C0DFDA7">
            <w:pPr>
              <w:autoSpaceDE w:val="0"/>
              <w:autoSpaceDN w:val="0"/>
              <w:adjustRightInd w:val="0"/>
              <w:snapToGrid w:val="0"/>
              <w:jc w:val="left"/>
              <w:rPr>
                <w:rFonts w:ascii="宋体" w:hAnsi="宋体"/>
                <w:kern w:val="0"/>
                <w:sz w:val="24"/>
                <w:highlight w:val="none"/>
              </w:rPr>
            </w:pPr>
          </w:p>
        </w:tc>
        <w:tc>
          <w:tcPr>
            <w:tcW w:w="1186" w:type="dxa"/>
          </w:tcPr>
          <w:p w14:paraId="25B20A70">
            <w:pPr>
              <w:autoSpaceDE w:val="0"/>
              <w:autoSpaceDN w:val="0"/>
              <w:adjustRightInd w:val="0"/>
              <w:snapToGrid w:val="0"/>
              <w:jc w:val="left"/>
              <w:rPr>
                <w:rFonts w:ascii="宋体" w:hAnsi="宋体"/>
                <w:kern w:val="0"/>
                <w:sz w:val="24"/>
                <w:highlight w:val="none"/>
              </w:rPr>
            </w:pPr>
          </w:p>
        </w:tc>
        <w:tc>
          <w:tcPr>
            <w:tcW w:w="1188" w:type="dxa"/>
          </w:tcPr>
          <w:p w14:paraId="54C97CC6">
            <w:pPr>
              <w:autoSpaceDE w:val="0"/>
              <w:autoSpaceDN w:val="0"/>
              <w:adjustRightInd w:val="0"/>
              <w:snapToGrid w:val="0"/>
              <w:jc w:val="left"/>
              <w:rPr>
                <w:rFonts w:ascii="宋体" w:hAnsi="宋体"/>
                <w:kern w:val="0"/>
                <w:sz w:val="24"/>
                <w:highlight w:val="none"/>
              </w:rPr>
            </w:pPr>
          </w:p>
        </w:tc>
        <w:tc>
          <w:tcPr>
            <w:tcW w:w="1186" w:type="dxa"/>
          </w:tcPr>
          <w:p w14:paraId="142E0C4B">
            <w:pPr>
              <w:autoSpaceDE w:val="0"/>
              <w:autoSpaceDN w:val="0"/>
              <w:adjustRightInd w:val="0"/>
              <w:snapToGrid w:val="0"/>
              <w:jc w:val="left"/>
              <w:rPr>
                <w:rFonts w:ascii="宋体" w:hAnsi="宋体"/>
                <w:kern w:val="0"/>
                <w:sz w:val="24"/>
                <w:highlight w:val="none"/>
              </w:rPr>
            </w:pPr>
          </w:p>
        </w:tc>
        <w:tc>
          <w:tcPr>
            <w:tcW w:w="1187" w:type="dxa"/>
          </w:tcPr>
          <w:p w14:paraId="08892C98">
            <w:pPr>
              <w:autoSpaceDE w:val="0"/>
              <w:autoSpaceDN w:val="0"/>
              <w:adjustRightInd w:val="0"/>
              <w:snapToGrid w:val="0"/>
              <w:jc w:val="left"/>
              <w:rPr>
                <w:rFonts w:ascii="宋体" w:hAnsi="宋体"/>
                <w:kern w:val="0"/>
                <w:sz w:val="24"/>
                <w:highlight w:val="none"/>
              </w:rPr>
            </w:pPr>
          </w:p>
        </w:tc>
      </w:tr>
      <w:tr w14:paraId="2E7A10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2C02337">
            <w:pPr>
              <w:autoSpaceDE w:val="0"/>
              <w:autoSpaceDN w:val="0"/>
              <w:adjustRightInd w:val="0"/>
              <w:snapToGrid w:val="0"/>
              <w:jc w:val="left"/>
              <w:rPr>
                <w:rFonts w:ascii="宋体" w:hAnsi="宋体"/>
                <w:kern w:val="0"/>
                <w:sz w:val="24"/>
                <w:highlight w:val="none"/>
              </w:rPr>
            </w:pPr>
          </w:p>
        </w:tc>
        <w:tc>
          <w:tcPr>
            <w:tcW w:w="1453" w:type="dxa"/>
          </w:tcPr>
          <w:p w14:paraId="4FA1ABCD">
            <w:pPr>
              <w:autoSpaceDE w:val="0"/>
              <w:autoSpaceDN w:val="0"/>
              <w:adjustRightInd w:val="0"/>
              <w:snapToGrid w:val="0"/>
              <w:jc w:val="left"/>
              <w:rPr>
                <w:rFonts w:ascii="宋体" w:hAnsi="宋体"/>
                <w:kern w:val="0"/>
                <w:sz w:val="24"/>
                <w:highlight w:val="none"/>
              </w:rPr>
            </w:pPr>
          </w:p>
        </w:tc>
        <w:tc>
          <w:tcPr>
            <w:tcW w:w="1186" w:type="dxa"/>
          </w:tcPr>
          <w:p w14:paraId="6C656786">
            <w:pPr>
              <w:autoSpaceDE w:val="0"/>
              <w:autoSpaceDN w:val="0"/>
              <w:adjustRightInd w:val="0"/>
              <w:snapToGrid w:val="0"/>
              <w:jc w:val="left"/>
              <w:rPr>
                <w:rFonts w:ascii="宋体" w:hAnsi="宋体"/>
                <w:kern w:val="0"/>
                <w:sz w:val="24"/>
                <w:highlight w:val="none"/>
              </w:rPr>
            </w:pPr>
          </w:p>
        </w:tc>
        <w:tc>
          <w:tcPr>
            <w:tcW w:w="1188" w:type="dxa"/>
          </w:tcPr>
          <w:p w14:paraId="699F5401">
            <w:pPr>
              <w:autoSpaceDE w:val="0"/>
              <w:autoSpaceDN w:val="0"/>
              <w:adjustRightInd w:val="0"/>
              <w:snapToGrid w:val="0"/>
              <w:jc w:val="left"/>
              <w:rPr>
                <w:rFonts w:ascii="宋体" w:hAnsi="宋体"/>
                <w:kern w:val="0"/>
                <w:sz w:val="24"/>
                <w:highlight w:val="none"/>
              </w:rPr>
            </w:pPr>
          </w:p>
        </w:tc>
        <w:tc>
          <w:tcPr>
            <w:tcW w:w="1186" w:type="dxa"/>
          </w:tcPr>
          <w:p w14:paraId="07A8F533">
            <w:pPr>
              <w:autoSpaceDE w:val="0"/>
              <w:autoSpaceDN w:val="0"/>
              <w:adjustRightInd w:val="0"/>
              <w:snapToGrid w:val="0"/>
              <w:jc w:val="left"/>
              <w:rPr>
                <w:rFonts w:ascii="宋体" w:hAnsi="宋体"/>
                <w:kern w:val="0"/>
                <w:sz w:val="24"/>
                <w:highlight w:val="none"/>
              </w:rPr>
            </w:pPr>
          </w:p>
        </w:tc>
        <w:tc>
          <w:tcPr>
            <w:tcW w:w="1188" w:type="dxa"/>
          </w:tcPr>
          <w:p w14:paraId="778DF239">
            <w:pPr>
              <w:autoSpaceDE w:val="0"/>
              <w:autoSpaceDN w:val="0"/>
              <w:adjustRightInd w:val="0"/>
              <w:snapToGrid w:val="0"/>
              <w:jc w:val="left"/>
              <w:rPr>
                <w:rFonts w:ascii="宋体" w:hAnsi="宋体"/>
                <w:kern w:val="0"/>
                <w:sz w:val="24"/>
                <w:highlight w:val="none"/>
              </w:rPr>
            </w:pPr>
          </w:p>
        </w:tc>
        <w:tc>
          <w:tcPr>
            <w:tcW w:w="1186" w:type="dxa"/>
          </w:tcPr>
          <w:p w14:paraId="339D0366">
            <w:pPr>
              <w:autoSpaceDE w:val="0"/>
              <w:autoSpaceDN w:val="0"/>
              <w:adjustRightInd w:val="0"/>
              <w:snapToGrid w:val="0"/>
              <w:jc w:val="left"/>
              <w:rPr>
                <w:rFonts w:ascii="宋体" w:hAnsi="宋体"/>
                <w:kern w:val="0"/>
                <w:sz w:val="24"/>
                <w:highlight w:val="none"/>
              </w:rPr>
            </w:pPr>
          </w:p>
        </w:tc>
        <w:tc>
          <w:tcPr>
            <w:tcW w:w="1187" w:type="dxa"/>
          </w:tcPr>
          <w:p w14:paraId="70CEF5D0">
            <w:pPr>
              <w:autoSpaceDE w:val="0"/>
              <w:autoSpaceDN w:val="0"/>
              <w:adjustRightInd w:val="0"/>
              <w:snapToGrid w:val="0"/>
              <w:jc w:val="left"/>
              <w:rPr>
                <w:rFonts w:ascii="宋体" w:hAnsi="宋体"/>
                <w:kern w:val="0"/>
                <w:sz w:val="24"/>
                <w:highlight w:val="none"/>
              </w:rPr>
            </w:pPr>
          </w:p>
        </w:tc>
      </w:tr>
      <w:tr w14:paraId="0F09DA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B2B1BC9">
            <w:pPr>
              <w:autoSpaceDE w:val="0"/>
              <w:autoSpaceDN w:val="0"/>
              <w:adjustRightInd w:val="0"/>
              <w:snapToGrid w:val="0"/>
              <w:jc w:val="left"/>
              <w:rPr>
                <w:rFonts w:ascii="宋体" w:hAnsi="宋体"/>
                <w:kern w:val="0"/>
                <w:sz w:val="24"/>
                <w:highlight w:val="none"/>
              </w:rPr>
            </w:pPr>
          </w:p>
        </w:tc>
        <w:tc>
          <w:tcPr>
            <w:tcW w:w="1453" w:type="dxa"/>
          </w:tcPr>
          <w:p w14:paraId="5D929B1F">
            <w:pPr>
              <w:autoSpaceDE w:val="0"/>
              <w:autoSpaceDN w:val="0"/>
              <w:adjustRightInd w:val="0"/>
              <w:snapToGrid w:val="0"/>
              <w:jc w:val="left"/>
              <w:rPr>
                <w:rFonts w:ascii="宋体" w:hAnsi="宋体"/>
                <w:kern w:val="0"/>
                <w:sz w:val="24"/>
                <w:highlight w:val="none"/>
              </w:rPr>
            </w:pPr>
          </w:p>
        </w:tc>
        <w:tc>
          <w:tcPr>
            <w:tcW w:w="1186" w:type="dxa"/>
          </w:tcPr>
          <w:p w14:paraId="21A5130C">
            <w:pPr>
              <w:autoSpaceDE w:val="0"/>
              <w:autoSpaceDN w:val="0"/>
              <w:adjustRightInd w:val="0"/>
              <w:snapToGrid w:val="0"/>
              <w:jc w:val="left"/>
              <w:rPr>
                <w:rFonts w:ascii="宋体" w:hAnsi="宋体"/>
                <w:kern w:val="0"/>
                <w:sz w:val="24"/>
                <w:highlight w:val="none"/>
              </w:rPr>
            </w:pPr>
          </w:p>
        </w:tc>
        <w:tc>
          <w:tcPr>
            <w:tcW w:w="1188" w:type="dxa"/>
          </w:tcPr>
          <w:p w14:paraId="0527A15E">
            <w:pPr>
              <w:autoSpaceDE w:val="0"/>
              <w:autoSpaceDN w:val="0"/>
              <w:adjustRightInd w:val="0"/>
              <w:snapToGrid w:val="0"/>
              <w:jc w:val="left"/>
              <w:rPr>
                <w:rFonts w:ascii="宋体" w:hAnsi="宋体"/>
                <w:kern w:val="0"/>
                <w:sz w:val="24"/>
                <w:highlight w:val="none"/>
              </w:rPr>
            </w:pPr>
          </w:p>
        </w:tc>
        <w:tc>
          <w:tcPr>
            <w:tcW w:w="1186" w:type="dxa"/>
          </w:tcPr>
          <w:p w14:paraId="0B713453">
            <w:pPr>
              <w:autoSpaceDE w:val="0"/>
              <w:autoSpaceDN w:val="0"/>
              <w:adjustRightInd w:val="0"/>
              <w:snapToGrid w:val="0"/>
              <w:jc w:val="left"/>
              <w:rPr>
                <w:rFonts w:ascii="宋体" w:hAnsi="宋体"/>
                <w:kern w:val="0"/>
                <w:sz w:val="24"/>
                <w:highlight w:val="none"/>
              </w:rPr>
            </w:pPr>
          </w:p>
        </w:tc>
        <w:tc>
          <w:tcPr>
            <w:tcW w:w="1188" w:type="dxa"/>
          </w:tcPr>
          <w:p w14:paraId="2EAF0841">
            <w:pPr>
              <w:autoSpaceDE w:val="0"/>
              <w:autoSpaceDN w:val="0"/>
              <w:adjustRightInd w:val="0"/>
              <w:snapToGrid w:val="0"/>
              <w:jc w:val="left"/>
              <w:rPr>
                <w:rFonts w:ascii="宋体" w:hAnsi="宋体"/>
                <w:kern w:val="0"/>
                <w:sz w:val="24"/>
                <w:highlight w:val="none"/>
              </w:rPr>
            </w:pPr>
          </w:p>
        </w:tc>
        <w:tc>
          <w:tcPr>
            <w:tcW w:w="1186" w:type="dxa"/>
          </w:tcPr>
          <w:p w14:paraId="248DDE16">
            <w:pPr>
              <w:autoSpaceDE w:val="0"/>
              <w:autoSpaceDN w:val="0"/>
              <w:adjustRightInd w:val="0"/>
              <w:snapToGrid w:val="0"/>
              <w:jc w:val="left"/>
              <w:rPr>
                <w:rFonts w:ascii="宋体" w:hAnsi="宋体"/>
                <w:kern w:val="0"/>
                <w:sz w:val="24"/>
                <w:highlight w:val="none"/>
              </w:rPr>
            </w:pPr>
          </w:p>
        </w:tc>
        <w:tc>
          <w:tcPr>
            <w:tcW w:w="1187" w:type="dxa"/>
          </w:tcPr>
          <w:p w14:paraId="22C95827">
            <w:pPr>
              <w:autoSpaceDE w:val="0"/>
              <w:autoSpaceDN w:val="0"/>
              <w:adjustRightInd w:val="0"/>
              <w:snapToGrid w:val="0"/>
              <w:jc w:val="left"/>
              <w:rPr>
                <w:rFonts w:ascii="宋体" w:hAnsi="宋体"/>
                <w:kern w:val="0"/>
                <w:sz w:val="24"/>
                <w:highlight w:val="none"/>
              </w:rPr>
            </w:pPr>
          </w:p>
        </w:tc>
      </w:tr>
      <w:tr w14:paraId="0D179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2CC61B4">
            <w:pPr>
              <w:autoSpaceDE w:val="0"/>
              <w:autoSpaceDN w:val="0"/>
              <w:adjustRightInd w:val="0"/>
              <w:snapToGrid w:val="0"/>
              <w:jc w:val="left"/>
              <w:rPr>
                <w:rFonts w:ascii="宋体" w:hAnsi="宋体"/>
                <w:kern w:val="0"/>
                <w:sz w:val="24"/>
                <w:highlight w:val="none"/>
              </w:rPr>
            </w:pPr>
          </w:p>
        </w:tc>
        <w:tc>
          <w:tcPr>
            <w:tcW w:w="1453" w:type="dxa"/>
          </w:tcPr>
          <w:p w14:paraId="0BCF2A87">
            <w:pPr>
              <w:autoSpaceDE w:val="0"/>
              <w:autoSpaceDN w:val="0"/>
              <w:adjustRightInd w:val="0"/>
              <w:snapToGrid w:val="0"/>
              <w:jc w:val="left"/>
              <w:rPr>
                <w:rFonts w:ascii="宋体" w:hAnsi="宋体"/>
                <w:kern w:val="0"/>
                <w:sz w:val="24"/>
                <w:highlight w:val="none"/>
              </w:rPr>
            </w:pPr>
          </w:p>
        </w:tc>
        <w:tc>
          <w:tcPr>
            <w:tcW w:w="1186" w:type="dxa"/>
          </w:tcPr>
          <w:p w14:paraId="6C02ABE8">
            <w:pPr>
              <w:autoSpaceDE w:val="0"/>
              <w:autoSpaceDN w:val="0"/>
              <w:adjustRightInd w:val="0"/>
              <w:snapToGrid w:val="0"/>
              <w:jc w:val="left"/>
              <w:rPr>
                <w:rFonts w:ascii="宋体" w:hAnsi="宋体"/>
                <w:kern w:val="0"/>
                <w:sz w:val="24"/>
                <w:highlight w:val="none"/>
              </w:rPr>
            </w:pPr>
          </w:p>
        </w:tc>
        <w:tc>
          <w:tcPr>
            <w:tcW w:w="1188" w:type="dxa"/>
          </w:tcPr>
          <w:p w14:paraId="05037E7A">
            <w:pPr>
              <w:autoSpaceDE w:val="0"/>
              <w:autoSpaceDN w:val="0"/>
              <w:adjustRightInd w:val="0"/>
              <w:snapToGrid w:val="0"/>
              <w:jc w:val="left"/>
              <w:rPr>
                <w:rFonts w:ascii="宋体" w:hAnsi="宋体"/>
                <w:kern w:val="0"/>
                <w:sz w:val="24"/>
                <w:highlight w:val="none"/>
              </w:rPr>
            </w:pPr>
          </w:p>
        </w:tc>
        <w:tc>
          <w:tcPr>
            <w:tcW w:w="1186" w:type="dxa"/>
          </w:tcPr>
          <w:p w14:paraId="3818A084">
            <w:pPr>
              <w:autoSpaceDE w:val="0"/>
              <w:autoSpaceDN w:val="0"/>
              <w:adjustRightInd w:val="0"/>
              <w:snapToGrid w:val="0"/>
              <w:jc w:val="left"/>
              <w:rPr>
                <w:rFonts w:ascii="宋体" w:hAnsi="宋体"/>
                <w:kern w:val="0"/>
                <w:sz w:val="24"/>
                <w:highlight w:val="none"/>
              </w:rPr>
            </w:pPr>
          </w:p>
        </w:tc>
        <w:tc>
          <w:tcPr>
            <w:tcW w:w="1188" w:type="dxa"/>
          </w:tcPr>
          <w:p w14:paraId="52EA7B1D">
            <w:pPr>
              <w:autoSpaceDE w:val="0"/>
              <w:autoSpaceDN w:val="0"/>
              <w:adjustRightInd w:val="0"/>
              <w:snapToGrid w:val="0"/>
              <w:jc w:val="left"/>
              <w:rPr>
                <w:rFonts w:ascii="宋体" w:hAnsi="宋体"/>
                <w:kern w:val="0"/>
                <w:sz w:val="24"/>
                <w:highlight w:val="none"/>
              </w:rPr>
            </w:pPr>
          </w:p>
        </w:tc>
        <w:tc>
          <w:tcPr>
            <w:tcW w:w="1186" w:type="dxa"/>
          </w:tcPr>
          <w:p w14:paraId="1D26301C">
            <w:pPr>
              <w:autoSpaceDE w:val="0"/>
              <w:autoSpaceDN w:val="0"/>
              <w:adjustRightInd w:val="0"/>
              <w:snapToGrid w:val="0"/>
              <w:jc w:val="left"/>
              <w:rPr>
                <w:rFonts w:ascii="宋体" w:hAnsi="宋体"/>
                <w:kern w:val="0"/>
                <w:sz w:val="24"/>
                <w:highlight w:val="none"/>
              </w:rPr>
            </w:pPr>
          </w:p>
        </w:tc>
        <w:tc>
          <w:tcPr>
            <w:tcW w:w="1187" w:type="dxa"/>
          </w:tcPr>
          <w:p w14:paraId="4A650CD1">
            <w:pPr>
              <w:autoSpaceDE w:val="0"/>
              <w:autoSpaceDN w:val="0"/>
              <w:adjustRightInd w:val="0"/>
              <w:snapToGrid w:val="0"/>
              <w:jc w:val="left"/>
              <w:rPr>
                <w:rFonts w:ascii="宋体" w:hAnsi="宋体"/>
                <w:kern w:val="0"/>
                <w:sz w:val="24"/>
                <w:highlight w:val="none"/>
              </w:rPr>
            </w:pPr>
          </w:p>
        </w:tc>
      </w:tr>
      <w:tr w14:paraId="635CD1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7B3748B">
            <w:pPr>
              <w:autoSpaceDE w:val="0"/>
              <w:autoSpaceDN w:val="0"/>
              <w:adjustRightInd w:val="0"/>
              <w:snapToGrid w:val="0"/>
              <w:jc w:val="left"/>
              <w:rPr>
                <w:rFonts w:ascii="宋体" w:hAnsi="宋体"/>
                <w:kern w:val="0"/>
                <w:sz w:val="24"/>
                <w:highlight w:val="none"/>
              </w:rPr>
            </w:pPr>
          </w:p>
        </w:tc>
        <w:tc>
          <w:tcPr>
            <w:tcW w:w="1453" w:type="dxa"/>
          </w:tcPr>
          <w:p w14:paraId="4DAC3653">
            <w:pPr>
              <w:autoSpaceDE w:val="0"/>
              <w:autoSpaceDN w:val="0"/>
              <w:adjustRightInd w:val="0"/>
              <w:snapToGrid w:val="0"/>
              <w:jc w:val="left"/>
              <w:rPr>
                <w:rFonts w:ascii="宋体" w:hAnsi="宋体"/>
                <w:kern w:val="0"/>
                <w:sz w:val="24"/>
                <w:highlight w:val="none"/>
              </w:rPr>
            </w:pPr>
          </w:p>
        </w:tc>
        <w:tc>
          <w:tcPr>
            <w:tcW w:w="1186" w:type="dxa"/>
          </w:tcPr>
          <w:p w14:paraId="2EDD5A39">
            <w:pPr>
              <w:autoSpaceDE w:val="0"/>
              <w:autoSpaceDN w:val="0"/>
              <w:adjustRightInd w:val="0"/>
              <w:snapToGrid w:val="0"/>
              <w:jc w:val="left"/>
              <w:rPr>
                <w:rFonts w:ascii="宋体" w:hAnsi="宋体"/>
                <w:kern w:val="0"/>
                <w:sz w:val="24"/>
                <w:highlight w:val="none"/>
              </w:rPr>
            </w:pPr>
          </w:p>
        </w:tc>
        <w:tc>
          <w:tcPr>
            <w:tcW w:w="1188" w:type="dxa"/>
          </w:tcPr>
          <w:p w14:paraId="70D34EBB">
            <w:pPr>
              <w:autoSpaceDE w:val="0"/>
              <w:autoSpaceDN w:val="0"/>
              <w:adjustRightInd w:val="0"/>
              <w:snapToGrid w:val="0"/>
              <w:jc w:val="left"/>
              <w:rPr>
                <w:rFonts w:ascii="宋体" w:hAnsi="宋体"/>
                <w:kern w:val="0"/>
                <w:sz w:val="24"/>
                <w:highlight w:val="none"/>
              </w:rPr>
            </w:pPr>
          </w:p>
        </w:tc>
        <w:tc>
          <w:tcPr>
            <w:tcW w:w="1186" w:type="dxa"/>
          </w:tcPr>
          <w:p w14:paraId="17CD92F3">
            <w:pPr>
              <w:autoSpaceDE w:val="0"/>
              <w:autoSpaceDN w:val="0"/>
              <w:adjustRightInd w:val="0"/>
              <w:snapToGrid w:val="0"/>
              <w:jc w:val="left"/>
              <w:rPr>
                <w:rFonts w:ascii="宋体" w:hAnsi="宋体"/>
                <w:kern w:val="0"/>
                <w:sz w:val="24"/>
                <w:highlight w:val="none"/>
              </w:rPr>
            </w:pPr>
          </w:p>
        </w:tc>
        <w:tc>
          <w:tcPr>
            <w:tcW w:w="1188" w:type="dxa"/>
          </w:tcPr>
          <w:p w14:paraId="3E3D8561">
            <w:pPr>
              <w:autoSpaceDE w:val="0"/>
              <w:autoSpaceDN w:val="0"/>
              <w:adjustRightInd w:val="0"/>
              <w:snapToGrid w:val="0"/>
              <w:jc w:val="left"/>
              <w:rPr>
                <w:rFonts w:ascii="宋体" w:hAnsi="宋体"/>
                <w:kern w:val="0"/>
                <w:sz w:val="24"/>
                <w:highlight w:val="none"/>
              </w:rPr>
            </w:pPr>
          </w:p>
        </w:tc>
        <w:tc>
          <w:tcPr>
            <w:tcW w:w="1186" w:type="dxa"/>
          </w:tcPr>
          <w:p w14:paraId="2359EBCF">
            <w:pPr>
              <w:autoSpaceDE w:val="0"/>
              <w:autoSpaceDN w:val="0"/>
              <w:adjustRightInd w:val="0"/>
              <w:snapToGrid w:val="0"/>
              <w:jc w:val="left"/>
              <w:rPr>
                <w:rFonts w:ascii="宋体" w:hAnsi="宋体"/>
                <w:kern w:val="0"/>
                <w:sz w:val="24"/>
                <w:highlight w:val="none"/>
              </w:rPr>
            </w:pPr>
          </w:p>
        </w:tc>
        <w:tc>
          <w:tcPr>
            <w:tcW w:w="1187" w:type="dxa"/>
          </w:tcPr>
          <w:p w14:paraId="0BB77E60">
            <w:pPr>
              <w:autoSpaceDE w:val="0"/>
              <w:autoSpaceDN w:val="0"/>
              <w:adjustRightInd w:val="0"/>
              <w:snapToGrid w:val="0"/>
              <w:jc w:val="left"/>
              <w:rPr>
                <w:rFonts w:ascii="宋体" w:hAnsi="宋体"/>
                <w:kern w:val="0"/>
                <w:sz w:val="24"/>
                <w:highlight w:val="none"/>
              </w:rPr>
            </w:pPr>
          </w:p>
        </w:tc>
      </w:tr>
      <w:tr w14:paraId="648724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BBFCBD3">
            <w:pPr>
              <w:autoSpaceDE w:val="0"/>
              <w:autoSpaceDN w:val="0"/>
              <w:adjustRightInd w:val="0"/>
              <w:snapToGrid w:val="0"/>
              <w:jc w:val="left"/>
              <w:rPr>
                <w:rFonts w:ascii="宋体" w:hAnsi="宋体"/>
                <w:kern w:val="0"/>
                <w:sz w:val="24"/>
                <w:highlight w:val="none"/>
              </w:rPr>
            </w:pPr>
          </w:p>
        </w:tc>
        <w:tc>
          <w:tcPr>
            <w:tcW w:w="1453" w:type="dxa"/>
          </w:tcPr>
          <w:p w14:paraId="77C702AD">
            <w:pPr>
              <w:autoSpaceDE w:val="0"/>
              <w:autoSpaceDN w:val="0"/>
              <w:adjustRightInd w:val="0"/>
              <w:snapToGrid w:val="0"/>
              <w:jc w:val="left"/>
              <w:rPr>
                <w:rFonts w:ascii="宋体" w:hAnsi="宋体"/>
                <w:kern w:val="0"/>
                <w:sz w:val="24"/>
                <w:highlight w:val="none"/>
              </w:rPr>
            </w:pPr>
          </w:p>
        </w:tc>
        <w:tc>
          <w:tcPr>
            <w:tcW w:w="1186" w:type="dxa"/>
          </w:tcPr>
          <w:p w14:paraId="79C4E31B">
            <w:pPr>
              <w:autoSpaceDE w:val="0"/>
              <w:autoSpaceDN w:val="0"/>
              <w:adjustRightInd w:val="0"/>
              <w:snapToGrid w:val="0"/>
              <w:jc w:val="left"/>
              <w:rPr>
                <w:rFonts w:ascii="宋体" w:hAnsi="宋体"/>
                <w:kern w:val="0"/>
                <w:sz w:val="24"/>
                <w:highlight w:val="none"/>
              </w:rPr>
            </w:pPr>
          </w:p>
        </w:tc>
        <w:tc>
          <w:tcPr>
            <w:tcW w:w="1188" w:type="dxa"/>
          </w:tcPr>
          <w:p w14:paraId="1AD4A3BE">
            <w:pPr>
              <w:autoSpaceDE w:val="0"/>
              <w:autoSpaceDN w:val="0"/>
              <w:adjustRightInd w:val="0"/>
              <w:snapToGrid w:val="0"/>
              <w:jc w:val="left"/>
              <w:rPr>
                <w:rFonts w:ascii="宋体" w:hAnsi="宋体"/>
                <w:kern w:val="0"/>
                <w:sz w:val="24"/>
                <w:highlight w:val="none"/>
              </w:rPr>
            </w:pPr>
          </w:p>
        </w:tc>
        <w:tc>
          <w:tcPr>
            <w:tcW w:w="1186" w:type="dxa"/>
          </w:tcPr>
          <w:p w14:paraId="794D8A1C">
            <w:pPr>
              <w:autoSpaceDE w:val="0"/>
              <w:autoSpaceDN w:val="0"/>
              <w:adjustRightInd w:val="0"/>
              <w:snapToGrid w:val="0"/>
              <w:jc w:val="left"/>
              <w:rPr>
                <w:rFonts w:ascii="宋体" w:hAnsi="宋体"/>
                <w:kern w:val="0"/>
                <w:sz w:val="24"/>
                <w:highlight w:val="none"/>
              </w:rPr>
            </w:pPr>
          </w:p>
        </w:tc>
        <w:tc>
          <w:tcPr>
            <w:tcW w:w="1188" w:type="dxa"/>
          </w:tcPr>
          <w:p w14:paraId="4FDE4B53">
            <w:pPr>
              <w:autoSpaceDE w:val="0"/>
              <w:autoSpaceDN w:val="0"/>
              <w:adjustRightInd w:val="0"/>
              <w:snapToGrid w:val="0"/>
              <w:jc w:val="left"/>
              <w:rPr>
                <w:rFonts w:ascii="宋体" w:hAnsi="宋体"/>
                <w:kern w:val="0"/>
                <w:sz w:val="24"/>
                <w:highlight w:val="none"/>
              </w:rPr>
            </w:pPr>
          </w:p>
        </w:tc>
        <w:tc>
          <w:tcPr>
            <w:tcW w:w="1186" w:type="dxa"/>
          </w:tcPr>
          <w:p w14:paraId="5AD87014">
            <w:pPr>
              <w:autoSpaceDE w:val="0"/>
              <w:autoSpaceDN w:val="0"/>
              <w:adjustRightInd w:val="0"/>
              <w:snapToGrid w:val="0"/>
              <w:jc w:val="left"/>
              <w:rPr>
                <w:rFonts w:ascii="宋体" w:hAnsi="宋体"/>
                <w:kern w:val="0"/>
                <w:sz w:val="24"/>
                <w:highlight w:val="none"/>
              </w:rPr>
            </w:pPr>
          </w:p>
        </w:tc>
        <w:tc>
          <w:tcPr>
            <w:tcW w:w="1187" w:type="dxa"/>
          </w:tcPr>
          <w:p w14:paraId="28B633BA">
            <w:pPr>
              <w:autoSpaceDE w:val="0"/>
              <w:autoSpaceDN w:val="0"/>
              <w:adjustRightInd w:val="0"/>
              <w:snapToGrid w:val="0"/>
              <w:jc w:val="left"/>
              <w:rPr>
                <w:rFonts w:ascii="宋体" w:hAnsi="宋体"/>
                <w:kern w:val="0"/>
                <w:sz w:val="24"/>
                <w:highlight w:val="none"/>
              </w:rPr>
            </w:pPr>
          </w:p>
        </w:tc>
      </w:tr>
      <w:tr w14:paraId="1278B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264C40">
            <w:pPr>
              <w:autoSpaceDE w:val="0"/>
              <w:autoSpaceDN w:val="0"/>
              <w:adjustRightInd w:val="0"/>
              <w:snapToGrid w:val="0"/>
              <w:jc w:val="left"/>
              <w:rPr>
                <w:rFonts w:ascii="宋体" w:hAnsi="宋体"/>
                <w:kern w:val="0"/>
                <w:sz w:val="24"/>
                <w:highlight w:val="none"/>
              </w:rPr>
            </w:pPr>
          </w:p>
        </w:tc>
        <w:tc>
          <w:tcPr>
            <w:tcW w:w="1453" w:type="dxa"/>
          </w:tcPr>
          <w:p w14:paraId="57D9DDA2">
            <w:pPr>
              <w:autoSpaceDE w:val="0"/>
              <w:autoSpaceDN w:val="0"/>
              <w:adjustRightInd w:val="0"/>
              <w:snapToGrid w:val="0"/>
              <w:jc w:val="left"/>
              <w:rPr>
                <w:rFonts w:ascii="宋体" w:hAnsi="宋体"/>
                <w:kern w:val="0"/>
                <w:sz w:val="24"/>
                <w:highlight w:val="none"/>
              </w:rPr>
            </w:pPr>
          </w:p>
        </w:tc>
        <w:tc>
          <w:tcPr>
            <w:tcW w:w="1186" w:type="dxa"/>
          </w:tcPr>
          <w:p w14:paraId="31CECAA5">
            <w:pPr>
              <w:autoSpaceDE w:val="0"/>
              <w:autoSpaceDN w:val="0"/>
              <w:adjustRightInd w:val="0"/>
              <w:snapToGrid w:val="0"/>
              <w:jc w:val="left"/>
              <w:rPr>
                <w:rFonts w:ascii="宋体" w:hAnsi="宋体"/>
                <w:kern w:val="0"/>
                <w:sz w:val="24"/>
                <w:highlight w:val="none"/>
              </w:rPr>
            </w:pPr>
          </w:p>
        </w:tc>
        <w:tc>
          <w:tcPr>
            <w:tcW w:w="1188" w:type="dxa"/>
          </w:tcPr>
          <w:p w14:paraId="7B2259A8">
            <w:pPr>
              <w:autoSpaceDE w:val="0"/>
              <w:autoSpaceDN w:val="0"/>
              <w:adjustRightInd w:val="0"/>
              <w:snapToGrid w:val="0"/>
              <w:jc w:val="left"/>
              <w:rPr>
                <w:rFonts w:ascii="宋体" w:hAnsi="宋体"/>
                <w:kern w:val="0"/>
                <w:sz w:val="24"/>
                <w:highlight w:val="none"/>
              </w:rPr>
            </w:pPr>
          </w:p>
        </w:tc>
        <w:tc>
          <w:tcPr>
            <w:tcW w:w="1186" w:type="dxa"/>
          </w:tcPr>
          <w:p w14:paraId="5AD06ED5">
            <w:pPr>
              <w:autoSpaceDE w:val="0"/>
              <w:autoSpaceDN w:val="0"/>
              <w:adjustRightInd w:val="0"/>
              <w:snapToGrid w:val="0"/>
              <w:jc w:val="left"/>
              <w:rPr>
                <w:rFonts w:ascii="宋体" w:hAnsi="宋体"/>
                <w:kern w:val="0"/>
                <w:sz w:val="24"/>
                <w:highlight w:val="none"/>
              </w:rPr>
            </w:pPr>
          </w:p>
        </w:tc>
        <w:tc>
          <w:tcPr>
            <w:tcW w:w="1188" w:type="dxa"/>
          </w:tcPr>
          <w:p w14:paraId="429D61C9">
            <w:pPr>
              <w:autoSpaceDE w:val="0"/>
              <w:autoSpaceDN w:val="0"/>
              <w:adjustRightInd w:val="0"/>
              <w:snapToGrid w:val="0"/>
              <w:jc w:val="left"/>
              <w:rPr>
                <w:rFonts w:ascii="宋体" w:hAnsi="宋体"/>
                <w:kern w:val="0"/>
                <w:sz w:val="24"/>
                <w:highlight w:val="none"/>
              </w:rPr>
            </w:pPr>
          </w:p>
        </w:tc>
        <w:tc>
          <w:tcPr>
            <w:tcW w:w="1186" w:type="dxa"/>
          </w:tcPr>
          <w:p w14:paraId="51657692">
            <w:pPr>
              <w:autoSpaceDE w:val="0"/>
              <w:autoSpaceDN w:val="0"/>
              <w:adjustRightInd w:val="0"/>
              <w:snapToGrid w:val="0"/>
              <w:jc w:val="left"/>
              <w:rPr>
                <w:rFonts w:ascii="宋体" w:hAnsi="宋体"/>
                <w:kern w:val="0"/>
                <w:sz w:val="24"/>
                <w:highlight w:val="none"/>
              </w:rPr>
            </w:pPr>
          </w:p>
        </w:tc>
        <w:tc>
          <w:tcPr>
            <w:tcW w:w="1187" w:type="dxa"/>
          </w:tcPr>
          <w:p w14:paraId="0540FC57">
            <w:pPr>
              <w:autoSpaceDE w:val="0"/>
              <w:autoSpaceDN w:val="0"/>
              <w:adjustRightInd w:val="0"/>
              <w:snapToGrid w:val="0"/>
              <w:jc w:val="left"/>
              <w:rPr>
                <w:rFonts w:ascii="宋体" w:hAnsi="宋体"/>
                <w:kern w:val="0"/>
                <w:sz w:val="24"/>
                <w:highlight w:val="none"/>
              </w:rPr>
            </w:pPr>
          </w:p>
        </w:tc>
      </w:tr>
      <w:tr w14:paraId="74509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0E1AB5C">
            <w:pPr>
              <w:autoSpaceDE w:val="0"/>
              <w:autoSpaceDN w:val="0"/>
              <w:adjustRightInd w:val="0"/>
              <w:snapToGrid w:val="0"/>
              <w:jc w:val="left"/>
              <w:rPr>
                <w:rFonts w:ascii="宋体" w:hAnsi="宋体"/>
                <w:kern w:val="0"/>
                <w:sz w:val="24"/>
                <w:highlight w:val="none"/>
              </w:rPr>
            </w:pPr>
          </w:p>
        </w:tc>
        <w:tc>
          <w:tcPr>
            <w:tcW w:w="1453" w:type="dxa"/>
          </w:tcPr>
          <w:p w14:paraId="26B73722">
            <w:pPr>
              <w:autoSpaceDE w:val="0"/>
              <w:autoSpaceDN w:val="0"/>
              <w:adjustRightInd w:val="0"/>
              <w:snapToGrid w:val="0"/>
              <w:jc w:val="left"/>
              <w:rPr>
                <w:rFonts w:ascii="宋体" w:hAnsi="宋体"/>
                <w:kern w:val="0"/>
                <w:sz w:val="24"/>
                <w:highlight w:val="none"/>
              </w:rPr>
            </w:pPr>
          </w:p>
        </w:tc>
        <w:tc>
          <w:tcPr>
            <w:tcW w:w="1186" w:type="dxa"/>
          </w:tcPr>
          <w:p w14:paraId="7CC77512">
            <w:pPr>
              <w:autoSpaceDE w:val="0"/>
              <w:autoSpaceDN w:val="0"/>
              <w:adjustRightInd w:val="0"/>
              <w:snapToGrid w:val="0"/>
              <w:jc w:val="left"/>
              <w:rPr>
                <w:rFonts w:ascii="宋体" w:hAnsi="宋体"/>
                <w:kern w:val="0"/>
                <w:sz w:val="24"/>
                <w:highlight w:val="none"/>
              </w:rPr>
            </w:pPr>
          </w:p>
        </w:tc>
        <w:tc>
          <w:tcPr>
            <w:tcW w:w="1188" w:type="dxa"/>
          </w:tcPr>
          <w:p w14:paraId="7E496E4E">
            <w:pPr>
              <w:autoSpaceDE w:val="0"/>
              <w:autoSpaceDN w:val="0"/>
              <w:adjustRightInd w:val="0"/>
              <w:snapToGrid w:val="0"/>
              <w:jc w:val="left"/>
              <w:rPr>
                <w:rFonts w:ascii="宋体" w:hAnsi="宋体"/>
                <w:kern w:val="0"/>
                <w:sz w:val="24"/>
                <w:highlight w:val="none"/>
              </w:rPr>
            </w:pPr>
          </w:p>
        </w:tc>
        <w:tc>
          <w:tcPr>
            <w:tcW w:w="1186" w:type="dxa"/>
          </w:tcPr>
          <w:p w14:paraId="6B28E36C">
            <w:pPr>
              <w:autoSpaceDE w:val="0"/>
              <w:autoSpaceDN w:val="0"/>
              <w:adjustRightInd w:val="0"/>
              <w:snapToGrid w:val="0"/>
              <w:jc w:val="left"/>
              <w:rPr>
                <w:rFonts w:ascii="宋体" w:hAnsi="宋体"/>
                <w:kern w:val="0"/>
                <w:sz w:val="24"/>
                <w:highlight w:val="none"/>
              </w:rPr>
            </w:pPr>
          </w:p>
        </w:tc>
        <w:tc>
          <w:tcPr>
            <w:tcW w:w="1188" w:type="dxa"/>
          </w:tcPr>
          <w:p w14:paraId="3BF904A6">
            <w:pPr>
              <w:autoSpaceDE w:val="0"/>
              <w:autoSpaceDN w:val="0"/>
              <w:adjustRightInd w:val="0"/>
              <w:snapToGrid w:val="0"/>
              <w:jc w:val="left"/>
              <w:rPr>
                <w:rFonts w:ascii="宋体" w:hAnsi="宋体"/>
                <w:kern w:val="0"/>
                <w:sz w:val="24"/>
                <w:highlight w:val="none"/>
              </w:rPr>
            </w:pPr>
          </w:p>
        </w:tc>
        <w:tc>
          <w:tcPr>
            <w:tcW w:w="1186" w:type="dxa"/>
          </w:tcPr>
          <w:p w14:paraId="69DEC91A">
            <w:pPr>
              <w:autoSpaceDE w:val="0"/>
              <w:autoSpaceDN w:val="0"/>
              <w:adjustRightInd w:val="0"/>
              <w:snapToGrid w:val="0"/>
              <w:jc w:val="left"/>
              <w:rPr>
                <w:rFonts w:ascii="宋体" w:hAnsi="宋体"/>
                <w:kern w:val="0"/>
                <w:sz w:val="24"/>
                <w:highlight w:val="none"/>
              </w:rPr>
            </w:pPr>
          </w:p>
        </w:tc>
        <w:tc>
          <w:tcPr>
            <w:tcW w:w="1187" w:type="dxa"/>
          </w:tcPr>
          <w:p w14:paraId="721EAA56">
            <w:pPr>
              <w:autoSpaceDE w:val="0"/>
              <w:autoSpaceDN w:val="0"/>
              <w:adjustRightInd w:val="0"/>
              <w:snapToGrid w:val="0"/>
              <w:jc w:val="left"/>
              <w:rPr>
                <w:rFonts w:ascii="宋体" w:hAnsi="宋体"/>
                <w:kern w:val="0"/>
                <w:sz w:val="24"/>
                <w:highlight w:val="none"/>
              </w:rPr>
            </w:pPr>
          </w:p>
        </w:tc>
      </w:tr>
      <w:tr w14:paraId="682296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E43E573">
            <w:pPr>
              <w:autoSpaceDE w:val="0"/>
              <w:autoSpaceDN w:val="0"/>
              <w:adjustRightInd w:val="0"/>
              <w:snapToGrid w:val="0"/>
              <w:jc w:val="left"/>
              <w:rPr>
                <w:rFonts w:ascii="宋体" w:hAnsi="宋体"/>
                <w:kern w:val="0"/>
                <w:sz w:val="24"/>
                <w:highlight w:val="none"/>
              </w:rPr>
            </w:pPr>
          </w:p>
        </w:tc>
        <w:tc>
          <w:tcPr>
            <w:tcW w:w="1453" w:type="dxa"/>
          </w:tcPr>
          <w:p w14:paraId="03F78301">
            <w:pPr>
              <w:autoSpaceDE w:val="0"/>
              <w:autoSpaceDN w:val="0"/>
              <w:adjustRightInd w:val="0"/>
              <w:snapToGrid w:val="0"/>
              <w:jc w:val="left"/>
              <w:rPr>
                <w:rFonts w:ascii="宋体" w:hAnsi="宋体"/>
                <w:kern w:val="0"/>
                <w:sz w:val="24"/>
                <w:highlight w:val="none"/>
              </w:rPr>
            </w:pPr>
          </w:p>
        </w:tc>
        <w:tc>
          <w:tcPr>
            <w:tcW w:w="1186" w:type="dxa"/>
          </w:tcPr>
          <w:p w14:paraId="1BCB86DA">
            <w:pPr>
              <w:autoSpaceDE w:val="0"/>
              <w:autoSpaceDN w:val="0"/>
              <w:adjustRightInd w:val="0"/>
              <w:snapToGrid w:val="0"/>
              <w:jc w:val="left"/>
              <w:rPr>
                <w:rFonts w:ascii="宋体" w:hAnsi="宋体"/>
                <w:kern w:val="0"/>
                <w:sz w:val="24"/>
                <w:highlight w:val="none"/>
              </w:rPr>
            </w:pPr>
          </w:p>
        </w:tc>
        <w:tc>
          <w:tcPr>
            <w:tcW w:w="1188" w:type="dxa"/>
          </w:tcPr>
          <w:p w14:paraId="4A784BDD">
            <w:pPr>
              <w:autoSpaceDE w:val="0"/>
              <w:autoSpaceDN w:val="0"/>
              <w:adjustRightInd w:val="0"/>
              <w:snapToGrid w:val="0"/>
              <w:jc w:val="left"/>
              <w:rPr>
                <w:rFonts w:ascii="宋体" w:hAnsi="宋体"/>
                <w:kern w:val="0"/>
                <w:sz w:val="24"/>
                <w:highlight w:val="none"/>
              </w:rPr>
            </w:pPr>
          </w:p>
        </w:tc>
        <w:tc>
          <w:tcPr>
            <w:tcW w:w="1186" w:type="dxa"/>
          </w:tcPr>
          <w:p w14:paraId="29936EB9">
            <w:pPr>
              <w:autoSpaceDE w:val="0"/>
              <w:autoSpaceDN w:val="0"/>
              <w:adjustRightInd w:val="0"/>
              <w:snapToGrid w:val="0"/>
              <w:jc w:val="left"/>
              <w:rPr>
                <w:rFonts w:ascii="宋体" w:hAnsi="宋体"/>
                <w:kern w:val="0"/>
                <w:sz w:val="24"/>
                <w:highlight w:val="none"/>
              </w:rPr>
            </w:pPr>
          </w:p>
        </w:tc>
        <w:tc>
          <w:tcPr>
            <w:tcW w:w="1188" w:type="dxa"/>
          </w:tcPr>
          <w:p w14:paraId="0AF90E13">
            <w:pPr>
              <w:autoSpaceDE w:val="0"/>
              <w:autoSpaceDN w:val="0"/>
              <w:adjustRightInd w:val="0"/>
              <w:snapToGrid w:val="0"/>
              <w:jc w:val="left"/>
              <w:rPr>
                <w:rFonts w:ascii="宋体" w:hAnsi="宋体"/>
                <w:kern w:val="0"/>
                <w:sz w:val="24"/>
                <w:highlight w:val="none"/>
              </w:rPr>
            </w:pPr>
          </w:p>
        </w:tc>
        <w:tc>
          <w:tcPr>
            <w:tcW w:w="1186" w:type="dxa"/>
          </w:tcPr>
          <w:p w14:paraId="26AB750D">
            <w:pPr>
              <w:autoSpaceDE w:val="0"/>
              <w:autoSpaceDN w:val="0"/>
              <w:adjustRightInd w:val="0"/>
              <w:snapToGrid w:val="0"/>
              <w:jc w:val="left"/>
              <w:rPr>
                <w:rFonts w:ascii="宋体" w:hAnsi="宋体"/>
                <w:kern w:val="0"/>
                <w:sz w:val="24"/>
                <w:highlight w:val="none"/>
              </w:rPr>
            </w:pPr>
          </w:p>
        </w:tc>
        <w:tc>
          <w:tcPr>
            <w:tcW w:w="1187" w:type="dxa"/>
          </w:tcPr>
          <w:p w14:paraId="5DF70CBA">
            <w:pPr>
              <w:autoSpaceDE w:val="0"/>
              <w:autoSpaceDN w:val="0"/>
              <w:adjustRightInd w:val="0"/>
              <w:snapToGrid w:val="0"/>
              <w:jc w:val="left"/>
              <w:rPr>
                <w:rFonts w:ascii="宋体" w:hAnsi="宋体"/>
                <w:kern w:val="0"/>
                <w:sz w:val="24"/>
                <w:highlight w:val="none"/>
              </w:rPr>
            </w:pPr>
          </w:p>
        </w:tc>
      </w:tr>
      <w:tr w14:paraId="2CF011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1AF3FD7">
            <w:pPr>
              <w:autoSpaceDE w:val="0"/>
              <w:autoSpaceDN w:val="0"/>
              <w:adjustRightInd w:val="0"/>
              <w:snapToGrid w:val="0"/>
              <w:jc w:val="left"/>
              <w:rPr>
                <w:rFonts w:ascii="宋体" w:hAnsi="宋体"/>
                <w:kern w:val="0"/>
                <w:sz w:val="24"/>
                <w:highlight w:val="none"/>
              </w:rPr>
            </w:pPr>
          </w:p>
        </w:tc>
        <w:tc>
          <w:tcPr>
            <w:tcW w:w="1453" w:type="dxa"/>
          </w:tcPr>
          <w:p w14:paraId="17F18425">
            <w:pPr>
              <w:autoSpaceDE w:val="0"/>
              <w:autoSpaceDN w:val="0"/>
              <w:adjustRightInd w:val="0"/>
              <w:snapToGrid w:val="0"/>
              <w:jc w:val="left"/>
              <w:rPr>
                <w:rFonts w:ascii="宋体" w:hAnsi="宋体"/>
                <w:kern w:val="0"/>
                <w:sz w:val="24"/>
                <w:highlight w:val="none"/>
              </w:rPr>
            </w:pPr>
          </w:p>
        </w:tc>
        <w:tc>
          <w:tcPr>
            <w:tcW w:w="1186" w:type="dxa"/>
          </w:tcPr>
          <w:p w14:paraId="5802AD03">
            <w:pPr>
              <w:autoSpaceDE w:val="0"/>
              <w:autoSpaceDN w:val="0"/>
              <w:adjustRightInd w:val="0"/>
              <w:snapToGrid w:val="0"/>
              <w:jc w:val="left"/>
              <w:rPr>
                <w:rFonts w:ascii="宋体" w:hAnsi="宋体"/>
                <w:kern w:val="0"/>
                <w:sz w:val="24"/>
                <w:highlight w:val="none"/>
              </w:rPr>
            </w:pPr>
          </w:p>
        </w:tc>
        <w:tc>
          <w:tcPr>
            <w:tcW w:w="1188" w:type="dxa"/>
          </w:tcPr>
          <w:p w14:paraId="67907367">
            <w:pPr>
              <w:autoSpaceDE w:val="0"/>
              <w:autoSpaceDN w:val="0"/>
              <w:adjustRightInd w:val="0"/>
              <w:snapToGrid w:val="0"/>
              <w:jc w:val="left"/>
              <w:rPr>
                <w:rFonts w:ascii="宋体" w:hAnsi="宋体"/>
                <w:kern w:val="0"/>
                <w:sz w:val="24"/>
                <w:highlight w:val="none"/>
              </w:rPr>
            </w:pPr>
          </w:p>
        </w:tc>
        <w:tc>
          <w:tcPr>
            <w:tcW w:w="1186" w:type="dxa"/>
          </w:tcPr>
          <w:p w14:paraId="10272BBB">
            <w:pPr>
              <w:autoSpaceDE w:val="0"/>
              <w:autoSpaceDN w:val="0"/>
              <w:adjustRightInd w:val="0"/>
              <w:snapToGrid w:val="0"/>
              <w:jc w:val="left"/>
              <w:rPr>
                <w:rFonts w:ascii="宋体" w:hAnsi="宋体"/>
                <w:kern w:val="0"/>
                <w:sz w:val="24"/>
                <w:highlight w:val="none"/>
              </w:rPr>
            </w:pPr>
          </w:p>
        </w:tc>
        <w:tc>
          <w:tcPr>
            <w:tcW w:w="1188" w:type="dxa"/>
          </w:tcPr>
          <w:p w14:paraId="65CA4254">
            <w:pPr>
              <w:autoSpaceDE w:val="0"/>
              <w:autoSpaceDN w:val="0"/>
              <w:adjustRightInd w:val="0"/>
              <w:snapToGrid w:val="0"/>
              <w:jc w:val="left"/>
              <w:rPr>
                <w:rFonts w:ascii="宋体" w:hAnsi="宋体"/>
                <w:kern w:val="0"/>
                <w:sz w:val="24"/>
                <w:highlight w:val="none"/>
              </w:rPr>
            </w:pPr>
          </w:p>
        </w:tc>
        <w:tc>
          <w:tcPr>
            <w:tcW w:w="1186" w:type="dxa"/>
          </w:tcPr>
          <w:p w14:paraId="4BD733CB">
            <w:pPr>
              <w:autoSpaceDE w:val="0"/>
              <w:autoSpaceDN w:val="0"/>
              <w:adjustRightInd w:val="0"/>
              <w:snapToGrid w:val="0"/>
              <w:jc w:val="left"/>
              <w:rPr>
                <w:rFonts w:ascii="宋体" w:hAnsi="宋体"/>
                <w:kern w:val="0"/>
                <w:sz w:val="24"/>
                <w:highlight w:val="none"/>
              </w:rPr>
            </w:pPr>
          </w:p>
        </w:tc>
        <w:tc>
          <w:tcPr>
            <w:tcW w:w="1187" w:type="dxa"/>
          </w:tcPr>
          <w:p w14:paraId="0CEB82F9">
            <w:pPr>
              <w:autoSpaceDE w:val="0"/>
              <w:autoSpaceDN w:val="0"/>
              <w:adjustRightInd w:val="0"/>
              <w:snapToGrid w:val="0"/>
              <w:jc w:val="left"/>
              <w:rPr>
                <w:rFonts w:ascii="宋体" w:hAnsi="宋体"/>
                <w:kern w:val="0"/>
                <w:sz w:val="24"/>
                <w:highlight w:val="none"/>
              </w:rPr>
            </w:pPr>
          </w:p>
        </w:tc>
      </w:tr>
      <w:tr w14:paraId="568E9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A95708F">
            <w:pPr>
              <w:autoSpaceDE w:val="0"/>
              <w:autoSpaceDN w:val="0"/>
              <w:adjustRightInd w:val="0"/>
              <w:snapToGrid w:val="0"/>
              <w:jc w:val="left"/>
              <w:rPr>
                <w:rFonts w:ascii="宋体" w:hAnsi="宋体"/>
                <w:kern w:val="0"/>
                <w:sz w:val="24"/>
                <w:highlight w:val="none"/>
              </w:rPr>
            </w:pPr>
          </w:p>
        </w:tc>
        <w:tc>
          <w:tcPr>
            <w:tcW w:w="1453" w:type="dxa"/>
          </w:tcPr>
          <w:p w14:paraId="2EFD23C8">
            <w:pPr>
              <w:autoSpaceDE w:val="0"/>
              <w:autoSpaceDN w:val="0"/>
              <w:adjustRightInd w:val="0"/>
              <w:snapToGrid w:val="0"/>
              <w:jc w:val="left"/>
              <w:rPr>
                <w:rFonts w:ascii="宋体" w:hAnsi="宋体"/>
                <w:kern w:val="0"/>
                <w:sz w:val="24"/>
                <w:highlight w:val="none"/>
              </w:rPr>
            </w:pPr>
          </w:p>
        </w:tc>
        <w:tc>
          <w:tcPr>
            <w:tcW w:w="1186" w:type="dxa"/>
          </w:tcPr>
          <w:p w14:paraId="1EC1F66A">
            <w:pPr>
              <w:autoSpaceDE w:val="0"/>
              <w:autoSpaceDN w:val="0"/>
              <w:adjustRightInd w:val="0"/>
              <w:snapToGrid w:val="0"/>
              <w:jc w:val="left"/>
              <w:rPr>
                <w:rFonts w:ascii="宋体" w:hAnsi="宋体"/>
                <w:kern w:val="0"/>
                <w:sz w:val="24"/>
                <w:highlight w:val="none"/>
              </w:rPr>
            </w:pPr>
          </w:p>
        </w:tc>
        <w:tc>
          <w:tcPr>
            <w:tcW w:w="1188" w:type="dxa"/>
          </w:tcPr>
          <w:p w14:paraId="243E758E">
            <w:pPr>
              <w:autoSpaceDE w:val="0"/>
              <w:autoSpaceDN w:val="0"/>
              <w:adjustRightInd w:val="0"/>
              <w:snapToGrid w:val="0"/>
              <w:jc w:val="left"/>
              <w:rPr>
                <w:rFonts w:ascii="宋体" w:hAnsi="宋体"/>
                <w:kern w:val="0"/>
                <w:sz w:val="24"/>
                <w:highlight w:val="none"/>
              </w:rPr>
            </w:pPr>
          </w:p>
        </w:tc>
        <w:tc>
          <w:tcPr>
            <w:tcW w:w="1186" w:type="dxa"/>
          </w:tcPr>
          <w:p w14:paraId="43C21BBA">
            <w:pPr>
              <w:autoSpaceDE w:val="0"/>
              <w:autoSpaceDN w:val="0"/>
              <w:adjustRightInd w:val="0"/>
              <w:snapToGrid w:val="0"/>
              <w:jc w:val="left"/>
              <w:rPr>
                <w:rFonts w:ascii="宋体" w:hAnsi="宋体"/>
                <w:kern w:val="0"/>
                <w:sz w:val="24"/>
                <w:highlight w:val="none"/>
              </w:rPr>
            </w:pPr>
          </w:p>
        </w:tc>
        <w:tc>
          <w:tcPr>
            <w:tcW w:w="1188" w:type="dxa"/>
          </w:tcPr>
          <w:p w14:paraId="452100AD">
            <w:pPr>
              <w:autoSpaceDE w:val="0"/>
              <w:autoSpaceDN w:val="0"/>
              <w:adjustRightInd w:val="0"/>
              <w:snapToGrid w:val="0"/>
              <w:jc w:val="left"/>
              <w:rPr>
                <w:rFonts w:ascii="宋体" w:hAnsi="宋体"/>
                <w:kern w:val="0"/>
                <w:sz w:val="24"/>
                <w:highlight w:val="none"/>
              </w:rPr>
            </w:pPr>
          </w:p>
        </w:tc>
        <w:tc>
          <w:tcPr>
            <w:tcW w:w="1186" w:type="dxa"/>
          </w:tcPr>
          <w:p w14:paraId="64667019">
            <w:pPr>
              <w:autoSpaceDE w:val="0"/>
              <w:autoSpaceDN w:val="0"/>
              <w:adjustRightInd w:val="0"/>
              <w:snapToGrid w:val="0"/>
              <w:jc w:val="left"/>
              <w:rPr>
                <w:rFonts w:ascii="宋体" w:hAnsi="宋体"/>
                <w:kern w:val="0"/>
                <w:sz w:val="24"/>
                <w:highlight w:val="none"/>
              </w:rPr>
            </w:pPr>
          </w:p>
        </w:tc>
        <w:tc>
          <w:tcPr>
            <w:tcW w:w="1187" w:type="dxa"/>
          </w:tcPr>
          <w:p w14:paraId="0265EAFD">
            <w:pPr>
              <w:autoSpaceDE w:val="0"/>
              <w:autoSpaceDN w:val="0"/>
              <w:adjustRightInd w:val="0"/>
              <w:snapToGrid w:val="0"/>
              <w:jc w:val="left"/>
              <w:rPr>
                <w:rFonts w:ascii="宋体" w:hAnsi="宋体"/>
                <w:kern w:val="0"/>
                <w:sz w:val="24"/>
                <w:highlight w:val="none"/>
              </w:rPr>
            </w:pPr>
          </w:p>
        </w:tc>
      </w:tr>
      <w:tr w14:paraId="09D22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7CD8C15">
            <w:pPr>
              <w:autoSpaceDE w:val="0"/>
              <w:autoSpaceDN w:val="0"/>
              <w:adjustRightInd w:val="0"/>
              <w:snapToGrid w:val="0"/>
              <w:jc w:val="left"/>
              <w:rPr>
                <w:rFonts w:ascii="宋体" w:hAnsi="宋体"/>
                <w:kern w:val="0"/>
                <w:sz w:val="24"/>
                <w:highlight w:val="none"/>
              </w:rPr>
            </w:pPr>
          </w:p>
        </w:tc>
        <w:tc>
          <w:tcPr>
            <w:tcW w:w="1453" w:type="dxa"/>
          </w:tcPr>
          <w:p w14:paraId="740744E7">
            <w:pPr>
              <w:autoSpaceDE w:val="0"/>
              <w:autoSpaceDN w:val="0"/>
              <w:adjustRightInd w:val="0"/>
              <w:snapToGrid w:val="0"/>
              <w:jc w:val="left"/>
              <w:rPr>
                <w:rFonts w:ascii="宋体" w:hAnsi="宋体"/>
                <w:kern w:val="0"/>
                <w:sz w:val="24"/>
                <w:highlight w:val="none"/>
              </w:rPr>
            </w:pPr>
          </w:p>
        </w:tc>
        <w:tc>
          <w:tcPr>
            <w:tcW w:w="1186" w:type="dxa"/>
          </w:tcPr>
          <w:p w14:paraId="051203A5">
            <w:pPr>
              <w:autoSpaceDE w:val="0"/>
              <w:autoSpaceDN w:val="0"/>
              <w:adjustRightInd w:val="0"/>
              <w:snapToGrid w:val="0"/>
              <w:jc w:val="left"/>
              <w:rPr>
                <w:rFonts w:ascii="宋体" w:hAnsi="宋体"/>
                <w:kern w:val="0"/>
                <w:sz w:val="24"/>
                <w:highlight w:val="none"/>
              </w:rPr>
            </w:pPr>
          </w:p>
        </w:tc>
        <w:tc>
          <w:tcPr>
            <w:tcW w:w="1188" w:type="dxa"/>
          </w:tcPr>
          <w:p w14:paraId="29A75BBF">
            <w:pPr>
              <w:autoSpaceDE w:val="0"/>
              <w:autoSpaceDN w:val="0"/>
              <w:adjustRightInd w:val="0"/>
              <w:snapToGrid w:val="0"/>
              <w:jc w:val="left"/>
              <w:rPr>
                <w:rFonts w:ascii="宋体" w:hAnsi="宋体"/>
                <w:kern w:val="0"/>
                <w:sz w:val="24"/>
                <w:highlight w:val="none"/>
              </w:rPr>
            </w:pPr>
          </w:p>
        </w:tc>
        <w:tc>
          <w:tcPr>
            <w:tcW w:w="1186" w:type="dxa"/>
          </w:tcPr>
          <w:p w14:paraId="3FEC44FF">
            <w:pPr>
              <w:autoSpaceDE w:val="0"/>
              <w:autoSpaceDN w:val="0"/>
              <w:adjustRightInd w:val="0"/>
              <w:snapToGrid w:val="0"/>
              <w:jc w:val="left"/>
              <w:rPr>
                <w:rFonts w:ascii="宋体" w:hAnsi="宋体"/>
                <w:kern w:val="0"/>
                <w:sz w:val="24"/>
                <w:highlight w:val="none"/>
              </w:rPr>
            </w:pPr>
          </w:p>
        </w:tc>
        <w:tc>
          <w:tcPr>
            <w:tcW w:w="1188" w:type="dxa"/>
          </w:tcPr>
          <w:p w14:paraId="4B3EDF62">
            <w:pPr>
              <w:autoSpaceDE w:val="0"/>
              <w:autoSpaceDN w:val="0"/>
              <w:adjustRightInd w:val="0"/>
              <w:snapToGrid w:val="0"/>
              <w:jc w:val="left"/>
              <w:rPr>
                <w:rFonts w:ascii="宋体" w:hAnsi="宋体"/>
                <w:kern w:val="0"/>
                <w:sz w:val="24"/>
                <w:highlight w:val="none"/>
              </w:rPr>
            </w:pPr>
          </w:p>
        </w:tc>
        <w:tc>
          <w:tcPr>
            <w:tcW w:w="1186" w:type="dxa"/>
          </w:tcPr>
          <w:p w14:paraId="4881DFE3">
            <w:pPr>
              <w:autoSpaceDE w:val="0"/>
              <w:autoSpaceDN w:val="0"/>
              <w:adjustRightInd w:val="0"/>
              <w:snapToGrid w:val="0"/>
              <w:jc w:val="left"/>
              <w:rPr>
                <w:rFonts w:ascii="宋体" w:hAnsi="宋体"/>
                <w:kern w:val="0"/>
                <w:sz w:val="24"/>
                <w:highlight w:val="none"/>
              </w:rPr>
            </w:pPr>
          </w:p>
        </w:tc>
        <w:tc>
          <w:tcPr>
            <w:tcW w:w="1187" w:type="dxa"/>
          </w:tcPr>
          <w:p w14:paraId="7272C2BD">
            <w:pPr>
              <w:autoSpaceDE w:val="0"/>
              <w:autoSpaceDN w:val="0"/>
              <w:adjustRightInd w:val="0"/>
              <w:snapToGrid w:val="0"/>
              <w:jc w:val="left"/>
              <w:rPr>
                <w:rFonts w:ascii="宋体" w:hAnsi="宋体"/>
                <w:kern w:val="0"/>
                <w:sz w:val="24"/>
                <w:highlight w:val="none"/>
              </w:rPr>
            </w:pPr>
          </w:p>
        </w:tc>
      </w:tr>
    </w:tbl>
    <w:p w14:paraId="5EB596A4">
      <w:pPr>
        <w:autoSpaceDE w:val="0"/>
        <w:autoSpaceDN w:val="0"/>
        <w:adjustRightInd w:val="0"/>
        <w:snapToGrid w:val="0"/>
        <w:spacing w:line="20" w:lineRule="exact"/>
        <w:jc w:val="left"/>
        <w:rPr>
          <w:rFonts w:ascii="宋体" w:hAnsi="宋体"/>
          <w:kern w:val="0"/>
          <w:highlight w:val="none"/>
        </w:rPr>
      </w:pPr>
    </w:p>
    <w:p w14:paraId="2E6CBE97">
      <w:pPr>
        <w:jc w:val="center"/>
        <w:rPr>
          <w:rFonts w:hint="eastAsia" w:ascii="宋体" w:hAnsi="宋体" w:eastAsia="宋体" w:cs="宋体"/>
          <w:b/>
          <w:sz w:val="24"/>
          <w:szCs w:val="24"/>
          <w:highlight w:val="none"/>
        </w:rPr>
      </w:pPr>
      <w:r>
        <w:rPr>
          <w:rFonts w:ascii="宋体" w:hAnsi="宋体"/>
          <w:sz w:val="28"/>
          <w:highlight w:val="none"/>
        </w:rPr>
        <w:br w:type="page"/>
      </w:r>
      <w:r>
        <w:rPr>
          <w:rFonts w:hint="eastAsia" w:ascii="宋体" w:hAnsi="宋体" w:eastAsia="宋体" w:cs="宋体"/>
          <w:sz w:val="24"/>
          <w:szCs w:val="24"/>
          <w:highlight w:val="none"/>
        </w:rPr>
        <w:t>附表四：计划开、竣工日期和施工进度网络图</w:t>
      </w:r>
    </w:p>
    <w:p w14:paraId="02AC979B">
      <w:pPr>
        <w:autoSpaceDE w:val="0"/>
        <w:autoSpaceDN w:val="0"/>
        <w:adjustRightInd w:val="0"/>
        <w:snapToGrid w:val="0"/>
        <w:spacing w:line="360" w:lineRule="auto"/>
        <w:jc w:val="left"/>
        <w:rPr>
          <w:rFonts w:hint="eastAsia" w:ascii="宋体" w:hAnsi="宋体" w:eastAsia="宋体" w:cs="宋体"/>
          <w:kern w:val="0"/>
          <w:sz w:val="24"/>
          <w:szCs w:val="24"/>
          <w:highlight w:val="none"/>
        </w:rPr>
      </w:pPr>
    </w:p>
    <w:p w14:paraId="2ED12272">
      <w:pPr>
        <w:autoSpaceDE w:val="0"/>
        <w:autoSpaceDN w:val="0"/>
        <w:adjustRightInd w:val="0"/>
        <w:snapToGrid w:val="0"/>
        <w:spacing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r>
        <w:rPr>
          <w:rFonts w:hint="eastAsia" w:ascii="宋体" w:hAnsi="宋体" w:eastAsia="宋体" w:cs="宋体"/>
          <w:spacing w:val="1"/>
          <w:kern w:val="0"/>
          <w:sz w:val="24"/>
          <w:szCs w:val="24"/>
          <w:highlight w:val="none"/>
        </w:rPr>
        <w:t>竞标人</w:t>
      </w:r>
      <w:r>
        <w:rPr>
          <w:rFonts w:hint="eastAsia" w:ascii="宋体" w:hAnsi="宋体" w:eastAsia="宋体" w:cs="宋体"/>
          <w:spacing w:val="2"/>
          <w:kern w:val="0"/>
          <w:sz w:val="24"/>
          <w:szCs w:val="24"/>
          <w:highlight w:val="none"/>
        </w:rPr>
        <w:t>可</w:t>
      </w:r>
      <w:r>
        <w:rPr>
          <w:rFonts w:hint="eastAsia" w:ascii="宋体" w:hAnsi="宋体" w:eastAsia="宋体" w:cs="宋体"/>
          <w:spacing w:val="1"/>
          <w:kern w:val="0"/>
          <w:sz w:val="24"/>
          <w:szCs w:val="24"/>
          <w:highlight w:val="none"/>
        </w:rPr>
        <w:t>递交</w:t>
      </w:r>
      <w:r>
        <w:rPr>
          <w:rFonts w:hint="eastAsia" w:ascii="宋体" w:hAnsi="宋体" w:eastAsia="宋体" w:cs="宋体"/>
          <w:spacing w:val="2"/>
          <w:kern w:val="0"/>
          <w:sz w:val="24"/>
          <w:szCs w:val="24"/>
          <w:highlight w:val="none"/>
        </w:rPr>
        <w:t>施</w:t>
      </w:r>
      <w:r>
        <w:rPr>
          <w:rFonts w:hint="eastAsia" w:ascii="宋体" w:hAnsi="宋体" w:eastAsia="宋体" w:cs="宋体"/>
          <w:spacing w:val="1"/>
          <w:kern w:val="0"/>
          <w:sz w:val="24"/>
          <w:szCs w:val="24"/>
          <w:highlight w:val="none"/>
        </w:rPr>
        <w:t>工</w:t>
      </w:r>
      <w:r>
        <w:rPr>
          <w:rFonts w:hint="eastAsia" w:ascii="宋体" w:hAnsi="宋体" w:eastAsia="宋体" w:cs="宋体"/>
          <w:spacing w:val="2"/>
          <w:kern w:val="0"/>
          <w:sz w:val="24"/>
          <w:szCs w:val="24"/>
          <w:highlight w:val="none"/>
        </w:rPr>
        <w:t>进</w:t>
      </w:r>
      <w:r>
        <w:rPr>
          <w:rFonts w:hint="eastAsia" w:ascii="宋体" w:hAnsi="宋体" w:eastAsia="宋体" w:cs="宋体"/>
          <w:spacing w:val="1"/>
          <w:kern w:val="0"/>
          <w:sz w:val="24"/>
          <w:szCs w:val="24"/>
          <w:highlight w:val="none"/>
        </w:rPr>
        <w:t>度网</w:t>
      </w:r>
      <w:r>
        <w:rPr>
          <w:rFonts w:hint="eastAsia" w:ascii="宋体" w:hAnsi="宋体" w:eastAsia="宋体" w:cs="宋体"/>
          <w:spacing w:val="2"/>
          <w:kern w:val="0"/>
          <w:sz w:val="24"/>
          <w:szCs w:val="24"/>
          <w:highlight w:val="none"/>
        </w:rPr>
        <w:t>络</w:t>
      </w:r>
      <w:r>
        <w:rPr>
          <w:rFonts w:hint="eastAsia" w:ascii="宋体" w:hAnsi="宋体" w:eastAsia="宋体" w:cs="宋体"/>
          <w:spacing w:val="1"/>
          <w:kern w:val="0"/>
          <w:sz w:val="24"/>
          <w:szCs w:val="24"/>
          <w:highlight w:val="none"/>
        </w:rPr>
        <w:t>图</w:t>
      </w:r>
      <w:r>
        <w:rPr>
          <w:rFonts w:hint="eastAsia" w:ascii="宋体" w:hAnsi="宋体" w:eastAsia="宋体" w:cs="宋体"/>
          <w:spacing w:val="2"/>
          <w:kern w:val="0"/>
          <w:sz w:val="24"/>
          <w:szCs w:val="24"/>
          <w:highlight w:val="none"/>
        </w:rPr>
        <w:t>或</w:t>
      </w:r>
      <w:r>
        <w:rPr>
          <w:rFonts w:hint="eastAsia" w:ascii="宋体" w:hAnsi="宋体" w:eastAsia="宋体" w:cs="宋体"/>
          <w:spacing w:val="1"/>
          <w:kern w:val="0"/>
          <w:sz w:val="24"/>
          <w:szCs w:val="24"/>
          <w:highlight w:val="none"/>
        </w:rPr>
        <w:t>施工</w:t>
      </w:r>
      <w:r>
        <w:rPr>
          <w:rFonts w:hint="eastAsia" w:ascii="宋体" w:hAnsi="宋体" w:eastAsia="宋体" w:cs="宋体"/>
          <w:spacing w:val="2"/>
          <w:kern w:val="0"/>
          <w:sz w:val="24"/>
          <w:szCs w:val="24"/>
          <w:highlight w:val="none"/>
        </w:rPr>
        <w:t>进</w:t>
      </w:r>
      <w:r>
        <w:rPr>
          <w:rFonts w:hint="eastAsia" w:ascii="宋体" w:hAnsi="宋体" w:eastAsia="宋体" w:cs="宋体"/>
          <w:spacing w:val="1"/>
          <w:kern w:val="0"/>
          <w:sz w:val="24"/>
          <w:szCs w:val="24"/>
          <w:highlight w:val="none"/>
        </w:rPr>
        <w:t>度</w:t>
      </w:r>
      <w:r>
        <w:rPr>
          <w:rFonts w:hint="eastAsia" w:ascii="宋体" w:hAnsi="宋体" w:eastAsia="宋体" w:cs="宋体"/>
          <w:spacing w:val="2"/>
          <w:kern w:val="0"/>
          <w:sz w:val="24"/>
          <w:szCs w:val="24"/>
          <w:highlight w:val="none"/>
        </w:rPr>
        <w:t>表</w:t>
      </w:r>
      <w:r>
        <w:rPr>
          <w:rFonts w:hint="eastAsia" w:ascii="宋体" w:hAnsi="宋体" w:eastAsia="宋体" w:cs="宋体"/>
          <w:spacing w:val="1"/>
          <w:kern w:val="0"/>
          <w:sz w:val="24"/>
          <w:szCs w:val="24"/>
          <w:highlight w:val="none"/>
        </w:rPr>
        <w:t>，说</w:t>
      </w:r>
      <w:r>
        <w:rPr>
          <w:rFonts w:hint="eastAsia" w:ascii="宋体" w:hAnsi="宋体" w:eastAsia="宋体" w:cs="宋体"/>
          <w:spacing w:val="2"/>
          <w:kern w:val="0"/>
          <w:sz w:val="24"/>
          <w:szCs w:val="24"/>
          <w:highlight w:val="none"/>
        </w:rPr>
        <w:t>明</w:t>
      </w:r>
      <w:r>
        <w:rPr>
          <w:rFonts w:hint="eastAsia" w:ascii="宋体" w:hAnsi="宋体" w:eastAsia="宋体" w:cs="宋体"/>
          <w:spacing w:val="1"/>
          <w:kern w:val="0"/>
          <w:sz w:val="24"/>
          <w:szCs w:val="24"/>
          <w:highlight w:val="none"/>
        </w:rPr>
        <w:t>按</w:t>
      </w:r>
      <w:r>
        <w:rPr>
          <w:rFonts w:hint="eastAsia" w:ascii="宋体" w:hAnsi="宋体" w:eastAsia="宋体" w:cs="宋体"/>
          <w:spacing w:val="2"/>
          <w:kern w:val="0"/>
          <w:sz w:val="24"/>
          <w:szCs w:val="24"/>
          <w:highlight w:val="none"/>
        </w:rPr>
        <w:t>竞争性比选文件</w:t>
      </w:r>
      <w:r>
        <w:rPr>
          <w:rFonts w:hint="eastAsia" w:ascii="宋体" w:hAnsi="宋体" w:eastAsia="宋体" w:cs="宋体"/>
          <w:spacing w:val="1"/>
          <w:kern w:val="0"/>
          <w:sz w:val="24"/>
          <w:szCs w:val="24"/>
          <w:highlight w:val="none"/>
        </w:rPr>
        <w:t>要</w:t>
      </w:r>
      <w:r>
        <w:rPr>
          <w:rFonts w:hint="eastAsia" w:ascii="宋体" w:hAnsi="宋体" w:eastAsia="宋体" w:cs="宋体"/>
          <w:spacing w:val="2"/>
          <w:kern w:val="0"/>
          <w:sz w:val="24"/>
          <w:szCs w:val="24"/>
          <w:highlight w:val="none"/>
        </w:rPr>
        <w:t>求</w:t>
      </w:r>
      <w:r>
        <w:rPr>
          <w:rFonts w:hint="eastAsia" w:ascii="宋体" w:hAnsi="宋体" w:eastAsia="宋体" w:cs="宋体"/>
          <w:spacing w:val="1"/>
          <w:kern w:val="0"/>
          <w:sz w:val="24"/>
          <w:szCs w:val="24"/>
          <w:highlight w:val="none"/>
        </w:rPr>
        <w:t>的计</w:t>
      </w:r>
      <w:r>
        <w:rPr>
          <w:rFonts w:hint="eastAsia" w:ascii="宋体" w:hAnsi="宋体" w:eastAsia="宋体" w:cs="宋体"/>
          <w:spacing w:val="2"/>
          <w:kern w:val="0"/>
          <w:sz w:val="24"/>
          <w:szCs w:val="24"/>
          <w:highlight w:val="none"/>
        </w:rPr>
        <w:t>划</w:t>
      </w:r>
      <w:r>
        <w:rPr>
          <w:rFonts w:hint="eastAsia" w:ascii="宋体" w:hAnsi="宋体" w:eastAsia="宋体" w:cs="宋体"/>
          <w:spacing w:val="1"/>
          <w:kern w:val="0"/>
          <w:sz w:val="24"/>
          <w:szCs w:val="24"/>
          <w:highlight w:val="none"/>
        </w:rPr>
        <w:t>工</w:t>
      </w:r>
      <w:r>
        <w:rPr>
          <w:rFonts w:hint="eastAsia" w:ascii="宋体" w:hAnsi="宋体" w:eastAsia="宋体" w:cs="宋体"/>
          <w:spacing w:val="4"/>
          <w:kern w:val="0"/>
          <w:sz w:val="24"/>
          <w:szCs w:val="24"/>
          <w:highlight w:val="none"/>
        </w:rPr>
        <w:t>期</w:t>
      </w:r>
      <w:r>
        <w:rPr>
          <w:rFonts w:hint="eastAsia" w:ascii="宋体" w:hAnsi="宋体" w:eastAsia="宋体" w:cs="宋体"/>
          <w:spacing w:val="2"/>
          <w:kern w:val="0"/>
          <w:sz w:val="24"/>
          <w:szCs w:val="24"/>
          <w:highlight w:val="none"/>
        </w:rPr>
        <w:t>进</w:t>
      </w:r>
      <w:r>
        <w:rPr>
          <w:rFonts w:hint="eastAsia" w:ascii="宋体" w:hAnsi="宋体" w:eastAsia="宋体" w:cs="宋体"/>
          <w:spacing w:val="1"/>
          <w:kern w:val="0"/>
          <w:sz w:val="24"/>
          <w:szCs w:val="24"/>
          <w:highlight w:val="none"/>
        </w:rPr>
        <w:t>行</w:t>
      </w:r>
      <w:r>
        <w:rPr>
          <w:rFonts w:hint="eastAsia" w:ascii="宋体" w:hAnsi="宋体" w:eastAsia="宋体" w:cs="宋体"/>
          <w:kern w:val="0"/>
          <w:sz w:val="24"/>
          <w:szCs w:val="24"/>
          <w:highlight w:val="none"/>
        </w:rPr>
        <w:t>施工的各个关键日期。</w:t>
      </w:r>
    </w:p>
    <w:p w14:paraId="07980DB7">
      <w:pPr>
        <w:autoSpaceDE w:val="0"/>
        <w:autoSpaceDN w:val="0"/>
        <w:adjustRightInd w:val="0"/>
        <w:snapToGrid w:val="0"/>
        <w:spacing w:line="360" w:lineRule="auto"/>
        <w:ind w:firstLine="484" w:firstLineChars="20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2.施工进</w:t>
      </w:r>
      <w:r>
        <w:rPr>
          <w:rFonts w:hint="eastAsia" w:ascii="宋体" w:hAnsi="宋体" w:eastAsia="宋体" w:cs="宋体"/>
          <w:spacing w:val="-1"/>
          <w:kern w:val="0"/>
          <w:sz w:val="24"/>
          <w:szCs w:val="24"/>
          <w:highlight w:val="none"/>
        </w:rPr>
        <w:t>度</w:t>
      </w:r>
      <w:r>
        <w:rPr>
          <w:rFonts w:hint="eastAsia" w:ascii="宋体" w:hAnsi="宋体" w:eastAsia="宋体" w:cs="宋体"/>
          <w:kern w:val="0"/>
          <w:sz w:val="24"/>
          <w:szCs w:val="24"/>
          <w:highlight w:val="none"/>
        </w:rPr>
        <w:t>表可采用网络图（或横道图）表示。</w:t>
      </w:r>
    </w:p>
    <w:p w14:paraId="2C7AF343">
      <w:pPr>
        <w:jc w:val="center"/>
        <w:rPr>
          <w:rFonts w:hint="eastAsia" w:asciiTheme="minorEastAsia" w:hAnsiTheme="minorEastAsia" w:eastAsiaTheme="minorEastAsia" w:cstheme="minorEastAsia"/>
          <w:sz w:val="24"/>
          <w:szCs w:val="24"/>
          <w:highlight w:val="none"/>
        </w:rPr>
      </w:pPr>
      <w:r>
        <w:rPr>
          <w:rFonts w:ascii="宋体" w:hAnsi="宋体"/>
          <w:kern w:val="0"/>
          <w:sz w:val="24"/>
          <w:highlight w:val="none"/>
        </w:rPr>
        <w:br w:type="page"/>
      </w:r>
      <w:r>
        <w:rPr>
          <w:rFonts w:hint="eastAsia" w:asciiTheme="minorEastAsia" w:hAnsiTheme="minorEastAsia" w:eastAsiaTheme="minorEastAsia" w:cstheme="minorEastAsia"/>
          <w:sz w:val="24"/>
          <w:szCs w:val="24"/>
          <w:highlight w:val="none"/>
        </w:rPr>
        <w:t>附表五：施工总平面图</w:t>
      </w:r>
    </w:p>
    <w:p w14:paraId="31A28BFB">
      <w:pPr>
        <w:autoSpaceDE w:val="0"/>
        <w:autoSpaceDN w:val="0"/>
        <w:adjustRightInd w:val="0"/>
        <w:snapToGrid w:val="0"/>
        <w:spacing w:line="360" w:lineRule="auto"/>
        <w:jc w:val="left"/>
        <w:rPr>
          <w:rFonts w:hint="eastAsia" w:asciiTheme="minorEastAsia" w:hAnsiTheme="minorEastAsia" w:eastAsiaTheme="minorEastAsia" w:cstheme="minorEastAsia"/>
          <w:kern w:val="0"/>
          <w:sz w:val="24"/>
          <w:szCs w:val="24"/>
          <w:highlight w:val="none"/>
        </w:rPr>
      </w:pPr>
    </w:p>
    <w:p w14:paraId="32334F26">
      <w:pPr>
        <w:autoSpaceDE w:val="0"/>
        <w:autoSpaceDN w:val="0"/>
        <w:adjustRightInd w:val="0"/>
        <w:snapToGrid w:val="0"/>
        <w:spacing w:line="360" w:lineRule="auto"/>
        <w:ind w:firstLine="484" w:firstLineChars="20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竞标人可递交一份施工总平面图</w:t>
      </w:r>
      <w:r>
        <w:rPr>
          <w:rFonts w:hint="eastAsia" w:asciiTheme="minorEastAsia" w:hAnsiTheme="minorEastAsia" w:eastAsiaTheme="minorEastAsia" w:cstheme="minorEastAsia"/>
          <w:spacing w:val="-47"/>
          <w:kern w:val="0"/>
          <w:sz w:val="24"/>
          <w:szCs w:val="24"/>
          <w:highlight w:val="none"/>
        </w:rPr>
        <w:t>，</w:t>
      </w:r>
      <w:r>
        <w:rPr>
          <w:rFonts w:hint="eastAsia" w:asciiTheme="minorEastAsia" w:hAnsiTheme="minorEastAsia" w:eastAsiaTheme="minorEastAsia" w:cstheme="minorEastAsia"/>
          <w:kern w:val="0"/>
          <w:sz w:val="24"/>
          <w:szCs w:val="24"/>
          <w:highlight w:val="none"/>
        </w:rPr>
        <w:t>绘出现场临时设施布置图表并附文字说明</w:t>
      </w:r>
      <w:r>
        <w:rPr>
          <w:rFonts w:hint="eastAsia" w:asciiTheme="minorEastAsia" w:hAnsiTheme="minorEastAsia" w:eastAsiaTheme="minorEastAsia" w:cstheme="minorEastAsia"/>
          <w:spacing w:val="-47"/>
          <w:kern w:val="0"/>
          <w:sz w:val="24"/>
          <w:szCs w:val="24"/>
          <w:highlight w:val="none"/>
        </w:rPr>
        <w:t>，</w:t>
      </w:r>
      <w:r>
        <w:rPr>
          <w:rFonts w:hint="eastAsia" w:asciiTheme="minorEastAsia" w:hAnsiTheme="minorEastAsia" w:eastAsiaTheme="minorEastAsia" w:cstheme="minorEastAsia"/>
          <w:kern w:val="0"/>
          <w:sz w:val="24"/>
          <w:szCs w:val="24"/>
          <w:highlight w:val="none"/>
        </w:rPr>
        <w:t>说明临时 设施</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加工车间</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现场办公</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设备及仓储</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供电</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供水</w:t>
      </w:r>
      <w:r>
        <w:rPr>
          <w:rFonts w:hint="eastAsia" w:asciiTheme="minorEastAsia" w:hAnsiTheme="minorEastAsia" w:eastAsiaTheme="minorEastAsia" w:cstheme="minorEastAsia"/>
          <w:spacing w:val="-10"/>
          <w:kern w:val="0"/>
          <w:sz w:val="24"/>
          <w:szCs w:val="24"/>
          <w:highlight w:val="none"/>
        </w:rPr>
        <w:t>、</w:t>
      </w:r>
      <w:r>
        <w:rPr>
          <w:rFonts w:hint="eastAsia" w:asciiTheme="minorEastAsia" w:hAnsiTheme="minorEastAsia" w:eastAsiaTheme="minorEastAsia" w:cstheme="minorEastAsia"/>
          <w:kern w:val="0"/>
          <w:sz w:val="24"/>
          <w:szCs w:val="24"/>
          <w:highlight w:val="none"/>
        </w:rPr>
        <w:t>卫生</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生活</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kern w:val="0"/>
          <w:sz w:val="24"/>
          <w:szCs w:val="24"/>
          <w:highlight w:val="none"/>
        </w:rPr>
        <w:t>道路</w:t>
      </w:r>
      <w:r>
        <w:rPr>
          <w:rFonts w:hint="eastAsia" w:asciiTheme="minorEastAsia" w:hAnsiTheme="minorEastAsia" w:eastAsiaTheme="minorEastAsia" w:cstheme="minorEastAsia"/>
          <w:spacing w:val="-11"/>
          <w:kern w:val="0"/>
          <w:sz w:val="24"/>
          <w:szCs w:val="24"/>
          <w:highlight w:val="none"/>
        </w:rPr>
        <w:t>、</w:t>
      </w:r>
      <w:r>
        <w:rPr>
          <w:rFonts w:hint="eastAsia" w:asciiTheme="minorEastAsia" w:hAnsiTheme="minorEastAsia" w:eastAsiaTheme="minorEastAsia" w:cstheme="minorEastAsia"/>
          <w:spacing w:val="1"/>
          <w:kern w:val="0"/>
          <w:sz w:val="24"/>
          <w:szCs w:val="24"/>
          <w:highlight w:val="none"/>
        </w:rPr>
        <w:t>消</w:t>
      </w:r>
      <w:r>
        <w:rPr>
          <w:rFonts w:hint="eastAsia" w:asciiTheme="minorEastAsia" w:hAnsiTheme="minorEastAsia" w:eastAsiaTheme="minorEastAsia" w:cstheme="minorEastAsia"/>
          <w:kern w:val="0"/>
          <w:sz w:val="24"/>
          <w:szCs w:val="24"/>
          <w:highlight w:val="none"/>
        </w:rPr>
        <w:t>防等设施的情况和布置。</w:t>
      </w:r>
    </w:p>
    <w:p w14:paraId="7AA9D951">
      <w:pPr>
        <w:autoSpaceDE w:val="0"/>
        <w:autoSpaceDN w:val="0"/>
        <w:adjustRightInd w:val="0"/>
        <w:snapToGri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br w:type="page"/>
      </w:r>
    </w:p>
    <w:p w14:paraId="7BB6968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附表六：临时用地表</w:t>
      </w:r>
    </w:p>
    <w:tbl>
      <w:tblPr>
        <w:tblStyle w:val="22"/>
        <w:tblW w:w="9529" w:type="dxa"/>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16853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4D579413">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用 途</w:t>
            </w:r>
          </w:p>
        </w:tc>
        <w:tc>
          <w:tcPr>
            <w:tcW w:w="2381" w:type="dxa"/>
            <w:vAlign w:val="center"/>
          </w:tcPr>
          <w:p w14:paraId="2C84C80C">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面 积（平</w:t>
            </w:r>
            <w:r>
              <w:rPr>
                <w:rFonts w:hint="eastAsia" w:asciiTheme="minorEastAsia" w:hAnsiTheme="minorEastAsia" w:eastAsiaTheme="minorEastAsia" w:cstheme="minorEastAsia"/>
                <w:spacing w:val="-1"/>
                <w:kern w:val="0"/>
                <w:sz w:val="24"/>
                <w:szCs w:val="24"/>
                <w:highlight w:val="none"/>
              </w:rPr>
              <w:t>方</w:t>
            </w:r>
            <w:r>
              <w:rPr>
                <w:rFonts w:hint="eastAsia" w:asciiTheme="minorEastAsia" w:hAnsiTheme="minorEastAsia" w:eastAsiaTheme="minorEastAsia" w:cstheme="minorEastAsia"/>
                <w:kern w:val="0"/>
                <w:sz w:val="24"/>
                <w:szCs w:val="24"/>
                <w:highlight w:val="none"/>
              </w:rPr>
              <w:t>米）</w:t>
            </w:r>
          </w:p>
        </w:tc>
        <w:tc>
          <w:tcPr>
            <w:tcW w:w="2383" w:type="dxa"/>
            <w:vAlign w:val="center"/>
          </w:tcPr>
          <w:p w14:paraId="5E64AAC1">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位 置</w:t>
            </w:r>
          </w:p>
        </w:tc>
        <w:tc>
          <w:tcPr>
            <w:tcW w:w="2384" w:type="dxa"/>
            <w:vAlign w:val="center"/>
          </w:tcPr>
          <w:p w14:paraId="43908EDB">
            <w:pPr>
              <w:autoSpaceDE w:val="0"/>
              <w:autoSpaceDN w:val="0"/>
              <w:adjustRightInd w:val="0"/>
              <w:snapToGrid w:val="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需用时间</w:t>
            </w:r>
          </w:p>
        </w:tc>
      </w:tr>
      <w:tr w14:paraId="1DFFC2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401934F">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2381" w:type="dxa"/>
          </w:tcPr>
          <w:p w14:paraId="40C464A2">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2383" w:type="dxa"/>
          </w:tcPr>
          <w:p w14:paraId="2B8363F9">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c>
          <w:tcPr>
            <w:tcW w:w="2384" w:type="dxa"/>
          </w:tcPr>
          <w:p w14:paraId="1F21C3B6">
            <w:pPr>
              <w:autoSpaceDE w:val="0"/>
              <w:autoSpaceDN w:val="0"/>
              <w:adjustRightInd w:val="0"/>
              <w:snapToGrid w:val="0"/>
              <w:jc w:val="left"/>
              <w:rPr>
                <w:rFonts w:hint="eastAsia" w:asciiTheme="minorEastAsia" w:hAnsiTheme="minorEastAsia" w:eastAsiaTheme="minorEastAsia" w:cstheme="minorEastAsia"/>
                <w:kern w:val="0"/>
                <w:sz w:val="24"/>
                <w:szCs w:val="24"/>
                <w:highlight w:val="none"/>
              </w:rPr>
            </w:pPr>
          </w:p>
        </w:tc>
      </w:tr>
      <w:tr w14:paraId="608D9A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3C900AB">
            <w:pPr>
              <w:autoSpaceDE w:val="0"/>
              <w:autoSpaceDN w:val="0"/>
              <w:adjustRightInd w:val="0"/>
              <w:snapToGrid w:val="0"/>
              <w:jc w:val="left"/>
              <w:rPr>
                <w:rFonts w:hint="eastAsia" w:asciiTheme="minorEastAsia" w:hAnsiTheme="minorEastAsia" w:eastAsiaTheme="minorEastAsia" w:cstheme="minorEastAsia"/>
                <w:kern w:val="0"/>
                <w:sz w:val="21"/>
                <w:szCs w:val="21"/>
                <w:highlight w:val="none"/>
              </w:rPr>
            </w:pPr>
          </w:p>
        </w:tc>
        <w:tc>
          <w:tcPr>
            <w:tcW w:w="2381" w:type="dxa"/>
          </w:tcPr>
          <w:p w14:paraId="2DD91092">
            <w:pPr>
              <w:autoSpaceDE w:val="0"/>
              <w:autoSpaceDN w:val="0"/>
              <w:adjustRightInd w:val="0"/>
              <w:snapToGrid w:val="0"/>
              <w:jc w:val="left"/>
              <w:rPr>
                <w:rFonts w:hint="eastAsia" w:asciiTheme="minorEastAsia" w:hAnsiTheme="minorEastAsia" w:eastAsiaTheme="minorEastAsia" w:cstheme="minorEastAsia"/>
                <w:kern w:val="0"/>
                <w:sz w:val="21"/>
                <w:szCs w:val="21"/>
                <w:highlight w:val="none"/>
              </w:rPr>
            </w:pPr>
          </w:p>
        </w:tc>
        <w:tc>
          <w:tcPr>
            <w:tcW w:w="2383" w:type="dxa"/>
          </w:tcPr>
          <w:p w14:paraId="3B5BBCA6">
            <w:pPr>
              <w:autoSpaceDE w:val="0"/>
              <w:autoSpaceDN w:val="0"/>
              <w:adjustRightInd w:val="0"/>
              <w:snapToGrid w:val="0"/>
              <w:jc w:val="left"/>
              <w:rPr>
                <w:rFonts w:hint="eastAsia" w:asciiTheme="minorEastAsia" w:hAnsiTheme="minorEastAsia" w:eastAsiaTheme="minorEastAsia" w:cstheme="minorEastAsia"/>
                <w:kern w:val="0"/>
                <w:sz w:val="21"/>
                <w:szCs w:val="21"/>
                <w:highlight w:val="none"/>
              </w:rPr>
            </w:pPr>
          </w:p>
        </w:tc>
        <w:tc>
          <w:tcPr>
            <w:tcW w:w="2384" w:type="dxa"/>
          </w:tcPr>
          <w:p w14:paraId="34106A85">
            <w:pPr>
              <w:autoSpaceDE w:val="0"/>
              <w:autoSpaceDN w:val="0"/>
              <w:adjustRightInd w:val="0"/>
              <w:snapToGrid w:val="0"/>
              <w:jc w:val="left"/>
              <w:rPr>
                <w:rFonts w:hint="eastAsia" w:asciiTheme="minorEastAsia" w:hAnsiTheme="minorEastAsia" w:eastAsiaTheme="minorEastAsia" w:cstheme="minorEastAsia"/>
                <w:kern w:val="0"/>
                <w:sz w:val="21"/>
                <w:szCs w:val="21"/>
                <w:highlight w:val="none"/>
              </w:rPr>
            </w:pPr>
          </w:p>
        </w:tc>
      </w:tr>
      <w:tr w14:paraId="3582C3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3A15946">
            <w:pPr>
              <w:autoSpaceDE w:val="0"/>
              <w:autoSpaceDN w:val="0"/>
              <w:adjustRightInd w:val="0"/>
              <w:snapToGrid w:val="0"/>
              <w:jc w:val="left"/>
              <w:rPr>
                <w:rFonts w:ascii="宋体" w:hAnsi="宋体"/>
                <w:kern w:val="0"/>
                <w:sz w:val="24"/>
                <w:highlight w:val="none"/>
              </w:rPr>
            </w:pPr>
          </w:p>
        </w:tc>
        <w:tc>
          <w:tcPr>
            <w:tcW w:w="2381" w:type="dxa"/>
          </w:tcPr>
          <w:p w14:paraId="6B045B57">
            <w:pPr>
              <w:autoSpaceDE w:val="0"/>
              <w:autoSpaceDN w:val="0"/>
              <w:adjustRightInd w:val="0"/>
              <w:snapToGrid w:val="0"/>
              <w:jc w:val="left"/>
              <w:rPr>
                <w:rFonts w:ascii="宋体" w:hAnsi="宋体"/>
                <w:kern w:val="0"/>
                <w:sz w:val="24"/>
                <w:highlight w:val="none"/>
              </w:rPr>
            </w:pPr>
          </w:p>
        </w:tc>
        <w:tc>
          <w:tcPr>
            <w:tcW w:w="2383" w:type="dxa"/>
          </w:tcPr>
          <w:p w14:paraId="2F807B2C">
            <w:pPr>
              <w:autoSpaceDE w:val="0"/>
              <w:autoSpaceDN w:val="0"/>
              <w:adjustRightInd w:val="0"/>
              <w:snapToGrid w:val="0"/>
              <w:jc w:val="left"/>
              <w:rPr>
                <w:rFonts w:ascii="宋体" w:hAnsi="宋体"/>
                <w:kern w:val="0"/>
                <w:sz w:val="24"/>
                <w:highlight w:val="none"/>
              </w:rPr>
            </w:pPr>
          </w:p>
        </w:tc>
        <w:tc>
          <w:tcPr>
            <w:tcW w:w="2384" w:type="dxa"/>
          </w:tcPr>
          <w:p w14:paraId="6F9D6308">
            <w:pPr>
              <w:autoSpaceDE w:val="0"/>
              <w:autoSpaceDN w:val="0"/>
              <w:adjustRightInd w:val="0"/>
              <w:snapToGrid w:val="0"/>
              <w:jc w:val="left"/>
              <w:rPr>
                <w:rFonts w:ascii="宋体" w:hAnsi="宋体"/>
                <w:kern w:val="0"/>
                <w:sz w:val="24"/>
                <w:highlight w:val="none"/>
              </w:rPr>
            </w:pPr>
          </w:p>
        </w:tc>
      </w:tr>
      <w:tr w14:paraId="543C5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EAB7226">
            <w:pPr>
              <w:autoSpaceDE w:val="0"/>
              <w:autoSpaceDN w:val="0"/>
              <w:adjustRightInd w:val="0"/>
              <w:snapToGrid w:val="0"/>
              <w:jc w:val="left"/>
              <w:rPr>
                <w:rFonts w:ascii="宋体" w:hAnsi="宋体"/>
                <w:kern w:val="0"/>
                <w:sz w:val="24"/>
                <w:highlight w:val="none"/>
              </w:rPr>
            </w:pPr>
          </w:p>
        </w:tc>
        <w:tc>
          <w:tcPr>
            <w:tcW w:w="2381" w:type="dxa"/>
          </w:tcPr>
          <w:p w14:paraId="2808A508">
            <w:pPr>
              <w:autoSpaceDE w:val="0"/>
              <w:autoSpaceDN w:val="0"/>
              <w:adjustRightInd w:val="0"/>
              <w:snapToGrid w:val="0"/>
              <w:jc w:val="left"/>
              <w:rPr>
                <w:rFonts w:ascii="宋体" w:hAnsi="宋体"/>
                <w:kern w:val="0"/>
                <w:sz w:val="24"/>
                <w:highlight w:val="none"/>
              </w:rPr>
            </w:pPr>
          </w:p>
        </w:tc>
        <w:tc>
          <w:tcPr>
            <w:tcW w:w="2383" w:type="dxa"/>
          </w:tcPr>
          <w:p w14:paraId="33055F80">
            <w:pPr>
              <w:autoSpaceDE w:val="0"/>
              <w:autoSpaceDN w:val="0"/>
              <w:adjustRightInd w:val="0"/>
              <w:snapToGrid w:val="0"/>
              <w:jc w:val="left"/>
              <w:rPr>
                <w:rFonts w:ascii="宋体" w:hAnsi="宋体"/>
                <w:kern w:val="0"/>
                <w:sz w:val="24"/>
                <w:highlight w:val="none"/>
              </w:rPr>
            </w:pPr>
          </w:p>
        </w:tc>
        <w:tc>
          <w:tcPr>
            <w:tcW w:w="2384" w:type="dxa"/>
          </w:tcPr>
          <w:p w14:paraId="5466C01C">
            <w:pPr>
              <w:autoSpaceDE w:val="0"/>
              <w:autoSpaceDN w:val="0"/>
              <w:adjustRightInd w:val="0"/>
              <w:snapToGrid w:val="0"/>
              <w:jc w:val="left"/>
              <w:rPr>
                <w:rFonts w:ascii="宋体" w:hAnsi="宋体"/>
                <w:kern w:val="0"/>
                <w:sz w:val="24"/>
                <w:highlight w:val="none"/>
              </w:rPr>
            </w:pPr>
          </w:p>
        </w:tc>
      </w:tr>
      <w:tr w14:paraId="55B65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338A977">
            <w:pPr>
              <w:autoSpaceDE w:val="0"/>
              <w:autoSpaceDN w:val="0"/>
              <w:adjustRightInd w:val="0"/>
              <w:snapToGrid w:val="0"/>
              <w:jc w:val="left"/>
              <w:rPr>
                <w:rFonts w:ascii="宋体" w:hAnsi="宋体"/>
                <w:kern w:val="0"/>
                <w:sz w:val="24"/>
                <w:highlight w:val="none"/>
              </w:rPr>
            </w:pPr>
          </w:p>
        </w:tc>
        <w:tc>
          <w:tcPr>
            <w:tcW w:w="2381" w:type="dxa"/>
          </w:tcPr>
          <w:p w14:paraId="08BFBCAD">
            <w:pPr>
              <w:autoSpaceDE w:val="0"/>
              <w:autoSpaceDN w:val="0"/>
              <w:adjustRightInd w:val="0"/>
              <w:snapToGrid w:val="0"/>
              <w:jc w:val="left"/>
              <w:rPr>
                <w:rFonts w:ascii="宋体" w:hAnsi="宋体"/>
                <w:kern w:val="0"/>
                <w:sz w:val="24"/>
                <w:highlight w:val="none"/>
              </w:rPr>
            </w:pPr>
          </w:p>
        </w:tc>
        <w:tc>
          <w:tcPr>
            <w:tcW w:w="2383" w:type="dxa"/>
          </w:tcPr>
          <w:p w14:paraId="17BED704">
            <w:pPr>
              <w:autoSpaceDE w:val="0"/>
              <w:autoSpaceDN w:val="0"/>
              <w:adjustRightInd w:val="0"/>
              <w:snapToGrid w:val="0"/>
              <w:jc w:val="left"/>
              <w:rPr>
                <w:rFonts w:ascii="宋体" w:hAnsi="宋体"/>
                <w:kern w:val="0"/>
                <w:sz w:val="24"/>
                <w:highlight w:val="none"/>
              </w:rPr>
            </w:pPr>
          </w:p>
        </w:tc>
        <w:tc>
          <w:tcPr>
            <w:tcW w:w="2384" w:type="dxa"/>
          </w:tcPr>
          <w:p w14:paraId="400F9229">
            <w:pPr>
              <w:autoSpaceDE w:val="0"/>
              <w:autoSpaceDN w:val="0"/>
              <w:adjustRightInd w:val="0"/>
              <w:snapToGrid w:val="0"/>
              <w:jc w:val="left"/>
              <w:rPr>
                <w:rFonts w:ascii="宋体" w:hAnsi="宋体"/>
                <w:kern w:val="0"/>
                <w:sz w:val="24"/>
                <w:highlight w:val="none"/>
              </w:rPr>
            </w:pPr>
          </w:p>
        </w:tc>
      </w:tr>
      <w:tr w14:paraId="5A4EE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308B917">
            <w:pPr>
              <w:autoSpaceDE w:val="0"/>
              <w:autoSpaceDN w:val="0"/>
              <w:adjustRightInd w:val="0"/>
              <w:snapToGrid w:val="0"/>
              <w:jc w:val="left"/>
              <w:rPr>
                <w:rFonts w:ascii="宋体" w:hAnsi="宋体"/>
                <w:kern w:val="0"/>
                <w:sz w:val="24"/>
                <w:highlight w:val="none"/>
              </w:rPr>
            </w:pPr>
          </w:p>
        </w:tc>
        <w:tc>
          <w:tcPr>
            <w:tcW w:w="2381" w:type="dxa"/>
          </w:tcPr>
          <w:p w14:paraId="4F841B23">
            <w:pPr>
              <w:autoSpaceDE w:val="0"/>
              <w:autoSpaceDN w:val="0"/>
              <w:adjustRightInd w:val="0"/>
              <w:snapToGrid w:val="0"/>
              <w:jc w:val="left"/>
              <w:rPr>
                <w:rFonts w:ascii="宋体" w:hAnsi="宋体"/>
                <w:kern w:val="0"/>
                <w:sz w:val="24"/>
                <w:highlight w:val="none"/>
              </w:rPr>
            </w:pPr>
          </w:p>
        </w:tc>
        <w:tc>
          <w:tcPr>
            <w:tcW w:w="2383" w:type="dxa"/>
          </w:tcPr>
          <w:p w14:paraId="492B9091">
            <w:pPr>
              <w:autoSpaceDE w:val="0"/>
              <w:autoSpaceDN w:val="0"/>
              <w:adjustRightInd w:val="0"/>
              <w:snapToGrid w:val="0"/>
              <w:jc w:val="left"/>
              <w:rPr>
                <w:rFonts w:ascii="宋体" w:hAnsi="宋体"/>
                <w:kern w:val="0"/>
                <w:sz w:val="24"/>
                <w:highlight w:val="none"/>
              </w:rPr>
            </w:pPr>
          </w:p>
        </w:tc>
        <w:tc>
          <w:tcPr>
            <w:tcW w:w="2384" w:type="dxa"/>
          </w:tcPr>
          <w:p w14:paraId="729EA2CB">
            <w:pPr>
              <w:autoSpaceDE w:val="0"/>
              <w:autoSpaceDN w:val="0"/>
              <w:adjustRightInd w:val="0"/>
              <w:snapToGrid w:val="0"/>
              <w:jc w:val="left"/>
              <w:rPr>
                <w:rFonts w:ascii="宋体" w:hAnsi="宋体"/>
                <w:kern w:val="0"/>
                <w:sz w:val="24"/>
                <w:highlight w:val="none"/>
              </w:rPr>
            </w:pPr>
          </w:p>
        </w:tc>
      </w:tr>
      <w:tr w14:paraId="6A301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C3D75DE">
            <w:pPr>
              <w:autoSpaceDE w:val="0"/>
              <w:autoSpaceDN w:val="0"/>
              <w:adjustRightInd w:val="0"/>
              <w:snapToGrid w:val="0"/>
              <w:jc w:val="left"/>
              <w:rPr>
                <w:rFonts w:ascii="宋体" w:hAnsi="宋体"/>
                <w:kern w:val="0"/>
                <w:sz w:val="24"/>
                <w:highlight w:val="none"/>
              </w:rPr>
            </w:pPr>
          </w:p>
        </w:tc>
        <w:tc>
          <w:tcPr>
            <w:tcW w:w="2381" w:type="dxa"/>
          </w:tcPr>
          <w:p w14:paraId="284F3F46">
            <w:pPr>
              <w:autoSpaceDE w:val="0"/>
              <w:autoSpaceDN w:val="0"/>
              <w:adjustRightInd w:val="0"/>
              <w:snapToGrid w:val="0"/>
              <w:jc w:val="left"/>
              <w:rPr>
                <w:rFonts w:ascii="宋体" w:hAnsi="宋体"/>
                <w:kern w:val="0"/>
                <w:sz w:val="24"/>
                <w:highlight w:val="none"/>
              </w:rPr>
            </w:pPr>
          </w:p>
        </w:tc>
        <w:tc>
          <w:tcPr>
            <w:tcW w:w="2383" w:type="dxa"/>
          </w:tcPr>
          <w:p w14:paraId="08477B84">
            <w:pPr>
              <w:autoSpaceDE w:val="0"/>
              <w:autoSpaceDN w:val="0"/>
              <w:adjustRightInd w:val="0"/>
              <w:snapToGrid w:val="0"/>
              <w:jc w:val="left"/>
              <w:rPr>
                <w:rFonts w:ascii="宋体" w:hAnsi="宋体"/>
                <w:kern w:val="0"/>
                <w:sz w:val="24"/>
                <w:highlight w:val="none"/>
              </w:rPr>
            </w:pPr>
          </w:p>
        </w:tc>
        <w:tc>
          <w:tcPr>
            <w:tcW w:w="2384" w:type="dxa"/>
          </w:tcPr>
          <w:p w14:paraId="7D82628C">
            <w:pPr>
              <w:autoSpaceDE w:val="0"/>
              <w:autoSpaceDN w:val="0"/>
              <w:adjustRightInd w:val="0"/>
              <w:snapToGrid w:val="0"/>
              <w:jc w:val="left"/>
              <w:rPr>
                <w:rFonts w:ascii="宋体" w:hAnsi="宋体"/>
                <w:kern w:val="0"/>
                <w:sz w:val="24"/>
                <w:highlight w:val="none"/>
              </w:rPr>
            </w:pPr>
          </w:p>
        </w:tc>
      </w:tr>
      <w:tr w14:paraId="3E1342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681A2E0">
            <w:pPr>
              <w:autoSpaceDE w:val="0"/>
              <w:autoSpaceDN w:val="0"/>
              <w:adjustRightInd w:val="0"/>
              <w:snapToGrid w:val="0"/>
              <w:jc w:val="left"/>
              <w:rPr>
                <w:rFonts w:ascii="宋体" w:hAnsi="宋体"/>
                <w:kern w:val="0"/>
                <w:sz w:val="24"/>
                <w:highlight w:val="none"/>
              </w:rPr>
            </w:pPr>
          </w:p>
        </w:tc>
        <w:tc>
          <w:tcPr>
            <w:tcW w:w="2381" w:type="dxa"/>
          </w:tcPr>
          <w:p w14:paraId="6384D5AA">
            <w:pPr>
              <w:autoSpaceDE w:val="0"/>
              <w:autoSpaceDN w:val="0"/>
              <w:adjustRightInd w:val="0"/>
              <w:snapToGrid w:val="0"/>
              <w:jc w:val="left"/>
              <w:rPr>
                <w:rFonts w:ascii="宋体" w:hAnsi="宋体"/>
                <w:kern w:val="0"/>
                <w:sz w:val="24"/>
                <w:highlight w:val="none"/>
              </w:rPr>
            </w:pPr>
          </w:p>
        </w:tc>
        <w:tc>
          <w:tcPr>
            <w:tcW w:w="2383" w:type="dxa"/>
          </w:tcPr>
          <w:p w14:paraId="73550618">
            <w:pPr>
              <w:autoSpaceDE w:val="0"/>
              <w:autoSpaceDN w:val="0"/>
              <w:adjustRightInd w:val="0"/>
              <w:snapToGrid w:val="0"/>
              <w:jc w:val="left"/>
              <w:rPr>
                <w:rFonts w:ascii="宋体" w:hAnsi="宋体"/>
                <w:kern w:val="0"/>
                <w:sz w:val="24"/>
                <w:highlight w:val="none"/>
              </w:rPr>
            </w:pPr>
          </w:p>
        </w:tc>
        <w:tc>
          <w:tcPr>
            <w:tcW w:w="2384" w:type="dxa"/>
          </w:tcPr>
          <w:p w14:paraId="6615EF98">
            <w:pPr>
              <w:autoSpaceDE w:val="0"/>
              <w:autoSpaceDN w:val="0"/>
              <w:adjustRightInd w:val="0"/>
              <w:snapToGrid w:val="0"/>
              <w:jc w:val="left"/>
              <w:rPr>
                <w:rFonts w:ascii="宋体" w:hAnsi="宋体"/>
                <w:kern w:val="0"/>
                <w:sz w:val="24"/>
                <w:highlight w:val="none"/>
              </w:rPr>
            </w:pPr>
          </w:p>
        </w:tc>
      </w:tr>
      <w:tr w14:paraId="707FC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850E505">
            <w:pPr>
              <w:autoSpaceDE w:val="0"/>
              <w:autoSpaceDN w:val="0"/>
              <w:adjustRightInd w:val="0"/>
              <w:snapToGrid w:val="0"/>
              <w:jc w:val="left"/>
              <w:rPr>
                <w:rFonts w:ascii="宋体" w:hAnsi="宋体"/>
                <w:kern w:val="0"/>
                <w:sz w:val="24"/>
                <w:highlight w:val="none"/>
              </w:rPr>
            </w:pPr>
          </w:p>
        </w:tc>
        <w:tc>
          <w:tcPr>
            <w:tcW w:w="2381" w:type="dxa"/>
          </w:tcPr>
          <w:p w14:paraId="0EA5B86C">
            <w:pPr>
              <w:autoSpaceDE w:val="0"/>
              <w:autoSpaceDN w:val="0"/>
              <w:adjustRightInd w:val="0"/>
              <w:snapToGrid w:val="0"/>
              <w:jc w:val="left"/>
              <w:rPr>
                <w:rFonts w:ascii="宋体" w:hAnsi="宋体"/>
                <w:kern w:val="0"/>
                <w:sz w:val="24"/>
                <w:highlight w:val="none"/>
              </w:rPr>
            </w:pPr>
          </w:p>
        </w:tc>
        <w:tc>
          <w:tcPr>
            <w:tcW w:w="2383" w:type="dxa"/>
          </w:tcPr>
          <w:p w14:paraId="50B0D61A">
            <w:pPr>
              <w:autoSpaceDE w:val="0"/>
              <w:autoSpaceDN w:val="0"/>
              <w:adjustRightInd w:val="0"/>
              <w:snapToGrid w:val="0"/>
              <w:jc w:val="left"/>
              <w:rPr>
                <w:rFonts w:ascii="宋体" w:hAnsi="宋体"/>
                <w:kern w:val="0"/>
                <w:sz w:val="24"/>
                <w:highlight w:val="none"/>
              </w:rPr>
            </w:pPr>
          </w:p>
        </w:tc>
        <w:tc>
          <w:tcPr>
            <w:tcW w:w="2384" w:type="dxa"/>
          </w:tcPr>
          <w:p w14:paraId="59DF0A87">
            <w:pPr>
              <w:autoSpaceDE w:val="0"/>
              <w:autoSpaceDN w:val="0"/>
              <w:adjustRightInd w:val="0"/>
              <w:snapToGrid w:val="0"/>
              <w:jc w:val="left"/>
              <w:rPr>
                <w:rFonts w:ascii="宋体" w:hAnsi="宋体"/>
                <w:kern w:val="0"/>
                <w:sz w:val="24"/>
                <w:highlight w:val="none"/>
              </w:rPr>
            </w:pPr>
          </w:p>
        </w:tc>
      </w:tr>
      <w:tr w14:paraId="100157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61133E4">
            <w:pPr>
              <w:autoSpaceDE w:val="0"/>
              <w:autoSpaceDN w:val="0"/>
              <w:adjustRightInd w:val="0"/>
              <w:snapToGrid w:val="0"/>
              <w:jc w:val="left"/>
              <w:rPr>
                <w:rFonts w:ascii="宋体" w:hAnsi="宋体"/>
                <w:kern w:val="0"/>
                <w:sz w:val="24"/>
                <w:highlight w:val="none"/>
              </w:rPr>
            </w:pPr>
          </w:p>
        </w:tc>
        <w:tc>
          <w:tcPr>
            <w:tcW w:w="2381" w:type="dxa"/>
          </w:tcPr>
          <w:p w14:paraId="30D7C41A">
            <w:pPr>
              <w:autoSpaceDE w:val="0"/>
              <w:autoSpaceDN w:val="0"/>
              <w:adjustRightInd w:val="0"/>
              <w:snapToGrid w:val="0"/>
              <w:jc w:val="left"/>
              <w:rPr>
                <w:rFonts w:ascii="宋体" w:hAnsi="宋体"/>
                <w:kern w:val="0"/>
                <w:sz w:val="24"/>
                <w:highlight w:val="none"/>
              </w:rPr>
            </w:pPr>
          </w:p>
        </w:tc>
        <w:tc>
          <w:tcPr>
            <w:tcW w:w="2383" w:type="dxa"/>
          </w:tcPr>
          <w:p w14:paraId="5C897E92">
            <w:pPr>
              <w:autoSpaceDE w:val="0"/>
              <w:autoSpaceDN w:val="0"/>
              <w:adjustRightInd w:val="0"/>
              <w:snapToGrid w:val="0"/>
              <w:jc w:val="left"/>
              <w:rPr>
                <w:rFonts w:ascii="宋体" w:hAnsi="宋体"/>
                <w:kern w:val="0"/>
                <w:sz w:val="24"/>
                <w:highlight w:val="none"/>
              </w:rPr>
            </w:pPr>
          </w:p>
        </w:tc>
        <w:tc>
          <w:tcPr>
            <w:tcW w:w="2384" w:type="dxa"/>
          </w:tcPr>
          <w:p w14:paraId="3D308DCD">
            <w:pPr>
              <w:autoSpaceDE w:val="0"/>
              <w:autoSpaceDN w:val="0"/>
              <w:adjustRightInd w:val="0"/>
              <w:snapToGrid w:val="0"/>
              <w:jc w:val="left"/>
              <w:rPr>
                <w:rFonts w:ascii="宋体" w:hAnsi="宋体"/>
                <w:kern w:val="0"/>
                <w:sz w:val="24"/>
                <w:highlight w:val="none"/>
              </w:rPr>
            </w:pPr>
          </w:p>
        </w:tc>
      </w:tr>
      <w:tr w14:paraId="0A6BE5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981CFF">
            <w:pPr>
              <w:autoSpaceDE w:val="0"/>
              <w:autoSpaceDN w:val="0"/>
              <w:adjustRightInd w:val="0"/>
              <w:snapToGrid w:val="0"/>
              <w:jc w:val="left"/>
              <w:rPr>
                <w:rFonts w:ascii="宋体" w:hAnsi="宋体"/>
                <w:kern w:val="0"/>
                <w:sz w:val="24"/>
                <w:highlight w:val="none"/>
              </w:rPr>
            </w:pPr>
          </w:p>
        </w:tc>
        <w:tc>
          <w:tcPr>
            <w:tcW w:w="2381" w:type="dxa"/>
          </w:tcPr>
          <w:p w14:paraId="7FB860EE">
            <w:pPr>
              <w:autoSpaceDE w:val="0"/>
              <w:autoSpaceDN w:val="0"/>
              <w:adjustRightInd w:val="0"/>
              <w:snapToGrid w:val="0"/>
              <w:jc w:val="left"/>
              <w:rPr>
                <w:rFonts w:ascii="宋体" w:hAnsi="宋体"/>
                <w:kern w:val="0"/>
                <w:sz w:val="24"/>
                <w:highlight w:val="none"/>
              </w:rPr>
            </w:pPr>
          </w:p>
        </w:tc>
        <w:tc>
          <w:tcPr>
            <w:tcW w:w="2383" w:type="dxa"/>
          </w:tcPr>
          <w:p w14:paraId="58B73C81">
            <w:pPr>
              <w:autoSpaceDE w:val="0"/>
              <w:autoSpaceDN w:val="0"/>
              <w:adjustRightInd w:val="0"/>
              <w:snapToGrid w:val="0"/>
              <w:jc w:val="left"/>
              <w:rPr>
                <w:rFonts w:ascii="宋体" w:hAnsi="宋体"/>
                <w:kern w:val="0"/>
                <w:sz w:val="24"/>
                <w:highlight w:val="none"/>
              </w:rPr>
            </w:pPr>
          </w:p>
        </w:tc>
        <w:tc>
          <w:tcPr>
            <w:tcW w:w="2384" w:type="dxa"/>
          </w:tcPr>
          <w:p w14:paraId="0F943E80">
            <w:pPr>
              <w:autoSpaceDE w:val="0"/>
              <w:autoSpaceDN w:val="0"/>
              <w:adjustRightInd w:val="0"/>
              <w:snapToGrid w:val="0"/>
              <w:jc w:val="left"/>
              <w:rPr>
                <w:rFonts w:ascii="宋体" w:hAnsi="宋体"/>
                <w:kern w:val="0"/>
                <w:sz w:val="24"/>
                <w:highlight w:val="none"/>
              </w:rPr>
            </w:pPr>
          </w:p>
        </w:tc>
      </w:tr>
      <w:tr w14:paraId="03B860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7D4FB4C">
            <w:pPr>
              <w:autoSpaceDE w:val="0"/>
              <w:autoSpaceDN w:val="0"/>
              <w:adjustRightInd w:val="0"/>
              <w:snapToGrid w:val="0"/>
              <w:jc w:val="left"/>
              <w:rPr>
                <w:rFonts w:ascii="宋体" w:hAnsi="宋体"/>
                <w:kern w:val="0"/>
                <w:sz w:val="24"/>
                <w:highlight w:val="none"/>
              </w:rPr>
            </w:pPr>
          </w:p>
        </w:tc>
        <w:tc>
          <w:tcPr>
            <w:tcW w:w="2381" w:type="dxa"/>
          </w:tcPr>
          <w:p w14:paraId="16D1BAB8">
            <w:pPr>
              <w:autoSpaceDE w:val="0"/>
              <w:autoSpaceDN w:val="0"/>
              <w:adjustRightInd w:val="0"/>
              <w:snapToGrid w:val="0"/>
              <w:jc w:val="left"/>
              <w:rPr>
                <w:rFonts w:ascii="宋体" w:hAnsi="宋体"/>
                <w:kern w:val="0"/>
                <w:sz w:val="24"/>
                <w:highlight w:val="none"/>
              </w:rPr>
            </w:pPr>
          </w:p>
        </w:tc>
        <w:tc>
          <w:tcPr>
            <w:tcW w:w="2383" w:type="dxa"/>
          </w:tcPr>
          <w:p w14:paraId="1B51884A">
            <w:pPr>
              <w:autoSpaceDE w:val="0"/>
              <w:autoSpaceDN w:val="0"/>
              <w:adjustRightInd w:val="0"/>
              <w:snapToGrid w:val="0"/>
              <w:jc w:val="left"/>
              <w:rPr>
                <w:rFonts w:ascii="宋体" w:hAnsi="宋体"/>
                <w:kern w:val="0"/>
                <w:sz w:val="24"/>
                <w:highlight w:val="none"/>
              </w:rPr>
            </w:pPr>
          </w:p>
        </w:tc>
        <w:tc>
          <w:tcPr>
            <w:tcW w:w="2384" w:type="dxa"/>
          </w:tcPr>
          <w:p w14:paraId="0B9CA91F">
            <w:pPr>
              <w:autoSpaceDE w:val="0"/>
              <w:autoSpaceDN w:val="0"/>
              <w:adjustRightInd w:val="0"/>
              <w:snapToGrid w:val="0"/>
              <w:jc w:val="left"/>
              <w:rPr>
                <w:rFonts w:ascii="宋体" w:hAnsi="宋体"/>
                <w:kern w:val="0"/>
                <w:sz w:val="24"/>
                <w:highlight w:val="none"/>
              </w:rPr>
            </w:pPr>
          </w:p>
        </w:tc>
      </w:tr>
      <w:tr w14:paraId="01E1D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9313D28">
            <w:pPr>
              <w:autoSpaceDE w:val="0"/>
              <w:autoSpaceDN w:val="0"/>
              <w:adjustRightInd w:val="0"/>
              <w:snapToGrid w:val="0"/>
              <w:jc w:val="left"/>
              <w:rPr>
                <w:rFonts w:ascii="宋体" w:hAnsi="宋体"/>
                <w:kern w:val="0"/>
                <w:sz w:val="24"/>
                <w:highlight w:val="none"/>
              </w:rPr>
            </w:pPr>
          </w:p>
        </w:tc>
        <w:tc>
          <w:tcPr>
            <w:tcW w:w="2381" w:type="dxa"/>
          </w:tcPr>
          <w:p w14:paraId="1332FDBD">
            <w:pPr>
              <w:autoSpaceDE w:val="0"/>
              <w:autoSpaceDN w:val="0"/>
              <w:adjustRightInd w:val="0"/>
              <w:snapToGrid w:val="0"/>
              <w:jc w:val="left"/>
              <w:rPr>
                <w:rFonts w:ascii="宋体" w:hAnsi="宋体"/>
                <w:kern w:val="0"/>
                <w:sz w:val="24"/>
                <w:highlight w:val="none"/>
              </w:rPr>
            </w:pPr>
          </w:p>
        </w:tc>
        <w:tc>
          <w:tcPr>
            <w:tcW w:w="2383" w:type="dxa"/>
          </w:tcPr>
          <w:p w14:paraId="42CCA3C0">
            <w:pPr>
              <w:autoSpaceDE w:val="0"/>
              <w:autoSpaceDN w:val="0"/>
              <w:adjustRightInd w:val="0"/>
              <w:snapToGrid w:val="0"/>
              <w:jc w:val="left"/>
              <w:rPr>
                <w:rFonts w:ascii="宋体" w:hAnsi="宋体"/>
                <w:kern w:val="0"/>
                <w:sz w:val="24"/>
                <w:highlight w:val="none"/>
              </w:rPr>
            </w:pPr>
          </w:p>
        </w:tc>
        <w:tc>
          <w:tcPr>
            <w:tcW w:w="2384" w:type="dxa"/>
          </w:tcPr>
          <w:p w14:paraId="143613B0">
            <w:pPr>
              <w:autoSpaceDE w:val="0"/>
              <w:autoSpaceDN w:val="0"/>
              <w:adjustRightInd w:val="0"/>
              <w:snapToGrid w:val="0"/>
              <w:jc w:val="left"/>
              <w:rPr>
                <w:rFonts w:ascii="宋体" w:hAnsi="宋体"/>
                <w:kern w:val="0"/>
                <w:sz w:val="24"/>
                <w:highlight w:val="none"/>
              </w:rPr>
            </w:pPr>
          </w:p>
        </w:tc>
      </w:tr>
      <w:tr w14:paraId="0E4076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F7D9976">
            <w:pPr>
              <w:autoSpaceDE w:val="0"/>
              <w:autoSpaceDN w:val="0"/>
              <w:adjustRightInd w:val="0"/>
              <w:snapToGrid w:val="0"/>
              <w:jc w:val="left"/>
              <w:rPr>
                <w:rFonts w:ascii="宋体" w:hAnsi="宋体"/>
                <w:kern w:val="0"/>
                <w:sz w:val="24"/>
                <w:highlight w:val="none"/>
              </w:rPr>
            </w:pPr>
          </w:p>
        </w:tc>
        <w:tc>
          <w:tcPr>
            <w:tcW w:w="2381" w:type="dxa"/>
          </w:tcPr>
          <w:p w14:paraId="1C8E2902">
            <w:pPr>
              <w:autoSpaceDE w:val="0"/>
              <w:autoSpaceDN w:val="0"/>
              <w:adjustRightInd w:val="0"/>
              <w:snapToGrid w:val="0"/>
              <w:jc w:val="left"/>
              <w:rPr>
                <w:rFonts w:ascii="宋体" w:hAnsi="宋体"/>
                <w:kern w:val="0"/>
                <w:sz w:val="24"/>
                <w:highlight w:val="none"/>
              </w:rPr>
            </w:pPr>
          </w:p>
        </w:tc>
        <w:tc>
          <w:tcPr>
            <w:tcW w:w="2383" w:type="dxa"/>
          </w:tcPr>
          <w:p w14:paraId="0B2BB2A6">
            <w:pPr>
              <w:autoSpaceDE w:val="0"/>
              <w:autoSpaceDN w:val="0"/>
              <w:adjustRightInd w:val="0"/>
              <w:snapToGrid w:val="0"/>
              <w:jc w:val="left"/>
              <w:rPr>
                <w:rFonts w:ascii="宋体" w:hAnsi="宋体"/>
                <w:kern w:val="0"/>
                <w:sz w:val="24"/>
                <w:highlight w:val="none"/>
              </w:rPr>
            </w:pPr>
          </w:p>
        </w:tc>
        <w:tc>
          <w:tcPr>
            <w:tcW w:w="2384" w:type="dxa"/>
          </w:tcPr>
          <w:p w14:paraId="1BC321ED">
            <w:pPr>
              <w:autoSpaceDE w:val="0"/>
              <w:autoSpaceDN w:val="0"/>
              <w:adjustRightInd w:val="0"/>
              <w:snapToGrid w:val="0"/>
              <w:jc w:val="left"/>
              <w:rPr>
                <w:rFonts w:ascii="宋体" w:hAnsi="宋体"/>
                <w:kern w:val="0"/>
                <w:sz w:val="24"/>
                <w:highlight w:val="none"/>
              </w:rPr>
            </w:pPr>
          </w:p>
        </w:tc>
      </w:tr>
      <w:tr w14:paraId="5AE50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D94DC20">
            <w:pPr>
              <w:autoSpaceDE w:val="0"/>
              <w:autoSpaceDN w:val="0"/>
              <w:adjustRightInd w:val="0"/>
              <w:snapToGrid w:val="0"/>
              <w:jc w:val="left"/>
              <w:rPr>
                <w:rFonts w:ascii="宋体" w:hAnsi="宋体"/>
                <w:kern w:val="0"/>
                <w:sz w:val="24"/>
                <w:highlight w:val="none"/>
              </w:rPr>
            </w:pPr>
          </w:p>
        </w:tc>
        <w:tc>
          <w:tcPr>
            <w:tcW w:w="2381" w:type="dxa"/>
          </w:tcPr>
          <w:p w14:paraId="76B7F0CB">
            <w:pPr>
              <w:autoSpaceDE w:val="0"/>
              <w:autoSpaceDN w:val="0"/>
              <w:adjustRightInd w:val="0"/>
              <w:snapToGrid w:val="0"/>
              <w:jc w:val="left"/>
              <w:rPr>
                <w:rFonts w:ascii="宋体" w:hAnsi="宋体"/>
                <w:kern w:val="0"/>
                <w:sz w:val="24"/>
                <w:highlight w:val="none"/>
              </w:rPr>
            </w:pPr>
          </w:p>
        </w:tc>
        <w:tc>
          <w:tcPr>
            <w:tcW w:w="2383" w:type="dxa"/>
          </w:tcPr>
          <w:p w14:paraId="35E26E6D">
            <w:pPr>
              <w:autoSpaceDE w:val="0"/>
              <w:autoSpaceDN w:val="0"/>
              <w:adjustRightInd w:val="0"/>
              <w:snapToGrid w:val="0"/>
              <w:jc w:val="left"/>
              <w:rPr>
                <w:rFonts w:ascii="宋体" w:hAnsi="宋体"/>
                <w:kern w:val="0"/>
                <w:sz w:val="24"/>
                <w:highlight w:val="none"/>
              </w:rPr>
            </w:pPr>
          </w:p>
        </w:tc>
        <w:tc>
          <w:tcPr>
            <w:tcW w:w="2384" w:type="dxa"/>
          </w:tcPr>
          <w:p w14:paraId="475734A0">
            <w:pPr>
              <w:autoSpaceDE w:val="0"/>
              <w:autoSpaceDN w:val="0"/>
              <w:adjustRightInd w:val="0"/>
              <w:snapToGrid w:val="0"/>
              <w:jc w:val="left"/>
              <w:rPr>
                <w:rFonts w:ascii="宋体" w:hAnsi="宋体"/>
                <w:kern w:val="0"/>
                <w:sz w:val="24"/>
                <w:highlight w:val="none"/>
              </w:rPr>
            </w:pPr>
          </w:p>
        </w:tc>
      </w:tr>
      <w:tr w14:paraId="54DB8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EF4B3B9">
            <w:pPr>
              <w:autoSpaceDE w:val="0"/>
              <w:autoSpaceDN w:val="0"/>
              <w:adjustRightInd w:val="0"/>
              <w:snapToGrid w:val="0"/>
              <w:jc w:val="left"/>
              <w:rPr>
                <w:rFonts w:ascii="宋体" w:hAnsi="宋体"/>
                <w:kern w:val="0"/>
                <w:sz w:val="24"/>
                <w:highlight w:val="none"/>
              </w:rPr>
            </w:pPr>
          </w:p>
        </w:tc>
        <w:tc>
          <w:tcPr>
            <w:tcW w:w="2381" w:type="dxa"/>
          </w:tcPr>
          <w:p w14:paraId="6EAEAF9A">
            <w:pPr>
              <w:autoSpaceDE w:val="0"/>
              <w:autoSpaceDN w:val="0"/>
              <w:adjustRightInd w:val="0"/>
              <w:snapToGrid w:val="0"/>
              <w:jc w:val="left"/>
              <w:rPr>
                <w:rFonts w:ascii="宋体" w:hAnsi="宋体"/>
                <w:kern w:val="0"/>
                <w:sz w:val="24"/>
                <w:highlight w:val="none"/>
              </w:rPr>
            </w:pPr>
          </w:p>
        </w:tc>
        <w:tc>
          <w:tcPr>
            <w:tcW w:w="2383" w:type="dxa"/>
          </w:tcPr>
          <w:p w14:paraId="1403ED0D">
            <w:pPr>
              <w:autoSpaceDE w:val="0"/>
              <w:autoSpaceDN w:val="0"/>
              <w:adjustRightInd w:val="0"/>
              <w:snapToGrid w:val="0"/>
              <w:jc w:val="left"/>
              <w:rPr>
                <w:rFonts w:ascii="宋体" w:hAnsi="宋体"/>
                <w:kern w:val="0"/>
                <w:sz w:val="24"/>
                <w:highlight w:val="none"/>
              </w:rPr>
            </w:pPr>
          </w:p>
        </w:tc>
        <w:tc>
          <w:tcPr>
            <w:tcW w:w="2384" w:type="dxa"/>
          </w:tcPr>
          <w:p w14:paraId="4F4417B4">
            <w:pPr>
              <w:autoSpaceDE w:val="0"/>
              <w:autoSpaceDN w:val="0"/>
              <w:adjustRightInd w:val="0"/>
              <w:snapToGrid w:val="0"/>
              <w:jc w:val="left"/>
              <w:rPr>
                <w:rFonts w:ascii="宋体" w:hAnsi="宋体"/>
                <w:kern w:val="0"/>
                <w:sz w:val="24"/>
                <w:highlight w:val="none"/>
              </w:rPr>
            </w:pPr>
          </w:p>
        </w:tc>
      </w:tr>
      <w:tr w14:paraId="66EF6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BC6579F">
            <w:pPr>
              <w:autoSpaceDE w:val="0"/>
              <w:autoSpaceDN w:val="0"/>
              <w:adjustRightInd w:val="0"/>
              <w:snapToGrid w:val="0"/>
              <w:jc w:val="left"/>
              <w:rPr>
                <w:rFonts w:ascii="宋体" w:hAnsi="宋体"/>
                <w:kern w:val="0"/>
                <w:sz w:val="24"/>
                <w:highlight w:val="none"/>
              </w:rPr>
            </w:pPr>
          </w:p>
        </w:tc>
        <w:tc>
          <w:tcPr>
            <w:tcW w:w="2381" w:type="dxa"/>
          </w:tcPr>
          <w:p w14:paraId="29A10BD7">
            <w:pPr>
              <w:autoSpaceDE w:val="0"/>
              <w:autoSpaceDN w:val="0"/>
              <w:adjustRightInd w:val="0"/>
              <w:snapToGrid w:val="0"/>
              <w:jc w:val="left"/>
              <w:rPr>
                <w:rFonts w:ascii="宋体" w:hAnsi="宋体"/>
                <w:kern w:val="0"/>
                <w:sz w:val="24"/>
                <w:highlight w:val="none"/>
              </w:rPr>
            </w:pPr>
          </w:p>
        </w:tc>
        <w:tc>
          <w:tcPr>
            <w:tcW w:w="2383" w:type="dxa"/>
          </w:tcPr>
          <w:p w14:paraId="66753C38">
            <w:pPr>
              <w:autoSpaceDE w:val="0"/>
              <w:autoSpaceDN w:val="0"/>
              <w:adjustRightInd w:val="0"/>
              <w:snapToGrid w:val="0"/>
              <w:jc w:val="left"/>
              <w:rPr>
                <w:rFonts w:ascii="宋体" w:hAnsi="宋体"/>
                <w:kern w:val="0"/>
                <w:sz w:val="24"/>
                <w:highlight w:val="none"/>
              </w:rPr>
            </w:pPr>
          </w:p>
        </w:tc>
        <w:tc>
          <w:tcPr>
            <w:tcW w:w="2384" w:type="dxa"/>
          </w:tcPr>
          <w:p w14:paraId="0675ED48">
            <w:pPr>
              <w:autoSpaceDE w:val="0"/>
              <w:autoSpaceDN w:val="0"/>
              <w:adjustRightInd w:val="0"/>
              <w:snapToGrid w:val="0"/>
              <w:jc w:val="left"/>
              <w:rPr>
                <w:rFonts w:ascii="宋体" w:hAnsi="宋体"/>
                <w:kern w:val="0"/>
                <w:sz w:val="24"/>
                <w:highlight w:val="none"/>
              </w:rPr>
            </w:pPr>
          </w:p>
        </w:tc>
      </w:tr>
      <w:tr w14:paraId="7ABAD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8CD6B8A">
            <w:pPr>
              <w:autoSpaceDE w:val="0"/>
              <w:autoSpaceDN w:val="0"/>
              <w:adjustRightInd w:val="0"/>
              <w:snapToGrid w:val="0"/>
              <w:jc w:val="left"/>
              <w:rPr>
                <w:rFonts w:ascii="宋体" w:hAnsi="宋体"/>
                <w:kern w:val="0"/>
                <w:sz w:val="24"/>
                <w:highlight w:val="none"/>
              </w:rPr>
            </w:pPr>
          </w:p>
        </w:tc>
        <w:tc>
          <w:tcPr>
            <w:tcW w:w="2381" w:type="dxa"/>
          </w:tcPr>
          <w:p w14:paraId="6C85C57E">
            <w:pPr>
              <w:autoSpaceDE w:val="0"/>
              <w:autoSpaceDN w:val="0"/>
              <w:adjustRightInd w:val="0"/>
              <w:snapToGrid w:val="0"/>
              <w:jc w:val="left"/>
              <w:rPr>
                <w:rFonts w:ascii="宋体" w:hAnsi="宋体"/>
                <w:kern w:val="0"/>
                <w:sz w:val="24"/>
                <w:highlight w:val="none"/>
              </w:rPr>
            </w:pPr>
          </w:p>
        </w:tc>
        <w:tc>
          <w:tcPr>
            <w:tcW w:w="2383" w:type="dxa"/>
          </w:tcPr>
          <w:p w14:paraId="12205CB7">
            <w:pPr>
              <w:autoSpaceDE w:val="0"/>
              <w:autoSpaceDN w:val="0"/>
              <w:adjustRightInd w:val="0"/>
              <w:snapToGrid w:val="0"/>
              <w:jc w:val="left"/>
              <w:rPr>
                <w:rFonts w:ascii="宋体" w:hAnsi="宋体"/>
                <w:kern w:val="0"/>
                <w:sz w:val="24"/>
                <w:highlight w:val="none"/>
              </w:rPr>
            </w:pPr>
          </w:p>
        </w:tc>
        <w:tc>
          <w:tcPr>
            <w:tcW w:w="2384" w:type="dxa"/>
          </w:tcPr>
          <w:p w14:paraId="7B738977">
            <w:pPr>
              <w:autoSpaceDE w:val="0"/>
              <w:autoSpaceDN w:val="0"/>
              <w:adjustRightInd w:val="0"/>
              <w:snapToGrid w:val="0"/>
              <w:jc w:val="left"/>
              <w:rPr>
                <w:rFonts w:ascii="宋体" w:hAnsi="宋体"/>
                <w:kern w:val="0"/>
                <w:sz w:val="24"/>
                <w:highlight w:val="none"/>
              </w:rPr>
            </w:pPr>
          </w:p>
        </w:tc>
      </w:tr>
      <w:tr w14:paraId="00B876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75C205A">
            <w:pPr>
              <w:autoSpaceDE w:val="0"/>
              <w:autoSpaceDN w:val="0"/>
              <w:adjustRightInd w:val="0"/>
              <w:snapToGrid w:val="0"/>
              <w:jc w:val="left"/>
              <w:rPr>
                <w:rFonts w:ascii="宋体" w:hAnsi="宋体"/>
                <w:kern w:val="0"/>
                <w:sz w:val="24"/>
                <w:highlight w:val="none"/>
              </w:rPr>
            </w:pPr>
          </w:p>
        </w:tc>
        <w:tc>
          <w:tcPr>
            <w:tcW w:w="2381" w:type="dxa"/>
          </w:tcPr>
          <w:p w14:paraId="03002880">
            <w:pPr>
              <w:autoSpaceDE w:val="0"/>
              <w:autoSpaceDN w:val="0"/>
              <w:adjustRightInd w:val="0"/>
              <w:snapToGrid w:val="0"/>
              <w:jc w:val="left"/>
              <w:rPr>
                <w:rFonts w:ascii="宋体" w:hAnsi="宋体"/>
                <w:kern w:val="0"/>
                <w:sz w:val="24"/>
                <w:highlight w:val="none"/>
              </w:rPr>
            </w:pPr>
          </w:p>
        </w:tc>
        <w:tc>
          <w:tcPr>
            <w:tcW w:w="2383" w:type="dxa"/>
          </w:tcPr>
          <w:p w14:paraId="5FC5DFE7">
            <w:pPr>
              <w:autoSpaceDE w:val="0"/>
              <w:autoSpaceDN w:val="0"/>
              <w:adjustRightInd w:val="0"/>
              <w:snapToGrid w:val="0"/>
              <w:jc w:val="left"/>
              <w:rPr>
                <w:rFonts w:ascii="宋体" w:hAnsi="宋体"/>
                <w:kern w:val="0"/>
                <w:sz w:val="24"/>
                <w:highlight w:val="none"/>
              </w:rPr>
            </w:pPr>
          </w:p>
        </w:tc>
        <w:tc>
          <w:tcPr>
            <w:tcW w:w="2384" w:type="dxa"/>
          </w:tcPr>
          <w:p w14:paraId="32CC6DC8">
            <w:pPr>
              <w:autoSpaceDE w:val="0"/>
              <w:autoSpaceDN w:val="0"/>
              <w:adjustRightInd w:val="0"/>
              <w:snapToGrid w:val="0"/>
              <w:jc w:val="left"/>
              <w:rPr>
                <w:rFonts w:ascii="宋体" w:hAnsi="宋体"/>
                <w:kern w:val="0"/>
                <w:sz w:val="24"/>
                <w:highlight w:val="none"/>
              </w:rPr>
            </w:pPr>
          </w:p>
        </w:tc>
      </w:tr>
      <w:tr w14:paraId="17EB74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2381" w:type="dxa"/>
          </w:tcPr>
          <w:p w14:paraId="5A3E61B6">
            <w:pPr>
              <w:autoSpaceDE w:val="0"/>
              <w:autoSpaceDN w:val="0"/>
              <w:adjustRightInd w:val="0"/>
              <w:snapToGrid w:val="0"/>
              <w:jc w:val="left"/>
              <w:rPr>
                <w:rFonts w:ascii="宋体" w:hAnsi="宋体"/>
                <w:kern w:val="0"/>
                <w:sz w:val="24"/>
                <w:highlight w:val="none"/>
              </w:rPr>
            </w:pPr>
          </w:p>
        </w:tc>
        <w:tc>
          <w:tcPr>
            <w:tcW w:w="2381" w:type="dxa"/>
          </w:tcPr>
          <w:p w14:paraId="6E12912C">
            <w:pPr>
              <w:autoSpaceDE w:val="0"/>
              <w:autoSpaceDN w:val="0"/>
              <w:adjustRightInd w:val="0"/>
              <w:snapToGrid w:val="0"/>
              <w:jc w:val="left"/>
              <w:rPr>
                <w:rFonts w:ascii="宋体" w:hAnsi="宋体"/>
                <w:kern w:val="0"/>
                <w:sz w:val="24"/>
                <w:highlight w:val="none"/>
              </w:rPr>
            </w:pPr>
          </w:p>
        </w:tc>
        <w:tc>
          <w:tcPr>
            <w:tcW w:w="2383" w:type="dxa"/>
          </w:tcPr>
          <w:p w14:paraId="074BD1A6">
            <w:pPr>
              <w:autoSpaceDE w:val="0"/>
              <w:autoSpaceDN w:val="0"/>
              <w:adjustRightInd w:val="0"/>
              <w:snapToGrid w:val="0"/>
              <w:jc w:val="left"/>
              <w:rPr>
                <w:rFonts w:ascii="宋体" w:hAnsi="宋体"/>
                <w:kern w:val="0"/>
                <w:sz w:val="24"/>
                <w:highlight w:val="none"/>
              </w:rPr>
            </w:pPr>
          </w:p>
        </w:tc>
        <w:tc>
          <w:tcPr>
            <w:tcW w:w="2384" w:type="dxa"/>
          </w:tcPr>
          <w:p w14:paraId="5E4E3117">
            <w:pPr>
              <w:autoSpaceDE w:val="0"/>
              <w:autoSpaceDN w:val="0"/>
              <w:adjustRightInd w:val="0"/>
              <w:snapToGrid w:val="0"/>
              <w:jc w:val="left"/>
              <w:rPr>
                <w:rFonts w:ascii="宋体" w:hAnsi="宋体"/>
                <w:kern w:val="0"/>
                <w:sz w:val="24"/>
                <w:highlight w:val="none"/>
              </w:rPr>
            </w:pPr>
          </w:p>
        </w:tc>
      </w:tr>
      <w:tr w14:paraId="4794C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381" w:type="dxa"/>
          </w:tcPr>
          <w:p w14:paraId="5A21F08A">
            <w:pPr>
              <w:autoSpaceDE w:val="0"/>
              <w:autoSpaceDN w:val="0"/>
              <w:adjustRightInd w:val="0"/>
              <w:snapToGrid w:val="0"/>
              <w:jc w:val="left"/>
              <w:rPr>
                <w:rFonts w:ascii="宋体" w:hAnsi="宋体"/>
                <w:kern w:val="0"/>
                <w:sz w:val="24"/>
                <w:highlight w:val="none"/>
              </w:rPr>
            </w:pPr>
          </w:p>
        </w:tc>
        <w:tc>
          <w:tcPr>
            <w:tcW w:w="2381" w:type="dxa"/>
          </w:tcPr>
          <w:p w14:paraId="7BEF2F17">
            <w:pPr>
              <w:autoSpaceDE w:val="0"/>
              <w:autoSpaceDN w:val="0"/>
              <w:adjustRightInd w:val="0"/>
              <w:snapToGrid w:val="0"/>
              <w:jc w:val="left"/>
              <w:rPr>
                <w:rFonts w:ascii="宋体" w:hAnsi="宋体"/>
                <w:kern w:val="0"/>
                <w:sz w:val="24"/>
                <w:highlight w:val="none"/>
              </w:rPr>
            </w:pPr>
          </w:p>
        </w:tc>
        <w:tc>
          <w:tcPr>
            <w:tcW w:w="2383" w:type="dxa"/>
          </w:tcPr>
          <w:p w14:paraId="6EAB77F2">
            <w:pPr>
              <w:autoSpaceDE w:val="0"/>
              <w:autoSpaceDN w:val="0"/>
              <w:adjustRightInd w:val="0"/>
              <w:snapToGrid w:val="0"/>
              <w:jc w:val="left"/>
              <w:rPr>
                <w:rFonts w:ascii="宋体" w:hAnsi="宋体"/>
                <w:kern w:val="0"/>
                <w:sz w:val="24"/>
                <w:highlight w:val="none"/>
              </w:rPr>
            </w:pPr>
          </w:p>
        </w:tc>
        <w:tc>
          <w:tcPr>
            <w:tcW w:w="2384" w:type="dxa"/>
          </w:tcPr>
          <w:p w14:paraId="1CC8C174">
            <w:pPr>
              <w:autoSpaceDE w:val="0"/>
              <w:autoSpaceDN w:val="0"/>
              <w:adjustRightInd w:val="0"/>
              <w:snapToGrid w:val="0"/>
              <w:jc w:val="left"/>
              <w:rPr>
                <w:rFonts w:ascii="宋体" w:hAnsi="宋体"/>
                <w:kern w:val="0"/>
                <w:sz w:val="24"/>
                <w:highlight w:val="none"/>
              </w:rPr>
            </w:pPr>
          </w:p>
        </w:tc>
      </w:tr>
      <w:tr w14:paraId="311E0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AAF370B">
            <w:pPr>
              <w:autoSpaceDE w:val="0"/>
              <w:autoSpaceDN w:val="0"/>
              <w:adjustRightInd w:val="0"/>
              <w:snapToGrid w:val="0"/>
              <w:jc w:val="left"/>
              <w:rPr>
                <w:rFonts w:ascii="宋体" w:hAnsi="宋体"/>
                <w:kern w:val="0"/>
                <w:sz w:val="24"/>
                <w:highlight w:val="none"/>
              </w:rPr>
            </w:pPr>
          </w:p>
        </w:tc>
        <w:tc>
          <w:tcPr>
            <w:tcW w:w="2381" w:type="dxa"/>
          </w:tcPr>
          <w:p w14:paraId="58B5002B">
            <w:pPr>
              <w:autoSpaceDE w:val="0"/>
              <w:autoSpaceDN w:val="0"/>
              <w:adjustRightInd w:val="0"/>
              <w:snapToGrid w:val="0"/>
              <w:jc w:val="left"/>
              <w:rPr>
                <w:rFonts w:ascii="宋体" w:hAnsi="宋体"/>
                <w:kern w:val="0"/>
                <w:sz w:val="24"/>
                <w:highlight w:val="none"/>
              </w:rPr>
            </w:pPr>
          </w:p>
        </w:tc>
        <w:tc>
          <w:tcPr>
            <w:tcW w:w="2383" w:type="dxa"/>
          </w:tcPr>
          <w:p w14:paraId="16D62121">
            <w:pPr>
              <w:autoSpaceDE w:val="0"/>
              <w:autoSpaceDN w:val="0"/>
              <w:adjustRightInd w:val="0"/>
              <w:snapToGrid w:val="0"/>
              <w:jc w:val="left"/>
              <w:rPr>
                <w:rFonts w:ascii="宋体" w:hAnsi="宋体"/>
                <w:kern w:val="0"/>
                <w:sz w:val="24"/>
                <w:highlight w:val="none"/>
              </w:rPr>
            </w:pPr>
          </w:p>
        </w:tc>
        <w:tc>
          <w:tcPr>
            <w:tcW w:w="2384" w:type="dxa"/>
          </w:tcPr>
          <w:p w14:paraId="53E13725">
            <w:pPr>
              <w:autoSpaceDE w:val="0"/>
              <w:autoSpaceDN w:val="0"/>
              <w:adjustRightInd w:val="0"/>
              <w:snapToGrid w:val="0"/>
              <w:jc w:val="left"/>
              <w:rPr>
                <w:rFonts w:ascii="宋体" w:hAnsi="宋体"/>
                <w:kern w:val="0"/>
                <w:sz w:val="24"/>
                <w:highlight w:val="none"/>
              </w:rPr>
            </w:pPr>
          </w:p>
        </w:tc>
      </w:tr>
    </w:tbl>
    <w:p w14:paraId="65BF3017">
      <w:pPr>
        <w:rPr>
          <w:rFonts w:hint="eastAsia"/>
        </w:rPr>
      </w:pPr>
      <w:r>
        <w:rPr>
          <w:highlight w:val="none"/>
        </w:rPr>
        <mc:AlternateContent>
          <mc:Choice Requires="wps">
            <w:drawing>
              <wp:anchor distT="0" distB="0" distL="114300" distR="114300" simplePos="0" relativeHeight="25166848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3644516F">
                            <w:pPr>
                              <w:jc w:val="both"/>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848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x1ctgAAAAL&#10;AQAADwAAAAAAAAABACAAAAAiAAAAZHJzL2Rvd25yZXYueG1sUEsBAhQAFAAAAAgAh07iQKag0arj&#10;AQAAsAMAAA4AAAAAAAAAAQAgAAAAJwEAAGRycy9lMm9Eb2MueG1sUEsFBgAAAAAGAAYAWQEAAHwF&#10;AAAAAA==&#10;">
                <v:fill on="f" focussize="0,0"/>
                <v:stroke on="f"/>
                <v:imagedata o:title=""/>
                <o:lock v:ext="edit" aspectratio="f"/>
                <v:textbox inset="0mm,0mm,0mm,0mm" style="mso-fit-shape-to-text:t;">
                  <w:txbxContent>
                    <w:p w14:paraId="3644516F">
                      <w:pPr>
                        <w:jc w:val="both"/>
                        <w:rPr>
                          <w:rFonts w:ascii="仿宋" w:hAnsi="仿宋" w:eastAsia="仿宋" w:cs="仿宋"/>
                          <w:sz w:val="84"/>
                          <w:szCs w:val="84"/>
                        </w:rPr>
                      </w:pPr>
                    </w:p>
                  </w:txbxContent>
                </v:textbox>
              </v:rect>
            </w:pict>
          </mc:Fallback>
        </mc:AlternateContent>
      </w:r>
      <w:r>
        <w:rPr>
          <w:highlight w:val="none"/>
        </w:rPr>
        <mc:AlternateContent>
          <mc:Choice Requires="wps">
            <w:drawing>
              <wp:anchor distT="0" distB="0" distL="114300" distR="114300" simplePos="0" relativeHeight="25167257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0B58619C">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7257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0B58619C">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70528"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7052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6540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highlight w:val="none"/>
        </w:rPr>
        <mc:AlternateContent>
          <mc:Choice Requires="wps">
            <w:drawing>
              <wp:anchor distT="0" distB="0" distL="114300" distR="114300" simplePos="0" relativeHeight="25166950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950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2BBB0B78"/>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643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2BBB0B78"/>
                  </w:txbxContent>
                </v:textbox>
              </v:shape>
            </w:pict>
          </mc:Fallback>
        </mc:AlternateContent>
      </w:r>
      <w:r>
        <w:rPr>
          <w:highlight w:val="none"/>
        </w:rPr>
        <mc:AlternateContent>
          <mc:Choice Requires="wps">
            <w:drawing>
              <wp:anchor distT="0" distB="0" distL="114300" distR="114300" simplePos="0" relativeHeight="25167155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5"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69354522">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7155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3fAV2gAAAA4BAAAPAAAAAAAAAAEAIAAAACIAAABkcnMvZG93bnJldi54bWxQSwECFAAUAAAA&#10;CACHTuJAL0tMQ+wBAAC+AwAADgAAAAAAAAABACAAAAApAQAAZHJzL2Uyb0RvYy54bWxQSwUGAAAA&#10;AAYABgBZAQAAhwUAAAAA&#10;">
                <v:fill on="f" focussize="0,0"/>
                <v:stroke on="f"/>
                <v:imagedata o:title=""/>
                <o:lock v:ext="edit" aspectratio="f"/>
                <v:textbox inset="0mm,0mm,0mm,0mm" style="mso-fit-shape-to-text:t;">
                  <w:txbxContent>
                    <w:p w14:paraId="69354522">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6"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2FA62C57">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745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Nk7S2QAAAA0B&#10;AAAPAAAAAAAAAAEAIAAAACIAAABkcnMvZG93bnJldi54bWxQSwECFAAUAAAACACHTuJAEO4P8eEB&#10;AACwAwAADgAAAAAAAAABACAAAAAoAQAAZHJzL2Uyb0RvYy54bWxQSwUGAAAAAAYABgBZAQAAewUA&#10;AAAA&#10;">
                <v:fill on="f" focussize="0,0"/>
                <v:stroke on="f"/>
                <v:imagedata o:title=""/>
                <o:lock v:ext="edit" aspectratio="f"/>
                <v:textbox inset="0mm,0mm,0mm,0mm" style="mso-fit-shape-to-text:t;">
                  <w:txbxContent>
                    <w:p w14:paraId="2FA62C57">
                      <w:pPr>
                        <w:rPr>
                          <w:sz w:val="20"/>
                        </w:rPr>
                      </w:pPr>
                      <w:r>
                        <w:rPr>
                          <w:rFonts w:hint="eastAsia" w:ascii="宋体" w:cs="宋体"/>
                          <w:bCs/>
                          <w:color w:val="000000"/>
                          <w:sz w:val="28"/>
                          <w:szCs w:val="30"/>
                        </w:rPr>
                        <w:t>(盖单位章处）</w:t>
                      </w:r>
                    </w:p>
                  </w:txbxContent>
                </v:textbox>
              </v:rect>
            </w:pict>
          </mc:Fallback>
        </mc:AlternateContent>
      </w:r>
      <w:r>
        <w:rPr>
          <w:highlight w:val="none"/>
        </w:rPr>
        <mc:AlternateContent>
          <mc:Choice Requires="wps">
            <w:drawing>
              <wp:anchor distT="0" distB="0" distL="114300" distR="114300" simplePos="0" relativeHeight="25167667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7"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1B95D6C1">
                            <w:pPr>
                              <w:jc w:val="both"/>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7667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x1ctgAAAAL&#10;AQAADwAAAAAAAAABACAAAAAiAAAAZHJzL2Rvd25yZXYueG1sUEsBAhQAFAAAAAgAh07iQCjcCfDj&#10;AQAAsAMAAA4AAAAAAAAAAQAgAAAAJwEAAGRycy9lMm9Eb2MueG1sUEsFBgAAAAAGAAYAWQEAAHwF&#10;AAAAAA==&#10;">
                <v:fill on="f" focussize="0,0"/>
                <v:stroke on="f"/>
                <v:imagedata o:title=""/>
                <o:lock v:ext="edit" aspectratio="f"/>
                <v:textbox inset="0mm,0mm,0mm,0mm" style="mso-fit-shape-to-text:t;">
                  <w:txbxContent>
                    <w:p w14:paraId="1B95D6C1">
                      <w:pPr>
                        <w:jc w:val="both"/>
                        <w:rPr>
                          <w:rFonts w:ascii="仿宋" w:hAnsi="仿宋" w:eastAsia="仿宋" w:cs="仿宋"/>
                          <w:sz w:val="84"/>
                          <w:szCs w:val="84"/>
                        </w:rPr>
                      </w:pPr>
                    </w:p>
                  </w:txbxContent>
                </v:textbox>
              </v:rect>
            </w:pict>
          </mc:Fallback>
        </mc:AlternateContent>
      </w:r>
      <w:r>
        <w:rPr>
          <w:highlight w:val="none"/>
        </w:rPr>
        <mc:AlternateContent>
          <mc:Choice Requires="wps">
            <w:drawing>
              <wp:anchor distT="0" distB="0" distL="114300" distR="114300" simplePos="0" relativeHeight="251680768"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8"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10399EC">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80768;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YYGGTZAAAADQEAAA8AAAAAAAAAAQAgAAAAIgAAAGRycy9kb3ducmV2LnhtbFBLAQIUABQAAAAI&#10;AIdO4kCd9KSg7AEAAL4DAAAOAAAAAAAAAAEAIAAAACgBAABkcnMvZTJvRG9jLnhtbFBLBQYAAAAA&#10;BgAGAFkBAACGBQAAAAA=&#10;">
                <v:fill on="f" focussize="0,0"/>
                <v:stroke on="f"/>
                <v:imagedata o:title=""/>
                <o:lock v:ext="edit" aspectratio="f"/>
                <v:textbox inset="0mm,0mm,0mm,0mm" style="mso-fit-shape-to-text:t;">
                  <w:txbxContent>
                    <w:p w14:paraId="210399EC">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78720"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9"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78720;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8v7F3AAAAA0BAAAPAAAAAAAAAAEAIAAAACIAAABkcnMvZG93bnJl&#10;di54bWxQSwECFAAUAAAACACHTuJA9BcTFfkBAAD/AwAADgAAAAAAAAABACAAAAArAQAAZHJzL2Uy&#10;b0RvYy54bWxQSwUGAAAAAAYABgBZAQAAlgUAAAAA&#10;">
                <v:fill on="f" focussize="0,0"/>
                <v:stroke color="#000000" joinstyle="miter" dashstyle="dash"/>
                <v:imagedata o:title=""/>
                <o:lock v:ext="edit" aspectratio="f"/>
              </v:line>
            </w:pict>
          </mc:Fallback>
        </mc:AlternateContent>
      </w:r>
      <w:r>
        <w:rPr>
          <w:highlight w:val="none"/>
        </w:rPr>
        <mc:AlternateContent>
          <mc:Choice Requires="wps">
            <w:drawing>
              <wp:anchor distT="0" distB="0" distL="114300" distR="114300" simplePos="0" relativeHeight="251673600"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0"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73600;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30612gAAAA4BAAAPAAAAAAAAAAEAIAAA&#10;ACIAAABkcnMvZG93bnJldi54bWxQSwECFAAUAAAACACHTuJAVkUWhgoCAAANBAAADgAAAAAAAAAB&#10;ACAAAAApAQAAZHJzL2Uyb0RvYy54bWxQSwUGAAAAAAYABgBZAQAApQUAAAAA&#10;">
                <v:fill on="f" focussize="0,0"/>
                <v:stroke color="#000000" joinstyle="miter" dashstyle="dash"/>
                <v:imagedata o:title=""/>
                <o:lock v:ext="edit" aspectratio="f"/>
              </v:shape>
            </w:pict>
          </mc:Fallback>
        </mc:AlternateContent>
      </w:r>
      <w:r>
        <w:rPr>
          <w:highlight w:val="none"/>
        </w:rPr>
        <mc:AlternateContent>
          <mc:Choice Requires="wps">
            <w:drawing>
              <wp:anchor distT="0" distB="0" distL="114300" distR="114300" simplePos="0" relativeHeight="251677696"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77696;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DcY5+9+QEAAPw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hQYsHgH3/6&#10;/uPp5y8yX15lewYfG0Td2V2YZtHvQtZ6lMEQqZX/hqeLetRDjsXc09lccUyE4eKyXr1dLVaUMNxb&#10;1jerq+tV5q9GokzoQ0wfhDMkFy3Vymb10MDhY0wj9A8kL2tLhpa+G0kBoygxAshvPMqJtitno9OK&#10;3yut84kYuv2dDuQAOQ7lm1r4C5Yv2ULsRxzHautSBkJjVBLZB2h6Afy95SSdPHpm8a3Q3I4RnBIt&#10;8GnlqiATKH0JEp3QNlOLEtxJc/Z/dDxXe8dP5UdUeYahKAZOAc6pez7H+vmj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Nxjn735AQAA/AMAAA4AAAAAAAAAAQAgAAAAKQEAAGRycy9lMm9E&#10;b2MueG1sUEsFBgAAAAAGAAYAWQEAAJQFAAAAAA==&#10;">
                <v:fill on="f" focussize="0,0"/>
                <v:stroke color="#000000" joinstyle="miter" dashstyle="dashDot"/>
                <v:imagedata o:title=""/>
                <o:lock v:ext="edit" aspectratio="f"/>
              </v:line>
            </w:pict>
          </mc:Fallback>
        </mc:AlternateContent>
      </w:r>
      <w:r>
        <w:rPr>
          <w:highlight w:val="none"/>
        </w:rPr>
        <mc:AlternateContent>
          <mc:Choice Requires="wps">
            <w:drawing>
              <wp:anchor distT="0" distB="0" distL="114300" distR="114300" simplePos="0" relativeHeight="251674624"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3"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7EB18A7A"/>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74624;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TgdoAAAANAQAADwAAAAAA&#10;AAABACAAAAAiAAAAZHJzL2Rvd25yZXYueG1sUEsBAhQAFAAAAAgAh07iQJ43SE8RAgAAJQQAAA4A&#10;AAAAAAAAAQAgAAAAKQEAAGRycy9lMm9Eb2MueG1sUEsFBgAAAAAGAAYAWQEAAKwFAAAAAA==&#10;">
                <v:fill on="f" focussize="0,0"/>
                <v:stroke color="#000000" joinstyle="miter" dashstyle="dashDot"/>
                <v:imagedata o:title=""/>
                <o:lock v:ext="edit" aspectratio="f"/>
                <v:textbox>
                  <w:txbxContent>
                    <w:p w14:paraId="7EB18A7A"/>
                  </w:txbxContent>
                </v:textbox>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4"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AABA81F">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7974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MLXNVHtAQAAvwMAAA4AAAAAAAAAAQAgAAAAKQEAAGRycy9lMm9Eb2MueG1sUEsFBgAA&#10;AAAGAAYAWQEAAIgFAAAAAA==&#10;">
                <v:fill on="f" focussize="0,0"/>
                <v:stroke on="f"/>
                <v:imagedata o:title=""/>
                <o:lock v:ext="edit" aspectratio="f"/>
                <v:textbox inset="0mm,0mm,0mm,0mm" style="mso-fit-shape-to-text:t;">
                  <w:txbxContent>
                    <w:p w14:paraId="1AABA81F">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7564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5"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5116F9BB">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7564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M+33qHi&#10;AQAAsQMAAA4AAAAAAAAAAQAgAAAAKAEAAGRycy9lMm9Eb2MueG1sUEsFBgAAAAAGAAYAWQEAAHwF&#10;AAAAAA==&#10;">
                <v:fill on="f" focussize="0,0"/>
                <v:stroke on="f"/>
                <v:imagedata o:title=""/>
                <o:lock v:ext="edit" aspectratio="f"/>
                <v:textbox inset="0mm,0mm,0mm,0mm" style="mso-fit-shape-to-text:t;">
                  <w:txbxContent>
                    <w:p w14:paraId="5116F9BB">
                      <w:pPr>
                        <w:rPr>
                          <w:sz w:val="20"/>
                        </w:rPr>
                      </w:pPr>
                      <w:r>
                        <w:rPr>
                          <w:rFonts w:hint="eastAsia" w:ascii="宋体" w:cs="宋体"/>
                          <w:bCs/>
                          <w:color w:val="000000"/>
                          <w:sz w:val="28"/>
                          <w:szCs w:val="30"/>
                        </w:rPr>
                        <w:t>(盖单位章处）</w:t>
                      </w:r>
                    </w:p>
                  </w:txbxContent>
                </v:textbox>
              </v:rect>
            </w:pict>
          </mc:Fallback>
        </mc:AlternateContent>
      </w: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5B0FC6E-1547-497C-8268-B47CCDB8940A}"/>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2" w:fontKey="{29612A1D-9204-43A8-B025-43FEBA4B193F}"/>
  </w:font>
  <w:font w:name="Wingdings 2">
    <w:panose1 w:val="05020102010507070707"/>
    <w:charset w:val="02"/>
    <w:family w:val="auto"/>
    <w:pitch w:val="default"/>
    <w:sig w:usb0="00000000" w:usb1="00000000" w:usb2="00000000" w:usb3="00000000" w:csb0="80000000" w:csb1="00000000"/>
    <w:embedRegular r:id="rId3" w:fontKey="{E9CA5130-47A2-48DE-BADE-589C874CCCFE}"/>
  </w:font>
  <w:font w:name="MingLiU">
    <w:altName w:val="PMingLiU-ExtB"/>
    <w:panose1 w:val="02020509000000000000"/>
    <w:charset w:val="88"/>
    <w:family w:val="modern"/>
    <w:pitch w:val="default"/>
    <w:sig w:usb0="00000000" w:usb1="00000000" w:usb2="00000016" w:usb3="00000000" w:csb0="00100001" w:csb1="00000000"/>
    <w:embedRegular r:id="rId4" w:fontKey="{01977782-63CA-459E-A434-4D5B2287FA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674E">
    <w:pPr>
      <w:pStyle w:val="14"/>
      <w:tabs>
        <w:tab w:val="left" w:pos="5166"/>
        <w:tab w:val="clear" w:pos="8306"/>
      </w:tabs>
      <w:rPr>
        <w:rFonts w:hint="eastAsia" w:eastAsia="方正仿宋_GBK"/>
        <w:lang w:val="en-US" w:eastAsia="zh-CN"/>
      </w:rPr>
    </w:pPr>
    <w:r>
      <w:rPr>
        <w:rFonts w:hint="eastAsia"/>
        <w:lang w:val="en-US" w:eastAsia="zh-CN"/>
      </w:rPr>
      <w:tab/>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60BF">
    <w:pPr>
      <w:pStyle w:val="14"/>
      <w:jc w:val="center"/>
      <w:rPr>
        <w:rStyle w:val="26"/>
        <w:rFonts w:ascii="宋体"/>
        <w:sz w:val="21"/>
        <w:szCs w:val="21"/>
      </w:rPr>
    </w:pPr>
  </w:p>
  <w:p w14:paraId="1975AF3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F98B">
    <w:pPr>
      <w:pStyle w:val="14"/>
      <w:tabs>
        <w:tab w:val="center" w:pos="4357"/>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F8FBA">
    <w:pPr>
      <w:pStyle w:val="14"/>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6670"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670" cy="131445"/>
                      </a:xfrm>
                      <a:prstGeom prst="rect">
                        <a:avLst/>
                      </a:prstGeom>
                      <a:noFill/>
                      <a:ln w="9525">
                        <a:noFill/>
                      </a:ln>
                      <a:effectLst/>
                    </wps:spPr>
                    <wps:txbx>
                      <w:txbxContent>
                        <w:p w14:paraId="59E77603">
                          <w:pPr>
                            <w:pStyle w:val="14"/>
                          </w:pPr>
                          <w:r>
                            <w:fldChar w:fldCharType="begin"/>
                          </w:r>
                          <w:r>
                            <w:instrText xml:space="preserve">PAGE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1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R4T90AAAAAIBAAAPAAAAAAAAAAEAIAAA&#10;ACIAAABkcnMvZG93bnJldi54bWxQSwECFAAUAAAACACHTuJAgKFTJdsBAACtAwAADgAAAAAAAAAB&#10;ACAAAAAfAQAAZHJzL2Uyb0RvYy54bWxQSwUGAAAAAAYABgBZAQAAbAUAAAAA&#10;">
              <v:fill on="f" focussize="0,0"/>
              <v:stroke on="f"/>
              <v:imagedata o:title=""/>
              <o:lock v:ext="edit" aspectratio="f"/>
              <v:textbox inset="0mm,0mm,0mm,0mm" style="mso-fit-shape-to-text:t;">
                <w:txbxContent>
                  <w:p w14:paraId="59E77603">
                    <w:pPr>
                      <w:pStyle w:val="14"/>
                    </w:pPr>
                    <w:r>
                      <w:fldChar w:fldCharType="begin"/>
                    </w:r>
                    <w:r>
                      <w:instrText xml:space="preserve">PAGE  </w:instrText>
                    </w:r>
                    <w:r>
                      <w:fldChar w:fldCharType="separate"/>
                    </w:r>
                    <w:r>
                      <w:t>76</w:t>
                    </w:r>
                    <w:r>
                      <w:fldChar w:fldCharType="end"/>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3E55">
    <w:pPr>
      <w:pStyle w:val="14"/>
      <w:tabs>
        <w:tab w:val="center" w:pos="4357"/>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B417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84B417F">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DF18">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96CAB">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8A96CAB">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94BA">
    <w:pPr>
      <w:pStyle w:val="14"/>
      <w:tabs>
        <w:tab w:val="clear" w:pos="4153"/>
      </w:tabs>
      <w:jc w:val="center"/>
      <w:rPr>
        <w:rFonts w:hint="default" w:eastAsia="方正仿宋_GBK"/>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38BA0">
                          <w:pPr>
                            <w:pStyle w:val="1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A538BA0">
                    <w:pPr>
                      <w:pStyle w:val="14"/>
                    </w:pPr>
                    <w:r>
                      <w:fldChar w:fldCharType="begin"/>
                    </w:r>
                    <w:r>
                      <w:instrText xml:space="preserve"> PAGE  \* MERGEFORMAT </w:instrText>
                    </w:r>
                    <w:r>
                      <w:fldChar w:fldCharType="separate"/>
                    </w:r>
                    <w:r>
                      <w:t>98</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AF54D">
                          <w:pPr>
                            <w:pStyle w:val="14"/>
                            <w:rPr>
                              <w:rFonts w:hint="default" w:eastAsia="方正仿宋_GBK"/>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7AF54D">
                    <w:pPr>
                      <w:pStyle w:val="14"/>
                      <w:rPr>
                        <w:rFonts w:hint="default" w:eastAsia="方正仿宋_GBK"/>
                        <w:lang w:val="en-US" w:eastAsia="zh-CN"/>
                      </w:rPr>
                    </w:pPr>
                    <w:r>
                      <w:rPr>
                        <w:rFonts w:hint="eastAsia"/>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714EBCB9">
      <w:pPr>
        <w:pStyle w:val="18"/>
        <w:ind w:firstLine="360" w:firstLineChars="200"/>
        <w:rPr>
          <w:rFonts w:ascii="Times New Roman" w:hAnsi="Times New Roman" w:cs="Times New Roman"/>
          <w:lang w:eastAsia="zh-CN"/>
        </w:rPr>
      </w:pPr>
      <w:r>
        <w:rPr>
          <w:rStyle w:val="29"/>
        </w:rPr>
        <w:footnoteRef/>
      </w:r>
      <w:r>
        <w:t xml:space="preserve"> </w:t>
      </w:r>
      <w:r>
        <w:rPr>
          <w:rStyle w:val="29"/>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p w14:paraId="410EBA61">
      <w:pPr>
        <w:pStyle w:val="18"/>
        <w:snapToGrid w:val="0"/>
      </w:pPr>
    </w:p>
  </w:footnote>
  <w:footnote w:id="1">
    <w:p w14:paraId="06B6BBCA">
      <w:pPr>
        <w:pStyle w:val="18"/>
        <w:snapToGrid w:val="0"/>
      </w:pPr>
      <w:r>
        <w:rPr>
          <w:rStyle w:val="29"/>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8CA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E1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18270"/>
    <w:multiLevelType w:val="singleLevel"/>
    <w:tmpl w:val="88118270"/>
    <w:lvl w:ilvl="0" w:tentative="0">
      <w:start w:val="3"/>
      <w:numFmt w:val="decimal"/>
      <w:lvlText w:val="%1."/>
      <w:lvlJc w:val="left"/>
      <w:pPr>
        <w:tabs>
          <w:tab w:val="left" w:pos="312"/>
        </w:tabs>
      </w:pPr>
    </w:lvl>
  </w:abstractNum>
  <w:abstractNum w:abstractNumId="1">
    <w:nsid w:val="C11D6692"/>
    <w:multiLevelType w:val="singleLevel"/>
    <w:tmpl w:val="C11D6692"/>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jQwNDVmNDIyYzFjYjU1Nzk0ZmU4YTBiM2QwM2MifQ=="/>
  </w:docVars>
  <w:rsids>
    <w:rsidRoot w:val="2156613A"/>
    <w:rsid w:val="000969AD"/>
    <w:rsid w:val="000A1573"/>
    <w:rsid w:val="000C3DA7"/>
    <w:rsid w:val="00107DE6"/>
    <w:rsid w:val="0012326A"/>
    <w:rsid w:val="0017196D"/>
    <w:rsid w:val="001D4206"/>
    <w:rsid w:val="001D7D62"/>
    <w:rsid w:val="002347FD"/>
    <w:rsid w:val="00267669"/>
    <w:rsid w:val="00287B2E"/>
    <w:rsid w:val="003532FE"/>
    <w:rsid w:val="00390482"/>
    <w:rsid w:val="003A4DB8"/>
    <w:rsid w:val="003D21B2"/>
    <w:rsid w:val="00565490"/>
    <w:rsid w:val="00594DB1"/>
    <w:rsid w:val="006069FE"/>
    <w:rsid w:val="006259CC"/>
    <w:rsid w:val="00736897"/>
    <w:rsid w:val="00897B3E"/>
    <w:rsid w:val="008E2A0E"/>
    <w:rsid w:val="00903AA4"/>
    <w:rsid w:val="009515C6"/>
    <w:rsid w:val="00975D66"/>
    <w:rsid w:val="009A5857"/>
    <w:rsid w:val="009E2BEA"/>
    <w:rsid w:val="009F4C1B"/>
    <w:rsid w:val="00A34C56"/>
    <w:rsid w:val="00A364B9"/>
    <w:rsid w:val="00A60653"/>
    <w:rsid w:val="00A97848"/>
    <w:rsid w:val="00AC2863"/>
    <w:rsid w:val="00AC4898"/>
    <w:rsid w:val="00AE30C4"/>
    <w:rsid w:val="00CB3C62"/>
    <w:rsid w:val="00CF32D6"/>
    <w:rsid w:val="00CF4AF4"/>
    <w:rsid w:val="00D70859"/>
    <w:rsid w:val="00D761C8"/>
    <w:rsid w:val="00DD78D3"/>
    <w:rsid w:val="00E46AD2"/>
    <w:rsid w:val="00E6284A"/>
    <w:rsid w:val="00E960BC"/>
    <w:rsid w:val="00EC1C3D"/>
    <w:rsid w:val="00FC3E1B"/>
    <w:rsid w:val="00FF347C"/>
    <w:rsid w:val="01080A12"/>
    <w:rsid w:val="010A4E8F"/>
    <w:rsid w:val="01233A9E"/>
    <w:rsid w:val="012408A7"/>
    <w:rsid w:val="01383201"/>
    <w:rsid w:val="01473035"/>
    <w:rsid w:val="01490BA3"/>
    <w:rsid w:val="01564BF5"/>
    <w:rsid w:val="016D0042"/>
    <w:rsid w:val="0183453D"/>
    <w:rsid w:val="018A0858"/>
    <w:rsid w:val="0194085B"/>
    <w:rsid w:val="019422A6"/>
    <w:rsid w:val="0194674A"/>
    <w:rsid w:val="01973B44"/>
    <w:rsid w:val="019D55FE"/>
    <w:rsid w:val="01A77C78"/>
    <w:rsid w:val="01B029F8"/>
    <w:rsid w:val="01BB5A85"/>
    <w:rsid w:val="01BF5783"/>
    <w:rsid w:val="01C26E13"/>
    <w:rsid w:val="01C506B1"/>
    <w:rsid w:val="01FB2325"/>
    <w:rsid w:val="0200793B"/>
    <w:rsid w:val="020411DA"/>
    <w:rsid w:val="02092C94"/>
    <w:rsid w:val="021006D5"/>
    <w:rsid w:val="021138F7"/>
    <w:rsid w:val="02275933"/>
    <w:rsid w:val="02296E92"/>
    <w:rsid w:val="023C3969"/>
    <w:rsid w:val="023C3AF8"/>
    <w:rsid w:val="02417DD4"/>
    <w:rsid w:val="025263E9"/>
    <w:rsid w:val="026C71DF"/>
    <w:rsid w:val="026D247D"/>
    <w:rsid w:val="026E2AF7"/>
    <w:rsid w:val="02753E85"/>
    <w:rsid w:val="02767FE9"/>
    <w:rsid w:val="027E7BBC"/>
    <w:rsid w:val="028C52F2"/>
    <w:rsid w:val="02A212A0"/>
    <w:rsid w:val="02BC1A25"/>
    <w:rsid w:val="02D05560"/>
    <w:rsid w:val="02E64334"/>
    <w:rsid w:val="02F32FFC"/>
    <w:rsid w:val="02F54FC6"/>
    <w:rsid w:val="02FC7879"/>
    <w:rsid w:val="03084CFA"/>
    <w:rsid w:val="031175BF"/>
    <w:rsid w:val="0314369E"/>
    <w:rsid w:val="031B5582"/>
    <w:rsid w:val="032441FD"/>
    <w:rsid w:val="03275442"/>
    <w:rsid w:val="03373831"/>
    <w:rsid w:val="034070BC"/>
    <w:rsid w:val="037800D1"/>
    <w:rsid w:val="03782989"/>
    <w:rsid w:val="038F71C9"/>
    <w:rsid w:val="03AA5DB1"/>
    <w:rsid w:val="03AD1980"/>
    <w:rsid w:val="03C905BA"/>
    <w:rsid w:val="03C965AB"/>
    <w:rsid w:val="03CE123F"/>
    <w:rsid w:val="03F01BD1"/>
    <w:rsid w:val="03F40DCB"/>
    <w:rsid w:val="03F51990"/>
    <w:rsid w:val="03F90E04"/>
    <w:rsid w:val="03FB485E"/>
    <w:rsid w:val="03FC60BD"/>
    <w:rsid w:val="040354C1"/>
    <w:rsid w:val="04035D98"/>
    <w:rsid w:val="041871BE"/>
    <w:rsid w:val="042F62B6"/>
    <w:rsid w:val="0431202E"/>
    <w:rsid w:val="044605DF"/>
    <w:rsid w:val="045251E9"/>
    <w:rsid w:val="046046C1"/>
    <w:rsid w:val="0479485F"/>
    <w:rsid w:val="047A2745"/>
    <w:rsid w:val="04846602"/>
    <w:rsid w:val="0495080F"/>
    <w:rsid w:val="049727D9"/>
    <w:rsid w:val="04A76EC4"/>
    <w:rsid w:val="04B354CD"/>
    <w:rsid w:val="04B93647"/>
    <w:rsid w:val="04C2712A"/>
    <w:rsid w:val="04C72DF6"/>
    <w:rsid w:val="04CE1F73"/>
    <w:rsid w:val="04D31337"/>
    <w:rsid w:val="04D8694E"/>
    <w:rsid w:val="04E3586E"/>
    <w:rsid w:val="04E35A1E"/>
    <w:rsid w:val="04E54E46"/>
    <w:rsid w:val="04E7666A"/>
    <w:rsid w:val="04F80D9E"/>
    <w:rsid w:val="04FE4606"/>
    <w:rsid w:val="051F457C"/>
    <w:rsid w:val="052102F4"/>
    <w:rsid w:val="052E47BF"/>
    <w:rsid w:val="05300538"/>
    <w:rsid w:val="053B1DC6"/>
    <w:rsid w:val="05466D72"/>
    <w:rsid w:val="054A15F9"/>
    <w:rsid w:val="054D10EA"/>
    <w:rsid w:val="05526700"/>
    <w:rsid w:val="0556624A"/>
    <w:rsid w:val="05573D16"/>
    <w:rsid w:val="055C6BEF"/>
    <w:rsid w:val="056401E1"/>
    <w:rsid w:val="05663F59"/>
    <w:rsid w:val="05777F14"/>
    <w:rsid w:val="057B29F8"/>
    <w:rsid w:val="059E1945"/>
    <w:rsid w:val="059F0E35"/>
    <w:rsid w:val="059F74A8"/>
    <w:rsid w:val="05A54A82"/>
    <w:rsid w:val="05A94AB8"/>
    <w:rsid w:val="05B253F0"/>
    <w:rsid w:val="05B2719F"/>
    <w:rsid w:val="05B805C8"/>
    <w:rsid w:val="05C7605A"/>
    <w:rsid w:val="05CD3FD8"/>
    <w:rsid w:val="05E51322"/>
    <w:rsid w:val="05ED01D7"/>
    <w:rsid w:val="05F72E03"/>
    <w:rsid w:val="06033558"/>
    <w:rsid w:val="06053772"/>
    <w:rsid w:val="060A2B37"/>
    <w:rsid w:val="060C6775"/>
    <w:rsid w:val="060F45F1"/>
    <w:rsid w:val="06261EED"/>
    <w:rsid w:val="062C6F51"/>
    <w:rsid w:val="06366740"/>
    <w:rsid w:val="06412EB1"/>
    <w:rsid w:val="06436049"/>
    <w:rsid w:val="06475B39"/>
    <w:rsid w:val="0651589D"/>
    <w:rsid w:val="065344DE"/>
    <w:rsid w:val="06846D8D"/>
    <w:rsid w:val="069552CB"/>
    <w:rsid w:val="069D2020"/>
    <w:rsid w:val="06AE62A0"/>
    <w:rsid w:val="06BC02D5"/>
    <w:rsid w:val="06C65D60"/>
    <w:rsid w:val="06CE625A"/>
    <w:rsid w:val="06D075EC"/>
    <w:rsid w:val="06EF705C"/>
    <w:rsid w:val="06F34474"/>
    <w:rsid w:val="06FF6413"/>
    <w:rsid w:val="07037AEB"/>
    <w:rsid w:val="07047ECE"/>
    <w:rsid w:val="070E6657"/>
    <w:rsid w:val="071C6FC5"/>
    <w:rsid w:val="071F2612"/>
    <w:rsid w:val="07414C7E"/>
    <w:rsid w:val="07480AC0"/>
    <w:rsid w:val="074D717F"/>
    <w:rsid w:val="07501BE4"/>
    <w:rsid w:val="076369A2"/>
    <w:rsid w:val="07650BEF"/>
    <w:rsid w:val="07724E37"/>
    <w:rsid w:val="07941EA7"/>
    <w:rsid w:val="079E79DA"/>
    <w:rsid w:val="079F3753"/>
    <w:rsid w:val="07AE4E1A"/>
    <w:rsid w:val="07B40FAC"/>
    <w:rsid w:val="07B436A2"/>
    <w:rsid w:val="07B56AA5"/>
    <w:rsid w:val="07BA233A"/>
    <w:rsid w:val="07BC60B3"/>
    <w:rsid w:val="07E35D35"/>
    <w:rsid w:val="080117EC"/>
    <w:rsid w:val="08017F69"/>
    <w:rsid w:val="08057A5A"/>
    <w:rsid w:val="080B2B96"/>
    <w:rsid w:val="08145EEF"/>
    <w:rsid w:val="083C026A"/>
    <w:rsid w:val="08534C69"/>
    <w:rsid w:val="085E53BC"/>
    <w:rsid w:val="08670714"/>
    <w:rsid w:val="086F6729"/>
    <w:rsid w:val="087A0447"/>
    <w:rsid w:val="08803584"/>
    <w:rsid w:val="0889534D"/>
    <w:rsid w:val="089232AD"/>
    <w:rsid w:val="089F7EAE"/>
    <w:rsid w:val="08A76D63"/>
    <w:rsid w:val="08AA4C4F"/>
    <w:rsid w:val="08B1198F"/>
    <w:rsid w:val="08B82D1E"/>
    <w:rsid w:val="08BC2855"/>
    <w:rsid w:val="08BD6586"/>
    <w:rsid w:val="08C07E24"/>
    <w:rsid w:val="08D80948"/>
    <w:rsid w:val="08D95AF8"/>
    <w:rsid w:val="08F33D56"/>
    <w:rsid w:val="08F94E10"/>
    <w:rsid w:val="08FB2C0B"/>
    <w:rsid w:val="090146C5"/>
    <w:rsid w:val="090917CB"/>
    <w:rsid w:val="09095327"/>
    <w:rsid w:val="094620D8"/>
    <w:rsid w:val="09463911"/>
    <w:rsid w:val="094D790A"/>
    <w:rsid w:val="09540EC7"/>
    <w:rsid w:val="09652EA6"/>
    <w:rsid w:val="096B0B80"/>
    <w:rsid w:val="096B1B3E"/>
    <w:rsid w:val="0976224F"/>
    <w:rsid w:val="09834103"/>
    <w:rsid w:val="09864BCA"/>
    <w:rsid w:val="099077F7"/>
    <w:rsid w:val="09976DD7"/>
    <w:rsid w:val="099836F7"/>
    <w:rsid w:val="09B023D6"/>
    <w:rsid w:val="09BD7026"/>
    <w:rsid w:val="09C7794F"/>
    <w:rsid w:val="09D20156"/>
    <w:rsid w:val="09D678FF"/>
    <w:rsid w:val="09D92D7E"/>
    <w:rsid w:val="09E11DB2"/>
    <w:rsid w:val="09FC4E8C"/>
    <w:rsid w:val="0A06045F"/>
    <w:rsid w:val="0A173271"/>
    <w:rsid w:val="0A187F18"/>
    <w:rsid w:val="0A2E773B"/>
    <w:rsid w:val="0A364782"/>
    <w:rsid w:val="0A3A17D6"/>
    <w:rsid w:val="0A454A85"/>
    <w:rsid w:val="0A4A2956"/>
    <w:rsid w:val="0A546A76"/>
    <w:rsid w:val="0A5627EE"/>
    <w:rsid w:val="0A5B7E05"/>
    <w:rsid w:val="0A69408B"/>
    <w:rsid w:val="0A713124"/>
    <w:rsid w:val="0A713A8B"/>
    <w:rsid w:val="0A7A0B5B"/>
    <w:rsid w:val="0A7D0C3F"/>
    <w:rsid w:val="0AAA7FF1"/>
    <w:rsid w:val="0AB6328D"/>
    <w:rsid w:val="0AB94B2B"/>
    <w:rsid w:val="0AC7549A"/>
    <w:rsid w:val="0AD2152B"/>
    <w:rsid w:val="0ADD4CBE"/>
    <w:rsid w:val="0ADF27E4"/>
    <w:rsid w:val="0AE03629"/>
    <w:rsid w:val="0AE35BB9"/>
    <w:rsid w:val="0AE61DC4"/>
    <w:rsid w:val="0AEA1189"/>
    <w:rsid w:val="0AF02C43"/>
    <w:rsid w:val="0AF22EF3"/>
    <w:rsid w:val="0AFB5144"/>
    <w:rsid w:val="0B00275A"/>
    <w:rsid w:val="0B077003"/>
    <w:rsid w:val="0B0C7351"/>
    <w:rsid w:val="0B1C57E6"/>
    <w:rsid w:val="0B1E55C8"/>
    <w:rsid w:val="0B291CB1"/>
    <w:rsid w:val="0B301291"/>
    <w:rsid w:val="0B325009"/>
    <w:rsid w:val="0B393DB7"/>
    <w:rsid w:val="0B3A3EBE"/>
    <w:rsid w:val="0B3E2A73"/>
    <w:rsid w:val="0B53163E"/>
    <w:rsid w:val="0B5940C6"/>
    <w:rsid w:val="0B6157BD"/>
    <w:rsid w:val="0B7F7B23"/>
    <w:rsid w:val="0B860EB1"/>
    <w:rsid w:val="0B8A0504"/>
    <w:rsid w:val="0B8B3636"/>
    <w:rsid w:val="0B8B471A"/>
    <w:rsid w:val="0BA61553"/>
    <w:rsid w:val="0BA852CC"/>
    <w:rsid w:val="0BAE0408"/>
    <w:rsid w:val="0BB67C60"/>
    <w:rsid w:val="0BBF2615"/>
    <w:rsid w:val="0BD70693"/>
    <w:rsid w:val="0BEE46CF"/>
    <w:rsid w:val="0C044A0F"/>
    <w:rsid w:val="0C0D512F"/>
    <w:rsid w:val="0C120997"/>
    <w:rsid w:val="0C1741B0"/>
    <w:rsid w:val="0C2B7A33"/>
    <w:rsid w:val="0C437D3D"/>
    <w:rsid w:val="0C4C1621"/>
    <w:rsid w:val="0C517711"/>
    <w:rsid w:val="0C5D60B6"/>
    <w:rsid w:val="0C5F119A"/>
    <w:rsid w:val="0C73669C"/>
    <w:rsid w:val="0C747876"/>
    <w:rsid w:val="0C767178"/>
    <w:rsid w:val="0C7B0C77"/>
    <w:rsid w:val="0C8A49D1"/>
    <w:rsid w:val="0C8F023A"/>
    <w:rsid w:val="0C974DAC"/>
    <w:rsid w:val="0C992E66"/>
    <w:rsid w:val="0CA159D4"/>
    <w:rsid w:val="0CB16402"/>
    <w:rsid w:val="0CB47CA0"/>
    <w:rsid w:val="0CBF0B1F"/>
    <w:rsid w:val="0CC1190B"/>
    <w:rsid w:val="0CC41921"/>
    <w:rsid w:val="0CCC2388"/>
    <w:rsid w:val="0CCE56B9"/>
    <w:rsid w:val="0CD81BE1"/>
    <w:rsid w:val="0CE02843"/>
    <w:rsid w:val="0CE560AB"/>
    <w:rsid w:val="0CED2245"/>
    <w:rsid w:val="0D0E001F"/>
    <w:rsid w:val="0D1B1C96"/>
    <w:rsid w:val="0D285A56"/>
    <w:rsid w:val="0D2C655B"/>
    <w:rsid w:val="0D523C8C"/>
    <w:rsid w:val="0D584ACF"/>
    <w:rsid w:val="0D682F64"/>
    <w:rsid w:val="0D882DE6"/>
    <w:rsid w:val="0D97148C"/>
    <w:rsid w:val="0D976B6B"/>
    <w:rsid w:val="0DAC2049"/>
    <w:rsid w:val="0DAD4E1B"/>
    <w:rsid w:val="0DAF0221"/>
    <w:rsid w:val="0DB25F8E"/>
    <w:rsid w:val="0DB937C0"/>
    <w:rsid w:val="0DBD4932"/>
    <w:rsid w:val="0DC3019B"/>
    <w:rsid w:val="0DD5424D"/>
    <w:rsid w:val="0DD903F3"/>
    <w:rsid w:val="0DEA2C69"/>
    <w:rsid w:val="0DF92951"/>
    <w:rsid w:val="0DF9670C"/>
    <w:rsid w:val="0DFC6427"/>
    <w:rsid w:val="0E02695A"/>
    <w:rsid w:val="0E0662D9"/>
    <w:rsid w:val="0E0E3A7C"/>
    <w:rsid w:val="0E2F3E86"/>
    <w:rsid w:val="0E386ACD"/>
    <w:rsid w:val="0E3966AF"/>
    <w:rsid w:val="0E3977C0"/>
    <w:rsid w:val="0E4532A6"/>
    <w:rsid w:val="0E4D215A"/>
    <w:rsid w:val="0E503C69"/>
    <w:rsid w:val="0E5D7708"/>
    <w:rsid w:val="0E63372C"/>
    <w:rsid w:val="0E6C36EA"/>
    <w:rsid w:val="0E6D0107"/>
    <w:rsid w:val="0E6F20D1"/>
    <w:rsid w:val="0E7771D7"/>
    <w:rsid w:val="0E8406DA"/>
    <w:rsid w:val="0E866992"/>
    <w:rsid w:val="0EAF6971"/>
    <w:rsid w:val="0EB25DD8"/>
    <w:rsid w:val="0EB421D9"/>
    <w:rsid w:val="0ED8043D"/>
    <w:rsid w:val="0EDA0BBA"/>
    <w:rsid w:val="0EDC55E5"/>
    <w:rsid w:val="0EE91E83"/>
    <w:rsid w:val="0EEC54CF"/>
    <w:rsid w:val="0F0071CD"/>
    <w:rsid w:val="0F026AA1"/>
    <w:rsid w:val="0F053294"/>
    <w:rsid w:val="0F1903E2"/>
    <w:rsid w:val="0F1C4948"/>
    <w:rsid w:val="0F2432E4"/>
    <w:rsid w:val="0F29227F"/>
    <w:rsid w:val="0F2F360E"/>
    <w:rsid w:val="0F44355D"/>
    <w:rsid w:val="0F47121A"/>
    <w:rsid w:val="0F501F02"/>
    <w:rsid w:val="0F587D8E"/>
    <w:rsid w:val="0F5F0397"/>
    <w:rsid w:val="0F790C96"/>
    <w:rsid w:val="0F7C4275"/>
    <w:rsid w:val="0F841BAC"/>
    <w:rsid w:val="0F912B29"/>
    <w:rsid w:val="0F9A2196"/>
    <w:rsid w:val="0F9F7008"/>
    <w:rsid w:val="0FA17A4F"/>
    <w:rsid w:val="0FA4649B"/>
    <w:rsid w:val="0FBC059E"/>
    <w:rsid w:val="0FC4644C"/>
    <w:rsid w:val="0FC621C4"/>
    <w:rsid w:val="0FD06B9F"/>
    <w:rsid w:val="0FD348E1"/>
    <w:rsid w:val="0FDC07EF"/>
    <w:rsid w:val="0FDD306A"/>
    <w:rsid w:val="0FE97C61"/>
    <w:rsid w:val="0FFC3E38"/>
    <w:rsid w:val="100106CE"/>
    <w:rsid w:val="102173FB"/>
    <w:rsid w:val="10246EEB"/>
    <w:rsid w:val="10264298"/>
    <w:rsid w:val="10294501"/>
    <w:rsid w:val="10296AFA"/>
    <w:rsid w:val="103C5FE2"/>
    <w:rsid w:val="10480E2B"/>
    <w:rsid w:val="10490DF3"/>
    <w:rsid w:val="10505EED"/>
    <w:rsid w:val="10524A9C"/>
    <w:rsid w:val="105D61AE"/>
    <w:rsid w:val="10611473"/>
    <w:rsid w:val="106519DD"/>
    <w:rsid w:val="1065378B"/>
    <w:rsid w:val="106875CB"/>
    <w:rsid w:val="107072DE"/>
    <w:rsid w:val="10717308"/>
    <w:rsid w:val="107E65FB"/>
    <w:rsid w:val="107F6F93"/>
    <w:rsid w:val="10814510"/>
    <w:rsid w:val="10850D78"/>
    <w:rsid w:val="108664B6"/>
    <w:rsid w:val="108C492C"/>
    <w:rsid w:val="10A02A15"/>
    <w:rsid w:val="10A11A07"/>
    <w:rsid w:val="10AD2831"/>
    <w:rsid w:val="10BE2713"/>
    <w:rsid w:val="10C5247C"/>
    <w:rsid w:val="10E36DA6"/>
    <w:rsid w:val="10F040F6"/>
    <w:rsid w:val="10F75985"/>
    <w:rsid w:val="10F845FF"/>
    <w:rsid w:val="110805BA"/>
    <w:rsid w:val="11085182"/>
    <w:rsid w:val="11143D55"/>
    <w:rsid w:val="111A02B4"/>
    <w:rsid w:val="11235E25"/>
    <w:rsid w:val="113377A8"/>
    <w:rsid w:val="114E421F"/>
    <w:rsid w:val="116003F7"/>
    <w:rsid w:val="11625F1D"/>
    <w:rsid w:val="116C6D9B"/>
    <w:rsid w:val="116F4196"/>
    <w:rsid w:val="117B2C6C"/>
    <w:rsid w:val="11867E5D"/>
    <w:rsid w:val="118714DF"/>
    <w:rsid w:val="118C7C3B"/>
    <w:rsid w:val="1193257A"/>
    <w:rsid w:val="11990174"/>
    <w:rsid w:val="11AA515D"/>
    <w:rsid w:val="11AE4CBE"/>
    <w:rsid w:val="11B06C88"/>
    <w:rsid w:val="11B524F0"/>
    <w:rsid w:val="11CA03AE"/>
    <w:rsid w:val="11D30BC8"/>
    <w:rsid w:val="11DF131B"/>
    <w:rsid w:val="11F1716F"/>
    <w:rsid w:val="11FE3E97"/>
    <w:rsid w:val="120E54D8"/>
    <w:rsid w:val="1211524D"/>
    <w:rsid w:val="12160D2A"/>
    <w:rsid w:val="121F3E0E"/>
    <w:rsid w:val="12211934"/>
    <w:rsid w:val="12315932"/>
    <w:rsid w:val="123C49C0"/>
    <w:rsid w:val="124F443C"/>
    <w:rsid w:val="12505D75"/>
    <w:rsid w:val="12577104"/>
    <w:rsid w:val="125859B6"/>
    <w:rsid w:val="12695089"/>
    <w:rsid w:val="126E269F"/>
    <w:rsid w:val="127B25FC"/>
    <w:rsid w:val="12900868"/>
    <w:rsid w:val="129559DB"/>
    <w:rsid w:val="12A27FC2"/>
    <w:rsid w:val="12A52916"/>
    <w:rsid w:val="12AD7BF2"/>
    <w:rsid w:val="12B17E43"/>
    <w:rsid w:val="12BA519B"/>
    <w:rsid w:val="12CD6F43"/>
    <w:rsid w:val="12D25797"/>
    <w:rsid w:val="12D469A6"/>
    <w:rsid w:val="12E27315"/>
    <w:rsid w:val="12FD63BB"/>
    <w:rsid w:val="132F637D"/>
    <w:rsid w:val="133B6A25"/>
    <w:rsid w:val="13596EAB"/>
    <w:rsid w:val="136715C8"/>
    <w:rsid w:val="13737F6D"/>
    <w:rsid w:val="13741F58"/>
    <w:rsid w:val="137B5074"/>
    <w:rsid w:val="13934857"/>
    <w:rsid w:val="13936861"/>
    <w:rsid w:val="13951544"/>
    <w:rsid w:val="1395604C"/>
    <w:rsid w:val="13A02164"/>
    <w:rsid w:val="13AB2889"/>
    <w:rsid w:val="13B011C1"/>
    <w:rsid w:val="13B14F39"/>
    <w:rsid w:val="13B2733B"/>
    <w:rsid w:val="13B3480E"/>
    <w:rsid w:val="13BA2040"/>
    <w:rsid w:val="13C02E9B"/>
    <w:rsid w:val="13C609E5"/>
    <w:rsid w:val="13CE7899"/>
    <w:rsid w:val="13D50C28"/>
    <w:rsid w:val="13E93ABE"/>
    <w:rsid w:val="13ED3E22"/>
    <w:rsid w:val="140E26A3"/>
    <w:rsid w:val="14121CFA"/>
    <w:rsid w:val="14131750"/>
    <w:rsid w:val="141C7E65"/>
    <w:rsid w:val="14241DC8"/>
    <w:rsid w:val="14292D22"/>
    <w:rsid w:val="142D2812"/>
    <w:rsid w:val="14316687"/>
    <w:rsid w:val="14321B08"/>
    <w:rsid w:val="144573F9"/>
    <w:rsid w:val="144B0EEA"/>
    <w:rsid w:val="14575AE1"/>
    <w:rsid w:val="146124BC"/>
    <w:rsid w:val="146141DF"/>
    <w:rsid w:val="14665D24"/>
    <w:rsid w:val="146F5B25"/>
    <w:rsid w:val="14744F9C"/>
    <w:rsid w:val="147976DB"/>
    <w:rsid w:val="147C10A3"/>
    <w:rsid w:val="148424A3"/>
    <w:rsid w:val="148909B3"/>
    <w:rsid w:val="14977C8B"/>
    <w:rsid w:val="149F14A7"/>
    <w:rsid w:val="14B64A9B"/>
    <w:rsid w:val="14BF5434"/>
    <w:rsid w:val="14C52A4A"/>
    <w:rsid w:val="14D25167"/>
    <w:rsid w:val="14D83902"/>
    <w:rsid w:val="14E804E7"/>
    <w:rsid w:val="14F141E2"/>
    <w:rsid w:val="14F26A3F"/>
    <w:rsid w:val="150570D4"/>
    <w:rsid w:val="15127C5A"/>
    <w:rsid w:val="1519106F"/>
    <w:rsid w:val="153E0A4F"/>
    <w:rsid w:val="15415796"/>
    <w:rsid w:val="1542409B"/>
    <w:rsid w:val="15432FF0"/>
    <w:rsid w:val="15481344"/>
    <w:rsid w:val="15510782"/>
    <w:rsid w:val="15543DCE"/>
    <w:rsid w:val="15673B02"/>
    <w:rsid w:val="15681628"/>
    <w:rsid w:val="157D1577"/>
    <w:rsid w:val="159927CF"/>
    <w:rsid w:val="15995C85"/>
    <w:rsid w:val="15A478E2"/>
    <w:rsid w:val="15B36D47"/>
    <w:rsid w:val="15B66837"/>
    <w:rsid w:val="15C40F54"/>
    <w:rsid w:val="15C54CCC"/>
    <w:rsid w:val="15C56A7A"/>
    <w:rsid w:val="15D3766B"/>
    <w:rsid w:val="15DF5D8E"/>
    <w:rsid w:val="15E4528F"/>
    <w:rsid w:val="15E46F00"/>
    <w:rsid w:val="15E943C5"/>
    <w:rsid w:val="161D0664"/>
    <w:rsid w:val="16297009"/>
    <w:rsid w:val="16324EDB"/>
    <w:rsid w:val="16377978"/>
    <w:rsid w:val="16417343"/>
    <w:rsid w:val="16443E43"/>
    <w:rsid w:val="16470918"/>
    <w:rsid w:val="164976AB"/>
    <w:rsid w:val="164E79FB"/>
    <w:rsid w:val="16544865"/>
    <w:rsid w:val="165878EE"/>
    <w:rsid w:val="166B7621"/>
    <w:rsid w:val="169052DA"/>
    <w:rsid w:val="16BF34C9"/>
    <w:rsid w:val="16CF6E7B"/>
    <w:rsid w:val="16D2144F"/>
    <w:rsid w:val="16DF7D46"/>
    <w:rsid w:val="16E03C65"/>
    <w:rsid w:val="16E15B36"/>
    <w:rsid w:val="16EE24B4"/>
    <w:rsid w:val="16F05D79"/>
    <w:rsid w:val="16F75359"/>
    <w:rsid w:val="17017F86"/>
    <w:rsid w:val="17066E48"/>
    <w:rsid w:val="170F26A3"/>
    <w:rsid w:val="171A5C3D"/>
    <w:rsid w:val="171E736C"/>
    <w:rsid w:val="17204C45"/>
    <w:rsid w:val="172E15B5"/>
    <w:rsid w:val="17397720"/>
    <w:rsid w:val="17424F87"/>
    <w:rsid w:val="17571954"/>
    <w:rsid w:val="175A0C63"/>
    <w:rsid w:val="178E7A6B"/>
    <w:rsid w:val="17920BDE"/>
    <w:rsid w:val="179B3F36"/>
    <w:rsid w:val="179C48B2"/>
    <w:rsid w:val="17A96653"/>
    <w:rsid w:val="17B248C5"/>
    <w:rsid w:val="17B97531"/>
    <w:rsid w:val="17CE7587"/>
    <w:rsid w:val="17EE4B9F"/>
    <w:rsid w:val="17F77304"/>
    <w:rsid w:val="18016734"/>
    <w:rsid w:val="180C0990"/>
    <w:rsid w:val="180E295A"/>
    <w:rsid w:val="180E4D18"/>
    <w:rsid w:val="181124EE"/>
    <w:rsid w:val="18234BB1"/>
    <w:rsid w:val="18425509"/>
    <w:rsid w:val="184506D6"/>
    <w:rsid w:val="18471090"/>
    <w:rsid w:val="18506ACF"/>
    <w:rsid w:val="18581E27"/>
    <w:rsid w:val="185A794E"/>
    <w:rsid w:val="185D2F9A"/>
    <w:rsid w:val="18716A45"/>
    <w:rsid w:val="188623D0"/>
    <w:rsid w:val="18890233"/>
    <w:rsid w:val="189D783A"/>
    <w:rsid w:val="18AB1F57"/>
    <w:rsid w:val="18AD3F21"/>
    <w:rsid w:val="18B2778A"/>
    <w:rsid w:val="18BB2675"/>
    <w:rsid w:val="192166BD"/>
    <w:rsid w:val="192F2B88"/>
    <w:rsid w:val="1931657F"/>
    <w:rsid w:val="19362169"/>
    <w:rsid w:val="193C7538"/>
    <w:rsid w:val="195C4DD9"/>
    <w:rsid w:val="195F2E50"/>
    <w:rsid w:val="19781410"/>
    <w:rsid w:val="197C084F"/>
    <w:rsid w:val="197E74EA"/>
    <w:rsid w:val="197E766C"/>
    <w:rsid w:val="19824B64"/>
    <w:rsid w:val="198729C4"/>
    <w:rsid w:val="198A6011"/>
    <w:rsid w:val="1994208A"/>
    <w:rsid w:val="19962C07"/>
    <w:rsid w:val="199E07F4"/>
    <w:rsid w:val="19A37747"/>
    <w:rsid w:val="19C84D8B"/>
    <w:rsid w:val="19CC629C"/>
    <w:rsid w:val="19D418B6"/>
    <w:rsid w:val="19E00326"/>
    <w:rsid w:val="19EA00E4"/>
    <w:rsid w:val="19FB011C"/>
    <w:rsid w:val="19FF69FF"/>
    <w:rsid w:val="1A0137D2"/>
    <w:rsid w:val="1A0911F3"/>
    <w:rsid w:val="1A0E09F0"/>
    <w:rsid w:val="1A122808"/>
    <w:rsid w:val="1A1D1456"/>
    <w:rsid w:val="1A2F6BB8"/>
    <w:rsid w:val="1A4F2DB6"/>
    <w:rsid w:val="1A5738CE"/>
    <w:rsid w:val="1A734CF7"/>
    <w:rsid w:val="1A8707A2"/>
    <w:rsid w:val="1A8B0292"/>
    <w:rsid w:val="1A907657"/>
    <w:rsid w:val="1A91063C"/>
    <w:rsid w:val="1AAA4EAB"/>
    <w:rsid w:val="1AC11F06"/>
    <w:rsid w:val="1AC52FF2"/>
    <w:rsid w:val="1ACA15CA"/>
    <w:rsid w:val="1ADC6D40"/>
    <w:rsid w:val="1ADE4866"/>
    <w:rsid w:val="1ADF05DE"/>
    <w:rsid w:val="1AFE6CB6"/>
    <w:rsid w:val="1AFF47DC"/>
    <w:rsid w:val="1B012302"/>
    <w:rsid w:val="1B1E590D"/>
    <w:rsid w:val="1B2304CB"/>
    <w:rsid w:val="1B263B1A"/>
    <w:rsid w:val="1B26620D"/>
    <w:rsid w:val="1B2B0976"/>
    <w:rsid w:val="1B59213E"/>
    <w:rsid w:val="1B5A1A13"/>
    <w:rsid w:val="1B6F54BE"/>
    <w:rsid w:val="1B7350C7"/>
    <w:rsid w:val="1B79633D"/>
    <w:rsid w:val="1B803B6F"/>
    <w:rsid w:val="1B854CE1"/>
    <w:rsid w:val="1B860A5A"/>
    <w:rsid w:val="1B891E99"/>
    <w:rsid w:val="1B8C1BF4"/>
    <w:rsid w:val="1B9852AF"/>
    <w:rsid w:val="1B9A3B40"/>
    <w:rsid w:val="1BAF1D5E"/>
    <w:rsid w:val="1BB45504"/>
    <w:rsid w:val="1BBE6445"/>
    <w:rsid w:val="1BCF2401"/>
    <w:rsid w:val="1BE37C5A"/>
    <w:rsid w:val="1BE474D2"/>
    <w:rsid w:val="1BE7774A"/>
    <w:rsid w:val="1BFF71F2"/>
    <w:rsid w:val="1C085913"/>
    <w:rsid w:val="1C086D11"/>
    <w:rsid w:val="1C0B6E16"/>
    <w:rsid w:val="1C1018B2"/>
    <w:rsid w:val="1C136791"/>
    <w:rsid w:val="1C1F109F"/>
    <w:rsid w:val="1C334477"/>
    <w:rsid w:val="1C3404B6"/>
    <w:rsid w:val="1C3C1C29"/>
    <w:rsid w:val="1C5048C0"/>
    <w:rsid w:val="1C5417E6"/>
    <w:rsid w:val="1C5F4F0A"/>
    <w:rsid w:val="1C624D00"/>
    <w:rsid w:val="1C735482"/>
    <w:rsid w:val="1C7513AC"/>
    <w:rsid w:val="1C760ACE"/>
    <w:rsid w:val="1C7F4184"/>
    <w:rsid w:val="1C84080D"/>
    <w:rsid w:val="1C851B60"/>
    <w:rsid w:val="1CA7512B"/>
    <w:rsid w:val="1CAA256C"/>
    <w:rsid w:val="1CB05D8E"/>
    <w:rsid w:val="1CC00101"/>
    <w:rsid w:val="1CC91DD7"/>
    <w:rsid w:val="1CD97016"/>
    <w:rsid w:val="1CDA72AF"/>
    <w:rsid w:val="1CE7377A"/>
    <w:rsid w:val="1CE912A0"/>
    <w:rsid w:val="1CF00880"/>
    <w:rsid w:val="1CF41540"/>
    <w:rsid w:val="1D1502E7"/>
    <w:rsid w:val="1D175E0D"/>
    <w:rsid w:val="1D1B6AD7"/>
    <w:rsid w:val="1D271CD1"/>
    <w:rsid w:val="1D3E4D84"/>
    <w:rsid w:val="1D3F269C"/>
    <w:rsid w:val="1D497F91"/>
    <w:rsid w:val="1D551121"/>
    <w:rsid w:val="1D5B22DB"/>
    <w:rsid w:val="1D5D7B3E"/>
    <w:rsid w:val="1D6F53E1"/>
    <w:rsid w:val="1D79640C"/>
    <w:rsid w:val="1D7A2BB5"/>
    <w:rsid w:val="1D7F1C04"/>
    <w:rsid w:val="1D9B41DA"/>
    <w:rsid w:val="1DA33B45"/>
    <w:rsid w:val="1DA376A1"/>
    <w:rsid w:val="1DAA4ED3"/>
    <w:rsid w:val="1DB445EC"/>
    <w:rsid w:val="1DBB1517"/>
    <w:rsid w:val="1DC064A5"/>
    <w:rsid w:val="1DC13FCB"/>
    <w:rsid w:val="1DC835AB"/>
    <w:rsid w:val="1DD07232"/>
    <w:rsid w:val="1DDB32DF"/>
    <w:rsid w:val="1DDB508D"/>
    <w:rsid w:val="1DE4451C"/>
    <w:rsid w:val="1E012619"/>
    <w:rsid w:val="1E080DF6"/>
    <w:rsid w:val="1E1578D9"/>
    <w:rsid w:val="1E2B0927"/>
    <w:rsid w:val="1E3E561C"/>
    <w:rsid w:val="1E3E73CA"/>
    <w:rsid w:val="1E3F293E"/>
    <w:rsid w:val="1E4A3C8A"/>
    <w:rsid w:val="1E522E75"/>
    <w:rsid w:val="1E5B441F"/>
    <w:rsid w:val="1E60582B"/>
    <w:rsid w:val="1E636E30"/>
    <w:rsid w:val="1E6672F7"/>
    <w:rsid w:val="1E707ECB"/>
    <w:rsid w:val="1E7E1EBC"/>
    <w:rsid w:val="1E892D3B"/>
    <w:rsid w:val="1E935967"/>
    <w:rsid w:val="1E9D0594"/>
    <w:rsid w:val="1EA04A39"/>
    <w:rsid w:val="1EC51899"/>
    <w:rsid w:val="1EC65D3D"/>
    <w:rsid w:val="1EC711BA"/>
    <w:rsid w:val="1ECE074D"/>
    <w:rsid w:val="1EDF0BAD"/>
    <w:rsid w:val="1EED151B"/>
    <w:rsid w:val="1F176598"/>
    <w:rsid w:val="1F1846D7"/>
    <w:rsid w:val="1F2444B3"/>
    <w:rsid w:val="1F244962"/>
    <w:rsid w:val="1F2C302D"/>
    <w:rsid w:val="1F3233D2"/>
    <w:rsid w:val="1F364E80"/>
    <w:rsid w:val="1F384859"/>
    <w:rsid w:val="1F42517D"/>
    <w:rsid w:val="1F543850"/>
    <w:rsid w:val="1F574BE7"/>
    <w:rsid w:val="1F5A6DEE"/>
    <w:rsid w:val="1F5B52A2"/>
    <w:rsid w:val="1F5C2A6C"/>
    <w:rsid w:val="1F6410B2"/>
    <w:rsid w:val="1F651171"/>
    <w:rsid w:val="1F664E2A"/>
    <w:rsid w:val="1F775D77"/>
    <w:rsid w:val="1F777037"/>
    <w:rsid w:val="1F7E1396"/>
    <w:rsid w:val="1F8654CC"/>
    <w:rsid w:val="1F890B18"/>
    <w:rsid w:val="1F9901DB"/>
    <w:rsid w:val="1F9C084C"/>
    <w:rsid w:val="1FA56F61"/>
    <w:rsid w:val="1FA8046F"/>
    <w:rsid w:val="1FB2006F"/>
    <w:rsid w:val="1FBC0EEE"/>
    <w:rsid w:val="1FBC7140"/>
    <w:rsid w:val="1FC102B2"/>
    <w:rsid w:val="1FD224BF"/>
    <w:rsid w:val="1FD36CDC"/>
    <w:rsid w:val="1FDA1374"/>
    <w:rsid w:val="1FDC333E"/>
    <w:rsid w:val="1FE12702"/>
    <w:rsid w:val="1FE55E68"/>
    <w:rsid w:val="1FEB5341"/>
    <w:rsid w:val="1FEE7A34"/>
    <w:rsid w:val="1FF64400"/>
    <w:rsid w:val="200A32B1"/>
    <w:rsid w:val="20257BE0"/>
    <w:rsid w:val="202E2AB2"/>
    <w:rsid w:val="204038CD"/>
    <w:rsid w:val="20427645"/>
    <w:rsid w:val="20564E9E"/>
    <w:rsid w:val="205F1919"/>
    <w:rsid w:val="20600211"/>
    <w:rsid w:val="206375BB"/>
    <w:rsid w:val="207B4905"/>
    <w:rsid w:val="20895274"/>
    <w:rsid w:val="20994D8B"/>
    <w:rsid w:val="20AB38BF"/>
    <w:rsid w:val="20CC5161"/>
    <w:rsid w:val="20CE5434"/>
    <w:rsid w:val="20D9162C"/>
    <w:rsid w:val="20DD21CC"/>
    <w:rsid w:val="20ED2D1D"/>
    <w:rsid w:val="20EF154A"/>
    <w:rsid w:val="21025026"/>
    <w:rsid w:val="21050673"/>
    <w:rsid w:val="21150CB8"/>
    <w:rsid w:val="211A411E"/>
    <w:rsid w:val="21356065"/>
    <w:rsid w:val="2136082C"/>
    <w:rsid w:val="21466CC1"/>
    <w:rsid w:val="21472A39"/>
    <w:rsid w:val="21475624"/>
    <w:rsid w:val="2149055F"/>
    <w:rsid w:val="2156613A"/>
    <w:rsid w:val="21690C01"/>
    <w:rsid w:val="216B6553"/>
    <w:rsid w:val="216F1A6C"/>
    <w:rsid w:val="216F462D"/>
    <w:rsid w:val="21731A80"/>
    <w:rsid w:val="219263AA"/>
    <w:rsid w:val="21A6689E"/>
    <w:rsid w:val="21B46321"/>
    <w:rsid w:val="21BC3427"/>
    <w:rsid w:val="21BF6A73"/>
    <w:rsid w:val="21C31693"/>
    <w:rsid w:val="21C67E02"/>
    <w:rsid w:val="21CD1190"/>
    <w:rsid w:val="21D167BB"/>
    <w:rsid w:val="21E90CBF"/>
    <w:rsid w:val="21EB1E39"/>
    <w:rsid w:val="21F030D1"/>
    <w:rsid w:val="22025A3E"/>
    <w:rsid w:val="220957F8"/>
    <w:rsid w:val="220A23E4"/>
    <w:rsid w:val="220A52DD"/>
    <w:rsid w:val="221262E7"/>
    <w:rsid w:val="22194C96"/>
    <w:rsid w:val="222B3E08"/>
    <w:rsid w:val="224425A3"/>
    <w:rsid w:val="22574EFE"/>
    <w:rsid w:val="226263B6"/>
    <w:rsid w:val="227710FC"/>
    <w:rsid w:val="228E496B"/>
    <w:rsid w:val="229677D4"/>
    <w:rsid w:val="2298100F"/>
    <w:rsid w:val="22BB548D"/>
    <w:rsid w:val="22BB723B"/>
    <w:rsid w:val="22BE6D2B"/>
    <w:rsid w:val="22D30A28"/>
    <w:rsid w:val="22D94FFA"/>
    <w:rsid w:val="22DB758F"/>
    <w:rsid w:val="22ED2A38"/>
    <w:rsid w:val="22FD000C"/>
    <w:rsid w:val="230E7CB2"/>
    <w:rsid w:val="23360FB7"/>
    <w:rsid w:val="23447230"/>
    <w:rsid w:val="234A4D51"/>
    <w:rsid w:val="234E6301"/>
    <w:rsid w:val="23774E96"/>
    <w:rsid w:val="23775858"/>
    <w:rsid w:val="237B7688"/>
    <w:rsid w:val="239D2DE4"/>
    <w:rsid w:val="239F090A"/>
    <w:rsid w:val="23A6613D"/>
    <w:rsid w:val="23AB5501"/>
    <w:rsid w:val="23AC600C"/>
    <w:rsid w:val="23BC51F1"/>
    <w:rsid w:val="23BD17E3"/>
    <w:rsid w:val="23C05D1C"/>
    <w:rsid w:val="23CE18C6"/>
    <w:rsid w:val="23EB4595"/>
    <w:rsid w:val="23F0560A"/>
    <w:rsid w:val="23FB6FE3"/>
    <w:rsid w:val="24044C11"/>
    <w:rsid w:val="24134E54"/>
    <w:rsid w:val="241E5CD3"/>
    <w:rsid w:val="242332EA"/>
    <w:rsid w:val="242A2F8F"/>
    <w:rsid w:val="2432177F"/>
    <w:rsid w:val="244607DA"/>
    <w:rsid w:val="244A2F6C"/>
    <w:rsid w:val="244E074C"/>
    <w:rsid w:val="24561911"/>
    <w:rsid w:val="245F009A"/>
    <w:rsid w:val="24676FA9"/>
    <w:rsid w:val="246839D2"/>
    <w:rsid w:val="246D0A09"/>
    <w:rsid w:val="246D6C5B"/>
    <w:rsid w:val="24727DCD"/>
    <w:rsid w:val="247934AE"/>
    <w:rsid w:val="24912949"/>
    <w:rsid w:val="24B108F5"/>
    <w:rsid w:val="24B46637"/>
    <w:rsid w:val="24BC6C4A"/>
    <w:rsid w:val="24BC729A"/>
    <w:rsid w:val="24C22B02"/>
    <w:rsid w:val="24C34850"/>
    <w:rsid w:val="24D740D4"/>
    <w:rsid w:val="24EC4654"/>
    <w:rsid w:val="24EF141E"/>
    <w:rsid w:val="24F133E8"/>
    <w:rsid w:val="24F61D27"/>
    <w:rsid w:val="24FB29C5"/>
    <w:rsid w:val="250E3F9A"/>
    <w:rsid w:val="250F1B30"/>
    <w:rsid w:val="252950A3"/>
    <w:rsid w:val="2533755C"/>
    <w:rsid w:val="25387269"/>
    <w:rsid w:val="25421E95"/>
    <w:rsid w:val="25526614"/>
    <w:rsid w:val="25537FD8"/>
    <w:rsid w:val="256516E0"/>
    <w:rsid w:val="256C37B5"/>
    <w:rsid w:val="257169FF"/>
    <w:rsid w:val="25772721"/>
    <w:rsid w:val="257976D3"/>
    <w:rsid w:val="257A35C3"/>
    <w:rsid w:val="257A518B"/>
    <w:rsid w:val="257F7EE4"/>
    <w:rsid w:val="258778A8"/>
    <w:rsid w:val="25910727"/>
    <w:rsid w:val="259148C5"/>
    <w:rsid w:val="259D3570"/>
    <w:rsid w:val="25AE3087"/>
    <w:rsid w:val="25B222C3"/>
    <w:rsid w:val="25B74631"/>
    <w:rsid w:val="25C14AA4"/>
    <w:rsid w:val="25C24D84"/>
    <w:rsid w:val="25C47301"/>
    <w:rsid w:val="25E44CFA"/>
    <w:rsid w:val="25E94864"/>
    <w:rsid w:val="25EB2BDC"/>
    <w:rsid w:val="25F52A64"/>
    <w:rsid w:val="25FA451E"/>
    <w:rsid w:val="2602467A"/>
    <w:rsid w:val="26062EC3"/>
    <w:rsid w:val="26091243"/>
    <w:rsid w:val="260C02FD"/>
    <w:rsid w:val="260E7FC9"/>
    <w:rsid w:val="26103D41"/>
    <w:rsid w:val="261F3F85"/>
    <w:rsid w:val="262B46D7"/>
    <w:rsid w:val="262F40D4"/>
    <w:rsid w:val="262F7C84"/>
    <w:rsid w:val="26301CEE"/>
    <w:rsid w:val="263317DE"/>
    <w:rsid w:val="263537A8"/>
    <w:rsid w:val="2637307C"/>
    <w:rsid w:val="264539F8"/>
    <w:rsid w:val="26532692"/>
    <w:rsid w:val="26541E80"/>
    <w:rsid w:val="265E6096"/>
    <w:rsid w:val="266B71CA"/>
    <w:rsid w:val="267E514F"/>
    <w:rsid w:val="268A7650"/>
    <w:rsid w:val="268F2EB8"/>
    <w:rsid w:val="2692079B"/>
    <w:rsid w:val="269B7AAF"/>
    <w:rsid w:val="26A526DC"/>
    <w:rsid w:val="26C1503C"/>
    <w:rsid w:val="26C50688"/>
    <w:rsid w:val="26C568DA"/>
    <w:rsid w:val="26CB22CD"/>
    <w:rsid w:val="26CB6026"/>
    <w:rsid w:val="26CF59AB"/>
    <w:rsid w:val="26DC3C24"/>
    <w:rsid w:val="26E34EAD"/>
    <w:rsid w:val="26E36D60"/>
    <w:rsid w:val="26E52AD8"/>
    <w:rsid w:val="26F64CE5"/>
    <w:rsid w:val="26FF7F42"/>
    <w:rsid w:val="270513CC"/>
    <w:rsid w:val="270963B1"/>
    <w:rsid w:val="27121FFF"/>
    <w:rsid w:val="272730F1"/>
    <w:rsid w:val="273677D8"/>
    <w:rsid w:val="274C2B57"/>
    <w:rsid w:val="274F1A8E"/>
    <w:rsid w:val="27532138"/>
    <w:rsid w:val="275A6D0F"/>
    <w:rsid w:val="275D3960"/>
    <w:rsid w:val="276149AF"/>
    <w:rsid w:val="276A7481"/>
    <w:rsid w:val="276C1EAB"/>
    <w:rsid w:val="276D0958"/>
    <w:rsid w:val="276E2ACE"/>
    <w:rsid w:val="279F23E2"/>
    <w:rsid w:val="27A51CBA"/>
    <w:rsid w:val="27A97FAA"/>
    <w:rsid w:val="27AC1848"/>
    <w:rsid w:val="27AC7A9A"/>
    <w:rsid w:val="27B70919"/>
    <w:rsid w:val="27BC7E5F"/>
    <w:rsid w:val="27C070A1"/>
    <w:rsid w:val="27CE2F98"/>
    <w:rsid w:val="27CE5FE0"/>
    <w:rsid w:val="27DA63B5"/>
    <w:rsid w:val="27E36727"/>
    <w:rsid w:val="27F66DAD"/>
    <w:rsid w:val="27F77B39"/>
    <w:rsid w:val="28094EEC"/>
    <w:rsid w:val="280B47C0"/>
    <w:rsid w:val="28122C0C"/>
    <w:rsid w:val="28246CCB"/>
    <w:rsid w:val="282D2989"/>
    <w:rsid w:val="28355CE1"/>
    <w:rsid w:val="284B0D66"/>
    <w:rsid w:val="284D302B"/>
    <w:rsid w:val="285048C9"/>
    <w:rsid w:val="285717B4"/>
    <w:rsid w:val="28575C58"/>
    <w:rsid w:val="286345FC"/>
    <w:rsid w:val="286D0FD7"/>
    <w:rsid w:val="28773C04"/>
    <w:rsid w:val="287E1436"/>
    <w:rsid w:val="28836A4D"/>
    <w:rsid w:val="288A7DDB"/>
    <w:rsid w:val="2892349D"/>
    <w:rsid w:val="289E4110"/>
    <w:rsid w:val="28AD5878"/>
    <w:rsid w:val="28B27332"/>
    <w:rsid w:val="28B77352"/>
    <w:rsid w:val="28D66E5D"/>
    <w:rsid w:val="28D70B46"/>
    <w:rsid w:val="28DA552D"/>
    <w:rsid w:val="28DC43AF"/>
    <w:rsid w:val="28DE1ED5"/>
    <w:rsid w:val="28ED3EC6"/>
    <w:rsid w:val="28F96D0F"/>
    <w:rsid w:val="28FE4325"/>
    <w:rsid w:val="2900009D"/>
    <w:rsid w:val="290A3BF8"/>
    <w:rsid w:val="290D27BA"/>
    <w:rsid w:val="291122AA"/>
    <w:rsid w:val="29267BF8"/>
    <w:rsid w:val="292B09F7"/>
    <w:rsid w:val="29364DC4"/>
    <w:rsid w:val="294217E9"/>
    <w:rsid w:val="29430220"/>
    <w:rsid w:val="294842B1"/>
    <w:rsid w:val="294F4E39"/>
    <w:rsid w:val="295D104C"/>
    <w:rsid w:val="2964062C"/>
    <w:rsid w:val="296A3769"/>
    <w:rsid w:val="29804D3A"/>
    <w:rsid w:val="29890093"/>
    <w:rsid w:val="298C7B83"/>
    <w:rsid w:val="299023C6"/>
    <w:rsid w:val="29926F4E"/>
    <w:rsid w:val="29A749BD"/>
    <w:rsid w:val="29C9048F"/>
    <w:rsid w:val="29F15C38"/>
    <w:rsid w:val="29FB0865"/>
    <w:rsid w:val="2A063491"/>
    <w:rsid w:val="2A070FB7"/>
    <w:rsid w:val="2A07545B"/>
    <w:rsid w:val="2A0A186E"/>
    <w:rsid w:val="2A0E45E2"/>
    <w:rsid w:val="2A110088"/>
    <w:rsid w:val="2A181417"/>
    <w:rsid w:val="2A21651D"/>
    <w:rsid w:val="2A246D60"/>
    <w:rsid w:val="2A337FFE"/>
    <w:rsid w:val="2A393DE7"/>
    <w:rsid w:val="2A4E308A"/>
    <w:rsid w:val="2A667FDD"/>
    <w:rsid w:val="2A842608"/>
    <w:rsid w:val="2A866380"/>
    <w:rsid w:val="2A9C3DF6"/>
    <w:rsid w:val="2A9E191C"/>
    <w:rsid w:val="2ADF3CE2"/>
    <w:rsid w:val="2B065713"/>
    <w:rsid w:val="2B142629"/>
    <w:rsid w:val="2B17347C"/>
    <w:rsid w:val="2B267384"/>
    <w:rsid w:val="2B29508C"/>
    <w:rsid w:val="2B304025"/>
    <w:rsid w:val="2B451362"/>
    <w:rsid w:val="2B4752EE"/>
    <w:rsid w:val="2B5100A3"/>
    <w:rsid w:val="2B6366C1"/>
    <w:rsid w:val="2B6461C7"/>
    <w:rsid w:val="2B7C47AF"/>
    <w:rsid w:val="2BBE369E"/>
    <w:rsid w:val="2BC4360C"/>
    <w:rsid w:val="2BCA705A"/>
    <w:rsid w:val="2BCC20DE"/>
    <w:rsid w:val="2BDB26FC"/>
    <w:rsid w:val="2BE03161"/>
    <w:rsid w:val="2BE677DE"/>
    <w:rsid w:val="2BE862AC"/>
    <w:rsid w:val="2BEC66B7"/>
    <w:rsid w:val="2BED49DA"/>
    <w:rsid w:val="2BEF7F55"/>
    <w:rsid w:val="2C1A3224"/>
    <w:rsid w:val="2C2C73FB"/>
    <w:rsid w:val="2C385DA0"/>
    <w:rsid w:val="2C387B4E"/>
    <w:rsid w:val="2C57687E"/>
    <w:rsid w:val="2C584435"/>
    <w:rsid w:val="2C5A3F68"/>
    <w:rsid w:val="2C6C205F"/>
    <w:rsid w:val="2C772424"/>
    <w:rsid w:val="2C772F12"/>
    <w:rsid w:val="2C783A9D"/>
    <w:rsid w:val="2CA70830"/>
    <w:rsid w:val="2CAA2750"/>
    <w:rsid w:val="2CB12719"/>
    <w:rsid w:val="2CB847EB"/>
    <w:rsid w:val="2CB96370"/>
    <w:rsid w:val="2CC82C80"/>
    <w:rsid w:val="2CCB2770"/>
    <w:rsid w:val="2CE13D42"/>
    <w:rsid w:val="2CF20C00"/>
    <w:rsid w:val="2D01602A"/>
    <w:rsid w:val="2D030E72"/>
    <w:rsid w:val="2D1063D5"/>
    <w:rsid w:val="2D1103C5"/>
    <w:rsid w:val="2D19172E"/>
    <w:rsid w:val="2D207063"/>
    <w:rsid w:val="2D223FA7"/>
    <w:rsid w:val="2D252180"/>
    <w:rsid w:val="2D3A16A4"/>
    <w:rsid w:val="2D497184"/>
    <w:rsid w:val="2D4B565F"/>
    <w:rsid w:val="2D5409B8"/>
    <w:rsid w:val="2D54790D"/>
    <w:rsid w:val="2D5E5392"/>
    <w:rsid w:val="2D7746A6"/>
    <w:rsid w:val="2D8A62EA"/>
    <w:rsid w:val="2D984D48"/>
    <w:rsid w:val="2D986AF6"/>
    <w:rsid w:val="2DC1698E"/>
    <w:rsid w:val="2DCC49F2"/>
    <w:rsid w:val="2DCF4B5C"/>
    <w:rsid w:val="2DD56F1C"/>
    <w:rsid w:val="2DF67CC1"/>
    <w:rsid w:val="2DF83A39"/>
    <w:rsid w:val="2E0233ED"/>
    <w:rsid w:val="2E0F1C05"/>
    <w:rsid w:val="2E1C2839"/>
    <w:rsid w:val="2E1D524D"/>
    <w:rsid w:val="2E1E4B22"/>
    <w:rsid w:val="2E4212B4"/>
    <w:rsid w:val="2E461D92"/>
    <w:rsid w:val="2E4A5917"/>
    <w:rsid w:val="2E4A6305"/>
    <w:rsid w:val="2E4C53AD"/>
    <w:rsid w:val="2E4F4512"/>
    <w:rsid w:val="2E666BF4"/>
    <w:rsid w:val="2E6C1D31"/>
    <w:rsid w:val="2E712FF2"/>
    <w:rsid w:val="2E7D5932"/>
    <w:rsid w:val="2E962630"/>
    <w:rsid w:val="2EAD65D1"/>
    <w:rsid w:val="2EBC4A66"/>
    <w:rsid w:val="2EBC7B96"/>
    <w:rsid w:val="2ED613FA"/>
    <w:rsid w:val="2ED7364E"/>
    <w:rsid w:val="2EE45D6B"/>
    <w:rsid w:val="2EE97A93"/>
    <w:rsid w:val="2EF06BB9"/>
    <w:rsid w:val="2EF72818"/>
    <w:rsid w:val="2EF835C5"/>
    <w:rsid w:val="2F007040"/>
    <w:rsid w:val="2F0177F6"/>
    <w:rsid w:val="2F0F26EB"/>
    <w:rsid w:val="2F1877C3"/>
    <w:rsid w:val="2F327D88"/>
    <w:rsid w:val="2F462582"/>
    <w:rsid w:val="2F5729E1"/>
    <w:rsid w:val="2F6234D3"/>
    <w:rsid w:val="2F640B7F"/>
    <w:rsid w:val="2F6C023B"/>
    <w:rsid w:val="2F7B66D0"/>
    <w:rsid w:val="2F8225C6"/>
    <w:rsid w:val="2F8B61E7"/>
    <w:rsid w:val="2F9257C7"/>
    <w:rsid w:val="2F9D1F03"/>
    <w:rsid w:val="2FA36B66"/>
    <w:rsid w:val="2FAD2601"/>
    <w:rsid w:val="2FC35981"/>
    <w:rsid w:val="2FC8743B"/>
    <w:rsid w:val="2FC903AA"/>
    <w:rsid w:val="2FCD4A51"/>
    <w:rsid w:val="2FCE2CA3"/>
    <w:rsid w:val="2FD07C81"/>
    <w:rsid w:val="2FDD3655"/>
    <w:rsid w:val="2FDE6C5E"/>
    <w:rsid w:val="2FFF10AF"/>
    <w:rsid w:val="30020852"/>
    <w:rsid w:val="301349D9"/>
    <w:rsid w:val="30146874"/>
    <w:rsid w:val="301D32E3"/>
    <w:rsid w:val="301E705B"/>
    <w:rsid w:val="30230B30"/>
    <w:rsid w:val="302A5A00"/>
    <w:rsid w:val="303625F7"/>
    <w:rsid w:val="303D4DC2"/>
    <w:rsid w:val="305667F5"/>
    <w:rsid w:val="305F1B4D"/>
    <w:rsid w:val="305F2FFB"/>
    <w:rsid w:val="306528EA"/>
    <w:rsid w:val="30664EC6"/>
    <w:rsid w:val="30780E52"/>
    <w:rsid w:val="30843362"/>
    <w:rsid w:val="3095726A"/>
    <w:rsid w:val="30975752"/>
    <w:rsid w:val="30A92DC8"/>
    <w:rsid w:val="30BD4AC6"/>
    <w:rsid w:val="30CC62CE"/>
    <w:rsid w:val="30CE2BFD"/>
    <w:rsid w:val="30D065A7"/>
    <w:rsid w:val="30E87D95"/>
    <w:rsid w:val="310149B3"/>
    <w:rsid w:val="311059B6"/>
    <w:rsid w:val="31235F9A"/>
    <w:rsid w:val="3126266B"/>
    <w:rsid w:val="31275F1D"/>
    <w:rsid w:val="31293F09"/>
    <w:rsid w:val="313535B9"/>
    <w:rsid w:val="31417309"/>
    <w:rsid w:val="3144754A"/>
    <w:rsid w:val="31662A68"/>
    <w:rsid w:val="316E14D9"/>
    <w:rsid w:val="31844436"/>
    <w:rsid w:val="318906F7"/>
    <w:rsid w:val="318D6736"/>
    <w:rsid w:val="31927D00"/>
    <w:rsid w:val="319677F1"/>
    <w:rsid w:val="31A517E2"/>
    <w:rsid w:val="31C861F5"/>
    <w:rsid w:val="31CF2D03"/>
    <w:rsid w:val="31E3595A"/>
    <w:rsid w:val="31F2254D"/>
    <w:rsid w:val="31F462C5"/>
    <w:rsid w:val="31F6203D"/>
    <w:rsid w:val="31F75DB5"/>
    <w:rsid w:val="31FB58A6"/>
    <w:rsid w:val="320209E2"/>
    <w:rsid w:val="322C5A5F"/>
    <w:rsid w:val="3236068C"/>
    <w:rsid w:val="3238450B"/>
    <w:rsid w:val="324262CC"/>
    <w:rsid w:val="324A05DB"/>
    <w:rsid w:val="3253123E"/>
    <w:rsid w:val="32562ADC"/>
    <w:rsid w:val="326F1DF0"/>
    <w:rsid w:val="328113D6"/>
    <w:rsid w:val="329621B0"/>
    <w:rsid w:val="32A92B1D"/>
    <w:rsid w:val="32AE5937"/>
    <w:rsid w:val="32BF2D77"/>
    <w:rsid w:val="32C401B9"/>
    <w:rsid w:val="32D01D72"/>
    <w:rsid w:val="32D0288E"/>
    <w:rsid w:val="32DD1896"/>
    <w:rsid w:val="32E95467"/>
    <w:rsid w:val="32FD564D"/>
    <w:rsid w:val="330F3735"/>
    <w:rsid w:val="331A61FF"/>
    <w:rsid w:val="332721C0"/>
    <w:rsid w:val="332B5D17"/>
    <w:rsid w:val="332C1A8F"/>
    <w:rsid w:val="33323549"/>
    <w:rsid w:val="3337290D"/>
    <w:rsid w:val="335477EE"/>
    <w:rsid w:val="33661C03"/>
    <w:rsid w:val="3381002D"/>
    <w:rsid w:val="3387208B"/>
    <w:rsid w:val="33896EE1"/>
    <w:rsid w:val="338B723C"/>
    <w:rsid w:val="33A06705"/>
    <w:rsid w:val="33A45AC9"/>
    <w:rsid w:val="33A47CB1"/>
    <w:rsid w:val="33A61841"/>
    <w:rsid w:val="33B17E35"/>
    <w:rsid w:val="33BE302F"/>
    <w:rsid w:val="33C00B55"/>
    <w:rsid w:val="33C30645"/>
    <w:rsid w:val="33D70151"/>
    <w:rsid w:val="33D77C4D"/>
    <w:rsid w:val="33E454EA"/>
    <w:rsid w:val="33E800AC"/>
    <w:rsid w:val="33F822F0"/>
    <w:rsid w:val="33F94067"/>
    <w:rsid w:val="33FE46E9"/>
    <w:rsid w:val="340248EC"/>
    <w:rsid w:val="34066C01"/>
    <w:rsid w:val="340C7660"/>
    <w:rsid w:val="341E7629"/>
    <w:rsid w:val="3421071B"/>
    <w:rsid w:val="3421251F"/>
    <w:rsid w:val="342310E4"/>
    <w:rsid w:val="34256150"/>
    <w:rsid w:val="342C5859"/>
    <w:rsid w:val="342F7A89"/>
    <w:rsid w:val="34390907"/>
    <w:rsid w:val="343926B5"/>
    <w:rsid w:val="343B467F"/>
    <w:rsid w:val="3440373A"/>
    <w:rsid w:val="345B262C"/>
    <w:rsid w:val="34621C0C"/>
    <w:rsid w:val="346D3DDC"/>
    <w:rsid w:val="34780948"/>
    <w:rsid w:val="34781430"/>
    <w:rsid w:val="347926F3"/>
    <w:rsid w:val="348576A9"/>
    <w:rsid w:val="348E4C99"/>
    <w:rsid w:val="3491354B"/>
    <w:rsid w:val="349B6ECC"/>
    <w:rsid w:val="349F6836"/>
    <w:rsid w:val="34A00474"/>
    <w:rsid w:val="34A00986"/>
    <w:rsid w:val="34AE4E51"/>
    <w:rsid w:val="34B85CD0"/>
    <w:rsid w:val="34C04B85"/>
    <w:rsid w:val="34CA77B1"/>
    <w:rsid w:val="34DF14AF"/>
    <w:rsid w:val="34EB5C5E"/>
    <w:rsid w:val="34F012EF"/>
    <w:rsid w:val="34F860CC"/>
    <w:rsid w:val="3529097C"/>
    <w:rsid w:val="352C3FC8"/>
    <w:rsid w:val="35301D0A"/>
    <w:rsid w:val="35303AB8"/>
    <w:rsid w:val="35337105"/>
    <w:rsid w:val="35494EE8"/>
    <w:rsid w:val="354B08F2"/>
    <w:rsid w:val="354F706D"/>
    <w:rsid w:val="355A28E3"/>
    <w:rsid w:val="355C665B"/>
    <w:rsid w:val="356B689E"/>
    <w:rsid w:val="356C2617"/>
    <w:rsid w:val="3575760F"/>
    <w:rsid w:val="358838F4"/>
    <w:rsid w:val="35957DBF"/>
    <w:rsid w:val="359F479A"/>
    <w:rsid w:val="35AB1391"/>
    <w:rsid w:val="35AD6EB7"/>
    <w:rsid w:val="35B20971"/>
    <w:rsid w:val="35BA7826"/>
    <w:rsid w:val="35BF175E"/>
    <w:rsid w:val="35C10BB4"/>
    <w:rsid w:val="35C12CD7"/>
    <w:rsid w:val="35CD1307"/>
    <w:rsid w:val="35D5640E"/>
    <w:rsid w:val="35EC1F46"/>
    <w:rsid w:val="35ED30EC"/>
    <w:rsid w:val="35FF348B"/>
    <w:rsid w:val="361C5FF4"/>
    <w:rsid w:val="36251143"/>
    <w:rsid w:val="36257395"/>
    <w:rsid w:val="362D1DA6"/>
    <w:rsid w:val="36301896"/>
    <w:rsid w:val="36341386"/>
    <w:rsid w:val="36393C8F"/>
    <w:rsid w:val="364041CF"/>
    <w:rsid w:val="3647730B"/>
    <w:rsid w:val="364D069A"/>
    <w:rsid w:val="366E58B7"/>
    <w:rsid w:val="36767BF1"/>
    <w:rsid w:val="36820D56"/>
    <w:rsid w:val="36982473"/>
    <w:rsid w:val="36987B67"/>
    <w:rsid w:val="369E4A52"/>
    <w:rsid w:val="36A22E49"/>
    <w:rsid w:val="36AB6ECE"/>
    <w:rsid w:val="36BD5820"/>
    <w:rsid w:val="36C31B7C"/>
    <w:rsid w:val="36CD57DD"/>
    <w:rsid w:val="36EA627A"/>
    <w:rsid w:val="36EE59D9"/>
    <w:rsid w:val="37192659"/>
    <w:rsid w:val="371F2036"/>
    <w:rsid w:val="37261FB0"/>
    <w:rsid w:val="37476E97"/>
    <w:rsid w:val="37572D5D"/>
    <w:rsid w:val="375D490D"/>
    <w:rsid w:val="375D66BB"/>
    <w:rsid w:val="375F2433"/>
    <w:rsid w:val="37704640"/>
    <w:rsid w:val="377203B8"/>
    <w:rsid w:val="377774BB"/>
    <w:rsid w:val="377A54BF"/>
    <w:rsid w:val="378400EB"/>
    <w:rsid w:val="3787198A"/>
    <w:rsid w:val="379F0A81"/>
    <w:rsid w:val="37B30F66"/>
    <w:rsid w:val="37DD0C96"/>
    <w:rsid w:val="37FE1C4C"/>
    <w:rsid w:val="380646A1"/>
    <w:rsid w:val="3810372D"/>
    <w:rsid w:val="38194CD8"/>
    <w:rsid w:val="382F122A"/>
    <w:rsid w:val="384E5772"/>
    <w:rsid w:val="3851621F"/>
    <w:rsid w:val="385704B7"/>
    <w:rsid w:val="385A62F6"/>
    <w:rsid w:val="38704532"/>
    <w:rsid w:val="38740160"/>
    <w:rsid w:val="387416D1"/>
    <w:rsid w:val="38763ED8"/>
    <w:rsid w:val="388303A3"/>
    <w:rsid w:val="388E3AD9"/>
    <w:rsid w:val="3894435E"/>
    <w:rsid w:val="38A345A1"/>
    <w:rsid w:val="38A76D05"/>
    <w:rsid w:val="38B40DC2"/>
    <w:rsid w:val="38B642D4"/>
    <w:rsid w:val="38C03A97"/>
    <w:rsid w:val="38C5276A"/>
    <w:rsid w:val="38C727A6"/>
    <w:rsid w:val="38C8225A"/>
    <w:rsid w:val="38DD7AB3"/>
    <w:rsid w:val="38EC68BE"/>
    <w:rsid w:val="38F11291"/>
    <w:rsid w:val="38F372D7"/>
    <w:rsid w:val="38F45B4D"/>
    <w:rsid w:val="38FD63A7"/>
    <w:rsid w:val="39047541"/>
    <w:rsid w:val="39096AFA"/>
    <w:rsid w:val="390C65EA"/>
    <w:rsid w:val="391A7AFD"/>
    <w:rsid w:val="392007DF"/>
    <w:rsid w:val="3922196A"/>
    <w:rsid w:val="393F076E"/>
    <w:rsid w:val="394A2C6F"/>
    <w:rsid w:val="394E09B1"/>
    <w:rsid w:val="395D0BF4"/>
    <w:rsid w:val="397845BB"/>
    <w:rsid w:val="39AD00F5"/>
    <w:rsid w:val="39C957BA"/>
    <w:rsid w:val="39D5195C"/>
    <w:rsid w:val="39E74FFE"/>
    <w:rsid w:val="39F01A68"/>
    <w:rsid w:val="39F67E47"/>
    <w:rsid w:val="3A0A7D51"/>
    <w:rsid w:val="3A1C0240"/>
    <w:rsid w:val="3A266C45"/>
    <w:rsid w:val="3A5B5D7C"/>
    <w:rsid w:val="3A5C534F"/>
    <w:rsid w:val="3A6722BF"/>
    <w:rsid w:val="3A6C7FD0"/>
    <w:rsid w:val="3A6E7D99"/>
    <w:rsid w:val="3A7144C5"/>
    <w:rsid w:val="3A770EAE"/>
    <w:rsid w:val="3A887EF3"/>
    <w:rsid w:val="3A8E577E"/>
    <w:rsid w:val="3A9D7A51"/>
    <w:rsid w:val="3AB13692"/>
    <w:rsid w:val="3ABD5DEE"/>
    <w:rsid w:val="3ADF5A16"/>
    <w:rsid w:val="3AEA295B"/>
    <w:rsid w:val="3AF70386"/>
    <w:rsid w:val="3AFB6916"/>
    <w:rsid w:val="3AFD268F"/>
    <w:rsid w:val="3B0A02CB"/>
    <w:rsid w:val="3B0C2D98"/>
    <w:rsid w:val="3B0D21A6"/>
    <w:rsid w:val="3B175C07"/>
    <w:rsid w:val="3B1E43B3"/>
    <w:rsid w:val="3B2148E5"/>
    <w:rsid w:val="3B2E208F"/>
    <w:rsid w:val="3B2F036E"/>
    <w:rsid w:val="3B2F79F0"/>
    <w:rsid w:val="3B416D23"/>
    <w:rsid w:val="3B4958D4"/>
    <w:rsid w:val="3B4D69AB"/>
    <w:rsid w:val="3B536914"/>
    <w:rsid w:val="3B6A75F8"/>
    <w:rsid w:val="3B6E0E96"/>
    <w:rsid w:val="3B7364AD"/>
    <w:rsid w:val="3B874530"/>
    <w:rsid w:val="3B8C756F"/>
    <w:rsid w:val="3BA0301A"/>
    <w:rsid w:val="3BAE107B"/>
    <w:rsid w:val="3BB84807"/>
    <w:rsid w:val="3BB865B6"/>
    <w:rsid w:val="3BCB4B07"/>
    <w:rsid w:val="3BEB0739"/>
    <w:rsid w:val="3BEC625F"/>
    <w:rsid w:val="3C1D466B"/>
    <w:rsid w:val="3C1F4887"/>
    <w:rsid w:val="3C243C4B"/>
    <w:rsid w:val="3C261771"/>
    <w:rsid w:val="3C3E2F5F"/>
    <w:rsid w:val="3C44609B"/>
    <w:rsid w:val="3C5462DE"/>
    <w:rsid w:val="3C5D7CBE"/>
    <w:rsid w:val="3C7626F9"/>
    <w:rsid w:val="3C811ABC"/>
    <w:rsid w:val="3C925059"/>
    <w:rsid w:val="3C934164"/>
    <w:rsid w:val="3CA408E8"/>
    <w:rsid w:val="3CB42DC3"/>
    <w:rsid w:val="3CC52D38"/>
    <w:rsid w:val="3CE8111C"/>
    <w:rsid w:val="3CE9358A"/>
    <w:rsid w:val="3CEC1573"/>
    <w:rsid w:val="3CF25AF7"/>
    <w:rsid w:val="3CF655E7"/>
    <w:rsid w:val="3CF7310E"/>
    <w:rsid w:val="3CFE449C"/>
    <w:rsid w:val="3D073351"/>
    <w:rsid w:val="3D09356D"/>
    <w:rsid w:val="3D484EB7"/>
    <w:rsid w:val="3D4A6B6C"/>
    <w:rsid w:val="3D4A76E1"/>
    <w:rsid w:val="3D4E5423"/>
    <w:rsid w:val="3D504633"/>
    <w:rsid w:val="3D5440BC"/>
    <w:rsid w:val="3D7529B0"/>
    <w:rsid w:val="3D776FA4"/>
    <w:rsid w:val="3D7824A0"/>
    <w:rsid w:val="3D840E45"/>
    <w:rsid w:val="3D874491"/>
    <w:rsid w:val="3D962909"/>
    <w:rsid w:val="3D9A2417"/>
    <w:rsid w:val="3DA212CB"/>
    <w:rsid w:val="3DA4074B"/>
    <w:rsid w:val="3DA43295"/>
    <w:rsid w:val="3DAD49D1"/>
    <w:rsid w:val="3DB66B25"/>
    <w:rsid w:val="3DB86D41"/>
    <w:rsid w:val="3DBF3F1C"/>
    <w:rsid w:val="3DC036B1"/>
    <w:rsid w:val="3DC079A3"/>
    <w:rsid w:val="3DC96858"/>
    <w:rsid w:val="3DDA2813"/>
    <w:rsid w:val="3DE1045D"/>
    <w:rsid w:val="3DEA7081"/>
    <w:rsid w:val="3DEE62BF"/>
    <w:rsid w:val="3E077380"/>
    <w:rsid w:val="3E0B0C1F"/>
    <w:rsid w:val="3E157CEF"/>
    <w:rsid w:val="3E233EAB"/>
    <w:rsid w:val="3E257E13"/>
    <w:rsid w:val="3E27227B"/>
    <w:rsid w:val="3E2B306F"/>
    <w:rsid w:val="3E43485C"/>
    <w:rsid w:val="3E4B54BF"/>
    <w:rsid w:val="3E4C6F09"/>
    <w:rsid w:val="3E512B48"/>
    <w:rsid w:val="3E6309CA"/>
    <w:rsid w:val="3E693B97"/>
    <w:rsid w:val="3E6B790F"/>
    <w:rsid w:val="3E6D6531"/>
    <w:rsid w:val="3EBF735B"/>
    <w:rsid w:val="3EDF3E59"/>
    <w:rsid w:val="3EE651E8"/>
    <w:rsid w:val="3EE871B2"/>
    <w:rsid w:val="3EEB1349"/>
    <w:rsid w:val="3EEB1561"/>
    <w:rsid w:val="3EF06F38"/>
    <w:rsid w:val="3EF6072B"/>
    <w:rsid w:val="3EF61A47"/>
    <w:rsid w:val="3F12422F"/>
    <w:rsid w:val="3F1915F3"/>
    <w:rsid w:val="3F2505EC"/>
    <w:rsid w:val="3F427472"/>
    <w:rsid w:val="3F634A8A"/>
    <w:rsid w:val="3F66759B"/>
    <w:rsid w:val="3F7241FA"/>
    <w:rsid w:val="3F724CCD"/>
    <w:rsid w:val="3F7A390C"/>
    <w:rsid w:val="3F8213B4"/>
    <w:rsid w:val="3F8E7D59"/>
    <w:rsid w:val="3F9410E8"/>
    <w:rsid w:val="3F9933A1"/>
    <w:rsid w:val="3F9B2476"/>
    <w:rsid w:val="3FA05CDE"/>
    <w:rsid w:val="3FAA26B9"/>
    <w:rsid w:val="3FB45881"/>
    <w:rsid w:val="3FE931E1"/>
    <w:rsid w:val="3FED1EB2"/>
    <w:rsid w:val="400B158D"/>
    <w:rsid w:val="400C3C00"/>
    <w:rsid w:val="400C6ED0"/>
    <w:rsid w:val="400E26B5"/>
    <w:rsid w:val="401232F8"/>
    <w:rsid w:val="401A15ED"/>
    <w:rsid w:val="40302BBE"/>
    <w:rsid w:val="40491ED2"/>
    <w:rsid w:val="404D4928"/>
    <w:rsid w:val="406C47B6"/>
    <w:rsid w:val="407927B7"/>
    <w:rsid w:val="40A35A86"/>
    <w:rsid w:val="40A9471F"/>
    <w:rsid w:val="40AB0497"/>
    <w:rsid w:val="40B25CC9"/>
    <w:rsid w:val="40C20490"/>
    <w:rsid w:val="40CB2A61"/>
    <w:rsid w:val="40E374CF"/>
    <w:rsid w:val="40ED0AAF"/>
    <w:rsid w:val="41006A35"/>
    <w:rsid w:val="41232723"/>
    <w:rsid w:val="412E2095"/>
    <w:rsid w:val="4136635A"/>
    <w:rsid w:val="413E130B"/>
    <w:rsid w:val="41410E54"/>
    <w:rsid w:val="414C1C7A"/>
    <w:rsid w:val="414C7ECC"/>
    <w:rsid w:val="414D59F2"/>
    <w:rsid w:val="416F5968"/>
    <w:rsid w:val="41765BEF"/>
    <w:rsid w:val="41765CE9"/>
    <w:rsid w:val="417D0085"/>
    <w:rsid w:val="419158DF"/>
    <w:rsid w:val="41923405"/>
    <w:rsid w:val="41967399"/>
    <w:rsid w:val="41A209AC"/>
    <w:rsid w:val="41B17D2F"/>
    <w:rsid w:val="41B94E35"/>
    <w:rsid w:val="41D441C7"/>
    <w:rsid w:val="41D72A2F"/>
    <w:rsid w:val="41E41EB2"/>
    <w:rsid w:val="41EA0DC1"/>
    <w:rsid w:val="41EA3241"/>
    <w:rsid w:val="41F06AA9"/>
    <w:rsid w:val="41F96A9F"/>
    <w:rsid w:val="42016373"/>
    <w:rsid w:val="420C765B"/>
    <w:rsid w:val="422D5539"/>
    <w:rsid w:val="42366486"/>
    <w:rsid w:val="42376048"/>
    <w:rsid w:val="423D7815"/>
    <w:rsid w:val="42416CF7"/>
    <w:rsid w:val="42440BA3"/>
    <w:rsid w:val="424E1A22"/>
    <w:rsid w:val="4250579A"/>
    <w:rsid w:val="42507548"/>
    <w:rsid w:val="42510572"/>
    <w:rsid w:val="425A2175"/>
    <w:rsid w:val="425D02CF"/>
    <w:rsid w:val="425D3A13"/>
    <w:rsid w:val="42613503"/>
    <w:rsid w:val="42683E59"/>
    <w:rsid w:val="4269060A"/>
    <w:rsid w:val="426923B8"/>
    <w:rsid w:val="426E79CE"/>
    <w:rsid w:val="427D180C"/>
    <w:rsid w:val="42817701"/>
    <w:rsid w:val="428D254A"/>
    <w:rsid w:val="42A17DA3"/>
    <w:rsid w:val="42A36AB5"/>
    <w:rsid w:val="42A41642"/>
    <w:rsid w:val="42A95426"/>
    <w:rsid w:val="42AA0BA9"/>
    <w:rsid w:val="42B555FD"/>
    <w:rsid w:val="42D2478F"/>
    <w:rsid w:val="42DA1507"/>
    <w:rsid w:val="42E14644"/>
    <w:rsid w:val="42E66EDA"/>
    <w:rsid w:val="42E6709F"/>
    <w:rsid w:val="42ED4D97"/>
    <w:rsid w:val="42EE0B0F"/>
    <w:rsid w:val="42EF4FB3"/>
    <w:rsid w:val="42FB3958"/>
    <w:rsid w:val="4303280C"/>
    <w:rsid w:val="43235D77"/>
    <w:rsid w:val="43317379"/>
    <w:rsid w:val="43350C92"/>
    <w:rsid w:val="43374264"/>
    <w:rsid w:val="43380CB4"/>
    <w:rsid w:val="43441AA3"/>
    <w:rsid w:val="435C3CCA"/>
    <w:rsid w:val="43917E18"/>
    <w:rsid w:val="439F6823"/>
    <w:rsid w:val="43AA0047"/>
    <w:rsid w:val="43AF0D66"/>
    <w:rsid w:val="43AF4742"/>
    <w:rsid w:val="43B04058"/>
    <w:rsid w:val="43DC34E1"/>
    <w:rsid w:val="43DF5027"/>
    <w:rsid w:val="43E66AF2"/>
    <w:rsid w:val="43E76903"/>
    <w:rsid w:val="44094D3B"/>
    <w:rsid w:val="44131682"/>
    <w:rsid w:val="44352E99"/>
    <w:rsid w:val="443B6D8D"/>
    <w:rsid w:val="44472BCC"/>
    <w:rsid w:val="445F3A72"/>
    <w:rsid w:val="446F3436"/>
    <w:rsid w:val="44756528"/>
    <w:rsid w:val="44784B34"/>
    <w:rsid w:val="447A0BE9"/>
    <w:rsid w:val="448E4357"/>
    <w:rsid w:val="44974855"/>
    <w:rsid w:val="44993374"/>
    <w:rsid w:val="44B2263A"/>
    <w:rsid w:val="44B33DBE"/>
    <w:rsid w:val="44EC6872"/>
    <w:rsid w:val="44F93EC7"/>
    <w:rsid w:val="44FA7C3F"/>
    <w:rsid w:val="45050ABD"/>
    <w:rsid w:val="450828A9"/>
    <w:rsid w:val="450B1E4C"/>
    <w:rsid w:val="450C60CA"/>
    <w:rsid w:val="45192D66"/>
    <w:rsid w:val="451C1963"/>
    <w:rsid w:val="45254DB1"/>
    <w:rsid w:val="452627E2"/>
    <w:rsid w:val="452B7DF8"/>
    <w:rsid w:val="453018B3"/>
    <w:rsid w:val="453B3E42"/>
    <w:rsid w:val="453E5D7D"/>
    <w:rsid w:val="45447689"/>
    <w:rsid w:val="45463FA1"/>
    <w:rsid w:val="45486BFC"/>
    <w:rsid w:val="454A058C"/>
    <w:rsid w:val="45575091"/>
    <w:rsid w:val="455B692F"/>
    <w:rsid w:val="45682DFA"/>
    <w:rsid w:val="456B16B7"/>
    <w:rsid w:val="456B28EB"/>
    <w:rsid w:val="45753F55"/>
    <w:rsid w:val="457A48DC"/>
    <w:rsid w:val="45800144"/>
    <w:rsid w:val="458D560D"/>
    <w:rsid w:val="45920437"/>
    <w:rsid w:val="45A51959"/>
    <w:rsid w:val="45B147A1"/>
    <w:rsid w:val="45B20519"/>
    <w:rsid w:val="45B36103"/>
    <w:rsid w:val="45B918A8"/>
    <w:rsid w:val="45C07884"/>
    <w:rsid w:val="45D17124"/>
    <w:rsid w:val="45D8095D"/>
    <w:rsid w:val="45DB537A"/>
    <w:rsid w:val="45DD79F6"/>
    <w:rsid w:val="45EC7588"/>
    <w:rsid w:val="45EF0E26"/>
    <w:rsid w:val="45F91FFD"/>
    <w:rsid w:val="46061C15"/>
    <w:rsid w:val="4614088C"/>
    <w:rsid w:val="46146ADE"/>
    <w:rsid w:val="4622744D"/>
    <w:rsid w:val="46487E6C"/>
    <w:rsid w:val="46517D32"/>
    <w:rsid w:val="46560EA5"/>
    <w:rsid w:val="465C029D"/>
    <w:rsid w:val="466D0097"/>
    <w:rsid w:val="466D2522"/>
    <w:rsid w:val="4685178A"/>
    <w:rsid w:val="46911EDD"/>
    <w:rsid w:val="46BD6140"/>
    <w:rsid w:val="46DA017E"/>
    <w:rsid w:val="46EB5A91"/>
    <w:rsid w:val="46EC4451"/>
    <w:rsid w:val="46F30DEA"/>
    <w:rsid w:val="470737A5"/>
    <w:rsid w:val="471963AA"/>
    <w:rsid w:val="47256815"/>
    <w:rsid w:val="473016F6"/>
    <w:rsid w:val="47321912"/>
    <w:rsid w:val="474D04FA"/>
    <w:rsid w:val="475573AE"/>
    <w:rsid w:val="47631ACB"/>
    <w:rsid w:val="47670CC3"/>
    <w:rsid w:val="47705F96"/>
    <w:rsid w:val="47723ABC"/>
    <w:rsid w:val="47757790"/>
    <w:rsid w:val="477F442B"/>
    <w:rsid w:val="47897F48"/>
    <w:rsid w:val="478B1022"/>
    <w:rsid w:val="47995FDF"/>
    <w:rsid w:val="479B51D9"/>
    <w:rsid w:val="47B32EF0"/>
    <w:rsid w:val="47C22C96"/>
    <w:rsid w:val="47C368F2"/>
    <w:rsid w:val="47C57658"/>
    <w:rsid w:val="47E32C0C"/>
    <w:rsid w:val="47EB386F"/>
    <w:rsid w:val="480E32EE"/>
    <w:rsid w:val="4812704D"/>
    <w:rsid w:val="481334F1"/>
    <w:rsid w:val="481E59F2"/>
    <w:rsid w:val="482A25E9"/>
    <w:rsid w:val="482A5B24"/>
    <w:rsid w:val="483A5C59"/>
    <w:rsid w:val="483E7E42"/>
    <w:rsid w:val="484F5495"/>
    <w:rsid w:val="48653621"/>
    <w:rsid w:val="488C5052"/>
    <w:rsid w:val="488F68F0"/>
    <w:rsid w:val="489130C1"/>
    <w:rsid w:val="48B30830"/>
    <w:rsid w:val="48C6381F"/>
    <w:rsid w:val="48CA1FE3"/>
    <w:rsid w:val="48CA7928"/>
    <w:rsid w:val="48D500FF"/>
    <w:rsid w:val="48DA0FA1"/>
    <w:rsid w:val="48E1714C"/>
    <w:rsid w:val="48E94997"/>
    <w:rsid w:val="48F10DA5"/>
    <w:rsid w:val="48F86243"/>
    <w:rsid w:val="49042FF5"/>
    <w:rsid w:val="49101CC1"/>
    <w:rsid w:val="492F067B"/>
    <w:rsid w:val="494616A5"/>
    <w:rsid w:val="4948541D"/>
    <w:rsid w:val="496F578D"/>
    <w:rsid w:val="49843F7B"/>
    <w:rsid w:val="499917D4"/>
    <w:rsid w:val="499B6B79"/>
    <w:rsid w:val="49A05D40"/>
    <w:rsid w:val="49A258C2"/>
    <w:rsid w:val="49A87C69"/>
    <w:rsid w:val="49B06F76"/>
    <w:rsid w:val="49B760FE"/>
    <w:rsid w:val="49BA623D"/>
    <w:rsid w:val="49BD04C4"/>
    <w:rsid w:val="49BD50D1"/>
    <w:rsid w:val="49CF169A"/>
    <w:rsid w:val="49DA3B9B"/>
    <w:rsid w:val="49E07403"/>
    <w:rsid w:val="49E26557"/>
    <w:rsid w:val="49E506AE"/>
    <w:rsid w:val="49E50EBD"/>
    <w:rsid w:val="49E75D63"/>
    <w:rsid w:val="49F64E79"/>
    <w:rsid w:val="4A001853"/>
    <w:rsid w:val="4A057BB7"/>
    <w:rsid w:val="4A174DEF"/>
    <w:rsid w:val="4A1D0657"/>
    <w:rsid w:val="4A242D07"/>
    <w:rsid w:val="4A2B030E"/>
    <w:rsid w:val="4A380B1B"/>
    <w:rsid w:val="4A3E237C"/>
    <w:rsid w:val="4A50737E"/>
    <w:rsid w:val="4A524C36"/>
    <w:rsid w:val="4A5971B6"/>
    <w:rsid w:val="4A6201A5"/>
    <w:rsid w:val="4A657908"/>
    <w:rsid w:val="4A7D0657"/>
    <w:rsid w:val="4A85121F"/>
    <w:rsid w:val="4A851D59"/>
    <w:rsid w:val="4A8E6E5F"/>
    <w:rsid w:val="4A9401EE"/>
    <w:rsid w:val="4A954D2F"/>
    <w:rsid w:val="4A9F72BE"/>
    <w:rsid w:val="4AA743C5"/>
    <w:rsid w:val="4AA93C99"/>
    <w:rsid w:val="4AAE558F"/>
    <w:rsid w:val="4AB34B18"/>
    <w:rsid w:val="4AC46D25"/>
    <w:rsid w:val="4AC62A9D"/>
    <w:rsid w:val="4ACC7988"/>
    <w:rsid w:val="4AD13A99"/>
    <w:rsid w:val="4AD30D16"/>
    <w:rsid w:val="4AE5143A"/>
    <w:rsid w:val="4AE747C1"/>
    <w:rsid w:val="4AEC627C"/>
    <w:rsid w:val="4AED6BE2"/>
    <w:rsid w:val="4AF148FA"/>
    <w:rsid w:val="4B077B86"/>
    <w:rsid w:val="4B1530DD"/>
    <w:rsid w:val="4B1A5AE6"/>
    <w:rsid w:val="4B245440"/>
    <w:rsid w:val="4B245A16"/>
    <w:rsid w:val="4B27357B"/>
    <w:rsid w:val="4B2E29D0"/>
    <w:rsid w:val="4B2F3F26"/>
    <w:rsid w:val="4B3A7D5F"/>
    <w:rsid w:val="4B3F05A3"/>
    <w:rsid w:val="4B49547C"/>
    <w:rsid w:val="4B4B7123"/>
    <w:rsid w:val="4B553E21"/>
    <w:rsid w:val="4B5C2F33"/>
    <w:rsid w:val="4B5C7A79"/>
    <w:rsid w:val="4B626DA5"/>
    <w:rsid w:val="4B693428"/>
    <w:rsid w:val="4B8244EA"/>
    <w:rsid w:val="4B84756E"/>
    <w:rsid w:val="4B8F0BDF"/>
    <w:rsid w:val="4B9C55AC"/>
    <w:rsid w:val="4BA426B2"/>
    <w:rsid w:val="4BA4553C"/>
    <w:rsid w:val="4BA95C05"/>
    <w:rsid w:val="4BC7566F"/>
    <w:rsid w:val="4BC845F3"/>
    <w:rsid w:val="4BD823F5"/>
    <w:rsid w:val="4BE64A79"/>
    <w:rsid w:val="4BE8122B"/>
    <w:rsid w:val="4BE8259F"/>
    <w:rsid w:val="4BE850E4"/>
    <w:rsid w:val="4BEA27BB"/>
    <w:rsid w:val="4BEB6533"/>
    <w:rsid w:val="4BEE392E"/>
    <w:rsid w:val="4BEE652D"/>
    <w:rsid w:val="4BF03B4A"/>
    <w:rsid w:val="4C043151"/>
    <w:rsid w:val="4C07746D"/>
    <w:rsid w:val="4C165E4C"/>
    <w:rsid w:val="4C1C493F"/>
    <w:rsid w:val="4C231829"/>
    <w:rsid w:val="4C273446"/>
    <w:rsid w:val="4C4023DB"/>
    <w:rsid w:val="4C416153"/>
    <w:rsid w:val="4C443EC1"/>
    <w:rsid w:val="4C523EBC"/>
    <w:rsid w:val="4C5C4F93"/>
    <w:rsid w:val="4C5D11DF"/>
    <w:rsid w:val="4C666AF6"/>
    <w:rsid w:val="4C8C5620"/>
    <w:rsid w:val="4C8D3147"/>
    <w:rsid w:val="4C9038B4"/>
    <w:rsid w:val="4CA30BBC"/>
    <w:rsid w:val="4CA65D1F"/>
    <w:rsid w:val="4CA666C3"/>
    <w:rsid w:val="4CBD1C7E"/>
    <w:rsid w:val="4CC21042"/>
    <w:rsid w:val="4CC57A90"/>
    <w:rsid w:val="4CC71808"/>
    <w:rsid w:val="4CD01BDD"/>
    <w:rsid w:val="4CD55219"/>
    <w:rsid w:val="4CDF4F84"/>
    <w:rsid w:val="4CE25166"/>
    <w:rsid w:val="4CF51418"/>
    <w:rsid w:val="4CFA4C80"/>
    <w:rsid w:val="4CFE069C"/>
    <w:rsid w:val="4D0258E3"/>
    <w:rsid w:val="4D0D7ED3"/>
    <w:rsid w:val="4D0F1DAD"/>
    <w:rsid w:val="4D203FBB"/>
    <w:rsid w:val="4D28385F"/>
    <w:rsid w:val="4D302461"/>
    <w:rsid w:val="4D31441A"/>
    <w:rsid w:val="4D347207"/>
    <w:rsid w:val="4D3833FE"/>
    <w:rsid w:val="4D445EFB"/>
    <w:rsid w:val="4D497A62"/>
    <w:rsid w:val="4D69060E"/>
    <w:rsid w:val="4D6B3488"/>
    <w:rsid w:val="4D73058E"/>
    <w:rsid w:val="4D796A58"/>
    <w:rsid w:val="4D834C75"/>
    <w:rsid w:val="4D8F6B18"/>
    <w:rsid w:val="4D92310A"/>
    <w:rsid w:val="4D93478D"/>
    <w:rsid w:val="4D981DA3"/>
    <w:rsid w:val="4D9B50BA"/>
    <w:rsid w:val="4DB210B7"/>
    <w:rsid w:val="4DC96400"/>
    <w:rsid w:val="4DCF7EBB"/>
    <w:rsid w:val="4DD059E1"/>
    <w:rsid w:val="4DDE418A"/>
    <w:rsid w:val="4DF02264"/>
    <w:rsid w:val="4DF47921"/>
    <w:rsid w:val="4DFA5B1F"/>
    <w:rsid w:val="4E105D47"/>
    <w:rsid w:val="4E21623C"/>
    <w:rsid w:val="4E231FB4"/>
    <w:rsid w:val="4E233D62"/>
    <w:rsid w:val="4E353A96"/>
    <w:rsid w:val="4E41243B"/>
    <w:rsid w:val="4E46220F"/>
    <w:rsid w:val="4E4A1B7C"/>
    <w:rsid w:val="4E4B5067"/>
    <w:rsid w:val="4E4C7F4F"/>
    <w:rsid w:val="4E5A571E"/>
    <w:rsid w:val="4E623D20"/>
    <w:rsid w:val="4E766EAA"/>
    <w:rsid w:val="4E781F0A"/>
    <w:rsid w:val="4E875AD7"/>
    <w:rsid w:val="4E8A3DE2"/>
    <w:rsid w:val="4E9B7D9D"/>
    <w:rsid w:val="4E9D1D67"/>
    <w:rsid w:val="4EAA1B40"/>
    <w:rsid w:val="4EB86BA1"/>
    <w:rsid w:val="4EBD5F65"/>
    <w:rsid w:val="4EC94FA7"/>
    <w:rsid w:val="4EDC6F5B"/>
    <w:rsid w:val="4EE129A3"/>
    <w:rsid w:val="4EEC5046"/>
    <w:rsid w:val="4EEF1E97"/>
    <w:rsid w:val="4EFC68C1"/>
    <w:rsid w:val="4F0B2565"/>
    <w:rsid w:val="4F0F42E7"/>
    <w:rsid w:val="4F2307E8"/>
    <w:rsid w:val="4F2A2ECF"/>
    <w:rsid w:val="4F351F9F"/>
    <w:rsid w:val="4F455F5A"/>
    <w:rsid w:val="4F461DC5"/>
    <w:rsid w:val="4F4A0445"/>
    <w:rsid w:val="4F4C553B"/>
    <w:rsid w:val="4F513C47"/>
    <w:rsid w:val="4F5D32A4"/>
    <w:rsid w:val="4F5F0DCA"/>
    <w:rsid w:val="4F5F701C"/>
    <w:rsid w:val="4F610FE6"/>
    <w:rsid w:val="4F664702"/>
    <w:rsid w:val="4F6A776F"/>
    <w:rsid w:val="4F6B6FE2"/>
    <w:rsid w:val="4F712A8E"/>
    <w:rsid w:val="4F743704"/>
    <w:rsid w:val="4F8545A9"/>
    <w:rsid w:val="4F8B7126"/>
    <w:rsid w:val="4F9F53EC"/>
    <w:rsid w:val="4FBA10E4"/>
    <w:rsid w:val="4FBB4E02"/>
    <w:rsid w:val="4FC6651D"/>
    <w:rsid w:val="4FC95CBA"/>
    <w:rsid w:val="4FC979FE"/>
    <w:rsid w:val="4FDF63AF"/>
    <w:rsid w:val="4FE65048"/>
    <w:rsid w:val="4FF84D7B"/>
    <w:rsid w:val="4FFA0AF3"/>
    <w:rsid w:val="4FFA179E"/>
    <w:rsid w:val="5003209D"/>
    <w:rsid w:val="50073724"/>
    <w:rsid w:val="500B0F52"/>
    <w:rsid w:val="50131BB5"/>
    <w:rsid w:val="5019541D"/>
    <w:rsid w:val="50322C7D"/>
    <w:rsid w:val="50377F99"/>
    <w:rsid w:val="50461F8A"/>
    <w:rsid w:val="504F7091"/>
    <w:rsid w:val="5062394E"/>
    <w:rsid w:val="50647D41"/>
    <w:rsid w:val="506A1A77"/>
    <w:rsid w:val="506A3ECB"/>
    <w:rsid w:val="506D1249"/>
    <w:rsid w:val="50842203"/>
    <w:rsid w:val="508B6EC8"/>
    <w:rsid w:val="50AF5E51"/>
    <w:rsid w:val="50BA1388"/>
    <w:rsid w:val="50BB2978"/>
    <w:rsid w:val="50DD28EE"/>
    <w:rsid w:val="50E84EE1"/>
    <w:rsid w:val="50F97720"/>
    <w:rsid w:val="50FB6D49"/>
    <w:rsid w:val="51116894"/>
    <w:rsid w:val="51130FDE"/>
    <w:rsid w:val="511856D5"/>
    <w:rsid w:val="512322CB"/>
    <w:rsid w:val="512C5624"/>
    <w:rsid w:val="51330FBE"/>
    <w:rsid w:val="513B2C5D"/>
    <w:rsid w:val="513C043A"/>
    <w:rsid w:val="514630BC"/>
    <w:rsid w:val="514A5D72"/>
    <w:rsid w:val="515626A1"/>
    <w:rsid w:val="51636E68"/>
    <w:rsid w:val="5164091A"/>
    <w:rsid w:val="516F5466"/>
    <w:rsid w:val="518B234A"/>
    <w:rsid w:val="51911F67"/>
    <w:rsid w:val="51945803"/>
    <w:rsid w:val="51B11685"/>
    <w:rsid w:val="51D23371"/>
    <w:rsid w:val="51E7154B"/>
    <w:rsid w:val="51E93115"/>
    <w:rsid w:val="51FD0D5E"/>
    <w:rsid w:val="5212239F"/>
    <w:rsid w:val="521A36CE"/>
    <w:rsid w:val="521C5D45"/>
    <w:rsid w:val="521F6F37"/>
    <w:rsid w:val="523227C6"/>
    <w:rsid w:val="5238325A"/>
    <w:rsid w:val="52467DA4"/>
    <w:rsid w:val="52495D62"/>
    <w:rsid w:val="524A3FB4"/>
    <w:rsid w:val="524F7F78"/>
    <w:rsid w:val="526426F8"/>
    <w:rsid w:val="5264494A"/>
    <w:rsid w:val="527C6070"/>
    <w:rsid w:val="528B637A"/>
    <w:rsid w:val="529A745B"/>
    <w:rsid w:val="52AC6AC5"/>
    <w:rsid w:val="52B07B8F"/>
    <w:rsid w:val="52C35B14"/>
    <w:rsid w:val="52C36328"/>
    <w:rsid w:val="52C81553"/>
    <w:rsid w:val="52C87F24"/>
    <w:rsid w:val="52CF23C2"/>
    <w:rsid w:val="52D42A42"/>
    <w:rsid w:val="52D87DA8"/>
    <w:rsid w:val="52D970E6"/>
    <w:rsid w:val="52DA306E"/>
    <w:rsid w:val="52E86357"/>
    <w:rsid w:val="52E923EA"/>
    <w:rsid w:val="52EC6E19"/>
    <w:rsid w:val="52F061DD"/>
    <w:rsid w:val="52F61A46"/>
    <w:rsid w:val="52F8213F"/>
    <w:rsid w:val="52FD3CFF"/>
    <w:rsid w:val="52FE08FA"/>
    <w:rsid w:val="52FF70EA"/>
    <w:rsid w:val="53035F10"/>
    <w:rsid w:val="53046E50"/>
    <w:rsid w:val="530C74BB"/>
    <w:rsid w:val="530E4432"/>
    <w:rsid w:val="53161886"/>
    <w:rsid w:val="53222B14"/>
    <w:rsid w:val="53352192"/>
    <w:rsid w:val="533575BC"/>
    <w:rsid w:val="53642E53"/>
    <w:rsid w:val="536F35A6"/>
    <w:rsid w:val="53735D8F"/>
    <w:rsid w:val="53847223"/>
    <w:rsid w:val="53913466"/>
    <w:rsid w:val="539553D2"/>
    <w:rsid w:val="539767A4"/>
    <w:rsid w:val="53C733E2"/>
    <w:rsid w:val="53C953AC"/>
    <w:rsid w:val="53CD67D1"/>
    <w:rsid w:val="53CE651E"/>
    <w:rsid w:val="53D14261"/>
    <w:rsid w:val="53DF2E37"/>
    <w:rsid w:val="53E2646E"/>
    <w:rsid w:val="53E93ADE"/>
    <w:rsid w:val="53E977FC"/>
    <w:rsid w:val="53EB5322"/>
    <w:rsid w:val="53F561A1"/>
    <w:rsid w:val="540255D9"/>
    <w:rsid w:val="541A5C08"/>
    <w:rsid w:val="54260108"/>
    <w:rsid w:val="5429409D"/>
    <w:rsid w:val="543D5152"/>
    <w:rsid w:val="544215D6"/>
    <w:rsid w:val="544C0FA3"/>
    <w:rsid w:val="546B6463"/>
    <w:rsid w:val="546C63AD"/>
    <w:rsid w:val="54757CAA"/>
    <w:rsid w:val="54770964"/>
    <w:rsid w:val="54771725"/>
    <w:rsid w:val="547A66A6"/>
    <w:rsid w:val="54866DF9"/>
    <w:rsid w:val="54933960"/>
    <w:rsid w:val="549C486F"/>
    <w:rsid w:val="54A6408C"/>
    <w:rsid w:val="54BF6A11"/>
    <w:rsid w:val="54C31DFB"/>
    <w:rsid w:val="54CF6A0A"/>
    <w:rsid w:val="54E16725"/>
    <w:rsid w:val="54F320CB"/>
    <w:rsid w:val="54F37AE9"/>
    <w:rsid w:val="550008BC"/>
    <w:rsid w:val="551663CF"/>
    <w:rsid w:val="551C4358"/>
    <w:rsid w:val="551E1403"/>
    <w:rsid w:val="551E7032"/>
    <w:rsid w:val="55275A0F"/>
    <w:rsid w:val="553C395C"/>
    <w:rsid w:val="55425416"/>
    <w:rsid w:val="555B0286"/>
    <w:rsid w:val="555D5DAC"/>
    <w:rsid w:val="5560589C"/>
    <w:rsid w:val="556C4241"/>
    <w:rsid w:val="55886BA1"/>
    <w:rsid w:val="55962F90"/>
    <w:rsid w:val="559C69AB"/>
    <w:rsid w:val="559E63C4"/>
    <w:rsid w:val="55AF771D"/>
    <w:rsid w:val="55D15F40"/>
    <w:rsid w:val="55F676D2"/>
    <w:rsid w:val="56051D5E"/>
    <w:rsid w:val="560F3A7A"/>
    <w:rsid w:val="561072C2"/>
    <w:rsid w:val="5613290E"/>
    <w:rsid w:val="561F5757"/>
    <w:rsid w:val="563F1955"/>
    <w:rsid w:val="56580B05"/>
    <w:rsid w:val="565F5B54"/>
    <w:rsid w:val="566955D0"/>
    <w:rsid w:val="566F36FC"/>
    <w:rsid w:val="56705FB3"/>
    <w:rsid w:val="56780698"/>
    <w:rsid w:val="568850AA"/>
    <w:rsid w:val="568B719E"/>
    <w:rsid w:val="569207F6"/>
    <w:rsid w:val="5693680C"/>
    <w:rsid w:val="56B55774"/>
    <w:rsid w:val="56BE6103"/>
    <w:rsid w:val="56C37E91"/>
    <w:rsid w:val="56E10C5F"/>
    <w:rsid w:val="56E37A63"/>
    <w:rsid w:val="56ED315F"/>
    <w:rsid w:val="571406EC"/>
    <w:rsid w:val="57165119"/>
    <w:rsid w:val="571B2939"/>
    <w:rsid w:val="57454D4A"/>
    <w:rsid w:val="5750567D"/>
    <w:rsid w:val="5753560C"/>
    <w:rsid w:val="576347B9"/>
    <w:rsid w:val="576F1DC6"/>
    <w:rsid w:val="577C0097"/>
    <w:rsid w:val="5788214A"/>
    <w:rsid w:val="57917F8F"/>
    <w:rsid w:val="57C0059B"/>
    <w:rsid w:val="57CF1FC0"/>
    <w:rsid w:val="57D81033"/>
    <w:rsid w:val="57E52089"/>
    <w:rsid w:val="57EB2A27"/>
    <w:rsid w:val="57F205D3"/>
    <w:rsid w:val="58226E39"/>
    <w:rsid w:val="58240E03"/>
    <w:rsid w:val="58344A66"/>
    <w:rsid w:val="58507E4A"/>
    <w:rsid w:val="58535244"/>
    <w:rsid w:val="585A4825"/>
    <w:rsid w:val="58694A68"/>
    <w:rsid w:val="587F332E"/>
    <w:rsid w:val="588673C8"/>
    <w:rsid w:val="58883F2F"/>
    <w:rsid w:val="5889335C"/>
    <w:rsid w:val="588B0E82"/>
    <w:rsid w:val="58A43CF2"/>
    <w:rsid w:val="58A61818"/>
    <w:rsid w:val="58AD5A20"/>
    <w:rsid w:val="58B01789"/>
    <w:rsid w:val="58D97E3F"/>
    <w:rsid w:val="58DC348C"/>
    <w:rsid w:val="58E32A6C"/>
    <w:rsid w:val="58F003BE"/>
    <w:rsid w:val="58FF53CC"/>
    <w:rsid w:val="5906675A"/>
    <w:rsid w:val="5908391E"/>
    <w:rsid w:val="590A6A01"/>
    <w:rsid w:val="59175218"/>
    <w:rsid w:val="5918420A"/>
    <w:rsid w:val="592F3F03"/>
    <w:rsid w:val="5955323E"/>
    <w:rsid w:val="59593DC0"/>
    <w:rsid w:val="59653481"/>
    <w:rsid w:val="596B480F"/>
    <w:rsid w:val="59701E26"/>
    <w:rsid w:val="597A46A3"/>
    <w:rsid w:val="598C3104"/>
    <w:rsid w:val="59932E7B"/>
    <w:rsid w:val="599A7926"/>
    <w:rsid w:val="599B6EA3"/>
    <w:rsid w:val="59B166C6"/>
    <w:rsid w:val="59B934E1"/>
    <w:rsid w:val="59B9487E"/>
    <w:rsid w:val="59C5612F"/>
    <w:rsid w:val="59C932CF"/>
    <w:rsid w:val="59CE0AF1"/>
    <w:rsid w:val="59D453FE"/>
    <w:rsid w:val="59D52B06"/>
    <w:rsid w:val="59F91E1B"/>
    <w:rsid w:val="59FE5684"/>
    <w:rsid w:val="5A0A61CB"/>
    <w:rsid w:val="5A2C21F1"/>
    <w:rsid w:val="5A3E3CD2"/>
    <w:rsid w:val="5A40138F"/>
    <w:rsid w:val="5A4E73EC"/>
    <w:rsid w:val="5A502AEF"/>
    <w:rsid w:val="5A5B2AD6"/>
    <w:rsid w:val="5A601E9A"/>
    <w:rsid w:val="5A655703"/>
    <w:rsid w:val="5A673229"/>
    <w:rsid w:val="5A780A0F"/>
    <w:rsid w:val="5A7870EE"/>
    <w:rsid w:val="5AB166D1"/>
    <w:rsid w:val="5AB87F28"/>
    <w:rsid w:val="5AD73E78"/>
    <w:rsid w:val="5ADA1C4D"/>
    <w:rsid w:val="5B044F1C"/>
    <w:rsid w:val="5B1259FA"/>
    <w:rsid w:val="5B24111A"/>
    <w:rsid w:val="5B263BCE"/>
    <w:rsid w:val="5B286E5C"/>
    <w:rsid w:val="5B31551A"/>
    <w:rsid w:val="5B33135D"/>
    <w:rsid w:val="5B38460D"/>
    <w:rsid w:val="5B3C6463"/>
    <w:rsid w:val="5B5E5CCC"/>
    <w:rsid w:val="5B5F2152"/>
    <w:rsid w:val="5B717319"/>
    <w:rsid w:val="5B800A46"/>
    <w:rsid w:val="5B940B51"/>
    <w:rsid w:val="5B9C09ED"/>
    <w:rsid w:val="5B9C6F02"/>
    <w:rsid w:val="5BBC3E3B"/>
    <w:rsid w:val="5BC76675"/>
    <w:rsid w:val="5BCC5A39"/>
    <w:rsid w:val="5BCF72D8"/>
    <w:rsid w:val="5BD62414"/>
    <w:rsid w:val="5BD963A8"/>
    <w:rsid w:val="5BD96A5B"/>
    <w:rsid w:val="5BE34B31"/>
    <w:rsid w:val="5BE56AFB"/>
    <w:rsid w:val="5BF8595E"/>
    <w:rsid w:val="5C017CCF"/>
    <w:rsid w:val="5C087CA1"/>
    <w:rsid w:val="5C12387B"/>
    <w:rsid w:val="5C2C0286"/>
    <w:rsid w:val="5C2C541B"/>
    <w:rsid w:val="5C2D5580"/>
    <w:rsid w:val="5C313AEE"/>
    <w:rsid w:val="5C323450"/>
    <w:rsid w:val="5C484D92"/>
    <w:rsid w:val="5C4D6DB2"/>
    <w:rsid w:val="5C515F3F"/>
    <w:rsid w:val="5C5617A7"/>
    <w:rsid w:val="5C651B97"/>
    <w:rsid w:val="5C7459B1"/>
    <w:rsid w:val="5C837D51"/>
    <w:rsid w:val="5C841E70"/>
    <w:rsid w:val="5C861BFC"/>
    <w:rsid w:val="5C8C341B"/>
    <w:rsid w:val="5C9037B4"/>
    <w:rsid w:val="5C930305"/>
    <w:rsid w:val="5C940B90"/>
    <w:rsid w:val="5CAC7619"/>
    <w:rsid w:val="5CC130C4"/>
    <w:rsid w:val="5CD03307"/>
    <w:rsid w:val="5CD339B9"/>
    <w:rsid w:val="5CD94B1D"/>
    <w:rsid w:val="5CDA5F34"/>
    <w:rsid w:val="5CEC3B32"/>
    <w:rsid w:val="5CF16EB8"/>
    <w:rsid w:val="5D064F7B"/>
    <w:rsid w:val="5D1E0517"/>
    <w:rsid w:val="5D2378DB"/>
    <w:rsid w:val="5D2C419E"/>
    <w:rsid w:val="5D331AE8"/>
    <w:rsid w:val="5D397E20"/>
    <w:rsid w:val="5D431D2B"/>
    <w:rsid w:val="5D5833CF"/>
    <w:rsid w:val="5D6972B8"/>
    <w:rsid w:val="5D6D0B56"/>
    <w:rsid w:val="5D7374E4"/>
    <w:rsid w:val="5D75073B"/>
    <w:rsid w:val="5D7E0FB5"/>
    <w:rsid w:val="5D8A2B07"/>
    <w:rsid w:val="5D8A5BAC"/>
    <w:rsid w:val="5D8C1B4A"/>
    <w:rsid w:val="5D99194B"/>
    <w:rsid w:val="5D9C442B"/>
    <w:rsid w:val="5DAA3B58"/>
    <w:rsid w:val="5DAB167E"/>
    <w:rsid w:val="5DB30303"/>
    <w:rsid w:val="5DC00580"/>
    <w:rsid w:val="5DC15346"/>
    <w:rsid w:val="5DD010E5"/>
    <w:rsid w:val="5DD5494D"/>
    <w:rsid w:val="5DDB6408"/>
    <w:rsid w:val="5DDF6716"/>
    <w:rsid w:val="5DE60FFC"/>
    <w:rsid w:val="5DE66B5A"/>
    <w:rsid w:val="5E094683"/>
    <w:rsid w:val="5E0A1A03"/>
    <w:rsid w:val="5E23390B"/>
    <w:rsid w:val="5E337FF2"/>
    <w:rsid w:val="5E3D7AA9"/>
    <w:rsid w:val="5E4775F9"/>
    <w:rsid w:val="5E5A6BDB"/>
    <w:rsid w:val="5E6C52B2"/>
    <w:rsid w:val="5E6C7060"/>
    <w:rsid w:val="5E710B1A"/>
    <w:rsid w:val="5E745F14"/>
    <w:rsid w:val="5E8E293D"/>
    <w:rsid w:val="5EB9176F"/>
    <w:rsid w:val="5EBB1D95"/>
    <w:rsid w:val="5EBF43EF"/>
    <w:rsid w:val="5EC24ED2"/>
    <w:rsid w:val="5EC56770"/>
    <w:rsid w:val="5EC62C14"/>
    <w:rsid w:val="5EE0706A"/>
    <w:rsid w:val="5EE50BC0"/>
    <w:rsid w:val="5EEF6DA6"/>
    <w:rsid w:val="5EF3152F"/>
    <w:rsid w:val="5F182D44"/>
    <w:rsid w:val="5F2425E2"/>
    <w:rsid w:val="5F3F286F"/>
    <w:rsid w:val="5F4C7DD5"/>
    <w:rsid w:val="5F593A88"/>
    <w:rsid w:val="5F622211"/>
    <w:rsid w:val="5F645470"/>
    <w:rsid w:val="5F645F89"/>
    <w:rsid w:val="5F6569D5"/>
    <w:rsid w:val="5F697A43"/>
    <w:rsid w:val="5F6E5059"/>
    <w:rsid w:val="5F903888"/>
    <w:rsid w:val="5FA3544C"/>
    <w:rsid w:val="5FAB1E0A"/>
    <w:rsid w:val="5FAD7930"/>
    <w:rsid w:val="5FB707AE"/>
    <w:rsid w:val="5FC44C79"/>
    <w:rsid w:val="5FC62C85"/>
    <w:rsid w:val="5FCD15CD"/>
    <w:rsid w:val="5FCD1D80"/>
    <w:rsid w:val="5FCD3B2E"/>
    <w:rsid w:val="5FD376E8"/>
    <w:rsid w:val="5FD90725"/>
    <w:rsid w:val="5FD97D38"/>
    <w:rsid w:val="5FEA605E"/>
    <w:rsid w:val="60002155"/>
    <w:rsid w:val="60082D5B"/>
    <w:rsid w:val="60107EBF"/>
    <w:rsid w:val="603C295B"/>
    <w:rsid w:val="6045400C"/>
    <w:rsid w:val="604858AA"/>
    <w:rsid w:val="604C11C1"/>
    <w:rsid w:val="60575AEE"/>
    <w:rsid w:val="6057789C"/>
    <w:rsid w:val="606721D5"/>
    <w:rsid w:val="606F2E37"/>
    <w:rsid w:val="60822B6A"/>
    <w:rsid w:val="60854409"/>
    <w:rsid w:val="608F7035"/>
    <w:rsid w:val="60926864"/>
    <w:rsid w:val="60AC408B"/>
    <w:rsid w:val="60B7705E"/>
    <w:rsid w:val="60C22DB3"/>
    <w:rsid w:val="60D434F3"/>
    <w:rsid w:val="612E2CF2"/>
    <w:rsid w:val="61355E2F"/>
    <w:rsid w:val="614A1D5B"/>
    <w:rsid w:val="615C785F"/>
    <w:rsid w:val="61614E76"/>
    <w:rsid w:val="616530E1"/>
    <w:rsid w:val="616A7F28"/>
    <w:rsid w:val="616D55C9"/>
    <w:rsid w:val="616E78BD"/>
    <w:rsid w:val="6178554A"/>
    <w:rsid w:val="617C3A5E"/>
    <w:rsid w:val="6181227D"/>
    <w:rsid w:val="618B52CB"/>
    <w:rsid w:val="619D39D4"/>
    <w:rsid w:val="619D5C7C"/>
    <w:rsid w:val="619F599E"/>
    <w:rsid w:val="61A94127"/>
    <w:rsid w:val="61B431F8"/>
    <w:rsid w:val="61BE46B8"/>
    <w:rsid w:val="61C31CDC"/>
    <w:rsid w:val="61CB6793"/>
    <w:rsid w:val="61D27B22"/>
    <w:rsid w:val="61D54F1C"/>
    <w:rsid w:val="61D91C06"/>
    <w:rsid w:val="61DC44FC"/>
    <w:rsid w:val="62062DE6"/>
    <w:rsid w:val="620E48D6"/>
    <w:rsid w:val="6211064A"/>
    <w:rsid w:val="62133014"/>
    <w:rsid w:val="621C6FEF"/>
    <w:rsid w:val="621F43E9"/>
    <w:rsid w:val="622140C6"/>
    <w:rsid w:val="622207DC"/>
    <w:rsid w:val="622E0902"/>
    <w:rsid w:val="6236783E"/>
    <w:rsid w:val="624A085E"/>
    <w:rsid w:val="62525EBC"/>
    <w:rsid w:val="625E6E3F"/>
    <w:rsid w:val="62742987"/>
    <w:rsid w:val="627838A0"/>
    <w:rsid w:val="627E3463"/>
    <w:rsid w:val="62895F4A"/>
    <w:rsid w:val="6291178B"/>
    <w:rsid w:val="629D1EDE"/>
    <w:rsid w:val="62A0552A"/>
    <w:rsid w:val="62A53372"/>
    <w:rsid w:val="62AA04B5"/>
    <w:rsid w:val="62B114E5"/>
    <w:rsid w:val="62C3746A"/>
    <w:rsid w:val="62C91D56"/>
    <w:rsid w:val="62D6719E"/>
    <w:rsid w:val="62DB75F4"/>
    <w:rsid w:val="62E0713E"/>
    <w:rsid w:val="62E93375"/>
    <w:rsid w:val="63057A83"/>
    <w:rsid w:val="63091321"/>
    <w:rsid w:val="630C0A12"/>
    <w:rsid w:val="631B1054"/>
    <w:rsid w:val="63266BB0"/>
    <w:rsid w:val="632C14B3"/>
    <w:rsid w:val="632E6FDA"/>
    <w:rsid w:val="63414F5F"/>
    <w:rsid w:val="63431127"/>
    <w:rsid w:val="63457FEC"/>
    <w:rsid w:val="634E0140"/>
    <w:rsid w:val="63506F50"/>
    <w:rsid w:val="63520F1A"/>
    <w:rsid w:val="636838B8"/>
    <w:rsid w:val="63701B9A"/>
    <w:rsid w:val="6370227B"/>
    <w:rsid w:val="63737AA4"/>
    <w:rsid w:val="637C24D9"/>
    <w:rsid w:val="639C2195"/>
    <w:rsid w:val="639E2E44"/>
    <w:rsid w:val="639E707C"/>
    <w:rsid w:val="639F1272"/>
    <w:rsid w:val="63A05822"/>
    <w:rsid w:val="63A2520E"/>
    <w:rsid w:val="63A454EE"/>
    <w:rsid w:val="63A66B70"/>
    <w:rsid w:val="63A90CD8"/>
    <w:rsid w:val="63B70D7D"/>
    <w:rsid w:val="63BA17F0"/>
    <w:rsid w:val="63C33BC6"/>
    <w:rsid w:val="63C705E7"/>
    <w:rsid w:val="63CC722E"/>
    <w:rsid w:val="63CE2A65"/>
    <w:rsid w:val="63CE60C7"/>
    <w:rsid w:val="63D336DD"/>
    <w:rsid w:val="63D43A14"/>
    <w:rsid w:val="63D47B81"/>
    <w:rsid w:val="63ED4234"/>
    <w:rsid w:val="63ED479F"/>
    <w:rsid w:val="63EF5C5C"/>
    <w:rsid w:val="63F47351"/>
    <w:rsid w:val="63F6404B"/>
    <w:rsid w:val="63F7193D"/>
    <w:rsid w:val="64153CF6"/>
    <w:rsid w:val="641B5F97"/>
    <w:rsid w:val="641F7E4A"/>
    <w:rsid w:val="6424218B"/>
    <w:rsid w:val="64264155"/>
    <w:rsid w:val="643B2E62"/>
    <w:rsid w:val="644B5969"/>
    <w:rsid w:val="64526CF8"/>
    <w:rsid w:val="645E691E"/>
    <w:rsid w:val="64634A61"/>
    <w:rsid w:val="646B7484"/>
    <w:rsid w:val="646E3257"/>
    <w:rsid w:val="648B5DEB"/>
    <w:rsid w:val="64937226"/>
    <w:rsid w:val="64B057FD"/>
    <w:rsid w:val="64B14627"/>
    <w:rsid w:val="64B72EBA"/>
    <w:rsid w:val="64B90B25"/>
    <w:rsid w:val="64CC2606"/>
    <w:rsid w:val="64DD5792"/>
    <w:rsid w:val="64DE1E6E"/>
    <w:rsid w:val="64EC73DB"/>
    <w:rsid w:val="64EE4C72"/>
    <w:rsid w:val="64EE6ACB"/>
    <w:rsid w:val="64F102BF"/>
    <w:rsid w:val="64F3176A"/>
    <w:rsid w:val="6501653C"/>
    <w:rsid w:val="650A5824"/>
    <w:rsid w:val="652266CA"/>
    <w:rsid w:val="65235D36"/>
    <w:rsid w:val="65294EB6"/>
    <w:rsid w:val="65347477"/>
    <w:rsid w:val="65360DCB"/>
    <w:rsid w:val="65404DA2"/>
    <w:rsid w:val="65464907"/>
    <w:rsid w:val="654F4FE5"/>
    <w:rsid w:val="655804FE"/>
    <w:rsid w:val="656071F2"/>
    <w:rsid w:val="656227E0"/>
    <w:rsid w:val="65660CAD"/>
    <w:rsid w:val="656C2C43"/>
    <w:rsid w:val="657038D9"/>
    <w:rsid w:val="65907AD8"/>
    <w:rsid w:val="659E33BF"/>
    <w:rsid w:val="65B73B4C"/>
    <w:rsid w:val="65BA4B55"/>
    <w:rsid w:val="65BA6903"/>
    <w:rsid w:val="65BB2AAB"/>
    <w:rsid w:val="65BE4EF4"/>
    <w:rsid w:val="65D54EBE"/>
    <w:rsid w:val="65E26C83"/>
    <w:rsid w:val="65E52C9E"/>
    <w:rsid w:val="65F02088"/>
    <w:rsid w:val="65F30BD0"/>
    <w:rsid w:val="66063AC3"/>
    <w:rsid w:val="66073267"/>
    <w:rsid w:val="662002BD"/>
    <w:rsid w:val="66252916"/>
    <w:rsid w:val="662B394C"/>
    <w:rsid w:val="66393CC2"/>
    <w:rsid w:val="665E3732"/>
    <w:rsid w:val="66664CDC"/>
    <w:rsid w:val="666F3B91"/>
    <w:rsid w:val="6670385C"/>
    <w:rsid w:val="66856845"/>
    <w:rsid w:val="669B4986"/>
    <w:rsid w:val="669C24AC"/>
    <w:rsid w:val="66A84876"/>
    <w:rsid w:val="66B07D06"/>
    <w:rsid w:val="66B42566"/>
    <w:rsid w:val="66B8075D"/>
    <w:rsid w:val="66BC0678"/>
    <w:rsid w:val="66C9056D"/>
    <w:rsid w:val="66EC6F90"/>
    <w:rsid w:val="66F25B39"/>
    <w:rsid w:val="67141D0B"/>
    <w:rsid w:val="67180498"/>
    <w:rsid w:val="671F7AF2"/>
    <w:rsid w:val="67313B0C"/>
    <w:rsid w:val="67497E62"/>
    <w:rsid w:val="67784CC7"/>
    <w:rsid w:val="678452CC"/>
    <w:rsid w:val="67851192"/>
    <w:rsid w:val="679338AF"/>
    <w:rsid w:val="67A67B51"/>
    <w:rsid w:val="67AB5221"/>
    <w:rsid w:val="67C10AF0"/>
    <w:rsid w:val="67C9107F"/>
    <w:rsid w:val="67CD24C6"/>
    <w:rsid w:val="67DF6AF4"/>
    <w:rsid w:val="67E22141"/>
    <w:rsid w:val="67EB0257"/>
    <w:rsid w:val="67EC29A0"/>
    <w:rsid w:val="68012C49"/>
    <w:rsid w:val="680959A0"/>
    <w:rsid w:val="68110444"/>
    <w:rsid w:val="681C25B2"/>
    <w:rsid w:val="68246BFD"/>
    <w:rsid w:val="682A770D"/>
    <w:rsid w:val="683706DE"/>
    <w:rsid w:val="684B03D9"/>
    <w:rsid w:val="684C694A"/>
    <w:rsid w:val="6853303E"/>
    <w:rsid w:val="68594AF9"/>
    <w:rsid w:val="68680898"/>
    <w:rsid w:val="686E384F"/>
    <w:rsid w:val="6884115A"/>
    <w:rsid w:val="68951B33"/>
    <w:rsid w:val="6897117D"/>
    <w:rsid w:val="689B684B"/>
    <w:rsid w:val="689C543D"/>
    <w:rsid w:val="68A46361"/>
    <w:rsid w:val="68A613C0"/>
    <w:rsid w:val="68CC4287"/>
    <w:rsid w:val="68CD1043"/>
    <w:rsid w:val="68D91BDA"/>
    <w:rsid w:val="68E2098D"/>
    <w:rsid w:val="68E24AEE"/>
    <w:rsid w:val="68F043B0"/>
    <w:rsid w:val="69022BF8"/>
    <w:rsid w:val="69086737"/>
    <w:rsid w:val="690972F4"/>
    <w:rsid w:val="692E3F3D"/>
    <w:rsid w:val="69352832"/>
    <w:rsid w:val="69407A67"/>
    <w:rsid w:val="69434F57"/>
    <w:rsid w:val="69491032"/>
    <w:rsid w:val="69507888"/>
    <w:rsid w:val="695A0B28"/>
    <w:rsid w:val="696073DC"/>
    <w:rsid w:val="696C43B8"/>
    <w:rsid w:val="697C1906"/>
    <w:rsid w:val="697D0373"/>
    <w:rsid w:val="6985191D"/>
    <w:rsid w:val="69877444"/>
    <w:rsid w:val="698B3A18"/>
    <w:rsid w:val="69B61AD7"/>
    <w:rsid w:val="69C05F4E"/>
    <w:rsid w:val="69C35833"/>
    <w:rsid w:val="69D501AF"/>
    <w:rsid w:val="69EB1780"/>
    <w:rsid w:val="6A0445F0"/>
    <w:rsid w:val="6A0740E0"/>
    <w:rsid w:val="6A0E30CB"/>
    <w:rsid w:val="6A114F5F"/>
    <w:rsid w:val="6A16362D"/>
    <w:rsid w:val="6A1A0DEB"/>
    <w:rsid w:val="6A1D0DEB"/>
    <w:rsid w:val="6A1D3904"/>
    <w:rsid w:val="6A241F3B"/>
    <w:rsid w:val="6A2473ED"/>
    <w:rsid w:val="6A287E60"/>
    <w:rsid w:val="6A3273AF"/>
    <w:rsid w:val="6A3C05FF"/>
    <w:rsid w:val="6A535A68"/>
    <w:rsid w:val="6A641533"/>
    <w:rsid w:val="6A6B466F"/>
    <w:rsid w:val="6A7C062B"/>
    <w:rsid w:val="6AA14048"/>
    <w:rsid w:val="6AA3793C"/>
    <w:rsid w:val="6AA54025"/>
    <w:rsid w:val="6AAD2C6B"/>
    <w:rsid w:val="6AAF6C52"/>
    <w:rsid w:val="6ABF5EF0"/>
    <w:rsid w:val="6AE83F12"/>
    <w:rsid w:val="6AE90CD1"/>
    <w:rsid w:val="6AF87310"/>
    <w:rsid w:val="6B005A62"/>
    <w:rsid w:val="6B0D2DCF"/>
    <w:rsid w:val="6B0E512F"/>
    <w:rsid w:val="6B13771A"/>
    <w:rsid w:val="6B146AB5"/>
    <w:rsid w:val="6B1E16BC"/>
    <w:rsid w:val="6B336DF1"/>
    <w:rsid w:val="6B376C47"/>
    <w:rsid w:val="6B3B2294"/>
    <w:rsid w:val="6B43739A"/>
    <w:rsid w:val="6B482CF6"/>
    <w:rsid w:val="6B4F21E3"/>
    <w:rsid w:val="6B5B4551"/>
    <w:rsid w:val="6B5B4715"/>
    <w:rsid w:val="6B5D66AE"/>
    <w:rsid w:val="6B5E6668"/>
    <w:rsid w:val="6B686E01"/>
    <w:rsid w:val="6B6C25F1"/>
    <w:rsid w:val="6B762F90"/>
    <w:rsid w:val="6B7B6B34"/>
    <w:rsid w:val="6B7F622B"/>
    <w:rsid w:val="6B817ABA"/>
    <w:rsid w:val="6B8754D9"/>
    <w:rsid w:val="6B8D6867"/>
    <w:rsid w:val="6B9570A0"/>
    <w:rsid w:val="6B967B26"/>
    <w:rsid w:val="6BA94033"/>
    <w:rsid w:val="6BBC1993"/>
    <w:rsid w:val="6BBF04B2"/>
    <w:rsid w:val="6BC82B64"/>
    <w:rsid w:val="6BD677F5"/>
    <w:rsid w:val="6BDA5EC8"/>
    <w:rsid w:val="6BE40B7D"/>
    <w:rsid w:val="6BE70AE8"/>
    <w:rsid w:val="6BF1329A"/>
    <w:rsid w:val="6BFC26E7"/>
    <w:rsid w:val="6C0B52C6"/>
    <w:rsid w:val="6C2079E2"/>
    <w:rsid w:val="6C474C68"/>
    <w:rsid w:val="6C55581A"/>
    <w:rsid w:val="6C57134F"/>
    <w:rsid w:val="6C687BE7"/>
    <w:rsid w:val="6C6E6699"/>
    <w:rsid w:val="6C814F8B"/>
    <w:rsid w:val="6C920FFF"/>
    <w:rsid w:val="6C975BF0"/>
    <w:rsid w:val="6CB56E6E"/>
    <w:rsid w:val="6CB71DEE"/>
    <w:rsid w:val="6CBD5950"/>
    <w:rsid w:val="6CC462B9"/>
    <w:rsid w:val="6CC938CF"/>
    <w:rsid w:val="6CD96208"/>
    <w:rsid w:val="6CDE3938"/>
    <w:rsid w:val="6D066D31"/>
    <w:rsid w:val="6D0A227B"/>
    <w:rsid w:val="6D2356D5"/>
    <w:rsid w:val="6D365409"/>
    <w:rsid w:val="6D400035"/>
    <w:rsid w:val="6D49739B"/>
    <w:rsid w:val="6D543AE1"/>
    <w:rsid w:val="6D5E2269"/>
    <w:rsid w:val="6D6261FE"/>
    <w:rsid w:val="6D635AD2"/>
    <w:rsid w:val="6D6A7106"/>
    <w:rsid w:val="6D9417EE"/>
    <w:rsid w:val="6D957195"/>
    <w:rsid w:val="6DAA54AF"/>
    <w:rsid w:val="6DAF6F69"/>
    <w:rsid w:val="6DCA3DA3"/>
    <w:rsid w:val="6DE05374"/>
    <w:rsid w:val="6DEA37DF"/>
    <w:rsid w:val="6DF04E6B"/>
    <w:rsid w:val="6DF130DE"/>
    <w:rsid w:val="6DF60B12"/>
    <w:rsid w:val="6E0950E2"/>
    <w:rsid w:val="6E0E1EE1"/>
    <w:rsid w:val="6E1868BC"/>
    <w:rsid w:val="6E245261"/>
    <w:rsid w:val="6E27274B"/>
    <w:rsid w:val="6E3D4575"/>
    <w:rsid w:val="6E4F6056"/>
    <w:rsid w:val="6E5F273D"/>
    <w:rsid w:val="6E6042B7"/>
    <w:rsid w:val="6E804461"/>
    <w:rsid w:val="6E8C5829"/>
    <w:rsid w:val="6EA168B2"/>
    <w:rsid w:val="6EA77C40"/>
    <w:rsid w:val="6EA97E5C"/>
    <w:rsid w:val="6EAF35C0"/>
    <w:rsid w:val="6EB0547A"/>
    <w:rsid w:val="6EB556D0"/>
    <w:rsid w:val="6EBA2209"/>
    <w:rsid w:val="6ECC1292"/>
    <w:rsid w:val="6ED30A35"/>
    <w:rsid w:val="6ED76777"/>
    <w:rsid w:val="6EDC3D8E"/>
    <w:rsid w:val="6EE97E30"/>
    <w:rsid w:val="6EF03395"/>
    <w:rsid w:val="6EF72976"/>
    <w:rsid w:val="6F060E0B"/>
    <w:rsid w:val="6F072597"/>
    <w:rsid w:val="6F0926A9"/>
    <w:rsid w:val="6F131EFE"/>
    <w:rsid w:val="6F150C1D"/>
    <w:rsid w:val="6F1520F5"/>
    <w:rsid w:val="6F2D45E9"/>
    <w:rsid w:val="6F332A28"/>
    <w:rsid w:val="6F3C3E8F"/>
    <w:rsid w:val="6F4162E7"/>
    <w:rsid w:val="6F4A6F49"/>
    <w:rsid w:val="6F5C5A41"/>
    <w:rsid w:val="6F6734EB"/>
    <w:rsid w:val="6F6A3147"/>
    <w:rsid w:val="6F6B67E7"/>
    <w:rsid w:val="6F81580E"/>
    <w:rsid w:val="6F8166E3"/>
    <w:rsid w:val="6F8D32DA"/>
    <w:rsid w:val="6F92269E"/>
    <w:rsid w:val="6F946416"/>
    <w:rsid w:val="6F9B6806"/>
    <w:rsid w:val="6FA6614D"/>
    <w:rsid w:val="6FAB3BA9"/>
    <w:rsid w:val="6FAD74D8"/>
    <w:rsid w:val="6FB12561"/>
    <w:rsid w:val="6FB1521A"/>
    <w:rsid w:val="6FB90E09"/>
    <w:rsid w:val="6FBA669E"/>
    <w:rsid w:val="6FC65335"/>
    <w:rsid w:val="6FCC795E"/>
    <w:rsid w:val="6FD24704"/>
    <w:rsid w:val="6FE56C72"/>
    <w:rsid w:val="6FF45107"/>
    <w:rsid w:val="700A0487"/>
    <w:rsid w:val="700C34D3"/>
    <w:rsid w:val="700C41FF"/>
    <w:rsid w:val="702418DD"/>
    <w:rsid w:val="703025E3"/>
    <w:rsid w:val="70344EA3"/>
    <w:rsid w:val="70453BB5"/>
    <w:rsid w:val="70567B70"/>
    <w:rsid w:val="705A0A85"/>
    <w:rsid w:val="705A7226"/>
    <w:rsid w:val="705A7660"/>
    <w:rsid w:val="7060202B"/>
    <w:rsid w:val="7060454A"/>
    <w:rsid w:val="706A53C9"/>
    <w:rsid w:val="706D25DF"/>
    <w:rsid w:val="7076137F"/>
    <w:rsid w:val="7081689B"/>
    <w:rsid w:val="70884CB6"/>
    <w:rsid w:val="70923DA3"/>
    <w:rsid w:val="709F1517"/>
    <w:rsid w:val="70A22DB5"/>
    <w:rsid w:val="70A72179"/>
    <w:rsid w:val="70AF19CA"/>
    <w:rsid w:val="70BA7C94"/>
    <w:rsid w:val="70C25013"/>
    <w:rsid w:val="70C3645F"/>
    <w:rsid w:val="70C557A8"/>
    <w:rsid w:val="70C66AA3"/>
    <w:rsid w:val="70C8281B"/>
    <w:rsid w:val="70CD1E2F"/>
    <w:rsid w:val="70CD37E5"/>
    <w:rsid w:val="70CD6084"/>
    <w:rsid w:val="70CE3A1A"/>
    <w:rsid w:val="70DB2803"/>
    <w:rsid w:val="70DF7B65"/>
    <w:rsid w:val="70E04626"/>
    <w:rsid w:val="70E1568B"/>
    <w:rsid w:val="70E936CD"/>
    <w:rsid w:val="70EE3D5A"/>
    <w:rsid w:val="71096934"/>
    <w:rsid w:val="71285068"/>
    <w:rsid w:val="713003C1"/>
    <w:rsid w:val="71313FAA"/>
    <w:rsid w:val="71321169"/>
    <w:rsid w:val="71333A0D"/>
    <w:rsid w:val="71381D13"/>
    <w:rsid w:val="713F6856"/>
    <w:rsid w:val="71494FDF"/>
    <w:rsid w:val="71554A0A"/>
    <w:rsid w:val="7156348A"/>
    <w:rsid w:val="7163695C"/>
    <w:rsid w:val="716943CF"/>
    <w:rsid w:val="7169742F"/>
    <w:rsid w:val="71726982"/>
    <w:rsid w:val="71864485"/>
    <w:rsid w:val="71995F66"/>
    <w:rsid w:val="71A20F62"/>
    <w:rsid w:val="71A46AF5"/>
    <w:rsid w:val="71AA1F21"/>
    <w:rsid w:val="71B12666"/>
    <w:rsid w:val="71B211A1"/>
    <w:rsid w:val="71B44B4E"/>
    <w:rsid w:val="71BB412E"/>
    <w:rsid w:val="71C11019"/>
    <w:rsid w:val="71C32FE3"/>
    <w:rsid w:val="71C35E82"/>
    <w:rsid w:val="71CB051C"/>
    <w:rsid w:val="71DE606F"/>
    <w:rsid w:val="71DF6F94"/>
    <w:rsid w:val="71ED29B8"/>
    <w:rsid w:val="721D6B97"/>
    <w:rsid w:val="7239166B"/>
    <w:rsid w:val="724203AC"/>
    <w:rsid w:val="72436C25"/>
    <w:rsid w:val="725974A3"/>
    <w:rsid w:val="72742F31"/>
    <w:rsid w:val="728926E9"/>
    <w:rsid w:val="728937D0"/>
    <w:rsid w:val="728A58AF"/>
    <w:rsid w:val="72933FAE"/>
    <w:rsid w:val="7296312A"/>
    <w:rsid w:val="729D1A86"/>
    <w:rsid w:val="72A72905"/>
    <w:rsid w:val="72B50B7E"/>
    <w:rsid w:val="72BA25EB"/>
    <w:rsid w:val="72BA78D0"/>
    <w:rsid w:val="72BC63B0"/>
    <w:rsid w:val="72BC6703"/>
    <w:rsid w:val="72C15774"/>
    <w:rsid w:val="72C43AEE"/>
    <w:rsid w:val="72CE1757"/>
    <w:rsid w:val="72DF209E"/>
    <w:rsid w:val="72ED47BB"/>
    <w:rsid w:val="730D633E"/>
    <w:rsid w:val="731A7539"/>
    <w:rsid w:val="732A1122"/>
    <w:rsid w:val="733028FA"/>
    <w:rsid w:val="7335015A"/>
    <w:rsid w:val="73421CFB"/>
    <w:rsid w:val="734819E4"/>
    <w:rsid w:val="734F0FD2"/>
    <w:rsid w:val="73532145"/>
    <w:rsid w:val="73584999"/>
    <w:rsid w:val="73591E51"/>
    <w:rsid w:val="73630F99"/>
    <w:rsid w:val="7363682B"/>
    <w:rsid w:val="73690C9C"/>
    <w:rsid w:val="736E5623"/>
    <w:rsid w:val="73747667"/>
    <w:rsid w:val="73781C56"/>
    <w:rsid w:val="738B18DE"/>
    <w:rsid w:val="73903399"/>
    <w:rsid w:val="73966C01"/>
    <w:rsid w:val="73A86934"/>
    <w:rsid w:val="73B03DE1"/>
    <w:rsid w:val="73B40E35"/>
    <w:rsid w:val="73D830E4"/>
    <w:rsid w:val="73DF3DC7"/>
    <w:rsid w:val="73F676A0"/>
    <w:rsid w:val="73FE47A6"/>
    <w:rsid w:val="74005321"/>
    <w:rsid w:val="74017DF2"/>
    <w:rsid w:val="7419513C"/>
    <w:rsid w:val="742C1313"/>
    <w:rsid w:val="74324450"/>
    <w:rsid w:val="74341F76"/>
    <w:rsid w:val="74377094"/>
    <w:rsid w:val="74381A66"/>
    <w:rsid w:val="743B4DC6"/>
    <w:rsid w:val="744D3038"/>
    <w:rsid w:val="745148D6"/>
    <w:rsid w:val="74534AF2"/>
    <w:rsid w:val="74582108"/>
    <w:rsid w:val="74600FBD"/>
    <w:rsid w:val="746C723E"/>
    <w:rsid w:val="74944E29"/>
    <w:rsid w:val="74A964C0"/>
    <w:rsid w:val="74AF784E"/>
    <w:rsid w:val="74BB4445"/>
    <w:rsid w:val="74C0380A"/>
    <w:rsid w:val="74C42455"/>
    <w:rsid w:val="74C72DEA"/>
    <w:rsid w:val="74D13C69"/>
    <w:rsid w:val="74DF0134"/>
    <w:rsid w:val="74FA6D1C"/>
    <w:rsid w:val="75173210"/>
    <w:rsid w:val="75181898"/>
    <w:rsid w:val="752823AF"/>
    <w:rsid w:val="752D5343"/>
    <w:rsid w:val="7533222E"/>
    <w:rsid w:val="75387844"/>
    <w:rsid w:val="754B78EB"/>
    <w:rsid w:val="755A1EB0"/>
    <w:rsid w:val="75622B13"/>
    <w:rsid w:val="7568637B"/>
    <w:rsid w:val="757A6455"/>
    <w:rsid w:val="758068DB"/>
    <w:rsid w:val="75943A5B"/>
    <w:rsid w:val="75947170"/>
    <w:rsid w:val="759D4DA8"/>
    <w:rsid w:val="75AE293F"/>
    <w:rsid w:val="75BA46FD"/>
    <w:rsid w:val="75CF01A8"/>
    <w:rsid w:val="75D94A2A"/>
    <w:rsid w:val="75DC4673"/>
    <w:rsid w:val="75EA6D90"/>
    <w:rsid w:val="75F2196E"/>
    <w:rsid w:val="76037E52"/>
    <w:rsid w:val="76041198"/>
    <w:rsid w:val="760D2A7F"/>
    <w:rsid w:val="760D7173"/>
    <w:rsid w:val="762878B8"/>
    <w:rsid w:val="762A51AE"/>
    <w:rsid w:val="76320737"/>
    <w:rsid w:val="76373F9F"/>
    <w:rsid w:val="76374252"/>
    <w:rsid w:val="763C15B6"/>
    <w:rsid w:val="763C3364"/>
    <w:rsid w:val="76472434"/>
    <w:rsid w:val="764861AD"/>
    <w:rsid w:val="764D0FCD"/>
    <w:rsid w:val="764D731F"/>
    <w:rsid w:val="7656791D"/>
    <w:rsid w:val="765B5EE0"/>
    <w:rsid w:val="765F7C67"/>
    <w:rsid w:val="76685F07"/>
    <w:rsid w:val="766C38AE"/>
    <w:rsid w:val="766E26D2"/>
    <w:rsid w:val="766F54E7"/>
    <w:rsid w:val="76740D50"/>
    <w:rsid w:val="76765969"/>
    <w:rsid w:val="76854D0B"/>
    <w:rsid w:val="768A639E"/>
    <w:rsid w:val="769B008A"/>
    <w:rsid w:val="76A80EA4"/>
    <w:rsid w:val="76AC673B"/>
    <w:rsid w:val="76AE4262"/>
    <w:rsid w:val="76B86E8E"/>
    <w:rsid w:val="76BE1FCB"/>
    <w:rsid w:val="76C30DC7"/>
    <w:rsid w:val="76E71522"/>
    <w:rsid w:val="76E82E15"/>
    <w:rsid w:val="76F0487A"/>
    <w:rsid w:val="770B3462"/>
    <w:rsid w:val="7718792D"/>
    <w:rsid w:val="771D3195"/>
    <w:rsid w:val="772B086F"/>
    <w:rsid w:val="774C7410"/>
    <w:rsid w:val="774E15A1"/>
    <w:rsid w:val="774F0B38"/>
    <w:rsid w:val="7778661E"/>
    <w:rsid w:val="778B45A3"/>
    <w:rsid w:val="77950F7E"/>
    <w:rsid w:val="779A7213"/>
    <w:rsid w:val="779B4D69"/>
    <w:rsid w:val="779C05CF"/>
    <w:rsid w:val="779C230C"/>
    <w:rsid w:val="779C3C11"/>
    <w:rsid w:val="77BE04D4"/>
    <w:rsid w:val="77CA065D"/>
    <w:rsid w:val="77D04257"/>
    <w:rsid w:val="77D45166"/>
    <w:rsid w:val="77D93560"/>
    <w:rsid w:val="77EB6DF0"/>
    <w:rsid w:val="77F51A1C"/>
    <w:rsid w:val="780305DD"/>
    <w:rsid w:val="780B7492"/>
    <w:rsid w:val="781E71C5"/>
    <w:rsid w:val="784B5AE0"/>
    <w:rsid w:val="784D54B6"/>
    <w:rsid w:val="785030F6"/>
    <w:rsid w:val="7862209E"/>
    <w:rsid w:val="78645371"/>
    <w:rsid w:val="7875635D"/>
    <w:rsid w:val="78775E00"/>
    <w:rsid w:val="787F732A"/>
    <w:rsid w:val="788334CC"/>
    <w:rsid w:val="78886D34"/>
    <w:rsid w:val="78994A9D"/>
    <w:rsid w:val="78A43756"/>
    <w:rsid w:val="78A82F32"/>
    <w:rsid w:val="78AC4732"/>
    <w:rsid w:val="78AF7413"/>
    <w:rsid w:val="78B35B5F"/>
    <w:rsid w:val="78B43685"/>
    <w:rsid w:val="78B80349"/>
    <w:rsid w:val="78B81351"/>
    <w:rsid w:val="78B813C8"/>
    <w:rsid w:val="78D83818"/>
    <w:rsid w:val="78E24696"/>
    <w:rsid w:val="78E71CAD"/>
    <w:rsid w:val="78F079E2"/>
    <w:rsid w:val="78F47F26"/>
    <w:rsid w:val="7904171E"/>
    <w:rsid w:val="79050385"/>
    <w:rsid w:val="790C314B"/>
    <w:rsid w:val="790C526F"/>
    <w:rsid w:val="790D44A7"/>
    <w:rsid w:val="790E7239"/>
    <w:rsid w:val="790F0DF7"/>
    <w:rsid w:val="79147BBC"/>
    <w:rsid w:val="79186A6F"/>
    <w:rsid w:val="79310391"/>
    <w:rsid w:val="793A34EB"/>
    <w:rsid w:val="793B3DA7"/>
    <w:rsid w:val="7946222B"/>
    <w:rsid w:val="794F0F39"/>
    <w:rsid w:val="795C2A02"/>
    <w:rsid w:val="795F05C0"/>
    <w:rsid w:val="796E1A86"/>
    <w:rsid w:val="79713798"/>
    <w:rsid w:val="79766B8D"/>
    <w:rsid w:val="798E2EDC"/>
    <w:rsid w:val="799D341E"/>
    <w:rsid w:val="79A33BBA"/>
    <w:rsid w:val="79A656C4"/>
    <w:rsid w:val="79B53B29"/>
    <w:rsid w:val="79B53B59"/>
    <w:rsid w:val="79BA116F"/>
    <w:rsid w:val="79D32B34"/>
    <w:rsid w:val="79D33FDF"/>
    <w:rsid w:val="79D47BB1"/>
    <w:rsid w:val="7A102B3D"/>
    <w:rsid w:val="7A1C5986"/>
    <w:rsid w:val="7A214D4A"/>
    <w:rsid w:val="7A280529"/>
    <w:rsid w:val="7A3448AC"/>
    <w:rsid w:val="7A36333B"/>
    <w:rsid w:val="7A401675"/>
    <w:rsid w:val="7A401DD9"/>
    <w:rsid w:val="7A460C55"/>
    <w:rsid w:val="7A6441A9"/>
    <w:rsid w:val="7A6D61E2"/>
    <w:rsid w:val="7A752342"/>
    <w:rsid w:val="7A877B5A"/>
    <w:rsid w:val="7A8D23E0"/>
    <w:rsid w:val="7AA84BE9"/>
    <w:rsid w:val="7AAB0D1D"/>
    <w:rsid w:val="7AAD2A82"/>
    <w:rsid w:val="7AAD362F"/>
    <w:rsid w:val="7AB72A3E"/>
    <w:rsid w:val="7AC35E02"/>
    <w:rsid w:val="7AC540CB"/>
    <w:rsid w:val="7AC8398B"/>
    <w:rsid w:val="7AC95903"/>
    <w:rsid w:val="7AE069B4"/>
    <w:rsid w:val="7AE632E9"/>
    <w:rsid w:val="7AEA338E"/>
    <w:rsid w:val="7AF630F5"/>
    <w:rsid w:val="7B02692A"/>
    <w:rsid w:val="7B042C7E"/>
    <w:rsid w:val="7B0A24B6"/>
    <w:rsid w:val="7B0D52CF"/>
    <w:rsid w:val="7B1448AF"/>
    <w:rsid w:val="7B1D3764"/>
    <w:rsid w:val="7B1E128A"/>
    <w:rsid w:val="7B446F42"/>
    <w:rsid w:val="7B4B1F46"/>
    <w:rsid w:val="7B4D039C"/>
    <w:rsid w:val="7B5B6E1F"/>
    <w:rsid w:val="7B5B76F6"/>
    <w:rsid w:val="7B5D6256"/>
    <w:rsid w:val="7B6C6499"/>
    <w:rsid w:val="7B700006"/>
    <w:rsid w:val="7B811F45"/>
    <w:rsid w:val="7B851309"/>
    <w:rsid w:val="7B865DB3"/>
    <w:rsid w:val="7B8C2698"/>
    <w:rsid w:val="7B9003DA"/>
    <w:rsid w:val="7B9B28DB"/>
    <w:rsid w:val="7BA17F06"/>
    <w:rsid w:val="7BB02292"/>
    <w:rsid w:val="7BB3624F"/>
    <w:rsid w:val="7BC0478B"/>
    <w:rsid w:val="7BC2430B"/>
    <w:rsid w:val="7BD00508"/>
    <w:rsid w:val="7BDB06D8"/>
    <w:rsid w:val="7BE572EC"/>
    <w:rsid w:val="7BEF3979"/>
    <w:rsid w:val="7BFA6DC5"/>
    <w:rsid w:val="7BFD5343"/>
    <w:rsid w:val="7C025685"/>
    <w:rsid w:val="7C0E7550"/>
    <w:rsid w:val="7C171DA8"/>
    <w:rsid w:val="7C1A5EF5"/>
    <w:rsid w:val="7C2154D6"/>
    <w:rsid w:val="7C257CE7"/>
    <w:rsid w:val="7C2B0102"/>
    <w:rsid w:val="7C32323F"/>
    <w:rsid w:val="7C374CF9"/>
    <w:rsid w:val="7C432117"/>
    <w:rsid w:val="7C571BDF"/>
    <w:rsid w:val="7C5B09E8"/>
    <w:rsid w:val="7C5C13E4"/>
    <w:rsid w:val="7C62373C"/>
    <w:rsid w:val="7C66113B"/>
    <w:rsid w:val="7C694787"/>
    <w:rsid w:val="7C6B1F8D"/>
    <w:rsid w:val="7C6D2A56"/>
    <w:rsid w:val="7C7D1D2A"/>
    <w:rsid w:val="7C824B4A"/>
    <w:rsid w:val="7C907F65"/>
    <w:rsid w:val="7C991510"/>
    <w:rsid w:val="7CA205E1"/>
    <w:rsid w:val="7CBD259D"/>
    <w:rsid w:val="7CC145C3"/>
    <w:rsid w:val="7CC75495"/>
    <w:rsid w:val="7CC876FF"/>
    <w:rsid w:val="7CD23CF7"/>
    <w:rsid w:val="7CE704CD"/>
    <w:rsid w:val="7CEA58C8"/>
    <w:rsid w:val="7CF60F14"/>
    <w:rsid w:val="7D0155D2"/>
    <w:rsid w:val="7D0F5E99"/>
    <w:rsid w:val="7D242866"/>
    <w:rsid w:val="7D2D1C58"/>
    <w:rsid w:val="7D3532E1"/>
    <w:rsid w:val="7D425704"/>
    <w:rsid w:val="7D5247C9"/>
    <w:rsid w:val="7D580A83"/>
    <w:rsid w:val="7D605B8A"/>
    <w:rsid w:val="7D641B1E"/>
    <w:rsid w:val="7D6E474B"/>
    <w:rsid w:val="7D796C4C"/>
    <w:rsid w:val="7D807FDA"/>
    <w:rsid w:val="7D910439"/>
    <w:rsid w:val="7DBB0FBB"/>
    <w:rsid w:val="7DBD5652"/>
    <w:rsid w:val="7DD1161D"/>
    <w:rsid w:val="7DD56578"/>
    <w:rsid w:val="7DFA4230"/>
    <w:rsid w:val="7DFC5C50"/>
    <w:rsid w:val="7E01280E"/>
    <w:rsid w:val="7E0724A9"/>
    <w:rsid w:val="7E1330F6"/>
    <w:rsid w:val="7E17093E"/>
    <w:rsid w:val="7E1A3F8B"/>
    <w:rsid w:val="7E290672"/>
    <w:rsid w:val="7E2F1361"/>
    <w:rsid w:val="7E301A00"/>
    <w:rsid w:val="7E33504C"/>
    <w:rsid w:val="7E617E0B"/>
    <w:rsid w:val="7E6671D0"/>
    <w:rsid w:val="7E857F9E"/>
    <w:rsid w:val="7E8B6FD4"/>
    <w:rsid w:val="7E90249F"/>
    <w:rsid w:val="7E966CB8"/>
    <w:rsid w:val="7EA2521B"/>
    <w:rsid w:val="7EAD46E4"/>
    <w:rsid w:val="7EC576BA"/>
    <w:rsid w:val="7ED42EAA"/>
    <w:rsid w:val="7EE36A72"/>
    <w:rsid w:val="7EE8052D"/>
    <w:rsid w:val="7EE822DB"/>
    <w:rsid w:val="7EF156AE"/>
    <w:rsid w:val="7F192D35"/>
    <w:rsid w:val="7F2627F7"/>
    <w:rsid w:val="7F2A7E75"/>
    <w:rsid w:val="7F376750"/>
    <w:rsid w:val="7F3F7150"/>
    <w:rsid w:val="7F403A04"/>
    <w:rsid w:val="7F482D79"/>
    <w:rsid w:val="7F6026F4"/>
    <w:rsid w:val="7F620503"/>
    <w:rsid w:val="7F645E05"/>
    <w:rsid w:val="7F69341C"/>
    <w:rsid w:val="7F731D6C"/>
    <w:rsid w:val="7F7E30AB"/>
    <w:rsid w:val="7F820039"/>
    <w:rsid w:val="7F857EEC"/>
    <w:rsid w:val="7F98785D"/>
    <w:rsid w:val="7F9F127F"/>
    <w:rsid w:val="7FA36848"/>
    <w:rsid w:val="7FB0360A"/>
    <w:rsid w:val="7FB328E9"/>
    <w:rsid w:val="7FB421BD"/>
    <w:rsid w:val="7FBB554F"/>
    <w:rsid w:val="7FD4460D"/>
    <w:rsid w:val="7FDB11A7"/>
    <w:rsid w:val="7FEC59AE"/>
    <w:rsid w:val="7FF16F6D"/>
    <w:rsid w:val="7FFB7D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12" w:lineRule="atLeast"/>
      <w:jc w:val="both"/>
    </w:pPr>
    <w:rPr>
      <w:rFonts w:ascii="Times New Roman" w:hAnsi="Times New Roman" w:eastAsia="方正仿宋_GBK" w:cs="Times New Roman"/>
      <w:kern w:val="0"/>
      <w:sz w:val="32"/>
      <w:szCs w:val="3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rFonts w:eastAsia="宋体"/>
      <w:b/>
      <w:kern w:val="44"/>
      <w:sz w:val="44"/>
      <w:szCs w:val="20"/>
    </w:rPr>
  </w:style>
  <w:style w:type="paragraph" w:styleId="4">
    <w:name w:val="heading 2"/>
    <w:basedOn w:val="1"/>
    <w:next w:val="1"/>
    <w:link w:val="33"/>
    <w:autoRedefine/>
    <w:qFormat/>
    <w:uiPriority w:val="99"/>
    <w:pPr>
      <w:keepNext/>
      <w:keepLines/>
      <w:spacing w:before="260" w:after="260" w:line="415" w:lineRule="auto"/>
      <w:outlineLvl w:val="1"/>
    </w:pPr>
    <w:rPr>
      <w:rFonts w:ascii="Arial" w:hAnsi="Arial" w:eastAsia="黑体"/>
      <w:b/>
      <w:bCs/>
      <w:sz w:val="20"/>
      <w:szCs w:val="20"/>
    </w:rPr>
  </w:style>
  <w:style w:type="paragraph" w:styleId="5">
    <w:name w:val="heading 3"/>
    <w:basedOn w:val="1"/>
    <w:next w:val="1"/>
    <w:link w:val="34"/>
    <w:autoRedefine/>
    <w:qFormat/>
    <w:uiPriority w:val="99"/>
    <w:pPr>
      <w:keepNext/>
      <w:keepLines/>
      <w:spacing w:before="260" w:after="260" w:line="416" w:lineRule="auto"/>
      <w:outlineLvl w:val="2"/>
    </w:pPr>
    <w:rPr>
      <w:b/>
      <w:bCs/>
    </w:rPr>
  </w:style>
  <w:style w:type="paragraph" w:styleId="6">
    <w:name w:val="heading 4"/>
    <w:basedOn w:val="1"/>
    <w:next w:val="1"/>
    <w:qFormat/>
    <w:locked/>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locked/>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4">
    <w:name w:val="Default Paragraph Font"/>
    <w:autoRedefine/>
    <w:semiHidden/>
    <w:qFormat/>
    <w:uiPriority w:val="99"/>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6"/>
    <w:autoRedefine/>
    <w:qFormat/>
    <w:uiPriority w:val="99"/>
    <w:rPr>
      <w:sz w:val="26"/>
    </w:rPr>
  </w:style>
  <w:style w:type="paragraph" w:styleId="8">
    <w:name w:val="Normal Indent"/>
    <w:basedOn w:val="1"/>
    <w:autoRedefine/>
    <w:qFormat/>
    <w:uiPriority w:val="99"/>
    <w:pPr>
      <w:spacing w:line="480" w:lineRule="atLeast"/>
      <w:ind w:firstLine="600"/>
      <w:textAlignment w:val="baseline"/>
    </w:pPr>
    <w:rPr>
      <w:rFonts w:eastAsia="仿宋_GB2312"/>
      <w:sz w:val="30"/>
      <w:szCs w:val="20"/>
    </w:rPr>
  </w:style>
  <w:style w:type="paragraph" w:styleId="9">
    <w:name w:val="annotation text"/>
    <w:basedOn w:val="1"/>
    <w:link w:val="35"/>
    <w:autoRedefine/>
    <w:qFormat/>
    <w:uiPriority w:val="99"/>
    <w:rPr>
      <w:kern w:val="2"/>
      <w:sz w:val="21"/>
      <w:szCs w:val="24"/>
    </w:rPr>
  </w:style>
  <w:style w:type="paragraph" w:styleId="10">
    <w:name w:val="Body Text Indent"/>
    <w:basedOn w:val="1"/>
    <w:autoRedefine/>
    <w:qFormat/>
    <w:uiPriority w:val="0"/>
    <w:pPr>
      <w:ind w:firstLine="570"/>
    </w:pPr>
    <w:rPr>
      <w:sz w:val="28"/>
    </w:rPr>
  </w:style>
  <w:style w:type="paragraph" w:styleId="11">
    <w:name w:val="List Bullet 2"/>
    <w:basedOn w:val="1"/>
    <w:autoRedefine/>
    <w:qFormat/>
    <w:uiPriority w:val="99"/>
    <w:pPr>
      <w:numPr>
        <w:ilvl w:val="0"/>
        <w:numId w:val="1"/>
      </w:numPr>
    </w:pPr>
  </w:style>
  <w:style w:type="paragraph" w:styleId="12">
    <w:name w:val="toc 3"/>
    <w:basedOn w:val="1"/>
    <w:next w:val="1"/>
    <w:autoRedefine/>
    <w:qFormat/>
    <w:uiPriority w:val="39"/>
    <w:pPr>
      <w:spacing w:line="240" w:lineRule="atLeast"/>
      <w:ind w:left="400" w:leftChars="400"/>
    </w:pPr>
    <w:rPr>
      <w:rFonts w:ascii="Garamond" w:hAnsi="Garamond" w:eastAsia="仿宋_GB2312"/>
      <w:sz w:val="24"/>
    </w:rPr>
  </w:style>
  <w:style w:type="paragraph" w:styleId="13">
    <w:name w:val="Plain Text"/>
    <w:basedOn w:val="1"/>
    <w:link w:val="37"/>
    <w:autoRedefine/>
    <w:qFormat/>
    <w:uiPriority w:val="99"/>
    <w:rPr>
      <w:rFonts w:ascii="宋体" w:hAnsi="Courier New"/>
      <w:color w:val="000000"/>
      <w:szCs w:val="20"/>
    </w:rPr>
  </w:style>
  <w:style w:type="paragraph" w:styleId="14">
    <w:name w:val="footer"/>
    <w:basedOn w:val="1"/>
    <w:link w:val="38"/>
    <w:autoRedefine/>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99"/>
  </w:style>
  <w:style w:type="paragraph" w:styleId="17">
    <w:name w:val="Subtitle"/>
    <w:basedOn w:val="1"/>
    <w:link w:val="40"/>
    <w:autoRedefine/>
    <w:qFormat/>
    <w:uiPriority w:val="99"/>
    <w:pPr>
      <w:widowControl/>
      <w:jc w:val="center"/>
    </w:pPr>
    <w:rPr>
      <w:rFonts w:ascii="??" w:hAnsi="??"/>
      <w:sz w:val="24"/>
      <w:u w:val="single"/>
      <w:lang w:eastAsia="en-US"/>
    </w:rPr>
  </w:style>
  <w:style w:type="paragraph" w:styleId="18">
    <w:name w:val="footnote text"/>
    <w:basedOn w:val="1"/>
    <w:link w:val="48"/>
    <w:qFormat/>
    <w:uiPriority w:val="0"/>
    <w:pPr>
      <w:widowControl/>
      <w:snapToGrid w:val="0"/>
      <w:jc w:val="left"/>
    </w:pPr>
    <w:rPr>
      <w:rFonts w:ascii="Arial" w:hAnsi="Arial" w:cs="Arial"/>
      <w:kern w:val="0"/>
      <w:sz w:val="18"/>
      <w:szCs w:val="18"/>
      <w:lang w:eastAsia="en-US"/>
    </w:rPr>
  </w:style>
  <w:style w:type="paragraph" w:styleId="19">
    <w:name w:val="toc 2"/>
    <w:basedOn w:val="1"/>
    <w:next w:val="1"/>
    <w:link w:val="49"/>
    <w:autoRedefine/>
    <w:qFormat/>
    <w:uiPriority w:val="99"/>
    <w:pPr>
      <w:ind w:left="200" w:leftChars="200"/>
    </w:pPr>
  </w:style>
  <w:style w:type="paragraph" w:styleId="20">
    <w:name w:val="Normal (Web)"/>
    <w:basedOn w:val="1"/>
    <w:autoRedefine/>
    <w:qFormat/>
    <w:uiPriority w:val="99"/>
    <w:pPr>
      <w:jc w:val="left"/>
    </w:pPr>
    <w:rPr>
      <w:sz w:val="24"/>
    </w:rPr>
  </w:style>
  <w:style w:type="paragraph" w:styleId="21">
    <w:name w:val="Body Text First Indent"/>
    <w:basedOn w:val="2"/>
    <w:link w:val="41"/>
    <w:autoRedefine/>
    <w:qFormat/>
    <w:uiPriority w:val="99"/>
    <w:pPr>
      <w:spacing w:after="120"/>
      <w:ind w:firstLine="420" w:firstLineChars="100"/>
    </w:pPr>
    <w:rPr>
      <w:rFonts w:ascii="Calibri" w:hAnsi="Calibri"/>
      <w:sz w:val="21"/>
    </w:rPr>
  </w:style>
  <w:style w:type="table" w:styleId="23">
    <w:name w:val="Table Grid"/>
    <w:basedOn w:val="22"/>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Hyperlink"/>
    <w:basedOn w:val="24"/>
    <w:autoRedefine/>
    <w:qFormat/>
    <w:uiPriority w:val="99"/>
    <w:rPr>
      <w:rFonts w:cs="Times New Roman"/>
      <w:color w:val="0000FF"/>
      <w:u w:val="single"/>
    </w:rPr>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paragraph" w:customStyle="1" w:styleId="31">
    <w:name w:val="目录 53"/>
    <w:next w:val="1"/>
    <w:autoRedefine/>
    <w:qFormat/>
    <w:uiPriority w:val="99"/>
    <w:pPr>
      <w:wordWrap w:val="0"/>
      <w:ind w:left="1275"/>
      <w:jc w:val="both"/>
    </w:pPr>
    <w:rPr>
      <w:rFonts w:ascii="Calibri" w:hAnsi="Calibri" w:eastAsia="宋体" w:cs="Times New Roman"/>
      <w:kern w:val="0"/>
      <w:sz w:val="21"/>
      <w:szCs w:val="20"/>
      <w:lang w:val="en-US" w:eastAsia="zh-CN" w:bidi="ar-SA"/>
    </w:rPr>
  </w:style>
  <w:style w:type="character" w:customStyle="1" w:styleId="32">
    <w:name w:val="Heading 1 Char"/>
    <w:basedOn w:val="24"/>
    <w:link w:val="3"/>
    <w:autoRedefine/>
    <w:qFormat/>
    <w:locked/>
    <w:uiPriority w:val="99"/>
    <w:rPr>
      <w:b/>
      <w:kern w:val="44"/>
      <w:sz w:val="44"/>
    </w:rPr>
  </w:style>
  <w:style w:type="character" w:customStyle="1" w:styleId="33">
    <w:name w:val="Heading 2 Char"/>
    <w:basedOn w:val="24"/>
    <w:link w:val="4"/>
    <w:autoRedefine/>
    <w:qFormat/>
    <w:locked/>
    <w:uiPriority w:val="99"/>
    <w:rPr>
      <w:rFonts w:ascii="Arial" w:hAnsi="Arial" w:eastAsia="黑体"/>
      <w:b/>
    </w:rPr>
  </w:style>
  <w:style w:type="character" w:customStyle="1" w:styleId="34">
    <w:name w:val="Heading 3 Char"/>
    <w:basedOn w:val="24"/>
    <w:link w:val="5"/>
    <w:autoRedefine/>
    <w:semiHidden/>
    <w:qFormat/>
    <w:uiPriority w:val="9"/>
    <w:rPr>
      <w:rFonts w:eastAsia="方正仿宋_GBK"/>
      <w:b/>
      <w:bCs/>
      <w:kern w:val="0"/>
      <w:sz w:val="32"/>
      <w:szCs w:val="32"/>
    </w:rPr>
  </w:style>
  <w:style w:type="character" w:customStyle="1" w:styleId="35">
    <w:name w:val="Comment Text Char"/>
    <w:basedOn w:val="24"/>
    <w:link w:val="9"/>
    <w:autoRedefine/>
    <w:semiHidden/>
    <w:qFormat/>
    <w:uiPriority w:val="99"/>
    <w:rPr>
      <w:rFonts w:eastAsia="方正仿宋_GBK"/>
      <w:kern w:val="0"/>
      <w:sz w:val="32"/>
      <w:szCs w:val="32"/>
    </w:rPr>
  </w:style>
  <w:style w:type="character" w:customStyle="1" w:styleId="36">
    <w:name w:val="Body Text Char"/>
    <w:basedOn w:val="24"/>
    <w:link w:val="2"/>
    <w:autoRedefine/>
    <w:semiHidden/>
    <w:qFormat/>
    <w:uiPriority w:val="99"/>
    <w:rPr>
      <w:rFonts w:eastAsia="方正仿宋_GBK"/>
      <w:kern w:val="0"/>
      <w:sz w:val="32"/>
      <w:szCs w:val="32"/>
    </w:rPr>
  </w:style>
  <w:style w:type="character" w:customStyle="1" w:styleId="37">
    <w:name w:val="Plain Text Char"/>
    <w:basedOn w:val="24"/>
    <w:link w:val="13"/>
    <w:autoRedefine/>
    <w:semiHidden/>
    <w:qFormat/>
    <w:uiPriority w:val="99"/>
    <w:rPr>
      <w:rFonts w:ascii="宋体" w:hAnsi="Courier New" w:cs="Courier New"/>
      <w:kern w:val="0"/>
      <w:szCs w:val="21"/>
    </w:rPr>
  </w:style>
  <w:style w:type="character" w:customStyle="1" w:styleId="38">
    <w:name w:val="Footer Char"/>
    <w:basedOn w:val="24"/>
    <w:link w:val="14"/>
    <w:autoRedefine/>
    <w:semiHidden/>
    <w:qFormat/>
    <w:uiPriority w:val="99"/>
    <w:rPr>
      <w:rFonts w:eastAsia="方正仿宋_GBK"/>
      <w:kern w:val="0"/>
      <w:sz w:val="18"/>
      <w:szCs w:val="18"/>
    </w:rPr>
  </w:style>
  <w:style w:type="character" w:customStyle="1" w:styleId="39">
    <w:name w:val="Header Char"/>
    <w:basedOn w:val="24"/>
    <w:link w:val="15"/>
    <w:autoRedefine/>
    <w:semiHidden/>
    <w:qFormat/>
    <w:uiPriority w:val="99"/>
    <w:rPr>
      <w:rFonts w:eastAsia="方正仿宋_GBK"/>
      <w:kern w:val="0"/>
      <w:sz w:val="18"/>
      <w:szCs w:val="18"/>
    </w:rPr>
  </w:style>
  <w:style w:type="character" w:customStyle="1" w:styleId="40">
    <w:name w:val="Subtitle Char"/>
    <w:basedOn w:val="24"/>
    <w:link w:val="17"/>
    <w:autoRedefine/>
    <w:qFormat/>
    <w:uiPriority w:val="11"/>
    <w:rPr>
      <w:rFonts w:asciiTheme="majorHAnsi" w:hAnsiTheme="majorHAnsi" w:cstheme="majorBidi"/>
      <w:b/>
      <w:bCs/>
      <w:kern w:val="28"/>
      <w:sz w:val="32"/>
      <w:szCs w:val="32"/>
    </w:rPr>
  </w:style>
  <w:style w:type="character" w:customStyle="1" w:styleId="41">
    <w:name w:val="Body Text First Indent Char"/>
    <w:basedOn w:val="36"/>
    <w:link w:val="21"/>
    <w:autoRedefine/>
    <w:semiHidden/>
    <w:qFormat/>
    <w:uiPriority w:val="99"/>
  </w:style>
  <w:style w:type="paragraph" w:customStyle="1" w:styleId="42">
    <w:name w:val="_Style 3"/>
    <w:basedOn w:val="1"/>
    <w:autoRedefine/>
    <w:qFormat/>
    <w:uiPriority w:val="99"/>
    <w:pPr>
      <w:ind w:firstLine="420" w:firstLineChars="200"/>
    </w:pPr>
  </w:style>
  <w:style w:type="paragraph" w:customStyle="1" w:styleId="43">
    <w:name w:val="扉首"/>
    <w:basedOn w:val="1"/>
    <w:autoRedefine/>
    <w:qFormat/>
    <w:uiPriority w:val="99"/>
    <w:pPr>
      <w:spacing w:line="480" w:lineRule="auto"/>
      <w:ind w:firstLine="560"/>
      <w:jc w:val="center"/>
    </w:pPr>
    <w:rPr>
      <w:rFonts w:ascii="黑体" w:hAnsi="黑体" w:eastAsia="仿宋_GB2312" w:cs="黑体"/>
      <w:b/>
      <w:color w:val="000000"/>
      <w:kern w:val="1"/>
      <w:sz w:val="52"/>
    </w:rPr>
  </w:style>
  <w:style w:type="paragraph" w:customStyle="1" w:styleId="44">
    <w:name w:val="正  文"/>
    <w:basedOn w:val="1"/>
    <w:autoRedefine/>
    <w:qFormat/>
    <w:uiPriority w:val="99"/>
    <w:pPr>
      <w:spacing w:line="360" w:lineRule="auto"/>
      <w:ind w:firstLine="200" w:firstLineChars="200"/>
    </w:pPr>
    <w:rPr>
      <w:rFonts w:ascii="宋体"/>
      <w:sz w:val="24"/>
    </w:rPr>
  </w:style>
  <w:style w:type="paragraph" w:customStyle="1" w:styleId="45">
    <w:name w:val="Table Paragraph"/>
    <w:basedOn w:val="1"/>
    <w:autoRedefine/>
    <w:qFormat/>
    <w:uiPriority w:val="99"/>
  </w:style>
  <w:style w:type="table" w:customStyle="1" w:styleId="46">
    <w:name w:val="Table Normal1"/>
    <w:autoRedefine/>
    <w:qFormat/>
    <w:uiPriority w:val="99"/>
    <w:rPr>
      <w:kern w:val="0"/>
      <w:sz w:val="20"/>
      <w:szCs w:val="20"/>
    </w:rPr>
    <w:tblPr>
      <w:tblCellMar>
        <w:top w:w="0" w:type="dxa"/>
        <w:left w:w="0" w:type="dxa"/>
        <w:bottom w:w="0" w:type="dxa"/>
        <w:right w:w="0" w:type="dxa"/>
      </w:tblCellMar>
    </w:tblPr>
  </w:style>
  <w:style w:type="paragraph" w:customStyle="1" w:styleId="47">
    <w:name w:val="pa-34"/>
    <w:basedOn w:val="1"/>
    <w:qFormat/>
    <w:uiPriority w:val="0"/>
    <w:pPr>
      <w:widowControl/>
      <w:spacing w:line="360" w:lineRule="atLeast"/>
      <w:ind w:firstLine="420"/>
      <w:jc w:val="left"/>
    </w:pPr>
    <w:rPr>
      <w:rFonts w:ascii="宋体" w:hAnsi="宋体" w:cs="宋体"/>
      <w:kern w:val="0"/>
      <w:sz w:val="24"/>
    </w:rPr>
  </w:style>
  <w:style w:type="character" w:customStyle="1" w:styleId="48">
    <w:name w:val="脚注文本 Char"/>
    <w:link w:val="18"/>
    <w:qFormat/>
    <w:uiPriority w:val="0"/>
    <w:rPr>
      <w:rFonts w:ascii="Arial" w:hAnsi="Arial" w:cs="Arial"/>
      <w:kern w:val="0"/>
      <w:sz w:val="18"/>
      <w:szCs w:val="18"/>
      <w:lang w:eastAsia="en-US"/>
    </w:rPr>
  </w:style>
  <w:style w:type="character" w:customStyle="1" w:styleId="49">
    <w:name w:val="目录 2 Char"/>
    <w:link w:val="19"/>
    <w:qFormat/>
    <w:uiPriority w:val="99"/>
  </w:style>
  <w:style w:type="paragraph" w:customStyle="1" w:styleId="50">
    <w:name w:val="列出段落11"/>
    <w:basedOn w:val="1"/>
    <w:autoRedefine/>
    <w:qFormat/>
    <w:uiPriority w:val="0"/>
    <w:pPr>
      <w:ind w:firstLine="420" w:firstLineChars="200"/>
    </w:pPr>
    <w:rPr>
      <w:sz w:val="28"/>
      <w:szCs w:val="28"/>
    </w:rPr>
  </w:style>
  <w:style w:type="paragraph" w:customStyle="1" w:styleId="5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customStyle="1" w:styleId="52">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111</Pages>
  <Words>5511</Words>
  <Characters>6129</Characters>
  <Lines>0</Lines>
  <Paragraphs>0</Paragraphs>
  <TotalTime>2</TotalTime>
  <ScaleCrop>false</ScaleCrop>
  <LinksUpToDate>false</LinksUpToDate>
  <CharactersWithSpaces>6423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2021-09-07T01:51:00Z</dcterms:created>
  <dc:creator>彭爽</dc:creator>
  <cp:lastModifiedBy>小粒</cp:lastModifiedBy>
  <cp:lastPrinted>2024-08-12T06:07:00Z</cp:lastPrinted>
  <dcterms:modified xsi:type="dcterms:W3CDTF">2025-07-16T08:10:25Z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E790C0D8A26B45D08B70F209F9A565E6_13</vt:lpwstr>
  </property>
  <property fmtid="{D5CDD505-2E9C-101B-9397-08002B2CF9AE}" pid="4" name="commondata">
    <vt:lpwstr>eyJoZGlkIjoiZTg4ZWVhOGZhZTQ5OTkzY2QzY2I2ZDRiNjk5ZjM2NDMifQ==</vt:lpwstr>
  </property>
  <property fmtid="{D5CDD505-2E9C-101B-9397-08002B2CF9AE}" pid="5" name="KSOTemplateDocerSaveRecord">
    <vt:lpwstr>eyJoZGlkIjoiN2ZiZDRiY2NiN2VlNTk3YWVjODRiYWY1NGVhOWJjZGMiLCJ1c2VySWQiOiIxMTQ5NzU2ODY0In0=</vt:lpwstr>
  </property>
</Properties>
</file>