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2B670">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 xml:space="preserve"> </w:t>
      </w:r>
    </w:p>
    <w:p w14:paraId="58878732">
      <w:pPr>
        <w:widowControl/>
        <w:wordWrap w:val="0"/>
        <w:autoSpaceDE w:val="0"/>
        <w:autoSpaceDN w:val="0"/>
        <w:adjustRightInd w:val="0"/>
        <w:snapToGrid w:val="0"/>
        <w:spacing w:before="235" w:line="187" w:lineRule="auto"/>
        <w:jc w:val="center"/>
        <w:rPr>
          <w:rFonts w:hint="eastAsia" w:ascii="宋体" w:hAnsi="宋体" w:cs="宋体"/>
          <w:color w:val="auto"/>
          <w:spacing w:val="-2"/>
          <w:sz w:val="120"/>
          <w:szCs w:val="120"/>
          <w:highlight w:val="none"/>
        </w:rPr>
      </w:pPr>
    </w:p>
    <w:p w14:paraId="37D71C4E">
      <w:pPr>
        <w:widowControl/>
        <w:wordWrap w:val="0"/>
        <w:autoSpaceDE w:val="0"/>
        <w:autoSpaceDN w:val="0"/>
        <w:adjustRightInd w:val="0"/>
        <w:snapToGrid w:val="0"/>
        <w:spacing w:before="235" w:line="187" w:lineRule="auto"/>
        <w:jc w:val="both"/>
        <w:rPr>
          <w:rFonts w:hint="eastAsia" w:ascii="宋体" w:hAnsi="宋体" w:cs="宋体"/>
          <w:color w:val="auto"/>
          <w:spacing w:val="-2"/>
          <w:sz w:val="120"/>
          <w:szCs w:val="120"/>
          <w:highlight w:val="none"/>
        </w:rPr>
      </w:pPr>
    </w:p>
    <w:p w14:paraId="62B1963D">
      <w:pPr>
        <w:widowControl/>
        <w:wordWrap w:val="0"/>
        <w:autoSpaceDE w:val="0"/>
        <w:autoSpaceDN w:val="0"/>
        <w:adjustRightInd w:val="0"/>
        <w:snapToGrid w:val="0"/>
        <w:spacing w:before="235" w:line="187" w:lineRule="auto"/>
        <w:jc w:val="center"/>
        <w:rPr>
          <w:rFonts w:hint="eastAsia" w:ascii="宋体" w:hAnsi="宋体" w:cs="宋体"/>
          <w:color w:val="auto"/>
          <w:sz w:val="120"/>
          <w:szCs w:val="120"/>
          <w:highlight w:val="none"/>
        </w:rPr>
      </w:pPr>
      <w:r>
        <w:rPr>
          <w:rFonts w:hint="eastAsia" w:ascii="宋体" w:hAnsi="宋体" w:cs="宋体"/>
          <w:color w:val="auto"/>
          <w:spacing w:val="-2"/>
          <w:sz w:val="120"/>
          <w:szCs w:val="120"/>
          <w:highlight w:val="none"/>
        </w:rPr>
        <w:t>竞争性磋商文件</w:t>
      </w:r>
    </w:p>
    <w:p w14:paraId="7FAE439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620DEE6D">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075879B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7288E33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32"/>
          <w:highlight w:val="none"/>
        </w:rPr>
      </w:pPr>
    </w:p>
    <w:p w14:paraId="19669978">
      <w:pPr>
        <w:kinsoku/>
        <w:wordWrap/>
        <w:overflowPunct/>
        <w:topLinePunct w:val="0"/>
        <w:autoSpaceDE/>
        <w:autoSpaceDN/>
        <w:bidi w:val="0"/>
        <w:spacing w:line="440" w:lineRule="exact"/>
        <w:ind w:left="1075" w:leftChars="384" w:right="0" w:rightChars="0" w:firstLine="0" w:firstLineChars="0"/>
        <w:textAlignment w:val="auto"/>
        <w:rPr>
          <w:rFonts w:hint="default" w:ascii="宋体" w:hAnsi="宋体" w:eastAsia="宋体" w:cs="宋体"/>
          <w:color w:val="auto"/>
          <w:sz w:val="36"/>
          <w:szCs w:val="30"/>
          <w:highlight w:val="none"/>
          <w:lang w:val="en-US" w:eastAsia="zh-CN"/>
        </w:rPr>
      </w:pPr>
      <w:r>
        <w:rPr>
          <w:rFonts w:hint="eastAsia" w:ascii="宋体" w:hAnsi="宋体" w:eastAsia="宋体" w:cs="宋体"/>
          <w:color w:val="auto"/>
          <w:sz w:val="36"/>
          <w:szCs w:val="30"/>
          <w:highlight w:val="none"/>
        </w:rPr>
        <w:t>项目编号</w:t>
      </w:r>
      <w:r>
        <w:rPr>
          <w:rFonts w:hint="eastAsia" w:ascii="宋体" w:hAnsi="宋体" w:cs="宋体"/>
          <w:color w:val="auto"/>
          <w:sz w:val="36"/>
          <w:szCs w:val="30"/>
          <w:highlight w:val="none"/>
          <w:lang w:eastAsia="zh-CN"/>
        </w:rPr>
        <w:t>：2025YBDL-</w:t>
      </w:r>
      <w:r>
        <w:rPr>
          <w:rFonts w:hint="eastAsia" w:ascii="宋体" w:hAnsi="宋体" w:cs="宋体"/>
          <w:color w:val="auto"/>
          <w:sz w:val="36"/>
          <w:szCs w:val="30"/>
          <w:highlight w:val="none"/>
          <w:lang w:val="en-US" w:eastAsia="zh-CN"/>
        </w:rPr>
        <w:t>007</w:t>
      </w:r>
    </w:p>
    <w:p w14:paraId="35789223">
      <w:pPr>
        <w:kinsoku/>
        <w:wordWrap/>
        <w:overflowPunct/>
        <w:topLinePunct w:val="0"/>
        <w:autoSpaceDE/>
        <w:autoSpaceDN/>
        <w:bidi w:val="0"/>
        <w:spacing w:line="440" w:lineRule="exact"/>
        <w:ind w:left="1075" w:leftChars="384" w:right="0" w:rightChars="0" w:firstLine="0" w:firstLineChars="0"/>
        <w:textAlignment w:val="auto"/>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rPr>
        <w:t>磋商项目名称：大渡口九宫庙街区基础设施提质升级项目一城市便民步道</w:t>
      </w:r>
    </w:p>
    <w:p w14:paraId="4CF562AD">
      <w:pPr>
        <w:kinsoku/>
        <w:wordWrap/>
        <w:overflowPunct/>
        <w:topLinePunct w:val="0"/>
        <w:autoSpaceDE/>
        <w:autoSpaceDN/>
        <w:bidi w:val="0"/>
        <w:spacing w:line="440" w:lineRule="exact"/>
        <w:ind w:left="0" w:leftChars="0" w:right="0" w:rightChars="0" w:firstLine="1749" w:firstLineChars="486"/>
        <w:textAlignment w:val="auto"/>
        <w:rPr>
          <w:rFonts w:hint="eastAsia" w:ascii="宋体" w:hAnsi="宋体" w:eastAsia="宋体" w:cs="宋体"/>
          <w:color w:val="auto"/>
          <w:sz w:val="36"/>
          <w:szCs w:val="30"/>
          <w:highlight w:val="none"/>
        </w:rPr>
      </w:pPr>
    </w:p>
    <w:p w14:paraId="18D97EC2">
      <w:pPr>
        <w:kinsoku/>
        <w:wordWrap/>
        <w:overflowPunct/>
        <w:topLinePunct w:val="0"/>
        <w:autoSpaceDE/>
        <w:autoSpaceDN/>
        <w:bidi w:val="0"/>
        <w:spacing w:line="440" w:lineRule="exact"/>
        <w:ind w:left="0" w:leftChars="0" w:right="0" w:rightChars="0" w:firstLine="1749" w:firstLineChars="486"/>
        <w:textAlignment w:val="auto"/>
        <w:rPr>
          <w:rFonts w:hint="eastAsia" w:ascii="宋体" w:hAnsi="宋体" w:eastAsia="宋体" w:cs="宋体"/>
          <w:color w:val="auto"/>
          <w:sz w:val="36"/>
          <w:szCs w:val="30"/>
          <w:highlight w:val="none"/>
        </w:rPr>
      </w:pPr>
    </w:p>
    <w:p w14:paraId="662FE5AA">
      <w:pPr>
        <w:pStyle w:val="2"/>
        <w:rPr>
          <w:rFonts w:hint="eastAsia" w:ascii="宋体" w:hAnsi="宋体" w:eastAsia="宋体" w:cs="宋体"/>
          <w:color w:val="auto"/>
          <w:sz w:val="36"/>
          <w:szCs w:val="30"/>
          <w:highlight w:val="none"/>
        </w:rPr>
      </w:pPr>
    </w:p>
    <w:p w14:paraId="2F39255B">
      <w:pPr>
        <w:rPr>
          <w:rFonts w:hint="eastAsia"/>
          <w:color w:val="auto"/>
          <w:highlight w:val="none"/>
        </w:rPr>
      </w:pPr>
    </w:p>
    <w:p w14:paraId="0D138890">
      <w:pPr>
        <w:pStyle w:val="2"/>
        <w:rPr>
          <w:rFonts w:hint="eastAsia" w:ascii="宋体" w:hAnsi="宋体" w:eastAsia="宋体" w:cs="宋体"/>
          <w:color w:val="auto"/>
          <w:sz w:val="36"/>
          <w:szCs w:val="30"/>
          <w:highlight w:val="none"/>
        </w:rPr>
      </w:pPr>
    </w:p>
    <w:p w14:paraId="0CCDD3A8">
      <w:pPr>
        <w:rPr>
          <w:rFonts w:hint="eastAsia" w:ascii="宋体" w:hAnsi="宋体" w:eastAsia="宋体" w:cs="宋体"/>
          <w:color w:val="auto"/>
          <w:sz w:val="36"/>
          <w:szCs w:val="30"/>
          <w:highlight w:val="none"/>
        </w:rPr>
      </w:pPr>
    </w:p>
    <w:p w14:paraId="298944D0">
      <w:pPr>
        <w:pStyle w:val="2"/>
        <w:rPr>
          <w:rFonts w:hint="eastAsia"/>
          <w:color w:val="auto"/>
          <w:highlight w:val="none"/>
        </w:rPr>
      </w:pPr>
    </w:p>
    <w:p w14:paraId="113F52FD">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 w:val="30"/>
          <w:szCs w:val="30"/>
          <w:highlight w:val="none"/>
        </w:rPr>
      </w:pPr>
    </w:p>
    <w:p w14:paraId="0F8C2C4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440" w:firstLineChars="400"/>
        <w:textAlignment w:val="auto"/>
        <w:rPr>
          <w:rFonts w:hint="eastAsia" w:ascii="宋体" w:hAnsi="宋体" w:eastAsia="宋体" w:cs="宋体"/>
          <w:color w:val="auto"/>
          <w:sz w:val="36"/>
          <w:szCs w:val="30"/>
          <w:highlight w:val="none"/>
        </w:rPr>
      </w:pPr>
      <w:bookmarkStart w:id="0" w:name="_Toc29402"/>
      <w:bookmarkStart w:id="1" w:name="_Toc313888360"/>
      <w:bookmarkStart w:id="2" w:name="_Toc12789073"/>
      <w:bookmarkStart w:id="3" w:name="_Toc313008356"/>
      <w:bookmarkStart w:id="4" w:name="_Toc342913419"/>
      <w:bookmarkStart w:id="5" w:name="_Toc12789072"/>
      <w:bookmarkStart w:id="6" w:name="_Toc3907"/>
      <w:bookmarkStart w:id="7" w:name="_Toc32160"/>
      <w:bookmarkStart w:id="8" w:name="_Toc283382454"/>
      <w:r>
        <w:rPr>
          <w:rFonts w:hint="eastAsia" w:ascii="宋体" w:hAnsi="宋体" w:eastAsia="宋体" w:cs="宋体"/>
          <w:color w:val="auto"/>
          <w:sz w:val="36"/>
          <w:szCs w:val="30"/>
          <w:highlight w:val="none"/>
        </w:rPr>
        <w:t>采   购  人：</w:t>
      </w:r>
      <w:r>
        <w:rPr>
          <w:rFonts w:hint="eastAsia" w:ascii="宋体" w:hAnsi="宋体" w:eastAsia="宋体" w:cs="宋体"/>
          <w:color w:val="auto"/>
          <w:sz w:val="36"/>
          <w:szCs w:val="30"/>
          <w:highlight w:val="none"/>
          <w:lang w:eastAsia="zh-CN"/>
        </w:rPr>
        <w:t>重庆市大渡口区新晟发建设有限公司</w:t>
      </w:r>
    </w:p>
    <w:p w14:paraId="31501159">
      <w:pPr>
        <w:pStyle w:val="2"/>
        <w:keepNext w:val="0"/>
        <w:keepLines w:val="0"/>
        <w:pageBreakBefore w:val="0"/>
        <w:widowControl w:val="0"/>
        <w:kinsoku/>
        <w:wordWrap/>
        <w:overflowPunct/>
        <w:topLinePunct w:val="0"/>
        <w:autoSpaceDE/>
        <w:autoSpaceDN/>
        <w:bidi w:val="0"/>
        <w:adjustRightInd/>
        <w:snapToGrid/>
        <w:spacing w:line="440" w:lineRule="exact"/>
        <w:ind w:right="0" w:rightChars="0" w:firstLine="3240" w:firstLineChars="900"/>
        <w:textAlignment w:val="auto"/>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lang w:eastAsia="zh-CN"/>
        </w:rPr>
        <w:t>重庆市大渡口区城乡建设发展有限公司</w:t>
      </w:r>
    </w:p>
    <w:p w14:paraId="699A9931">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440" w:firstLineChars="400"/>
        <w:textAlignment w:val="auto"/>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lang w:eastAsia="zh-CN"/>
        </w:rPr>
        <w:t>采购代理机构：重庆远博工程项目管理有限公司</w:t>
      </w:r>
    </w:p>
    <w:p w14:paraId="733D0ABD">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36"/>
          <w:szCs w:val="30"/>
          <w:highlight w:val="none"/>
        </w:rPr>
      </w:pPr>
    </w:p>
    <w:p w14:paraId="3A410313">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二〇二</w:t>
      </w:r>
      <w:r>
        <w:rPr>
          <w:rFonts w:hint="eastAsia" w:ascii="宋体" w:hAnsi="宋体" w:cs="宋体"/>
          <w:color w:val="auto"/>
          <w:sz w:val="36"/>
          <w:szCs w:val="30"/>
          <w:highlight w:val="none"/>
          <w:lang w:eastAsia="zh-CN"/>
        </w:rPr>
        <w:t>五</w:t>
      </w:r>
      <w:r>
        <w:rPr>
          <w:rFonts w:hint="eastAsia" w:ascii="宋体" w:hAnsi="宋体" w:eastAsia="宋体" w:cs="宋体"/>
          <w:color w:val="auto"/>
          <w:sz w:val="36"/>
          <w:szCs w:val="30"/>
          <w:highlight w:val="none"/>
        </w:rPr>
        <w:t>年</w:t>
      </w:r>
      <w:r>
        <w:rPr>
          <w:rFonts w:hint="eastAsia" w:ascii="宋体" w:hAnsi="宋体" w:cs="宋体"/>
          <w:color w:val="auto"/>
          <w:sz w:val="36"/>
          <w:szCs w:val="30"/>
          <w:highlight w:val="none"/>
          <w:lang w:eastAsia="zh-CN"/>
        </w:rPr>
        <w:t>五</w:t>
      </w:r>
      <w:r>
        <w:rPr>
          <w:rFonts w:hint="eastAsia" w:ascii="宋体" w:hAnsi="宋体" w:eastAsia="宋体" w:cs="宋体"/>
          <w:color w:val="auto"/>
          <w:sz w:val="36"/>
          <w:szCs w:val="30"/>
          <w:highlight w:val="none"/>
        </w:rPr>
        <w:t>月</w:t>
      </w:r>
    </w:p>
    <w:p w14:paraId="04405C25">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44"/>
          <w:szCs w:val="28"/>
          <w:highlight w:val="none"/>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p>
    <w:p w14:paraId="6155F173">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1EFF82F8">
      <w:pPr>
        <w:pStyle w:val="17"/>
        <w:tabs>
          <w:tab w:val="right" w:leader="dot" w:pos="9412"/>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_Toc24393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3FA8112C">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_Toc27869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_Toc27869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7FA77B8C">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_Toc15467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151FDBCB">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_Toc16018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_Toc16018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0AFD3D44">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_Toc6300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1"/>
          <w:highlight w:val="none"/>
        </w:rPr>
        <w:fldChar w:fldCharType="end"/>
      </w:r>
    </w:p>
    <w:p w14:paraId="3451AB60">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五、磋商保证金</w:t>
      </w:r>
      <w:r>
        <w:rPr>
          <w:color w:val="auto"/>
          <w:highlight w:val="none"/>
        </w:rPr>
        <w:tab/>
      </w:r>
      <w:r>
        <w:rPr>
          <w:color w:val="auto"/>
          <w:highlight w:val="none"/>
        </w:rPr>
        <w:fldChar w:fldCharType="begin"/>
      </w:r>
      <w:r>
        <w:rPr>
          <w:color w:val="auto"/>
          <w:highlight w:val="none"/>
        </w:rPr>
        <w:instrText xml:space="preserve"> PAGEREF _Toc4141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3DC0003B">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_Toc25309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六、履约保证金</w:t>
      </w:r>
      <w:r>
        <w:rPr>
          <w:color w:val="auto"/>
          <w:highlight w:val="none"/>
        </w:rPr>
        <w:tab/>
      </w:r>
      <w:r>
        <w:rPr>
          <w:color w:val="auto"/>
          <w:highlight w:val="none"/>
        </w:rPr>
        <w:fldChar w:fldCharType="begin"/>
      </w:r>
      <w:r>
        <w:rPr>
          <w:color w:val="auto"/>
          <w:highlight w:val="none"/>
        </w:rPr>
        <w:instrText xml:space="preserve"> PAGEREF _Toc25309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50338A9E">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_Toc8027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八、其它有关规定</w:t>
      </w:r>
      <w:r>
        <w:rPr>
          <w:color w:val="auto"/>
          <w:highlight w:val="none"/>
        </w:rPr>
        <w:tab/>
      </w:r>
      <w:r>
        <w:rPr>
          <w:color w:val="auto"/>
          <w:highlight w:val="none"/>
        </w:rPr>
        <w:fldChar w:fldCharType="begin"/>
      </w:r>
      <w:r>
        <w:rPr>
          <w:color w:val="auto"/>
          <w:highlight w:val="none"/>
        </w:rPr>
        <w:instrText xml:space="preserve"> PAGEREF _Toc8027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14:paraId="2DBCE135">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_Toc27171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九、联系方式</w:t>
      </w:r>
      <w:r>
        <w:rPr>
          <w:color w:val="auto"/>
          <w:highlight w:val="none"/>
        </w:rPr>
        <w:tab/>
      </w:r>
      <w:r>
        <w:rPr>
          <w:color w:val="auto"/>
          <w:highlight w:val="none"/>
        </w:rPr>
        <w:fldChar w:fldCharType="begin"/>
      </w:r>
      <w:r>
        <w:rPr>
          <w:color w:val="auto"/>
          <w:highlight w:val="none"/>
        </w:rPr>
        <w:instrText xml:space="preserve"> PAGEREF _Toc27171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75F3468E">
      <w:pPr>
        <w:pStyle w:val="17"/>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_Toc28465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_Toc28465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019DAFA5">
      <w:pPr>
        <w:pStyle w:val="17"/>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_Toc15689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_Toc15689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32DDA76C">
      <w:pPr>
        <w:pStyle w:val="17"/>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_Toc21227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_Toc21227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32B04772">
      <w:pPr>
        <w:pStyle w:val="17"/>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_Toc2871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_Toc2871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230E6BAD">
      <w:pPr>
        <w:pStyle w:val="17"/>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_Toc19434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lang w:val="en-US" w:eastAsia="zh-CN"/>
        </w:rPr>
        <w:t>第六篇  合同</w:t>
      </w:r>
      <w:r>
        <w:rPr>
          <w:color w:val="auto"/>
          <w:highlight w:val="none"/>
        </w:rPr>
        <w:tab/>
      </w:r>
      <w:r>
        <w:rPr>
          <w:color w:val="auto"/>
          <w:highlight w:val="none"/>
        </w:rPr>
        <w:fldChar w:fldCharType="begin"/>
      </w:r>
      <w:r>
        <w:rPr>
          <w:color w:val="auto"/>
          <w:highlight w:val="none"/>
        </w:rPr>
        <w:instrText xml:space="preserve"> PAGEREF _Toc19434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0B92CD51">
      <w:pPr>
        <w:pStyle w:val="17"/>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_Toc3456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_Toc3456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3BE1DC03">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_Toc15455 \h </w:instrText>
      </w:r>
      <w:r>
        <w:rPr>
          <w:color w:val="auto"/>
          <w:highlight w:val="none"/>
        </w:rPr>
        <w:fldChar w:fldCharType="separate"/>
      </w:r>
      <w:r>
        <w:rPr>
          <w:color w:val="auto"/>
          <w:highlight w:val="none"/>
        </w:rPr>
        <w:t>112</w:t>
      </w:r>
      <w:r>
        <w:rPr>
          <w:color w:val="auto"/>
          <w:highlight w:val="none"/>
        </w:rPr>
        <w:fldChar w:fldCharType="end"/>
      </w:r>
      <w:r>
        <w:rPr>
          <w:rFonts w:hint="eastAsia" w:ascii="宋体" w:hAnsi="宋体" w:eastAsia="宋体" w:cs="宋体"/>
          <w:color w:val="auto"/>
          <w:szCs w:val="21"/>
          <w:highlight w:val="none"/>
        </w:rPr>
        <w:fldChar w:fldCharType="end"/>
      </w:r>
    </w:p>
    <w:p w14:paraId="2ECCBC9E">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二、服务部分</w:t>
      </w:r>
      <w:r>
        <w:rPr>
          <w:color w:val="auto"/>
          <w:highlight w:val="none"/>
        </w:rPr>
        <w:tab/>
      </w:r>
      <w:r>
        <w:rPr>
          <w:color w:val="auto"/>
          <w:highlight w:val="none"/>
        </w:rPr>
        <w:fldChar w:fldCharType="begin"/>
      </w:r>
      <w:r>
        <w:rPr>
          <w:color w:val="auto"/>
          <w:highlight w:val="none"/>
        </w:rPr>
        <w:instrText xml:space="preserve"> PAGEREF _Toc6352 \h </w:instrText>
      </w:r>
      <w:r>
        <w:rPr>
          <w:color w:val="auto"/>
          <w:highlight w:val="none"/>
        </w:rPr>
        <w:fldChar w:fldCharType="separate"/>
      </w:r>
      <w:r>
        <w:rPr>
          <w:color w:val="auto"/>
          <w:highlight w:val="none"/>
        </w:rPr>
        <w:t>114</w:t>
      </w:r>
      <w:r>
        <w:rPr>
          <w:color w:val="auto"/>
          <w:highlight w:val="none"/>
        </w:rPr>
        <w:fldChar w:fldCharType="end"/>
      </w:r>
      <w:r>
        <w:rPr>
          <w:rFonts w:hint="eastAsia" w:ascii="宋体" w:hAnsi="宋体" w:eastAsia="宋体" w:cs="宋体"/>
          <w:color w:val="auto"/>
          <w:szCs w:val="21"/>
          <w:highlight w:val="none"/>
        </w:rPr>
        <w:fldChar w:fldCharType="end"/>
      </w:r>
    </w:p>
    <w:p w14:paraId="3619734C">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_Toc15488 \h </w:instrText>
      </w:r>
      <w:r>
        <w:rPr>
          <w:color w:val="auto"/>
          <w:highlight w:val="none"/>
        </w:rPr>
        <w:fldChar w:fldCharType="separate"/>
      </w:r>
      <w:r>
        <w:rPr>
          <w:color w:val="auto"/>
          <w:highlight w:val="none"/>
        </w:rPr>
        <w:t>116</w:t>
      </w:r>
      <w:r>
        <w:rPr>
          <w:color w:val="auto"/>
          <w:highlight w:val="none"/>
        </w:rPr>
        <w:fldChar w:fldCharType="end"/>
      </w:r>
      <w:r>
        <w:rPr>
          <w:rFonts w:hint="eastAsia" w:ascii="宋体" w:hAnsi="宋体" w:eastAsia="宋体" w:cs="宋体"/>
          <w:color w:val="auto"/>
          <w:szCs w:val="21"/>
          <w:highlight w:val="none"/>
        </w:rPr>
        <w:fldChar w:fldCharType="end"/>
      </w:r>
    </w:p>
    <w:p w14:paraId="230487F6">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_Toc2522 \h </w:instrText>
      </w:r>
      <w:r>
        <w:rPr>
          <w:color w:val="auto"/>
          <w:highlight w:val="none"/>
        </w:rPr>
        <w:fldChar w:fldCharType="separate"/>
      </w:r>
      <w:r>
        <w:rPr>
          <w:color w:val="auto"/>
          <w:highlight w:val="none"/>
        </w:rPr>
        <w:t>118</w:t>
      </w:r>
      <w:r>
        <w:rPr>
          <w:color w:val="auto"/>
          <w:highlight w:val="none"/>
        </w:rPr>
        <w:fldChar w:fldCharType="end"/>
      </w:r>
      <w:r>
        <w:rPr>
          <w:rFonts w:hint="eastAsia" w:ascii="宋体" w:hAnsi="宋体" w:eastAsia="宋体" w:cs="宋体"/>
          <w:color w:val="auto"/>
          <w:szCs w:val="21"/>
          <w:highlight w:val="none"/>
        </w:rPr>
        <w:fldChar w:fldCharType="end"/>
      </w:r>
    </w:p>
    <w:p w14:paraId="448FD9EB">
      <w:pPr>
        <w:pStyle w:val="11"/>
        <w:tabs>
          <w:tab w:val="right" w:leader="dot" w:pos="941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_Toc3646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_Toc3646 \h </w:instrText>
      </w:r>
      <w:r>
        <w:rPr>
          <w:color w:val="auto"/>
          <w:highlight w:val="none"/>
        </w:rPr>
        <w:fldChar w:fldCharType="separate"/>
      </w:r>
      <w:r>
        <w:rPr>
          <w:color w:val="auto"/>
          <w:highlight w:val="none"/>
        </w:rPr>
        <w:t>123</w:t>
      </w:r>
      <w:r>
        <w:rPr>
          <w:color w:val="auto"/>
          <w:highlight w:val="none"/>
        </w:rPr>
        <w:fldChar w:fldCharType="end"/>
      </w:r>
      <w:r>
        <w:rPr>
          <w:rFonts w:hint="eastAsia" w:ascii="宋体" w:hAnsi="宋体" w:eastAsia="宋体" w:cs="宋体"/>
          <w:color w:val="auto"/>
          <w:szCs w:val="21"/>
          <w:highlight w:val="none"/>
        </w:rPr>
        <w:fldChar w:fldCharType="end"/>
      </w:r>
    </w:p>
    <w:p w14:paraId="747640BB">
      <w:pPr>
        <w:pStyle w:val="17"/>
        <w:tabs>
          <w:tab w:val="right" w:leader="dot" w:pos="9402"/>
        </w:tabs>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18"/>
          <w:szCs w:val="22"/>
          <w:highlight w:val="none"/>
        </w:rPr>
        <w:sectPr>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color w:val="auto"/>
          <w:szCs w:val="21"/>
          <w:highlight w:val="none"/>
        </w:rPr>
        <w:fldChar w:fldCharType="end"/>
      </w:r>
    </w:p>
    <w:p w14:paraId="6187BEC3">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Cs w:val="30"/>
          <w:highlight w:val="none"/>
        </w:rPr>
      </w:pPr>
      <w:bookmarkStart w:id="9" w:name="_Toc11641050"/>
      <w:bookmarkStart w:id="10" w:name="_Toc24393"/>
      <w:bookmarkStart w:id="11" w:name="_Toc12789052"/>
      <w:r>
        <w:rPr>
          <w:rFonts w:hint="eastAsia" w:ascii="宋体" w:hAnsi="宋体" w:eastAsia="宋体" w:cs="宋体"/>
          <w:b w:val="0"/>
          <w:color w:val="auto"/>
          <w:sz w:val="36"/>
          <w:szCs w:val="30"/>
          <w:highlight w:val="none"/>
        </w:rPr>
        <w:t>第一篇  采购邀请书</w:t>
      </w:r>
      <w:bookmarkEnd w:id="9"/>
      <w:bookmarkEnd w:id="10"/>
      <w:bookmarkEnd w:id="11"/>
    </w:p>
    <w:p w14:paraId="4A89962E">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color w:val="auto"/>
          <w:sz w:val="24"/>
          <w:szCs w:val="24"/>
          <w:highlight w:val="none"/>
        </w:rPr>
      </w:pPr>
      <w:bookmarkStart w:id="12" w:name="_Toc313893526"/>
      <w:bookmarkStart w:id="13" w:name="_Toc317775175"/>
      <w:r>
        <w:rPr>
          <w:rFonts w:hint="eastAsia" w:ascii="宋体" w:hAnsi="宋体" w:eastAsia="宋体" w:cs="宋体"/>
          <w:b w:val="0"/>
          <w:bCs/>
          <w:color w:val="auto"/>
          <w:sz w:val="24"/>
          <w:szCs w:val="24"/>
          <w:highlight w:val="none"/>
          <w:u w:val="single"/>
        </w:rPr>
        <w:t>重庆远博工程项目管理有限公司</w:t>
      </w:r>
      <w:r>
        <w:rPr>
          <w:rFonts w:hint="eastAsia" w:ascii="宋体" w:hAnsi="宋体" w:eastAsia="宋体" w:cs="宋体"/>
          <w:b w:val="0"/>
          <w:bCs/>
          <w:color w:val="auto"/>
          <w:sz w:val="24"/>
          <w:szCs w:val="24"/>
          <w:highlight w:val="none"/>
        </w:rPr>
        <w:t>（以下简称：采购代理机构）接受</w:t>
      </w:r>
      <w:r>
        <w:rPr>
          <w:rFonts w:hint="eastAsia" w:ascii="宋体" w:hAnsi="宋体" w:eastAsia="宋体" w:cs="宋体"/>
          <w:b w:val="0"/>
          <w:bCs/>
          <w:color w:val="auto"/>
          <w:sz w:val="24"/>
          <w:szCs w:val="24"/>
          <w:highlight w:val="none"/>
          <w:u w:val="single"/>
        </w:rPr>
        <w:t>重庆市大渡口区新晟发建设有限公司</w:t>
      </w:r>
      <w:r>
        <w:rPr>
          <w:rFonts w:hint="eastAsia" w:ascii="宋体" w:hAnsi="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重庆市大渡口区城乡建设发展有限公司</w:t>
      </w:r>
      <w:r>
        <w:rPr>
          <w:rFonts w:hint="eastAsia" w:ascii="宋体" w:hAnsi="宋体" w:eastAsia="宋体" w:cs="宋体"/>
          <w:b w:val="0"/>
          <w:bCs/>
          <w:color w:val="auto"/>
          <w:sz w:val="24"/>
          <w:szCs w:val="24"/>
          <w:highlight w:val="none"/>
        </w:rPr>
        <w:t>（以下简称：采购人）的委托，对</w:t>
      </w:r>
      <w:r>
        <w:rPr>
          <w:rFonts w:hint="eastAsia" w:ascii="宋体" w:hAnsi="宋体" w:cs="宋体"/>
          <w:b w:val="0"/>
          <w:bCs/>
          <w:color w:val="auto"/>
          <w:sz w:val="24"/>
          <w:szCs w:val="24"/>
          <w:highlight w:val="none"/>
          <w:u w:val="single"/>
          <w:lang w:eastAsia="zh-CN"/>
        </w:rPr>
        <w:t>大渡口九宫庙街区基础设施提质升级项目一城市便民步道</w:t>
      </w:r>
      <w:r>
        <w:rPr>
          <w:rFonts w:hint="eastAsia" w:ascii="宋体" w:hAnsi="宋体" w:eastAsia="宋体" w:cs="宋体"/>
          <w:b w:val="0"/>
          <w:bCs/>
          <w:color w:val="auto"/>
          <w:sz w:val="24"/>
          <w:szCs w:val="24"/>
          <w:highlight w:val="none"/>
        </w:rPr>
        <w:t>进行竞争性磋商采购。欢迎有资格的供应商前来参与磋商。</w:t>
      </w:r>
    </w:p>
    <w:p w14:paraId="49804B5A">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4" w:name="_Toc27869"/>
      <w:r>
        <w:rPr>
          <w:rFonts w:hint="eastAsia" w:ascii="宋体" w:hAnsi="宋体" w:eastAsia="宋体" w:cs="宋体"/>
          <w:color w:val="auto"/>
          <w:sz w:val="24"/>
          <w:szCs w:val="24"/>
          <w:highlight w:val="none"/>
        </w:rPr>
        <w:t>一、竞争性磋商内容</w:t>
      </w:r>
      <w:bookmarkEnd w:id="12"/>
      <w:bookmarkEnd w:id="13"/>
      <w:bookmarkEnd w:id="14"/>
    </w:p>
    <w:tbl>
      <w:tblPr>
        <w:tblStyle w:val="21"/>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2845"/>
        <w:gridCol w:w="2325"/>
        <w:gridCol w:w="2356"/>
      </w:tblGrid>
      <w:tr w14:paraId="17C6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67" w:type="dxa"/>
            <w:tcBorders>
              <w:top w:val="single" w:color="auto" w:sz="4" w:space="0"/>
              <w:left w:val="single" w:color="auto" w:sz="4" w:space="0"/>
              <w:right w:val="single" w:color="auto" w:sz="4" w:space="0"/>
            </w:tcBorders>
            <w:noWrap/>
            <w:vAlign w:val="center"/>
          </w:tcPr>
          <w:p w14:paraId="5BC0A51E">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2845" w:type="dxa"/>
            <w:tcBorders>
              <w:top w:val="single" w:color="auto" w:sz="4" w:space="0"/>
              <w:left w:val="single" w:color="auto" w:sz="4" w:space="0"/>
              <w:right w:val="single" w:color="auto" w:sz="4" w:space="0"/>
            </w:tcBorders>
            <w:noWrap/>
            <w:vAlign w:val="center"/>
          </w:tcPr>
          <w:p w14:paraId="412B393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lang w:eastAsia="zh-CN"/>
              </w:rPr>
            </w:pPr>
            <w:r>
              <w:rPr>
                <w:rFonts w:hint="eastAsia" w:ascii="宋体" w:hAnsi="宋体" w:cs="宋体"/>
                <w:b/>
                <w:bCs/>
                <w:color w:val="auto"/>
                <w:kern w:val="0"/>
                <w:sz w:val="21"/>
                <w:szCs w:val="24"/>
                <w:highlight w:val="none"/>
                <w:lang w:eastAsia="zh-CN"/>
              </w:rPr>
              <w:t>预算金额（万元）</w:t>
            </w:r>
          </w:p>
        </w:tc>
        <w:tc>
          <w:tcPr>
            <w:tcW w:w="2325" w:type="dxa"/>
            <w:tcBorders>
              <w:top w:val="single" w:color="auto" w:sz="4" w:space="0"/>
              <w:left w:val="single" w:color="auto" w:sz="4" w:space="0"/>
              <w:right w:val="single" w:color="auto" w:sz="4" w:space="0"/>
            </w:tcBorders>
            <w:noWrap/>
            <w:vAlign w:val="center"/>
          </w:tcPr>
          <w:p w14:paraId="487DF2D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2356" w:type="dxa"/>
            <w:tcBorders>
              <w:top w:val="single" w:color="auto" w:sz="4" w:space="0"/>
              <w:left w:val="single" w:color="auto" w:sz="4" w:space="0"/>
              <w:right w:val="single" w:color="auto" w:sz="4" w:space="0"/>
            </w:tcBorders>
            <w:noWrap/>
            <w:vAlign w:val="center"/>
          </w:tcPr>
          <w:p w14:paraId="7AB9A5ED">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lang w:eastAsia="zh-CN"/>
              </w:rPr>
            </w:pPr>
            <w:r>
              <w:rPr>
                <w:rFonts w:hint="eastAsia" w:ascii="宋体" w:hAnsi="宋体" w:eastAsia="宋体" w:cs="宋体"/>
                <w:b/>
                <w:bCs/>
                <w:color w:val="auto"/>
                <w:kern w:val="0"/>
                <w:sz w:val="21"/>
                <w:szCs w:val="24"/>
                <w:highlight w:val="none"/>
              </w:rPr>
              <w:t>采购标的对应的中小企业划分标准所属行业</w:t>
            </w:r>
          </w:p>
        </w:tc>
      </w:tr>
      <w:tr w14:paraId="3180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967" w:type="dxa"/>
            <w:tcBorders>
              <w:top w:val="single" w:color="auto" w:sz="4" w:space="0"/>
              <w:left w:val="single" w:color="auto" w:sz="4" w:space="0"/>
              <w:bottom w:val="single" w:color="auto" w:sz="4" w:space="0"/>
              <w:right w:val="single" w:color="auto" w:sz="4" w:space="0"/>
            </w:tcBorders>
            <w:noWrap/>
            <w:vAlign w:val="center"/>
          </w:tcPr>
          <w:p w14:paraId="5176AEEA">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4"/>
                <w:highlight w:val="none"/>
                <w:lang w:eastAsia="zh-CN"/>
              </w:rPr>
            </w:pPr>
            <w:bookmarkStart w:id="15" w:name="_Hlk344477914"/>
            <w:r>
              <w:rPr>
                <w:rFonts w:hint="eastAsia" w:ascii="宋体" w:hAnsi="宋体" w:cs="宋体"/>
                <w:color w:val="auto"/>
                <w:kern w:val="0"/>
                <w:sz w:val="21"/>
                <w:szCs w:val="24"/>
                <w:highlight w:val="none"/>
                <w:lang w:eastAsia="zh-CN"/>
              </w:rPr>
              <w:t>大渡口九宫庙街区基础设施提质升级项目一城市便民步道</w:t>
            </w:r>
          </w:p>
        </w:tc>
        <w:tc>
          <w:tcPr>
            <w:tcW w:w="2845" w:type="dxa"/>
            <w:tcBorders>
              <w:top w:val="single" w:color="auto" w:sz="4" w:space="0"/>
              <w:left w:val="single" w:color="auto" w:sz="4" w:space="0"/>
              <w:bottom w:val="single" w:color="auto" w:sz="4" w:space="0"/>
              <w:right w:val="single" w:color="auto" w:sz="4" w:space="0"/>
            </w:tcBorders>
            <w:noWrap/>
            <w:vAlign w:val="center"/>
          </w:tcPr>
          <w:p w14:paraId="3F21EAB9">
            <w:pPr>
              <w:widowControl/>
              <w:kinsoku/>
              <w:wordWrap/>
              <w:overflowPunct/>
              <w:topLinePunct w:val="0"/>
              <w:autoSpaceDE/>
              <w:autoSpaceDN/>
              <w:bidi w:val="0"/>
              <w:spacing w:line="440" w:lineRule="exact"/>
              <w:ind w:left="0" w:leftChars="0" w:right="0" w:rightChars="0"/>
              <w:jc w:val="center"/>
              <w:textAlignment w:val="auto"/>
              <w:rPr>
                <w:rFonts w:hint="default"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380</w:t>
            </w:r>
          </w:p>
        </w:tc>
        <w:tc>
          <w:tcPr>
            <w:tcW w:w="2325" w:type="dxa"/>
            <w:tcBorders>
              <w:top w:val="single" w:color="auto" w:sz="4" w:space="0"/>
              <w:left w:val="single" w:color="auto" w:sz="4" w:space="0"/>
              <w:bottom w:val="single" w:color="auto" w:sz="4" w:space="0"/>
              <w:right w:val="single" w:color="auto" w:sz="4" w:space="0"/>
            </w:tcBorders>
            <w:noWrap/>
            <w:vAlign w:val="center"/>
          </w:tcPr>
          <w:p w14:paraId="6722E4EB">
            <w:pPr>
              <w:widowControl/>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color w:val="auto"/>
                <w:sz w:val="24"/>
                <w:szCs w:val="24"/>
                <w:highlight w:val="none"/>
              </w:rPr>
              <w:t>1</w:t>
            </w:r>
          </w:p>
        </w:tc>
        <w:tc>
          <w:tcPr>
            <w:tcW w:w="2356" w:type="dxa"/>
            <w:tcBorders>
              <w:top w:val="single" w:color="auto" w:sz="4" w:space="0"/>
              <w:left w:val="single" w:color="auto" w:sz="4" w:space="0"/>
              <w:bottom w:val="single" w:color="auto" w:sz="4" w:space="0"/>
              <w:right w:val="single" w:color="auto" w:sz="4" w:space="0"/>
            </w:tcBorders>
            <w:noWrap/>
            <w:vAlign w:val="center"/>
          </w:tcPr>
          <w:p w14:paraId="4B95640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建筑业</w:t>
            </w:r>
          </w:p>
        </w:tc>
      </w:tr>
      <w:bookmarkEnd w:id="15"/>
    </w:tbl>
    <w:p w14:paraId="0DCA333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bookmarkStart w:id="16" w:name="_Toc15467"/>
      <w:bookmarkStart w:id="17" w:name="_Toc373860293"/>
      <w:bookmarkStart w:id="18" w:name="_Toc317775178"/>
      <w:r>
        <w:rPr>
          <w:rFonts w:hint="eastAsia" w:ascii="宋体" w:hAnsi="宋体" w:cs="宋体"/>
          <w:color w:val="auto"/>
          <w:sz w:val="24"/>
          <w:szCs w:val="24"/>
          <w:highlight w:val="none"/>
          <w:lang w:eastAsia="zh-CN"/>
        </w:rPr>
        <w:t>注：预算金额</w:t>
      </w:r>
      <w:r>
        <w:rPr>
          <w:rFonts w:hint="eastAsia" w:ascii="宋体" w:hAnsi="宋体" w:cs="宋体"/>
          <w:color w:val="auto"/>
          <w:sz w:val="24"/>
          <w:szCs w:val="24"/>
          <w:highlight w:val="none"/>
          <w:lang w:val="en-US" w:eastAsia="zh-CN"/>
        </w:rPr>
        <w:t>以大渡口区财政局评审中心审核金额为准。</w:t>
      </w:r>
    </w:p>
    <w:p w14:paraId="6BCD0E46">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16"/>
    </w:p>
    <w:p w14:paraId="2284BA15">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地方政府专项债券及业主自筹资金</w:t>
      </w:r>
      <w:r>
        <w:rPr>
          <w:rFonts w:hint="eastAsia" w:ascii="宋体" w:hAnsi="宋体" w:eastAsia="宋体" w:cs="宋体"/>
          <w:color w:val="auto"/>
          <w:sz w:val="24"/>
          <w:szCs w:val="24"/>
          <w:highlight w:val="none"/>
        </w:rPr>
        <w:t>。</w:t>
      </w:r>
    </w:p>
    <w:p w14:paraId="57401BB5">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9" w:name="_Toc16018"/>
      <w:r>
        <w:rPr>
          <w:rFonts w:hint="eastAsia" w:ascii="宋体" w:hAnsi="宋体" w:eastAsia="宋体" w:cs="宋体"/>
          <w:color w:val="auto"/>
          <w:sz w:val="24"/>
          <w:szCs w:val="24"/>
          <w:highlight w:val="none"/>
        </w:rPr>
        <w:t>三、供应商资格条件</w:t>
      </w:r>
      <w:bookmarkEnd w:id="19"/>
    </w:p>
    <w:p w14:paraId="616BFB7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32E0893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7E1A5D6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74063F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B1D5CCB">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D5EF18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B3F140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12D4FAB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5198E3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（二）特定资格条件</w:t>
      </w:r>
    </w:p>
    <w:p w14:paraId="1B81975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具备建设行政主管部门颁发的市政公用工程施工总承包三级及以上资质。</w:t>
      </w:r>
    </w:p>
    <w:p w14:paraId="2BC09E8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2.具备</w:t>
      </w:r>
      <w:r>
        <w:rPr>
          <w:rFonts w:hint="eastAsia" w:ascii="宋体" w:hAnsi="宋体" w:cs="宋体"/>
          <w:color w:val="auto"/>
          <w:sz w:val="24"/>
          <w:szCs w:val="24"/>
          <w:highlight w:val="none"/>
          <w:lang w:eastAsia="zh-CN"/>
        </w:rPr>
        <w:t>建设行政</w:t>
      </w:r>
      <w:r>
        <w:rPr>
          <w:rFonts w:hint="eastAsia" w:ascii="宋体" w:hAnsi="宋体" w:cs="宋体"/>
          <w:color w:val="auto"/>
          <w:sz w:val="24"/>
          <w:szCs w:val="24"/>
          <w:highlight w:val="none"/>
          <w:lang w:val="en-US" w:eastAsia="zh-CN"/>
        </w:rPr>
        <w:t>主管部门颁发的有效的安全生产许可证。</w:t>
      </w:r>
    </w:p>
    <w:p w14:paraId="7486DC6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（需提供有效的资质证书复印件、</w:t>
      </w:r>
      <w:r>
        <w:rPr>
          <w:rFonts w:hint="eastAsia" w:ascii="宋体" w:hAnsi="宋体" w:cs="宋体"/>
          <w:color w:val="auto"/>
          <w:sz w:val="24"/>
          <w:szCs w:val="24"/>
          <w:highlight w:val="none"/>
          <w:lang w:val="en-US" w:eastAsia="zh-CN"/>
        </w:rPr>
        <w:t>安全生产许可证证书复印件</w:t>
      </w:r>
      <w:r>
        <w:rPr>
          <w:rFonts w:hint="eastAsia" w:ascii="宋体" w:hAnsi="宋体" w:cs="宋体"/>
          <w:color w:val="auto"/>
          <w:sz w:val="24"/>
          <w:szCs w:val="24"/>
          <w:highlight w:val="none"/>
          <w:lang w:eastAsia="zh-CN"/>
        </w:rPr>
        <w:t>并加盖供应商公章）</w:t>
      </w:r>
    </w:p>
    <w:p w14:paraId="7C72F2DD">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20" w:name="_Toc6300"/>
      <w:r>
        <w:rPr>
          <w:rFonts w:hint="eastAsia" w:ascii="宋体" w:hAnsi="宋体" w:eastAsia="宋体" w:cs="宋体"/>
          <w:color w:val="auto"/>
          <w:sz w:val="24"/>
          <w:szCs w:val="24"/>
          <w:highlight w:val="none"/>
        </w:rPr>
        <w:t>四、磋商有关说明</w:t>
      </w:r>
      <w:bookmarkEnd w:id="17"/>
      <w:bookmarkEnd w:id="20"/>
    </w:p>
    <w:p w14:paraId="7FD9BBF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（一）供应商应通过“行采家”平台（https://www.gec123.com）进行注册，成为行采家平台供应商。</w:t>
      </w:r>
    </w:p>
    <w:p w14:paraId="3889C70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磋商的供应商，请在行采家（www.gec123.com/）上下载或到采购代理机构处领取本项目竞争性磋商文件以及图纸、澄清等磋商前公布的所有项目资料，无论供应商下载或领取与否，均视为已知晓所有磋商实质性要求内容。</w:t>
      </w:r>
    </w:p>
    <w:p w14:paraId="350602A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（三）竞争性磋商公告期限：自采购公告发布之日起</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个工作日。</w:t>
      </w:r>
    </w:p>
    <w:p w14:paraId="44BC438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（四）竞争性磋商文件发售期限： </w:t>
      </w:r>
    </w:p>
    <w:p w14:paraId="1044B7D5">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日至2025年</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日</w:t>
      </w:r>
    </w:p>
    <w:p w14:paraId="7F29B1CE">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cs="宋体"/>
          <w:color w:val="auto"/>
          <w:sz w:val="24"/>
          <w:szCs w:val="24"/>
          <w:highlight w:val="none"/>
          <w:lang w:eastAsia="zh-CN"/>
        </w:rPr>
        <w:t>各供应商到</w:t>
      </w:r>
      <w:r>
        <w:rPr>
          <w:rFonts w:hint="eastAsia" w:ascii="宋体" w:hAnsi="宋体" w:eastAsia="宋体" w:cs="宋体"/>
          <w:color w:val="auto"/>
          <w:sz w:val="24"/>
          <w:szCs w:val="24"/>
          <w:highlight w:val="none"/>
        </w:rPr>
        <w:t>重庆远博工程项目管理有限公司（重庆市巴南区龙海大道15号跨越中心9楼）持《磋商文件领取表》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营业执照、资质证书、法定代表人授权委托书（法定代表人本人不需要）、有效的二代身份证复印件加盖单位公章进行报名并领取磋商文件等相关资料。</w:t>
      </w:r>
    </w:p>
    <w:p w14:paraId="7DDCD6EF">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w:t>
      </w:r>
      <w:r>
        <w:rPr>
          <w:rFonts w:hint="eastAsia" w:ascii="宋体" w:hAnsi="宋体" w:cs="宋体"/>
          <w:color w:val="auto"/>
          <w:sz w:val="24"/>
          <w:szCs w:val="24"/>
          <w:highlight w:val="none"/>
          <w:lang w:eastAsia="zh-CN"/>
        </w:rPr>
        <w:t>：人民币</w:t>
      </w:r>
      <w:r>
        <w:rPr>
          <w:rFonts w:hint="eastAsia" w:ascii="宋体" w:hAnsi="宋体" w:eastAsia="宋体" w:cs="宋体"/>
          <w:color w:val="auto"/>
          <w:sz w:val="24"/>
          <w:szCs w:val="24"/>
          <w:highlight w:val="none"/>
        </w:rPr>
        <w:t>300元，售后不退。</w:t>
      </w:r>
    </w:p>
    <w:p w14:paraId="4340A7D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（五）供应商</w:t>
      </w:r>
      <w:r>
        <w:rPr>
          <w:rFonts w:hint="eastAsia" w:ascii="宋体" w:hAnsi="宋体" w:eastAsia="宋体" w:cs="宋体"/>
          <w:color w:val="auto"/>
          <w:sz w:val="24"/>
          <w:szCs w:val="24"/>
          <w:highlight w:val="none"/>
        </w:rPr>
        <w:t>须满足以下</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种</w:t>
      </w:r>
      <w:r>
        <w:rPr>
          <w:rFonts w:hint="eastAsia" w:ascii="宋体" w:hAnsi="宋体" w:cs="宋体"/>
          <w:color w:val="auto"/>
          <w:sz w:val="24"/>
          <w:szCs w:val="24"/>
          <w:highlight w:val="none"/>
          <w:lang w:eastAsia="zh-CN"/>
        </w:rPr>
        <w:t>要求</w:t>
      </w:r>
      <w:r>
        <w:rPr>
          <w:rFonts w:hint="eastAsia" w:ascii="宋体" w:hAnsi="宋体" w:eastAsia="宋体" w:cs="宋体"/>
          <w:color w:val="auto"/>
          <w:sz w:val="24"/>
          <w:szCs w:val="24"/>
          <w:highlight w:val="none"/>
        </w:rPr>
        <w:t>，其响应文件才被接受：</w:t>
      </w:r>
    </w:p>
    <w:p w14:paraId="3E8B6D0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要求密封；</w:t>
      </w:r>
    </w:p>
    <w:p w14:paraId="1F452B3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按时在</w:t>
      </w:r>
      <w:r>
        <w:rPr>
          <w:rFonts w:hint="eastAsia" w:ascii="宋体" w:hAnsi="宋体" w:eastAsia="宋体" w:cs="宋体"/>
          <w:color w:val="auto"/>
          <w:sz w:val="24"/>
          <w:szCs w:val="24"/>
          <w:highlight w:val="none"/>
          <w:lang w:eastAsia="zh-CN"/>
        </w:rPr>
        <w:t>规定时间</w:t>
      </w:r>
      <w:r>
        <w:rPr>
          <w:rFonts w:hint="eastAsia" w:ascii="宋体" w:hAnsi="宋体" w:cs="宋体"/>
          <w:color w:val="auto"/>
          <w:sz w:val="24"/>
          <w:szCs w:val="24"/>
          <w:highlight w:val="none"/>
          <w:lang w:eastAsia="zh-CN"/>
        </w:rPr>
        <w:t>报名</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p>
    <w:p w14:paraId="6F8267B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按时递交了响应文件</w:t>
      </w:r>
      <w:r>
        <w:rPr>
          <w:rFonts w:hint="eastAsia" w:ascii="宋体" w:hAnsi="宋体" w:cs="宋体"/>
          <w:color w:val="auto"/>
          <w:sz w:val="24"/>
          <w:szCs w:val="24"/>
          <w:highlight w:val="none"/>
          <w:lang w:eastAsia="zh-CN"/>
        </w:rPr>
        <w:t>。</w:t>
      </w:r>
    </w:p>
    <w:p w14:paraId="5A37DED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递交响应文件地点：重庆</w:t>
      </w:r>
      <w:r>
        <w:rPr>
          <w:rFonts w:hint="eastAsia" w:ascii="宋体" w:hAnsi="宋体" w:cs="宋体"/>
          <w:color w:val="auto"/>
          <w:sz w:val="24"/>
          <w:szCs w:val="24"/>
          <w:highlight w:val="none"/>
          <w:lang w:eastAsia="zh-CN"/>
        </w:rPr>
        <w:t>大渡口区金桥路8号金桥大楼</w:t>
      </w:r>
      <w:r>
        <w:rPr>
          <w:rFonts w:hint="eastAsia" w:ascii="宋体" w:hAnsi="宋体" w:cs="宋体"/>
          <w:color w:val="auto"/>
          <w:sz w:val="24"/>
          <w:szCs w:val="24"/>
          <w:highlight w:val="none"/>
          <w:lang w:val="en-US" w:eastAsia="zh-CN"/>
        </w:rPr>
        <w:t>619会议室</w:t>
      </w:r>
    </w:p>
    <w:p w14:paraId="74C6B6DB">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）响应文件递交</w:t>
      </w:r>
      <w:r>
        <w:rPr>
          <w:rFonts w:hint="eastAsia" w:ascii="宋体" w:hAnsi="宋体" w:cs="宋体"/>
          <w:color w:val="auto"/>
          <w:sz w:val="24"/>
          <w:szCs w:val="24"/>
          <w:highlight w:val="none"/>
          <w:lang w:eastAsia="zh-CN"/>
        </w:rPr>
        <w:t>开始</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11</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p>
    <w:p w14:paraId="377E31F3">
      <w:pPr>
        <w:kinsoku/>
        <w:wordWrap/>
        <w:overflowPunct/>
        <w:topLinePunct w:val="0"/>
        <w:autoSpaceDE/>
        <w:autoSpaceDN/>
        <w:bidi w:val="0"/>
        <w:spacing w:line="440" w:lineRule="exact"/>
        <w:ind w:left="0" w:leftChars="0" w:right="0" w:rightChars="0"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11</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10:00</w:t>
      </w:r>
    </w:p>
    <w:p w14:paraId="67606C8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）磋商开始时间：202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11</w:t>
      </w:r>
      <w:bookmarkStart w:id="1045" w:name="_GoBack"/>
      <w:bookmarkEnd w:id="1045"/>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10:00</w:t>
      </w:r>
    </w:p>
    <w:p w14:paraId="4BBAEADB">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21" w:name="_Toc4141"/>
      <w:bookmarkStart w:id="22" w:name="_Toc373860294"/>
      <w:r>
        <w:rPr>
          <w:rFonts w:hint="eastAsia" w:ascii="宋体" w:hAnsi="宋体" w:eastAsia="宋体" w:cs="宋体"/>
          <w:color w:val="auto"/>
          <w:sz w:val="24"/>
          <w:szCs w:val="24"/>
          <w:highlight w:val="none"/>
        </w:rPr>
        <w:t>五、磋商保证金</w:t>
      </w:r>
      <w:bookmarkEnd w:id="21"/>
    </w:p>
    <w:p w14:paraId="79FCE5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无</w:t>
      </w:r>
    </w:p>
    <w:p w14:paraId="2867E5F1">
      <w:pPr>
        <w:pStyle w:val="5"/>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eastAsia="zh-CN"/>
        </w:rPr>
      </w:pPr>
      <w:bookmarkStart w:id="23" w:name="_Toc25309"/>
      <w:r>
        <w:rPr>
          <w:rFonts w:hint="eastAsia" w:ascii="宋体" w:hAnsi="宋体" w:eastAsia="宋体" w:cs="宋体"/>
          <w:color w:val="auto"/>
          <w:sz w:val="24"/>
          <w:szCs w:val="24"/>
          <w:highlight w:val="none"/>
        </w:rPr>
        <w:t>六、履约</w:t>
      </w:r>
      <w:bookmarkEnd w:id="23"/>
      <w:r>
        <w:rPr>
          <w:rFonts w:hint="eastAsia" w:ascii="宋体" w:hAnsi="宋体" w:cs="宋体"/>
          <w:color w:val="auto"/>
          <w:sz w:val="24"/>
          <w:szCs w:val="24"/>
          <w:highlight w:val="none"/>
          <w:lang w:val="en-US" w:eastAsia="zh-CN"/>
        </w:rPr>
        <w:t>担保</w:t>
      </w:r>
    </w:p>
    <w:p w14:paraId="3D46ADBE">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履约担保金额为：项目成交金额的5%。</w:t>
      </w:r>
    </w:p>
    <w:p w14:paraId="5CAFD815">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履约担保递交方式：以现金（支票、汇票、本票）或者金融机构、担保机构出具的保函等非现金形式提交。</w:t>
      </w:r>
    </w:p>
    <w:p w14:paraId="31F3C84F">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磋商文件约定要求。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5FBB2C21">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履约担保递交时间：</w:t>
      </w:r>
      <w:bookmarkStart w:id="24" w:name="OLE_LINK4"/>
      <w:r>
        <w:rPr>
          <w:rFonts w:hint="eastAsia" w:ascii="宋体" w:hAnsi="宋体" w:eastAsia="宋体" w:cs="宋体"/>
          <w:color w:val="auto"/>
          <w:sz w:val="24"/>
          <w:szCs w:val="24"/>
          <w:highlight w:val="none"/>
          <w:lang w:val="en-US" w:eastAsia="zh-CN"/>
        </w:rPr>
        <w:t>成交供应商应当在领取成交通知书后20天内且合同签订之前提交履约担保；如以现金方式缴纳履约担保的，将履约担保汇入下列帐户（重庆市大渡口区城乡建设发展有限公司开具收据为准）：</w:t>
      </w:r>
    </w:p>
    <w:bookmarkEnd w:id="24"/>
    <w:p w14:paraId="75C00A59">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公司相关账号如下：</w:t>
      </w:r>
    </w:p>
    <w:p w14:paraId="335006BB">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w:t>
      </w:r>
      <w:r>
        <w:rPr>
          <w:rFonts w:hint="eastAsia" w:ascii="宋体" w:hAnsi="宋体" w:eastAsia="宋体" w:cs="宋体"/>
          <w:color w:val="auto"/>
          <w:sz w:val="24"/>
          <w:szCs w:val="24"/>
          <w:highlight w:val="none"/>
          <w:lang w:val="en-US" w:eastAsia="zh-CN"/>
        </w:rPr>
        <w:t>重庆市大渡口区城乡建设发展有限公司</w:t>
      </w:r>
    </w:p>
    <w:p w14:paraId="7054EA82">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开户行：重庆</w:t>
      </w:r>
      <w:r>
        <w:rPr>
          <w:rFonts w:hint="eastAsia" w:ascii="宋体" w:hAnsi="宋体" w:eastAsia="宋体" w:cs="宋体"/>
          <w:color w:val="auto"/>
          <w:sz w:val="24"/>
          <w:szCs w:val="24"/>
          <w:highlight w:val="none"/>
          <w:lang w:val="en-US" w:eastAsia="zh-CN"/>
        </w:rPr>
        <w:t>银行</w:t>
      </w:r>
      <w:r>
        <w:rPr>
          <w:rFonts w:hint="eastAsia" w:ascii="宋体" w:hAnsi="宋体" w:eastAsia="宋体" w:cs="宋体"/>
          <w:color w:val="auto"/>
          <w:sz w:val="24"/>
          <w:szCs w:val="24"/>
          <w:highlight w:val="none"/>
          <w:lang w:eastAsia="zh-CN"/>
        </w:rPr>
        <w:t>大渡口支行</w:t>
      </w:r>
    </w:p>
    <w:p w14:paraId="710DAD7E">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账  号：</w:t>
      </w:r>
      <w:r>
        <w:rPr>
          <w:rFonts w:hint="eastAsia" w:ascii="宋体" w:hAnsi="宋体" w:eastAsia="宋体" w:cs="宋体"/>
          <w:color w:val="auto"/>
          <w:sz w:val="24"/>
          <w:szCs w:val="24"/>
          <w:highlight w:val="none"/>
          <w:lang w:val="en-US" w:eastAsia="zh-CN"/>
        </w:rPr>
        <w:t>340102029004944146</w:t>
      </w:r>
    </w:p>
    <w:p w14:paraId="6B169D2E">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auto"/>
          <w:highlight w:val="none"/>
          <w:lang w:val="en-US" w:eastAsia="zh-CN"/>
        </w:rPr>
      </w:pPr>
      <w:r>
        <w:rPr>
          <w:rFonts w:hint="eastAsia" w:ascii="宋体" w:hAnsi="宋体" w:cs="宋体"/>
          <w:b w:val="0"/>
          <w:color w:val="auto"/>
          <w:kern w:val="2"/>
          <w:sz w:val="24"/>
          <w:szCs w:val="24"/>
          <w:highlight w:val="none"/>
          <w:lang w:val="en-US" w:eastAsia="zh-CN" w:bidi="ar-SA"/>
        </w:rPr>
        <w:t>汇入履约保证金时需备注项目名称。</w:t>
      </w:r>
    </w:p>
    <w:p w14:paraId="33AC0BE1">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退还时间：</w:t>
      </w:r>
      <w:r>
        <w:rPr>
          <w:rFonts w:hint="eastAsia" w:ascii="宋体" w:hAnsi="宋体" w:eastAsia="宋体" w:cs="宋体"/>
          <w:color w:val="auto"/>
          <w:sz w:val="24"/>
          <w:szCs w:val="24"/>
          <w:highlight w:val="none"/>
          <w:u w:val="none"/>
          <w:lang w:val="en-US" w:eastAsia="zh-CN"/>
        </w:rPr>
        <w:t>采用现金担保的，工程竣工验收合格后14天内退还；采用履约保函的，工程竣工验收合格后14天内退还。</w:t>
      </w:r>
    </w:p>
    <w:p w14:paraId="5A66B941">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注：如成交供应商未在规定时间内按要求提交履约保证金，视为放弃中标，采购人有权重新采购，给采购人造成损失的，采购人有权要求成交供应商予以赔偿。</w:t>
      </w:r>
    </w:p>
    <w:p w14:paraId="1A9204B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bookmarkEnd w:id="18"/>
      <w:bookmarkEnd w:id="22"/>
      <w:bookmarkStart w:id="25" w:name="_Toc479668114"/>
      <w:bookmarkStart w:id="26" w:name="_Toc480466698"/>
      <w:r>
        <w:rPr>
          <w:rFonts w:hint="eastAsia" w:ascii="宋体" w:hAnsi="宋体" w:eastAsia="宋体" w:cs="宋体"/>
          <w:b/>
          <w:color w:val="auto"/>
          <w:sz w:val="24"/>
          <w:szCs w:val="24"/>
          <w:highlight w:val="none"/>
        </w:rPr>
        <w:t>采购项目需落实的政府采购政策</w:t>
      </w:r>
      <w:bookmarkEnd w:id="25"/>
      <w:bookmarkEnd w:id="26"/>
    </w:p>
    <w:p w14:paraId="061CDEED">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6E6FE71">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 工业和信息化部关于印发&lt;政府采购促进中小企业发展暂行办法&gt;的通知》（财库〔2011〕181号）的规定，落实促进中小企业发展政策。</w:t>
      </w:r>
    </w:p>
    <w:p w14:paraId="20CA60D7">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63A752D6">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p>
    <w:p w14:paraId="15710566">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27" w:name="_Toc8027"/>
      <w:bookmarkStart w:id="28" w:name="_Toc480466699"/>
      <w:r>
        <w:rPr>
          <w:rFonts w:hint="eastAsia" w:ascii="宋体" w:hAnsi="宋体" w:eastAsia="宋体" w:cs="宋体"/>
          <w:color w:val="auto"/>
          <w:sz w:val="24"/>
          <w:szCs w:val="24"/>
          <w:highlight w:val="none"/>
        </w:rPr>
        <w:t>八、其它有关规定</w:t>
      </w:r>
      <w:bookmarkEnd w:id="27"/>
      <w:bookmarkEnd w:id="28"/>
    </w:p>
    <w:p w14:paraId="36E0D900">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（一）单位负责人为同一人或者存在直接控股、管理关系的不同供应商，不得参加同一合同项（分包）下的政府采购活动，否则均为无效响应。</w:t>
      </w:r>
    </w:p>
    <w:p w14:paraId="6CECB601">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1C187336">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w:t>
      </w:r>
      <w:r>
        <w:rPr>
          <w:rFonts w:hint="eastAsia" w:ascii="宋体" w:hAnsi="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上发布，请各供应商注意下载；无论供应商下载或领取与否，均视同供应商已知晓本项目澄清文件（如果有）的内容。</w:t>
      </w:r>
    </w:p>
    <w:p w14:paraId="7B45A02F">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3C42D92D">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6BC2058B">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本项目不接受联合体参与磋商。</w:t>
      </w:r>
    </w:p>
    <w:p w14:paraId="78734580">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（七）</w:t>
      </w:r>
      <w:bookmarkStart w:id="29" w:name="_Toc480466700"/>
      <w:r>
        <w:rPr>
          <w:rFonts w:hint="eastAsia" w:ascii="宋体" w:hAnsi="宋体" w:eastAsia="宋体" w:cs="宋体"/>
          <w:b/>
          <w:color w:val="auto"/>
          <w:sz w:val="24"/>
          <w:szCs w:val="24"/>
          <w:highlight w:val="none"/>
        </w:rPr>
        <w:t>本项目</w:t>
      </w:r>
      <w:r>
        <w:rPr>
          <w:rFonts w:hint="eastAsia" w:ascii="宋体" w:hAnsi="宋体" w:cs="宋体"/>
          <w:b/>
          <w:color w:val="auto"/>
          <w:sz w:val="24"/>
          <w:szCs w:val="24"/>
          <w:highlight w:val="none"/>
          <w:lang w:eastAsia="zh-CN"/>
        </w:rPr>
        <w:t>不</w:t>
      </w:r>
      <w:r>
        <w:rPr>
          <w:rFonts w:hint="eastAsia" w:ascii="宋体" w:hAnsi="宋体" w:eastAsia="宋体" w:cs="宋体"/>
          <w:b/>
          <w:color w:val="auto"/>
          <w:sz w:val="24"/>
          <w:szCs w:val="24"/>
          <w:highlight w:val="none"/>
        </w:rPr>
        <w:t>接受合同分包</w:t>
      </w:r>
      <w:r>
        <w:rPr>
          <w:rFonts w:hint="eastAsia" w:ascii="宋体" w:hAnsi="宋体" w:eastAsia="宋体" w:cs="宋体"/>
          <w:b/>
          <w:color w:val="auto"/>
          <w:sz w:val="24"/>
          <w:szCs w:val="24"/>
          <w:highlight w:val="none"/>
          <w:lang w:eastAsia="zh-CN"/>
        </w:rPr>
        <w:t>。</w:t>
      </w:r>
    </w:p>
    <w:p w14:paraId="3532E3AE">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2F4ABFB">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30" w:name="_Toc27171"/>
      <w:r>
        <w:rPr>
          <w:rFonts w:hint="eastAsia" w:ascii="宋体" w:hAnsi="宋体" w:eastAsia="宋体" w:cs="宋体"/>
          <w:color w:val="auto"/>
          <w:sz w:val="24"/>
          <w:szCs w:val="24"/>
          <w:highlight w:val="none"/>
        </w:rPr>
        <w:t>九、联系方式</w:t>
      </w:r>
      <w:bookmarkEnd w:id="29"/>
      <w:bookmarkEnd w:id="30"/>
    </w:p>
    <w:p w14:paraId="52E2679C">
      <w:pPr>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代理业主</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重庆市大渡口区城乡建设发展有限公司</w:t>
      </w:r>
    </w:p>
    <w:p w14:paraId="68467718">
      <w:pPr>
        <w:kinsoku/>
        <w:wordWrap/>
        <w:overflowPunct/>
        <w:topLinePunct w:val="0"/>
        <w:autoSpaceDE/>
        <w:autoSpaceDN/>
        <w:bidi w:val="0"/>
        <w:snapToGrid w:val="0"/>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雷</w:t>
      </w:r>
      <w:r>
        <w:rPr>
          <w:rFonts w:hint="eastAsia" w:ascii="宋体" w:hAnsi="宋体" w:eastAsia="宋体" w:cs="宋体"/>
          <w:color w:val="auto"/>
          <w:sz w:val="24"/>
          <w:szCs w:val="24"/>
          <w:highlight w:val="none"/>
        </w:rPr>
        <w:t>老师</w:t>
      </w:r>
    </w:p>
    <w:p w14:paraId="7BE5346A">
      <w:pPr>
        <w:kinsoku/>
        <w:wordWrap/>
        <w:overflowPunct/>
        <w:topLinePunct w:val="0"/>
        <w:autoSpaceDE/>
        <w:autoSpaceDN/>
        <w:bidi w:val="0"/>
        <w:snapToGrid w:val="0"/>
        <w:spacing w:line="440" w:lineRule="exact"/>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话：023-</w:t>
      </w:r>
      <w:r>
        <w:rPr>
          <w:rFonts w:hint="eastAsia" w:ascii="宋体" w:hAnsi="宋体" w:cs="宋体"/>
          <w:color w:val="auto"/>
          <w:sz w:val="24"/>
          <w:szCs w:val="24"/>
          <w:highlight w:val="none"/>
          <w:lang w:val="en-US" w:eastAsia="zh-CN"/>
        </w:rPr>
        <w:t>68953888</w:t>
      </w:r>
    </w:p>
    <w:p w14:paraId="40A09C24">
      <w:pPr>
        <w:kinsoku/>
        <w:wordWrap/>
        <w:overflowPunct/>
        <w:topLinePunct w:val="0"/>
        <w:autoSpaceDE/>
        <w:autoSpaceDN/>
        <w:bidi w:val="0"/>
        <w:snapToGrid w:val="0"/>
        <w:spacing w:line="440" w:lineRule="exact"/>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址：重庆市大渡口区</w:t>
      </w:r>
      <w:r>
        <w:rPr>
          <w:rFonts w:hint="eastAsia" w:ascii="宋体" w:hAnsi="宋体" w:cs="宋体"/>
          <w:color w:val="auto"/>
          <w:sz w:val="24"/>
          <w:szCs w:val="24"/>
          <w:highlight w:val="none"/>
          <w:lang w:eastAsia="zh-CN"/>
        </w:rPr>
        <w:t>金桥路</w:t>
      </w:r>
      <w:r>
        <w:rPr>
          <w:rFonts w:hint="eastAsia" w:ascii="宋体" w:hAnsi="宋体" w:cs="宋体"/>
          <w:color w:val="auto"/>
          <w:sz w:val="24"/>
          <w:szCs w:val="24"/>
          <w:highlight w:val="none"/>
          <w:lang w:val="en-US" w:eastAsia="zh-CN"/>
        </w:rPr>
        <w:t>8号</w:t>
      </w:r>
      <w:r>
        <w:rPr>
          <w:rFonts w:hint="eastAsia" w:ascii="宋体" w:hAnsi="宋体" w:cs="宋体"/>
          <w:color w:val="auto"/>
          <w:sz w:val="24"/>
          <w:szCs w:val="24"/>
          <w:highlight w:val="none"/>
          <w:lang w:eastAsia="zh-CN"/>
        </w:rPr>
        <w:t>金桥大楼</w:t>
      </w:r>
      <w:r>
        <w:rPr>
          <w:rFonts w:hint="eastAsia" w:ascii="宋体" w:hAnsi="宋体" w:cs="宋体"/>
          <w:color w:val="auto"/>
          <w:sz w:val="24"/>
          <w:szCs w:val="24"/>
          <w:highlight w:val="none"/>
          <w:lang w:val="en-US" w:eastAsia="zh-CN"/>
        </w:rPr>
        <w:t>6楼</w:t>
      </w:r>
    </w:p>
    <w:p w14:paraId="47AC5DBA">
      <w:pPr>
        <w:pStyle w:val="2"/>
        <w:kinsoku/>
        <w:wordWrap/>
        <w:overflowPunct/>
        <w:topLinePunct w:val="0"/>
        <w:autoSpaceDE/>
        <w:autoSpaceDN/>
        <w:bidi w:val="0"/>
        <w:spacing w:line="440" w:lineRule="exact"/>
        <w:ind w:left="0" w:leftChars="0" w:right="0" w:rightChars="0"/>
        <w:textAlignment w:val="auto"/>
        <w:rPr>
          <w:rFonts w:hint="eastAsia"/>
          <w:color w:val="auto"/>
          <w:highlight w:val="none"/>
        </w:rPr>
      </w:pPr>
    </w:p>
    <w:p w14:paraId="5818A0A0">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eastAsia="zh-CN"/>
        </w:rPr>
        <w:t>代理机构</w:t>
      </w:r>
      <w:r>
        <w:rPr>
          <w:rFonts w:hint="eastAsia" w:ascii="宋体" w:hAnsi="宋体" w:eastAsia="宋体" w:cs="宋体"/>
          <w:color w:val="auto"/>
          <w:sz w:val="24"/>
          <w:szCs w:val="24"/>
          <w:highlight w:val="none"/>
        </w:rPr>
        <w:t>：重庆</w:t>
      </w:r>
      <w:r>
        <w:rPr>
          <w:rFonts w:hint="eastAsia" w:ascii="宋体" w:hAnsi="宋体" w:cs="宋体"/>
          <w:color w:val="auto"/>
          <w:sz w:val="24"/>
          <w:szCs w:val="24"/>
          <w:highlight w:val="none"/>
          <w:lang w:eastAsia="zh-CN"/>
        </w:rPr>
        <w:t>远博工程项目管理有限公司</w:t>
      </w:r>
    </w:p>
    <w:p w14:paraId="4327C44A">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熊</w:t>
      </w:r>
      <w:r>
        <w:rPr>
          <w:rFonts w:hint="eastAsia" w:ascii="宋体" w:hAnsi="宋体" w:eastAsia="宋体" w:cs="宋体"/>
          <w:color w:val="auto"/>
          <w:sz w:val="24"/>
          <w:szCs w:val="24"/>
          <w:highlight w:val="none"/>
        </w:rPr>
        <w:t>老师</w:t>
      </w:r>
    </w:p>
    <w:p w14:paraId="1B76DA62">
      <w:pPr>
        <w:kinsoku/>
        <w:wordWrap/>
        <w:overflowPunct/>
        <w:topLinePunct w:val="0"/>
        <w:autoSpaceDE/>
        <w:autoSpaceDN/>
        <w:bidi w:val="0"/>
        <w:snapToGrid w:val="0"/>
        <w:spacing w:line="440" w:lineRule="exact"/>
        <w:ind w:left="0" w:leftChars="0" w:right="0" w:rightChars="0"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19912403021</w:t>
      </w:r>
    </w:p>
    <w:p w14:paraId="22476BB6">
      <w:pPr>
        <w:kinsoku/>
        <w:wordWrap/>
        <w:overflowPunct/>
        <w:topLinePunct w:val="0"/>
        <w:autoSpaceDE/>
        <w:autoSpaceDN/>
        <w:bidi w:val="0"/>
        <w:snapToGrid w:val="0"/>
        <w:spacing w:line="440" w:lineRule="exact"/>
        <w:ind w:left="0" w:leftChars="0" w:right="0" w:rightChars="0" w:firstLine="360" w:firstLineChars="15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地  址：重庆市</w:t>
      </w:r>
      <w:r>
        <w:rPr>
          <w:rFonts w:hint="eastAsia" w:ascii="宋体" w:hAnsi="宋体" w:cs="宋体"/>
          <w:color w:val="auto"/>
          <w:sz w:val="24"/>
          <w:szCs w:val="24"/>
          <w:highlight w:val="none"/>
          <w:lang w:eastAsia="zh-CN"/>
        </w:rPr>
        <w:t>巴南区龙海大道</w:t>
      </w:r>
      <w:r>
        <w:rPr>
          <w:rFonts w:hint="eastAsia" w:ascii="宋体" w:hAnsi="宋体" w:cs="宋体"/>
          <w:color w:val="auto"/>
          <w:sz w:val="24"/>
          <w:szCs w:val="24"/>
          <w:highlight w:val="none"/>
          <w:lang w:val="en-US" w:eastAsia="zh-CN"/>
        </w:rPr>
        <w:t>15号跨越中心9楼</w:t>
      </w:r>
    </w:p>
    <w:p w14:paraId="661F49A4">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0"/>
          <w:szCs w:val="30"/>
          <w:highlight w:val="none"/>
        </w:rPr>
      </w:pPr>
      <w:r>
        <w:rPr>
          <w:rFonts w:hint="eastAsia" w:ascii="宋体" w:hAnsi="宋体" w:eastAsia="宋体" w:cs="宋体"/>
          <w:b w:val="0"/>
          <w:color w:val="auto"/>
          <w:sz w:val="36"/>
          <w:szCs w:val="30"/>
          <w:highlight w:val="none"/>
        </w:rPr>
        <w:br w:type="page"/>
      </w:r>
      <w:bookmarkStart w:id="31" w:name="_Toc28465"/>
      <w:r>
        <w:rPr>
          <w:rFonts w:hint="eastAsia" w:ascii="宋体" w:hAnsi="宋体" w:eastAsia="宋体" w:cs="宋体"/>
          <w:b w:val="0"/>
          <w:color w:val="auto"/>
          <w:sz w:val="36"/>
          <w:szCs w:val="30"/>
          <w:highlight w:val="none"/>
        </w:rPr>
        <w:t>第二篇  项目服务需求</w:t>
      </w:r>
      <w:bookmarkEnd w:id="31"/>
    </w:p>
    <w:p w14:paraId="510686A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bookmarkStart w:id="32" w:name="_Toc12789058"/>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建设地点</w:t>
      </w:r>
    </w:p>
    <w:p w14:paraId="24710B4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重庆市大渡口区九宫庙步行街。</w:t>
      </w:r>
    </w:p>
    <w:p w14:paraId="2370ACF7">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建设规模</w:t>
      </w:r>
    </w:p>
    <w:p w14:paraId="50FD164E">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eastAsia="zh-CN"/>
        </w:rPr>
        <w:t>城市便民步道部分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主要建设全长约3.6公里的便民步道改造</w:t>
      </w:r>
      <w:r>
        <w:rPr>
          <w:rFonts w:hint="eastAsia" w:ascii="宋体" w:hAnsi="宋体" w:cs="宋体"/>
          <w:color w:val="auto"/>
          <w:sz w:val="24"/>
          <w:szCs w:val="24"/>
          <w:highlight w:val="none"/>
          <w:lang w:eastAsia="zh-CN"/>
        </w:rPr>
        <w:t>。</w:t>
      </w:r>
    </w:p>
    <w:p w14:paraId="0AFE13BB">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三、采购范围</w:t>
      </w:r>
    </w:p>
    <w:p w14:paraId="575A8BE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施工图所示的全部工作内容，具体详见</w:t>
      </w:r>
      <w:r>
        <w:rPr>
          <w:rFonts w:hint="eastAsia" w:ascii="宋体" w:hAnsi="宋体" w:cs="宋体"/>
          <w:color w:val="auto"/>
          <w:sz w:val="24"/>
          <w:szCs w:val="24"/>
          <w:highlight w:val="none"/>
          <w:lang w:val="en-US" w:eastAsia="zh-CN"/>
        </w:rPr>
        <w:t>施工图和</w:t>
      </w:r>
      <w:r>
        <w:rPr>
          <w:rFonts w:hint="eastAsia" w:ascii="宋体" w:hAnsi="宋体" w:cs="宋体"/>
          <w:color w:val="auto"/>
          <w:sz w:val="24"/>
          <w:szCs w:val="24"/>
          <w:highlight w:val="none"/>
          <w:lang w:eastAsia="zh-CN"/>
        </w:rPr>
        <w:t>工程量清单。</w:t>
      </w:r>
    </w:p>
    <w:p w14:paraId="5057A6A4">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四、质量标准</w:t>
      </w:r>
    </w:p>
    <w:p w14:paraId="586C7746">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符合强制性质量标准，符合国家和重庆市现行有关施工质量验收规范要求，并达到合格标准。</w:t>
      </w:r>
    </w:p>
    <w:p w14:paraId="419C6AFF">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业绩要求</w:t>
      </w:r>
    </w:p>
    <w:p w14:paraId="7525835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2020年1月1日（以合同签订时间为准）至投标截止之日，供应商至少已完成1个合同金额不少于220万元的市政公用工程项目业绩。</w:t>
      </w:r>
    </w:p>
    <w:p w14:paraId="0B40423A">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（提供合同协议书、竣工验收资料复印件并加盖供应商公章）。</w:t>
      </w:r>
    </w:p>
    <w:p w14:paraId="3C883F0C">
      <w:pPr>
        <w:numPr>
          <w:ilvl w:val="0"/>
          <w:numId w:val="0"/>
        </w:numPr>
        <w:kinsoku/>
        <w:wordWrap/>
        <w:overflowPunct/>
        <w:topLinePunct w:val="0"/>
        <w:autoSpaceDE/>
        <w:autoSpaceDN/>
        <w:bidi w:val="0"/>
        <w:spacing w:line="440" w:lineRule="exact"/>
        <w:ind w:left="0" w:leftChars="0" w:right="0" w:rightChars="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eastAsia="zh-CN"/>
        </w:rPr>
        <w:t>人员要求</w:t>
      </w:r>
    </w:p>
    <w:p w14:paraId="10DCCDFE">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1.项目经理</w:t>
      </w:r>
    </w:p>
    <w:p w14:paraId="6A0E7CF2">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供应商拟派的项目经理必须已在供应商本单位注册并应具有</w:t>
      </w:r>
      <w:r>
        <w:rPr>
          <w:rFonts w:hint="eastAsia" w:ascii="宋体" w:hAnsi="宋体" w:cs="宋体"/>
          <w:color w:val="auto"/>
          <w:sz w:val="24"/>
          <w:szCs w:val="24"/>
          <w:highlight w:val="none"/>
          <w:u w:val="single"/>
          <w:lang w:val="en-US" w:eastAsia="zh-CN"/>
        </w:rPr>
        <w:t>市政公用工程</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u w:val="single"/>
          <w:lang w:val="en-US" w:eastAsia="zh-CN"/>
        </w:rPr>
        <w:t>贰</w:t>
      </w:r>
      <w:r>
        <w:rPr>
          <w:rFonts w:hint="eastAsia" w:ascii="宋体" w:hAnsi="宋体" w:cs="宋体"/>
          <w:color w:val="auto"/>
          <w:sz w:val="24"/>
          <w:szCs w:val="24"/>
          <w:highlight w:val="none"/>
          <w:lang w:val="en-US" w:eastAsia="zh-CN"/>
        </w:rPr>
        <w:t>级及以上注册建造师执业资格。</w:t>
      </w:r>
    </w:p>
    <w:p w14:paraId="0B45D203">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（提供有效的拟派项目经理建造师注册证、身份证、安全生产考核合格证书、竞标截止日前三个月的养老保险证明材料复印件并加盖供应商公章）。</w:t>
      </w:r>
    </w:p>
    <w:p w14:paraId="5E90A163">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2.其他人员</w:t>
      </w:r>
    </w:p>
    <w:p w14:paraId="70738CF3">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的养老保险证明材料。中标后不能满足该要求的，采购人可取消其中标资格，给采购人造成损失的，供应商依法承担违约赔偿责任。</w:t>
      </w:r>
    </w:p>
    <w:p w14:paraId="336997BA">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（供应商提供承诺，格式自拟）。</w:t>
      </w:r>
    </w:p>
    <w:p w14:paraId="5C848C48">
      <w:pPr>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color w:val="auto"/>
          <w:highlight w:val="none"/>
        </w:rPr>
      </w:pPr>
    </w:p>
    <w:p w14:paraId="1E4776C5">
      <w:pPr>
        <w:rPr>
          <w:rFonts w:hint="eastAsia" w:ascii="宋体" w:hAnsi="宋体" w:eastAsia="宋体" w:cs="宋体"/>
          <w:b w:val="0"/>
          <w:color w:val="auto"/>
          <w:sz w:val="36"/>
          <w:szCs w:val="30"/>
          <w:highlight w:val="none"/>
        </w:rPr>
      </w:pPr>
      <w:bookmarkStart w:id="33" w:name="_Toc15689"/>
      <w:r>
        <w:rPr>
          <w:rFonts w:hint="eastAsia" w:ascii="宋体" w:hAnsi="宋体" w:eastAsia="宋体" w:cs="宋体"/>
          <w:b w:val="0"/>
          <w:color w:val="auto"/>
          <w:sz w:val="36"/>
          <w:szCs w:val="30"/>
          <w:highlight w:val="none"/>
        </w:rPr>
        <w:br w:type="page"/>
      </w:r>
    </w:p>
    <w:p w14:paraId="28C12FF2">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第三篇  </w:t>
      </w:r>
      <w:bookmarkEnd w:id="32"/>
      <w:r>
        <w:rPr>
          <w:rFonts w:hint="eastAsia" w:ascii="宋体" w:hAnsi="宋体" w:eastAsia="宋体" w:cs="宋体"/>
          <w:b w:val="0"/>
          <w:color w:val="auto"/>
          <w:sz w:val="36"/>
          <w:szCs w:val="30"/>
          <w:highlight w:val="none"/>
        </w:rPr>
        <w:t>项目商务需求</w:t>
      </w:r>
      <w:bookmarkEnd w:id="33"/>
    </w:p>
    <w:p w14:paraId="65914FB9">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34" w:name="_Toc344475120"/>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施工工期</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建设地点、</w:t>
      </w:r>
      <w:r>
        <w:rPr>
          <w:rFonts w:hint="eastAsia" w:ascii="宋体" w:hAnsi="宋体" w:eastAsia="宋体" w:cs="宋体"/>
          <w:b/>
          <w:bCs/>
          <w:color w:val="auto"/>
          <w:sz w:val="24"/>
          <w:szCs w:val="24"/>
          <w:highlight w:val="none"/>
        </w:rPr>
        <w:t>验收方式</w:t>
      </w:r>
      <w:bookmarkEnd w:id="34"/>
    </w:p>
    <w:p w14:paraId="085EEC9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（一）施工工期</w:t>
      </w:r>
    </w:p>
    <w:p w14:paraId="20CF99D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u w:val="single"/>
          <w:lang w:val="en-US" w:eastAsia="zh-CN"/>
        </w:rPr>
        <w:t>60</w:t>
      </w:r>
      <w:r>
        <w:rPr>
          <w:rFonts w:hint="eastAsia" w:ascii="宋体" w:hAnsi="宋体" w:cs="宋体"/>
          <w:color w:val="auto"/>
          <w:kern w:val="0"/>
          <w:sz w:val="24"/>
          <w:szCs w:val="24"/>
          <w:highlight w:val="none"/>
          <w:lang w:eastAsia="zh-CN"/>
        </w:rPr>
        <w:t xml:space="preserve">日历天，缺陷责任期 </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lang w:eastAsia="zh-CN"/>
        </w:rPr>
        <w:t>个月。</w:t>
      </w:r>
    </w:p>
    <w:p w14:paraId="72A3E9B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eastAsia="zh-CN"/>
        </w:rPr>
        <w:t>建设地点</w:t>
      </w:r>
    </w:p>
    <w:p w14:paraId="11F0BD4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lang w:eastAsia="zh-CN"/>
        </w:rPr>
        <w:t>重庆市</w:t>
      </w:r>
      <w:r>
        <w:rPr>
          <w:rFonts w:hint="eastAsia" w:ascii="宋体" w:hAnsi="宋体" w:eastAsia="宋体" w:cs="宋体"/>
          <w:color w:val="auto"/>
          <w:sz w:val="24"/>
          <w:szCs w:val="24"/>
          <w:highlight w:val="none"/>
          <w:lang w:eastAsia="zh-CN"/>
        </w:rPr>
        <w:t>大渡口区</w:t>
      </w:r>
      <w:r>
        <w:rPr>
          <w:rFonts w:hint="eastAsia" w:ascii="宋体" w:hAnsi="宋体" w:cs="宋体"/>
          <w:color w:val="auto"/>
          <w:sz w:val="24"/>
          <w:szCs w:val="24"/>
          <w:highlight w:val="none"/>
          <w:lang w:eastAsia="zh-CN"/>
        </w:rPr>
        <w:t>九宫庙街区</w:t>
      </w:r>
    </w:p>
    <w:p w14:paraId="1D3B6FE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000E5D6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bookmarkStart w:id="35" w:name="_Toc344475121"/>
      <w:r>
        <w:rPr>
          <w:rFonts w:hint="eastAsia" w:ascii="宋体" w:hAnsi="宋体" w:cs="宋体"/>
          <w:color w:val="auto"/>
          <w:sz w:val="24"/>
          <w:szCs w:val="24"/>
          <w:highlight w:val="none"/>
          <w:lang w:val="en-US" w:eastAsia="zh-CN"/>
        </w:rPr>
        <w:t>1.1验收单位：由采购人方负责组织验收。</w:t>
      </w:r>
    </w:p>
    <w:p w14:paraId="5EE8CEE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1.2验收标准：按照国家及行业相关标准、磋商文件规定、合同约定标准进行验收，如验收达不到规定要求，对采购人方造成一定的损失，成交供应商应承担一切责任，并赔偿所造成的损失。</w:t>
      </w:r>
    </w:p>
    <w:p w14:paraId="4A496516">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bookmarkEnd w:id="35"/>
      <w:r>
        <w:rPr>
          <w:rFonts w:hint="eastAsia" w:ascii="宋体" w:hAnsi="宋体" w:eastAsia="宋体" w:cs="宋体"/>
          <w:b/>
          <w:bCs/>
          <w:color w:val="auto"/>
          <w:sz w:val="24"/>
          <w:szCs w:val="24"/>
          <w:highlight w:val="none"/>
        </w:rPr>
        <w:t>报价要求</w:t>
      </w:r>
    </w:p>
    <w:p w14:paraId="5CD55CF2">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过程中二次报价时，供应商只需对总价进行二次报价，分部分项工程项目清单计价表中的单项报价在签订合同时按照二次报价与初始报价的价格比例进行同比例下浮调整即可，二次报价中供应商无需再逐项进行单项报价。</w:t>
      </w:r>
    </w:p>
    <w:p w14:paraId="266B72B5">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1.使用国有资金投资的建设工程发承包，必须采用工程量清单计价。工程量清单应采用综合单价计价。</w:t>
      </w:r>
    </w:p>
    <w:p w14:paraId="309990AC">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应按《建设工程工程量清单计价规范》（GB50500-2013）及重庆市相关工程量清单计价规则的要求填写相应清单表格。供应商应按本须知、《重庆市建设工程费用定额》（CQFYDE-2018）、《重庆市住房和城乡建设委员会关于适用增值税新税率调整建设工程计价依据的通知》（渝建〔2019〕143号）的要求填写相应清单表格。供应商的投标报价应是本章供应商须知前附表第1.3.1项中所述的本工程合同段采购范围内的全部工程的投标报价，并以供应商在工程量清单中提出的单价或总价为依据。</w:t>
      </w:r>
    </w:p>
    <w:p w14:paraId="3A4864B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否则交由评标委员会作否决投标处理。</w:t>
      </w:r>
    </w:p>
    <w:p w14:paraId="3655DC2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4.竞争性磋商报价函中的总报价与已标价工程量清单总报价不一致，或工程量清单总报价与依据单价、工程数量、分部分项工程合价计算出的结果不一致，由评标委员会作否决投标处理。</w:t>
      </w:r>
    </w:p>
    <w:p w14:paraId="021DD05D">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5.如发现工程量清单中的数量与图纸中数量不一致，应于本须知第2.2.1项中规定的时间前书面通知采购人核查，除非采购人以修改的形式予以更正，否则，应以工程量清单中列出的数量为准。</w:t>
      </w:r>
    </w:p>
    <w:p w14:paraId="6E139F6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6.采购人在工程量清单中所列出的暂列金额、暂估价等暂定金额，供应商不得修改，否则由评标委员会作否决投标处理。</w:t>
      </w:r>
    </w:p>
    <w:p w14:paraId="77F42EE1">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7.本工程招标将设置投标总报价最高限价，投标总报价最高限价最迟应于投标截止日5日前发布，投标人的投标总报价不得超过投标总报价最高限价，否则由评标委员会作否决投标处理。</w:t>
      </w:r>
    </w:p>
    <w:p w14:paraId="25BE8A74">
      <w:pPr>
        <w:kinsoku/>
        <w:wordWrap/>
        <w:overflowPunct/>
        <w:topLinePunct w:val="0"/>
        <w:autoSpaceDE/>
        <w:autoSpaceDN/>
        <w:bidi w:val="0"/>
        <w:spacing w:line="440" w:lineRule="exact"/>
        <w:ind w:left="0" w:leftChars="0" w:right="0" w:rightChars="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本工程招标将设置全部清单综合单价最高限价，全部清单综合单价最高限价最迟应于投标截止日5日前发布，投标人的每项清单综合单价报价不得超过每项清单综合单价最高限价，否则由评标委员会作否决投标处理。</w:t>
      </w:r>
    </w:p>
    <w:p w14:paraId="32FA301F">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8.安全文明施工费：</w:t>
      </w:r>
    </w:p>
    <w:p w14:paraId="3590E05B">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8.1根据重庆城乡建设委员会关于印发《重庆市建设工程安全文明施工费计取及使用管理规定&gt;的通知》（渝建发〔2024〕38 号）规定，安全文明施工费由安全施工费、文明施工费、环境保护费及临时设施费组成。</w:t>
      </w:r>
    </w:p>
    <w:p w14:paraId="7B1DA7B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本工程安全文明施工费由采购人根据《重庆市城乡建设委员会关于印发&lt;重庆市建设工程安全文明施工费计取及使用管理规定&gt;的通知》（渝建管〔2024〕38号）的相关规定和费用标准单列计算，安全文明施工费为暂定金额，与最高限价一起公布。《投标函》中的安全文明施工费金额或工程量清单中安全文明施工费的汇总金额未按照采购人给出的暂定金额填报的，视为对磋商文件不作实质性响应，其投标文件由评标委员会作否决投标处理。</w:t>
      </w:r>
    </w:p>
    <w:p w14:paraId="6EBB9E87">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本工程所需材料（含设备）价格由供应商参照重庆市建设工程造价管理总站发布的《重庆工程造价》或工程造价管理机构发布的工程造价信息（造价信息引用时限为招标公告发布日期前一期），并结合市场行情及自身实力进行自主报价。</w:t>
      </w:r>
    </w:p>
    <w:p w14:paraId="6275F73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10.本项目建筑安装材料价格风险按照《重庆市城乡建设委员会关于进一步加强建筑安装材料价格风险管控的指导意见》（渝建〔2018〕61号）执行。</w:t>
      </w:r>
    </w:p>
    <w:p w14:paraId="5944B981">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11.本工程人工单价由各供应商参照磋商文件发布当期重庆市建设工程造价总站发布的《重庆工程造价》的市场人工信息价结合市场行情自主测算计入各分部分项综合单价中，成交后不再调整。 </w:t>
      </w:r>
    </w:p>
    <w:p w14:paraId="185C04CA">
      <w:pPr>
        <w:kinsoku/>
        <w:wordWrap/>
        <w:overflowPunct/>
        <w:topLinePunct w:val="0"/>
        <w:autoSpaceDE/>
        <w:autoSpaceDN/>
        <w:bidi w:val="0"/>
        <w:spacing w:line="440" w:lineRule="exact"/>
        <w:ind w:left="0" w:leftChars="0" w:right="0" w:righ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12.其他说明</w:t>
      </w:r>
    </w:p>
    <w:p w14:paraId="44ECDFF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①工地建设按照重庆市城乡建设委员会《重庆市房屋建筑和市政基础设施工程智慧工地管理规定（试行）的通知》 （渝建发〔2021〕6 号）的相关要求执行，费用包含在投标报价中，由投标人综合考虑。</w:t>
      </w:r>
    </w:p>
    <w:p w14:paraId="1B498696">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②本工程分部分项清单中的“余方弃置”的要求：分部分项清单中的“余方弃置（增运30KM）”，供应商在报价时按增运30KM 填报，如实际外运距离有所减少，结算时按采购人、监理单位等各方（如有全过程造价控制单位，则必须有全过程造价控制单位签字）核定的弃渣线路的运距进行等比例调整（例：若实际增运运距为17 KM，则该清单子项结算价为:综合单价投标报价/30*实际方量*实际增运运距17 KM）。若实际增运运距有所增加（即超过30KM），则结算时仍按30KM 计算，超过部分不予考虑。运距精确到小数点后一位。</w:t>
      </w:r>
    </w:p>
    <w:p w14:paraId="524B91B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项目弃渣需外运至专用弃渣场，必须按照《城市建筑垃圾管理规定》（中华人民共和国建设部令第139号）、《重庆市市容环境卫生管理条例》和《重庆市新型智能建筑渣土车推广使用工作实施方案》（渝城管局〔2021〕139号）的规定执行。在项目签发进度款和办理结算时，承包人须提供渣场合同（弃土协议）、相关运输车辆照片、渣场照片、相关发票、渣票及相应的转账记录，否则外运和渣场费不予认可。</w:t>
      </w:r>
    </w:p>
    <w:p w14:paraId="4D69FDEF">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④本工程可能发生现状管线保护（含燃气管道、自来水管道、电力管廊等）、占用菜地等情况，请投标人自行踏勘现场，相应费用由投标人自行考虑，招标人不在另行支付。</w:t>
      </w:r>
    </w:p>
    <w:p w14:paraId="564D29B0">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项目周边电线、电、缆沟、管网（包括燃气管网）的情况由供应商自行查勘现场并将施工期间的临时性保护费用和配合费用考虑在投标报价中。如管线确需永久性保护或迁改，永久性保护和迁改事宜及费用由采购人负责，但中标人需配合协调主管部门制定实施方案。暂列金额采购人有权全部使用、部分使用或完全不用；如需实施，须经过采购人确认，费用须经过采购人、监理人及结算审核单位审核。</w:t>
      </w:r>
    </w:p>
    <w:p w14:paraId="0DACBC4E">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⑥本工程涉及的交通组织、交通转换过程中产生的深化设计、报批、专家评审等费用，由供应商综合考虑纳入投标报价中，采购人不单独计取。</w:t>
      </w:r>
    </w:p>
    <w:p w14:paraId="7326FD3A">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⑦在项目结算评审时，业主单位应先进行初审，再报结算评审。结算评审的基本收费由业主承担，如果送审结算金额与评审审定金额相比，审减率在 5%之内（含 5%）的审减效益费由业主单位承担；审减率超过 5%的，全部审减效益费由施工单位承担，由业主单位统一支付后，在工程款中扣减。(该审减率为不抵扣审增部分的净审减率)。</w:t>
      </w:r>
    </w:p>
    <w:p w14:paraId="7E5425E1">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⑧施工单位须和建设单位等相关施工参与部门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2E22C93C">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三、结算原则</w:t>
      </w:r>
    </w:p>
    <w:p w14:paraId="40DC21D8">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结算总价＝分部分项工程量清单综合单价×子项工程量+措施项目费+其他项目费+安全文明施工费+规费+税金+设计变更及新增部分金额+合同约定的其它费用（合同如果没有约定，则取消此项目）。</w:t>
      </w:r>
    </w:p>
    <w:p w14:paraId="38F1E166">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际报价以竞标现场书面报价为准，成交单价将由报价文件中（第一次报价）的清单价格按照实际报价下浮比例（第二轮报价的总价减去安全文明施工费和暂列金额与第一轮报价总价减去安全文明施工费和暂列金额相比的下浮比例）同比例下浮进行计算。</w:t>
      </w:r>
    </w:p>
    <w:p w14:paraId="0AF0F47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2.各部分的结算原则如下：</w:t>
      </w:r>
    </w:p>
    <w:p w14:paraId="4E12020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（1）分部分项工程量清单结算价：</w:t>
      </w:r>
    </w:p>
    <w:p w14:paraId="1C52D32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部分项工程量清单项目按成交单价实行综合单价包干。工程结算时，以成交人最后成交单价为结算单价依据，乘以施工图及设计变更按《建设工程工程量清单计价规范》（GB50500-2013）计算且经采购人及监理工程师（有监理单位的情况下）审核的工程量，作为该子项的结算合价。各分部分项工程量清单子项合价累计相加，得分部分项工程量清单结算价。</w:t>
      </w:r>
    </w:p>
    <w:p w14:paraId="7739BDC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（2）措施费</w:t>
      </w:r>
    </w:p>
    <w:p w14:paraId="7E5D8A6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施工组织措施费：无论因设计变更或施工工艺变化等任何因素而引起实际措施费的变化，均按投标时施工组织措施项目费（除安全文明施工费外）的报价作为结算价。</w:t>
      </w:r>
    </w:p>
    <w:p w14:paraId="52F3C04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中标人投标报价的综合单价乘以按《重庆市建设工程工程量计算规则》（CQJLGZ-2013）约定的计量规则计算的实际合格工程量办理结算。</w:t>
      </w:r>
    </w:p>
    <w:p w14:paraId="4AC18B6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工程设计变更、采购工程量清单漏项或新增项目价款结算办法：工程设计变更确定后，设计变更涉及工程价款调整的，或采购工程量清单中有漏项或工程施工中出现新增项目，由成交人在变更项目启动后7天内向采购人提出，经采购人审核同意后调整合同价款。调整方法如下：</w:t>
      </w:r>
    </w:p>
    <w:p w14:paraId="630B687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变更（包括签证）工程与投标报价的工程量清单中有相同的子项，原则上按投标时的相同子项的综合单价报价执行；如投标报价中相同子项的综合单价明显高于市场价格，其综合单价需由成交人报送采购人重新审核，以采购人的审定的综合单价执行。</w:t>
      </w:r>
    </w:p>
    <w:p w14:paraId="1C70164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变更（包括签证）工程与投标报价的工程量清单中有类似子项的，原则上按投标时的类似子项的综合单价报价执行；如投标报价中类似子项的综合单价明显高于市场价格，其综合单价需由成交人报送采购人重新审核，以采购人的审定的综合单价执行。</w:t>
      </w:r>
    </w:p>
    <w:p w14:paraId="6D86012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变更（包括签证）工程与工程量清单中无相同子项或类似子项的，按照《建设工程工程量清单计价规范》（GB50500-2013）、《房屋建筑与装饰工程工程量计算规范》(GB50584--2013)、《市政工程工程量计算规范》（GB50857-2013）、《通用安装工程工程量计算规范》（GB50856-2013）、《园林绿化工程工程量计算规范》（GB50858-2013）、《仿古建筑工程工程量计算规范》（GB50855-2013）、《构筑物工程工程量计算规范》（GB50860-2013）、《重庆市房屋建筑与装饰工程计价定额》（CQJZDE-2018）、《重庆市通用安装工程计价定额》（CQAZDE-2018）、《重庆市市政工程计价定额》（CQSZDE-2018）、《重庆市园林绿化工程计价定额》（CQYLLHDE-2018）、《重庆市绿色建筑工程计价定额》（CQLSJZDE-2018）《重庆市仿古建筑工程计价定额》（CQFGDE-2018）、《重庆市房屋修缮工程计价定额》（CQXSDE-2018）《重庆市建设工程费用定额》（CQFYDE-2018）及相关配套文件的规定进行组价（其中材料及人工费中标价中有的按中标价计算；中标价中没有的材料单价按施工期间重庆市建设工程造价总站主办的《重庆工程造价》公布的信息价算数平均值执行；中标价及《重庆工程造价》中均没有的材料由采购人认质核价后，按核定的材料价格执行），组价后按成交价与最高限价下浮比例下浮后进入结算（其中按核定价计入的材料单价或综合单价不下浮）。</w:t>
      </w:r>
    </w:p>
    <w:p w14:paraId="4A940C3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A、材料由成交人进行采购，其中工程的主要材料部分采购前需报监理人和采购人核质核价后再行采购，按结算评审部门审定后价格进行结算；如</w:t>
      </w:r>
      <w:r>
        <w:rPr>
          <w:rFonts w:hint="eastAsia" w:ascii="宋体" w:hAnsi="宋体" w:cs="宋体"/>
          <w:color w:val="auto"/>
          <w:sz w:val="24"/>
          <w:szCs w:val="24"/>
          <w:highlight w:val="none"/>
          <w:lang w:eastAsia="zh-CN"/>
        </w:rPr>
        <w:t>《重庆工程造价》</w:t>
      </w:r>
      <w:r>
        <w:rPr>
          <w:rFonts w:hint="eastAsia" w:ascii="宋体" w:hAnsi="宋体" w:eastAsia="宋体" w:cs="宋体"/>
          <w:color w:val="auto"/>
          <w:sz w:val="24"/>
          <w:szCs w:val="24"/>
          <w:highlight w:val="none"/>
          <w:lang w:eastAsia="zh-CN"/>
        </w:rPr>
        <w:t>中有的材料，核定价不得高于施工期间</w:t>
      </w:r>
      <w:r>
        <w:rPr>
          <w:rFonts w:hint="eastAsia" w:ascii="宋体" w:hAnsi="宋体" w:cs="宋体"/>
          <w:color w:val="auto"/>
          <w:sz w:val="24"/>
          <w:szCs w:val="24"/>
          <w:highlight w:val="none"/>
          <w:lang w:eastAsia="zh-CN"/>
        </w:rPr>
        <w:t>《重庆工程造价》</w:t>
      </w:r>
      <w:r>
        <w:rPr>
          <w:rFonts w:hint="eastAsia" w:ascii="宋体" w:hAnsi="宋体" w:eastAsia="宋体" w:cs="宋体"/>
          <w:color w:val="auto"/>
          <w:sz w:val="24"/>
          <w:szCs w:val="24"/>
          <w:highlight w:val="none"/>
          <w:lang w:eastAsia="zh-CN"/>
        </w:rPr>
        <w:t xml:space="preserve">信息价的算术平均值。 </w:t>
      </w:r>
    </w:p>
    <w:p w14:paraId="046E11C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B、人工工日单价按投标报价中的人工工日单价执行，投标报价中没有的人工工日单价则按施工期间</w:t>
      </w:r>
      <w:r>
        <w:rPr>
          <w:rFonts w:hint="eastAsia" w:ascii="宋体" w:hAnsi="宋体" w:cs="宋体"/>
          <w:color w:val="auto"/>
          <w:sz w:val="24"/>
          <w:szCs w:val="24"/>
          <w:highlight w:val="none"/>
          <w:lang w:eastAsia="zh-CN"/>
        </w:rPr>
        <w:t>《重庆工程造价》</w:t>
      </w:r>
      <w:r>
        <w:rPr>
          <w:rFonts w:hint="eastAsia" w:ascii="宋体" w:hAnsi="宋体" w:eastAsia="宋体" w:cs="宋体"/>
          <w:color w:val="auto"/>
          <w:sz w:val="24"/>
          <w:szCs w:val="24"/>
          <w:highlight w:val="none"/>
          <w:lang w:eastAsia="zh-CN"/>
        </w:rPr>
        <w:t>公布的大渡口区人工指导价的算术平均值执行。</w:t>
      </w:r>
    </w:p>
    <w:p w14:paraId="1BCD0D7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④变更工程量按《重庆市建设工程工程量计算规则》（CQJLGZ-2013）的规定的计量规则计算。</w:t>
      </w:r>
    </w:p>
    <w:p w14:paraId="70BF080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（4）其他项目清单结算金额</w:t>
      </w:r>
    </w:p>
    <w:p w14:paraId="1573528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材料采用暂估单价的，在施工过程中，使用前由成交人报价，经采购人审核同意后方可采购、施工。结算时只对采购人核定单价与暂估单价的价差部分进行调整（调整的数量根据工程结算数量确定），该价差除税金外不再计取其他任何费用。若成交人在采购人核价后5个工作日内，成交人拒绝签字确认采购人核定的价格或拒绝按采购人核定的价格采购的，则该种材料改为甲方采购供应，其该种材料费用采购人按暂估单价（含应计取的税金）在结算价款中扣除，且采购人还应按规定收取该种材料费用的采保费的1/3。</w:t>
      </w:r>
    </w:p>
    <w:p w14:paraId="1987B128">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材料暂估单价仅指此类材料本身运至施工现场的价格，不包括这些材料的安装、安装所必须的辅助材料以及发生在现场内的验收、存储、保管、二次搬运、从存放地点运至安装地点以及其他任何必要的辅助工作所发生的费用，上述费用由供应商自行考虑计入各相应子目的综合单价报价中，成交后不再计取。</w:t>
      </w:r>
    </w:p>
    <w:p w14:paraId="3713598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②本工程采用专业工程暂估价或暂列金额采购的，结算时按实结算。其中以暂列金额采购的施工内容实施与否由采购人决定。</w:t>
      </w:r>
    </w:p>
    <w:p w14:paraId="6507851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（5）安全文明施工费：按重庆市建设工程安全文明施工费计取及使用管理规定&gt;的通知》（渝建发〔2024〕38 号）规定结算。</w:t>
      </w:r>
    </w:p>
    <w:p w14:paraId="4AED70B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（6）规费：按投标费率结算，若中标人的投标报价中规费费率高于规定费率，则以规定费率结算。</w:t>
      </w:r>
    </w:p>
    <w:p w14:paraId="509FE8A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（7）税金：按投标费率结算，若中标人的投标报价中税金费率高于规定费率，则以规定费率结算。</w:t>
      </w:r>
    </w:p>
    <w:p w14:paraId="5B368DA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（8）采购人要求成交人完成合同以外施工范围内或施工范围外但与本施工项目有密切关系的零星项目，成交人应接受采购人施工要求，并向采购人提出工程量签证。</w:t>
      </w:r>
    </w:p>
    <w:p w14:paraId="247FD72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本工程所需材料、设备（暂估价、暂列金额除外）由供应商自行承担材料、设备价格涨跌风险，中标后不作调整。</w:t>
      </w:r>
    </w:p>
    <w:p w14:paraId="6635FBF8">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本工程结算金额最终按大渡口区财政投资评审相关规定办理结算评审后审定的金额为准。</w:t>
      </w:r>
    </w:p>
    <w:p w14:paraId="18AA690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注：</w:t>
      </w:r>
      <w:r>
        <w:rPr>
          <w:rFonts w:hint="eastAsia" w:ascii="宋体" w:hAnsi="宋体" w:eastAsia="宋体" w:cs="宋体"/>
          <w:color w:val="auto"/>
          <w:sz w:val="24"/>
          <w:szCs w:val="24"/>
          <w:highlight w:val="none"/>
          <w:lang w:eastAsia="zh-CN"/>
        </w:rPr>
        <w:t>在项目结算评审时，业主单位应先进行初审，再报结算评审。结算评审的基本收费由业主承担，如果送审结算金额与评审审定金额相比，审减率在 5%之内（含 5%）的审减</w:t>
      </w:r>
      <w:r>
        <w:rPr>
          <w:rFonts w:hint="eastAsia" w:ascii="宋体" w:hAnsi="宋体" w:cs="宋体"/>
          <w:color w:val="auto"/>
          <w:sz w:val="24"/>
          <w:szCs w:val="24"/>
          <w:highlight w:val="none"/>
          <w:lang w:val="en-US" w:eastAsia="zh-CN"/>
        </w:rPr>
        <w:t>效益费由业主单位承担；审减率超过 5%的，全部审减效益费由施工单位承担，由业主单位统一支付后，在工程款中扣减。(该审减率为不抵扣审增部分的净审减率)</w:t>
      </w:r>
    </w:p>
    <w:p w14:paraId="045042C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单位须和建设单位等相关施工参与部门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54661988">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四、付款方式</w:t>
      </w:r>
    </w:p>
    <w:p w14:paraId="5BCB99CC">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bookmarkStart w:id="36" w:name="OLE_LINK2"/>
      <w:bookmarkStart w:id="37" w:name="OLE_LINK1"/>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安全文明施工费：合同签订后，采购人向成交供应商支付安全文明施工费暂定金额的50%，用于现场安全文明施工建设。</w:t>
      </w:r>
    </w:p>
    <w:p w14:paraId="5E27063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2.预付款：预付款比例为合同金额的</w:t>
      </w:r>
      <w:r>
        <w:rPr>
          <w:rFonts w:hint="eastAsia" w:ascii="宋体" w:hAnsi="宋体" w:eastAsia="宋体" w:cs="宋体"/>
          <w:color w:val="auto"/>
          <w:sz w:val="24"/>
          <w:szCs w:val="24"/>
          <w:highlight w:val="none"/>
          <w:lang w:val="en-US" w:eastAsia="zh-CN"/>
        </w:rPr>
        <w:t>10%。采购人</w:t>
      </w:r>
      <w:r>
        <w:rPr>
          <w:rFonts w:hint="eastAsia" w:ascii="宋体" w:hAnsi="宋体" w:eastAsia="宋体" w:cs="宋体"/>
          <w:color w:val="auto"/>
          <w:sz w:val="24"/>
          <w:szCs w:val="24"/>
          <w:highlight w:val="none"/>
          <w:lang w:eastAsia="zh-CN"/>
        </w:rPr>
        <w:t>完成累计金额达到签约合同金额的30%后，在合同约定的每个计量周期按审核确认的进度款金额的20%进行扣回，直至预付款全额扣回。</w:t>
      </w:r>
    </w:p>
    <w:p w14:paraId="6927456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.建设单位每月将以不低于当月已完工产值的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%作为当月人工费（工资款），单独拨付至施工总承包企业的工资专用账户对应项目中（若人工费数额大于当月已完工产值的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%时，按实际人工费数额拨付；若人工费数额小于当月已完工产值的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%时，按当月已完工产值的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%拨付）。</w:t>
      </w:r>
    </w:p>
    <w:bookmarkEnd w:id="36"/>
    <w:p w14:paraId="3CE5A22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.工程款支付：</w:t>
      </w:r>
    </w:p>
    <w:p w14:paraId="67E6055A">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①安全文明施工费：合同签订后，采购人在开工前按签约合同价中安全文明施工费的 50％支付供应商，用于现场安全文明施工建设，余下安全文明施工费按施工进度支付。 </w:t>
      </w:r>
    </w:p>
    <w:p w14:paraId="52DAF1F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②分部分项工程费：按供应商当期完成并经监理人、跟审单位和采购人审定的工程量乘以相应综合单价计算当期完成的分部分项工程费及相应的规费和税金。采购人在签发进度款支付证书或临时进度款支付证书的次月 10 日前按经监理人、跟审单位和采购人审定的当期完成的分部分项工程费及相应的规费和税金（不含人工费价差和材料费价差）的 80%支付供应商。 </w:t>
      </w:r>
    </w:p>
    <w:p w14:paraId="51A97B2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③措施项目费：按供应商当期完成并经监理人、跟审单位和采购人审定的分部分项工程量，乘以相应综合单价计算所得合计金额占签约合同价格中分部分项工程费合计金额的比例，并以签约合同价格中措施项目费为基数计算当期完成的措施项目费及相应的规费和税金。采购人在签发进度款支付证书或临时进度款支付证书的次月 10 日前按经监理人、跟审单位和采购人审定的当期完成的措施项目费及相应的规费和税金（不含人工费价差和材料费价差）的 80%支付供应商。 </w:t>
      </w:r>
    </w:p>
    <w:p w14:paraId="048F742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④其他项目费：按供应商当期完成并经监理人、跟审单位和采购人审定的工程量乘以相应综合单价计算当期完成的其他项目费及相应的规费和税金。采购人在签发进度款支付证书或临时进度款支付证书的次月 10 日前按经监理人、跟审单位和采购人审定的当期完成的其他项目费及相应的规费和税金的 80% 支付供应商。 </w:t>
      </w:r>
    </w:p>
    <w:p w14:paraId="7F83D83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⑤人工费（工资款）：采购人在签发人工费（工资款）支付证书的次月 10 日前，按经监理人和采购人审定的当月完成的合同价款的 15 %（人工费数额大于当月完成的合同价款的 15% 时，按实际人工费数额拨付；若人工费数额小于当月完成的合同价款的 15%时，按不小于当月完成的合同价款的 15% 拨付），支付至供应商。 </w:t>
      </w:r>
    </w:p>
    <w:p w14:paraId="524A6EC6">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⑥人工、材料价差按 80%纳入当期进度支付。 </w:t>
      </w:r>
    </w:p>
    <w:p w14:paraId="20A1F26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⑦工程竣工验收合格后 28 天内，采购人向供应商支付至累计进度审定金额的 80%；移交完整的工程竣工资料后 14 天内，采购人向供应商支付至累计进度审定金额的 85%；经大渡口区审计局或财政局完成结算审计或结算审核后28天内，采购人向供应商支付至经大渡口区审计局或财政局审定金额的97%；缺陷责任期满后 28 天内采购人向供应商支付剩余工程款。 </w:t>
      </w:r>
    </w:p>
    <w:p w14:paraId="093B5790">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⑧支付方式：银行转账。 </w:t>
      </w:r>
    </w:p>
    <w:p w14:paraId="3A708AD4">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5.支付账户 </w:t>
      </w:r>
    </w:p>
    <w:p w14:paraId="209C6F38">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采购人应将合同价款支付至如下供应商指定的开户银行及银行账户： </w:t>
      </w:r>
    </w:p>
    <w:p w14:paraId="261C54F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收款单位名称：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4D095AC">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收款账号：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 </w:t>
      </w:r>
    </w:p>
    <w:p w14:paraId="74B6C41E">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收款开户银行：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E020D42">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采购人应按行业主管部门的相关规定将人工费（工资款）支付至供应商指定的农民工工资专用账户。</w:t>
      </w:r>
    </w:p>
    <w:bookmarkEnd w:id="37"/>
    <w:p w14:paraId="3E9B8588">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五、知识产权</w:t>
      </w:r>
    </w:p>
    <w:p w14:paraId="04C7D949">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提供的货物及服务时免受第三方提出的侵犯其专利权或其它知识产权的起诉。如果第三方提出侵权指控，成交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应承担由此而引起的一切法律责任和费用。</w:t>
      </w:r>
    </w:p>
    <w:p w14:paraId="38EDF799">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六、其他</w:t>
      </w:r>
    </w:p>
    <w:p w14:paraId="7F9A238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必须在响应文件中对以上条款和服务承诺明确列出，承诺内容必须达到本篇及竞争性谈判文件其他条款的要求。</w:t>
      </w:r>
    </w:p>
    <w:p w14:paraId="269318A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（二）其他未尽事宜由供需双方在服务合同中详细约定。</w:t>
      </w:r>
    </w:p>
    <w:p w14:paraId="54221DC8">
      <w:pPr>
        <w:pStyle w:val="4"/>
        <w:pageBreakBefore/>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val="0"/>
          <w:color w:val="auto"/>
          <w:sz w:val="36"/>
          <w:szCs w:val="30"/>
          <w:highlight w:val="none"/>
        </w:rPr>
      </w:pPr>
      <w:bookmarkStart w:id="38" w:name="_Toc21227"/>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38"/>
    </w:p>
    <w:p w14:paraId="50DD5255">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一、磋商程序及方法</w:t>
      </w:r>
    </w:p>
    <w:p w14:paraId="0E889B2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（一）磋商按竞争性磋商文件规定的时间和地点进行，供应商须有法定代表人或其授权代表参加并签到。法定代表人或其授权代表须提供身份证原件核验身份，如无身份证原件核验身份的，无权行使相应权利。</w:t>
      </w:r>
    </w:p>
    <w:p w14:paraId="666C9B0F">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F8592F7">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42"/>
      </w:tblGrid>
      <w:tr w14:paraId="02A9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vAlign w:val="center"/>
          </w:tcPr>
          <w:p w14:paraId="0E4C3CFD">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388" w:type="dxa"/>
            <w:gridSpan w:val="2"/>
            <w:vAlign w:val="center"/>
          </w:tcPr>
          <w:p w14:paraId="189A41D3">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42" w:type="dxa"/>
            <w:vAlign w:val="center"/>
          </w:tcPr>
          <w:p w14:paraId="2FD2845A">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5DC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vAlign w:val="center"/>
          </w:tcPr>
          <w:p w14:paraId="3F5B749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149DEB0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restart"/>
            <w:vAlign w:val="center"/>
          </w:tcPr>
          <w:p w14:paraId="37AA1FE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679" w:type="dxa"/>
            <w:vAlign w:val="center"/>
          </w:tcPr>
          <w:p w14:paraId="02375F1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42" w:type="dxa"/>
            <w:vAlign w:val="center"/>
          </w:tcPr>
          <w:p w14:paraId="5A5EEDC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供应商法人营业执照（副本）或事业单位法人证书（副本）或个体工商户营业执照、组织机构代码证复印件；</w:t>
            </w:r>
          </w:p>
          <w:p w14:paraId="1EF965E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供应商法定代表人身份证明和法定代表人授权代表委托书。</w:t>
            </w:r>
          </w:p>
        </w:tc>
      </w:tr>
      <w:tr w14:paraId="6DE4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vAlign w:val="center"/>
          </w:tcPr>
          <w:p w14:paraId="4992CDD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12BCD7E7">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3538EB9A">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42" w:type="dxa"/>
            <w:vMerge w:val="restart"/>
            <w:vAlign w:val="center"/>
          </w:tcPr>
          <w:p w14:paraId="4072369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2477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vAlign w:val="center"/>
          </w:tcPr>
          <w:p w14:paraId="19FE472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3BD5E7C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33080A6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42" w:type="dxa"/>
            <w:vMerge w:val="continue"/>
            <w:vAlign w:val="center"/>
          </w:tcPr>
          <w:p w14:paraId="7CABD95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1E0D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vAlign w:val="center"/>
          </w:tcPr>
          <w:p w14:paraId="4BB2444F">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4A91287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381A6B21">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3542" w:type="dxa"/>
            <w:vMerge w:val="continue"/>
            <w:vAlign w:val="center"/>
          </w:tcPr>
          <w:p w14:paraId="629FC85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769D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76" w:type="dxa"/>
            <w:vMerge w:val="continue"/>
            <w:vAlign w:val="center"/>
          </w:tcPr>
          <w:p w14:paraId="0AD9307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2A54DD3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0081710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42" w:type="dxa"/>
            <w:vMerge w:val="continue"/>
            <w:vAlign w:val="center"/>
          </w:tcPr>
          <w:p w14:paraId="4E1388A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0912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vAlign w:val="center"/>
          </w:tcPr>
          <w:p w14:paraId="6FAD4321">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6E92509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4679" w:type="dxa"/>
            <w:vAlign w:val="center"/>
          </w:tcPr>
          <w:p w14:paraId="597020D1">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3542" w:type="dxa"/>
            <w:vAlign w:val="center"/>
          </w:tcPr>
          <w:p w14:paraId="2194952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r>
      <w:tr w14:paraId="29B2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vAlign w:val="center"/>
          </w:tcPr>
          <w:p w14:paraId="12E910D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sz w:val="21"/>
                <w:szCs w:val="21"/>
                <w:highlight w:val="none"/>
              </w:rPr>
            </w:pPr>
          </w:p>
        </w:tc>
        <w:tc>
          <w:tcPr>
            <w:tcW w:w="709" w:type="dxa"/>
            <w:vMerge w:val="continue"/>
            <w:vAlign w:val="center"/>
          </w:tcPr>
          <w:p w14:paraId="4BBAD388">
            <w:pPr>
              <w:tabs>
                <w:tab w:val="left" w:pos="1494"/>
              </w:tabs>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p>
        </w:tc>
        <w:tc>
          <w:tcPr>
            <w:tcW w:w="4679" w:type="dxa"/>
            <w:vAlign w:val="center"/>
          </w:tcPr>
          <w:p w14:paraId="3F044059">
            <w:pPr>
              <w:tabs>
                <w:tab w:val="left" w:pos="1494"/>
              </w:tabs>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（7）特定资格条件</w:t>
            </w:r>
          </w:p>
        </w:tc>
        <w:tc>
          <w:tcPr>
            <w:tcW w:w="3542" w:type="dxa"/>
            <w:vAlign w:val="center"/>
          </w:tcPr>
          <w:p w14:paraId="2B62E34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）特定资格条件”的要求提交（如果有）。</w:t>
            </w:r>
          </w:p>
        </w:tc>
      </w:tr>
    </w:tbl>
    <w:p w14:paraId="54B49F6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7671E026">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\o\ac(○,1)</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ED1A351">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以联合体形式参与磋商的，共同联合协议中应确定主办方（主体），代表联合体进行磋商和澄清。联合体各方均应满足供应商资格要求（详见“第一篇”）。</w:t>
      </w:r>
    </w:p>
    <w:p w14:paraId="352BF169">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\o\ac(○,3)</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以联合体形式参加本项目的，联合体各方均为中小企业的，联合体视同中小企业（其中，联合体各方均为小微企业的，联合体视同小微企业）。</w:t>
      </w:r>
    </w:p>
    <w:p w14:paraId="3DBAC4EA">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2、符合性检查。依据磋商采购文件的规定，从响应文件的有效性、完整性和对磋商采购文件的响应程度进行审查，以确定是否对磋商采购文件的实质性要求作出响应。符合性检查资料表如下：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7C4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4873877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ign w:val="center"/>
          </w:tcPr>
          <w:p w14:paraId="0647746C">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ign w:val="center"/>
          </w:tcPr>
          <w:p w14:paraId="6821586E">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7E8D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49AD7432">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ign w:val="center"/>
          </w:tcPr>
          <w:p w14:paraId="291D796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ign w:val="center"/>
          </w:tcPr>
          <w:p w14:paraId="6885863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w:t>
            </w:r>
          </w:p>
        </w:tc>
        <w:tc>
          <w:tcPr>
            <w:tcW w:w="5409" w:type="dxa"/>
            <w:noWrap/>
            <w:vAlign w:val="center"/>
          </w:tcPr>
          <w:p w14:paraId="066E8D1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响应文件上法定代表人或其授权代表人的签字齐全。</w:t>
            </w:r>
          </w:p>
        </w:tc>
      </w:tr>
      <w:tr w14:paraId="404A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14:paraId="47F67160">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19C1E9D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5F70E03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ign w:val="center"/>
          </w:tcPr>
          <w:p w14:paraId="1EBC084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法定代表人身份证明及授权委托书有效，符合竞争性磋商文件规定的格式，签字或盖章齐全。</w:t>
            </w:r>
          </w:p>
        </w:tc>
      </w:tr>
      <w:tr w14:paraId="5B83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64522956">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4D5BF7C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5EA313E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ign w:val="center"/>
          </w:tcPr>
          <w:p w14:paraId="7C92072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每个分包只能有一个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4A39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33FEBF43">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4CD6F98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84" w:type="dxa"/>
            <w:noWrap/>
            <w:vAlign w:val="center"/>
          </w:tcPr>
          <w:p w14:paraId="78FCA02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ign w:val="center"/>
          </w:tcPr>
          <w:p w14:paraId="5E17548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18DE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ign w:val="center"/>
          </w:tcPr>
          <w:p w14:paraId="619D8213">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ign w:val="center"/>
          </w:tcPr>
          <w:p w14:paraId="20F6BAF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ign w:val="center"/>
          </w:tcPr>
          <w:p w14:paraId="35F6CD1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ign w:val="center"/>
          </w:tcPr>
          <w:p w14:paraId="75896A3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22BD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613AA278">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ign w:val="center"/>
          </w:tcPr>
          <w:p w14:paraId="373345A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竞争性磋商文件的响应程度审查</w:t>
            </w:r>
          </w:p>
        </w:tc>
        <w:tc>
          <w:tcPr>
            <w:tcW w:w="1984" w:type="dxa"/>
            <w:noWrap/>
            <w:vAlign w:val="center"/>
          </w:tcPr>
          <w:p w14:paraId="4708D63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5409" w:type="dxa"/>
            <w:noWrap/>
            <w:vAlign w:val="center"/>
          </w:tcPr>
          <w:p w14:paraId="475EF4A3">
            <w:pPr>
              <w:pStyle w:val="13"/>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5E69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14:paraId="741769F7">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14:paraId="7321FD0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p>
        </w:tc>
        <w:tc>
          <w:tcPr>
            <w:tcW w:w="1984" w:type="dxa"/>
            <w:noWrap/>
            <w:vAlign w:val="center"/>
          </w:tcPr>
          <w:p w14:paraId="5453A98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noWrap/>
            <w:vAlign w:val="center"/>
          </w:tcPr>
          <w:p w14:paraId="6DDA300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满足磋商文件</w:t>
            </w:r>
            <w:r>
              <w:rPr>
                <w:rFonts w:hint="eastAsia" w:ascii="宋体" w:hAnsi="宋体" w:eastAsia="宋体" w:cs="宋体"/>
                <w:color w:val="auto"/>
                <w:sz w:val="21"/>
                <w:szCs w:val="21"/>
                <w:highlight w:val="none"/>
                <w:lang w:val="zh-CN"/>
              </w:rPr>
              <w:t>规定。</w:t>
            </w:r>
          </w:p>
        </w:tc>
      </w:tr>
    </w:tbl>
    <w:p w14:paraId="62C2801F">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F2D8B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7E0D4E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116D3A98">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64A198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（七）供应商在磋商时作出的所有书面承诺须由法定代表人或其授权代表签字。</w:t>
      </w:r>
    </w:p>
    <w:p w14:paraId="5C71189B">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若最后报价高于响应文件报价的或被认定为无效竞标的，价格部分按零分处理，且不能成为成交候选人。</w:t>
      </w:r>
    </w:p>
    <w:p w14:paraId="0103B414">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。（详见评审标准）。</w:t>
      </w:r>
    </w:p>
    <w:p w14:paraId="3583B5A9">
      <w:pPr>
        <w:kinsoku/>
        <w:wordWrap/>
        <w:overflowPunct/>
        <w:topLinePunct w:val="0"/>
        <w:autoSpaceDE/>
        <w:autoSpaceDN/>
        <w:bidi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（十）磋商小组各成员独立对每个有效响应（通过资格性检查、</w:t>
      </w:r>
      <w:r>
        <w:rPr>
          <w:rFonts w:hint="eastAsia" w:ascii="宋体" w:hAnsi="宋体" w:eastAsia="宋体" w:cs="宋体"/>
          <w:color w:val="auto"/>
          <w:kern w:val="0"/>
          <w:sz w:val="24"/>
          <w:szCs w:val="24"/>
          <w:highlight w:val="none"/>
        </w:rPr>
        <w:t>符合性检查的供应商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707E312F">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bookmarkStart w:id="39" w:name="改动2"/>
      <w:bookmarkEnd w:id="39"/>
      <w:r>
        <w:rPr>
          <w:rFonts w:hint="eastAsia" w:ascii="宋体" w:hAnsi="宋体" w:eastAsia="宋体" w:cs="宋体"/>
          <w:b/>
          <w:bCs/>
          <w:color w:val="auto"/>
          <w:sz w:val="24"/>
          <w:szCs w:val="24"/>
          <w:highlight w:val="none"/>
        </w:rPr>
        <w:t>二、</w:t>
      </w:r>
      <w:bookmarkStart w:id="40" w:name="_Toc102227320"/>
      <w:bookmarkStart w:id="41" w:name="_Toc342913394"/>
      <w:r>
        <w:rPr>
          <w:rFonts w:hint="eastAsia" w:ascii="宋体" w:hAnsi="宋体" w:eastAsia="宋体" w:cs="宋体"/>
          <w:b/>
          <w:bCs/>
          <w:color w:val="auto"/>
          <w:sz w:val="24"/>
          <w:szCs w:val="24"/>
          <w:highlight w:val="none"/>
        </w:rPr>
        <w:t>评审标准</w:t>
      </w:r>
    </w:p>
    <w:tbl>
      <w:tblPr>
        <w:tblStyle w:val="21"/>
        <w:tblpPr w:leftFromText="180" w:rightFromText="180" w:vertAnchor="text" w:horzAnchor="page" w:tblpX="739" w:tblpY="414"/>
        <w:tblOverlap w:val="never"/>
        <w:tblW w:w="1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965"/>
        <w:gridCol w:w="1343"/>
        <w:gridCol w:w="1840"/>
        <w:gridCol w:w="4468"/>
        <w:gridCol w:w="2069"/>
      </w:tblGrid>
      <w:tr w14:paraId="28AB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0" w:hRule="atLeast"/>
          <w:tblHead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AF790">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6EA28">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评分因素及权重</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E911D">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4468"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2B6AF4A">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206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96159FF">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r>
      <w:tr w14:paraId="3619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blHead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6D367">
            <w:pPr>
              <w:keepNext w:val="0"/>
              <w:keepLines w:val="0"/>
              <w:pageBreakBefore w:val="0"/>
              <w:widowControl w:val="0"/>
              <w:kinsoku/>
              <w:wordWrap/>
              <w:overflowPunct/>
              <w:topLinePunct w:val="0"/>
              <w:autoSpaceDE/>
              <w:autoSpaceDN/>
              <w:bidi w:val="0"/>
              <w:adjustRightInd/>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C5B0E">
            <w:pPr>
              <w:snapToGrid w:val="0"/>
              <w:spacing w:line="4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p w14:paraId="512C0E17">
            <w:pPr>
              <w:snapToGrid w:val="0"/>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B07F7">
            <w:pPr>
              <w:snapToGrid w:val="0"/>
              <w:spacing w:line="44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分</w:t>
            </w:r>
          </w:p>
        </w:tc>
        <w:tc>
          <w:tcPr>
            <w:tcW w:w="4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6668052">
            <w:pPr>
              <w:tabs>
                <w:tab w:val="left" w:pos="3360"/>
              </w:tabs>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满足资格性、符合性要求且投标报价最低的供应商的价格为评标基准价，按照下列公式计算每个供应商的投标报价得分。</w:t>
            </w:r>
          </w:p>
          <w:p w14:paraId="097762CA">
            <w:pPr>
              <w:tabs>
                <w:tab w:val="left" w:pos="3360"/>
              </w:tabs>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投标报价得分=（评标基准价/</w:t>
            </w:r>
            <w:r>
              <w:rPr>
                <w:rFonts w:hint="eastAsia" w:ascii="宋体" w:hAnsi="宋体" w:cs="宋体"/>
                <w:color w:val="auto"/>
                <w:sz w:val="24"/>
                <w:szCs w:val="24"/>
                <w:highlight w:val="none"/>
                <w:lang w:eastAsia="zh-CN"/>
              </w:rPr>
              <w:t>最后</w:t>
            </w:r>
            <w:r>
              <w:rPr>
                <w:rFonts w:hint="eastAsia" w:ascii="宋体" w:hAnsi="宋体" w:cs="宋体"/>
                <w:color w:val="auto"/>
                <w:sz w:val="24"/>
                <w:szCs w:val="24"/>
                <w:highlight w:val="none"/>
              </w:rPr>
              <w:t>报价）×价格权值×100</w:t>
            </w:r>
          </w:p>
        </w:tc>
        <w:tc>
          <w:tcPr>
            <w:tcW w:w="206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F36B18">
            <w:pPr>
              <w:spacing w:line="440" w:lineRule="exact"/>
              <w:ind w:firstLine="480" w:firstLineChars="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对小微企业的价格用扣除后的价格参与评审，详见“关于小微企业报价扣除比例说明”。</w:t>
            </w:r>
          </w:p>
        </w:tc>
      </w:tr>
      <w:tr w14:paraId="1448B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blHeader/>
        </w:trPr>
        <w:tc>
          <w:tcPr>
            <w:tcW w:w="965" w:type="dxa"/>
            <w:vMerge w:val="restart"/>
            <w:tcBorders>
              <w:left w:val="single" w:color="000000" w:sz="4" w:space="0"/>
              <w:right w:val="single" w:color="000000" w:sz="4" w:space="0"/>
            </w:tcBorders>
            <w:shd w:val="clear" w:color="auto" w:fill="auto"/>
            <w:noWrap w:val="0"/>
            <w:vAlign w:val="center"/>
          </w:tcPr>
          <w:p w14:paraId="502D3413">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343" w:type="dxa"/>
            <w:vMerge w:val="restart"/>
            <w:tcBorders>
              <w:left w:val="single" w:color="000000" w:sz="4" w:space="0"/>
              <w:right w:val="single" w:color="000000" w:sz="4" w:space="0"/>
            </w:tcBorders>
            <w:shd w:val="clear" w:color="auto" w:fill="auto"/>
            <w:noWrap w:val="0"/>
            <w:vAlign w:val="center"/>
          </w:tcPr>
          <w:p w14:paraId="06C6FCD8">
            <w:pPr>
              <w:keepNext w:val="0"/>
              <w:keepLines w:val="0"/>
              <w:pageBreakBefore w:val="0"/>
              <w:widowControl w:val="0"/>
              <w:kinsoku/>
              <w:wordWrap/>
              <w:overflowPunct/>
              <w:topLinePunct w:val="0"/>
              <w:autoSpaceDE/>
              <w:autoSpaceDN/>
              <w:bidi w:val="0"/>
              <w:adjustRightInd/>
              <w:spacing w:line="44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技术部分</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w:t>
            </w:r>
          </w:p>
        </w:tc>
        <w:tc>
          <w:tcPr>
            <w:tcW w:w="1840" w:type="dxa"/>
            <w:tcBorders>
              <w:left w:val="single" w:color="000000" w:sz="4" w:space="0"/>
              <w:right w:val="single" w:color="000000" w:sz="4" w:space="0"/>
            </w:tcBorders>
            <w:shd w:val="clear" w:color="auto" w:fill="auto"/>
            <w:noWrap w:val="0"/>
            <w:vAlign w:val="center"/>
          </w:tcPr>
          <w:p w14:paraId="71986A6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施工方案（</w:t>
            </w:r>
            <w:r>
              <w:rPr>
                <w:rFonts w:hint="eastAsia" w:ascii="宋体" w:hAnsi="宋体" w:eastAsia="宋体" w:cs="宋体"/>
                <w:color w:val="auto"/>
                <w:kern w:val="0"/>
                <w:sz w:val="24"/>
                <w:szCs w:val="24"/>
                <w:highlight w:val="none"/>
                <w:lang w:val="en-US" w:eastAsia="zh-CN" w:bidi="ar-SA"/>
              </w:rPr>
              <w:t>15</w:t>
            </w:r>
            <w:r>
              <w:rPr>
                <w:rFonts w:hint="default" w:ascii="宋体" w:hAnsi="宋体" w:eastAsia="宋体" w:cs="宋体"/>
                <w:color w:val="auto"/>
                <w:kern w:val="0"/>
                <w:sz w:val="24"/>
                <w:szCs w:val="24"/>
                <w:highlight w:val="none"/>
                <w:lang w:val="en-US" w:eastAsia="zh-CN" w:bidi="ar-SA"/>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715C0C91">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包含：施工重点、项目管理目标、项目管理人员职责、施工方法</w:t>
            </w:r>
            <w:r>
              <w:rPr>
                <w:rFonts w:hint="eastAsia" w:ascii="宋体" w:hAnsi="宋体" w:cs="宋体"/>
                <w:color w:val="auto"/>
                <w:sz w:val="24"/>
                <w:szCs w:val="24"/>
                <w:highlight w:val="none"/>
                <w:lang w:eastAsia="zh-CN"/>
              </w:rPr>
              <w:t>；</w:t>
            </w:r>
          </w:p>
          <w:p w14:paraId="4A0E756F">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优得12.0分-15.0分，良得6.0分-12.0分（不含），一般得3.0分-6.0分（不含），差得0分-3.0分（不含）。</w:t>
            </w:r>
          </w:p>
        </w:tc>
        <w:tc>
          <w:tcPr>
            <w:tcW w:w="2069" w:type="dxa"/>
            <w:vMerge w:val="restart"/>
            <w:tcBorders>
              <w:left w:val="single" w:color="000000" w:sz="4" w:space="0"/>
              <w:right w:val="single" w:color="auto" w:sz="4" w:space="0"/>
            </w:tcBorders>
            <w:shd w:val="clear" w:color="auto" w:fill="auto"/>
            <w:noWrap w:val="0"/>
            <w:vAlign w:val="center"/>
          </w:tcPr>
          <w:p w14:paraId="59AC9B39">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4"/>
                <w:szCs w:val="24"/>
                <w:highlight w:val="none"/>
              </w:rPr>
              <w:t>评审委员会根据供应商的</w:t>
            </w:r>
            <w:r>
              <w:rPr>
                <w:rFonts w:hint="eastAsia" w:ascii="宋体" w:hAnsi="宋体" w:cs="宋体"/>
                <w:color w:val="auto"/>
                <w:sz w:val="24"/>
                <w:szCs w:val="24"/>
                <w:highlight w:val="none"/>
                <w:lang w:eastAsia="zh-CN"/>
              </w:rPr>
              <w:t>技术部分</w:t>
            </w:r>
            <w:r>
              <w:rPr>
                <w:rFonts w:hint="eastAsia" w:ascii="宋体" w:hAnsi="宋体" w:cs="宋体"/>
                <w:color w:val="auto"/>
                <w:sz w:val="24"/>
                <w:szCs w:val="24"/>
                <w:highlight w:val="none"/>
              </w:rPr>
              <w:t>进行独立评审打分。供应商的得分取所有评审委员会成员打分的算术平均值。</w:t>
            </w:r>
          </w:p>
        </w:tc>
      </w:tr>
      <w:tr w14:paraId="2B43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67B36E37">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1F571189">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4DA7C60B">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质量管理体系与措施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57CC6C6B">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包含：施工质量保证体系、施工质量检查监督机构、质量控制措施。</w:t>
            </w:r>
          </w:p>
          <w:p w14:paraId="7276AD63">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优得12.0分-15.0分，良得6.0分-12.0分（不含），一般得3.0分-6.0分（不含），差得0分-3.0分（不含）。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2916DE77">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17445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1BB6EDAC">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2ADF3F3A">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5D8D98B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安全管理体系与措施（15分）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4EAABDBC">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施工安全保障体系、施工现场管理人员安全生产职责、安全管理措施；</w:t>
            </w:r>
          </w:p>
          <w:p w14:paraId="070EA17D">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优得12.0分-15.0分，良得6.0分-12.0分（不含），一般得3.0分-6.0分（不含），差得0分-3.0分（不含）。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79DA4993">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4404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69760000">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6DC539C1">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7FACA198">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环境保护管理体系措施（</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5F82320C">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包含：环境保护管理体系、对废弃物的管理和处理措施、对施工车辆有效控制；</w:t>
            </w:r>
          </w:p>
          <w:p w14:paraId="05051006">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优得12.0分-15.0分，良得6.0分-12.0分（不含），一般得3.0分-6.0分（不含），差得0分-3.0分（不含）。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0E7BB8F5">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r w14:paraId="2B9E4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blHeader/>
        </w:trPr>
        <w:tc>
          <w:tcPr>
            <w:tcW w:w="965" w:type="dxa"/>
            <w:vMerge w:val="continue"/>
            <w:tcBorders>
              <w:left w:val="single" w:color="000000" w:sz="4" w:space="0"/>
              <w:right w:val="single" w:color="000000" w:sz="4" w:space="0"/>
            </w:tcBorders>
            <w:shd w:val="clear" w:color="auto" w:fill="auto"/>
            <w:noWrap w:val="0"/>
            <w:vAlign w:val="center"/>
          </w:tcPr>
          <w:p w14:paraId="700ABB67">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343" w:type="dxa"/>
            <w:vMerge w:val="continue"/>
            <w:tcBorders>
              <w:left w:val="single" w:color="000000" w:sz="4" w:space="0"/>
              <w:right w:val="single" w:color="000000" w:sz="4" w:space="0"/>
            </w:tcBorders>
            <w:shd w:val="clear" w:color="auto" w:fill="auto"/>
            <w:noWrap w:val="0"/>
            <w:vAlign w:val="center"/>
          </w:tcPr>
          <w:p w14:paraId="6D8FC614">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kern w:val="0"/>
                <w:sz w:val="24"/>
                <w:szCs w:val="24"/>
                <w:highlight w:val="none"/>
              </w:rPr>
            </w:pPr>
          </w:p>
        </w:tc>
        <w:tc>
          <w:tcPr>
            <w:tcW w:w="1840" w:type="dxa"/>
            <w:tcBorders>
              <w:left w:val="single" w:color="000000" w:sz="4" w:space="0"/>
              <w:right w:val="single" w:color="000000" w:sz="4" w:space="0"/>
            </w:tcBorders>
            <w:shd w:val="clear" w:color="auto" w:fill="auto"/>
            <w:noWrap w:val="0"/>
            <w:vAlign w:val="center"/>
          </w:tcPr>
          <w:p w14:paraId="0FFF992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8"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材料及劳动力配备计划（</w:t>
            </w: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w:t>
            </w:r>
          </w:p>
        </w:tc>
        <w:tc>
          <w:tcPr>
            <w:tcW w:w="446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50F87B9D">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包含：施工材料配备计划及措施、人力配备计划及措施；</w:t>
            </w:r>
          </w:p>
          <w:p w14:paraId="36E25D3C">
            <w:pPr>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优得8.0分-10.0分，良得6.0分-8.0分（不含），一般得3.0分-6.0分（不含），差得0分-3.0分（不含）。</w:t>
            </w:r>
          </w:p>
        </w:tc>
        <w:tc>
          <w:tcPr>
            <w:tcW w:w="2069" w:type="dxa"/>
            <w:vMerge w:val="continue"/>
            <w:tcBorders>
              <w:left w:val="single" w:color="000000" w:sz="4" w:space="0"/>
              <w:right w:val="single" w:color="auto" w:sz="4" w:space="0"/>
            </w:tcBorders>
            <w:shd w:val="clear" w:color="auto" w:fill="auto"/>
            <w:noWrap w:val="0"/>
            <w:vAlign w:val="center"/>
          </w:tcPr>
          <w:p w14:paraId="57026FED">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rPr>
                <w:rFonts w:hint="eastAsia" w:ascii="宋体" w:hAnsi="宋体" w:eastAsia="宋体" w:cs="宋体"/>
                <w:color w:val="auto"/>
                <w:sz w:val="21"/>
                <w:szCs w:val="21"/>
                <w:highlight w:val="none"/>
              </w:rPr>
            </w:pPr>
          </w:p>
        </w:tc>
      </w:tr>
    </w:tbl>
    <w:p w14:paraId="7466865D">
      <w:pPr>
        <w:pStyle w:val="9"/>
        <w:bidi w:val="0"/>
        <w:rPr>
          <w:rFonts w:hint="eastAsia"/>
          <w:color w:val="auto"/>
          <w:sz w:val="24"/>
          <w:szCs w:val="18"/>
          <w:highlight w:val="none"/>
        </w:rPr>
      </w:pPr>
      <w:r>
        <w:rPr>
          <w:rFonts w:hint="eastAsia"/>
          <w:color w:val="auto"/>
          <w:sz w:val="24"/>
          <w:szCs w:val="18"/>
          <w:highlight w:val="none"/>
          <w:lang w:eastAsia="zh-CN"/>
        </w:rPr>
        <w:t>注：</w:t>
      </w:r>
      <w:r>
        <w:rPr>
          <w:rFonts w:hint="eastAsia"/>
          <w:color w:val="auto"/>
          <w:sz w:val="24"/>
          <w:szCs w:val="18"/>
          <w:highlight w:val="none"/>
        </w:rPr>
        <w:t>所有计算及得分保留至小数点后两位，小数点后第三位四舍五入。</w:t>
      </w:r>
    </w:p>
    <w:p w14:paraId="5B0E3D5D">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关于小微企业报价扣除比例说明</w:t>
      </w:r>
    </w:p>
    <w:p w14:paraId="47DA489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1.对小微型企业给予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的扣除，以扣除后的报价参与评审。</w:t>
      </w:r>
    </w:p>
    <w:p w14:paraId="7E5F8F36">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2.监狱企业、残疾人福利性单位视同小型、微型企业。</w:t>
      </w:r>
    </w:p>
    <w:p w14:paraId="25D9B9FB">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三、无效响应</w:t>
      </w:r>
    </w:p>
    <w:p w14:paraId="770575AC">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发生以下条款情况之一者，视为无效响应，其响应文件将被拒绝：</w:t>
      </w:r>
    </w:p>
    <w:p w14:paraId="645450B1">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不符合规定的基本资格条件或特定资格条件的；</w:t>
      </w:r>
    </w:p>
    <w:p w14:paraId="61061247">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的法定代表人或其授权代表未参加磋商；</w:t>
      </w:r>
    </w:p>
    <w:p w14:paraId="7F48EC32">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未按照竞争性磋商文件的要求缴纳磋商保证金；</w:t>
      </w:r>
    </w:p>
    <w:p w14:paraId="61420CC2">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所提交的响应文件不按第七篇“响应文件编制要求”规定编制或签字、盖章；</w:t>
      </w:r>
    </w:p>
    <w:p w14:paraId="7D30D5C7">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的最后报价超过采购预算的；</w:t>
      </w:r>
    </w:p>
    <w:p w14:paraId="145CF593">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（六）法定代表人为同一个人的两个及两个以上法人，母公司、全资子公司及其控股公司，在同一分包采购中同时参与磋商；</w:t>
      </w:r>
    </w:p>
    <w:p w14:paraId="637F0934">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，参加同一合同项下的政府采购活动的；</w:t>
      </w:r>
    </w:p>
    <w:p w14:paraId="14762DDD">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，再参加该采购项目的其他采购活动；</w:t>
      </w:r>
    </w:p>
    <w:p w14:paraId="2857E3BB">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响应文件内容有与国家现行法律法规相违背的内容，或附有采购人无法接受的条件。</w:t>
      </w:r>
    </w:p>
    <w:p w14:paraId="508A4ABC">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（十）本磋商文件规定的其它情形。</w:t>
      </w:r>
    </w:p>
    <w:p w14:paraId="2C70397C">
      <w:pPr>
        <w:kinsoku/>
        <w:wordWrap/>
        <w:overflowPunct/>
        <w:topLinePunct w:val="0"/>
        <w:autoSpaceDE/>
        <w:autoSpaceDN/>
        <w:bidi w:val="0"/>
        <w:snapToGrid w:val="0"/>
        <w:spacing w:line="440" w:lineRule="exact"/>
        <w:ind w:left="0" w:leftChars="0"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bookmarkEnd w:id="40"/>
      <w:bookmarkEnd w:id="41"/>
      <w:r>
        <w:rPr>
          <w:rFonts w:hint="eastAsia" w:ascii="宋体" w:hAnsi="宋体" w:eastAsia="宋体" w:cs="宋体"/>
          <w:b/>
          <w:bCs/>
          <w:color w:val="auto"/>
          <w:sz w:val="24"/>
          <w:szCs w:val="24"/>
          <w:highlight w:val="none"/>
        </w:rPr>
        <w:t>采购终止</w:t>
      </w:r>
    </w:p>
    <w:p w14:paraId="3780C345">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出现下列情形之一的，采购人应当终止竞争性磋商采购活动，发布项目终止公告并说明原因，重新开展采购活动：</w:t>
      </w:r>
    </w:p>
    <w:p w14:paraId="3C45162D">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1AD35A24">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39B69B0">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7DD4A120">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sectPr>
          <w:footerReference r:id="rId6" w:type="default"/>
          <w:pgSz w:w="11907" w:h="16840"/>
          <w:pgMar w:top="1134" w:right="1191" w:bottom="1134" w:left="1304" w:header="964" w:footer="992" w:gutter="0"/>
          <w:pgNumType w:fmt="decimal"/>
          <w:cols w:space="720" w:num="1"/>
          <w:docGrid w:linePitch="312" w:charSpace="0"/>
        </w:sectPr>
      </w:pPr>
    </w:p>
    <w:p w14:paraId="6AC40129">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Cs w:val="30"/>
          <w:highlight w:val="none"/>
        </w:rPr>
      </w:pPr>
      <w:bookmarkStart w:id="42" w:name="_Toc21400"/>
      <w:bookmarkStart w:id="43" w:name="_Toc2871"/>
      <w:bookmarkStart w:id="44" w:name="_Toc102227313"/>
      <w:bookmarkStart w:id="45" w:name="_Toc25636"/>
      <w:bookmarkStart w:id="46" w:name="_Toc25652"/>
      <w:bookmarkStart w:id="47" w:name="_Toc12789059"/>
      <w:bookmarkStart w:id="48" w:name="_Toc11641055"/>
      <w:r>
        <w:rPr>
          <w:rFonts w:hint="eastAsia" w:ascii="宋体" w:hAnsi="宋体" w:eastAsia="宋体" w:cs="宋体"/>
          <w:bCs/>
          <w:color w:val="auto"/>
          <w:sz w:val="36"/>
          <w:szCs w:val="30"/>
          <w:highlight w:val="none"/>
        </w:rPr>
        <w:t>第五篇  供应商须知</w:t>
      </w:r>
      <w:bookmarkEnd w:id="42"/>
      <w:bookmarkEnd w:id="43"/>
      <w:bookmarkEnd w:id="44"/>
      <w:bookmarkEnd w:id="45"/>
      <w:bookmarkEnd w:id="46"/>
    </w:p>
    <w:p w14:paraId="37E009F0">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49" w:name="_Toc24338"/>
      <w:bookmarkStart w:id="50" w:name="_Toc18058"/>
      <w:bookmarkStart w:id="51" w:name="_Toc465"/>
      <w:bookmarkStart w:id="52" w:name="_Toc342913389"/>
      <w:r>
        <w:rPr>
          <w:rFonts w:hint="eastAsia" w:ascii="宋体" w:hAnsi="宋体" w:eastAsia="宋体" w:cs="宋体"/>
          <w:b/>
          <w:bCs/>
          <w:color w:val="auto"/>
          <w:sz w:val="24"/>
          <w:szCs w:val="24"/>
          <w:highlight w:val="none"/>
          <w:lang w:eastAsia="zh-CN"/>
        </w:rPr>
        <w:t>一、磋商费用</w:t>
      </w:r>
      <w:bookmarkEnd w:id="49"/>
      <w:bookmarkEnd w:id="50"/>
      <w:bookmarkEnd w:id="51"/>
      <w:bookmarkEnd w:id="52"/>
    </w:p>
    <w:p w14:paraId="493B1D21">
      <w:pPr>
        <w:pStyle w:val="25"/>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参与磋商的供应商应承担其编制响应文件与递交响应文件所涉及的一切费用，不论磋商结果如何，采购人在任何情况下无义务也无责任承担这些费用。</w:t>
      </w:r>
    </w:p>
    <w:p w14:paraId="41F21EB1">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53" w:name="_Toc9574"/>
      <w:bookmarkStart w:id="54" w:name="_Toc29852"/>
      <w:bookmarkStart w:id="55" w:name="_Toc342913391"/>
      <w:bookmarkStart w:id="56" w:name="_Toc889"/>
      <w:r>
        <w:rPr>
          <w:rFonts w:hint="eastAsia" w:ascii="宋体" w:hAnsi="宋体" w:eastAsia="宋体" w:cs="宋体"/>
          <w:b/>
          <w:bCs/>
          <w:color w:val="auto"/>
          <w:sz w:val="24"/>
          <w:szCs w:val="24"/>
          <w:highlight w:val="none"/>
          <w:lang w:eastAsia="zh-CN"/>
        </w:rPr>
        <w:t>二、磋商采购文件</w:t>
      </w:r>
      <w:bookmarkEnd w:id="53"/>
      <w:bookmarkEnd w:id="54"/>
      <w:bookmarkEnd w:id="55"/>
      <w:bookmarkEnd w:id="56"/>
    </w:p>
    <w:p w14:paraId="6159DD0C">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bookmarkStart w:id="57" w:name="_Toc179714297"/>
      <w:bookmarkStart w:id="58" w:name="_Toc102227318"/>
      <w:bookmarkStart w:id="59" w:name="_Toc16134"/>
      <w:bookmarkStart w:id="60" w:name="_Toc1269"/>
      <w:bookmarkStart w:id="61" w:name="_Toc19161"/>
      <w:bookmarkStart w:id="62" w:name="_Toc342913392"/>
      <w:r>
        <w:rPr>
          <w:rFonts w:hint="eastAsia" w:ascii="宋体" w:hAnsi="宋体" w:eastAsia="宋体" w:cs="宋体"/>
          <w:b w:val="0"/>
          <w:color w:val="auto"/>
          <w:sz w:val="24"/>
          <w:szCs w:val="24"/>
          <w:highlight w:val="none"/>
        </w:rPr>
        <w:t>（一）竞争性磋商文件由采购邀请书、项目服务需求、供应商须知、项目商务需求、磋商程序及方法、评审标准、无效响应和采购终止、供应商须知、政府采购合同、响应文件编制要求七部分组成。</w:t>
      </w:r>
    </w:p>
    <w:p w14:paraId="6B4F0F1E">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（二）采购人所作的一切有效的书面通知、修改及补充，都是竞争性磋商文件不可分割的部分。</w:t>
      </w:r>
    </w:p>
    <w:p w14:paraId="0FBDC924">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（三）竞争性磋商文件的解释</w:t>
      </w:r>
    </w:p>
    <w:p w14:paraId="5BC2A0A1">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1D4D06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（四）本竞争性磋商文件中，磋商小组根据与供应商进行磋商可能实质性变动的内容为竞争性磋商文件第二、三、六篇全部内容。</w:t>
      </w:r>
    </w:p>
    <w:p w14:paraId="62903A02">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517DB3BF">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三、磋商要求</w:t>
      </w:r>
      <w:bookmarkEnd w:id="57"/>
      <w:bookmarkEnd w:id="58"/>
      <w:bookmarkEnd w:id="59"/>
      <w:bookmarkEnd w:id="60"/>
      <w:bookmarkEnd w:id="61"/>
      <w:bookmarkEnd w:id="62"/>
    </w:p>
    <w:p w14:paraId="79D8972B">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bookmarkStart w:id="63" w:name="_Toc13950"/>
      <w:bookmarkStart w:id="64" w:name="_Toc10966"/>
      <w:bookmarkStart w:id="65" w:name="_Toc18360"/>
    </w:p>
    <w:p w14:paraId="5F8A6935">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B32F25A">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7D80B8E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3F9C384">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（二）磋商有效期：响应文件及有关承诺文件有效期为提交响应文件截止时间起90天。</w:t>
      </w:r>
    </w:p>
    <w:p w14:paraId="74DE2A1E">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（三）修正错误</w:t>
      </w:r>
    </w:p>
    <w:p w14:paraId="03C855D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1.若供应商所递交的响应文件或最后报价中的价格出现大写金额和小写金额不一致的错误，以大写金额修正为准。</w:t>
      </w:r>
    </w:p>
    <w:p w14:paraId="3D15DF3A">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EE5EEF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（四）提交响应文件的份数和签署</w:t>
      </w:r>
    </w:p>
    <w:p w14:paraId="6F454B1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1.响应文件一式</w:t>
      </w:r>
      <w:r>
        <w:rPr>
          <w:rFonts w:hint="eastAsia" w:ascii="宋体" w:hAnsi="宋体" w:cs="宋体"/>
          <w:b w:val="0"/>
          <w:color w:val="auto"/>
          <w:sz w:val="24"/>
          <w:szCs w:val="24"/>
          <w:highlight w:val="none"/>
          <w:lang w:eastAsia="zh-CN"/>
        </w:rPr>
        <w:t>四</w:t>
      </w:r>
      <w:r>
        <w:rPr>
          <w:rFonts w:hint="eastAsia" w:ascii="宋体" w:hAnsi="宋体" w:eastAsia="宋体" w:cs="宋体"/>
          <w:b w:val="0"/>
          <w:color w:val="auto"/>
          <w:sz w:val="24"/>
          <w:szCs w:val="24"/>
          <w:highlight w:val="none"/>
        </w:rPr>
        <w:t>份，其中正本一份，副本</w:t>
      </w:r>
      <w:r>
        <w:rPr>
          <w:rFonts w:hint="eastAsia" w:ascii="宋体" w:hAnsi="宋体" w:cs="宋体"/>
          <w:b w:val="0"/>
          <w:color w:val="auto"/>
          <w:sz w:val="24"/>
          <w:szCs w:val="24"/>
          <w:highlight w:val="none"/>
          <w:lang w:eastAsia="zh-CN"/>
        </w:rPr>
        <w:t>二</w:t>
      </w:r>
      <w:r>
        <w:rPr>
          <w:rFonts w:hint="eastAsia" w:ascii="宋体" w:hAnsi="宋体" w:eastAsia="宋体" w:cs="宋体"/>
          <w:b w:val="0"/>
          <w:color w:val="auto"/>
          <w:sz w:val="24"/>
          <w:szCs w:val="24"/>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4E5288D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2.响应文件按竞争性磋商文件“第七篇响应文件编制要求”要求签署或盖章。</w:t>
      </w:r>
    </w:p>
    <w:p w14:paraId="326FAF3F">
      <w:pPr>
        <w:kinsoku/>
        <w:wordWrap/>
        <w:overflowPunct/>
        <w:topLinePunct w:val="0"/>
        <w:autoSpaceDE/>
        <w:autoSpaceDN/>
        <w:bidi w:val="0"/>
        <w:spacing w:line="440" w:lineRule="exact"/>
        <w:ind w:left="0" w:leftChars="0" w:right="0" w:rightChars="0" w:firstLine="240" w:firstLineChars="1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（五）响应文件的递交</w:t>
      </w:r>
    </w:p>
    <w:p w14:paraId="19D3B4D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6912004">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（六）供应商参与人员</w:t>
      </w:r>
    </w:p>
    <w:p w14:paraId="4215DA8C">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各个供应商应当派1-2名代表参与磋商，至少1人应为法定代表人（或其授权代表）或自然人（供应商为自然人）。</w:t>
      </w:r>
    </w:p>
    <w:p w14:paraId="2808B31F">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四、成交供应商的确认和变更</w:t>
      </w:r>
      <w:bookmarkEnd w:id="63"/>
      <w:bookmarkEnd w:id="64"/>
      <w:bookmarkEnd w:id="65"/>
    </w:p>
    <w:p w14:paraId="4D242DEB">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bookmarkStart w:id="66" w:name="_Toc12171"/>
      <w:bookmarkStart w:id="67" w:name="_Toc342913395"/>
      <w:bookmarkStart w:id="68" w:name="_Toc102227321"/>
      <w:bookmarkStart w:id="69" w:name="_Toc9338"/>
      <w:bookmarkStart w:id="70" w:name="_Toc16678"/>
      <w:r>
        <w:rPr>
          <w:rFonts w:hint="eastAsia" w:ascii="宋体" w:hAnsi="宋体" w:eastAsia="宋体" w:cs="宋体"/>
          <w:b w:val="0"/>
          <w:color w:val="auto"/>
          <w:sz w:val="24"/>
          <w:szCs w:val="24"/>
          <w:highlight w:val="none"/>
        </w:rPr>
        <w:t>（一）成交供应商的确认</w:t>
      </w:r>
    </w:p>
    <w:p w14:paraId="7713327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代理机构应当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D1BAE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（二）成交供应商的变更</w:t>
      </w:r>
    </w:p>
    <w:p w14:paraId="591BC354">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55D7F5EC">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五、成交通知</w:t>
      </w:r>
      <w:bookmarkEnd w:id="66"/>
      <w:bookmarkEnd w:id="67"/>
      <w:bookmarkEnd w:id="68"/>
      <w:bookmarkEnd w:id="69"/>
      <w:bookmarkEnd w:id="70"/>
    </w:p>
    <w:p w14:paraId="52FA0128">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（一）成交供应商确定后，采购人将在“行采家（https://www.gec123.com/）上发布成交结果公告。</w:t>
      </w:r>
    </w:p>
    <w:p w14:paraId="245C749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（二）结果公告发出同时，采购人将以书面形式发出《成交通知书》。《成交通知书》一经发出即发生法律效力。成交人需持经办人介绍信、身份证复印件到采购人处领取。</w:t>
      </w:r>
    </w:p>
    <w:p w14:paraId="1908BE85">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527DA488">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71" w:name="_Toc1331"/>
      <w:bookmarkStart w:id="72" w:name="_Toc4498"/>
      <w:bookmarkStart w:id="73" w:name="_Toc14603"/>
      <w:r>
        <w:rPr>
          <w:rFonts w:hint="eastAsia" w:ascii="宋体" w:hAnsi="宋体" w:eastAsia="宋体" w:cs="宋体"/>
          <w:b/>
          <w:bCs/>
          <w:color w:val="auto"/>
          <w:sz w:val="24"/>
          <w:szCs w:val="24"/>
          <w:highlight w:val="none"/>
          <w:lang w:eastAsia="zh-CN"/>
        </w:rPr>
        <w:t>六、</w:t>
      </w:r>
      <w:bookmarkEnd w:id="71"/>
      <w:bookmarkEnd w:id="72"/>
      <w:bookmarkEnd w:id="73"/>
      <w:r>
        <w:rPr>
          <w:rFonts w:hint="eastAsia" w:ascii="宋体" w:hAnsi="宋体" w:cs="宋体"/>
          <w:b/>
          <w:bCs/>
          <w:color w:val="auto"/>
          <w:sz w:val="24"/>
          <w:szCs w:val="24"/>
          <w:highlight w:val="none"/>
          <w:lang w:eastAsia="zh-CN"/>
        </w:rPr>
        <w:t>关于</w:t>
      </w:r>
      <w:r>
        <w:rPr>
          <w:rFonts w:hint="eastAsia" w:ascii="宋体" w:hAnsi="宋体" w:eastAsia="宋体" w:cs="宋体"/>
          <w:b/>
          <w:bCs/>
          <w:color w:val="auto"/>
          <w:sz w:val="24"/>
          <w:szCs w:val="24"/>
          <w:highlight w:val="none"/>
          <w:lang w:eastAsia="zh-CN"/>
        </w:rPr>
        <w:t>质疑和投诉</w:t>
      </w:r>
    </w:p>
    <w:p w14:paraId="7B539FE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05AC8312">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供应商认为采购文件、采购过程和成交结果使自己的权益收到伤害的，可向采购人以书面形式提出质疑。</w:t>
      </w:r>
    </w:p>
    <w:p w14:paraId="090027C9">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23304B79">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7EEC1ECE">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供应商认为采购文件、采购过程、成交结果使自己的权益受到损害的，可以在知道或者应知其权益受到损害之日起7个工作日内，以书面形式向采购人提出质疑。</w:t>
      </w:r>
    </w:p>
    <w:p w14:paraId="65EF8DF5">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5F2A618D">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49CC2CF8">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1.2.2质疑项目的名称、项目号以及磋商项目编号；</w:t>
      </w:r>
    </w:p>
    <w:p w14:paraId="03D9DB2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4A1072E5">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4602530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14CD004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22016F60">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0CA3140E">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3CCB7C4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214DD24C">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7510C54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采购人应当在收到供应商的书面质疑后七个工作日内作出答复，并以书面形式通知质疑供应商和其他有关供应商。</w:t>
      </w:r>
    </w:p>
    <w:p w14:paraId="7CE6BB61">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3.不予受理或暂缓受理</w:t>
      </w:r>
    </w:p>
    <w:p w14:paraId="06749BE0">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3.1质疑有下列情形之一的，不予受理：</w:t>
      </w:r>
    </w:p>
    <w:p w14:paraId="606764D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3.1.1质疑供应商参与了磋商活动后，再对竞争性磋商文件内容提出质疑的；</w:t>
      </w:r>
    </w:p>
    <w:p w14:paraId="4D0836C8">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3.1.2质疑超过有效期的；</w:t>
      </w:r>
    </w:p>
    <w:p w14:paraId="4E7E185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3.1.3对同一事项重复质疑的。</w:t>
      </w:r>
    </w:p>
    <w:p w14:paraId="6E53AC62">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3.2质疑有下列情形之一的，应暂不受理并告知供应商补充材料。供应商及时补充材料的，应予受理；逾期未补充的，不予受理：</w:t>
      </w:r>
    </w:p>
    <w:p w14:paraId="6425C021">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3.2.1质疑书格式和内容不符合国家或重庆市相关规定的；</w:t>
      </w:r>
    </w:p>
    <w:p w14:paraId="6FB341BA">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3.2.2质疑书提供的依据或证明材料不全的；</w:t>
      </w:r>
    </w:p>
    <w:p w14:paraId="72D21EF0">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3.2.3质疑书副本数量不足的。</w:t>
      </w:r>
    </w:p>
    <w:p w14:paraId="10820FC0">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D3571CD">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7A8261F7">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04FD7721">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26DA261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1.供应商对采购人的答复不满意，或者采购人未在规定时间内作出答复的，可以在答复期满后15个工作日内按照相关法律法规向财政部门提起投诉。</w:t>
      </w:r>
    </w:p>
    <w:p w14:paraId="7FEE6AC9">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5ED18705">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DABCAB9">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2527405">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bookmarkStart w:id="74" w:name="_Toc102227322"/>
      <w:bookmarkStart w:id="75" w:name="_Toc9092"/>
      <w:bookmarkStart w:id="76" w:name="_Toc3254"/>
      <w:bookmarkStart w:id="77" w:name="_Toc9382"/>
      <w:bookmarkStart w:id="78" w:name="_Toc342913396"/>
      <w:r>
        <w:rPr>
          <w:rFonts w:hint="eastAsia" w:ascii="宋体" w:hAnsi="宋体" w:eastAsia="宋体" w:cs="宋体"/>
          <w:b/>
          <w:bCs/>
          <w:color w:val="auto"/>
          <w:sz w:val="24"/>
          <w:szCs w:val="24"/>
          <w:highlight w:val="none"/>
          <w:lang w:eastAsia="zh-CN"/>
        </w:rPr>
        <w:t>七、采购代理服务费</w:t>
      </w:r>
    </w:p>
    <w:p w14:paraId="644CBCA2">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以本次代理项目的中标金额为取费基数，参照《国家计委关于印发&lt;招标代理服务收费管理暂行办法&gt;的通知》（计价格〔2002〕1980号）、《国家发展改革委办办公厅关于招标代理服务费收费有关问题的通知》（发改办价格〔2003〕857号）和《国家发展改革委关于降低部分建设项目收费标准规范收费行为等有关问题的通知》发改价格〔2011〕534号文规定的收费标准的80%计取（最高不超过20万元）；代理服务费由中标人支付，</w:t>
      </w:r>
      <w:r>
        <w:rPr>
          <w:rFonts w:hint="eastAsia" w:ascii="宋体" w:hAnsi="宋体" w:cs="宋体"/>
          <w:color w:val="auto"/>
          <w:sz w:val="24"/>
          <w:szCs w:val="24"/>
          <w:highlight w:val="none"/>
          <w:lang w:eastAsia="zh-CN"/>
        </w:rPr>
        <w:t>成交人在领取成交通知书时一次性支付。该费用供应商自行考虑在磋商报价中，采购人不单独支付费用。</w:t>
      </w:r>
    </w:p>
    <w:p w14:paraId="3B55DDF4">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（二）采购代理服务费缴纳账号：</w:t>
      </w:r>
    </w:p>
    <w:p w14:paraId="7F8F090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户  名：重庆远博工程项目管理有限公司</w:t>
      </w:r>
    </w:p>
    <w:p w14:paraId="477C6C1A">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开户行：建行重庆巴南支行  </w:t>
      </w:r>
    </w:p>
    <w:p w14:paraId="67DC26FF">
      <w:pPr>
        <w:kinsoku/>
        <w:wordWrap/>
        <w:overflowPunct/>
        <w:topLinePunct w:val="0"/>
        <w:autoSpaceDE/>
        <w:autoSpaceDN/>
        <w:bidi w:val="0"/>
        <w:spacing w:line="440" w:lineRule="exact"/>
        <w:ind w:left="0" w:leftChars="0" w:right="0" w:rightChars="0"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账  号：50050111360000002173</w:t>
      </w:r>
    </w:p>
    <w:p w14:paraId="12DD8849">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八、签订</w:t>
      </w:r>
      <w:bookmarkEnd w:id="74"/>
      <w:r>
        <w:rPr>
          <w:rFonts w:hint="eastAsia" w:ascii="宋体" w:hAnsi="宋体" w:eastAsia="宋体" w:cs="宋体"/>
          <w:b/>
          <w:bCs/>
          <w:color w:val="auto"/>
          <w:sz w:val="24"/>
          <w:szCs w:val="24"/>
          <w:highlight w:val="none"/>
          <w:lang w:eastAsia="zh-CN"/>
        </w:rPr>
        <w:t>合同</w:t>
      </w:r>
      <w:bookmarkEnd w:id="75"/>
      <w:bookmarkEnd w:id="76"/>
      <w:bookmarkEnd w:id="77"/>
      <w:bookmarkEnd w:id="78"/>
    </w:p>
    <w:p w14:paraId="128E40C1">
      <w:pPr>
        <w:kinsoku/>
        <w:wordWrap/>
        <w:overflowPunct/>
        <w:topLinePunct w:val="0"/>
        <w:autoSpaceDE/>
        <w:autoSpaceDN/>
        <w:bidi w:val="0"/>
        <w:spacing w:line="440" w:lineRule="exact"/>
        <w:ind w:left="0" w:leftChars="0" w:right="0" w:rightChars="0"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2898E908">
      <w:pPr>
        <w:kinsoku/>
        <w:wordWrap/>
        <w:overflowPunct/>
        <w:topLinePunct w:val="0"/>
        <w:autoSpaceDE/>
        <w:autoSpaceDN/>
        <w:bidi w:val="0"/>
        <w:spacing w:line="440" w:lineRule="exact"/>
        <w:ind w:left="0" w:leftChars="0" w:right="0" w:rightChars="0"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（二）竞争性磋商文件、供应商的响应文件及澄清文件等，均为签订政府采购合同的依据。</w:t>
      </w:r>
    </w:p>
    <w:p w14:paraId="4FE9A481">
      <w:pPr>
        <w:kinsoku/>
        <w:wordWrap/>
        <w:overflowPunct/>
        <w:topLinePunct w:val="0"/>
        <w:autoSpaceDE/>
        <w:autoSpaceDN/>
        <w:bidi w:val="0"/>
        <w:spacing w:line="440" w:lineRule="exact"/>
        <w:ind w:left="0" w:leftChars="0" w:right="0" w:rightChars="0"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6FA3E053">
      <w:pPr>
        <w:kinsoku/>
        <w:wordWrap/>
        <w:overflowPunct/>
        <w:topLinePunct w:val="0"/>
        <w:autoSpaceDE/>
        <w:autoSpaceDN/>
        <w:bidi w:val="0"/>
        <w:spacing w:line="440" w:lineRule="exact"/>
        <w:ind w:left="0" w:leftChars="0" w:right="0" w:rightChars="0"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42777638">
      <w:pPr>
        <w:kinsoku/>
        <w:wordWrap/>
        <w:overflowPunct/>
        <w:topLinePunct w:val="0"/>
        <w:autoSpaceDE/>
        <w:autoSpaceDN/>
        <w:bidi w:val="0"/>
        <w:spacing w:line="440" w:lineRule="exact"/>
        <w:ind w:left="0" w:leftChars="0" w:right="0" w:rightChars="0"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（五）采购人要求成交供应商提供履约保证金的，应当在竞争性磋商文件中予以约定。成交供应商履约完毕后，采购人根据采购文件规定退还其履约保证金。</w:t>
      </w:r>
    </w:p>
    <w:p w14:paraId="5F76404B">
      <w:pPr>
        <w:kinsoku/>
        <w:wordWrap/>
        <w:overflowPunct/>
        <w:topLinePunct w:val="0"/>
        <w:autoSpaceDE/>
        <w:autoSpaceDN/>
        <w:bidi w:val="0"/>
        <w:spacing w:line="440" w:lineRule="exact"/>
        <w:ind w:left="0" w:leftChars="0"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九、政府采购信用融资</w:t>
      </w:r>
    </w:p>
    <w:p w14:paraId="053E7446">
      <w:pPr>
        <w:kinsoku/>
        <w:wordWrap/>
        <w:overflowPunct/>
        <w:topLinePunct w:val="0"/>
        <w:autoSpaceDE/>
        <w:autoSpaceDN/>
        <w:bidi w:val="0"/>
        <w:spacing w:line="440" w:lineRule="exact"/>
        <w:ind w:left="0" w:leftChars="0" w:right="0" w:rightChars="0"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与重庆市政府采购活动，成为成交人，并与采购人签订政府采购合同后，可按照重庆市政府采购支持中小企业信用融资办法的规定，向开展政府采购信用融资业务的银行申请贷款。具体内容详见重庆市重庆市政府采购网“政采贷”信息专栏。建设银行联系人：吴言18602391953；工商银行联系人：程剑鹏18325073918 游宇13996150404; 兴业银行联系人：陈亚琴15223442359；光大银行联系人：韩一夫13983233666；农业银行联系人：张世佳19946916067；华夏银行重庆分行联系人：危经理13618303013胡经理18580766891。</w:t>
      </w:r>
      <w:r>
        <w:rPr>
          <w:rFonts w:hint="eastAsia" w:ascii="宋体" w:hAnsi="宋体" w:eastAsia="宋体" w:cs="宋体"/>
          <w:color w:val="auto"/>
          <w:sz w:val="24"/>
          <w:szCs w:val="24"/>
          <w:highlight w:val="none"/>
        </w:rPr>
        <w:br w:type="page"/>
      </w:r>
    </w:p>
    <w:p w14:paraId="5D9B51EE">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bookmarkStart w:id="79" w:name="_Toc19434"/>
      <w:r>
        <w:rPr>
          <w:rFonts w:hint="eastAsia" w:ascii="宋体" w:hAnsi="宋体" w:eastAsia="宋体" w:cs="宋体"/>
          <w:bCs/>
          <w:color w:val="auto"/>
          <w:sz w:val="36"/>
          <w:szCs w:val="30"/>
          <w:highlight w:val="none"/>
          <w:lang w:val="en-US" w:eastAsia="zh-CN"/>
        </w:rPr>
        <w:t xml:space="preserve">第六篇  </w:t>
      </w:r>
      <w:bookmarkEnd w:id="47"/>
      <w:bookmarkEnd w:id="48"/>
      <w:r>
        <w:rPr>
          <w:rFonts w:hint="eastAsia" w:ascii="宋体" w:hAnsi="宋体" w:eastAsia="宋体" w:cs="宋体"/>
          <w:bCs/>
          <w:color w:val="auto"/>
          <w:sz w:val="36"/>
          <w:szCs w:val="30"/>
          <w:highlight w:val="none"/>
          <w:lang w:val="en-US" w:eastAsia="zh-CN"/>
        </w:rPr>
        <w:t>合同</w:t>
      </w:r>
      <w:bookmarkEnd w:id="79"/>
    </w:p>
    <w:p w14:paraId="5B3F2A4D">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bookmarkStart w:id="80" w:name="_Hlt41879464"/>
      <w:bookmarkEnd w:id="80"/>
    </w:p>
    <w:p w14:paraId="43B45B32">
      <w:pPr>
        <w:pStyle w:val="4"/>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41054F67">
      <w:pPr>
        <w:spacing w:line="360" w:lineRule="auto"/>
        <w:jc w:val="center"/>
        <w:rPr>
          <w:rFonts w:ascii="宋体" w:hAnsi="宋体"/>
          <w:color w:val="auto"/>
          <w:sz w:val="44"/>
          <w:szCs w:val="44"/>
          <w:highlight w:val="none"/>
        </w:rPr>
      </w:pPr>
      <w:bookmarkStart w:id="81" w:name="_Toc3456"/>
      <w:r>
        <w:rPr>
          <w:rFonts w:hint="eastAsia" w:ascii="宋体" w:hAnsi="宋体"/>
          <w:color w:val="auto"/>
          <w:sz w:val="44"/>
          <w:szCs w:val="44"/>
          <w:highlight w:val="none"/>
        </w:rPr>
        <w:t>第一部分 合同协议书</w:t>
      </w:r>
    </w:p>
    <w:p w14:paraId="2820CCC9">
      <w:pPr>
        <w:pStyle w:val="29"/>
        <w:snapToGrid w:val="0"/>
        <w:spacing w:before="0" w:line="360" w:lineRule="auto"/>
        <w:ind w:firstLine="562" w:firstLineChars="200"/>
        <w:rPr>
          <w:rFonts w:ascii="宋体" w:hAnsi="宋体"/>
          <w:color w:val="auto"/>
          <w:highlight w:val="none"/>
        </w:rPr>
      </w:pPr>
    </w:p>
    <w:p w14:paraId="4EDF92FC">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4737A4AA"/>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14:paraId="4737A4AA"/>
                  </w:txbxContent>
                </v:textbox>
              </v:rect>
            </w:pict>
          </mc:Fallback>
        </mc:AlternateContent>
      </w:r>
      <w:r>
        <w:rPr>
          <w:rFonts w:ascii="宋体" w:hAnsi="宋体"/>
          <w:color w:val="auto"/>
          <w:highlight w:val="none"/>
        </w:rPr>
        <w:br w:type="page"/>
      </w:r>
    </w:p>
    <w:p w14:paraId="256F6151">
      <w:pPr>
        <w:pStyle w:val="5"/>
        <w:jc w:val="center"/>
        <w:rPr>
          <w:rFonts w:ascii="宋体" w:hAnsi="宋体"/>
          <w:b w:val="0"/>
          <w:color w:val="auto"/>
          <w:sz w:val="40"/>
          <w:szCs w:val="40"/>
          <w:highlight w:val="none"/>
        </w:rPr>
      </w:pPr>
      <w:r>
        <w:rPr>
          <w:rFonts w:ascii="宋体" w:hAnsi="宋体"/>
          <w:color w:val="auto"/>
          <w:sz w:val="40"/>
          <w:szCs w:val="40"/>
          <w:highlight w:val="none"/>
        </w:rPr>
        <w:t>第一部分 合同协议书</w:t>
      </w:r>
    </w:p>
    <w:p w14:paraId="438968C0">
      <w:pPr>
        <w:snapToGrid w:val="0"/>
        <w:spacing w:line="600" w:lineRule="exact"/>
        <w:ind w:firstLine="440" w:firstLineChars="200"/>
        <w:rPr>
          <w:rFonts w:ascii="宋体" w:hAnsi="宋体"/>
          <w:color w:val="auto"/>
          <w:sz w:val="22"/>
          <w:szCs w:val="18"/>
          <w:highlight w:val="none"/>
        </w:rPr>
      </w:pPr>
    </w:p>
    <w:p w14:paraId="3DC2F37C">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color w:val="auto"/>
          <w:sz w:val="21"/>
          <w:szCs w:val="21"/>
          <w:highlight w:val="none"/>
          <w:u w:val="single"/>
        </w:rPr>
        <w:t xml:space="preserve">                             </w:t>
      </w:r>
    </w:p>
    <w:p w14:paraId="060B31CC">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color w:val="auto"/>
          <w:sz w:val="21"/>
          <w:szCs w:val="21"/>
          <w:highlight w:val="none"/>
          <w:u w:val="single"/>
        </w:rPr>
        <w:t xml:space="preserve">                                 </w:t>
      </w:r>
    </w:p>
    <w:p w14:paraId="551C5B9B">
      <w:pPr>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根据《中华人民共和国民法典》、《中华人民共和国建筑法》及有关法律、法规规定，遵循平等、自愿、公平和诚实信用的原则，双方就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工程施工及有关事项协商一致，共同达成如下协议：</w:t>
      </w:r>
    </w:p>
    <w:p w14:paraId="2EAD15DA">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82" w:name="_Toc351203481"/>
      <w:bookmarkStart w:id="83" w:name="_Toc532377166"/>
      <w:bookmarkStart w:id="84" w:name="_Toc532375573"/>
      <w:r>
        <w:rPr>
          <w:rFonts w:hint="eastAsia" w:ascii="宋体" w:hAnsi="宋体" w:eastAsia="宋体" w:cs="宋体"/>
          <w:color w:val="auto"/>
          <w:kern w:val="2"/>
          <w:sz w:val="21"/>
          <w:szCs w:val="21"/>
          <w:highlight w:val="none"/>
        </w:rPr>
        <w:t>一、工程概况</w:t>
      </w:r>
      <w:bookmarkEnd w:id="82"/>
      <w:bookmarkEnd w:id="83"/>
      <w:bookmarkEnd w:id="84"/>
    </w:p>
    <w:p w14:paraId="1966F8B9">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10FBD9">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2AF311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020FF528">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CECB1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770977">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D12820F">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85" w:name="_Toc351203482"/>
      <w:bookmarkStart w:id="86" w:name="_Toc532375574"/>
      <w:bookmarkStart w:id="87" w:name="_Toc532377167"/>
      <w:r>
        <w:rPr>
          <w:rFonts w:hint="eastAsia" w:ascii="宋体" w:hAnsi="宋体" w:eastAsia="宋体" w:cs="宋体"/>
          <w:color w:val="auto"/>
          <w:kern w:val="2"/>
          <w:sz w:val="21"/>
          <w:szCs w:val="21"/>
          <w:highlight w:val="none"/>
        </w:rPr>
        <w:t>二、合同工期</w:t>
      </w:r>
      <w:bookmarkEnd w:id="85"/>
      <w:bookmarkEnd w:id="86"/>
      <w:bookmarkEnd w:id="87"/>
    </w:p>
    <w:p w14:paraId="380D820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承包人投标函中承诺的工期：</w:t>
      </w:r>
      <w:r>
        <w:rPr>
          <w:rFonts w:hint="eastAsia" w:ascii="宋体" w:hAnsi="宋体" w:eastAsia="宋体" w:cs="宋体"/>
          <w:bCs/>
          <w:color w:val="auto"/>
          <w:sz w:val="21"/>
          <w:szCs w:val="21"/>
          <w:highlight w:val="none"/>
          <w:u w:val="single"/>
        </w:rPr>
        <w:t>日历天</w:t>
      </w:r>
      <w:r>
        <w:rPr>
          <w:rFonts w:hint="eastAsia" w:ascii="宋体" w:hAnsi="宋体" w:eastAsia="宋体" w:cs="宋体"/>
          <w:bCs/>
          <w:color w:val="auto"/>
          <w:sz w:val="21"/>
          <w:szCs w:val="21"/>
          <w:highlight w:val="none"/>
        </w:rPr>
        <w:t>。</w:t>
      </w:r>
    </w:p>
    <w:p w14:paraId="690D0DE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计划开工日期：</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日，实际开工日期以监理工程师签发的工程开工通知明确的开工日期为准。</w:t>
      </w:r>
    </w:p>
    <w:p w14:paraId="2FAE05A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计划竣工日期：</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日，实际竣工日期以工程竣工验收合格之日为准。</w:t>
      </w:r>
    </w:p>
    <w:p w14:paraId="6C8979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工期总日历天数</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天。工期总日历天数与根据前述计划开竣工日期计算的工期天数不一</w:t>
      </w:r>
      <w:r>
        <w:rPr>
          <w:rFonts w:hint="eastAsia" w:ascii="宋体" w:hAnsi="宋体" w:eastAsia="宋体" w:cs="宋体"/>
          <w:color w:val="auto"/>
          <w:sz w:val="21"/>
          <w:szCs w:val="21"/>
          <w:highlight w:val="none"/>
        </w:rPr>
        <w:t>致的，以工期总日历天数为准。</w:t>
      </w:r>
    </w:p>
    <w:p w14:paraId="42E2BB4B">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88" w:name="_Toc351203483"/>
      <w:bookmarkStart w:id="89" w:name="_Toc532375575"/>
      <w:bookmarkStart w:id="90" w:name="_Toc532377168"/>
      <w:r>
        <w:rPr>
          <w:rFonts w:hint="eastAsia" w:ascii="宋体" w:hAnsi="宋体" w:eastAsia="宋体" w:cs="宋体"/>
          <w:color w:val="auto"/>
          <w:kern w:val="2"/>
          <w:sz w:val="21"/>
          <w:szCs w:val="21"/>
          <w:highlight w:val="none"/>
        </w:rPr>
        <w:t>三、质量标准</w:t>
      </w:r>
      <w:bookmarkEnd w:id="88"/>
      <w:bookmarkEnd w:id="89"/>
      <w:bookmarkEnd w:id="90"/>
    </w:p>
    <w:p w14:paraId="62F1743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工程质量符合强制性质量标准，</w:t>
      </w:r>
      <w:r>
        <w:rPr>
          <w:rFonts w:hint="eastAsia" w:ascii="宋体" w:hAnsi="宋体" w:eastAsia="宋体" w:cs="宋体"/>
          <w:color w:val="auto"/>
          <w:sz w:val="21"/>
          <w:szCs w:val="21"/>
          <w:highlight w:val="none"/>
          <w:u w:val="single"/>
        </w:rPr>
        <w:t>符合国家和重庆市现行有关施工质量验收规范要求，并达到合格</w:t>
      </w:r>
      <w:r>
        <w:rPr>
          <w:rFonts w:hint="eastAsia" w:ascii="宋体" w:hAnsi="宋体" w:eastAsia="宋体" w:cs="宋体"/>
          <w:color w:val="auto"/>
          <w:sz w:val="21"/>
          <w:szCs w:val="21"/>
          <w:highlight w:val="none"/>
        </w:rPr>
        <w:t>标准。</w:t>
      </w:r>
    </w:p>
    <w:p w14:paraId="798236F8">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91" w:name="_Toc351203484"/>
      <w:bookmarkStart w:id="92" w:name="_Toc532375576"/>
      <w:bookmarkStart w:id="93" w:name="_Toc532377169"/>
      <w:r>
        <w:rPr>
          <w:rFonts w:hint="eastAsia" w:ascii="宋体" w:hAnsi="宋体" w:eastAsia="宋体" w:cs="宋体"/>
          <w:color w:val="auto"/>
          <w:kern w:val="2"/>
          <w:sz w:val="21"/>
          <w:szCs w:val="21"/>
          <w:highlight w:val="none"/>
        </w:rPr>
        <w:t>四、签约合同价与合同价格形式</w:t>
      </w:r>
      <w:bookmarkEnd w:id="91"/>
      <w:bookmarkEnd w:id="92"/>
      <w:bookmarkEnd w:id="93"/>
      <w:r>
        <w:rPr>
          <w:rFonts w:hint="eastAsia" w:ascii="宋体" w:hAnsi="宋体" w:eastAsia="宋体" w:cs="宋体"/>
          <w:color w:val="auto"/>
          <w:kern w:val="2"/>
          <w:sz w:val="21"/>
          <w:szCs w:val="21"/>
          <w:highlight w:val="none"/>
        </w:rPr>
        <w:tab/>
      </w:r>
    </w:p>
    <w:p w14:paraId="46AEB6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1.承包人投标函中承诺的中标价为：</w:t>
      </w:r>
    </w:p>
    <w:p w14:paraId="4E9E9C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76994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2.签约合同价为：</w:t>
      </w:r>
    </w:p>
    <w:p w14:paraId="56E05F1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BDA71E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3B4D45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533D84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A10E2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AC83E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1080E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12EFC9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CBA15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2EBF3C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36EA5C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（5）人工费（工资款）</w:t>
      </w:r>
    </w:p>
    <w:p w14:paraId="09BD7C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该项目实行人工费（工资款）与其他工程款分账管理，发包人将应付工程款中的人工费（工资款），以不低于已完成合同价款的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，农民工工资单独支付至承包人设立的农民工工资专用账户。</w:t>
      </w:r>
    </w:p>
    <w:p w14:paraId="431B91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F6AA17">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94" w:name="_Toc351203485"/>
      <w:bookmarkStart w:id="95" w:name="_Toc532375577"/>
      <w:bookmarkStart w:id="96" w:name="_Toc532377170"/>
      <w:r>
        <w:rPr>
          <w:rFonts w:hint="eastAsia" w:ascii="宋体" w:hAnsi="宋体" w:eastAsia="宋体" w:cs="宋体"/>
          <w:color w:val="auto"/>
          <w:kern w:val="2"/>
          <w:sz w:val="21"/>
          <w:szCs w:val="21"/>
          <w:highlight w:val="none"/>
        </w:rPr>
        <w:t>五、</w:t>
      </w:r>
      <w:bookmarkEnd w:id="94"/>
      <w:r>
        <w:rPr>
          <w:rFonts w:hint="eastAsia" w:ascii="宋体" w:hAnsi="宋体" w:eastAsia="宋体" w:cs="宋体"/>
          <w:color w:val="auto"/>
          <w:kern w:val="2"/>
          <w:sz w:val="21"/>
          <w:szCs w:val="21"/>
          <w:highlight w:val="none"/>
        </w:rPr>
        <w:t>项目经理及技术负责人</w:t>
      </w:r>
      <w:bookmarkEnd w:id="95"/>
      <w:bookmarkEnd w:id="96"/>
    </w:p>
    <w:p w14:paraId="454BE4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承包人投标文件中承诺的项目经理：</w:t>
      </w:r>
    </w:p>
    <w:p w14:paraId="557780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F5D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E38C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C78AF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承包人投标文件中承诺的技术负责人：</w:t>
      </w:r>
    </w:p>
    <w:p w14:paraId="293AA8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01B19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E9FA02">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证书名称及号码：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F5505A">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97" w:name="_Toc351203486"/>
      <w:bookmarkStart w:id="98" w:name="_Toc532375578"/>
      <w:bookmarkStart w:id="99" w:name="_Toc532377171"/>
      <w:r>
        <w:rPr>
          <w:rFonts w:hint="eastAsia" w:ascii="宋体" w:hAnsi="宋体" w:eastAsia="宋体" w:cs="宋体"/>
          <w:color w:val="auto"/>
          <w:kern w:val="2"/>
          <w:sz w:val="21"/>
          <w:szCs w:val="21"/>
          <w:highlight w:val="none"/>
        </w:rPr>
        <w:t>六、合同文件构成</w:t>
      </w:r>
      <w:bookmarkEnd w:id="97"/>
      <w:bookmarkEnd w:id="98"/>
      <w:bookmarkEnd w:id="99"/>
    </w:p>
    <w:p w14:paraId="408811F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合同由以下文件构成：</w:t>
      </w:r>
    </w:p>
    <w:p w14:paraId="50F6E7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3178B9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39196B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6E5947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14:paraId="53FF17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7D33F5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（6）投标文件（投标函及投标函附录除外）；</w:t>
      </w:r>
    </w:p>
    <w:p w14:paraId="36493C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（7）招标文件及修改文件；</w:t>
      </w:r>
    </w:p>
    <w:p w14:paraId="41E025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（8）技术标准和要求；</w:t>
      </w:r>
    </w:p>
    <w:p w14:paraId="76F7BF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（9）图纸；</w:t>
      </w:r>
    </w:p>
    <w:p w14:paraId="0AFCE1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（10）其他合同文件。</w:t>
      </w:r>
    </w:p>
    <w:p w14:paraId="58417A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在合同订立、履行过程中形成的与合同有关的书面形式的文件均构成合同文件组成部分。</w:t>
      </w:r>
    </w:p>
    <w:p w14:paraId="36054A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上述各项合同文件包括合同当事人就该项合同文件所作出的补充和修改，属于同一类内容的文件，应以最新签署的为准。专用合同条款及其附件须经合同当事人签名或盖章。</w:t>
      </w:r>
    </w:p>
    <w:p w14:paraId="2B2D9FDB">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100" w:name="_Toc532377172"/>
      <w:bookmarkStart w:id="101" w:name="_Toc351203487"/>
      <w:bookmarkStart w:id="102" w:name="_Toc532375579"/>
      <w:r>
        <w:rPr>
          <w:rFonts w:hint="eastAsia" w:ascii="宋体" w:hAnsi="宋体" w:eastAsia="宋体" w:cs="宋体"/>
          <w:color w:val="auto"/>
          <w:kern w:val="2"/>
          <w:sz w:val="21"/>
          <w:szCs w:val="21"/>
          <w:highlight w:val="none"/>
        </w:rPr>
        <w:t>七、承诺</w:t>
      </w:r>
      <w:bookmarkEnd w:id="100"/>
      <w:bookmarkEnd w:id="101"/>
      <w:bookmarkEnd w:id="102"/>
    </w:p>
    <w:p w14:paraId="32AEB85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0EB67D8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auto"/>
          <w:sz w:val="21"/>
          <w:szCs w:val="21"/>
          <w:highlight w:val="none"/>
        </w:rPr>
        <w:t>。</w:t>
      </w:r>
    </w:p>
    <w:p w14:paraId="5F32352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030830E0">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103" w:name="_Toc532375580"/>
      <w:bookmarkStart w:id="104" w:name="_Toc351203488"/>
      <w:bookmarkStart w:id="105" w:name="_Toc532377173"/>
      <w:r>
        <w:rPr>
          <w:rFonts w:hint="eastAsia" w:ascii="宋体" w:hAnsi="宋体" w:eastAsia="宋体" w:cs="宋体"/>
          <w:color w:val="auto"/>
          <w:kern w:val="2"/>
          <w:sz w:val="21"/>
          <w:szCs w:val="21"/>
          <w:highlight w:val="none"/>
        </w:rPr>
        <w:t>八、词语含义</w:t>
      </w:r>
      <w:bookmarkEnd w:id="103"/>
      <w:bookmarkEnd w:id="104"/>
      <w:bookmarkEnd w:id="105"/>
    </w:p>
    <w:p w14:paraId="7D2E1AA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本协议书中词语含义与专用合同条款及通用合同条款中赋予的含义相同。</w:t>
      </w:r>
    </w:p>
    <w:p w14:paraId="07B1034F">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106" w:name="_Toc532377174"/>
      <w:bookmarkStart w:id="107" w:name="_Toc532375581"/>
      <w:r>
        <w:rPr>
          <w:rFonts w:hint="eastAsia" w:ascii="宋体" w:hAnsi="宋体" w:eastAsia="宋体" w:cs="宋体"/>
          <w:color w:val="auto"/>
          <w:kern w:val="2"/>
          <w:sz w:val="21"/>
          <w:szCs w:val="21"/>
          <w:highlight w:val="none"/>
        </w:rPr>
        <w:t>九、签订时间</w:t>
      </w:r>
      <w:bookmarkEnd w:id="106"/>
      <w:bookmarkEnd w:id="107"/>
    </w:p>
    <w:p w14:paraId="2BD63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72791229">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108" w:name="_Toc351203489"/>
      <w:bookmarkStart w:id="109" w:name="_Toc532377175"/>
      <w:bookmarkStart w:id="110" w:name="_Toc532375582"/>
      <w:r>
        <w:rPr>
          <w:rFonts w:hint="eastAsia" w:ascii="宋体" w:hAnsi="宋体" w:eastAsia="宋体" w:cs="宋体"/>
          <w:color w:val="auto"/>
          <w:kern w:val="2"/>
          <w:sz w:val="21"/>
          <w:szCs w:val="21"/>
          <w:highlight w:val="none"/>
        </w:rPr>
        <w:t>十、</w:t>
      </w:r>
      <w:bookmarkEnd w:id="108"/>
      <w:bookmarkStart w:id="111" w:name="_Toc351203490"/>
      <w:r>
        <w:rPr>
          <w:rFonts w:hint="eastAsia" w:ascii="宋体" w:hAnsi="宋体" w:eastAsia="宋体" w:cs="宋体"/>
          <w:color w:val="auto"/>
          <w:kern w:val="2"/>
          <w:sz w:val="21"/>
          <w:szCs w:val="21"/>
          <w:highlight w:val="none"/>
        </w:rPr>
        <w:t>签订地点</w:t>
      </w:r>
      <w:bookmarkEnd w:id="109"/>
      <w:bookmarkEnd w:id="110"/>
      <w:bookmarkEnd w:id="111"/>
    </w:p>
    <w:p w14:paraId="0BF8930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38CCA95F">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112" w:name="_Toc532375583"/>
      <w:bookmarkStart w:id="113" w:name="_Toc351203491"/>
      <w:bookmarkStart w:id="114" w:name="_Toc532377176"/>
      <w:r>
        <w:rPr>
          <w:rFonts w:hint="eastAsia" w:ascii="宋体" w:hAnsi="宋体" w:eastAsia="宋体" w:cs="宋体"/>
          <w:color w:val="auto"/>
          <w:kern w:val="2"/>
          <w:sz w:val="21"/>
          <w:szCs w:val="21"/>
          <w:highlight w:val="none"/>
        </w:rPr>
        <w:t>十一、补充协议</w:t>
      </w:r>
      <w:bookmarkEnd w:id="112"/>
      <w:bookmarkEnd w:id="113"/>
      <w:bookmarkEnd w:id="114"/>
    </w:p>
    <w:p w14:paraId="1ECF38DD">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67C831C4">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115" w:name="_Toc532377177"/>
      <w:bookmarkStart w:id="116" w:name="_Toc351203492"/>
      <w:bookmarkStart w:id="117" w:name="_Toc532375584"/>
      <w:r>
        <w:rPr>
          <w:rFonts w:hint="eastAsia" w:ascii="宋体" w:hAnsi="宋体" w:eastAsia="宋体" w:cs="宋体"/>
          <w:color w:val="auto"/>
          <w:kern w:val="2"/>
          <w:sz w:val="21"/>
          <w:szCs w:val="21"/>
          <w:highlight w:val="none"/>
        </w:rPr>
        <w:t>十二、合同生效</w:t>
      </w:r>
      <w:bookmarkEnd w:id="115"/>
      <w:bookmarkEnd w:id="116"/>
      <w:bookmarkEnd w:id="117"/>
    </w:p>
    <w:p w14:paraId="349A7236">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合同在以下条件全部满足之后生效：</w:t>
      </w:r>
    </w:p>
    <w:p w14:paraId="0CEC12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1.合同</w:t>
      </w:r>
      <w:r>
        <w:rPr>
          <w:rFonts w:hint="eastAsia" w:ascii="宋体" w:hAnsi="宋体" w:eastAsia="宋体" w:cs="宋体"/>
          <w:color w:val="auto"/>
          <w:sz w:val="21"/>
          <w:szCs w:val="21"/>
          <w:highlight w:val="none"/>
        </w:rPr>
        <w:t>经双方法定代表人或其委托代理人签名并加盖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snapToGrid w:val="0"/>
          <w:color w:val="auto"/>
          <w:kern w:val="0"/>
          <w:sz w:val="21"/>
          <w:szCs w:val="21"/>
          <w:highlight w:val="none"/>
        </w:rPr>
        <w:t>公章或合同专用章</w:t>
      </w:r>
      <w:r>
        <w:rPr>
          <w:rFonts w:hint="eastAsia" w:ascii="宋体" w:hAnsi="宋体" w:eastAsia="宋体" w:cs="宋体"/>
          <w:color w:val="auto"/>
          <w:sz w:val="21"/>
          <w:szCs w:val="21"/>
          <w:highlight w:val="none"/>
        </w:rPr>
        <w:t>；</w:t>
      </w:r>
    </w:p>
    <w:p w14:paraId="5BC805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2.采用保函形式递交履约担保的，承包人按合同约定向发包人提交履约担保后；</w:t>
      </w:r>
    </w:p>
    <w:p w14:paraId="10ED0BC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059E656">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118" w:name="_Toc532377178"/>
      <w:bookmarkStart w:id="119" w:name="_Toc532375585"/>
      <w:bookmarkStart w:id="120" w:name="_Toc351203493"/>
      <w:r>
        <w:rPr>
          <w:rFonts w:hint="eastAsia" w:ascii="宋体" w:hAnsi="宋体" w:eastAsia="宋体" w:cs="宋体"/>
          <w:color w:val="auto"/>
          <w:kern w:val="2"/>
          <w:sz w:val="21"/>
          <w:szCs w:val="21"/>
          <w:highlight w:val="none"/>
        </w:rPr>
        <w:t>十三、合同份数</w:t>
      </w:r>
      <w:bookmarkEnd w:id="118"/>
      <w:bookmarkEnd w:id="119"/>
      <w:bookmarkEnd w:id="120"/>
    </w:p>
    <w:p w14:paraId="488AC59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份，其中正本</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份，双方各持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份，双方各执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份。副本与正本不一致时，以正本为准。</w:t>
      </w:r>
    </w:p>
    <w:p w14:paraId="375AF14B">
      <w:pPr>
        <w:spacing w:line="360" w:lineRule="auto"/>
        <w:ind w:firstLine="420" w:firstLineChars="200"/>
        <w:rPr>
          <w:rFonts w:hint="eastAsia" w:ascii="宋体" w:hAnsi="宋体" w:eastAsia="宋体" w:cs="宋体"/>
          <w:bCs/>
          <w:color w:val="auto"/>
          <w:sz w:val="21"/>
          <w:szCs w:val="21"/>
          <w:highlight w:val="none"/>
        </w:rPr>
      </w:pPr>
    </w:p>
    <w:p w14:paraId="475DDC5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（以下为签名盖章页）。</w:t>
      </w:r>
    </w:p>
    <w:p w14:paraId="38613EDB">
      <w:pPr>
        <w:pStyle w:val="2"/>
        <w:spacing w:line="360" w:lineRule="auto"/>
        <w:ind w:firstLine="420" w:firstLineChars="200"/>
        <w:rPr>
          <w:rFonts w:hint="eastAsia" w:ascii="宋体" w:hAnsi="宋体" w:eastAsia="宋体" w:cs="宋体"/>
          <w:color w:val="auto"/>
          <w:sz w:val="21"/>
          <w:szCs w:val="21"/>
          <w:highlight w:val="none"/>
        </w:rPr>
      </w:pPr>
    </w:p>
    <w:p w14:paraId="39F928DF">
      <w:pPr>
        <w:pStyle w:val="2"/>
        <w:spacing w:line="360" w:lineRule="auto"/>
        <w:ind w:firstLine="420" w:firstLineChars="200"/>
        <w:rPr>
          <w:rFonts w:hint="eastAsia" w:ascii="宋体" w:hAnsi="宋体" w:eastAsia="宋体" w:cs="宋体"/>
          <w:color w:val="auto"/>
          <w:sz w:val="21"/>
          <w:szCs w:val="21"/>
          <w:highlight w:val="none"/>
        </w:rPr>
      </w:pPr>
    </w:p>
    <w:p w14:paraId="371732E6">
      <w:pPr>
        <w:adjustRightInd w:val="0"/>
        <w:spacing w:line="360" w:lineRule="auto"/>
        <w:ind w:firstLine="420" w:firstLineChars="200"/>
        <w:rPr>
          <w:rFonts w:hint="eastAsia" w:ascii="宋体" w:hAnsi="宋体" w:eastAsia="宋体" w:cs="宋体"/>
          <w:snapToGrid w:val="0"/>
          <w:color w:val="auto"/>
          <w:kern w:val="0"/>
          <w:sz w:val="21"/>
          <w:szCs w:val="21"/>
          <w:highlight w:val="none"/>
        </w:rPr>
      </w:pPr>
      <w:bookmarkStart w:id="121" w:name="_Toc467689623"/>
      <w:r>
        <w:rPr>
          <w:rFonts w:hint="eastAsia" w:ascii="宋体" w:hAnsi="宋体" w:eastAsia="宋体" w:cs="宋体"/>
          <w:snapToGrid w:val="0"/>
          <w:color w:val="auto"/>
          <w:kern w:val="0"/>
          <w:sz w:val="21"/>
          <w:szCs w:val="21"/>
          <w:highlight w:val="none"/>
        </w:rPr>
        <w:t>发包人：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盖单位</w:t>
      </w:r>
      <w:r>
        <w:rPr>
          <w:rFonts w:hint="eastAsia" w:ascii="宋体" w:hAnsi="宋体" w:eastAsia="宋体" w:cs="宋体"/>
          <w:snapToGrid w:val="0"/>
          <w:color w:val="auto"/>
          <w:kern w:val="0"/>
          <w:sz w:val="21"/>
          <w:szCs w:val="21"/>
          <w:highlight w:val="none"/>
        </w:rPr>
        <w:t>公章或合同专用章）</w:t>
      </w:r>
    </w:p>
    <w:p w14:paraId="326C0696">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2E107A72">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统一社会信用代码：</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3264D746">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纳税人识别号：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1FC69BC5">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504F9EE6">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6F46BAC3">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5C52EC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3589EB6C">
      <w:pPr>
        <w:spacing w:line="360" w:lineRule="auto"/>
        <w:rPr>
          <w:rFonts w:hint="eastAsia" w:ascii="宋体" w:hAnsi="宋体" w:eastAsia="宋体" w:cs="宋体"/>
          <w:snapToGrid w:val="0"/>
          <w:color w:val="auto"/>
          <w:kern w:val="0"/>
          <w:sz w:val="21"/>
          <w:szCs w:val="21"/>
          <w:highlight w:val="none"/>
        </w:rPr>
      </w:pPr>
    </w:p>
    <w:p w14:paraId="4AF128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承包人：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盖单位</w:t>
      </w:r>
      <w:r>
        <w:rPr>
          <w:rFonts w:hint="eastAsia" w:ascii="宋体" w:hAnsi="宋体" w:eastAsia="宋体" w:cs="宋体"/>
          <w:snapToGrid w:val="0"/>
          <w:color w:val="auto"/>
          <w:kern w:val="0"/>
          <w:sz w:val="21"/>
          <w:szCs w:val="21"/>
          <w:highlight w:val="none"/>
        </w:rPr>
        <w:t>公章或合同专用章）</w:t>
      </w:r>
    </w:p>
    <w:p w14:paraId="44B13A5F">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18B183FB">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统一社会信用代码：</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436C0E94">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纳税人识别号：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0138A808">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63988EBB">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1F3BC65B">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59937E6A">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31567ABD">
      <w:pPr>
        <w:pStyle w:val="2"/>
        <w:spacing w:line="360" w:lineRule="auto"/>
        <w:rPr>
          <w:rFonts w:hint="eastAsia" w:ascii="宋体" w:hAnsi="宋体" w:eastAsia="宋体" w:cs="宋体"/>
          <w:color w:val="auto"/>
          <w:sz w:val="21"/>
          <w:szCs w:val="21"/>
          <w:highlight w:val="none"/>
        </w:rPr>
      </w:pPr>
    </w:p>
    <w:p w14:paraId="21AD35A2">
      <w:pPr>
        <w:spacing w:line="360" w:lineRule="auto"/>
        <w:jc w:val="right"/>
        <w:rPr>
          <w:rFonts w:hint="eastAsia" w:ascii="宋体" w:hAnsi="宋体" w:eastAsia="宋体" w:cs="宋体"/>
          <w:snapToGrid w:val="0"/>
          <w:color w:val="auto"/>
          <w:kern w:val="0"/>
          <w:sz w:val="21"/>
          <w:szCs w:val="21"/>
          <w:highlight w:val="none"/>
        </w:rPr>
      </w:pPr>
    </w:p>
    <w:p w14:paraId="6E2710F5">
      <w:pPr>
        <w:spacing w:line="360" w:lineRule="auto"/>
        <w:jc w:val="right"/>
        <w:rPr>
          <w:rFonts w:hint="eastAsia" w:ascii="宋体" w:hAnsi="宋体" w:eastAsia="宋体" w:cs="宋体"/>
          <w:snapToGrid w:val="0"/>
          <w:color w:val="auto"/>
          <w:kern w:val="0"/>
          <w:sz w:val="21"/>
          <w:szCs w:val="21"/>
          <w:highlight w:val="none"/>
        </w:rPr>
      </w:pPr>
    </w:p>
    <w:p w14:paraId="6F203396">
      <w:pPr>
        <w:spacing w:line="360" w:lineRule="auto"/>
        <w:jc w:val="righ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签约时间：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bookmarkEnd w:id="121"/>
    </w:p>
    <w:p w14:paraId="5CD3EA67">
      <w:pPr>
        <w:pStyle w:val="5"/>
        <w:jc w:val="center"/>
        <w:rPr>
          <w:rFonts w:ascii="宋体" w:hAnsi="宋体"/>
          <w:bCs w:val="0"/>
          <w:color w:val="auto"/>
          <w:sz w:val="21"/>
          <w:szCs w:val="21"/>
          <w:highlight w:val="none"/>
        </w:rPr>
      </w:pPr>
      <w:r>
        <w:rPr>
          <w:rFonts w:hint="eastAsia" w:ascii="宋体" w:hAnsi="宋体"/>
          <w:b w:val="0"/>
          <w:snapToGrid w:val="0"/>
          <w:color w:val="auto"/>
          <w:sz w:val="20"/>
          <w:szCs w:val="20"/>
          <w:highlight w:val="none"/>
          <w:lang w:val="zh-CN"/>
        </w:rPr>
        <w:br w:type="page"/>
      </w:r>
      <w:bookmarkStart w:id="122" w:name="_Toc532377179"/>
      <w:bookmarkStart w:id="123" w:name="_Toc29880"/>
      <w:bookmarkStart w:id="124" w:name="_Toc529388289"/>
      <w:bookmarkStart w:id="125" w:name="_Toc532375586"/>
      <w:r>
        <w:rPr>
          <w:rFonts w:hint="eastAsia" w:ascii="宋体" w:hAnsi="宋体"/>
          <w:color w:val="auto"/>
          <w:sz w:val="44"/>
          <w:szCs w:val="44"/>
          <w:highlight w:val="none"/>
        </w:rPr>
        <w:t xml:space="preserve">第二部分 </w:t>
      </w:r>
      <w:bookmarkStart w:id="126" w:name="OLE_LINK5"/>
      <w:r>
        <w:rPr>
          <w:rFonts w:hint="eastAsia" w:ascii="宋体" w:hAnsi="宋体"/>
          <w:color w:val="auto"/>
          <w:sz w:val="44"/>
          <w:szCs w:val="44"/>
          <w:highlight w:val="none"/>
        </w:rPr>
        <w:t>通用合同条款</w:t>
      </w:r>
      <w:bookmarkEnd w:id="122"/>
      <w:bookmarkEnd w:id="123"/>
      <w:bookmarkEnd w:id="124"/>
      <w:bookmarkEnd w:id="125"/>
    </w:p>
    <w:bookmarkEnd w:id="126"/>
    <w:p w14:paraId="4F5A7AFF">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095CA8EB">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341F3872">
      <w:pPr>
        <w:pStyle w:val="5"/>
        <w:jc w:val="center"/>
        <w:rPr>
          <w:rFonts w:hint="default" w:ascii="宋体" w:hAnsi="宋体" w:cs="宋体"/>
          <w:bCs/>
          <w:color w:val="auto"/>
          <w:sz w:val="36"/>
          <w:szCs w:val="30"/>
          <w:highlight w:val="none"/>
          <w:lang w:val="en-US" w:eastAsia="zh-CN"/>
        </w:rPr>
      </w:pPr>
      <w:r>
        <w:rPr>
          <w:rFonts w:hint="eastAsia" w:ascii="宋体" w:hAnsi="宋体" w:cs="宋体"/>
          <w:bCs/>
          <w:color w:val="auto"/>
          <w:sz w:val="36"/>
          <w:szCs w:val="30"/>
          <w:highlight w:val="none"/>
          <w:lang w:val="en-US" w:eastAsia="zh-CN"/>
        </w:rPr>
        <w:t>具体详见范本文件通用合同条款相关内容。</w:t>
      </w:r>
    </w:p>
    <w:p w14:paraId="0CDC6776">
      <w:pPr>
        <w:ind w:firstLine="1080" w:firstLineChars="300"/>
        <w:rPr>
          <w:rFonts w:hint="default" w:ascii="宋体" w:hAnsi="宋体" w:eastAsia="宋体" w:cs="宋体"/>
          <w:bCs/>
          <w:color w:val="auto"/>
          <w:sz w:val="36"/>
          <w:szCs w:val="30"/>
          <w:highlight w:val="none"/>
          <w:lang w:val="en-US" w:eastAsia="zh-CN"/>
        </w:rPr>
      </w:pPr>
    </w:p>
    <w:p w14:paraId="304CA431">
      <w:pPr>
        <w:pStyle w:val="2"/>
        <w:rPr>
          <w:rFonts w:hint="eastAsia" w:ascii="宋体" w:hAnsi="宋体" w:eastAsia="宋体" w:cs="宋体"/>
          <w:bCs/>
          <w:color w:val="auto"/>
          <w:sz w:val="36"/>
          <w:szCs w:val="30"/>
          <w:highlight w:val="none"/>
        </w:rPr>
      </w:pPr>
    </w:p>
    <w:p w14:paraId="54A636E2">
      <w:pPr>
        <w:rPr>
          <w:rFonts w:hint="eastAsia" w:ascii="宋体" w:hAnsi="宋体" w:eastAsia="宋体" w:cs="宋体"/>
          <w:bCs/>
          <w:color w:val="auto"/>
          <w:sz w:val="36"/>
          <w:szCs w:val="30"/>
          <w:highlight w:val="none"/>
        </w:rPr>
      </w:pPr>
    </w:p>
    <w:p w14:paraId="6544F962">
      <w:pPr>
        <w:pStyle w:val="2"/>
        <w:rPr>
          <w:rFonts w:hint="eastAsia" w:ascii="宋体" w:hAnsi="宋体" w:eastAsia="宋体" w:cs="宋体"/>
          <w:bCs/>
          <w:color w:val="auto"/>
          <w:sz w:val="36"/>
          <w:szCs w:val="30"/>
          <w:highlight w:val="none"/>
        </w:rPr>
      </w:pPr>
    </w:p>
    <w:p w14:paraId="5E55A1F2">
      <w:pPr>
        <w:rPr>
          <w:rFonts w:hint="eastAsia" w:ascii="宋体" w:hAnsi="宋体" w:eastAsia="宋体" w:cs="宋体"/>
          <w:bCs/>
          <w:color w:val="auto"/>
          <w:sz w:val="36"/>
          <w:szCs w:val="30"/>
          <w:highlight w:val="none"/>
        </w:rPr>
      </w:pPr>
    </w:p>
    <w:p w14:paraId="3A91F8C1">
      <w:pPr>
        <w:pStyle w:val="2"/>
        <w:rPr>
          <w:rFonts w:hint="eastAsia" w:ascii="宋体" w:hAnsi="宋体" w:eastAsia="宋体" w:cs="宋体"/>
          <w:bCs/>
          <w:color w:val="auto"/>
          <w:sz w:val="36"/>
          <w:szCs w:val="30"/>
          <w:highlight w:val="none"/>
        </w:rPr>
      </w:pPr>
    </w:p>
    <w:p w14:paraId="2F21B760">
      <w:pPr>
        <w:rPr>
          <w:rFonts w:hint="eastAsia" w:ascii="宋体" w:hAnsi="宋体" w:eastAsia="宋体" w:cs="宋体"/>
          <w:bCs/>
          <w:color w:val="auto"/>
          <w:sz w:val="36"/>
          <w:szCs w:val="30"/>
          <w:highlight w:val="none"/>
        </w:rPr>
      </w:pPr>
    </w:p>
    <w:p w14:paraId="12618623">
      <w:pPr>
        <w:pStyle w:val="2"/>
        <w:rPr>
          <w:rFonts w:hint="eastAsia" w:ascii="宋体" w:hAnsi="宋体" w:eastAsia="宋体" w:cs="宋体"/>
          <w:bCs/>
          <w:color w:val="auto"/>
          <w:sz w:val="36"/>
          <w:szCs w:val="30"/>
          <w:highlight w:val="none"/>
        </w:rPr>
      </w:pPr>
    </w:p>
    <w:p w14:paraId="27DAEC13">
      <w:pPr>
        <w:rPr>
          <w:rFonts w:hint="eastAsia" w:ascii="宋体" w:hAnsi="宋体" w:eastAsia="宋体" w:cs="宋体"/>
          <w:bCs/>
          <w:color w:val="auto"/>
          <w:sz w:val="36"/>
          <w:szCs w:val="30"/>
          <w:highlight w:val="none"/>
        </w:rPr>
      </w:pPr>
    </w:p>
    <w:p w14:paraId="2F753C4B">
      <w:pPr>
        <w:pStyle w:val="4"/>
        <w:kinsoku/>
        <w:wordWrap/>
        <w:overflowPunct/>
        <w:topLinePunct w:val="0"/>
        <w:autoSpaceDE/>
        <w:autoSpaceDN/>
        <w:bidi w:val="0"/>
        <w:spacing w:line="440" w:lineRule="exact"/>
        <w:ind w:left="0" w:leftChars="0" w:right="0" w:rightChars="0"/>
        <w:jc w:val="both"/>
        <w:textAlignment w:val="auto"/>
        <w:rPr>
          <w:rFonts w:hint="eastAsia" w:ascii="宋体" w:hAnsi="宋体" w:eastAsia="宋体" w:cs="宋体"/>
          <w:bCs/>
          <w:color w:val="auto"/>
          <w:sz w:val="36"/>
          <w:szCs w:val="30"/>
          <w:highlight w:val="none"/>
        </w:rPr>
      </w:pPr>
    </w:p>
    <w:p w14:paraId="3F31A4A7">
      <w:pPr>
        <w:rPr>
          <w:rFonts w:hint="eastAsia"/>
          <w:color w:val="auto"/>
          <w:highlight w:val="none"/>
        </w:rPr>
      </w:pPr>
    </w:p>
    <w:p w14:paraId="5641AB3E">
      <w:pPr>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br w:type="page"/>
      </w:r>
    </w:p>
    <w:p w14:paraId="32467EEF">
      <w:pPr>
        <w:pStyle w:val="5"/>
        <w:jc w:val="center"/>
        <w:rPr>
          <w:rFonts w:ascii="宋体" w:hAnsi="宋体"/>
          <w:color w:val="auto"/>
          <w:sz w:val="44"/>
          <w:szCs w:val="44"/>
          <w:highlight w:val="none"/>
        </w:rPr>
      </w:pPr>
      <w:bookmarkStart w:id="127" w:name="_Toc532377320"/>
      <w:bookmarkStart w:id="128" w:name="_Toc529388290"/>
      <w:bookmarkStart w:id="129" w:name="_Toc27527"/>
      <w:bookmarkStart w:id="130" w:name="_Toc532375607"/>
      <w:r>
        <w:rPr>
          <w:rFonts w:hint="eastAsia" w:ascii="宋体" w:hAnsi="宋体"/>
          <w:color w:val="auto"/>
          <w:sz w:val="44"/>
          <w:szCs w:val="44"/>
          <w:highlight w:val="none"/>
        </w:rPr>
        <w:t>第三部分 专用合同条款</w:t>
      </w:r>
      <w:bookmarkEnd w:id="127"/>
      <w:bookmarkEnd w:id="128"/>
      <w:bookmarkEnd w:id="129"/>
      <w:bookmarkEnd w:id="130"/>
    </w:p>
    <w:p w14:paraId="12E02F4D">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131" w:name="_Toc532375608"/>
      <w:bookmarkStart w:id="132" w:name="_Toc532377321"/>
      <w:bookmarkStart w:id="133" w:name="_Toc351203633"/>
      <w:bookmarkStart w:id="134" w:name="_Hlk528927191"/>
      <w:r>
        <w:rPr>
          <w:rFonts w:hint="eastAsia" w:ascii="宋体" w:hAnsi="宋体" w:eastAsia="宋体" w:cs="宋体"/>
          <w:color w:val="auto"/>
          <w:kern w:val="2"/>
          <w:sz w:val="21"/>
          <w:szCs w:val="21"/>
          <w:highlight w:val="none"/>
        </w:rPr>
        <w:t>1</w:t>
      </w:r>
      <w:bookmarkStart w:id="135" w:name="_Toc297048342"/>
      <w:bookmarkStart w:id="136" w:name="_Toc296891196"/>
      <w:bookmarkStart w:id="137" w:name="_Toc297120456"/>
      <w:bookmarkStart w:id="138" w:name="_Toc292559866"/>
      <w:bookmarkStart w:id="139" w:name="_Toc292559361"/>
      <w:bookmarkStart w:id="140" w:name="_Toc296346657"/>
      <w:bookmarkStart w:id="141" w:name="_Toc296944495"/>
      <w:bookmarkStart w:id="142" w:name="_Toc296347155"/>
      <w:bookmarkStart w:id="143" w:name="_Toc296890984"/>
      <w:bookmarkStart w:id="144" w:name="_Toc296503156"/>
      <w:r>
        <w:rPr>
          <w:rFonts w:hint="eastAsia" w:ascii="宋体" w:hAnsi="宋体" w:eastAsia="宋体" w:cs="宋体"/>
          <w:color w:val="auto"/>
          <w:kern w:val="2"/>
          <w:sz w:val="21"/>
          <w:szCs w:val="21"/>
          <w:highlight w:val="none"/>
        </w:rPr>
        <w:t>. 一般约定</w:t>
      </w:r>
      <w:bookmarkEnd w:id="131"/>
      <w:bookmarkEnd w:id="132"/>
      <w:bookmarkEnd w:id="133"/>
    </w:p>
    <w:bookmarkEnd w:id="135"/>
    <w:bookmarkEnd w:id="136"/>
    <w:bookmarkEnd w:id="137"/>
    <w:bookmarkEnd w:id="138"/>
    <w:bookmarkEnd w:id="139"/>
    <w:bookmarkEnd w:id="140"/>
    <w:bookmarkEnd w:id="141"/>
    <w:bookmarkEnd w:id="142"/>
    <w:bookmarkEnd w:id="143"/>
    <w:bookmarkEnd w:id="144"/>
    <w:p w14:paraId="6E675EB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45" w:name="_Toc532377322"/>
      <w:r>
        <w:rPr>
          <w:rFonts w:hint="eastAsia" w:ascii="宋体" w:hAnsi="宋体" w:eastAsia="宋体" w:cs="宋体"/>
          <w:color w:val="auto"/>
          <w:sz w:val="21"/>
          <w:szCs w:val="21"/>
          <w:highlight w:val="none"/>
        </w:rPr>
        <w:t>1.1词语定义与解释</w:t>
      </w:r>
      <w:bookmarkEnd w:id="145"/>
    </w:p>
    <w:p w14:paraId="621BE0E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2EB8C6B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1.1.1.6技术标准和要求：</w:t>
      </w:r>
      <w:r>
        <w:rPr>
          <w:rFonts w:hint="eastAsia" w:ascii="宋体" w:hAnsi="宋体" w:eastAsia="宋体" w:cs="宋体"/>
          <w:color w:val="auto"/>
          <w:kern w:val="0"/>
          <w:sz w:val="21"/>
          <w:szCs w:val="21"/>
          <w:highlight w:val="none"/>
          <w:u w:val="single"/>
        </w:rPr>
        <w:t>本</w:t>
      </w:r>
      <w:r>
        <w:rPr>
          <w:rFonts w:hint="eastAsia" w:ascii="宋体" w:hAnsi="宋体" w:eastAsia="宋体" w:cs="宋体"/>
          <w:color w:val="auto"/>
          <w:kern w:val="0"/>
          <w:sz w:val="21"/>
          <w:szCs w:val="21"/>
          <w:highlight w:val="none"/>
          <w:u w:val="single"/>
          <w:lang w:val="en-US" w:eastAsia="zh-CN"/>
        </w:rPr>
        <w:t>项</w:t>
      </w:r>
      <w:r>
        <w:rPr>
          <w:rFonts w:hint="eastAsia" w:ascii="宋体" w:hAnsi="宋体" w:eastAsia="宋体" w:cs="宋体"/>
          <w:color w:val="auto"/>
          <w:kern w:val="0"/>
          <w:sz w:val="21"/>
          <w:szCs w:val="21"/>
          <w:highlight w:val="none"/>
          <w:u w:val="single"/>
        </w:rPr>
        <w:t>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eastAsia="宋体" w:cs="宋体"/>
          <w:color w:val="auto"/>
          <w:kern w:val="0"/>
          <w:sz w:val="21"/>
          <w:szCs w:val="21"/>
          <w:highlight w:val="none"/>
        </w:rPr>
        <w:t>。</w:t>
      </w:r>
    </w:p>
    <w:p w14:paraId="699B1FF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1.1.1.8 已标价工程量清单：</w:t>
      </w:r>
      <w:r>
        <w:rPr>
          <w:rFonts w:hint="eastAsia" w:ascii="宋体" w:hAnsi="宋体" w:eastAsia="宋体" w:cs="宋体"/>
          <w:color w:val="auto"/>
          <w:kern w:val="0"/>
          <w:sz w:val="21"/>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eastAsia="宋体" w:cs="宋体"/>
          <w:color w:val="auto"/>
          <w:kern w:val="0"/>
          <w:sz w:val="21"/>
          <w:szCs w:val="21"/>
          <w:highlight w:val="none"/>
        </w:rPr>
        <w:t>。</w:t>
      </w:r>
    </w:p>
    <w:p w14:paraId="30ECBDC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1.1.1.10 其他合同文件包括：</w:t>
      </w:r>
      <w:r>
        <w:rPr>
          <w:rFonts w:hint="eastAsia" w:ascii="宋体" w:hAnsi="宋体" w:eastAsia="宋体" w:cs="宋体"/>
          <w:color w:val="auto"/>
          <w:sz w:val="21"/>
          <w:szCs w:val="21"/>
          <w:highlight w:val="none"/>
          <w:u w:val="single"/>
        </w:rPr>
        <w:t>按照合同协议书</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第六条</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约定执行</w:t>
      </w:r>
      <w:r>
        <w:rPr>
          <w:rFonts w:hint="eastAsia" w:ascii="宋体" w:hAnsi="宋体" w:eastAsia="宋体" w:cs="宋体"/>
          <w:color w:val="auto"/>
          <w:sz w:val="21"/>
          <w:szCs w:val="21"/>
          <w:highlight w:val="none"/>
        </w:rPr>
        <w:t>。</w:t>
      </w:r>
    </w:p>
    <w:p w14:paraId="467DF19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本项补充1.1.1.11～1.1.1.16目：</w:t>
      </w:r>
    </w:p>
    <w:p w14:paraId="2D262ED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1.1.1.11 招标文件：</w:t>
      </w:r>
      <w:r>
        <w:rPr>
          <w:rFonts w:hint="eastAsia" w:ascii="宋体" w:hAnsi="宋体" w:eastAsia="宋体" w:cs="宋体"/>
          <w:color w:val="auto"/>
          <w:kern w:val="0"/>
          <w:sz w:val="21"/>
          <w:szCs w:val="21"/>
          <w:highlight w:val="none"/>
          <w:u w:val="single"/>
        </w:rPr>
        <w:t>指本工程的招标文件、图纸、其他技术资料及招标人发出的对招标文件所作的澄清、修改等资料</w:t>
      </w:r>
      <w:r>
        <w:rPr>
          <w:rFonts w:hint="eastAsia" w:ascii="宋体" w:hAnsi="宋体" w:eastAsia="宋体" w:cs="宋体"/>
          <w:color w:val="auto"/>
          <w:kern w:val="0"/>
          <w:sz w:val="21"/>
          <w:szCs w:val="21"/>
          <w:highlight w:val="none"/>
        </w:rPr>
        <w:t>。</w:t>
      </w:r>
    </w:p>
    <w:p w14:paraId="4A07530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1.1.1.12 工作：</w:t>
      </w:r>
      <w:r>
        <w:rPr>
          <w:rFonts w:hint="eastAsia" w:ascii="宋体" w:hAnsi="宋体" w:eastAsia="宋体" w:cs="宋体"/>
          <w:color w:val="auto"/>
          <w:kern w:val="0"/>
          <w:sz w:val="21"/>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eastAsia="宋体" w:cs="宋体"/>
          <w:color w:val="auto"/>
          <w:kern w:val="0"/>
          <w:sz w:val="21"/>
          <w:szCs w:val="21"/>
          <w:highlight w:val="none"/>
        </w:rPr>
        <w:t>。</w:t>
      </w:r>
    </w:p>
    <w:p w14:paraId="32272C6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1.1.1.13 重大设计变更：按照规定需要重新报建设行政主管部门批准的设计变更。</w:t>
      </w:r>
    </w:p>
    <w:p w14:paraId="57C7635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1.1.1.14 公章：专指法定单位名称章。</w:t>
      </w:r>
    </w:p>
    <w:bookmarkEnd w:id="134"/>
    <w:p w14:paraId="6F11EDF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1.1.1.15 到岗：指承包人按照到岗履职承诺安排满足办理施工许可手续相关要求的项目主要管理人员实际到施工现场就职履约的行为。</w:t>
      </w:r>
    </w:p>
    <w:p w14:paraId="7314CF6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1.1.1.16 项目法人：指具有民事权利能力和民事行为能力，依法独立享有民事权利和承担民事义务，以建设项目为目的，从事项目管理的机构、单位或组织。</w:t>
      </w:r>
    </w:p>
    <w:p w14:paraId="6A76EF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09427F8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 监理人：</w:t>
      </w:r>
    </w:p>
    <w:p w14:paraId="2C30D62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1EB5F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01C53F9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362BB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43BBE26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C3E96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0A5E1E0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C90FE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163759E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1.1.3.7 作为施工现场组成部分的其他场所包括：</w:t>
      </w:r>
      <w:r>
        <w:rPr>
          <w:rFonts w:hint="eastAsia" w:ascii="宋体" w:hAnsi="宋体" w:eastAsia="宋体" w:cs="宋体"/>
          <w:color w:val="auto"/>
          <w:kern w:val="0"/>
          <w:sz w:val="21"/>
          <w:szCs w:val="21"/>
          <w:highlight w:val="none"/>
          <w:u w:val="single"/>
        </w:rPr>
        <w:t>永久占地、临时占地以及为修建临时工程而租用、占用的土地</w:t>
      </w:r>
      <w:r>
        <w:rPr>
          <w:rFonts w:hint="eastAsia" w:ascii="宋体" w:hAnsi="宋体" w:eastAsia="宋体" w:cs="宋体"/>
          <w:color w:val="auto"/>
          <w:sz w:val="21"/>
          <w:szCs w:val="21"/>
          <w:highlight w:val="none"/>
        </w:rPr>
        <w:t>。</w:t>
      </w:r>
    </w:p>
    <w:p w14:paraId="0601848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kern w:val="0"/>
          <w:sz w:val="21"/>
          <w:szCs w:val="21"/>
          <w:highlight w:val="none"/>
          <w:u w:val="single"/>
        </w:rPr>
        <w:t>为实施合同工程而需要的一切永久占用的土地，即合同工程</w:t>
      </w:r>
      <w:r>
        <w:rPr>
          <w:rFonts w:hint="eastAsia" w:ascii="宋体" w:hAnsi="宋体" w:eastAsia="宋体" w:cs="宋体"/>
          <w:color w:val="auto"/>
          <w:sz w:val="21"/>
          <w:szCs w:val="21"/>
          <w:highlight w:val="none"/>
          <w:u w:val="single"/>
        </w:rPr>
        <w:t>用地红线范围内的土地</w:t>
      </w:r>
      <w:r>
        <w:rPr>
          <w:rFonts w:hint="eastAsia" w:ascii="宋体" w:hAnsi="宋体" w:eastAsia="宋体" w:cs="宋体"/>
          <w:color w:val="auto"/>
          <w:sz w:val="21"/>
          <w:szCs w:val="21"/>
          <w:highlight w:val="none"/>
        </w:rPr>
        <w:t>。</w:t>
      </w:r>
    </w:p>
    <w:p w14:paraId="75498D1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为实施合同工程而需要</w:t>
      </w:r>
      <w:r>
        <w:rPr>
          <w:rFonts w:hint="eastAsia" w:ascii="宋体" w:hAnsi="宋体" w:eastAsia="宋体" w:cs="宋体"/>
          <w:color w:val="auto"/>
          <w:kern w:val="0"/>
          <w:sz w:val="21"/>
          <w:szCs w:val="21"/>
          <w:highlight w:val="none"/>
          <w:u w:val="single"/>
        </w:rPr>
        <w:t>的一切</w:t>
      </w:r>
      <w:r>
        <w:rPr>
          <w:rFonts w:hint="eastAsia" w:ascii="宋体" w:hAnsi="宋体" w:eastAsia="宋体" w:cs="宋体"/>
          <w:color w:val="auto"/>
          <w:sz w:val="21"/>
          <w:szCs w:val="21"/>
          <w:highlight w:val="none"/>
          <w:u w:val="single"/>
        </w:rPr>
        <w:t>临时占用的土地，包括施工所用的临时便道等的临时出入道，以及生产（办公）、生活等临时设施用地</w:t>
      </w:r>
      <w:r>
        <w:rPr>
          <w:rFonts w:hint="eastAsia" w:ascii="宋体" w:hAnsi="宋体" w:eastAsia="宋体" w:cs="宋体"/>
          <w:color w:val="auto"/>
          <w:sz w:val="21"/>
          <w:szCs w:val="21"/>
          <w:highlight w:val="none"/>
        </w:rPr>
        <w:t>。</w:t>
      </w:r>
    </w:p>
    <w:p w14:paraId="33987D1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20FA28B8">
      <w:pPr>
        <w:spacing w:line="360" w:lineRule="auto"/>
        <w:ind w:firstLine="420" w:firstLineChars="200"/>
        <w:jc w:val="left"/>
        <w:rPr>
          <w:rFonts w:hint="eastAsia" w:ascii="宋体" w:hAnsi="宋体" w:eastAsia="宋体" w:cs="宋体"/>
          <w:color w:val="auto"/>
          <w:sz w:val="21"/>
          <w:szCs w:val="21"/>
          <w:highlight w:val="none"/>
        </w:rPr>
      </w:pPr>
      <w:bookmarkStart w:id="146" w:name="_Hlk528927262"/>
      <w:r>
        <w:rPr>
          <w:rFonts w:hint="eastAsia" w:ascii="宋体" w:hAnsi="宋体" w:eastAsia="宋体" w:cs="宋体"/>
          <w:color w:val="auto"/>
          <w:sz w:val="21"/>
          <w:szCs w:val="21"/>
          <w:highlight w:val="none"/>
        </w:rPr>
        <w:t>本项补充1.1.6.2～1.1.6.3目：</w:t>
      </w:r>
    </w:p>
    <w:p w14:paraId="5C8AC47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eastAsia="宋体" w:cs="宋体"/>
          <w:color w:val="auto"/>
          <w:kern w:val="0"/>
          <w:sz w:val="21"/>
          <w:szCs w:val="21"/>
          <w:highlight w:val="none"/>
        </w:rPr>
        <w:t>违法行为</w:t>
      </w:r>
      <w:r>
        <w:rPr>
          <w:rFonts w:hint="eastAsia" w:ascii="宋体" w:hAnsi="宋体" w:eastAsia="宋体" w:cs="宋体"/>
          <w:color w:val="auto"/>
          <w:sz w:val="21"/>
          <w:szCs w:val="21"/>
          <w:highlight w:val="none"/>
        </w:rPr>
        <w:t>。</w:t>
      </w:r>
    </w:p>
    <w:bookmarkEnd w:id="146"/>
    <w:p w14:paraId="649FC0B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70B207F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47" w:name="_Toc532377323"/>
      <w:r>
        <w:rPr>
          <w:rFonts w:hint="eastAsia" w:ascii="宋体" w:hAnsi="宋体" w:eastAsia="宋体" w:cs="宋体"/>
          <w:color w:val="auto"/>
          <w:sz w:val="21"/>
          <w:szCs w:val="21"/>
          <w:highlight w:val="none"/>
        </w:rPr>
        <w:t>1.4 标准和规范</w:t>
      </w:r>
      <w:bookmarkEnd w:id="147"/>
    </w:p>
    <w:p w14:paraId="4E70E73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适用于工程的标准规范包括：</w:t>
      </w:r>
    </w:p>
    <w:p w14:paraId="23E95BC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（1）施工图所涉及的技术标准、规范、规程、图集等；</w:t>
      </w:r>
    </w:p>
    <w:p w14:paraId="487C781D">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（2）国家、行业或重庆市与本工程有关的标准，以及相应的规范、规程等，当这些标准、规范、规程不一致时，以标准、规范、规程要求最高的为准。</w:t>
      </w:r>
    </w:p>
    <w:p w14:paraId="7645AF26">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20547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4E831C0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1AAB0B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674A922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发包人对工程的技术标准和功能要求的特殊要求：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p w14:paraId="0D9009DF">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48" w:name="_Toc532377324"/>
      <w:r>
        <w:rPr>
          <w:rFonts w:hint="eastAsia" w:ascii="宋体" w:hAnsi="宋体" w:eastAsia="宋体" w:cs="宋体"/>
          <w:color w:val="auto"/>
          <w:sz w:val="21"/>
          <w:szCs w:val="21"/>
          <w:highlight w:val="none"/>
        </w:rPr>
        <w:t>1.5 合同文件的优先顺序</w:t>
      </w:r>
      <w:bookmarkEnd w:id="148"/>
    </w:p>
    <w:p w14:paraId="7A9FB5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按照合同协议书</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第六条</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约定执行</w:t>
      </w:r>
      <w:r>
        <w:rPr>
          <w:rFonts w:hint="eastAsia" w:ascii="宋体" w:hAnsi="宋体" w:eastAsia="宋体" w:cs="宋体"/>
          <w:color w:val="auto"/>
          <w:sz w:val="21"/>
          <w:szCs w:val="21"/>
          <w:highlight w:val="none"/>
        </w:rPr>
        <w:t>。</w:t>
      </w:r>
    </w:p>
    <w:p w14:paraId="4C9138D9">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49" w:name="_Toc532377325"/>
      <w:r>
        <w:rPr>
          <w:rFonts w:hint="eastAsia" w:ascii="宋体" w:hAnsi="宋体" w:eastAsia="宋体" w:cs="宋体"/>
          <w:color w:val="auto"/>
          <w:sz w:val="21"/>
          <w:szCs w:val="21"/>
          <w:highlight w:val="none"/>
        </w:rPr>
        <w:t>1.6 图纸和承包人文件</w:t>
      </w:r>
      <w:bookmarkEnd w:id="149"/>
    </w:p>
    <w:p w14:paraId="5313714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图纸的提供和交底</w:t>
      </w:r>
    </w:p>
    <w:p w14:paraId="5298608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通用合同条款第7.3.2款</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开工通知</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载明的开工日期前14天</w:t>
      </w:r>
      <w:r>
        <w:rPr>
          <w:rFonts w:hint="eastAsia" w:ascii="宋体" w:hAnsi="宋体" w:eastAsia="宋体" w:cs="宋体"/>
          <w:color w:val="auto"/>
          <w:sz w:val="21"/>
          <w:szCs w:val="21"/>
          <w:highlight w:val="none"/>
        </w:rPr>
        <w:t>；</w:t>
      </w:r>
    </w:p>
    <w:p w14:paraId="64521B5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套</w:t>
      </w:r>
      <w:r>
        <w:rPr>
          <w:rFonts w:hint="eastAsia" w:ascii="宋体" w:hAnsi="宋体" w:eastAsia="宋体" w:cs="宋体"/>
          <w:color w:val="auto"/>
          <w:sz w:val="21"/>
          <w:szCs w:val="21"/>
          <w:highlight w:val="none"/>
        </w:rPr>
        <w:t xml:space="preserve">； </w:t>
      </w:r>
    </w:p>
    <w:p w14:paraId="4827026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工程承包范围内工程的施工图设计文件</w:t>
      </w:r>
      <w:r>
        <w:rPr>
          <w:rFonts w:hint="eastAsia" w:ascii="宋体" w:hAnsi="宋体" w:eastAsia="宋体" w:cs="宋体"/>
          <w:color w:val="auto"/>
          <w:sz w:val="21"/>
          <w:szCs w:val="21"/>
          <w:highlight w:val="none"/>
        </w:rPr>
        <w:t>；</w:t>
      </w:r>
    </w:p>
    <w:p w14:paraId="3DEEFD15">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发包人组织承包人、监理人和设计人进行图纸会审和设计交底的时间：</w:t>
      </w:r>
      <w:r>
        <w:rPr>
          <w:rFonts w:hint="eastAsia" w:ascii="宋体" w:hAnsi="宋体" w:eastAsia="宋体" w:cs="宋体"/>
          <w:color w:val="auto"/>
          <w:sz w:val="21"/>
          <w:szCs w:val="21"/>
          <w:highlight w:val="none"/>
          <w:u w:val="single"/>
        </w:rPr>
        <w:t>提供施工图后7天内</w:t>
      </w:r>
      <w:r>
        <w:rPr>
          <w:rFonts w:hint="eastAsia" w:ascii="宋体" w:hAnsi="宋体" w:eastAsia="宋体" w:cs="宋体"/>
          <w:color w:val="auto"/>
          <w:sz w:val="21"/>
          <w:szCs w:val="21"/>
          <w:highlight w:val="none"/>
        </w:rPr>
        <w:t>。</w:t>
      </w:r>
    </w:p>
    <w:p w14:paraId="5D7D6357">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承包人可以书面方式通过监理人向发包人申请进行紧急的设计交底，发包人认为确有必要且条件许可时，应尽快组织实施承包人申请的设计交底。</w:t>
      </w:r>
    </w:p>
    <w:p w14:paraId="5B22557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图纸的错误</w:t>
      </w:r>
    </w:p>
    <w:p w14:paraId="1522908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68131C14">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承包人不得利用图纸的差错、遗漏或缺陷，从中获得不正当的利益。</w:t>
      </w:r>
    </w:p>
    <w:p w14:paraId="53EDF71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4ADD88E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需要由承包人提供的书面文件，包括：</w:t>
      </w:r>
      <w:r>
        <w:rPr>
          <w:rFonts w:hint="eastAsia" w:ascii="宋体" w:hAnsi="宋体" w:eastAsia="宋体" w:cs="宋体"/>
          <w:color w:val="auto"/>
          <w:sz w:val="21"/>
          <w:szCs w:val="21"/>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宋体"/>
          <w:color w:val="auto"/>
          <w:sz w:val="21"/>
          <w:szCs w:val="21"/>
          <w:highlight w:val="none"/>
        </w:rPr>
        <w:t>。</w:t>
      </w:r>
    </w:p>
    <w:p w14:paraId="45586B6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承包人提供文件的期限、数量：</w:t>
      </w:r>
    </w:p>
    <w:p w14:paraId="1FF64CA3">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宋体"/>
          <w:color w:val="auto"/>
          <w:sz w:val="21"/>
          <w:szCs w:val="21"/>
          <w:highlight w:val="none"/>
        </w:rPr>
        <w:t>。</w:t>
      </w:r>
    </w:p>
    <w:p w14:paraId="29825CB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每月 </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 xml:space="preserve"> 日前报送月工程进度完成报表</w:t>
      </w:r>
      <w:r>
        <w:rPr>
          <w:rFonts w:hint="eastAsia" w:ascii="宋体" w:hAnsi="宋体" w:eastAsia="宋体" w:cs="宋体"/>
          <w:color w:val="auto"/>
          <w:sz w:val="21"/>
          <w:szCs w:val="21"/>
          <w:highlight w:val="none"/>
        </w:rPr>
        <w:t>。</w:t>
      </w:r>
    </w:p>
    <w:p w14:paraId="3D507B7B">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（3）合同另有约定的，按照其约定。</w:t>
      </w:r>
    </w:p>
    <w:p w14:paraId="4694F070">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承包人提供的文件的形式：</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采用电子招标的，投标文件以电子文档为准，其他文件以书面文件为准；□采用纸质招标的，当书面文件与电子文档不一致的，以书面文件为准。监理人审批承包人文件的期限：</w:t>
      </w:r>
      <w:r>
        <w:rPr>
          <w:rFonts w:hint="eastAsia" w:ascii="宋体" w:hAnsi="宋体" w:eastAsia="宋体" w:cs="宋体"/>
          <w:color w:val="auto"/>
          <w:sz w:val="21"/>
          <w:szCs w:val="21"/>
          <w:highlight w:val="none"/>
          <w:u w:val="single"/>
        </w:rPr>
        <w:t>收到施工组织设计和工程总体进度计划及当年年度施工进度计划后7天内；合同另有约定的，从其约定</w:t>
      </w:r>
      <w:r>
        <w:rPr>
          <w:rFonts w:hint="eastAsia" w:ascii="宋体" w:hAnsi="宋体" w:eastAsia="宋体" w:cs="宋体"/>
          <w:color w:val="auto"/>
          <w:sz w:val="21"/>
          <w:szCs w:val="21"/>
          <w:highlight w:val="none"/>
        </w:rPr>
        <w:t>。</w:t>
      </w:r>
    </w:p>
    <w:p w14:paraId="273F35A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承包人提供的文件的费用：</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646BF519">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收到后14天内；合同另有约定的，从其约定</w:t>
      </w:r>
      <w:r>
        <w:rPr>
          <w:rFonts w:hint="eastAsia" w:ascii="宋体" w:hAnsi="宋体" w:eastAsia="宋体" w:cs="宋体"/>
          <w:color w:val="auto"/>
          <w:sz w:val="21"/>
          <w:szCs w:val="21"/>
          <w:highlight w:val="none"/>
        </w:rPr>
        <w:t>。</w:t>
      </w:r>
    </w:p>
    <w:p w14:paraId="1F1A431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监理人、发包人的修改意见和审批，不免除或减轻承包人对该工作、工程、材料、工程设备等应承担的责任和义务</w:t>
      </w:r>
      <w:r>
        <w:rPr>
          <w:rFonts w:hint="eastAsia" w:ascii="宋体" w:hAnsi="宋体" w:eastAsia="宋体" w:cs="宋体"/>
          <w:color w:val="auto"/>
          <w:sz w:val="21"/>
          <w:szCs w:val="21"/>
          <w:highlight w:val="none"/>
        </w:rPr>
        <w:t>。</w:t>
      </w:r>
    </w:p>
    <w:p w14:paraId="361E2EE9">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50" w:name="_Toc532377326"/>
      <w:r>
        <w:rPr>
          <w:rFonts w:hint="eastAsia" w:ascii="宋体" w:hAnsi="宋体" w:eastAsia="宋体" w:cs="宋体"/>
          <w:color w:val="auto"/>
          <w:sz w:val="21"/>
          <w:szCs w:val="21"/>
          <w:highlight w:val="none"/>
        </w:rPr>
        <w:t>1.7 联络</w:t>
      </w:r>
      <w:bookmarkEnd w:id="150"/>
    </w:p>
    <w:p w14:paraId="1604CE3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发包人和承包人应当在</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天内将与合同有关的通知、批准、证明、证书、指示、指令、要求、请求、同意、意见、确定和决定等书面函件送达对方当事人，并办理书面签收手续。</w:t>
      </w:r>
    </w:p>
    <w:p w14:paraId="50C563FB">
      <w:pPr>
        <w:tabs>
          <w:tab w:val="left" w:pos="7513"/>
        </w:tabs>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A41A0F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w:t>
      </w:r>
      <w:bookmarkStart w:id="151" w:name="_Hlk528493983"/>
      <w:bookmarkEnd w:id="151"/>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55B2A65">
      <w:pPr>
        <w:tabs>
          <w:tab w:val="left" w:pos="7513"/>
        </w:tabs>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74577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9E065E8">
      <w:pPr>
        <w:tabs>
          <w:tab w:val="left" w:pos="7371"/>
        </w:tabs>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8098E3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98141F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52" w:name="_Toc532377327"/>
      <w:r>
        <w:rPr>
          <w:rFonts w:hint="eastAsia" w:ascii="宋体" w:hAnsi="宋体" w:eastAsia="宋体" w:cs="宋体"/>
          <w:color w:val="auto"/>
          <w:sz w:val="21"/>
          <w:szCs w:val="21"/>
          <w:highlight w:val="none"/>
        </w:rPr>
        <w:t>1.8 严禁贿赂</w:t>
      </w:r>
      <w:bookmarkEnd w:id="152"/>
    </w:p>
    <w:p w14:paraId="5F20D3F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本款补充以下内容：</w:t>
      </w:r>
    </w:p>
    <w:p w14:paraId="079D6059">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在合同执行过程中，合同当事人应严格履行附件8《廉洁从业协议》。</w:t>
      </w:r>
    </w:p>
    <w:p w14:paraId="2D274D8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53" w:name="_Toc532377328"/>
      <w:r>
        <w:rPr>
          <w:rFonts w:hint="eastAsia" w:ascii="宋体" w:hAnsi="宋体" w:eastAsia="宋体" w:cs="宋体"/>
          <w:color w:val="auto"/>
          <w:sz w:val="21"/>
          <w:szCs w:val="21"/>
          <w:highlight w:val="none"/>
        </w:rPr>
        <w:t>1.10 交通运输</w:t>
      </w:r>
      <w:bookmarkEnd w:id="153"/>
    </w:p>
    <w:p w14:paraId="28CA56E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54" w:name="_Toc304295521"/>
      <w:bookmarkStart w:id="155" w:name="_Toc318581155"/>
      <w:bookmarkStart w:id="156" w:name="_Toc300934943"/>
      <w:bookmarkStart w:id="157" w:name="_Toc303539100"/>
      <w:bookmarkStart w:id="158" w:name="_Toc312677986"/>
      <w:r>
        <w:rPr>
          <w:rFonts w:hint="eastAsia" w:ascii="宋体" w:hAnsi="宋体" w:eastAsia="宋体" w:cs="宋体"/>
          <w:color w:val="auto"/>
          <w:sz w:val="21"/>
          <w:szCs w:val="21"/>
          <w:highlight w:val="none"/>
        </w:rPr>
        <w:t>.10.1 出入现场的权利</w:t>
      </w:r>
    </w:p>
    <w:p w14:paraId="483C6A57">
      <w:pPr>
        <w:spacing w:line="360" w:lineRule="auto"/>
        <w:ind w:firstLine="420" w:firstLineChars="200"/>
        <w:jc w:val="left"/>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承包人负责管理出入施工现场的所有人员及相关车辆，若因承包人管理不善，导致社会人员、车辆进入及工程车辆超重等原因造成的一切损失由承包人自行负责。</w:t>
      </w:r>
    </w:p>
    <w:bookmarkEnd w:id="154"/>
    <w:bookmarkEnd w:id="155"/>
    <w:bookmarkEnd w:id="156"/>
    <w:bookmarkEnd w:id="157"/>
    <w:bookmarkEnd w:id="158"/>
    <w:p w14:paraId="4D39E9A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 场外交通</w:t>
      </w:r>
    </w:p>
    <w:p w14:paraId="7FB678F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承包人应遵守有关交通法规，执行有关道路限速、限行、禁止超载的规定，并配合交通管理部门的监督和检查。场外交通以施工场地移交时的现状为准。</w:t>
      </w:r>
    </w:p>
    <w:p w14:paraId="0890235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59" w:name="_Toc304295522"/>
      <w:bookmarkStart w:id="160" w:name="_Toc303539101"/>
      <w:bookmarkStart w:id="161" w:name="_Toc312677987"/>
      <w:bookmarkStart w:id="162" w:name="_Toc300934944"/>
      <w:bookmarkStart w:id="163" w:name="_Toc318581156"/>
      <w:r>
        <w:rPr>
          <w:rFonts w:hint="eastAsia" w:ascii="宋体" w:hAnsi="宋体" w:eastAsia="宋体" w:cs="宋体"/>
          <w:color w:val="auto"/>
          <w:sz w:val="21"/>
          <w:szCs w:val="21"/>
          <w:highlight w:val="none"/>
        </w:rPr>
        <w:t>.10.3 场内交通</w:t>
      </w:r>
    </w:p>
    <w:p w14:paraId="47544001">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1"/>
          <w:szCs w:val="21"/>
          <w:highlight w:val="none"/>
        </w:rPr>
        <w:t>。</w:t>
      </w:r>
    </w:p>
    <w:p w14:paraId="69EA2E6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rPr>
        <w:t>以施工场地移交时的现状为准</w:t>
      </w:r>
      <w:r>
        <w:rPr>
          <w:rFonts w:hint="eastAsia" w:ascii="宋体" w:hAnsi="宋体" w:eastAsia="宋体" w:cs="宋体"/>
          <w:color w:val="auto"/>
          <w:sz w:val="21"/>
          <w:szCs w:val="21"/>
          <w:highlight w:val="none"/>
        </w:rPr>
        <w:t>。</w:t>
      </w:r>
    </w:p>
    <w:bookmarkEnd w:id="159"/>
    <w:bookmarkEnd w:id="160"/>
    <w:bookmarkEnd w:id="161"/>
    <w:bookmarkEnd w:id="162"/>
    <w:bookmarkEnd w:id="163"/>
    <w:p w14:paraId="19D4761D">
      <w:pPr>
        <w:spacing w:line="360" w:lineRule="auto"/>
        <w:ind w:firstLine="420" w:firstLineChars="200"/>
        <w:jc w:val="left"/>
        <w:rPr>
          <w:rFonts w:hint="eastAsia" w:ascii="宋体" w:hAnsi="宋体" w:eastAsia="宋体" w:cs="宋体"/>
          <w:color w:val="auto"/>
          <w:sz w:val="21"/>
          <w:szCs w:val="21"/>
          <w:highlight w:val="none"/>
        </w:rPr>
      </w:pPr>
      <w:bookmarkStart w:id="164" w:name="_Toc318581157"/>
      <w:r>
        <w:rPr>
          <w:rFonts w:hint="eastAsia" w:ascii="宋体" w:hAnsi="宋体" w:eastAsia="宋体" w:cs="宋体"/>
          <w:color w:val="auto"/>
          <w:sz w:val="21"/>
          <w:szCs w:val="21"/>
          <w:highlight w:val="none"/>
        </w:rPr>
        <w:t>1.10.4 超大件和超重件的运输</w:t>
      </w:r>
    </w:p>
    <w:p w14:paraId="1278B50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承担。</w:t>
      </w:r>
    </w:p>
    <w:bookmarkEnd w:id="164"/>
    <w:p w14:paraId="4F98A33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65" w:name="_Toc532377329"/>
      <w:r>
        <w:rPr>
          <w:rFonts w:hint="eastAsia" w:ascii="宋体" w:hAnsi="宋体" w:eastAsia="宋体" w:cs="宋体"/>
          <w:color w:val="auto"/>
          <w:sz w:val="21"/>
          <w:szCs w:val="21"/>
          <w:highlight w:val="none"/>
        </w:rPr>
        <w:t>1.11 知识产权</w:t>
      </w:r>
      <w:bookmarkEnd w:id="165"/>
    </w:p>
    <w:p w14:paraId="641CAC4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属于发包人</w:t>
      </w:r>
      <w:r>
        <w:rPr>
          <w:rFonts w:hint="eastAsia" w:ascii="宋体" w:hAnsi="宋体" w:eastAsia="宋体" w:cs="宋体"/>
          <w:color w:val="auto"/>
          <w:sz w:val="21"/>
          <w:szCs w:val="21"/>
          <w:highlight w:val="none"/>
        </w:rPr>
        <w:t>。</w:t>
      </w:r>
    </w:p>
    <w:p w14:paraId="0AF0EDB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08A2E259">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由承包人综合考虑在投标报价中，发包人不另行支付。</w:t>
      </w:r>
    </w:p>
    <w:p w14:paraId="65106ED6">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66" w:name="_Toc532377330"/>
      <w:r>
        <w:rPr>
          <w:rFonts w:hint="eastAsia" w:ascii="宋体" w:hAnsi="宋体" w:eastAsia="宋体" w:cs="宋体"/>
          <w:color w:val="auto"/>
          <w:sz w:val="21"/>
          <w:szCs w:val="21"/>
          <w:highlight w:val="none"/>
        </w:rPr>
        <w:t>1.13工程量清单错误的修正</w:t>
      </w:r>
      <w:bookmarkEnd w:id="166"/>
    </w:p>
    <w:p w14:paraId="1E78EE4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出现工程量清单错误时，责任和权利划分：</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22EA5C0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686E3DF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012EFF8D">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167" w:name="_Toc532375609"/>
      <w:bookmarkStart w:id="168" w:name="_Toc532377331"/>
      <w:bookmarkStart w:id="169" w:name="_Toc351203634"/>
      <w:r>
        <w:rPr>
          <w:rFonts w:hint="eastAsia" w:ascii="宋体" w:hAnsi="宋体" w:eastAsia="宋体" w:cs="宋体"/>
          <w:color w:val="auto"/>
          <w:kern w:val="2"/>
          <w:sz w:val="21"/>
          <w:szCs w:val="21"/>
          <w:highlight w:val="none"/>
        </w:rPr>
        <w:t>2</w:t>
      </w:r>
      <w:bookmarkStart w:id="170" w:name="_Toc296891197"/>
      <w:bookmarkStart w:id="171" w:name="_Toc292559867"/>
      <w:bookmarkStart w:id="172" w:name="_Toc296347156"/>
      <w:bookmarkStart w:id="173" w:name="_Toc296503157"/>
      <w:bookmarkStart w:id="174" w:name="_Toc292559362"/>
      <w:bookmarkStart w:id="175" w:name="_Toc297048343"/>
      <w:bookmarkStart w:id="176" w:name="_Toc296890985"/>
      <w:bookmarkStart w:id="177" w:name="_Toc296944496"/>
      <w:bookmarkStart w:id="178" w:name="_Toc297120457"/>
      <w:bookmarkStart w:id="179" w:name="_Toc296346658"/>
      <w:r>
        <w:rPr>
          <w:rFonts w:hint="eastAsia" w:ascii="宋体" w:hAnsi="宋体" w:eastAsia="宋体" w:cs="宋体"/>
          <w:color w:val="auto"/>
          <w:kern w:val="2"/>
          <w:sz w:val="21"/>
          <w:szCs w:val="21"/>
          <w:highlight w:val="none"/>
        </w:rPr>
        <w:t>. 发包人</w:t>
      </w:r>
      <w:bookmarkEnd w:id="167"/>
      <w:bookmarkEnd w:id="168"/>
      <w:bookmarkEnd w:id="169"/>
    </w:p>
    <w:bookmarkEnd w:id="170"/>
    <w:bookmarkEnd w:id="171"/>
    <w:bookmarkEnd w:id="172"/>
    <w:bookmarkEnd w:id="173"/>
    <w:bookmarkEnd w:id="174"/>
    <w:bookmarkEnd w:id="175"/>
    <w:bookmarkEnd w:id="176"/>
    <w:bookmarkEnd w:id="177"/>
    <w:bookmarkEnd w:id="178"/>
    <w:bookmarkEnd w:id="179"/>
    <w:p w14:paraId="306AB70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发包人代表</w:t>
      </w:r>
    </w:p>
    <w:p w14:paraId="5E46168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1746D73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59AB26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505366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23CFE4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850C65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2C800C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 w:val="21"/>
          <w:szCs w:val="21"/>
          <w:highlight w:val="none"/>
        </w:rPr>
        <w:t>。</w:t>
      </w:r>
    </w:p>
    <w:p w14:paraId="2697DB72">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80" w:name="_Toc532377332"/>
      <w:r>
        <w:rPr>
          <w:rFonts w:hint="eastAsia" w:ascii="宋体" w:hAnsi="宋体" w:eastAsia="宋体" w:cs="宋体"/>
          <w:color w:val="auto"/>
          <w:sz w:val="21"/>
          <w:szCs w:val="21"/>
          <w:highlight w:val="none"/>
        </w:rPr>
        <w:t>2.4 施工现场、施工条件和基础资料的提供</w:t>
      </w:r>
      <w:bookmarkEnd w:id="180"/>
    </w:p>
    <w:p w14:paraId="279126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5D4CED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2.4.1.1 提供场地：</w:t>
      </w:r>
    </w:p>
    <w:p w14:paraId="173B7F1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施工场地的提供采用以下第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56A65F7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（1）一次提供全部施工场地：发包人于</w:t>
      </w:r>
      <w:r>
        <w:rPr>
          <w:rFonts w:hint="eastAsia" w:ascii="宋体" w:hAnsi="宋体" w:eastAsia="宋体" w:cs="宋体"/>
          <w:color w:val="auto"/>
          <w:sz w:val="21"/>
          <w:szCs w:val="21"/>
          <w:highlight w:val="none"/>
          <w:u w:val="single"/>
        </w:rPr>
        <w:t>开工</w:t>
      </w:r>
      <w:r>
        <w:rPr>
          <w:rFonts w:hint="eastAsia" w:ascii="宋体" w:hAnsi="宋体" w:eastAsia="宋体" w:cs="宋体"/>
          <w:color w:val="auto"/>
          <w:sz w:val="21"/>
          <w:szCs w:val="21"/>
          <w:highlight w:val="none"/>
        </w:rPr>
        <w:t>前向承包人提供合同工程用地红线范围内的施工场地。</w:t>
      </w:r>
    </w:p>
    <w:p w14:paraId="5CF10E2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（2）分次提供全部施工场地：</w:t>
      </w:r>
      <w:r>
        <w:rPr>
          <w:rFonts w:hint="eastAsia" w:ascii="宋体" w:hAnsi="宋体" w:eastAsia="宋体" w:cs="宋体"/>
          <w:color w:val="auto"/>
          <w:sz w:val="21"/>
          <w:szCs w:val="21"/>
          <w:highlight w:val="none"/>
          <w:u w:val="single"/>
        </w:rPr>
        <w:t>发包人按约定的时间分次向承包人提供合同工程用地红线范围内的施工场地</w:t>
      </w:r>
      <w:r>
        <w:rPr>
          <w:rFonts w:hint="eastAsia" w:ascii="宋体" w:hAnsi="宋体" w:eastAsia="宋体" w:cs="宋体"/>
          <w:color w:val="auto"/>
          <w:sz w:val="21"/>
          <w:szCs w:val="21"/>
          <w:highlight w:val="none"/>
        </w:rPr>
        <w:t>。</w:t>
      </w:r>
    </w:p>
    <w:p w14:paraId="481CE25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承包人编制的施工组织计划已充分考虑了施工场地提供的因素</w:t>
      </w:r>
      <w:r>
        <w:rPr>
          <w:rFonts w:hint="eastAsia" w:ascii="宋体" w:hAnsi="宋体" w:eastAsia="宋体" w:cs="宋体"/>
          <w:color w:val="auto"/>
          <w:sz w:val="21"/>
          <w:szCs w:val="21"/>
          <w:highlight w:val="none"/>
        </w:rPr>
        <w:t>。</w:t>
      </w:r>
    </w:p>
    <w:p w14:paraId="248B962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宋体"/>
          <w:color w:val="auto"/>
          <w:sz w:val="21"/>
          <w:szCs w:val="21"/>
          <w:highlight w:val="none"/>
        </w:rPr>
        <w:t>。</w:t>
      </w:r>
    </w:p>
    <w:p w14:paraId="0E35D07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40A9BB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2FB1FC50">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81" w:name="_Toc532377333"/>
      <w:r>
        <w:rPr>
          <w:rFonts w:hint="eastAsia" w:ascii="宋体" w:hAnsi="宋体" w:eastAsia="宋体" w:cs="宋体"/>
          <w:color w:val="auto"/>
          <w:sz w:val="21"/>
          <w:szCs w:val="21"/>
          <w:highlight w:val="none"/>
        </w:rPr>
        <w:t>2.5 资金来源证明及支付担保</w:t>
      </w:r>
      <w:bookmarkEnd w:id="181"/>
    </w:p>
    <w:p w14:paraId="19A5C58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7373499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lang w:val="en-US" w:eastAsia="zh-CN"/>
        </w:rPr>
        <w:t>不</w:t>
      </w:r>
      <w:r>
        <w:rPr>
          <w:rFonts w:hint="eastAsia" w:ascii="宋体" w:hAnsi="宋体" w:eastAsia="宋体" w:cs="宋体"/>
          <w:color w:val="auto"/>
          <w:sz w:val="21"/>
          <w:szCs w:val="21"/>
          <w:highlight w:val="none"/>
          <w:u w:val="single"/>
        </w:rPr>
        <w:t>提供</w:t>
      </w:r>
      <w:r>
        <w:rPr>
          <w:rFonts w:hint="eastAsia" w:ascii="宋体" w:hAnsi="宋体" w:eastAsia="宋体" w:cs="宋体"/>
          <w:color w:val="auto"/>
          <w:sz w:val="21"/>
          <w:szCs w:val="21"/>
          <w:highlight w:val="none"/>
        </w:rPr>
        <w:t>。</w:t>
      </w:r>
    </w:p>
    <w:p w14:paraId="297EBA1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支付担保的形式：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0C9EE11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支付担保的金额：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5CAD5A3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支付担保的时间：</w:t>
      </w:r>
      <w:r>
        <w:rPr>
          <w:rFonts w:hint="eastAsia" w:ascii="宋体" w:hAnsi="宋体" w:eastAsia="宋体" w:cs="宋体"/>
          <w:color w:val="auto"/>
          <w:sz w:val="21"/>
          <w:szCs w:val="21"/>
          <w:highlight w:val="none"/>
          <w:lang w:val="en-US" w:eastAsia="zh-CN"/>
        </w:rPr>
        <w:t>/</w:t>
      </w:r>
    </w:p>
    <w:p w14:paraId="3C499EF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支付担保的期限：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1A88133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支付担保的退还时间：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52339C9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182" w:name="_Toc532377334"/>
      <w:bookmarkStart w:id="183" w:name="_Toc351203635"/>
      <w:bookmarkStart w:id="184" w:name="_Toc532375610"/>
      <w:r>
        <w:rPr>
          <w:rFonts w:hint="eastAsia" w:ascii="宋体" w:hAnsi="宋体" w:eastAsia="宋体" w:cs="宋体"/>
          <w:color w:val="auto"/>
          <w:kern w:val="2"/>
          <w:sz w:val="21"/>
          <w:szCs w:val="21"/>
          <w:highlight w:val="none"/>
        </w:rPr>
        <w:t>3</w:t>
      </w:r>
      <w:bookmarkStart w:id="185" w:name="_Toc296944497"/>
      <w:bookmarkStart w:id="186" w:name="_Toc292559363"/>
      <w:bookmarkStart w:id="187" w:name="_Toc292559868"/>
      <w:bookmarkStart w:id="188" w:name="_Toc296891198"/>
      <w:bookmarkStart w:id="189" w:name="_Toc296347157"/>
      <w:bookmarkStart w:id="190" w:name="_Toc296346659"/>
      <w:bookmarkStart w:id="191" w:name="_Toc296890986"/>
      <w:bookmarkStart w:id="192" w:name="_Toc297048344"/>
      <w:bookmarkStart w:id="193" w:name="_Toc297120458"/>
      <w:bookmarkStart w:id="194" w:name="_Toc296503158"/>
      <w:r>
        <w:rPr>
          <w:rFonts w:hint="eastAsia" w:ascii="宋体" w:hAnsi="宋体" w:eastAsia="宋体" w:cs="宋体"/>
          <w:color w:val="auto"/>
          <w:kern w:val="2"/>
          <w:sz w:val="21"/>
          <w:szCs w:val="21"/>
          <w:highlight w:val="none"/>
        </w:rPr>
        <w:t>. 承包人</w:t>
      </w:r>
      <w:bookmarkEnd w:id="182"/>
      <w:bookmarkEnd w:id="183"/>
      <w:bookmarkEnd w:id="184"/>
    </w:p>
    <w:bookmarkEnd w:id="185"/>
    <w:bookmarkEnd w:id="186"/>
    <w:bookmarkEnd w:id="187"/>
    <w:bookmarkEnd w:id="188"/>
    <w:bookmarkEnd w:id="189"/>
    <w:bookmarkEnd w:id="190"/>
    <w:bookmarkEnd w:id="191"/>
    <w:bookmarkEnd w:id="192"/>
    <w:bookmarkEnd w:id="193"/>
    <w:bookmarkEnd w:id="194"/>
    <w:p w14:paraId="66B97B31">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95" w:name="_Toc532377335"/>
      <w:r>
        <w:rPr>
          <w:rFonts w:hint="eastAsia" w:ascii="宋体" w:hAnsi="宋体" w:eastAsia="宋体" w:cs="宋体"/>
          <w:color w:val="auto"/>
          <w:sz w:val="21"/>
          <w:szCs w:val="21"/>
          <w:highlight w:val="none"/>
        </w:rPr>
        <w:t>3.1 承包人的一般义务</w:t>
      </w:r>
      <w:bookmarkEnd w:id="195"/>
    </w:p>
    <w:p w14:paraId="000C334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本款细化为3.1.1～3.1.10项：</w:t>
      </w:r>
    </w:p>
    <w:p w14:paraId="3B82CAB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307430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57647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15CD970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2CB28BD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98797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3.1.6按照第6.3款〔环境保护〕约定负责施工场地及其周边环境与生态的保护工作。</w:t>
      </w:r>
    </w:p>
    <w:p w14:paraId="168FDEE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3.1.7按照第6.1款〔安全文明施工〕约定采取施工安全措施，确保工程及其人员、材料、设备和设施的安全，防止因工程施工造成的人身伤害和财产损失。</w:t>
      </w:r>
    </w:p>
    <w:p w14:paraId="11A97A89">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3.1.8将发包人按合同约定支付的各项价款专用于合同工程，且应及时支付其雇用人员工资，并及时向分包人支付合同价款。</w:t>
      </w:r>
    </w:p>
    <w:p w14:paraId="0CF9C31C">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3.1.9承包人提交的竣工资料的内容：</w:t>
      </w:r>
      <w:r>
        <w:rPr>
          <w:rFonts w:hint="eastAsia" w:ascii="宋体" w:hAnsi="宋体" w:eastAsia="宋体" w:cs="宋体"/>
          <w:color w:val="auto"/>
          <w:sz w:val="21"/>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eastAsia="宋体" w:cs="宋体"/>
          <w:color w:val="auto"/>
          <w:sz w:val="21"/>
          <w:szCs w:val="21"/>
          <w:highlight w:val="none"/>
        </w:rPr>
        <w:t>。</w:t>
      </w:r>
    </w:p>
    <w:p w14:paraId="4D0FB46D">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承包人需要提交的竣工资料套数：完整竣工资料一式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套（含电子文档）。</w:t>
      </w:r>
    </w:p>
    <w:p w14:paraId="5BEF62E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4774E9F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工程竣工验收合格后</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个月内移交给发包人</w:t>
      </w:r>
      <w:r>
        <w:rPr>
          <w:rFonts w:hint="eastAsia" w:ascii="宋体" w:hAnsi="宋体" w:eastAsia="宋体" w:cs="宋体"/>
          <w:color w:val="auto"/>
          <w:sz w:val="21"/>
          <w:szCs w:val="21"/>
          <w:highlight w:val="none"/>
        </w:rPr>
        <w:t>。</w:t>
      </w:r>
    </w:p>
    <w:p w14:paraId="3CE388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完整的书面文件及电子文档</w:t>
      </w:r>
      <w:r>
        <w:rPr>
          <w:rFonts w:hint="eastAsia" w:ascii="宋体" w:hAnsi="宋体" w:eastAsia="宋体" w:cs="宋体"/>
          <w:color w:val="auto"/>
          <w:sz w:val="21"/>
          <w:szCs w:val="21"/>
          <w:highlight w:val="none"/>
        </w:rPr>
        <w:t>。</w:t>
      </w:r>
    </w:p>
    <w:p w14:paraId="3B0F902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3.1.10承包人应履行的其他义务：</w:t>
      </w:r>
    </w:p>
    <w:p w14:paraId="229C351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3.1.10.1在开始施工之前，承包人应核查、复测本工程的各种基准标志。承包人应及时将上述基准标志中存在的错误、不完整或其他缺陷通知发包人，以便发包人核实后重新确认。</w:t>
      </w:r>
    </w:p>
    <w:p w14:paraId="514991E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05CDDC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3010FC7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3.1.10.4承包人应服从发包人要求的管理模式、工作方式和工作要求，同时接受监理人、跟审单位的管理和全程监督，配合项目结、决算的办理。</w:t>
      </w:r>
    </w:p>
    <w:p w14:paraId="02B3738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3.1.10.5</w:t>
      </w:r>
      <w:r>
        <w:rPr>
          <w:rFonts w:hint="eastAsia" w:ascii="宋体" w:hAnsi="宋体" w:eastAsia="宋体" w:cs="宋体"/>
          <w:color w:val="auto"/>
          <w:sz w:val="21"/>
          <w:szCs w:val="21"/>
          <w:highlight w:val="none"/>
          <w:u w:val="single"/>
        </w:rPr>
        <w:t>承包人应为本工程开立农民工工资专用账户，接受发包人的监管</w:t>
      </w:r>
      <w:r>
        <w:rPr>
          <w:rFonts w:hint="eastAsia" w:ascii="宋体" w:hAnsi="宋体" w:eastAsia="宋体" w:cs="宋体"/>
          <w:color w:val="auto"/>
          <w:sz w:val="21"/>
          <w:szCs w:val="21"/>
          <w:highlight w:val="none"/>
        </w:rPr>
        <w:t>。</w:t>
      </w:r>
    </w:p>
    <w:p w14:paraId="5E54DC76">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3.1.10.6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p w14:paraId="57C17FE8">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96" w:name="_Toc532377336"/>
      <w:r>
        <w:rPr>
          <w:rFonts w:hint="eastAsia" w:ascii="宋体" w:hAnsi="宋体" w:eastAsia="宋体" w:cs="宋体"/>
          <w:color w:val="auto"/>
          <w:sz w:val="21"/>
          <w:szCs w:val="21"/>
          <w:highlight w:val="none"/>
        </w:rPr>
        <w:t>3.2 项目经理</w:t>
      </w:r>
      <w:bookmarkEnd w:id="196"/>
    </w:p>
    <w:p w14:paraId="2931F07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6CCBCB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16D326A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0A6FF27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82C4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86724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876D75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9FA544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359A677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 w:val="21"/>
          <w:szCs w:val="21"/>
          <w:highlight w:val="none"/>
        </w:rPr>
        <w:t>。</w:t>
      </w:r>
    </w:p>
    <w:p w14:paraId="15E8456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不少于22天，由监理人负责项目经理的考勤</w:t>
      </w:r>
      <w:r>
        <w:rPr>
          <w:rFonts w:hint="eastAsia" w:ascii="宋体" w:hAnsi="宋体" w:eastAsia="宋体" w:cs="宋体"/>
          <w:color w:val="auto"/>
          <w:sz w:val="21"/>
          <w:szCs w:val="21"/>
          <w:highlight w:val="none"/>
        </w:rPr>
        <w:t>。</w:t>
      </w:r>
    </w:p>
    <w:p w14:paraId="1D627B5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宋体"/>
          <w:color w:val="auto"/>
          <w:sz w:val="21"/>
          <w:szCs w:val="21"/>
          <w:highlight w:val="none"/>
        </w:rPr>
        <w:t>。</w:t>
      </w:r>
    </w:p>
    <w:p w14:paraId="37D5EAD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技术负责人</w:t>
      </w:r>
    </w:p>
    <w:p w14:paraId="4698CB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1B7C703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642E22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6C3AC6E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767229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证书名称及号码：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693B4F1D">
      <w:pPr>
        <w:pStyle w:val="2"/>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6153A49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关于技</w:t>
      </w:r>
      <w:r>
        <w:rPr>
          <w:rFonts w:hint="eastAsia" w:ascii="宋体" w:hAnsi="宋体" w:eastAsia="宋体" w:cs="宋体"/>
          <w:color w:val="auto"/>
          <w:sz w:val="21"/>
          <w:szCs w:val="21"/>
          <w:highlight w:val="none"/>
        </w:rPr>
        <w:t>术负责人每月在施工现场的时间要求：</w:t>
      </w:r>
      <w:r>
        <w:rPr>
          <w:rFonts w:hint="eastAsia" w:ascii="宋体" w:hAnsi="宋体" w:eastAsia="宋体" w:cs="宋体"/>
          <w:color w:val="auto"/>
          <w:sz w:val="21"/>
          <w:szCs w:val="21"/>
          <w:highlight w:val="none"/>
          <w:u w:val="single"/>
        </w:rPr>
        <w:t>不少于22天，由监理人负责技术负责人的考勤</w:t>
      </w:r>
      <w:r>
        <w:rPr>
          <w:rFonts w:hint="eastAsia" w:ascii="宋体" w:hAnsi="宋体" w:eastAsia="宋体" w:cs="宋体"/>
          <w:color w:val="auto"/>
          <w:sz w:val="21"/>
          <w:szCs w:val="21"/>
          <w:highlight w:val="none"/>
        </w:rPr>
        <w:t>。</w:t>
      </w:r>
    </w:p>
    <w:p w14:paraId="2EB5425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宋体"/>
          <w:color w:val="auto"/>
          <w:sz w:val="21"/>
          <w:szCs w:val="21"/>
          <w:highlight w:val="none"/>
        </w:rPr>
        <w:t>。</w:t>
      </w:r>
      <w:bookmarkStart w:id="197" w:name="_Hlk528927599"/>
    </w:p>
    <w:bookmarkEnd w:id="197"/>
    <w:p w14:paraId="0B647927">
      <w:pPr>
        <w:spacing w:line="360" w:lineRule="auto"/>
        <w:ind w:firstLine="420" w:firstLineChars="200"/>
        <w:jc w:val="left"/>
        <w:rPr>
          <w:rFonts w:hint="eastAsia" w:ascii="宋体" w:hAnsi="宋体" w:eastAsia="宋体" w:cs="宋体"/>
          <w:color w:val="auto"/>
          <w:sz w:val="21"/>
          <w:szCs w:val="21"/>
          <w:highlight w:val="none"/>
        </w:rPr>
      </w:pPr>
      <w:bookmarkStart w:id="198" w:name="_Hlk528927718"/>
      <w:r>
        <w:rPr>
          <w:rFonts w:hint="eastAsia" w:ascii="宋体" w:hAnsi="宋体" w:eastAsia="宋体" w:cs="宋体"/>
          <w:color w:val="auto"/>
          <w:sz w:val="21"/>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98"/>
    </w:p>
    <w:p w14:paraId="36DDDA0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7525CC1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1、死亡；</w:t>
      </w:r>
    </w:p>
    <w:p w14:paraId="039E4DE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2、非承包人原因导致工期延长，而致使项目经理和技术负责人达到法定退休年龄且确需退休；</w:t>
      </w:r>
    </w:p>
    <w:p w14:paraId="1487492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3、按《职工非因工伤残或因病丧失劳动能力程度鉴定标准（试行）》规定鉴定为完全丧失劳动能力和大部分丧失劳动能力；</w:t>
      </w:r>
    </w:p>
    <w:p w14:paraId="6B2F961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4、非承包人原因导致中标3个月不能开工；</w:t>
      </w:r>
    </w:p>
    <w:p w14:paraId="159E606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5、被公安或者司法机关限制人身自由；</w:t>
      </w:r>
    </w:p>
    <w:p w14:paraId="401DED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6、被取消职称或者执业资格，不满足项目管理要求；</w:t>
      </w:r>
    </w:p>
    <w:p w14:paraId="0C25E5E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7、非承包人原因导致确需变更的其它情形。</w:t>
      </w:r>
    </w:p>
    <w:p w14:paraId="44F431A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本款补充3.2.6项</w:t>
      </w:r>
    </w:p>
    <w:p w14:paraId="6364BA3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 国有资金投资项目其他主要人员变更参照《重庆市政府投资项目合同变更管理暂行办法》的规定。</w:t>
      </w:r>
    </w:p>
    <w:p w14:paraId="7B131E6B">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199" w:name="_Toc532377337"/>
      <w:r>
        <w:rPr>
          <w:rFonts w:hint="eastAsia" w:ascii="宋体" w:hAnsi="宋体" w:eastAsia="宋体" w:cs="宋体"/>
          <w:color w:val="auto"/>
          <w:sz w:val="21"/>
          <w:szCs w:val="21"/>
          <w:highlight w:val="none"/>
        </w:rPr>
        <w:t>3.3 承包人人员</w:t>
      </w:r>
      <w:bookmarkEnd w:id="199"/>
    </w:p>
    <w:p w14:paraId="1AE1553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承包人应按建设行政主管部门现行规定配备现场施工从业人员，具体要求如下：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6430734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642FD2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16E8300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 承包人主要施工管理人员离开施工现场，指定的临时人员需满足：</w:t>
      </w:r>
      <w:r>
        <w:rPr>
          <w:rFonts w:hint="eastAsia" w:ascii="宋体" w:hAnsi="宋体" w:eastAsia="宋体" w:cs="宋体"/>
          <w:color w:val="auto"/>
          <w:sz w:val="21"/>
          <w:szCs w:val="21"/>
          <w:highlight w:val="none"/>
          <w:u w:val="single"/>
        </w:rPr>
        <w:t>《房屋建筑和市政基础设施工程施工现场从业人员配备标准》（DBJ50/T-157-2022）的相应要求</w:t>
      </w:r>
      <w:r>
        <w:rPr>
          <w:rFonts w:hint="eastAsia" w:ascii="宋体" w:hAnsi="宋体" w:eastAsia="宋体" w:cs="宋体"/>
          <w:color w:val="auto"/>
          <w:sz w:val="21"/>
          <w:szCs w:val="21"/>
          <w:highlight w:val="none"/>
        </w:rPr>
        <w:t>。</w:t>
      </w:r>
    </w:p>
    <w:p w14:paraId="73407A0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00" w:name="_Toc532377338"/>
      <w:r>
        <w:rPr>
          <w:rFonts w:hint="eastAsia" w:ascii="宋体" w:hAnsi="宋体" w:eastAsia="宋体" w:cs="宋体"/>
          <w:color w:val="auto"/>
          <w:sz w:val="21"/>
          <w:szCs w:val="21"/>
          <w:highlight w:val="none"/>
        </w:rPr>
        <w:t>3</w:t>
      </w:r>
      <w:bookmarkStart w:id="201" w:name="_Toc296944498"/>
      <w:bookmarkStart w:id="202" w:name="_Toc296346660"/>
      <w:bookmarkStart w:id="203" w:name="_Toc296503159"/>
      <w:bookmarkStart w:id="204" w:name="_Toc303539102"/>
      <w:bookmarkStart w:id="205" w:name="_Toc297123492"/>
      <w:bookmarkStart w:id="206" w:name="_Toc312677988"/>
      <w:bookmarkStart w:id="207" w:name="_Toc292559364"/>
      <w:bookmarkStart w:id="208" w:name="_Toc297048345"/>
      <w:bookmarkStart w:id="209" w:name="_Toc304295523"/>
      <w:bookmarkStart w:id="210" w:name="_Toc297216151"/>
      <w:bookmarkStart w:id="211" w:name="_Toc296890987"/>
      <w:bookmarkStart w:id="212" w:name="_Toc292559869"/>
      <w:bookmarkStart w:id="213" w:name="_Toc297120459"/>
      <w:bookmarkStart w:id="214" w:name="_Toc300934945"/>
      <w:bookmarkStart w:id="215" w:name="_Toc296347158"/>
      <w:bookmarkStart w:id="216" w:name="_Toc296891199"/>
      <w:r>
        <w:rPr>
          <w:rFonts w:hint="eastAsia" w:ascii="宋体" w:hAnsi="宋体" w:eastAsia="宋体" w:cs="宋体"/>
          <w:color w:val="auto"/>
          <w:sz w:val="21"/>
          <w:szCs w:val="21"/>
          <w:highlight w:val="none"/>
        </w:rPr>
        <w:t>.5 分包</w:t>
      </w:r>
      <w:bookmarkEnd w:id="200"/>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071B1C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17" w:name="_Toc296891200"/>
      <w:bookmarkStart w:id="218" w:name="_Toc304295524"/>
      <w:bookmarkStart w:id="219" w:name="_Toc296347159"/>
      <w:bookmarkStart w:id="220" w:name="_Toc297216152"/>
      <w:bookmarkStart w:id="221" w:name="_Toc296503160"/>
      <w:bookmarkStart w:id="222" w:name="_Toc292559870"/>
      <w:bookmarkStart w:id="223" w:name="_Toc296346661"/>
      <w:bookmarkStart w:id="224" w:name="_Toc292559365"/>
      <w:bookmarkStart w:id="225" w:name="_Toc297123493"/>
      <w:bookmarkStart w:id="226" w:name="_Toc300934946"/>
      <w:bookmarkStart w:id="227" w:name="_Toc303539103"/>
      <w:bookmarkStart w:id="228" w:name="_Toc296890988"/>
      <w:bookmarkStart w:id="229" w:name="_Toc318581158"/>
      <w:bookmarkStart w:id="230" w:name="_Toc296944499"/>
      <w:bookmarkStart w:id="231" w:name="_Toc297048346"/>
      <w:bookmarkStart w:id="232" w:name="_Toc297120460"/>
      <w:bookmarkStart w:id="233" w:name="_Toc312677989"/>
      <w:r>
        <w:rPr>
          <w:rFonts w:hint="eastAsia" w:ascii="宋体" w:hAnsi="宋体" w:eastAsia="宋体" w:cs="宋体"/>
          <w:color w:val="auto"/>
          <w:sz w:val="21"/>
          <w:szCs w:val="21"/>
          <w:highlight w:val="none"/>
        </w:rPr>
        <w:t>.5.1 分包的一般约定</w:t>
      </w:r>
    </w:p>
    <w:p w14:paraId="6293E92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禁止分包的工程包括：主体结构、关键性工作等国家法律、法规禁止分包的工程。</w:t>
      </w:r>
    </w:p>
    <w:p w14:paraId="0C6CB16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主体结构、关键性工作的范围：国家法律、法规、规范、标准等所约束的范围。如房建工程主体结构指混凝土工程、砌体工程、钢结构工程（具体有基础、梁、板、柱、砼墙、楼梯工程等）</w:t>
      </w:r>
      <w:bookmarkStart w:id="234" w:name="_Toc304295525"/>
      <w:bookmarkStart w:id="235" w:name="_Toc303539104"/>
      <w:bookmarkStart w:id="236" w:name="_Toc296346662"/>
      <w:bookmarkStart w:id="237" w:name="_Toc300934947"/>
      <w:bookmarkStart w:id="238" w:name="_Toc296891201"/>
      <w:bookmarkStart w:id="239" w:name="_Toc296503161"/>
      <w:bookmarkStart w:id="240" w:name="_Toc297123494"/>
      <w:bookmarkStart w:id="241" w:name="_Toc297048347"/>
      <w:bookmarkStart w:id="242" w:name="_Toc296890989"/>
      <w:bookmarkStart w:id="243" w:name="_Toc296347160"/>
      <w:bookmarkStart w:id="244" w:name="_Toc296944500"/>
      <w:bookmarkStart w:id="245" w:name="_Toc297120461"/>
      <w:bookmarkStart w:id="246" w:name="_Toc297216153"/>
      <w:r>
        <w:rPr>
          <w:rFonts w:hint="eastAsia" w:ascii="宋体" w:hAnsi="宋体" w:eastAsia="宋体" w:cs="宋体"/>
          <w:color w:val="auto"/>
          <w:sz w:val="21"/>
          <w:szCs w:val="21"/>
          <w:highlight w:val="none"/>
        </w:rPr>
        <w:t>；关键性工作指梁、板、柱等部位。</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2A113DB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03ED63F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47" w:name="_Toc318581159"/>
      <w:bookmarkStart w:id="248" w:name="_Toc312677990"/>
      <w:r>
        <w:rPr>
          <w:rFonts w:hint="eastAsia" w:ascii="宋体" w:hAnsi="宋体" w:eastAsia="宋体" w:cs="宋体"/>
          <w:color w:val="auto"/>
          <w:sz w:val="21"/>
          <w:szCs w:val="21"/>
          <w:highlight w:val="none"/>
        </w:rPr>
        <w:t>.5.2分包的确定</w:t>
      </w:r>
    </w:p>
    <w:p w14:paraId="137491EE">
      <w:pPr>
        <w:spacing w:line="360" w:lineRule="auto"/>
        <w:ind w:firstLine="420" w:firstLineChars="200"/>
        <w:jc w:val="left"/>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lang w:eastAsia="zh-CN"/>
        </w:rPr>
        <w:t>分包工程需符合《中华人民共和国建筑法》和《中华人民共和国招标投标法》的相关规定，主体结构、关键性工作等国家</w:t>
      </w:r>
      <w:r>
        <w:rPr>
          <w:rFonts w:hint="eastAsia" w:ascii="宋体" w:hAnsi="宋体" w:eastAsia="宋体" w:cs="宋体"/>
          <w:color w:val="auto"/>
          <w:sz w:val="21"/>
          <w:szCs w:val="21"/>
          <w:highlight w:val="none"/>
          <w:u w:val="single"/>
        </w:rPr>
        <w:t>法律</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法规</w:t>
      </w:r>
      <w:r>
        <w:rPr>
          <w:rFonts w:hint="eastAsia" w:ascii="宋体" w:hAnsi="宋体" w:eastAsia="宋体" w:cs="宋体"/>
          <w:color w:val="auto"/>
          <w:sz w:val="21"/>
          <w:szCs w:val="21"/>
          <w:highlight w:val="none"/>
          <w:u w:val="single"/>
          <w:lang w:eastAsia="zh-CN"/>
        </w:rPr>
        <w:t>禁止分包的工程</w:t>
      </w:r>
      <w:r>
        <w:rPr>
          <w:rFonts w:hint="eastAsia" w:ascii="宋体" w:hAnsi="宋体" w:eastAsia="宋体" w:cs="宋体"/>
          <w:color w:val="auto"/>
          <w:sz w:val="21"/>
          <w:szCs w:val="21"/>
          <w:highlight w:val="none"/>
          <w:u w:val="single"/>
        </w:rPr>
        <w:t>不允许分包。</w:t>
      </w:r>
    </w:p>
    <w:p w14:paraId="7579F7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1F03C00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bookmarkEnd w:id="247"/>
      <w:bookmarkEnd w:id="248"/>
      <w:r>
        <w:rPr>
          <w:rFonts w:hint="eastAsia" w:ascii="宋体" w:hAnsi="宋体" w:eastAsia="宋体" w:cs="宋体"/>
          <w:color w:val="auto"/>
          <w:sz w:val="21"/>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eastAsia="宋体" w:cs="宋体"/>
          <w:color w:val="auto"/>
          <w:sz w:val="21"/>
          <w:szCs w:val="21"/>
          <w:highlight w:val="none"/>
        </w:rPr>
        <w:t>。</w:t>
      </w:r>
    </w:p>
    <w:p w14:paraId="3EDD95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本款补充3.5.6项：</w:t>
      </w:r>
    </w:p>
    <w:p w14:paraId="35D9A74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3.5.6严禁违法分包</w:t>
      </w:r>
    </w:p>
    <w:p w14:paraId="5761186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597B7D61">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49" w:name="_Toc532377339"/>
      <w:r>
        <w:rPr>
          <w:rFonts w:hint="eastAsia" w:ascii="宋体" w:hAnsi="宋体" w:eastAsia="宋体" w:cs="宋体"/>
          <w:color w:val="auto"/>
          <w:sz w:val="21"/>
          <w:szCs w:val="21"/>
          <w:highlight w:val="none"/>
        </w:rPr>
        <w:t>3.7 履约担保</w:t>
      </w:r>
      <w:bookmarkEnd w:id="249"/>
    </w:p>
    <w:p w14:paraId="0D202E1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3.7.1承包人是否提供履约担保：</w:t>
      </w:r>
      <w:r>
        <w:rPr>
          <w:rFonts w:hint="eastAsia" w:ascii="宋体" w:hAnsi="宋体" w:eastAsia="宋体" w:cs="宋体"/>
          <w:color w:val="auto"/>
          <w:sz w:val="21"/>
          <w:szCs w:val="21"/>
          <w:highlight w:val="none"/>
          <w:u w:val="single"/>
        </w:rPr>
        <w:t>提供</w:t>
      </w:r>
      <w:r>
        <w:rPr>
          <w:rFonts w:hint="eastAsia" w:ascii="宋体" w:hAnsi="宋体" w:eastAsia="宋体" w:cs="宋体"/>
          <w:color w:val="auto"/>
          <w:sz w:val="21"/>
          <w:szCs w:val="21"/>
          <w:highlight w:val="none"/>
        </w:rPr>
        <w:t>。</w:t>
      </w:r>
    </w:p>
    <w:p w14:paraId="0B492942">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3.7.2承包人提供履约担保的形式、金额及期限：</w:t>
      </w:r>
    </w:p>
    <w:p w14:paraId="22403B9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（1）履约担保金额为：项目成交金额的5%。</w:t>
      </w:r>
    </w:p>
    <w:p w14:paraId="41C5817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（2）履约担保递交方式：以现金（支票、汇票、本票）或者金融机构、担保机构出具的保函等非现金形式提交。</w:t>
      </w:r>
    </w:p>
    <w:p w14:paraId="2C149970">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磋商文件约定要求。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24EAFD0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履约担保递交时间：成交供应商应当在领取成交通知书后20天内且合同签订之前提交履约担保；如以现金方式缴纳履约担保的，将履约担保汇入下列帐户（重庆市大渡口区城乡建设发展有限公司开具收据为准）：</w:t>
      </w:r>
    </w:p>
    <w:p w14:paraId="1D319F8C">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公司相关账号如下：</w:t>
      </w:r>
    </w:p>
    <w:p w14:paraId="41A4BD67">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账户名称：</w:t>
      </w:r>
      <w:r>
        <w:rPr>
          <w:rFonts w:hint="eastAsia" w:ascii="宋体" w:hAnsi="宋体" w:eastAsia="宋体" w:cs="宋体"/>
          <w:color w:val="auto"/>
          <w:sz w:val="21"/>
          <w:szCs w:val="21"/>
          <w:highlight w:val="none"/>
          <w:lang w:val="en-US" w:eastAsia="zh-CN"/>
        </w:rPr>
        <w:t>重庆市大渡口区城乡建设发展有限公司</w:t>
      </w:r>
    </w:p>
    <w:p w14:paraId="3427467E">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开户行：重庆</w:t>
      </w:r>
      <w:r>
        <w:rPr>
          <w:rFonts w:hint="eastAsia" w:ascii="宋体" w:hAnsi="宋体" w:eastAsia="宋体" w:cs="宋体"/>
          <w:color w:val="auto"/>
          <w:sz w:val="21"/>
          <w:szCs w:val="21"/>
          <w:highlight w:val="none"/>
          <w:lang w:val="en-US" w:eastAsia="zh-CN"/>
        </w:rPr>
        <w:t>银行</w:t>
      </w:r>
      <w:r>
        <w:rPr>
          <w:rFonts w:hint="eastAsia" w:ascii="宋体" w:hAnsi="宋体" w:eastAsia="宋体" w:cs="宋体"/>
          <w:color w:val="auto"/>
          <w:sz w:val="21"/>
          <w:szCs w:val="21"/>
          <w:highlight w:val="none"/>
          <w:lang w:eastAsia="zh-CN"/>
        </w:rPr>
        <w:t>大渡口支行</w:t>
      </w:r>
    </w:p>
    <w:p w14:paraId="1C315B7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账  号：</w:t>
      </w:r>
      <w:r>
        <w:rPr>
          <w:rFonts w:hint="eastAsia" w:ascii="宋体" w:hAnsi="宋体" w:eastAsia="宋体" w:cs="宋体"/>
          <w:color w:val="auto"/>
          <w:sz w:val="21"/>
          <w:szCs w:val="21"/>
          <w:highlight w:val="none"/>
          <w:lang w:val="en-US" w:eastAsia="zh-CN"/>
        </w:rPr>
        <w:t>340102029004944146</w:t>
      </w:r>
    </w:p>
    <w:p w14:paraId="51AC6F62">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汇入履约保证金时需备注项目名称。</w:t>
      </w:r>
    </w:p>
    <w:p w14:paraId="02CE1C9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退还时间：</w:t>
      </w:r>
      <w:r>
        <w:rPr>
          <w:rFonts w:hint="eastAsia" w:ascii="宋体" w:hAnsi="宋体" w:eastAsia="宋体" w:cs="宋体"/>
          <w:color w:val="auto"/>
          <w:sz w:val="21"/>
          <w:szCs w:val="21"/>
          <w:highlight w:val="none"/>
          <w:u w:val="single"/>
          <w:lang w:val="en-US" w:eastAsia="zh-CN"/>
        </w:rPr>
        <w:t>采用现金担保的，工程竣工验收合格后14天内退还；采用履约保函的，工程竣工验收合格后14天内退还</w:t>
      </w:r>
      <w:r>
        <w:rPr>
          <w:rFonts w:hint="eastAsia" w:ascii="宋体" w:hAnsi="宋体" w:eastAsia="宋体" w:cs="宋体"/>
          <w:color w:val="auto"/>
          <w:sz w:val="21"/>
          <w:szCs w:val="21"/>
          <w:highlight w:val="none"/>
          <w:lang w:val="en-US" w:eastAsia="zh-CN"/>
        </w:rPr>
        <w:t>。</w:t>
      </w:r>
    </w:p>
    <w:p w14:paraId="56C9A7E8">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250" w:name="_Toc351203636"/>
      <w:bookmarkStart w:id="251" w:name="_Toc532377340"/>
      <w:bookmarkStart w:id="252" w:name="_Toc532375611"/>
      <w:r>
        <w:rPr>
          <w:rFonts w:hint="eastAsia" w:ascii="宋体" w:hAnsi="宋体" w:eastAsia="宋体" w:cs="宋体"/>
          <w:color w:val="auto"/>
          <w:kern w:val="2"/>
          <w:sz w:val="21"/>
          <w:szCs w:val="21"/>
          <w:highlight w:val="none"/>
        </w:rPr>
        <w:t>4</w:t>
      </w:r>
      <w:bookmarkStart w:id="253" w:name="_Toc267251413"/>
      <w:bookmarkStart w:id="254" w:name="_Toc297120462"/>
      <w:bookmarkStart w:id="255" w:name="_Toc296347161"/>
      <w:bookmarkStart w:id="256" w:name="_Toc292559366"/>
      <w:bookmarkStart w:id="257" w:name="_Toc296891202"/>
      <w:bookmarkStart w:id="258" w:name="_Toc296890990"/>
      <w:bookmarkStart w:id="259" w:name="_Toc296503162"/>
      <w:bookmarkStart w:id="260" w:name="_Toc296346663"/>
      <w:bookmarkStart w:id="261" w:name="_Toc292559871"/>
      <w:bookmarkStart w:id="262" w:name="_Toc297048348"/>
      <w:bookmarkStart w:id="263" w:name="_Toc296944501"/>
      <w:r>
        <w:rPr>
          <w:rFonts w:hint="eastAsia" w:ascii="宋体" w:hAnsi="宋体" w:eastAsia="宋体" w:cs="宋体"/>
          <w:color w:val="auto"/>
          <w:kern w:val="2"/>
          <w:sz w:val="21"/>
          <w:szCs w:val="21"/>
          <w:highlight w:val="none"/>
        </w:rPr>
        <w:t>. 监</w:t>
      </w:r>
      <w:bookmarkEnd w:id="253"/>
      <w:bookmarkEnd w:id="254"/>
      <w:bookmarkEnd w:id="255"/>
      <w:bookmarkEnd w:id="256"/>
      <w:bookmarkEnd w:id="257"/>
      <w:bookmarkEnd w:id="258"/>
      <w:bookmarkEnd w:id="259"/>
      <w:bookmarkEnd w:id="260"/>
      <w:bookmarkEnd w:id="261"/>
      <w:bookmarkEnd w:id="262"/>
      <w:bookmarkEnd w:id="263"/>
      <w:r>
        <w:rPr>
          <w:rFonts w:hint="eastAsia" w:ascii="宋体" w:hAnsi="宋体" w:eastAsia="宋体" w:cs="宋体"/>
          <w:color w:val="auto"/>
          <w:kern w:val="2"/>
          <w:sz w:val="21"/>
          <w:szCs w:val="21"/>
          <w:highlight w:val="none"/>
        </w:rPr>
        <w:t>理人</w:t>
      </w:r>
      <w:bookmarkEnd w:id="250"/>
      <w:bookmarkEnd w:id="251"/>
      <w:bookmarkEnd w:id="252"/>
    </w:p>
    <w:p w14:paraId="1896D3A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64" w:name="_Toc532377341"/>
      <w:r>
        <w:rPr>
          <w:rFonts w:hint="eastAsia" w:ascii="宋体" w:hAnsi="宋体" w:eastAsia="宋体" w:cs="宋体"/>
          <w:color w:val="auto"/>
          <w:sz w:val="21"/>
          <w:szCs w:val="21"/>
          <w:highlight w:val="none"/>
        </w:rPr>
        <w:t>4.1 监理人的一般规定</w:t>
      </w:r>
      <w:bookmarkEnd w:id="264"/>
    </w:p>
    <w:p w14:paraId="273F401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见发包人与监理人就本工程签订的监理合同</w:t>
      </w:r>
      <w:r>
        <w:rPr>
          <w:rFonts w:hint="eastAsia" w:ascii="宋体" w:hAnsi="宋体" w:eastAsia="宋体" w:cs="宋体"/>
          <w:color w:val="auto"/>
          <w:sz w:val="21"/>
          <w:szCs w:val="21"/>
          <w:highlight w:val="none"/>
        </w:rPr>
        <w:t>。</w:t>
      </w:r>
    </w:p>
    <w:p w14:paraId="2166CB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eastAsia="宋体" w:cs="宋体"/>
          <w:color w:val="auto"/>
          <w:sz w:val="21"/>
          <w:szCs w:val="21"/>
          <w:highlight w:val="none"/>
        </w:rPr>
        <w:t>。</w:t>
      </w:r>
    </w:p>
    <w:p w14:paraId="4677C2F3">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承包人应为监理人提供必要的办公、生活设施，所需费用不另支付。</w:t>
      </w:r>
    </w:p>
    <w:p w14:paraId="76112FEC">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65" w:name="_Toc532377342"/>
      <w:r>
        <w:rPr>
          <w:rFonts w:hint="eastAsia" w:ascii="宋体" w:hAnsi="宋体" w:eastAsia="宋体" w:cs="宋体"/>
          <w:color w:val="auto"/>
          <w:sz w:val="21"/>
          <w:szCs w:val="21"/>
          <w:highlight w:val="none"/>
        </w:rPr>
        <w:t>4.2 监理人员</w:t>
      </w:r>
      <w:bookmarkEnd w:id="265"/>
    </w:p>
    <w:p w14:paraId="75E8403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37E5A7F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701551D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727E1B8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336DDE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451FEF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见发包人与监理人就本工程签订的监理合同</w:t>
      </w:r>
      <w:r>
        <w:rPr>
          <w:rFonts w:hint="eastAsia" w:ascii="宋体" w:hAnsi="宋体" w:eastAsia="宋体" w:cs="宋体"/>
          <w:color w:val="auto"/>
          <w:sz w:val="21"/>
          <w:szCs w:val="21"/>
          <w:highlight w:val="none"/>
        </w:rPr>
        <w:t>。</w:t>
      </w:r>
    </w:p>
    <w:p w14:paraId="2FA846AE">
      <w:pPr>
        <w:pStyle w:val="7"/>
        <w:spacing w:before="0" w:beforeAutospacing="0" w:after="0" w:afterAutospacing="0" w:line="360" w:lineRule="auto"/>
        <w:ind w:firstLine="422" w:firstLineChars="200"/>
        <w:rPr>
          <w:rFonts w:hint="eastAsia" w:ascii="宋体" w:hAnsi="宋体" w:eastAsia="宋体" w:cs="宋体"/>
          <w:b w:val="0"/>
          <w:color w:val="auto"/>
          <w:sz w:val="21"/>
          <w:szCs w:val="21"/>
          <w:highlight w:val="none"/>
        </w:rPr>
      </w:pPr>
      <w:bookmarkStart w:id="266" w:name="_Toc532377343"/>
      <w:r>
        <w:rPr>
          <w:rFonts w:hint="eastAsia" w:ascii="宋体" w:hAnsi="宋体" w:eastAsia="宋体" w:cs="宋体"/>
          <w:color w:val="auto"/>
          <w:sz w:val="21"/>
          <w:szCs w:val="21"/>
          <w:highlight w:val="none"/>
        </w:rPr>
        <w:t>4.4 商定或确定</w:t>
      </w:r>
      <w:bookmarkEnd w:id="266"/>
    </w:p>
    <w:p w14:paraId="73BC81B7">
      <w:pPr>
        <w:spacing w:line="360" w:lineRule="auto"/>
        <w:ind w:firstLine="420" w:firstLineChars="200"/>
        <w:jc w:val="left"/>
        <w:rPr>
          <w:rFonts w:hint="eastAsia" w:ascii="宋体" w:hAnsi="宋体" w:eastAsia="宋体" w:cs="宋体"/>
          <w:color w:val="auto"/>
          <w:sz w:val="21"/>
          <w:szCs w:val="21"/>
          <w:highlight w:val="none"/>
        </w:rPr>
      </w:pPr>
      <w:bookmarkStart w:id="267"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31A0495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03ABA70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268" w:name="_Toc351203637"/>
      <w:bookmarkStart w:id="269" w:name="_Toc532375612"/>
      <w:bookmarkStart w:id="270" w:name="_Toc532377344"/>
      <w:r>
        <w:rPr>
          <w:rFonts w:hint="eastAsia" w:ascii="宋体" w:hAnsi="宋体" w:eastAsia="宋体" w:cs="宋体"/>
          <w:color w:val="auto"/>
          <w:kern w:val="2"/>
          <w:sz w:val="21"/>
          <w:szCs w:val="21"/>
          <w:highlight w:val="none"/>
        </w:rPr>
        <w:t>5</w:t>
      </w:r>
      <w:bookmarkEnd w:id="267"/>
      <w:bookmarkStart w:id="271" w:name="_Toc296890991"/>
      <w:bookmarkStart w:id="272" w:name="_Toc296503163"/>
      <w:bookmarkStart w:id="273" w:name="_Toc296346664"/>
      <w:bookmarkStart w:id="274" w:name="_Toc296891203"/>
      <w:bookmarkStart w:id="275" w:name="_Toc296347162"/>
      <w:bookmarkStart w:id="276" w:name="_Toc297120463"/>
      <w:bookmarkStart w:id="277" w:name="_Toc297048349"/>
      <w:bookmarkStart w:id="278" w:name="_Toc292559872"/>
      <w:bookmarkStart w:id="279" w:name="_Toc296944502"/>
      <w:bookmarkStart w:id="280" w:name="_Toc292559367"/>
      <w:r>
        <w:rPr>
          <w:rFonts w:hint="eastAsia" w:ascii="宋体" w:hAnsi="宋体" w:eastAsia="宋体" w:cs="宋体"/>
          <w:color w:val="auto"/>
          <w:kern w:val="2"/>
          <w:sz w:val="21"/>
          <w:szCs w:val="21"/>
          <w:highlight w:val="none"/>
        </w:rPr>
        <w:t>. 工程质量</w:t>
      </w:r>
      <w:bookmarkEnd w:id="268"/>
      <w:bookmarkEnd w:id="269"/>
      <w:bookmarkEnd w:id="270"/>
    </w:p>
    <w:p w14:paraId="4EFDA2FD">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81" w:name="_Toc532377345"/>
      <w:r>
        <w:rPr>
          <w:rFonts w:hint="eastAsia" w:ascii="宋体" w:hAnsi="宋体" w:eastAsia="宋体" w:cs="宋体"/>
          <w:color w:val="auto"/>
          <w:sz w:val="21"/>
          <w:szCs w:val="21"/>
          <w:highlight w:val="none"/>
        </w:rPr>
        <w:t>5.1 质量要求</w:t>
      </w:r>
      <w:bookmarkEnd w:id="281"/>
      <w:bookmarkStart w:id="282" w:name="_Hlk528909888"/>
      <w:bookmarkStart w:id="283" w:name="_Toc318581164"/>
      <w:bookmarkStart w:id="284" w:name="_Toc304295527"/>
      <w:bookmarkStart w:id="285" w:name="_Toc303539106"/>
      <w:bookmarkStart w:id="286" w:name="_Toc300934949"/>
      <w:bookmarkStart w:id="287" w:name="_Toc297216155"/>
      <w:bookmarkStart w:id="288" w:name="_Toc312677997"/>
      <w:bookmarkStart w:id="289" w:name="_Toc297123496"/>
    </w:p>
    <w:p w14:paraId="7C7F31B9">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工程质量符合强制性质量标准，</w:t>
      </w:r>
      <w:r>
        <w:rPr>
          <w:rFonts w:hint="eastAsia" w:ascii="宋体" w:hAnsi="宋体" w:eastAsia="宋体" w:cs="宋体"/>
          <w:color w:val="auto"/>
          <w:sz w:val="21"/>
          <w:szCs w:val="21"/>
          <w:highlight w:val="none"/>
          <w:u w:val="single"/>
        </w:rPr>
        <w:t>符合国家和重庆市现行有关施工质量验收规范要求，并达到合格标准</w:t>
      </w:r>
      <w:r>
        <w:rPr>
          <w:rFonts w:hint="eastAsia" w:ascii="宋体" w:hAnsi="宋体" w:eastAsia="宋体" w:cs="宋体"/>
          <w:color w:val="auto"/>
          <w:sz w:val="21"/>
          <w:szCs w:val="21"/>
          <w:highlight w:val="none"/>
        </w:rPr>
        <w:t>。强制性质量标准有（包括但不限于）：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282"/>
    <w:p w14:paraId="00D035B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90" w:name="_Toc532377346"/>
      <w:r>
        <w:rPr>
          <w:rFonts w:hint="eastAsia" w:ascii="宋体" w:hAnsi="宋体" w:eastAsia="宋体" w:cs="宋体"/>
          <w:color w:val="auto"/>
          <w:sz w:val="21"/>
          <w:szCs w:val="21"/>
          <w:highlight w:val="none"/>
        </w:rPr>
        <w:t>5.2 质量保证措施</w:t>
      </w:r>
      <w:bookmarkEnd w:id="290"/>
    </w:p>
    <w:p w14:paraId="79A920A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本款补充5.2.4项：</w:t>
      </w:r>
    </w:p>
    <w:p w14:paraId="3F84E7D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在工程建设中，参建各方应严格执行以下规定（包括但不限于）：</w:t>
      </w:r>
    </w:p>
    <w:p w14:paraId="61A4DD9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《建筑工程施工质量验收统一标准》（GB50300-2013）</w:t>
      </w:r>
      <w:r>
        <w:rPr>
          <w:rFonts w:hint="eastAsia" w:ascii="宋体" w:hAnsi="宋体" w:eastAsia="宋体" w:cs="宋体"/>
          <w:color w:val="auto"/>
          <w:sz w:val="21"/>
          <w:szCs w:val="21"/>
          <w:highlight w:val="none"/>
        </w:rPr>
        <w:t>；</w:t>
      </w:r>
    </w:p>
    <w:p w14:paraId="58ED9A1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《住房城乡建设部关于印发工程质量安全提升行动方案的通知》（建质〔2017〕57号）</w:t>
      </w:r>
      <w:r>
        <w:rPr>
          <w:rFonts w:hint="eastAsia" w:ascii="宋体" w:hAnsi="宋体" w:eastAsia="宋体" w:cs="宋体"/>
          <w:color w:val="auto"/>
          <w:sz w:val="21"/>
          <w:szCs w:val="21"/>
          <w:highlight w:val="none"/>
        </w:rPr>
        <w:t>；</w:t>
      </w:r>
    </w:p>
    <w:p w14:paraId="69EBAB0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《房屋建筑和市政基础设施工程竣工验收规定》（建质〔2013〕171号）</w:t>
      </w:r>
      <w:r>
        <w:rPr>
          <w:rFonts w:hint="eastAsia" w:ascii="宋体" w:hAnsi="宋体" w:eastAsia="宋体" w:cs="宋体"/>
          <w:color w:val="auto"/>
          <w:sz w:val="21"/>
          <w:szCs w:val="21"/>
          <w:highlight w:val="none"/>
        </w:rPr>
        <w:t>；</w:t>
      </w:r>
    </w:p>
    <w:p w14:paraId="723E49F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《建设部关于贯彻执行建筑工程勘察设计及施工质量验收规范若干问题的通知》（建标〔2002〕212号）</w:t>
      </w:r>
      <w:r>
        <w:rPr>
          <w:rFonts w:hint="eastAsia" w:ascii="宋体" w:hAnsi="宋体" w:eastAsia="宋体" w:cs="宋体"/>
          <w:color w:val="auto"/>
          <w:sz w:val="21"/>
          <w:szCs w:val="21"/>
          <w:highlight w:val="none"/>
        </w:rPr>
        <w:t>；</w:t>
      </w:r>
    </w:p>
    <w:p w14:paraId="71BA4A6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eastAsia="宋体" w:cs="宋体"/>
          <w:color w:val="auto"/>
          <w:sz w:val="21"/>
          <w:szCs w:val="21"/>
          <w:highlight w:val="none"/>
        </w:rPr>
        <w:t>；</w:t>
      </w:r>
    </w:p>
    <w:p w14:paraId="5E825A4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《关于印发&lt;重庆市房屋建筑和市政基础设施工程预拌商品砂浆应用推进工作方案&gt;的通知》（渝建〔2018〕375号）</w:t>
      </w:r>
      <w:r>
        <w:rPr>
          <w:rFonts w:hint="eastAsia" w:ascii="宋体" w:hAnsi="宋体" w:eastAsia="宋体" w:cs="宋体"/>
          <w:color w:val="auto"/>
          <w:sz w:val="21"/>
          <w:szCs w:val="21"/>
          <w:highlight w:val="none"/>
        </w:rPr>
        <w:t>；</w:t>
      </w:r>
    </w:p>
    <w:p w14:paraId="1114A8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u w:val="single"/>
        </w:rPr>
        <w:t>《重庆市城乡建设委员会关于印发2018年房屋建筑和市政基础设施工程质量要点的通知》（渝建〔2018〕94号）</w:t>
      </w:r>
      <w:r>
        <w:rPr>
          <w:rFonts w:hint="eastAsia" w:ascii="宋体" w:hAnsi="宋体" w:eastAsia="宋体" w:cs="宋体"/>
          <w:color w:val="auto"/>
          <w:sz w:val="21"/>
          <w:szCs w:val="21"/>
          <w:highlight w:val="none"/>
        </w:rPr>
        <w:t>；</w:t>
      </w:r>
    </w:p>
    <w:p w14:paraId="5C9CB81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《重庆市城乡建设委员会关于进一步推广应用预拌商品砂浆的通知》（渝建〔2016〕318号）</w:t>
      </w:r>
      <w:r>
        <w:rPr>
          <w:rFonts w:hint="eastAsia" w:ascii="宋体" w:hAnsi="宋体" w:eastAsia="宋体" w:cs="宋体"/>
          <w:color w:val="auto"/>
          <w:sz w:val="21"/>
          <w:szCs w:val="21"/>
          <w:highlight w:val="none"/>
        </w:rPr>
        <w:t>；</w:t>
      </w:r>
    </w:p>
    <w:p w14:paraId="432DAB5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eastAsia="宋体" w:cs="宋体"/>
          <w:color w:val="auto"/>
          <w:sz w:val="21"/>
          <w:szCs w:val="21"/>
          <w:highlight w:val="none"/>
        </w:rPr>
        <w:t>；</w:t>
      </w:r>
    </w:p>
    <w:p w14:paraId="064500B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u w:val="single"/>
        </w:rPr>
        <w:t>国家和本市现行有关建设工程质量验收标准、规范和要求</w:t>
      </w:r>
      <w:r>
        <w:rPr>
          <w:rFonts w:hint="eastAsia" w:ascii="宋体" w:hAnsi="宋体" w:eastAsia="宋体" w:cs="宋体"/>
          <w:color w:val="auto"/>
          <w:sz w:val="21"/>
          <w:szCs w:val="21"/>
          <w:highlight w:val="none"/>
        </w:rPr>
        <w:t>；</w:t>
      </w:r>
    </w:p>
    <w:p w14:paraId="3DCF5C48">
      <w:pPr>
        <w:pStyle w:val="2"/>
        <w:spacing w:after="0" w:line="360" w:lineRule="auto"/>
        <w:ind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（11）</w:t>
      </w:r>
      <w:r>
        <w:rPr>
          <w:rFonts w:hint="eastAsia" w:ascii="宋体" w:hAnsi="宋体" w:eastAsia="宋体" w:cs="宋体"/>
          <w:color w:val="auto"/>
          <w:kern w:val="2"/>
          <w:sz w:val="21"/>
          <w:szCs w:val="21"/>
          <w:highlight w:val="none"/>
          <w:u w:val="single"/>
          <w:lang w:val="en-US" w:eastAsia="zh-CN" w:bidi="ar-SA"/>
        </w:rPr>
        <w:t>其他涉及本工程建设所须执行的现行规定、标准、规范等。</w:t>
      </w:r>
    </w:p>
    <w:p w14:paraId="790A79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承包人、监理人和发包人在工程建设中，应严格执行国家及重庆市现行标准，如上述标准及规范要求有出入则以较严格者为准。</w:t>
      </w:r>
    </w:p>
    <w:p w14:paraId="0ED658B1">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91" w:name="_Toc351203536"/>
      <w:bookmarkStart w:id="292" w:name="_Toc532377347"/>
      <w:bookmarkStart w:id="293" w:name="_Hlk528927873"/>
      <w:r>
        <w:rPr>
          <w:rFonts w:hint="eastAsia" w:ascii="宋体" w:hAnsi="宋体" w:eastAsia="宋体" w:cs="宋体"/>
          <w:color w:val="auto"/>
          <w:sz w:val="21"/>
          <w:szCs w:val="21"/>
          <w:highlight w:val="none"/>
        </w:rPr>
        <w:t>5.3隐蔽工程检查</w:t>
      </w:r>
    </w:p>
    <w:p w14:paraId="0D66983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5.3.2检查程序</w:t>
      </w:r>
    </w:p>
    <w:p w14:paraId="735E41F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工程隐蔽部位经承包人自检确认具备覆盖条件的，承包人应在共同检查前</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rPr>
        <w:t>小时书面通知监理人检查，通知中应载明隐蔽检查的内容、时间和地点，并应附有自检记录和必要的检查资料。</w:t>
      </w:r>
    </w:p>
    <w:p w14:paraId="52779A76">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294" w:name="_Toc337558762"/>
      <w:r>
        <w:rPr>
          <w:rFonts w:hint="eastAsia" w:ascii="宋体" w:hAnsi="宋体" w:eastAsia="宋体" w:cs="宋体"/>
          <w:color w:val="auto"/>
          <w:sz w:val="21"/>
          <w:szCs w:val="21"/>
          <w:highlight w:val="none"/>
        </w:rPr>
        <w:t>.4 不合格工程的处理</w:t>
      </w:r>
      <w:bookmarkEnd w:id="291"/>
      <w:bookmarkEnd w:id="292"/>
    </w:p>
    <w:bookmarkEnd w:id="294"/>
    <w:p w14:paraId="08D2F33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本款补充5.4.3项：</w:t>
      </w:r>
    </w:p>
    <w:p w14:paraId="667A03E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 承包人在收到监理人发出的《不合格分项报告》或监理通知单后，必须在监理人规定时间内按要求完成整改，未能在限定时间内完成整改的，须承担相应违约责任。</w:t>
      </w:r>
    </w:p>
    <w:p w14:paraId="5C9500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本条补充5.6款：</w:t>
      </w:r>
    </w:p>
    <w:bookmarkEnd w:id="293"/>
    <w:p w14:paraId="213EB448">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295" w:name="_Toc532377348"/>
      <w:r>
        <w:rPr>
          <w:rFonts w:hint="eastAsia" w:ascii="宋体" w:hAnsi="宋体" w:eastAsia="宋体" w:cs="宋体"/>
          <w:color w:val="auto"/>
          <w:sz w:val="21"/>
          <w:szCs w:val="21"/>
          <w:highlight w:val="none"/>
        </w:rPr>
        <w:t>5.6 质量事故的处理</w:t>
      </w:r>
      <w:bookmarkEnd w:id="295"/>
    </w:p>
    <w:p w14:paraId="57C3529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5.6.1 合同履行过程中，发生工程质量事故的调查处理按照国家及重庆市现行规定处理。</w:t>
      </w:r>
    </w:p>
    <w:p w14:paraId="1BF66B2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271"/>
    <w:bookmarkEnd w:id="272"/>
    <w:bookmarkEnd w:id="273"/>
    <w:bookmarkEnd w:id="274"/>
    <w:bookmarkEnd w:id="275"/>
    <w:bookmarkEnd w:id="276"/>
    <w:bookmarkEnd w:id="277"/>
    <w:bookmarkEnd w:id="278"/>
    <w:bookmarkEnd w:id="279"/>
    <w:bookmarkEnd w:id="280"/>
    <w:bookmarkEnd w:id="283"/>
    <w:bookmarkEnd w:id="284"/>
    <w:bookmarkEnd w:id="285"/>
    <w:bookmarkEnd w:id="286"/>
    <w:bookmarkEnd w:id="287"/>
    <w:bookmarkEnd w:id="288"/>
    <w:bookmarkEnd w:id="289"/>
    <w:p w14:paraId="24208598">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296" w:name="_Toc351203638"/>
      <w:bookmarkStart w:id="297" w:name="_Toc532375613"/>
      <w:bookmarkStart w:id="298" w:name="_Toc532377349"/>
      <w:bookmarkStart w:id="299" w:name="_Toc267251427"/>
      <w:bookmarkStart w:id="300" w:name="_Toc292559378"/>
      <w:bookmarkStart w:id="301" w:name="_Toc292559883"/>
      <w:bookmarkStart w:id="302" w:name="_Toc296891001"/>
      <w:bookmarkStart w:id="303" w:name="_Toc297048359"/>
      <w:bookmarkStart w:id="304" w:name="_Toc296944512"/>
      <w:bookmarkStart w:id="305" w:name="_Toc296503173"/>
      <w:bookmarkStart w:id="306" w:name="_Toc351203642"/>
      <w:bookmarkStart w:id="307" w:name="_Toc267251428"/>
      <w:bookmarkStart w:id="308" w:name="_Toc296346674"/>
      <w:bookmarkStart w:id="309" w:name="_Toc296891213"/>
      <w:bookmarkStart w:id="310" w:name="_Toc297120473"/>
      <w:bookmarkStart w:id="311" w:name="_Toc296347172"/>
      <w:r>
        <w:rPr>
          <w:rFonts w:hint="eastAsia" w:ascii="宋体" w:hAnsi="宋体" w:eastAsia="宋体" w:cs="宋体"/>
          <w:color w:val="auto"/>
          <w:kern w:val="2"/>
          <w:sz w:val="21"/>
          <w:szCs w:val="21"/>
          <w:highlight w:val="none"/>
        </w:rPr>
        <w:t>6. 安全文明施工与环境保护</w:t>
      </w:r>
      <w:bookmarkEnd w:id="296"/>
      <w:bookmarkEnd w:id="297"/>
      <w:bookmarkEnd w:id="298"/>
    </w:p>
    <w:p w14:paraId="3FE70118">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12" w:name="_Toc532377350"/>
      <w:bookmarkStart w:id="313" w:name="_Toc532375614"/>
      <w:r>
        <w:rPr>
          <w:rFonts w:hint="eastAsia" w:ascii="宋体" w:hAnsi="宋体" w:eastAsia="宋体" w:cs="宋体"/>
          <w:color w:val="auto"/>
          <w:sz w:val="21"/>
          <w:szCs w:val="21"/>
          <w:highlight w:val="none"/>
        </w:rPr>
        <w:t>6.1 安全文明施工</w:t>
      </w:r>
      <w:bookmarkEnd w:id="312"/>
      <w:bookmarkEnd w:id="313"/>
    </w:p>
    <w:p w14:paraId="182F3EE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1AC3F8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5F07C4EE">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达到《建筑施工安全检查标准》（JGJ59-2011）的要求</w:t>
      </w:r>
      <w:r>
        <w:rPr>
          <w:rFonts w:hint="eastAsia" w:ascii="宋体" w:hAnsi="宋体" w:eastAsia="宋体" w:cs="宋体"/>
          <w:color w:val="auto"/>
          <w:sz w:val="21"/>
          <w:szCs w:val="21"/>
          <w:highlight w:val="none"/>
        </w:rPr>
        <w:t>。</w:t>
      </w:r>
    </w:p>
    <w:p w14:paraId="0D6C349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（1）按现行安全文明施工费计取及使用管理的政策文件规定及发包人制订的安全管理制度执行</w:t>
      </w:r>
      <w:r>
        <w:rPr>
          <w:rFonts w:hint="eastAsia" w:ascii="宋体" w:hAnsi="宋体" w:eastAsia="宋体" w:cs="宋体"/>
          <w:color w:val="auto"/>
          <w:sz w:val="21"/>
          <w:szCs w:val="21"/>
          <w:highlight w:val="none"/>
        </w:rPr>
        <w:t>。</w:t>
      </w:r>
    </w:p>
    <w:p w14:paraId="0F4CA42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（2）承包人的原因造成事故，由此产生的法律责任和事故责任及费用由承包人全部承担</w:t>
      </w:r>
      <w:r>
        <w:rPr>
          <w:rFonts w:hint="eastAsia" w:ascii="宋体" w:hAnsi="宋体" w:eastAsia="宋体" w:cs="宋体"/>
          <w:color w:val="auto"/>
          <w:sz w:val="21"/>
          <w:szCs w:val="21"/>
          <w:highlight w:val="none"/>
        </w:rPr>
        <w:t>。</w:t>
      </w:r>
    </w:p>
    <w:p w14:paraId="010B401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（3）承包人向发包人做出安全承诺，并签订《安全生产目标责任书》和《安全承诺书》</w:t>
      </w:r>
      <w:r>
        <w:rPr>
          <w:rFonts w:hint="eastAsia" w:ascii="宋体" w:hAnsi="宋体" w:eastAsia="宋体" w:cs="宋体"/>
          <w:color w:val="auto"/>
          <w:sz w:val="21"/>
          <w:szCs w:val="21"/>
          <w:highlight w:val="none"/>
        </w:rPr>
        <w:t>。</w:t>
      </w:r>
    </w:p>
    <w:p w14:paraId="5EE2323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（4）承包人在施工过程中，必须严格执行安全生产法的相关规定，制定切实可靠的安全技术措施</w:t>
      </w:r>
      <w:r>
        <w:rPr>
          <w:rFonts w:hint="eastAsia" w:ascii="宋体" w:hAnsi="宋体" w:eastAsia="宋体" w:cs="宋体"/>
          <w:color w:val="auto"/>
          <w:sz w:val="21"/>
          <w:szCs w:val="21"/>
          <w:highlight w:val="none"/>
        </w:rPr>
        <w:t>。</w:t>
      </w:r>
    </w:p>
    <w:p w14:paraId="45DB55F8">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（5）接受发包人安全监督和管理，在施工中违反安全管理规定和操作规程、违章作业的，承担违约责任</w:t>
      </w:r>
      <w:r>
        <w:rPr>
          <w:rFonts w:hint="eastAsia" w:ascii="宋体" w:hAnsi="宋体" w:eastAsia="宋体" w:cs="宋体"/>
          <w:color w:val="auto"/>
          <w:sz w:val="21"/>
          <w:szCs w:val="21"/>
          <w:highlight w:val="none"/>
        </w:rPr>
        <w:t>。</w:t>
      </w:r>
    </w:p>
    <w:p w14:paraId="6969606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承包人负责组建施工现场治安管理机构或联防组织；承包人负责编制施工场地治安管理计划和突发治安事件紧急预案</w:t>
      </w:r>
      <w:r>
        <w:rPr>
          <w:rFonts w:hint="eastAsia" w:ascii="宋体" w:hAnsi="宋体" w:eastAsia="宋体" w:cs="宋体"/>
          <w:color w:val="auto"/>
          <w:sz w:val="21"/>
          <w:szCs w:val="21"/>
          <w:highlight w:val="none"/>
        </w:rPr>
        <w:t>。</w:t>
      </w:r>
    </w:p>
    <w:p w14:paraId="399B1082">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由承包人负责</w:t>
      </w:r>
      <w:r>
        <w:rPr>
          <w:rFonts w:hint="eastAsia" w:ascii="宋体" w:hAnsi="宋体" w:eastAsia="宋体" w:cs="宋体"/>
          <w:color w:val="auto"/>
          <w:sz w:val="21"/>
          <w:szCs w:val="21"/>
          <w:highlight w:val="none"/>
        </w:rPr>
        <w:t>。</w:t>
      </w:r>
    </w:p>
    <w:p w14:paraId="78C021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51E4B3F4">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承包人应按照《房屋建筑和市政基础设施工程施工扬尘控制工作方案》（渝建发〔2009〕13号）、《重庆市住房和城乡建设委员会关于修订发布&lt;重庆市建设工程安全文明施工费计取及使用管理规定&gt;的通知》（渝建管〔2024〕38号）</w:t>
      </w:r>
      <w:r>
        <w:rPr>
          <w:rFonts w:hint="eastAsia" w:ascii="宋体" w:hAnsi="宋体" w:eastAsia="宋体" w:cs="宋体"/>
          <w:color w:val="auto"/>
          <w:sz w:val="21"/>
          <w:szCs w:val="21"/>
          <w:highlight w:val="none"/>
          <w:u w:val="single"/>
          <w:lang w:eastAsia="zh-CN"/>
        </w:rPr>
        <w:t>、《关于进一步加强全市房屋建筑和市政基础设施工程安全文明施工管理的通知》（渝建管〔20</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lang w:eastAsia="zh-CN"/>
        </w:rPr>
        <w:t>〕1</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3号）、《重庆市房屋建筑和市政基础设施工程施工现场文明施工（试行）》（渝建质安〔20</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3号）</w:t>
      </w:r>
      <w:r>
        <w:rPr>
          <w:rFonts w:hint="eastAsia" w:ascii="宋体" w:hAnsi="宋体" w:eastAsia="宋体" w:cs="宋体"/>
          <w:color w:val="auto"/>
          <w:sz w:val="21"/>
          <w:szCs w:val="21"/>
          <w:highlight w:val="none"/>
          <w:u w:val="single"/>
        </w:rPr>
        <w:t>等相关规定履行好施工扬尘控制、文明施工等责任</w:t>
      </w:r>
      <w:r>
        <w:rPr>
          <w:rFonts w:hint="eastAsia" w:ascii="宋体" w:hAnsi="宋体" w:eastAsia="宋体" w:cs="宋体"/>
          <w:color w:val="auto"/>
          <w:sz w:val="21"/>
          <w:szCs w:val="21"/>
          <w:highlight w:val="none"/>
        </w:rPr>
        <w:t>。</w:t>
      </w:r>
    </w:p>
    <w:p w14:paraId="061887FA">
      <w:pPr>
        <w:spacing w:line="360" w:lineRule="auto"/>
        <w:ind w:left="0" w:lef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承包人应按规定设置施工现场围挡，承包人采用的围挡主体形式应从重庆市城乡建委发布的标准图集（DJBT</w:t>
      </w:r>
      <w:r>
        <w:rPr>
          <w:rFonts w:hint="eastAsia" w:ascii="宋体" w:hAnsi="宋体" w:eastAsia="宋体" w:cs="宋体"/>
          <w:color w:val="auto"/>
          <w:sz w:val="21"/>
          <w:szCs w:val="21"/>
          <w:highlight w:val="none"/>
          <w:u w:val="single"/>
          <w:lang w:val="en-US" w:eastAsia="zh-CN"/>
        </w:rPr>
        <w:t>50-133</w:t>
      </w:r>
      <w:r>
        <w:rPr>
          <w:rFonts w:hint="eastAsia" w:ascii="宋体" w:hAnsi="宋体" w:eastAsia="宋体" w:cs="宋体"/>
          <w:color w:val="auto"/>
          <w:sz w:val="21"/>
          <w:szCs w:val="21"/>
          <w:highlight w:val="none"/>
          <w:u w:val="single"/>
        </w:rPr>
        <w:t>）中选用，做好施工围挡，围挡应整齐美观，承包人按相关要求做好日常维护和保洁，围挡高度满足规范要求，相关费用已包含在签约合同价中</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不在单独计取</w:t>
      </w:r>
      <w:r>
        <w:rPr>
          <w:rFonts w:hint="eastAsia" w:ascii="宋体" w:hAnsi="宋体" w:eastAsia="宋体" w:cs="宋体"/>
          <w:color w:val="auto"/>
          <w:sz w:val="21"/>
          <w:szCs w:val="21"/>
          <w:highlight w:val="none"/>
        </w:rPr>
        <w:t>。</w:t>
      </w:r>
    </w:p>
    <w:p w14:paraId="23B9609D">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关于安全文明施工费支付比例和支付期限的约定：按照行业主管部门相关规定</w:t>
      </w:r>
      <w:r>
        <w:rPr>
          <w:rFonts w:hint="eastAsia" w:ascii="宋体" w:hAnsi="宋体" w:eastAsia="宋体" w:cs="宋体"/>
          <w:color w:val="auto"/>
          <w:sz w:val="21"/>
          <w:szCs w:val="21"/>
          <w:highlight w:val="none"/>
          <w:u w:val="single"/>
        </w:rPr>
        <w:t>国务院令第393 号《建设工程安全生产管理条例》和《通用条款》第六条执行，并按《重庆市住房和城乡建设委员会关于修订发布&lt;重庆市建设工程安全文明施工费计取及使用管理规定&gt;的通知》（渝建管〔2024〕38号）文件执行。</w:t>
      </w:r>
    </w:p>
    <w:p w14:paraId="2E805B4F">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安全文明施工费的要求与内容、提取支付方法以及违反约定造成损失的赔偿等条款，按照现行规范要求执行，做到专款专用</w:t>
      </w:r>
      <w:r>
        <w:rPr>
          <w:rFonts w:hint="eastAsia" w:ascii="宋体" w:hAnsi="宋体" w:eastAsia="宋体" w:cs="宋体"/>
          <w:color w:val="auto"/>
          <w:sz w:val="21"/>
          <w:szCs w:val="21"/>
          <w:highlight w:val="none"/>
        </w:rPr>
        <w:t>。</w:t>
      </w:r>
    </w:p>
    <w:p w14:paraId="161CBEB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14" w:name="_Toc532377351"/>
      <w:bookmarkStart w:id="315" w:name="_Toc532375615"/>
      <w:r>
        <w:rPr>
          <w:rFonts w:hint="eastAsia" w:ascii="宋体" w:hAnsi="宋体" w:eastAsia="宋体" w:cs="宋体"/>
          <w:color w:val="auto"/>
          <w:sz w:val="21"/>
          <w:szCs w:val="21"/>
          <w:highlight w:val="none"/>
        </w:rPr>
        <w:t>6.3 环境保护</w:t>
      </w:r>
      <w:bookmarkEnd w:id="314"/>
      <w:bookmarkEnd w:id="315"/>
    </w:p>
    <w:p w14:paraId="0BA53CCE">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本款补充6.3.1～6.3.8项：</w:t>
      </w:r>
    </w:p>
    <w:p w14:paraId="1C9BCA0F">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0F8CF747">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15EBFEF5">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63A38D8B">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6C98C579">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6.3.5 承包人应重视大气污染物污染防治措施。施工期间，严格执行市政府“蓝天行动”方案等有关规定，通过洒水防尘，严格控制施工场地扬尘和运输扬尘污染。</w:t>
      </w:r>
    </w:p>
    <w:p w14:paraId="6913FA74">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14:paraId="388F45E3">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6.3.7 承包人应认真落实噪声污染防治措施。施工期间，优选低噪声设备，合理安排施工时间，严格控制夜间施工，昼、夜施工场界需满足《建筑施工场界环境噪声排放标准》（GB12523-2011）。</w:t>
      </w:r>
    </w:p>
    <w:p w14:paraId="2706C42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6.3.8 承包人自行负责办理有关施工场地交通、环卫和施工噪音管理等手续，并应按要求结合自身实际和重庆市相关规定，考虑不低于以上标准的此类工作。</w:t>
      </w:r>
    </w:p>
    <w:p w14:paraId="4DFDCC2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6.3.9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2E96D3">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316" w:name="_Toc351203639"/>
      <w:bookmarkStart w:id="317" w:name="_Toc532375616"/>
      <w:bookmarkStart w:id="318" w:name="_Toc532377352"/>
      <w:r>
        <w:rPr>
          <w:rFonts w:hint="eastAsia" w:ascii="宋体" w:hAnsi="宋体" w:eastAsia="宋体" w:cs="宋体"/>
          <w:color w:val="auto"/>
          <w:kern w:val="2"/>
          <w:sz w:val="21"/>
          <w:szCs w:val="21"/>
          <w:highlight w:val="none"/>
        </w:rPr>
        <w:t>7. 工期和进度</w:t>
      </w:r>
      <w:bookmarkEnd w:id="316"/>
      <w:bookmarkEnd w:id="317"/>
      <w:bookmarkEnd w:id="318"/>
    </w:p>
    <w:p w14:paraId="6EDFCDBA">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19" w:name="_Toc532375617"/>
      <w:bookmarkStart w:id="320" w:name="_Toc532377353"/>
      <w:r>
        <w:rPr>
          <w:rFonts w:hint="eastAsia" w:ascii="宋体" w:hAnsi="宋体" w:eastAsia="宋体" w:cs="宋体"/>
          <w:color w:val="auto"/>
          <w:sz w:val="21"/>
          <w:szCs w:val="21"/>
          <w:highlight w:val="none"/>
        </w:rPr>
        <w:t>7.1 施工组织设计</w:t>
      </w:r>
      <w:bookmarkEnd w:id="319"/>
      <w:bookmarkEnd w:id="320"/>
    </w:p>
    <w:p w14:paraId="11E4D6BC">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宋体"/>
          <w:color w:val="auto"/>
          <w:sz w:val="21"/>
          <w:szCs w:val="21"/>
          <w:highlight w:val="none"/>
        </w:rPr>
        <w:t>。</w:t>
      </w:r>
    </w:p>
    <w:p w14:paraId="67FA1DB3">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280C8946">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合同签订后</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天内，但最迟不得晚于开工通知载明的开工日期前7天</w:t>
      </w:r>
      <w:r>
        <w:rPr>
          <w:rFonts w:hint="eastAsia" w:ascii="宋体" w:hAnsi="宋体" w:eastAsia="宋体" w:cs="宋体"/>
          <w:color w:val="auto"/>
          <w:sz w:val="21"/>
          <w:szCs w:val="21"/>
          <w:highlight w:val="none"/>
        </w:rPr>
        <w:t>。</w:t>
      </w:r>
    </w:p>
    <w:p w14:paraId="1C501A1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收到施工组织设计后</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highlight w:val="none"/>
        </w:rPr>
        <w:t>。</w:t>
      </w:r>
    </w:p>
    <w:p w14:paraId="32F80681">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21" w:name="_Toc532377354"/>
      <w:bookmarkStart w:id="322" w:name="_Toc532375618"/>
      <w:r>
        <w:rPr>
          <w:rFonts w:hint="eastAsia" w:ascii="宋体" w:hAnsi="宋体" w:eastAsia="宋体" w:cs="宋体"/>
          <w:color w:val="auto"/>
          <w:sz w:val="21"/>
          <w:szCs w:val="21"/>
          <w:highlight w:val="none"/>
        </w:rPr>
        <w:t>7.2 施工进度计划</w:t>
      </w:r>
      <w:bookmarkEnd w:id="321"/>
      <w:bookmarkEnd w:id="322"/>
    </w:p>
    <w:p w14:paraId="156DCF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51AAEA2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收到修订的施工进度计划后</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highlight w:val="none"/>
        </w:rPr>
        <w:t>。</w:t>
      </w:r>
    </w:p>
    <w:p w14:paraId="4F118D8F">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23" w:name="_Toc532377355"/>
      <w:bookmarkStart w:id="324" w:name="_Toc532375619"/>
      <w:bookmarkStart w:id="325" w:name="_Toc312677479"/>
      <w:bookmarkStart w:id="326" w:name="_Toc312678005"/>
      <w:bookmarkStart w:id="327" w:name="_Toc303539123"/>
      <w:bookmarkStart w:id="328" w:name="_Toc297216173"/>
      <w:bookmarkStart w:id="329" w:name="_Toc297123514"/>
      <w:bookmarkStart w:id="330" w:name="_Toc300934966"/>
      <w:bookmarkStart w:id="331" w:name="_Toc304295541"/>
      <w:r>
        <w:rPr>
          <w:rFonts w:hint="eastAsia" w:ascii="宋体" w:hAnsi="宋体" w:eastAsia="宋体" w:cs="宋体"/>
          <w:color w:val="auto"/>
          <w:sz w:val="21"/>
          <w:szCs w:val="21"/>
          <w:highlight w:val="none"/>
        </w:rPr>
        <w:t>7.3 开工</w:t>
      </w:r>
      <w:bookmarkEnd w:id="323"/>
      <w:bookmarkEnd w:id="324"/>
    </w:p>
    <w:p w14:paraId="31C77FD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340764F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不晚于开工前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w:t>
      </w:r>
      <w:r>
        <w:rPr>
          <w:rFonts w:hint="eastAsia" w:ascii="宋体" w:hAnsi="宋体" w:eastAsia="宋体" w:cs="宋体"/>
          <w:color w:val="auto"/>
          <w:sz w:val="21"/>
          <w:szCs w:val="21"/>
          <w:highlight w:val="none"/>
        </w:rPr>
        <w:t>。</w:t>
      </w:r>
    </w:p>
    <w:p w14:paraId="16EE3AA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不晚于开工前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w:t>
      </w:r>
      <w:r>
        <w:rPr>
          <w:rFonts w:hint="eastAsia" w:ascii="宋体" w:hAnsi="宋体" w:eastAsia="宋体" w:cs="宋体"/>
          <w:color w:val="auto"/>
          <w:sz w:val="21"/>
          <w:szCs w:val="21"/>
          <w:highlight w:val="none"/>
        </w:rPr>
        <w:t>。</w:t>
      </w:r>
    </w:p>
    <w:p w14:paraId="1D5E09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不晚于开工前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w:t>
      </w:r>
      <w:r>
        <w:rPr>
          <w:rFonts w:hint="eastAsia" w:ascii="宋体" w:hAnsi="宋体" w:eastAsia="宋体" w:cs="宋体"/>
          <w:color w:val="auto"/>
          <w:sz w:val="21"/>
          <w:szCs w:val="21"/>
          <w:highlight w:val="none"/>
        </w:rPr>
        <w:t>。</w:t>
      </w:r>
    </w:p>
    <w:bookmarkEnd w:id="325"/>
    <w:bookmarkEnd w:id="326"/>
    <w:bookmarkEnd w:id="327"/>
    <w:bookmarkEnd w:id="328"/>
    <w:bookmarkEnd w:id="329"/>
    <w:bookmarkEnd w:id="330"/>
    <w:bookmarkEnd w:id="331"/>
    <w:p w14:paraId="4FD87BB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32" w:name="_Toc532375620"/>
      <w:bookmarkStart w:id="333" w:name="_Toc532377356"/>
      <w:r>
        <w:rPr>
          <w:rFonts w:hint="eastAsia" w:ascii="宋体" w:hAnsi="宋体" w:eastAsia="宋体" w:cs="宋体"/>
          <w:color w:val="auto"/>
          <w:sz w:val="21"/>
          <w:szCs w:val="21"/>
          <w:highlight w:val="none"/>
        </w:rPr>
        <w:t>7.4 测量放线</w:t>
      </w:r>
      <w:bookmarkEnd w:id="332"/>
      <w:bookmarkEnd w:id="333"/>
    </w:p>
    <w:p w14:paraId="1A02D01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 发包人通过监理人向承包人提供测量基准点、基准线和水准点及其书面资料的期限：</w:t>
      </w:r>
      <w:r>
        <w:rPr>
          <w:rFonts w:hint="eastAsia" w:ascii="宋体" w:hAnsi="宋体" w:eastAsia="宋体" w:cs="宋体"/>
          <w:color w:val="auto"/>
          <w:sz w:val="21"/>
          <w:szCs w:val="21"/>
          <w:highlight w:val="none"/>
          <w:u w:val="single"/>
        </w:rPr>
        <w:t>不晚于开工前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w:t>
      </w:r>
      <w:r>
        <w:rPr>
          <w:rFonts w:hint="eastAsia" w:ascii="宋体" w:hAnsi="宋体" w:eastAsia="宋体" w:cs="宋体"/>
          <w:color w:val="auto"/>
          <w:sz w:val="21"/>
          <w:szCs w:val="21"/>
          <w:highlight w:val="none"/>
        </w:rPr>
        <w:t>。</w:t>
      </w:r>
    </w:p>
    <w:p w14:paraId="4CC7CFA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承包人报监理人审批施工控制网资料的期限：</w:t>
      </w:r>
      <w:r>
        <w:rPr>
          <w:rFonts w:hint="eastAsia" w:ascii="宋体" w:hAnsi="宋体" w:eastAsia="宋体" w:cs="宋体"/>
          <w:color w:val="auto"/>
          <w:sz w:val="21"/>
          <w:szCs w:val="21"/>
          <w:highlight w:val="none"/>
          <w:u w:val="single"/>
        </w:rPr>
        <w:t>发出开工通知后</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宋体"/>
          <w:color w:val="auto"/>
          <w:sz w:val="21"/>
          <w:szCs w:val="21"/>
          <w:highlight w:val="none"/>
        </w:rPr>
        <w:t>。</w:t>
      </w:r>
    </w:p>
    <w:p w14:paraId="1B82B32C">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34" w:name="_Toc532375621"/>
      <w:bookmarkStart w:id="335" w:name="_Toc532377357"/>
      <w:r>
        <w:rPr>
          <w:rFonts w:hint="eastAsia" w:ascii="宋体" w:hAnsi="宋体" w:eastAsia="宋体" w:cs="宋体"/>
          <w:color w:val="auto"/>
          <w:sz w:val="21"/>
          <w:szCs w:val="21"/>
          <w:highlight w:val="none"/>
        </w:rPr>
        <w:t>7</w:t>
      </w:r>
      <w:bookmarkStart w:id="336" w:name="_Toc312678010"/>
      <w:bookmarkStart w:id="337" w:name="_Toc297123516"/>
      <w:bookmarkStart w:id="338" w:name="_Toc312677484"/>
      <w:bookmarkStart w:id="339" w:name="_Toc297216175"/>
      <w:bookmarkStart w:id="340" w:name="_Toc304295546"/>
      <w:bookmarkStart w:id="341" w:name="_Toc300934968"/>
      <w:bookmarkStart w:id="342" w:name="_Toc303539125"/>
      <w:r>
        <w:rPr>
          <w:rFonts w:hint="eastAsia" w:ascii="宋体" w:hAnsi="宋体" w:eastAsia="宋体" w:cs="宋体"/>
          <w:color w:val="auto"/>
          <w:sz w:val="21"/>
          <w:szCs w:val="21"/>
          <w:highlight w:val="none"/>
        </w:rPr>
        <w:t>.5 工期延误</w:t>
      </w:r>
      <w:bookmarkEnd w:id="334"/>
      <w:bookmarkEnd w:id="335"/>
    </w:p>
    <w:bookmarkEnd w:id="336"/>
    <w:bookmarkEnd w:id="337"/>
    <w:bookmarkEnd w:id="338"/>
    <w:bookmarkEnd w:id="339"/>
    <w:bookmarkEnd w:id="340"/>
    <w:bookmarkEnd w:id="341"/>
    <w:bookmarkEnd w:id="342"/>
    <w:p w14:paraId="34D6A7AE">
      <w:pPr>
        <w:spacing w:line="360" w:lineRule="auto"/>
        <w:ind w:firstLine="420" w:firstLineChars="200"/>
        <w:jc w:val="left"/>
        <w:rPr>
          <w:rFonts w:hint="eastAsia" w:ascii="宋体" w:hAnsi="宋体" w:eastAsia="宋体" w:cs="宋体"/>
          <w:color w:val="auto"/>
          <w:sz w:val="21"/>
          <w:szCs w:val="21"/>
          <w:highlight w:val="none"/>
        </w:rPr>
      </w:pPr>
      <w:bookmarkStart w:id="343" w:name="_Hlk528927940"/>
      <w:r>
        <w:rPr>
          <w:rFonts w:hint="eastAsia" w:ascii="宋体" w:hAnsi="宋体" w:eastAsia="宋体" w:cs="宋体"/>
          <w:color w:val="auto"/>
          <w:sz w:val="21"/>
          <w:szCs w:val="21"/>
          <w:highlight w:val="none"/>
        </w:rPr>
        <w:t>7.5.1 因发包人原因导致工期延误：</w:t>
      </w:r>
    </w:p>
    <w:p w14:paraId="1C430D5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在合同履行过程中，除通用条款约定外，因下列情况导致工期延误和（或）费用增加的，由发包人承担由此延误的工期和（或）增加的费用：</w:t>
      </w:r>
    </w:p>
    <w:p w14:paraId="7243AF4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（1）发包人未能按合同约定提供施工场地，且该未提供开工条件直接影响项目关键线路的；</w:t>
      </w:r>
    </w:p>
    <w:p w14:paraId="42F5E25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（2）发包人提供的测量基准点、基准线和水准点及其书面资料存在错误或疏漏，且该错误或疏漏直接影响项目关键线路的；</w:t>
      </w:r>
    </w:p>
    <w:p w14:paraId="27B8C3A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（3）监理人未按合同约定发出指示、批准等文件，且该未按合同约定发出指示、批准直接影响项目关键线路的；</w:t>
      </w:r>
    </w:p>
    <w:p w14:paraId="2D3846B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（4）变更未及时审批，直接影响项目关键线路的；</w:t>
      </w:r>
    </w:p>
    <w:p w14:paraId="5A2932E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（5）实施变更直接影响项目关键线路的；</w:t>
      </w:r>
    </w:p>
    <w:p w14:paraId="3E9D6E7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（6）因发包人原因导致工程暂停施工、停建、缓建的；</w:t>
      </w:r>
    </w:p>
    <w:p w14:paraId="7DE7912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（7）因征地拆迁、当地群众阻工等情形的；</w:t>
      </w:r>
    </w:p>
    <w:p w14:paraId="59EA595E">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合同约定的其他情形</w:t>
      </w:r>
      <w:r>
        <w:rPr>
          <w:rFonts w:hint="eastAsia" w:ascii="宋体" w:hAnsi="宋体" w:eastAsia="宋体" w:cs="宋体"/>
          <w:color w:val="auto"/>
          <w:sz w:val="21"/>
          <w:szCs w:val="21"/>
          <w:highlight w:val="none"/>
        </w:rPr>
        <w:t>。</w:t>
      </w:r>
    </w:p>
    <w:p w14:paraId="13591A4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宋体"/>
          <w:color w:val="auto"/>
          <w:sz w:val="21"/>
          <w:szCs w:val="21"/>
          <w:highlight w:val="none"/>
        </w:rPr>
        <w:t>。</w:t>
      </w:r>
    </w:p>
    <w:p w14:paraId="71E2E14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14:paraId="120B1A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因承包人原因造成工期延误，逾期竣工按16.2.2（6）目执行。</w:t>
      </w:r>
    </w:p>
    <w:bookmarkEnd w:id="343"/>
    <w:p w14:paraId="0799A3C0">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44" w:name="_Toc532377358"/>
      <w:bookmarkStart w:id="345" w:name="_Toc532375622"/>
      <w:bookmarkStart w:id="346" w:name="_Hlk528927997"/>
      <w:r>
        <w:rPr>
          <w:rFonts w:hint="eastAsia" w:ascii="宋体" w:hAnsi="宋体" w:eastAsia="宋体" w:cs="宋体"/>
          <w:color w:val="auto"/>
          <w:sz w:val="21"/>
          <w:szCs w:val="21"/>
          <w:highlight w:val="none"/>
        </w:rPr>
        <w:t>7</w:t>
      </w:r>
      <w:bookmarkStart w:id="347" w:name="_Toc312678015"/>
      <w:bookmarkStart w:id="348" w:name="_Toc297216178"/>
      <w:bookmarkStart w:id="349" w:name="_Toc304295549"/>
      <w:bookmarkStart w:id="350" w:name="_Toc303539128"/>
      <w:bookmarkStart w:id="351" w:name="_Toc297123519"/>
      <w:bookmarkStart w:id="352" w:name="_Toc300934971"/>
      <w:r>
        <w:rPr>
          <w:rFonts w:hint="eastAsia" w:ascii="宋体" w:hAnsi="宋体" w:eastAsia="宋体" w:cs="宋体"/>
          <w:color w:val="auto"/>
          <w:sz w:val="21"/>
          <w:szCs w:val="21"/>
          <w:highlight w:val="none"/>
        </w:rPr>
        <w:t>.6 不</w:t>
      </w:r>
      <w:bookmarkEnd w:id="347"/>
      <w:bookmarkEnd w:id="348"/>
      <w:bookmarkEnd w:id="349"/>
      <w:bookmarkEnd w:id="350"/>
      <w:bookmarkEnd w:id="351"/>
      <w:bookmarkEnd w:id="352"/>
      <w:r>
        <w:rPr>
          <w:rFonts w:hint="eastAsia" w:ascii="宋体" w:hAnsi="宋体" w:eastAsia="宋体" w:cs="宋体"/>
          <w:color w:val="auto"/>
          <w:sz w:val="21"/>
          <w:szCs w:val="21"/>
          <w:highlight w:val="none"/>
        </w:rPr>
        <w:t>利物质条件</w:t>
      </w:r>
      <w:bookmarkEnd w:id="344"/>
      <w:bookmarkEnd w:id="345"/>
    </w:p>
    <w:bookmarkEnd w:id="346"/>
    <w:p w14:paraId="456D86F5">
      <w:pPr>
        <w:spacing w:line="360" w:lineRule="auto"/>
        <w:ind w:firstLine="420" w:firstLineChars="200"/>
        <w:jc w:val="left"/>
        <w:rPr>
          <w:rFonts w:hint="eastAsia" w:ascii="宋体" w:hAnsi="宋体" w:eastAsia="宋体" w:cs="宋体"/>
          <w:bCs/>
          <w:color w:val="auto"/>
          <w:sz w:val="21"/>
          <w:szCs w:val="21"/>
          <w:highlight w:val="none"/>
        </w:rPr>
      </w:pPr>
      <w:bookmarkStart w:id="353" w:name="_Toc303539129"/>
      <w:bookmarkStart w:id="354" w:name="_Toc297123520"/>
      <w:bookmarkStart w:id="355" w:name="_Toc300934972"/>
      <w:bookmarkStart w:id="356" w:name="_Toc318581172"/>
      <w:bookmarkStart w:id="357" w:name="_Toc297216179"/>
      <w:bookmarkStart w:id="358" w:name="_Toc304295550"/>
      <w:bookmarkStart w:id="359" w:name="_Toc312678016"/>
      <w:r>
        <w:rPr>
          <w:rFonts w:hint="eastAsia" w:ascii="宋体" w:hAnsi="宋体" w:eastAsia="宋体" w:cs="宋体"/>
          <w:color w:val="auto"/>
          <w:sz w:val="21"/>
          <w:szCs w:val="21"/>
          <w:highlight w:val="none"/>
        </w:rPr>
        <w:t>不利物质条件的其他情形和有关约定：</w:t>
      </w:r>
      <w:bookmarkStart w:id="360" w:name="_Hlk528910274"/>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53"/>
    <w:bookmarkEnd w:id="354"/>
    <w:bookmarkEnd w:id="355"/>
    <w:bookmarkEnd w:id="356"/>
    <w:bookmarkEnd w:id="357"/>
    <w:bookmarkEnd w:id="358"/>
    <w:bookmarkEnd w:id="359"/>
    <w:bookmarkEnd w:id="360"/>
    <w:p w14:paraId="65678704">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61" w:name="_Toc532375623"/>
      <w:bookmarkStart w:id="362" w:name="_Toc532377359"/>
      <w:r>
        <w:rPr>
          <w:rFonts w:hint="eastAsia" w:ascii="宋体" w:hAnsi="宋体" w:eastAsia="宋体" w:cs="宋体"/>
          <w:color w:val="auto"/>
          <w:sz w:val="21"/>
          <w:szCs w:val="21"/>
          <w:highlight w:val="none"/>
        </w:rPr>
        <w:t>7</w:t>
      </w:r>
      <w:bookmarkStart w:id="363" w:name="_Toc312678017"/>
      <w:bookmarkStart w:id="364" w:name="_Toc304295551"/>
      <w:bookmarkStart w:id="365" w:name="_Toc300934973"/>
      <w:bookmarkStart w:id="366" w:name="_Toc297123521"/>
      <w:bookmarkStart w:id="367" w:name="_Toc297216180"/>
      <w:bookmarkStart w:id="368" w:name="_Toc303539130"/>
      <w:r>
        <w:rPr>
          <w:rFonts w:hint="eastAsia" w:ascii="宋体" w:hAnsi="宋体" w:eastAsia="宋体" w:cs="宋体"/>
          <w:color w:val="auto"/>
          <w:sz w:val="21"/>
          <w:szCs w:val="21"/>
          <w:highlight w:val="none"/>
        </w:rPr>
        <w:t>.7异常恶劣的气候条件</w:t>
      </w:r>
      <w:bookmarkEnd w:id="361"/>
      <w:bookmarkEnd w:id="362"/>
    </w:p>
    <w:bookmarkEnd w:id="363"/>
    <w:bookmarkEnd w:id="364"/>
    <w:bookmarkEnd w:id="365"/>
    <w:bookmarkEnd w:id="366"/>
    <w:bookmarkEnd w:id="367"/>
    <w:bookmarkEnd w:id="368"/>
    <w:p w14:paraId="0138D44A">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发包人和承包人同意以下情形视为异常恶劣的气候条件：</w:t>
      </w:r>
      <w:r>
        <w:rPr>
          <w:rFonts w:hint="eastAsia" w:ascii="宋体" w:hAnsi="宋体" w:eastAsia="宋体" w:cs="宋体"/>
          <w:color w:val="auto"/>
          <w:sz w:val="21"/>
          <w:szCs w:val="21"/>
          <w:highlight w:val="none"/>
          <w:u w:val="single"/>
        </w:rPr>
        <w:t xml:space="preserve">    （异常气候是指项目所在地50年以上一遇的罕见气候现象）</w:t>
      </w:r>
      <w:r>
        <w:rPr>
          <w:rFonts w:hint="eastAsia" w:ascii="宋体" w:hAnsi="宋体" w:eastAsia="宋体" w:cs="宋体"/>
          <w:color w:val="auto"/>
          <w:sz w:val="21"/>
          <w:szCs w:val="21"/>
          <w:highlight w:val="none"/>
        </w:rPr>
        <w:t>。</w:t>
      </w:r>
    </w:p>
    <w:p w14:paraId="698857B6">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69" w:name="_Toc532375624"/>
      <w:bookmarkStart w:id="370" w:name="_Toc532377360"/>
      <w:r>
        <w:rPr>
          <w:rFonts w:hint="eastAsia" w:ascii="宋体" w:hAnsi="宋体" w:eastAsia="宋体" w:cs="宋体"/>
          <w:color w:val="auto"/>
          <w:sz w:val="21"/>
          <w:szCs w:val="21"/>
          <w:highlight w:val="none"/>
        </w:rPr>
        <w:t>7.9 提前竣工</w:t>
      </w:r>
      <w:bookmarkEnd w:id="369"/>
      <w:bookmarkEnd w:id="370"/>
    </w:p>
    <w:p w14:paraId="3E8CF0E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7.9.1项细化为：</w:t>
      </w:r>
    </w:p>
    <w:p w14:paraId="207BF83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6A08881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（2）发包人不得随意要求承包人提前竣工，承包人也不得随意提出提前竣工的建议。如遇特殊情况，确需将工期提前的，发包人和承包人必须采取有效措施，确保工程质量。</w:t>
      </w:r>
    </w:p>
    <w:p w14:paraId="2D739ED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478735C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 提前竣工的奖励：</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65DDA2B5">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371" w:name="_Toc351203640"/>
      <w:bookmarkStart w:id="372" w:name="_Toc532377361"/>
      <w:bookmarkStart w:id="373" w:name="_Toc532375625"/>
      <w:r>
        <w:rPr>
          <w:rFonts w:hint="eastAsia" w:ascii="宋体" w:hAnsi="宋体" w:eastAsia="宋体" w:cs="宋体"/>
          <w:color w:val="auto"/>
          <w:kern w:val="2"/>
          <w:sz w:val="21"/>
          <w:szCs w:val="21"/>
          <w:highlight w:val="none"/>
        </w:rPr>
        <w:t>8. 材料与设备</w:t>
      </w:r>
      <w:bookmarkEnd w:id="371"/>
      <w:bookmarkEnd w:id="372"/>
      <w:bookmarkEnd w:id="373"/>
    </w:p>
    <w:p w14:paraId="53997C1C">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74" w:name="_Toc532377362"/>
      <w:bookmarkStart w:id="375" w:name="_Toc532375626"/>
      <w:r>
        <w:rPr>
          <w:rFonts w:hint="eastAsia" w:ascii="宋体" w:hAnsi="宋体" w:eastAsia="宋体" w:cs="宋体"/>
          <w:color w:val="auto"/>
          <w:sz w:val="21"/>
          <w:szCs w:val="21"/>
          <w:highlight w:val="none"/>
        </w:rPr>
        <w:t>8.1发包人供应材料与工程设备</w:t>
      </w:r>
      <w:bookmarkEnd w:id="374"/>
      <w:bookmarkEnd w:id="375"/>
    </w:p>
    <w:p w14:paraId="6F301B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材料的名称、规格、数量和价格：</w:t>
      </w:r>
      <w:r>
        <w:rPr>
          <w:rFonts w:hint="eastAsia" w:ascii="宋体" w:hAnsi="宋体" w:eastAsia="宋体" w:cs="宋体"/>
          <w:color w:val="auto"/>
          <w:sz w:val="21"/>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eastAsia="宋体" w:cs="宋体"/>
          <w:color w:val="auto"/>
          <w:sz w:val="21"/>
          <w:szCs w:val="21"/>
          <w:highlight w:val="none"/>
        </w:rPr>
        <w:t>。</w:t>
      </w:r>
    </w:p>
    <w:p w14:paraId="51CEB9E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宋体"/>
          <w:color w:val="auto"/>
          <w:sz w:val="21"/>
          <w:szCs w:val="21"/>
          <w:highlight w:val="none"/>
        </w:rPr>
        <w:t>。</w:t>
      </w:r>
    </w:p>
    <w:p w14:paraId="73323144">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76" w:name="_Toc351203554"/>
      <w:bookmarkStart w:id="377" w:name="_Toc532377363"/>
      <w:bookmarkStart w:id="378" w:name="_Toc532375627"/>
      <w:r>
        <w:rPr>
          <w:rFonts w:hint="eastAsia" w:ascii="宋体" w:hAnsi="宋体" w:eastAsia="宋体" w:cs="宋体"/>
          <w:color w:val="auto"/>
          <w:sz w:val="21"/>
          <w:szCs w:val="21"/>
          <w:highlight w:val="none"/>
        </w:rPr>
        <w:t>8</w:t>
      </w:r>
      <w:bookmarkStart w:id="379" w:name="_Toc296503060"/>
      <w:bookmarkStart w:id="380" w:name="_Toc337558778"/>
      <w:bookmarkStart w:id="381" w:name="_Toc296346561"/>
      <w:r>
        <w:rPr>
          <w:rFonts w:hint="eastAsia" w:ascii="宋体" w:hAnsi="宋体" w:eastAsia="宋体" w:cs="宋体"/>
          <w:color w:val="auto"/>
          <w:sz w:val="21"/>
          <w:szCs w:val="21"/>
          <w:highlight w:val="none"/>
        </w:rPr>
        <w:t>.2 承包人采购材料与工程设备</w:t>
      </w:r>
      <w:bookmarkEnd w:id="376"/>
      <w:bookmarkEnd w:id="377"/>
      <w:bookmarkEnd w:id="378"/>
    </w:p>
    <w:bookmarkEnd w:id="379"/>
    <w:bookmarkEnd w:id="380"/>
    <w:bookmarkEnd w:id="381"/>
    <w:p w14:paraId="3325848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8.2.1承包人负责采购、运输和保管的材料、工程设备：</w:t>
      </w:r>
      <w:r>
        <w:rPr>
          <w:rFonts w:hint="eastAsia" w:ascii="宋体" w:hAnsi="宋体" w:eastAsia="宋体" w:cs="宋体"/>
          <w:color w:val="auto"/>
          <w:sz w:val="21"/>
          <w:szCs w:val="21"/>
          <w:highlight w:val="none"/>
          <w:u w:val="single"/>
        </w:rPr>
        <w:t>由承包人自行采购。承包人采购材料设备必须经监理人和发包人批准，结算时由监理人和发包人按招标文件规定审核的数量和合同约定价格计算</w:t>
      </w:r>
      <w:r>
        <w:rPr>
          <w:rFonts w:hint="eastAsia" w:ascii="宋体" w:hAnsi="宋体" w:eastAsia="宋体" w:cs="宋体"/>
          <w:color w:val="auto"/>
          <w:sz w:val="21"/>
          <w:szCs w:val="21"/>
          <w:highlight w:val="none"/>
        </w:rPr>
        <w:t>。</w:t>
      </w:r>
    </w:p>
    <w:p w14:paraId="2647923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8.2.2承包人报送监理人审批的时间：</w:t>
      </w:r>
      <w:r>
        <w:rPr>
          <w:rFonts w:hint="eastAsia" w:ascii="宋体" w:hAnsi="宋体" w:eastAsia="宋体" w:cs="宋体"/>
          <w:color w:val="auto"/>
          <w:sz w:val="21"/>
          <w:szCs w:val="21"/>
          <w:highlight w:val="none"/>
          <w:u w:val="single"/>
        </w:rPr>
        <w:t>按发包人及监理单位的相关规定执行</w:t>
      </w:r>
      <w:r>
        <w:rPr>
          <w:rFonts w:hint="eastAsia" w:ascii="宋体" w:hAnsi="宋体" w:eastAsia="宋体" w:cs="宋体"/>
          <w:color w:val="auto"/>
          <w:sz w:val="21"/>
          <w:szCs w:val="21"/>
          <w:highlight w:val="none"/>
        </w:rPr>
        <w:t>。</w:t>
      </w:r>
    </w:p>
    <w:p w14:paraId="4F30F37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8.2.3承包人选择的生产厂家或供应商满足下列条件：</w:t>
      </w:r>
    </w:p>
    <w:p w14:paraId="493AEAD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A.承包人选择的混凝土供应商应满足下列条件：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29F1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B.承包人选择的钢材供应商应满足下列条件：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D642D4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C.承包人选择的水泥供应商应满足下列条件：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9A88E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4AC2519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E.承包人采购的材料在使用前，应按发包人和监理人的要求进行检验或试验，不合格的不得使用。</w:t>
      </w:r>
    </w:p>
    <w:p w14:paraId="3DBE4B8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24C25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382" w:name="_Toc532377364"/>
      <w:bookmarkStart w:id="383" w:name="_Toc532375628"/>
      <w:r>
        <w:rPr>
          <w:rFonts w:hint="eastAsia" w:ascii="宋体" w:hAnsi="宋体" w:eastAsia="宋体" w:cs="宋体"/>
          <w:color w:val="auto"/>
          <w:sz w:val="21"/>
          <w:szCs w:val="21"/>
          <w:highlight w:val="none"/>
        </w:rPr>
        <w:t>8</w:t>
      </w:r>
      <w:bookmarkStart w:id="384" w:name="_Toc296890995"/>
      <w:bookmarkStart w:id="385" w:name="_Toc292559372"/>
      <w:bookmarkStart w:id="386" w:name="_Toc296944506"/>
      <w:bookmarkStart w:id="387" w:name="_Toc304295556"/>
      <w:bookmarkStart w:id="388" w:name="_Toc296891207"/>
      <w:bookmarkStart w:id="389" w:name="_Toc297216186"/>
      <w:bookmarkStart w:id="390" w:name="_Toc296347166"/>
      <w:bookmarkStart w:id="391" w:name="_Toc292559877"/>
      <w:bookmarkStart w:id="392" w:name="_Toc312678019"/>
      <w:bookmarkStart w:id="393" w:name="_Toc312677493"/>
      <w:bookmarkStart w:id="394" w:name="_Toc303539136"/>
      <w:bookmarkStart w:id="395" w:name="_Toc296346668"/>
      <w:bookmarkStart w:id="396" w:name="_Toc297048353"/>
      <w:bookmarkStart w:id="397" w:name="_Toc297120467"/>
      <w:bookmarkStart w:id="398" w:name="_Toc296503167"/>
      <w:bookmarkStart w:id="399" w:name="_Toc280868654"/>
      <w:bookmarkStart w:id="400" w:name="_Toc297123527"/>
      <w:bookmarkStart w:id="401" w:name="_Toc300934979"/>
      <w:bookmarkStart w:id="402" w:name="_Toc280868656"/>
      <w:bookmarkStart w:id="403" w:name="_Toc280868655"/>
      <w:bookmarkStart w:id="404" w:name="_Toc267251424"/>
      <w:r>
        <w:rPr>
          <w:rFonts w:hint="eastAsia" w:ascii="宋体" w:hAnsi="宋体" w:eastAsia="宋体" w:cs="宋体"/>
          <w:color w:val="auto"/>
          <w:sz w:val="21"/>
          <w:szCs w:val="21"/>
          <w:highlight w:val="none"/>
        </w:rPr>
        <w:t>.4 材料与工程设备的保管与使用</w:t>
      </w:r>
      <w:bookmarkEnd w:id="382"/>
      <w:bookmarkEnd w:id="383"/>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14:paraId="76E9561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405" w:name="_Toc292559373"/>
      <w:bookmarkStart w:id="406" w:name="_Toc292559878"/>
      <w:bookmarkStart w:id="407" w:name="_Toc300934980"/>
      <w:bookmarkStart w:id="408" w:name="_Toc296346669"/>
      <w:bookmarkStart w:id="409" w:name="_Toc296503168"/>
      <w:bookmarkStart w:id="410" w:name="_Toc297123528"/>
      <w:bookmarkStart w:id="411" w:name="_Toc296891208"/>
      <w:bookmarkStart w:id="412" w:name="_Toc296944507"/>
      <w:bookmarkStart w:id="413" w:name="_Toc297048354"/>
      <w:bookmarkStart w:id="414" w:name="_Toc297216187"/>
      <w:bookmarkStart w:id="415" w:name="_Toc312678020"/>
      <w:bookmarkStart w:id="416" w:name="_Toc296890996"/>
      <w:bookmarkStart w:id="417" w:name="_Toc318581173"/>
      <w:bookmarkStart w:id="418" w:name="_Toc296347167"/>
      <w:bookmarkStart w:id="419" w:name="_Toc297120468"/>
      <w:bookmarkStart w:id="420" w:name="_Toc312677494"/>
      <w:bookmarkStart w:id="421" w:name="_Toc304295557"/>
      <w:bookmarkStart w:id="422" w:name="_Toc303539137"/>
      <w:r>
        <w:rPr>
          <w:rFonts w:hint="eastAsia" w:ascii="宋体" w:hAnsi="宋体" w:eastAsia="宋体" w:cs="宋体"/>
          <w:color w:val="auto"/>
          <w:sz w:val="21"/>
          <w:szCs w:val="21"/>
          <w:highlight w:val="none"/>
        </w:rPr>
        <w:t>.4.1 发包人供应的材料设备的保管费用的承担：</w:t>
      </w:r>
      <w:bookmarkEnd w:id="405"/>
      <w:bookmarkEnd w:id="406"/>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无 </w:t>
      </w:r>
      <w:r>
        <w:rPr>
          <w:rFonts w:hint="eastAsia" w:ascii="宋体" w:hAnsi="宋体" w:eastAsia="宋体" w:cs="宋体"/>
          <w:color w:val="auto"/>
          <w:sz w:val="21"/>
          <w:szCs w:val="21"/>
          <w:highlight w:val="none"/>
        </w:rPr>
        <w:t>。</w:t>
      </w:r>
    </w:p>
    <w:p w14:paraId="238B1DF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423" w:name="_Toc532377365"/>
      <w:bookmarkStart w:id="424" w:name="_Toc532375629"/>
      <w:r>
        <w:rPr>
          <w:rFonts w:hint="eastAsia" w:ascii="宋体" w:hAnsi="宋体" w:eastAsia="宋体" w:cs="宋体"/>
          <w:color w:val="auto"/>
          <w:sz w:val="21"/>
          <w:szCs w:val="21"/>
          <w:highlight w:val="none"/>
        </w:rPr>
        <w:t>8.6 样品</w:t>
      </w:r>
      <w:bookmarkEnd w:id="423"/>
      <w:bookmarkEnd w:id="424"/>
    </w:p>
    <w:p w14:paraId="0B4BCFEA">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2C38CCF2">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按相关规定执行  </w:t>
      </w:r>
      <w:r>
        <w:rPr>
          <w:rFonts w:hint="eastAsia" w:ascii="宋体" w:hAnsi="宋体" w:eastAsia="宋体" w:cs="宋体"/>
          <w:color w:val="auto"/>
          <w:sz w:val="21"/>
          <w:szCs w:val="21"/>
          <w:highlight w:val="none"/>
        </w:rPr>
        <w:t>。</w:t>
      </w:r>
    </w:p>
    <w:p w14:paraId="69E4D27D">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425" w:name="_Toc532375630"/>
      <w:bookmarkStart w:id="426" w:name="_Toc532377366"/>
      <w:r>
        <w:rPr>
          <w:rFonts w:hint="eastAsia" w:ascii="宋体" w:hAnsi="宋体" w:eastAsia="宋体" w:cs="宋体"/>
          <w:color w:val="auto"/>
          <w:sz w:val="21"/>
          <w:szCs w:val="21"/>
          <w:highlight w:val="none"/>
        </w:rPr>
        <w:t>8.8 施工设备和临时设施</w:t>
      </w:r>
      <w:bookmarkEnd w:id="425"/>
      <w:bookmarkEnd w:id="426"/>
    </w:p>
    <w:p w14:paraId="783BEF2D">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11647FEF">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2E2B0EA2">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427" w:name="_Toc532377367"/>
      <w:bookmarkStart w:id="428" w:name="_Toc351203641"/>
      <w:bookmarkStart w:id="429" w:name="_Toc532375631"/>
      <w:r>
        <w:rPr>
          <w:rFonts w:hint="eastAsia" w:ascii="宋体" w:hAnsi="宋体" w:eastAsia="宋体" w:cs="宋体"/>
          <w:color w:val="auto"/>
          <w:kern w:val="2"/>
          <w:sz w:val="21"/>
          <w:szCs w:val="21"/>
          <w:highlight w:val="none"/>
        </w:rPr>
        <w:t>9</w:t>
      </w:r>
      <w:bookmarkEnd w:id="402"/>
      <w:bookmarkEnd w:id="403"/>
      <w:bookmarkEnd w:id="404"/>
      <w:bookmarkStart w:id="430" w:name="_Toc300934982"/>
      <w:bookmarkStart w:id="431" w:name="_Toc312678021"/>
      <w:bookmarkStart w:id="432" w:name="_Toc297216192"/>
      <w:bookmarkStart w:id="433" w:name="_Toc297123533"/>
      <w:bookmarkStart w:id="434" w:name="_Toc304295559"/>
      <w:bookmarkStart w:id="435" w:name="_Toc312677495"/>
      <w:bookmarkStart w:id="436" w:name="_Toc303539139"/>
      <w:r>
        <w:rPr>
          <w:rFonts w:hint="eastAsia" w:ascii="宋体" w:hAnsi="宋体" w:eastAsia="宋体" w:cs="宋体"/>
          <w:color w:val="auto"/>
          <w:kern w:val="2"/>
          <w:sz w:val="21"/>
          <w:szCs w:val="21"/>
          <w:highlight w:val="none"/>
        </w:rPr>
        <w:t>. 试验与检验</w:t>
      </w:r>
      <w:bookmarkEnd w:id="427"/>
      <w:bookmarkEnd w:id="428"/>
      <w:bookmarkEnd w:id="429"/>
    </w:p>
    <w:bookmarkEnd w:id="430"/>
    <w:bookmarkEnd w:id="431"/>
    <w:bookmarkEnd w:id="432"/>
    <w:bookmarkEnd w:id="433"/>
    <w:bookmarkEnd w:id="434"/>
    <w:bookmarkEnd w:id="435"/>
    <w:bookmarkEnd w:id="436"/>
    <w:p w14:paraId="51C9899B">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437" w:name="_Toc532375632"/>
      <w:bookmarkStart w:id="438" w:name="_Toc532377368"/>
      <w:r>
        <w:rPr>
          <w:rFonts w:hint="eastAsia" w:ascii="宋体" w:hAnsi="宋体" w:eastAsia="宋体" w:cs="宋体"/>
          <w:color w:val="auto"/>
          <w:sz w:val="21"/>
          <w:szCs w:val="21"/>
          <w:highlight w:val="none"/>
        </w:rPr>
        <w:t>9</w:t>
      </w:r>
      <w:bookmarkStart w:id="439" w:name="_Toc300934983"/>
      <w:bookmarkStart w:id="440" w:name="_Toc297123534"/>
      <w:bookmarkStart w:id="441" w:name="_Toc297216193"/>
      <w:bookmarkStart w:id="442" w:name="_Toc312678022"/>
      <w:bookmarkStart w:id="443" w:name="_Toc303539140"/>
      <w:bookmarkStart w:id="444" w:name="_Toc312677496"/>
      <w:bookmarkStart w:id="445" w:name="_Toc304295560"/>
      <w:r>
        <w:rPr>
          <w:rFonts w:hint="eastAsia" w:ascii="宋体" w:hAnsi="宋体" w:eastAsia="宋体" w:cs="宋体"/>
          <w:color w:val="auto"/>
          <w:sz w:val="21"/>
          <w:szCs w:val="21"/>
          <w:highlight w:val="none"/>
        </w:rPr>
        <w:t>.1 试验设备与试验人员</w:t>
      </w:r>
      <w:bookmarkEnd w:id="437"/>
      <w:bookmarkEnd w:id="438"/>
    </w:p>
    <w:bookmarkEnd w:id="439"/>
    <w:bookmarkEnd w:id="440"/>
    <w:bookmarkEnd w:id="441"/>
    <w:bookmarkEnd w:id="442"/>
    <w:bookmarkEnd w:id="443"/>
    <w:bookmarkEnd w:id="444"/>
    <w:bookmarkEnd w:id="445"/>
    <w:p w14:paraId="5DE7524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446" w:name="_Toc303539141"/>
      <w:bookmarkStart w:id="447" w:name="_Toc297216194"/>
      <w:bookmarkStart w:id="448" w:name="_Toc297123535"/>
      <w:bookmarkStart w:id="449" w:name="_Toc304295561"/>
      <w:bookmarkStart w:id="450" w:name="_Toc300934984"/>
      <w:bookmarkStart w:id="451" w:name="_Toc312678023"/>
      <w:bookmarkStart w:id="452" w:name="_Toc312677497"/>
      <w:bookmarkStart w:id="453" w:name="_Toc318581174"/>
      <w:r>
        <w:rPr>
          <w:rFonts w:hint="eastAsia" w:ascii="宋体" w:hAnsi="宋体" w:eastAsia="宋体" w:cs="宋体"/>
          <w:color w:val="auto"/>
          <w:sz w:val="21"/>
          <w:szCs w:val="21"/>
          <w:highlight w:val="none"/>
        </w:rPr>
        <w:t>.1.2 试验设备</w:t>
      </w:r>
    </w:p>
    <w:p w14:paraId="20B004E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446"/>
      <w:bookmarkEnd w:id="447"/>
      <w:bookmarkEnd w:id="448"/>
      <w:bookmarkEnd w:id="449"/>
      <w:bookmarkEnd w:id="450"/>
      <w:bookmarkEnd w:id="451"/>
      <w:bookmarkEnd w:id="452"/>
      <w:bookmarkStart w:id="454" w:name="_Toc303539142"/>
      <w:bookmarkStart w:id="455" w:name="_Toc312677498"/>
      <w:bookmarkStart w:id="456" w:name="_Toc304295562"/>
      <w:bookmarkStart w:id="457" w:name="_Toc300934985"/>
      <w:bookmarkStart w:id="458" w:name="_Toc312678024"/>
      <w:bookmarkStart w:id="459" w:name="_Toc297216195"/>
      <w:bookmarkStart w:id="460" w:name="_Toc297123536"/>
      <w:r>
        <w:rPr>
          <w:rFonts w:hint="eastAsia" w:ascii="宋体" w:hAnsi="宋体" w:eastAsia="宋体" w:cs="宋体"/>
          <w:color w:val="auto"/>
          <w:sz w:val="21"/>
          <w:szCs w:val="21"/>
          <w:highlight w:val="none"/>
          <w:u w:val="single"/>
        </w:rPr>
        <w:t>满足工程施工的需要</w:t>
      </w:r>
      <w:r>
        <w:rPr>
          <w:rFonts w:hint="eastAsia" w:ascii="宋体" w:hAnsi="宋体" w:eastAsia="宋体" w:cs="宋体"/>
          <w:color w:val="auto"/>
          <w:sz w:val="21"/>
          <w:szCs w:val="21"/>
          <w:highlight w:val="none"/>
        </w:rPr>
        <w:t>。</w:t>
      </w:r>
    </w:p>
    <w:p w14:paraId="064EA3E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满足工程施工的需要</w:t>
      </w:r>
      <w:r>
        <w:rPr>
          <w:rFonts w:hint="eastAsia" w:ascii="宋体" w:hAnsi="宋体" w:eastAsia="宋体" w:cs="宋体"/>
          <w:color w:val="auto"/>
          <w:sz w:val="21"/>
          <w:szCs w:val="21"/>
          <w:highlight w:val="none"/>
        </w:rPr>
        <w:t>。</w:t>
      </w:r>
    </w:p>
    <w:p w14:paraId="4AEB1F9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34676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461" w:name="_Toc532375633"/>
      <w:bookmarkStart w:id="462" w:name="_Toc532377369"/>
      <w:r>
        <w:rPr>
          <w:rFonts w:hint="eastAsia" w:ascii="宋体" w:hAnsi="宋体" w:eastAsia="宋体" w:cs="宋体"/>
          <w:color w:val="auto"/>
          <w:sz w:val="21"/>
          <w:szCs w:val="21"/>
          <w:highlight w:val="none"/>
        </w:rPr>
        <w:t>9.4 现场工艺试验</w:t>
      </w:r>
      <w:bookmarkEnd w:id="461"/>
      <w:bookmarkEnd w:id="462"/>
    </w:p>
    <w:p w14:paraId="6284C1F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本款补充9.4.1～9.4.5项：</w:t>
      </w:r>
    </w:p>
    <w:bookmarkEnd w:id="453"/>
    <w:bookmarkEnd w:id="454"/>
    <w:bookmarkEnd w:id="455"/>
    <w:bookmarkEnd w:id="456"/>
    <w:bookmarkEnd w:id="457"/>
    <w:bookmarkEnd w:id="458"/>
    <w:bookmarkEnd w:id="459"/>
    <w:bookmarkEnd w:id="460"/>
    <w:p w14:paraId="4B4C6E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9.4.1一般检验试验：</w:t>
      </w:r>
    </w:p>
    <w:p w14:paraId="0E4CD66C">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0BACF86F">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2E33A07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9.4.2特殊检验试验：</w:t>
      </w:r>
    </w:p>
    <w:p w14:paraId="652135E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0820D38D">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发包人委托的第三方检测试验机构检测试验的试件所需的材料、取样、送检及相关配合工作由承包人负责完成并承担由此产生的所有相关费用。</w:t>
      </w:r>
    </w:p>
    <w:p w14:paraId="2BB5E127">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（2）施工措施的检测、试验：因施工措施需要而做的相关检测、试验由承包人负责实施，其费用由承包人承担。</w:t>
      </w:r>
    </w:p>
    <w:p w14:paraId="62700941">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9.4.3专项检测：</w:t>
      </w:r>
      <w:r>
        <w:rPr>
          <w:rFonts w:hint="eastAsia" w:ascii="宋体" w:hAnsi="宋体" w:eastAsia="宋体" w:cs="宋体"/>
          <w:color w:val="auto"/>
          <w:sz w:val="21"/>
          <w:szCs w:val="21"/>
          <w:highlight w:val="none"/>
          <w:u w:val="single"/>
        </w:rPr>
        <w:t>由发包人委托检测单位实施</w:t>
      </w:r>
      <w:r>
        <w:rPr>
          <w:rFonts w:hint="eastAsia" w:ascii="宋体" w:hAnsi="宋体" w:eastAsia="宋体" w:cs="宋体"/>
          <w:color w:val="auto"/>
          <w:sz w:val="21"/>
          <w:szCs w:val="21"/>
          <w:highlight w:val="none"/>
        </w:rPr>
        <w:t>。</w:t>
      </w:r>
    </w:p>
    <w:p w14:paraId="4A563E6C">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9.4.4若因承包人取样、制样、送检及相关配合不及时而导致工程的工期和费用增加，影响的工期不予延长，增加费用由承包人承担。</w:t>
      </w:r>
    </w:p>
    <w:p w14:paraId="570E627F">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9.4.5检测试验不合格的项目，其缺陷处理和复测费用由承包人承担，工期不予延长。</w:t>
      </w:r>
    </w:p>
    <w:bookmarkEnd w:id="299"/>
    <w:bookmarkEnd w:id="300"/>
    <w:bookmarkEnd w:id="301"/>
    <w:bookmarkEnd w:id="302"/>
    <w:bookmarkEnd w:id="303"/>
    <w:bookmarkEnd w:id="304"/>
    <w:bookmarkEnd w:id="305"/>
    <w:bookmarkEnd w:id="306"/>
    <w:bookmarkEnd w:id="307"/>
    <w:bookmarkEnd w:id="308"/>
    <w:bookmarkEnd w:id="309"/>
    <w:bookmarkEnd w:id="310"/>
    <w:bookmarkEnd w:id="311"/>
    <w:p w14:paraId="1213060F">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463" w:name="_Toc532375634"/>
      <w:bookmarkStart w:id="464" w:name="_Toc532377370"/>
      <w:bookmarkStart w:id="465" w:name="_Toc267251490"/>
      <w:bookmarkStart w:id="466" w:name="_Toc267251486"/>
      <w:bookmarkStart w:id="467" w:name="_Toc267251482"/>
      <w:bookmarkStart w:id="468" w:name="_Toc267251485"/>
      <w:bookmarkStart w:id="469" w:name="_Toc267251489"/>
      <w:bookmarkStart w:id="470" w:name="_Toc267251488"/>
      <w:bookmarkStart w:id="471" w:name="_Toc267251484"/>
      <w:bookmarkStart w:id="472" w:name="_Hlk524298112"/>
      <w:bookmarkStart w:id="473" w:name="_Toc267251514"/>
      <w:bookmarkStart w:id="474" w:name="_Toc267251493"/>
      <w:bookmarkStart w:id="475" w:name="_Toc267251510"/>
      <w:bookmarkStart w:id="476" w:name="_Toc267251513"/>
      <w:bookmarkStart w:id="477" w:name="_Toc267251495"/>
      <w:bookmarkStart w:id="478" w:name="_Toc267251501"/>
      <w:bookmarkStart w:id="479" w:name="_Toc267251491"/>
      <w:bookmarkStart w:id="480" w:name="_Toc267251503"/>
      <w:bookmarkStart w:id="481" w:name="_Toc267251515"/>
      <w:bookmarkStart w:id="482" w:name="_Toc267251511"/>
      <w:bookmarkStart w:id="483" w:name="_Toc267251502"/>
      <w:bookmarkStart w:id="484" w:name="_Toc267251509"/>
      <w:bookmarkStart w:id="485" w:name="_Toc267251506"/>
      <w:bookmarkStart w:id="486" w:name="_Toc267251508"/>
      <w:bookmarkStart w:id="487" w:name="_Toc267251504"/>
      <w:bookmarkStart w:id="488" w:name="_Toc267251507"/>
      <w:bookmarkStart w:id="489" w:name="_Toc267251496"/>
      <w:bookmarkStart w:id="490" w:name="_Toc267251497"/>
      <w:bookmarkStart w:id="491" w:name="_Toc267251494"/>
      <w:bookmarkStart w:id="492" w:name="_Toc267251499"/>
      <w:bookmarkStart w:id="493" w:name="_Toc267251492"/>
      <w:bookmarkStart w:id="494" w:name="_Toc267251498"/>
      <w:r>
        <w:rPr>
          <w:rFonts w:hint="eastAsia" w:ascii="宋体" w:hAnsi="宋体" w:eastAsia="宋体" w:cs="宋体"/>
          <w:color w:val="auto"/>
          <w:kern w:val="2"/>
          <w:sz w:val="21"/>
          <w:szCs w:val="21"/>
          <w:highlight w:val="none"/>
        </w:rPr>
        <w:t>1</w:t>
      </w:r>
      <w:bookmarkStart w:id="495" w:name="_Toc292559398"/>
      <w:bookmarkStart w:id="496" w:name="_Toc296347192"/>
      <w:bookmarkStart w:id="497" w:name="_Toc304295566"/>
      <w:bookmarkStart w:id="498" w:name="_Toc292559903"/>
      <w:bookmarkStart w:id="499" w:name="_Toc297216199"/>
      <w:bookmarkStart w:id="500" w:name="_Toc303539146"/>
      <w:bookmarkStart w:id="501" w:name="_Toc300934989"/>
      <w:bookmarkStart w:id="502" w:name="_Toc296944532"/>
      <w:bookmarkStart w:id="503" w:name="_Toc297123540"/>
      <w:bookmarkStart w:id="504" w:name="_Toc296891233"/>
      <w:bookmarkStart w:id="505" w:name="_Toc297048379"/>
      <w:bookmarkStart w:id="506" w:name="_Toc297120493"/>
      <w:bookmarkStart w:id="507" w:name="_Toc296346694"/>
      <w:bookmarkStart w:id="508" w:name="_Toc296891021"/>
      <w:bookmarkStart w:id="509" w:name="_Toc296503193"/>
      <w:bookmarkStart w:id="510" w:name="_Toc312678025"/>
      <w:bookmarkStart w:id="511" w:name="_Toc312677499"/>
      <w:bookmarkStart w:id="512" w:name="_Toc267251440"/>
      <w:bookmarkStart w:id="513" w:name="_Toc267251433"/>
      <w:bookmarkStart w:id="514" w:name="_Toc267251435"/>
      <w:bookmarkStart w:id="515" w:name="_Toc267251439"/>
      <w:bookmarkStart w:id="516" w:name="_Toc267251441"/>
      <w:bookmarkStart w:id="517" w:name="_Toc267251437"/>
      <w:r>
        <w:rPr>
          <w:rFonts w:hint="eastAsia" w:ascii="宋体" w:hAnsi="宋体" w:eastAsia="宋体" w:cs="宋体"/>
          <w:color w:val="auto"/>
          <w:kern w:val="2"/>
          <w:sz w:val="21"/>
          <w:szCs w:val="21"/>
          <w:highlight w:val="none"/>
        </w:rPr>
        <w:t>0. 变更</w:t>
      </w:r>
      <w:bookmarkEnd w:id="463"/>
      <w:bookmarkEnd w:id="46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bookmarkEnd w:id="510"/>
    <w:bookmarkEnd w:id="511"/>
    <w:p w14:paraId="22F4AE00">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518" w:name="_Toc532375635"/>
      <w:bookmarkStart w:id="519" w:name="_Toc532377371"/>
      <w:r>
        <w:rPr>
          <w:rFonts w:hint="eastAsia" w:ascii="宋体" w:hAnsi="宋体" w:eastAsia="宋体" w:cs="宋体"/>
          <w:color w:val="auto"/>
          <w:sz w:val="21"/>
          <w:szCs w:val="21"/>
          <w:highlight w:val="none"/>
        </w:rPr>
        <w:t>1</w:t>
      </w:r>
      <w:bookmarkStart w:id="520" w:name="_Toc312677500"/>
      <w:bookmarkStart w:id="521" w:name="_Toc312678026"/>
      <w:bookmarkStart w:id="522" w:name="_Toc296503194"/>
      <w:bookmarkStart w:id="523" w:name="_Toc297120494"/>
      <w:bookmarkStart w:id="524" w:name="_Toc297216200"/>
      <w:bookmarkStart w:id="525" w:name="_Toc296891234"/>
      <w:bookmarkStart w:id="526" w:name="_Toc296944533"/>
      <w:bookmarkStart w:id="527" w:name="_Toc292559399"/>
      <w:bookmarkStart w:id="528" w:name="_Toc296347193"/>
      <w:bookmarkStart w:id="529" w:name="_Toc296891022"/>
      <w:bookmarkStart w:id="530" w:name="_Toc297048380"/>
      <w:bookmarkStart w:id="531" w:name="_Toc304295567"/>
      <w:bookmarkStart w:id="532" w:name="_Toc292559904"/>
      <w:bookmarkStart w:id="533" w:name="_Toc296346695"/>
      <w:bookmarkStart w:id="534" w:name="_Toc300934990"/>
      <w:bookmarkStart w:id="535" w:name="_Toc297123541"/>
      <w:bookmarkStart w:id="536" w:name="_Toc303539147"/>
      <w:r>
        <w:rPr>
          <w:rFonts w:hint="eastAsia" w:ascii="宋体" w:hAnsi="宋体" w:eastAsia="宋体" w:cs="宋体"/>
          <w:color w:val="auto"/>
          <w:sz w:val="21"/>
          <w:szCs w:val="21"/>
          <w:highlight w:val="none"/>
        </w:rPr>
        <w:t>0.1变更的范围</w:t>
      </w:r>
      <w:bookmarkEnd w:id="518"/>
      <w:bookmarkEnd w:id="519"/>
    </w:p>
    <w:p w14:paraId="38BDBAE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关于变更范围的约定：</w:t>
      </w:r>
    </w:p>
    <w:p w14:paraId="3ED2E37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（1）增加或减少合同中任何工作，或追加额外的工作；</w:t>
      </w:r>
    </w:p>
    <w:p w14:paraId="6E9348A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（2）取消合同中任何工作；</w:t>
      </w:r>
    </w:p>
    <w:p w14:paraId="2BCCF9C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（3）改变合同中任何工作的质量标准或其他特性；</w:t>
      </w:r>
    </w:p>
    <w:p w14:paraId="2B49A96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（4）改变工程的基线、标高、位置和尺寸；</w:t>
      </w:r>
    </w:p>
    <w:p w14:paraId="3DAE118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（5）适用于工程的标准和（或）规范变化导致需要对工程进行改变，且该改变导致工期和（或）费用变化的；</w:t>
      </w:r>
    </w:p>
    <w:p w14:paraId="67A9A8E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（6）勘察设计变更；</w:t>
      </w:r>
    </w:p>
    <w:p w14:paraId="04FB3EC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（7）实施内容变更，包括因设计变更和非设计变更引起的实施地点、投资规模、结构型式、采购数量、服务内容等进行的调整，以及因此导致的合同价格、工期变更；</w:t>
      </w:r>
    </w:p>
    <w:p w14:paraId="6A6CDED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（8）项目管理人员变更；</w:t>
      </w:r>
    </w:p>
    <w:p w14:paraId="065B6E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（9）因人工、原材料等价格变化导致的合同总价变更；</w:t>
      </w:r>
    </w:p>
    <w:p w14:paraId="22D2793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（10）非实施内容变化导致的工期变更；</w:t>
      </w:r>
    </w:p>
    <w:p w14:paraId="7E299B2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u w:val="single"/>
        </w:rPr>
        <w:t>因承包人自身原因改变合同中任何一项工作的施工时间或改变已批准的施工工艺或顺序不属于变更范围。所有工程变更经发包人审批同意后才能实施，否则由此造成的各种费用增加及损失由承包人承担</w:t>
      </w:r>
      <w:r>
        <w:rPr>
          <w:rFonts w:hint="eastAsia" w:ascii="宋体" w:hAnsi="宋体" w:eastAsia="宋体" w:cs="宋体"/>
          <w:color w:val="auto"/>
          <w:sz w:val="21"/>
          <w:szCs w:val="21"/>
          <w:highlight w:val="none"/>
        </w:rPr>
        <w:t>。</w:t>
      </w:r>
    </w:p>
    <w:p w14:paraId="007846F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3E800377">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承包人对其提供的材料、工程设备、施工、无负荷试车、热负荷试车及图纸参数存在的缺陷，自费修正、调整和完善，不属于变更。</w:t>
      </w:r>
    </w:p>
    <w:p w14:paraId="49107319">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537" w:name="_Toc351203569"/>
      <w:bookmarkStart w:id="538" w:name="_Toc532375636"/>
      <w:bookmarkStart w:id="539" w:name="_Toc532377372"/>
      <w:r>
        <w:rPr>
          <w:rFonts w:hint="eastAsia" w:ascii="宋体" w:hAnsi="宋体" w:eastAsia="宋体" w:cs="宋体"/>
          <w:color w:val="auto"/>
          <w:sz w:val="21"/>
          <w:szCs w:val="21"/>
          <w:highlight w:val="none"/>
        </w:rPr>
        <w:t>1</w:t>
      </w:r>
      <w:bookmarkStart w:id="540" w:name="_Toc337558789"/>
      <w:bookmarkStart w:id="541" w:name="_Toc296346586"/>
      <w:bookmarkStart w:id="542" w:name="_Toc296503085"/>
      <w:r>
        <w:rPr>
          <w:rFonts w:hint="eastAsia" w:ascii="宋体" w:hAnsi="宋体" w:eastAsia="宋体" w:cs="宋体"/>
          <w:color w:val="auto"/>
          <w:sz w:val="21"/>
          <w:szCs w:val="21"/>
          <w:highlight w:val="none"/>
        </w:rPr>
        <w:t>0.2变更权</w:t>
      </w:r>
      <w:bookmarkEnd w:id="537"/>
      <w:bookmarkEnd w:id="538"/>
      <w:bookmarkEnd w:id="539"/>
    </w:p>
    <w:bookmarkEnd w:id="540"/>
    <w:bookmarkEnd w:id="541"/>
    <w:bookmarkEnd w:id="542"/>
    <w:p w14:paraId="3C87BB1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10.2.1发包人和监理人提出变更</w:t>
      </w:r>
    </w:p>
    <w:p w14:paraId="1296516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2B0F117A">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C27C8B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若出现重大设计变更，变更后的内容超出承包人资质或能力范围的，发包人将另行依法招标选择承包单位，无需征得承包人同意。</w:t>
      </w:r>
    </w:p>
    <w:p w14:paraId="47B4586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 承包人提出变更建议</w:t>
      </w:r>
    </w:p>
    <w:p w14:paraId="0F03258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auto"/>
          <w:sz w:val="21"/>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宋体"/>
          <w:color w:val="auto"/>
          <w:sz w:val="21"/>
          <w:szCs w:val="21"/>
          <w:highlight w:val="none"/>
        </w:rPr>
        <w:t>。</w:t>
      </w:r>
    </w:p>
    <w:p w14:paraId="7226DCB4">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如果发包人对承包人已实施的施工项目在发出重大设计变更之前要求承包人提出一份建议，那么，承包人应尽快提出：</w:t>
      </w:r>
    </w:p>
    <w:p w14:paraId="67DDBED9">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（1）对所提方案和（或）待做工作及其实施计划的说明</w:t>
      </w:r>
      <w:r>
        <w:rPr>
          <w:rFonts w:hint="eastAsia" w:ascii="宋体" w:hAnsi="宋体" w:eastAsia="宋体" w:cs="宋体"/>
          <w:color w:val="auto"/>
          <w:sz w:val="21"/>
          <w:szCs w:val="21"/>
          <w:highlight w:val="none"/>
        </w:rPr>
        <w:t>；</w:t>
      </w:r>
    </w:p>
    <w:p w14:paraId="6837D201">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（2）承包人按照对工程进度计划进行必要修改的建议</w:t>
      </w:r>
      <w:r>
        <w:rPr>
          <w:rFonts w:hint="eastAsia" w:ascii="宋体" w:hAnsi="宋体" w:eastAsia="宋体" w:cs="宋体"/>
          <w:color w:val="auto"/>
          <w:sz w:val="21"/>
          <w:szCs w:val="21"/>
          <w:highlight w:val="none"/>
        </w:rPr>
        <w:t>；</w:t>
      </w:r>
    </w:p>
    <w:p w14:paraId="64DBFAE1">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（3）承包人发生较大返工损失增加费用的建议</w:t>
      </w:r>
      <w:r>
        <w:rPr>
          <w:rFonts w:hint="eastAsia" w:ascii="宋体" w:hAnsi="宋体" w:eastAsia="宋体" w:cs="宋体"/>
          <w:color w:val="auto"/>
          <w:sz w:val="21"/>
          <w:szCs w:val="21"/>
          <w:highlight w:val="none"/>
        </w:rPr>
        <w:t>。</w:t>
      </w:r>
    </w:p>
    <w:p w14:paraId="159BD671">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发包人在收到上述建议书后，应尽快给予批准、否决或提出意见</w:t>
      </w:r>
      <w:r>
        <w:rPr>
          <w:rFonts w:hint="eastAsia" w:ascii="宋体" w:hAnsi="宋体" w:eastAsia="宋体" w:cs="宋体"/>
          <w:color w:val="auto"/>
          <w:sz w:val="21"/>
          <w:szCs w:val="21"/>
          <w:highlight w:val="none"/>
        </w:rPr>
        <w:t>。</w:t>
      </w:r>
    </w:p>
    <w:p w14:paraId="1D35646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543" w:name="_Toc532375637"/>
      <w:bookmarkStart w:id="544" w:name="_Toc532377373"/>
      <w:bookmarkStart w:id="545" w:name="_Hlk528928195"/>
      <w:bookmarkStart w:id="546" w:name="_Toc351203570"/>
      <w:r>
        <w:rPr>
          <w:rFonts w:hint="eastAsia" w:ascii="宋体" w:hAnsi="宋体" w:eastAsia="宋体" w:cs="宋体"/>
          <w:color w:val="auto"/>
          <w:sz w:val="21"/>
          <w:szCs w:val="21"/>
          <w:highlight w:val="none"/>
        </w:rPr>
        <w:t>1</w:t>
      </w:r>
      <w:bookmarkStart w:id="547" w:name="_Toc296503086"/>
      <w:bookmarkStart w:id="548" w:name="_Toc337558790"/>
      <w:bookmarkStart w:id="549" w:name="_Toc296346587"/>
      <w:r>
        <w:rPr>
          <w:rFonts w:hint="eastAsia" w:ascii="宋体" w:hAnsi="宋体" w:eastAsia="宋体" w:cs="宋体"/>
          <w:color w:val="auto"/>
          <w:sz w:val="21"/>
          <w:szCs w:val="21"/>
          <w:highlight w:val="none"/>
        </w:rPr>
        <w:t>0.3变更程序</w:t>
      </w:r>
      <w:bookmarkEnd w:id="543"/>
      <w:bookmarkEnd w:id="544"/>
    </w:p>
    <w:bookmarkEnd w:id="547"/>
    <w:bookmarkEnd w:id="548"/>
    <w:bookmarkEnd w:id="549"/>
    <w:p w14:paraId="587FC701">
      <w:pPr>
        <w:autoSpaceDE w:val="0"/>
        <w:autoSpaceDN w:val="0"/>
        <w:spacing w:line="360" w:lineRule="auto"/>
        <w:ind w:firstLine="420" w:firstLineChars="200"/>
        <w:jc w:val="left"/>
        <w:rPr>
          <w:rFonts w:hint="eastAsia" w:ascii="宋体" w:hAnsi="宋体" w:eastAsia="宋体" w:cs="宋体"/>
          <w:color w:val="auto"/>
          <w:sz w:val="21"/>
          <w:szCs w:val="21"/>
          <w:highlight w:val="none"/>
        </w:rPr>
      </w:pPr>
      <w:bookmarkStart w:id="550" w:name="_Hlk524353972"/>
      <w:r>
        <w:rPr>
          <w:rFonts w:hint="eastAsia" w:ascii="宋体" w:hAnsi="宋体" w:eastAsia="宋体" w:cs="宋体"/>
          <w:color w:val="auto"/>
          <w:sz w:val="21"/>
          <w:szCs w:val="21"/>
          <w:highlight w:val="none"/>
        </w:rPr>
        <w:t>10.3.3 变更执行</w:t>
      </w:r>
    </w:p>
    <w:p w14:paraId="4FFB21CD">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6D664DF7">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重大设计变更：需经设计人、监理人和发包人三方签名认可并报相关行业部门审查同意后实施。</w:t>
      </w:r>
    </w:p>
    <w:p w14:paraId="4B5AB424">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10.3.3 项增加以下内容：</w:t>
      </w:r>
    </w:p>
    <w:p w14:paraId="291CB290">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5369CF1">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项目的勘察设计、实施内容等作较大变更的，应当按照规定的程序报原审批部门审批；变更导致总投资超概的，应当报原投资概算核定部门核定。</w:t>
      </w:r>
    </w:p>
    <w:p w14:paraId="1D5E868A">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0BECB18B">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因人工、原材料市场价格发生大幅度变化导致的合同总价变更，由发包人与承包人按照合同进行变更，并将变更信息推送给行业主管部门。</w:t>
      </w:r>
    </w:p>
    <w:p w14:paraId="172A80E3">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290CF599">
      <w:pPr>
        <w:autoSpaceDE w:val="0"/>
        <w:autoSpaceDN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项目合同变更后，增加的实施内容达到依法必须招标的规模标准的，增加的部分应当依法通过招标选择承包单位。</w:t>
      </w:r>
    </w:p>
    <w:bookmarkEnd w:id="545"/>
    <w:bookmarkEnd w:id="546"/>
    <w:bookmarkEnd w:id="550"/>
    <w:p w14:paraId="022C5131">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551" w:name="_Toc532377374"/>
      <w:bookmarkStart w:id="552" w:name="_Toc532375638"/>
      <w:r>
        <w:rPr>
          <w:rFonts w:hint="eastAsia" w:ascii="宋体" w:hAnsi="宋体" w:eastAsia="宋体" w:cs="宋体"/>
          <w:color w:val="auto"/>
          <w:sz w:val="21"/>
          <w:szCs w:val="21"/>
          <w:highlight w:val="none"/>
        </w:rPr>
        <w:t>10.4 变更估价</w:t>
      </w:r>
      <w:bookmarkEnd w:id="551"/>
      <w:bookmarkEnd w:id="552"/>
    </w:p>
    <w:p w14:paraId="0BEBC7EA">
      <w:pPr>
        <w:spacing w:line="360" w:lineRule="auto"/>
        <w:ind w:firstLine="420" w:firstLineChars="200"/>
        <w:jc w:val="left"/>
        <w:rPr>
          <w:rFonts w:hint="eastAsia" w:ascii="宋体" w:hAnsi="宋体" w:eastAsia="宋体" w:cs="宋体"/>
          <w:color w:val="auto"/>
          <w:sz w:val="21"/>
          <w:szCs w:val="21"/>
          <w:highlight w:val="none"/>
        </w:rPr>
      </w:pPr>
      <w:bookmarkStart w:id="553" w:name="_Hlk524296629"/>
      <w:r>
        <w:rPr>
          <w:rFonts w:hint="eastAsia" w:ascii="宋体" w:hAnsi="宋体" w:eastAsia="宋体" w:cs="宋体"/>
          <w:color w:val="auto"/>
          <w:sz w:val="21"/>
          <w:szCs w:val="21"/>
          <w:highlight w:val="none"/>
        </w:rPr>
        <w:t>10.4.1 变更估价原则</w:t>
      </w:r>
    </w:p>
    <w:p w14:paraId="0BF30C68">
      <w:pPr>
        <w:pStyle w:val="2"/>
        <w:spacing w:after="0" w:line="360" w:lineRule="auto"/>
        <w:ind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当发生工程变更时，工程量按《建设工程工程量清单计价规范》（GB50500-2013）、《重庆市建设工程工程量清单计价规则》(CQJJGZ-2013)及现行的国家、重庆市、行业主管部门颁发的有关清单计算规则规定的计算规则及已标价工程量清单规定的工程量计算规则计量，按以下办法计价：</w:t>
      </w:r>
      <w:bookmarkStart w:id="554" w:name="_Hlk524770102"/>
    </w:p>
    <w:bookmarkEnd w:id="554"/>
    <w:p w14:paraId="2441723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10.4.1.1已标价工程量清单中有相同项目的，按照相同项目单价计算；</w:t>
      </w:r>
    </w:p>
    <w:p w14:paraId="56F25B1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10.4.1.2已标价工程量清单中有类似项目的，参考类似项目单价计算；</w:t>
      </w:r>
    </w:p>
    <w:p w14:paraId="4FA6B55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10.4.1.3已标价工程量清单中无相同项目亦无类似项目的，按照以下原则执行：</w:t>
      </w:r>
    </w:p>
    <w:p w14:paraId="553D171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eastAsia="宋体" w:cs="宋体"/>
          <w:color w:val="auto"/>
          <w:sz w:val="21"/>
          <w:szCs w:val="21"/>
          <w:highlight w:val="none"/>
        </w:rPr>
        <w:t>。</w:t>
      </w:r>
    </w:p>
    <w:p w14:paraId="393B0E5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承包人报价浮动率按下列公式计算：承包人报价浮动率=（1-中标价/最高限价）×100%。</w:t>
      </w:r>
    </w:p>
    <w:p w14:paraId="16046A6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（1）人工单价：按</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《重庆工程造价信息》发布的项目所在地的人工单价执行。</w:t>
      </w:r>
    </w:p>
    <w:p w14:paraId="5D5BAA1B">
      <w:pPr>
        <w:spacing w:line="360" w:lineRule="auto"/>
        <w:ind w:firstLine="420" w:firstLineChars="200"/>
        <w:jc w:val="left"/>
        <w:rPr>
          <w:rFonts w:hint="eastAsia" w:ascii="宋体" w:hAnsi="宋体" w:eastAsia="宋体" w:cs="宋体"/>
          <w:color w:val="auto"/>
          <w:sz w:val="21"/>
          <w:szCs w:val="21"/>
          <w:highlight w:val="none"/>
        </w:rPr>
      </w:pPr>
      <w:bookmarkStart w:id="555" w:name="_Hlk529023896"/>
      <w:r>
        <w:rPr>
          <w:rFonts w:hint="eastAsia" w:ascii="宋体" w:hAnsi="宋体" w:eastAsia="宋体" w:cs="宋体"/>
          <w:color w:val="auto"/>
          <w:sz w:val="21"/>
          <w:szCs w:val="21"/>
          <w:highlight w:val="none"/>
        </w:rPr>
        <w:t>（2）材料单价：</w:t>
      </w:r>
    </w:p>
    <w:p w14:paraId="6FA71FF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①按</w:t>
      </w:r>
      <w:bookmarkStart w:id="556" w:name="_Hlk529023354"/>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《重庆工程造价信息》发布的项目所在地的信息价</w:t>
      </w:r>
      <w:bookmarkEnd w:id="556"/>
      <w:r>
        <w:rPr>
          <w:rFonts w:hint="eastAsia" w:ascii="宋体" w:hAnsi="宋体" w:eastAsia="宋体" w:cs="宋体"/>
          <w:color w:val="auto"/>
          <w:sz w:val="21"/>
          <w:szCs w:val="21"/>
          <w:highlight w:val="none"/>
        </w:rPr>
        <w:t>执行；</w:t>
      </w:r>
    </w:p>
    <w:p w14:paraId="29C5638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《重庆工程造价信息》中没有的，承包人投标报价中有的，按承包人投标报价中相同材料单价的最低值执行；</w:t>
      </w:r>
    </w:p>
    <w:p w14:paraId="01F996C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《重庆工程造价信息》和承包人投标报价没有的，由承包人申报、监理人会同跟审单位、发包人根据市场行情认质核价确定。</w:t>
      </w:r>
    </w:p>
    <w:bookmarkEnd w:id="555"/>
    <w:p w14:paraId="1071F95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050C18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（4）规费：按《重庆市建设工程费用定额》（CQFYDE-2018）费用标准进行计算。</w:t>
      </w:r>
    </w:p>
    <w:p w14:paraId="01D0366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（5）税金：包含增值税、城市维护建设税、教育费附加、地方教育附加以及环境保护税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其中增值税按《重庆市建设工程费用定额》（CQFYDE-2018）规定及配套文件执行。</w:t>
      </w:r>
    </w:p>
    <w:p w14:paraId="09E833B9">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70B418C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本款补充10.4.3项：</w:t>
      </w:r>
    </w:p>
    <w:p w14:paraId="4C63ECE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01E5FCD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安全文明施工费应按照重庆城乡建设委员会关于印发《重庆市建设工程安全文明施工费计取及使用管理规定&gt;的通知》（渝建发〔2024〕38 号）执行</w:t>
      </w:r>
      <w:r>
        <w:rPr>
          <w:rFonts w:hint="eastAsia" w:ascii="宋体" w:hAnsi="宋体" w:eastAsia="宋体" w:cs="宋体"/>
          <w:color w:val="auto"/>
          <w:sz w:val="21"/>
          <w:szCs w:val="21"/>
          <w:highlight w:val="none"/>
        </w:rPr>
        <w:t>；</w:t>
      </w:r>
    </w:p>
    <w:p w14:paraId="5803203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按照单价计算的措施项目费，应按照实际发生变化的措施项目，按照第10.4.1项〔变更估价原则〕约定执行</w:t>
      </w:r>
      <w:r>
        <w:rPr>
          <w:rFonts w:hint="eastAsia" w:ascii="宋体" w:hAnsi="宋体" w:eastAsia="宋体" w:cs="宋体"/>
          <w:color w:val="auto"/>
          <w:sz w:val="21"/>
          <w:szCs w:val="21"/>
          <w:highlight w:val="none"/>
        </w:rPr>
        <w:t>；</w:t>
      </w:r>
    </w:p>
    <w:p w14:paraId="47FFDD3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按总价（或系数）计算的措施项目费，应按照实际发生变化的措施项目费按承包人报价浮动率下浮后的金额计算</w:t>
      </w:r>
      <w:r>
        <w:rPr>
          <w:rFonts w:hint="eastAsia" w:ascii="宋体" w:hAnsi="宋体" w:eastAsia="宋体" w:cs="宋体"/>
          <w:color w:val="auto"/>
          <w:sz w:val="21"/>
          <w:szCs w:val="21"/>
          <w:highlight w:val="none"/>
        </w:rPr>
        <w:t>；</w:t>
      </w:r>
    </w:p>
    <w:p w14:paraId="6D6960AE">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eastAsia="宋体" w:cs="宋体"/>
          <w:color w:val="auto"/>
          <w:sz w:val="21"/>
          <w:szCs w:val="21"/>
          <w:highlight w:val="none"/>
        </w:rPr>
        <w:t>。</w:t>
      </w:r>
    </w:p>
    <w:bookmarkEnd w:id="553"/>
    <w:p w14:paraId="5304CCE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557" w:name="_Toc532375639"/>
      <w:bookmarkStart w:id="558" w:name="_Toc532377375"/>
      <w:r>
        <w:rPr>
          <w:rFonts w:hint="eastAsia" w:ascii="宋体" w:hAnsi="宋体" w:eastAsia="宋体" w:cs="宋体"/>
          <w:color w:val="auto"/>
          <w:sz w:val="21"/>
          <w:szCs w:val="21"/>
          <w:highlight w:val="none"/>
        </w:rPr>
        <w:t>1</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59" w:name="_Toc297216203"/>
      <w:bookmarkStart w:id="560" w:name="_Toc296944536"/>
      <w:bookmarkStart w:id="561" w:name="_Toc296891237"/>
      <w:bookmarkStart w:id="562" w:name="_Toc296346698"/>
      <w:bookmarkStart w:id="563" w:name="_Toc292559907"/>
      <w:bookmarkStart w:id="564" w:name="_Toc300934993"/>
      <w:bookmarkStart w:id="565" w:name="_Toc297123544"/>
      <w:bookmarkStart w:id="566" w:name="_Toc297120497"/>
      <w:bookmarkStart w:id="567" w:name="_Toc297048383"/>
      <w:bookmarkStart w:id="568" w:name="_Toc296891025"/>
      <w:bookmarkStart w:id="569" w:name="_Toc296503197"/>
      <w:bookmarkStart w:id="570" w:name="_Toc292559402"/>
      <w:bookmarkStart w:id="571" w:name="_Toc303539150"/>
      <w:bookmarkStart w:id="572" w:name="_Toc296347196"/>
      <w:bookmarkStart w:id="573" w:name="_Toc312678029"/>
      <w:bookmarkStart w:id="574" w:name="_Toc312677503"/>
      <w:bookmarkStart w:id="575" w:name="_Toc304295570"/>
      <w:r>
        <w:rPr>
          <w:rFonts w:hint="eastAsia" w:ascii="宋体" w:hAnsi="宋体" w:eastAsia="宋体" w:cs="宋体"/>
          <w:color w:val="auto"/>
          <w:sz w:val="21"/>
          <w:szCs w:val="21"/>
          <w:highlight w:val="none"/>
        </w:rPr>
        <w:t>0.5承</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Start w:id="576" w:name="_Toc292559913"/>
      <w:bookmarkStart w:id="577" w:name="_Toc303539151"/>
      <w:bookmarkStart w:id="578" w:name="_Toc297216204"/>
      <w:bookmarkStart w:id="579" w:name="_Toc300934994"/>
      <w:bookmarkStart w:id="580" w:name="_Toc296891031"/>
      <w:bookmarkStart w:id="581" w:name="_Toc297120503"/>
      <w:bookmarkStart w:id="582" w:name="_Toc296347202"/>
      <w:bookmarkStart w:id="583" w:name="_Toc296503203"/>
      <w:bookmarkStart w:id="584" w:name="_Toc296891243"/>
      <w:bookmarkStart w:id="585" w:name="_Toc292559408"/>
      <w:bookmarkStart w:id="586" w:name="_Toc297048389"/>
      <w:bookmarkStart w:id="587" w:name="_Toc296346704"/>
      <w:bookmarkStart w:id="588" w:name="_Toc297123545"/>
      <w:bookmarkStart w:id="589" w:name="_Toc296944542"/>
      <w:r>
        <w:rPr>
          <w:rFonts w:hint="eastAsia" w:ascii="宋体" w:hAnsi="宋体" w:eastAsia="宋体" w:cs="宋体"/>
          <w:color w:val="auto"/>
          <w:sz w:val="21"/>
          <w:szCs w:val="21"/>
          <w:highlight w:val="none"/>
        </w:rPr>
        <w:t>包人的合理化建议</w:t>
      </w:r>
      <w:bookmarkEnd w:id="557"/>
      <w:bookmarkEnd w:id="558"/>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14:paraId="7CD5A41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承包人提出合理化建议的，应向监理人提交合理化建议说明，说明建议的内容和理由，以及实施该建议对合同价格和（或）工期和（或）工程经济效益的影响。</w:t>
      </w:r>
    </w:p>
    <w:p w14:paraId="6F01A09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不超过14天</w:t>
      </w:r>
      <w:r>
        <w:rPr>
          <w:rFonts w:hint="eastAsia" w:ascii="宋体" w:hAnsi="宋体" w:eastAsia="宋体" w:cs="宋体"/>
          <w:color w:val="auto"/>
          <w:sz w:val="21"/>
          <w:szCs w:val="21"/>
          <w:highlight w:val="none"/>
        </w:rPr>
        <w:t>。</w:t>
      </w:r>
    </w:p>
    <w:p w14:paraId="0581D26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不超过14天</w:t>
      </w:r>
      <w:r>
        <w:rPr>
          <w:rFonts w:hint="eastAsia" w:ascii="宋体" w:hAnsi="宋体" w:eastAsia="宋体" w:cs="宋体"/>
          <w:color w:val="auto"/>
          <w:sz w:val="21"/>
          <w:szCs w:val="21"/>
          <w:highlight w:val="none"/>
        </w:rPr>
        <w:t>。</w:t>
      </w:r>
    </w:p>
    <w:p w14:paraId="71742BD7">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590" w:name="_Toc297123546"/>
      <w:bookmarkStart w:id="591" w:name="_Toc304295571"/>
      <w:bookmarkStart w:id="592" w:name="_Toc312677504"/>
      <w:bookmarkStart w:id="593" w:name="_Toc303539152"/>
      <w:bookmarkStart w:id="594" w:name="_Toc296503204"/>
      <w:bookmarkStart w:id="595" w:name="_Toc297120504"/>
      <w:bookmarkStart w:id="596" w:name="_Toc318581175"/>
      <w:bookmarkStart w:id="597" w:name="_Toc296891032"/>
      <w:bookmarkStart w:id="598" w:name="_Toc297048390"/>
      <w:bookmarkStart w:id="599" w:name="_Toc292559409"/>
      <w:bookmarkStart w:id="600" w:name="_Toc296346705"/>
      <w:bookmarkStart w:id="601" w:name="_Toc312678030"/>
      <w:bookmarkStart w:id="602" w:name="_Toc300934995"/>
      <w:bookmarkStart w:id="603" w:name="_Toc296891244"/>
      <w:bookmarkStart w:id="604" w:name="_Toc292559914"/>
      <w:bookmarkStart w:id="605" w:name="_Toc297216205"/>
      <w:bookmarkStart w:id="606" w:name="_Toc296347203"/>
      <w:bookmarkStart w:id="607" w:name="_Toc296944543"/>
      <w:r>
        <w:rPr>
          <w:rFonts w:hint="eastAsia" w:ascii="宋体" w:hAnsi="宋体" w:eastAsia="宋体" w:cs="宋体"/>
          <w:color w:val="auto"/>
          <w:sz w:val="21"/>
          <w:szCs w:val="21"/>
          <w:highlight w:val="none"/>
        </w:rPr>
        <w:t>包人提出的合理化建议降低了合同价格或缩短了工期或者提高了工程经济效益的奖励的方法和金额为：</w:t>
      </w:r>
      <w:r>
        <w:rPr>
          <w:rFonts w:hint="eastAsia" w:ascii="宋体" w:hAnsi="宋体" w:eastAsia="宋体" w:cs="宋体"/>
          <w:color w:val="auto"/>
          <w:sz w:val="21"/>
          <w:szCs w:val="21"/>
          <w:highlight w:val="none"/>
          <w:u w:val="single"/>
        </w:rPr>
        <w:t>合理化建议带来经济效益的5～10 %</w:t>
      </w:r>
      <w:r>
        <w:rPr>
          <w:rFonts w:hint="eastAsia" w:ascii="宋体" w:hAnsi="宋体" w:eastAsia="宋体" w:cs="宋体"/>
          <w:color w:val="auto"/>
          <w:sz w:val="21"/>
          <w:szCs w:val="21"/>
          <w:highlight w:val="none"/>
        </w:rPr>
        <w:t>。</w:t>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2A995A0F">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608" w:name="_Toc532375640"/>
      <w:bookmarkStart w:id="609" w:name="_Toc532377376"/>
      <w:r>
        <w:rPr>
          <w:rFonts w:hint="eastAsia" w:ascii="宋体" w:hAnsi="宋体" w:eastAsia="宋体" w:cs="宋体"/>
          <w:color w:val="auto"/>
          <w:sz w:val="21"/>
          <w:szCs w:val="21"/>
          <w:highlight w:val="none"/>
        </w:rPr>
        <w:t>1</w:t>
      </w:r>
      <w:bookmarkStart w:id="610" w:name="_Toc297123548"/>
      <w:bookmarkStart w:id="611" w:name="_Toc296944538"/>
      <w:bookmarkStart w:id="612" w:name="_Toc292559909"/>
      <w:bookmarkStart w:id="613" w:name="_Toc297120499"/>
      <w:bookmarkStart w:id="614" w:name="_Toc312678033"/>
      <w:bookmarkStart w:id="615" w:name="_Toc296346700"/>
      <w:bookmarkStart w:id="616" w:name="_Toc296891239"/>
      <w:bookmarkStart w:id="617" w:name="_Toc300934997"/>
      <w:bookmarkStart w:id="618" w:name="_Toc292559404"/>
      <w:bookmarkStart w:id="619" w:name="_Toc296503199"/>
      <w:bookmarkStart w:id="620" w:name="_Toc303539154"/>
      <w:bookmarkStart w:id="621" w:name="_Toc304295574"/>
      <w:bookmarkStart w:id="622" w:name="_Toc297216207"/>
      <w:bookmarkStart w:id="623" w:name="_Toc297048385"/>
      <w:bookmarkStart w:id="624" w:name="_Toc296347198"/>
      <w:bookmarkStart w:id="625" w:name="_Toc312677507"/>
      <w:bookmarkStart w:id="626" w:name="_Toc296891027"/>
      <w:r>
        <w:rPr>
          <w:rFonts w:hint="eastAsia" w:ascii="宋体" w:hAnsi="宋体" w:eastAsia="宋体" w:cs="宋体"/>
          <w:color w:val="auto"/>
          <w:sz w:val="21"/>
          <w:szCs w:val="21"/>
          <w:highlight w:val="none"/>
        </w:rPr>
        <w:t>0.7 暂估价</w:t>
      </w:r>
      <w:bookmarkEnd w:id="608"/>
      <w:bookmarkEnd w:id="609"/>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341E137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专业工程暂估价：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p w14:paraId="47DED97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78225809">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单项合同暂估价在国家相关法律法规规定必须招标规模以上的，需依法必须招标的，由承包人、发包人共同招标确定。</w:t>
      </w:r>
    </w:p>
    <w:p w14:paraId="7C579F3C">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627" w:name="_Toc532377377"/>
      <w:bookmarkStart w:id="628" w:name="_Toc532375641"/>
      <w:r>
        <w:rPr>
          <w:rFonts w:hint="eastAsia" w:ascii="宋体" w:hAnsi="宋体" w:eastAsia="宋体" w:cs="宋体"/>
          <w:color w:val="auto"/>
          <w:sz w:val="21"/>
          <w:szCs w:val="21"/>
          <w:highlight w:val="none"/>
        </w:rPr>
        <w:t>10.8 暂列金额</w:t>
      </w:r>
      <w:bookmarkEnd w:id="627"/>
      <w:bookmarkEnd w:id="628"/>
    </w:p>
    <w:p w14:paraId="641D42B6">
      <w:pPr>
        <w:autoSpaceDE w:val="0"/>
        <w:autoSpaceDN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按工程量清单相关规范及发包人工程量清单及其编制说明执行。发包人给出的暂列金额项目发包人有权全部使用、部分使用或完全不用；如需实施，须经过发包人确认，结算原则参照本招标文件结算条款执行，费用须经过发包人及结算审核单位审核 </w:t>
      </w:r>
      <w:r>
        <w:rPr>
          <w:rFonts w:hint="eastAsia" w:ascii="宋体" w:hAnsi="宋体" w:eastAsia="宋体" w:cs="宋体"/>
          <w:color w:val="auto"/>
          <w:sz w:val="21"/>
          <w:szCs w:val="21"/>
          <w:highlight w:val="none"/>
        </w:rPr>
        <w:t>。</w:t>
      </w:r>
    </w:p>
    <w:p w14:paraId="373A9259">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629" w:name="_Toc532375642"/>
      <w:bookmarkStart w:id="630" w:name="_Toc351203643"/>
      <w:bookmarkStart w:id="631" w:name="_Toc532377378"/>
      <w:r>
        <w:rPr>
          <w:rFonts w:hint="eastAsia" w:ascii="宋体" w:hAnsi="宋体" w:eastAsia="宋体" w:cs="宋体"/>
          <w:color w:val="auto"/>
          <w:kern w:val="2"/>
          <w:sz w:val="21"/>
          <w:szCs w:val="21"/>
          <w:highlight w:val="none"/>
        </w:rPr>
        <w:t>11. 价格调整</w:t>
      </w:r>
      <w:bookmarkEnd w:id="629"/>
      <w:bookmarkEnd w:id="630"/>
      <w:bookmarkEnd w:id="631"/>
    </w:p>
    <w:p w14:paraId="6E800C6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632" w:name="_Toc532377379"/>
      <w:bookmarkStart w:id="633" w:name="_Toc532375643"/>
      <w:bookmarkStart w:id="634" w:name="_Toc297120501"/>
      <w:bookmarkStart w:id="635" w:name="_Toc292559406"/>
      <w:bookmarkStart w:id="636" w:name="_Toc296891241"/>
      <w:bookmarkStart w:id="637" w:name="_Toc296944540"/>
      <w:bookmarkStart w:id="638" w:name="_Toc296347200"/>
      <w:bookmarkStart w:id="639" w:name="_Toc296346702"/>
      <w:bookmarkStart w:id="640" w:name="_Toc292559911"/>
      <w:bookmarkStart w:id="641" w:name="_Toc312678039"/>
      <w:bookmarkStart w:id="642" w:name="_Toc300935000"/>
      <w:bookmarkStart w:id="643" w:name="_Toc297123550"/>
      <w:bookmarkStart w:id="644" w:name="_Toc304295577"/>
      <w:bookmarkStart w:id="645" w:name="_Toc303539157"/>
      <w:bookmarkStart w:id="646" w:name="_Toc296891029"/>
      <w:bookmarkStart w:id="647" w:name="_Toc297048387"/>
      <w:bookmarkStart w:id="648" w:name="_Toc296503201"/>
      <w:bookmarkStart w:id="649" w:name="_Toc297216209"/>
      <w:r>
        <w:rPr>
          <w:rFonts w:hint="eastAsia" w:ascii="宋体" w:hAnsi="宋体" w:eastAsia="宋体" w:cs="宋体"/>
          <w:color w:val="auto"/>
          <w:sz w:val="21"/>
          <w:szCs w:val="21"/>
          <w:highlight w:val="none"/>
        </w:rPr>
        <w:t>11.1 市场价格波动引起的调整</w:t>
      </w:r>
      <w:bookmarkEnd w:id="632"/>
      <w:bookmarkEnd w:id="633"/>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220A26E5">
      <w:pPr>
        <w:spacing w:line="360" w:lineRule="auto"/>
        <w:ind w:firstLine="420" w:firstLineChars="200"/>
        <w:jc w:val="left"/>
        <w:rPr>
          <w:rFonts w:hint="eastAsia" w:ascii="宋体" w:hAnsi="宋体" w:eastAsia="宋体" w:cs="宋体"/>
          <w:color w:val="auto"/>
          <w:sz w:val="21"/>
          <w:szCs w:val="21"/>
          <w:highlight w:val="none"/>
        </w:rPr>
      </w:pPr>
      <w:bookmarkStart w:id="650" w:name="_Toc466913513"/>
      <w:bookmarkStart w:id="651" w:name="_Toc466911545"/>
      <w:bookmarkStart w:id="652" w:name="_Toc467689641"/>
      <w:bookmarkStart w:id="653" w:name="_Toc466913963"/>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eastAsia="宋体" w:cs="宋体"/>
          <w:color w:val="auto"/>
          <w:sz w:val="21"/>
          <w:szCs w:val="21"/>
          <w:highlight w:val="none"/>
        </w:rPr>
        <w:t>。</w:t>
      </w:r>
    </w:p>
    <w:p w14:paraId="02673B8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w:t>
      </w:r>
      <w:r>
        <w:rPr>
          <w:rFonts w:hint="eastAsia" w:ascii="宋体" w:hAnsi="宋体" w:eastAsia="宋体" w:cs="宋体"/>
          <w:color w:val="auto"/>
          <w:sz w:val="21"/>
          <w:szCs w:val="21"/>
          <w:highlight w:val="none"/>
          <w:u w:val="single"/>
        </w:rPr>
        <w:t>第2种</w:t>
      </w:r>
      <w:r>
        <w:rPr>
          <w:rFonts w:hint="eastAsia" w:ascii="宋体" w:hAnsi="宋体" w:eastAsia="宋体" w:cs="宋体"/>
          <w:color w:val="auto"/>
          <w:sz w:val="21"/>
          <w:szCs w:val="21"/>
          <w:highlight w:val="none"/>
        </w:rPr>
        <w:t>方式对合同价格进行调整：</w:t>
      </w:r>
    </w:p>
    <w:p w14:paraId="7DA348B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27D51C5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9F1446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第2种方式：采用造价信息进行价格调整，调整方法如下：</w:t>
      </w:r>
    </w:p>
    <w:p w14:paraId="62709D24">
      <w:pPr>
        <w:spacing w:line="360" w:lineRule="auto"/>
        <w:ind w:firstLine="420" w:firstLineChars="200"/>
        <w:jc w:val="left"/>
        <w:rPr>
          <w:rFonts w:hint="eastAsia" w:ascii="宋体" w:hAnsi="宋体" w:eastAsia="宋体" w:cs="宋体"/>
          <w:color w:val="auto"/>
          <w:sz w:val="21"/>
          <w:szCs w:val="21"/>
          <w:highlight w:val="none"/>
        </w:rPr>
      </w:pPr>
      <w:bookmarkStart w:id="654" w:name="_Hlk524296901"/>
      <w:r>
        <w:rPr>
          <w:rFonts w:hint="eastAsia" w:ascii="宋体" w:hAnsi="宋体" w:eastAsia="宋体" w:cs="宋体"/>
          <w:color w:val="auto"/>
          <w:sz w:val="21"/>
          <w:szCs w:val="21"/>
          <w:highlight w:val="none"/>
        </w:rPr>
        <w:t>11.1.1人工费价差调整办法</w:t>
      </w:r>
      <w:bookmarkEnd w:id="650"/>
      <w:bookmarkEnd w:id="651"/>
      <w:bookmarkEnd w:id="652"/>
      <w:bookmarkEnd w:id="653"/>
    </w:p>
    <w:p w14:paraId="17620BD1">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bookmarkStart w:id="655" w:name="_Toc466913966"/>
      <w:bookmarkStart w:id="656" w:name="_Toc466913516"/>
      <w:bookmarkStart w:id="657" w:name="_Toc466911548"/>
      <w:bookmarkStart w:id="658" w:name="_Toc467689644"/>
      <w:r>
        <w:rPr>
          <w:rFonts w:hint="eastAsia" w:ascii="宋体" w:hAnsi="宋体" w:eastAsia="宋体" w:cs="宋体"/>
          <w:color w:val="auto"/>
          <w:sz w:val="21"/>
          <w:szCs w:val="21"/>
          <w:highlight w:val="none"/>
        </w:rPr>
        <w:t>（1）自实际开工时间起至合同约定的工期结束时间止，期间《重庆工程造价信息》发布人工单价的算术平均值较</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《重庆工程造价信息》发布的人工单价变化超过</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时，按以下约定调整：</w:t>
      </w:r>
    </w:p>
    <w:p w14:paraId="1256D1FF">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①已标价工程量清单中载明人工单价不高于</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《重庆工程造价信息》发布的人工单价的：按期间《重庆工程造价信息》发布人工单价的算术平均值减去</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《重庆工程造价信息》发布的人工单价乘以</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调差。</w:t>
      </w:r>
    </w:p>
    <w:p w14:paraId="1F638411">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②已标价工程量清单中载明人工单价高于</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《重庆工程造价信息》发布的人工单价的，按期间《重庆工程造价信息》发布人工单价的算术平均值减去已标价工程量清单中载明人工单价乘以</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调差。</w:t>
      </w:r>
    </w:p>
    <w:p w14:paraId="0FD720A6">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72B19DD9">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654"/>
    <w:p w14:paraId="1F2B3431">
      <w:pPr>
        <w:spacing w:line="360" w:lineRule="auto"/>
        <w:ind w:firstLine="420" w:firstLineChars="200"/>
        <w:jc w:val="left"/>
        <w:rPr>
          <w:rFonts w:hint="eastAsia" w:ascii="宋体" w:hAnsi="宋体" w:eastAsia="宋体" w:cs="宋体"/>
          <w:color w:val="auto"/>
          <w:sz w:val="21"/>
          <w:szCs w:val="21"/>
          <w:highlight w:val="none"/>
        </w:rPr>
      </w:pPr>
      <w:bookmarkStart w:id="659" w:name="_Hlk524297138"/>
      <w:r>
        <w:rPr>
          <w:rFonts w:hint="eastAsia" w:ascii="宋体" w:hAnsi="宋体" w:eastAsia="宋体" w:cs="宋体"/>
          <w:color w:val="auto"/>
          <w:sz w:val="21"/>
          <w:szCs w:val="21"/>
          <w:highlight w:val="none"/>
        </w:rPr>
        <w:t>11.1.2 材料费价差调整</w:t>
      </w:r>
      <w:bookmarkEnd w:id="655"/>
      <w:bookmarkEnd w:id="656"/>
      <w:bookmarkEnd w:id="657"/>
      <w:bookmarkEnd w:id="658"/>
      <w:r>
        <w:rPr>
          <w:rFonts w:hint="eastAsia" w:ascii="宋体" w:hAnsi="宋体" w:eastAsia="宋体" w:cs="宋体"/>
          <w:color w:val="auto"/>
          <w:sz w:val="21"/>
          <w:szCs w:val="21"/>
          <w:highlight w:val="none"/>
        </w:rPr>
        <w:t>办法</w:t>
      </w:r>
    </w:p>
    <w:p w14:paraId="74837C0B">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可调价差材料：</w:t>
      </w:r>
      <w:r>
        <w:rPr>
          <w:rFonts w:hint="eastAsia" w:ascii="宋体" w:hAnsi="宋体" w:eastAsia="宋体" w:cs="宋体"/>
          <w:color w:val="auto"/>
          <w:sz w:val="21"/>
          <w:szCs w:val="21"/>
          <w:highlight w:val="none"/>
          <w:u w:val="single"/>
        </w:rPr>
        <w:t>水泥、商品砼、碎石、砂、钢筋、</w:t>
      </w:r>
      <w:r>
        <w:rPr>
          <w:rFonts w:hint="eastAsia" w:ascii="宋体" w:hAnsi="宋体" w:eastAsia="宋体" w:cs="宋体"/>
          <w:color w:val="auto"/>
          <w:sz w:val="21"/>
          <w:szCs w:val="21"/>
          <w:highlight w:val="none"/>
          <w:u w:val="single"/>
          <w:lang w:val="en-US"/>
        </w:rPr>
        <w:t>钢材</w:t>
      </w:r>
      <w:r>
        <w:rPr>
          <w:rFonts w:hint="eastAsia" w:ascii="宋体" w:hAnsi="宋体" w:eastAsia="宋体" w:cs="宋体"/>
          <w:color w:val="auto"/>
          <w:sz w:val="21"/>
          <w:szCs w:val="21"/>
          <w:highlight w:val="none"/>
          <w:u w:val="single"/>
        </w:rPr>
        <w:t>、条石、片石、预应力钢绞线、沥青混凝土、水泥稳定碎石拌和料、预拌商品砂浆、砌筑材料</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金属管材、非金属管材、复合管材、电线、电缆</w:t>
      </w:r>
      <w:r>
        <w:rPr>
          <w:rFonts w:hint="eastAsia" w:ascii="宋体" w:hAnsi="宋体" w:eastAsia="宋体" w:cs="宋体"/>
          <w:color w:val="auto"/>
          <w:sz w:val="21"/>
          <w:szCs w:val="21"/>
          <w:highlight w:val="none"/>
        </w:rPr>
        <w:t>。</w:t>
      </w:r>
    </w:p>
    <w:p w14:paraId="715012E2">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可调价差材料的价差调整办法如下：</w:t>
      </w:r>
    </w:p>
    <w:bookmarkEnd w:id="512"/>
    <w:bookmarkEnd w:id="513"/>
    <w:bookmarkEnd w:id="514"/>
    <w:bookmarkEnd w:id="515"/>
    <w:bookmarkEnd w:id="516"/>
    <w:bookmarkEnd w:id="517"/>
    <w:p w14:paraId="06074544">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bookmarkStart w:id="660" w:name="_Toc296891245"/>
      <w:bookmarkStart w:id="661" w:name="_Toc296347204"/>
      <w:bookmarkStart w:id="662" w:name="_Toc297120505"/>
      <w:bookmarkStart w:id="663" w:name="_Toc296944544"/>
      <w:bookmarkStart w:id="664" w:name="_Toc292559410"/>
      <w:bookmarkStart w:id="665" w:name="_Toc292559915"/>
      <w:bookmarkStart w:id="666" w:name="_Toc296891033"/>
      <w:bookmarkStart w:id="667" w:name="_Toc296503205"/>
      <w:bookmarkStart w:id="668" w:name="_Toc296346706"/>
      <w:bookmarkStart w:id="669" w:name="_Toc297048391"/>
      <w:bookmarkStart w:id="670" w:name="_Toc351203644"/>
      <w:bookmarkStart w:id="671" w:name="_Toc303539159"/>
      <w:bookmarkStart w:id="672" w:name="_Toc297123552"/>
      <w:bookmarkStart w:id="673" w:name="_Toc312678040"/>
      <w:bookmarkStart w:id="674" w:name="_Toc300935002"/>
      <w:bookmarkStart w:id="675" w:name="_Toc297216211"/>
      <w:bookmarkStart w:id="676" w:name="_Toc304295579"/>
      <w:r>
        <w:rPr>
          <w:rFonts w:hint="eastAsia" w:ascii="宋体" w:hAnsi="宋体" w:eastAsia="宋体" w:cs="宋体"/>
          <w:color w:val="auto"/>
          <w:sz w:val="21"/>
          <w:szCs w:val="21"/>
          <w:highlight w:val="none"/>
        </w:rPr>
        <w:t>（1）自实际开工时间起至合同约定的工期结束时间止，期间《重庆工程造价信息》发布的信息价的算术平均值较</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《重庆工程造价信息》发布的信息价变化超过</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时，按以下约定调整：</w:t>
      </w:r>
    </w:p>
    <w:p w14:paraId="75EF205C">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①已标价工程量清单中载明材料单价不高于</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《重庆工程造价信息》发布的信息价的按期间《重庆工程造价信息》发布信息价的算术平均值减去</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《重庆工程造价信息》发布的信息价乘以</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调差。</w:t>
      </w:r>
    </w:p>
    <w:p w14:paraId="181FB0E3">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②已标价工程量清单中载明材料单价高于</w:t>
      </w:r>
      <w:r>
        <w:rPr>
          <w:rFonts w:hint="eastAsia" w:ascii="宋体" w:hAnsi="宋体" w:eastAsia="宋体" w:cs="宋体"/>
          <w:color w:val="auto"/>
          <w:sz w:val="21"/>
          <w:szCs w:val="21"/>
          <w:highlight w:val="none"/>
          <w:lang w:val="en-US" w:eastAsia="zh-CN"/>
        </w:rPr>
        <w:t>实际开工前一个月发布的最近一期</w:t>
      </w:r>
      <w:r>
        <w:rPr>
          <w:rFonts w:hint="eastAsia" w:ascii="宋体" w:hAnsi="宋体" w:eastAsia="宋体" w:cs="宋体"/>
          <w:color w:val="auto"/>
          <w:sz w:val="21"/>
          <w:szCs w:val="21"/>
          <w:highlight w:val="none"/>
        </w:rPr>
        <w:t>《重庆工程造价信息》发布的信息价的，按期间《重庆工程造价信息》发布信息价的算术平均值减去已标价工程量清单中载明材料单价乘以</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调差。</w:t>
      </w:r>
    </w:p>
    <w:p w14:paraId="2433312B">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065CFA21">
      <w:pPr>
        <w:tabs>
          <w:tab w:val="left" w:pos="711"/>
          <w:tab w:val="left" w:pos="2580"/>
        </w:tabs>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659"/>
    <w:p w14:paraId="579800B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260461">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677" w:name="_Toc532377380"/>
      <w:bookmarkStart w:id="678" w:name="_Toc532375644"/>
      <w:bookmarkStart w:id="679" w:name="_Hlk528928232"/>
      <w:r>
        <w:rPr>
          <w:rFonts w:hint="eastAsia" w:ascii="宋体" w:hAnsi="宋体" w:eastAsia="宋体" w:cs="宋体"/>
          <w:color w:val="auto"/>
          <w:sz w:val="21"/>
          <w:szCs w:val="21"/>
          <w:highlight w:val="none"/>
        </w:rPr>
        <w:t>11.2 法律变化引起的调整</w:t>
      </w:r>
      <w:bookmarkEnd w:id="677"/>
      <w:bookmarkEnd w:id="678"/>
    </w:p>
    <w:p w14:paraId="61CA222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2B90623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本条补充11.3款</w:t>
      </w:r>
    </w:p>
    <w:bookmarkEnd w:id="679"/>
    <w:p w14:paraId="3F0F69F9">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680" w:name="_Toc532375645"/>
      <w:bookmarkStart w:id="681" w:name="_Toc532377381"/>
      <w:r>
        <w:rPr>
          <w:rFonts w:hint="eastAsia" w:ascii="宋体" w:hAnsi="宋体" w:eastAsia="宋体" w:cs="宋体"/>
          <w:color w:val="auto"/>
          <w:sz w:val="21"/>
          <w:szCs w:val="21"/>
          <w:highlight w:val="none"/>
        </w:rPr>
        <w:t>11.3 严重不平衡报价引起的调整</w:t>
      </w:r>
      <w:bookmarkEnd w:id="680"/>
      <w:bookmarkEnd w:id="681"/>
    </w:p>
    <w:p w14:paraId="1C082F40">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eastAsia="宋体" w:cs="宋体"/>
          <w:color w:val="auto"/>
          <w:sz w:val="21"/>
          <w:szCs w:val="21"/>
          <w:highlight w:val="none"/>
        </w:rPr>
        <w:t>。</w:t>
      </w:r>
    </w:p>
    <w:p w14:paraId="6FECA785">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eastAsia="宋体" w:cs="宋体"/>
          <w:color w:val="auto"/>
          <w:sz w:val="21"/>
          <w:szCs w:val="21"/>
          <w:highlight w:val="none"/>
        </w:rPr>
        <w:t>。</w:t>
      </w:r>
    </w:p>
    <w:p w14:paraId="2E5689A1">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682" w:name="_Toc532375646"/>
      <w:bookmarkStart w:id="683" w:name="_Toc532377382"/>
      <w:r>
        <w:rPr>
          <w:rFonts w:hint="eastAsia" w:ascii="宋体" w:hAnsi="宋体" w:eastAsia="宋体" w:cs="宋体"/>
          <w:color w:val="auto"/>
          <w:kern w:val="2"/>
          <w:sz w:val="21"/>
          <w:szCs w:val="21"/>
          <w:highlight w:val="none"/>
        </w:rPr>
        <w:t xml:space="preserve">12. </w:t>
      </w:r>
      <w:bookmarkEnd w:id="660"/>
      <w:bookmarkEnd w:id="661"/>
      <w:bookmarkEnd w:id="662"/>
      <w:bookmarkEnd w:id="663"/>
      <w:bookmarkEnd w:id="664"/>
      <w:bookmarkEnd w:id="665"/>
      <w:bookmarkEnd w:id="666"/>
      <w:bookmarkEnd w:id="667"/>
      <w:bookmarkEnd w:id="668"/>
      <w:bookmarkEnd w:id="669"/>
      <w:r>
        <w:rPr>
          <w:rFonts w:hint="eastAsia" w:ascii="宋体" w:hAnsi="宋体" w:eastAsia="宋体" w:cs="宋体"/>
          <w:color w:val="auto"/>
          <w:kern w:val="2"/>
          <w:sz w:val="21"/>
          <w:szCs w:val="21"/>
          <w:highlight w:val="none"/>
        </w:rPr>
        <w:t>合同价格、计量与支付</w:t>
      </w:r>
      <w:bookmarkEnd w:id="670"/>
      <w:bookmarkEnd w:id="682"/>
      <w:bookmarkEnd w:id="683"/>
    </w:p>
    <w:bookmarkEnd w:id="671"/>
    <w:bookmarkEnd w:id="672"/>
    <w:bookmarkEnd w:id="673"/>
    <w:bookmarkEnd w:id="674"/>
    <w:bookmarkEnd w:id="675"/>
    <w:bookmarkEnd w:id="676"/>
    <w:p w14:paraId="1DC4F8D1">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684" w:name="_Toc292559916"/>
      <w:bookmarkStart w:id="685" w:name="_Toc292559411"/>
      <w:bookmarkStart w:id="686" w:name="_Toc267251461"/>
      <w:bookmarkStart w:id="687" w:name="_Toc297120506"/>
      <w:bookmarkStart w:id="688" w:name="_Toc297048392"/>
      <w:bookmarkStart w:id="689" w:name="_Toc296891246"/>
      <w:bookmarkStart w:id="690" w:name="_Toc296346707"/>
      <w:bookmarkStart w:id="691" w:name="_Toc296347205"/>
      <w:bookmarkStart w:id="692" w:name="_Toc296891034"/>
      <w:bookmarkStart w:id="693" w:name="_Toc296944545"/>
      <w:bookmarkStart w:id="694" w:name="_Toc296503206"/>
      <w:bookmarkStart w:id="695" w:name="_Toc532377383"/>
      <w:bookmarkStart w:id="696" w:name="_Toc532375647"/>
      <w:bookmarkStart w:id="697" w:name="_Toc297123553"/>
      <w:bookmarkStart w:id="698" w:name="_Toc300935003"/>
      <w:bookmarkStart w:id="699" w:name="_Toc303539160"/>
      <w:bookmarkStart w:id="700" w:name="_Toc312678041"/>
      <w:bookmarkStart w:id="701" w:name="_Toc304295580"/>
      <w:bookmarkStart w:id="702" w:name="_Toc297216212"/>
      <w:r>
        <w:rPr>
          <w:rFonts w:hint="eastAsia" w:ascii="宋体" w:hAnsi="宋体" w:eastAsia="宋体" w:cs="宋体"/>
          <w:color w:val="auto"/>
          <w:sz w:val="21"/>
          <w:szCs w:val="21"/>
          <w:highlight w:val="none"/>
        </w:rPr>
        <w:t>12.1 合</w:t>
      </w:r>
      <w:bookmarkEnd w:id="684"/>
      <w:bookmarkEnd w:id="685"/>
      <w:bookmarkEnd w:id="686"/>
      <w:r>
        <w:rPr>
          <w:rFonts w:hint="eastAsia" w:ascii="宋体" w:hAnsi="宋体" w:eastAsia="宋体" w:cs="宋体"/>
          <w:color w:val="auto"/>
          <w:sz w:val="21"/>
          <w:szCs w:val="21"/>
          <w:highlight w:val="none"/>
        </w:rPr>
        <w:t>同价</w:t>
      </w:r>
      <w:bookmarkEnd w:id="687"/>
      <w:bookmarkEnd w:id="688"/>
      <w:bookmarkEnd w:id="689"/>
      <w:bookmarkEnd w:id="690"/>
      <w:bookmarkEnd w:id="691"/>
      <w:bookmarkEnd w:id="692"/>
      <w:bookmarkEnd w:id="693"/>
      <w:bookmarkEnd w:id="694"/>
      <w:r>
        <w:rPr>
          <w:rFonts w:hint="eastAsia" w:ascii="宋体" w:hAnsi="宋体" w:eastAsia="宋体" w:cs="宋体"/>
          <w:color w:val="auto"/>
          <w:sz w:val="21"/>
          <w:szCs w:val="21"/>
          <w:highlight w:val="none"/>
        </w:rPr>
        <w:t>格形式</w:t>
      </w:r>
      <w:bookmarkEnd w:id="695"/>
      <w:bookmarkEnd w:id="696"/>
    </w:p>
    <w:bookmarkEnd w:id="697"/>
    <w:bookmarkEnd w:id="698"/>
    <w:bookmarkEnd w:id="699"/>
    <w:bookmarkEnd w:id="700"/>
    <w:bookmarkEnd w:id="701"/>
    <w:bookmarkEnd w:id="702"/>
    <w:p w14:paraId="3120346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17B5DB95">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703" w:name="_Hlk528508096"/>
      <w:r>
        <w:rPr>
          <w:rFonts w:hint="eastAsia" w:ascii="宋体" w:hAnsi="宋体" w:eastAsia="宋体" w:cs="宋体"/>
          <w:color w:val="auto"/>
          <w:sz w:val="21"/>
          <w:szCs w:val="21"/>
          <w:highlight w:val="none"/>
          <w:u w:val="single"/>
        </w:rPr>
        <w:t>第11.1款〔市场价格波动引起的调整〕约定范围内的市场价格波动风险、政策性文件规定的各项应有费用、</w:t>
      </w:r>
      <w:bookmarkEnd w:id="703"/>
      <w:r>
        <w:rPr>
          <w:rFonts w:hint="eastAsia" w:ascii="宋体" w:hAnsi="宋体" w:eastAsia="宋体" w:cs="宋体"/>
          <w:color w:val="auto"/>
          <w:sz w:val="21"/>
          <w:szCs w:val="21"/>
          <w:highlight w:val="none"/>
          <w:u w:val="single"/>
        </w:rPr>
        <w:t>招标文件和合同明示或暗示的应由承包人承担的所有责任、义务和风险等所需的费用</w:t>
      </w:r>
      <w:r>
        <w:rPr>
          <w:rFonts w:hint="eastAsia" w:ascii="宋体" w:hAnsi="宋体" w:eastAsia="宋体" w:cs="宋体"/>
          <w:color w:val="auto"/>
          <w:sz w:val="21"/>
          <w:szCs w:val="21"/>
          <w:highlight w:val="none"/>
        </w:rPr>
        <w:t>。</w:t>
      </w:r>
    </w:p>
    <w:p w14:paraId="397C909F">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由承包人自行考虑并计入签约合同价格中，包干使用</w:t>
      </w:r>
      <w:r>
        <w:rPr>
          <w:rFonts w:hint="eastAsia" w:ascii="宋体" w:hAnsi="宋体" w:eastAsia="宋体" w:cs="宋体"/>
          <w:color w:val="auto"/>
          <w:sz w:val="21"/>
          <w:szCs w:val="21"/>
          <w:highlight w:val="none"/>
        </w:rPr>
        <w:t>。</w:t>
      </w:r>
    </w:p>
    <w:p w14:paraId="0229547C">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按照合同相关条款约定执行</w:t>
      </w:r>
      <w:r>
        <w:rPr>
          <w:rFonts w:hint="eastAsia" w:ascii="宋体" w:hAnsi="宋体" w:eastAsia="宋体" w:cs="宋体"/>
          <w:color w:val="auto"/>
          <w:sz w:val="21"/>
          <w:szCs w:val="21"/>
          <w:highlight w:val="none"/>
        </w:rPr>
        <w:t>。</w:t>
      </w:r>
    </w:p>
    <w:p w14:paraId="0E38E9A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093718C4">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eastAsia="宋体" w:cs="宋体"/>
          <w:color w:val="auto"/>
          <w:sz w:val="21"/>
          <w:szCs w:val="21"/>
          <w:highlight w:val="none"/>
        </w:rPr>
        <w:t>。</w:t>
      </w:r>
    </w:p>
    <w:p w14:paraId="2746CD21">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由承包人自行考虑并计入签约合同价格中，包干使用</w:t>
      </w:r>
      <w:r>
        <w:rPr>
          <w:rFonts w:hint="eastAsia" w:ascii="宋体" w:hAnsi="宋体" w:eastAsia="宋体" w:cs="宋体"/>
          <w:color w:val="auto"/>
          <w:sz w:val="21"/>
          <w:szCs w:val="21"/>
          <w:highlight w:val="none"/>
        </w:rPr>
        <w:t>。</w:t>
      </w:r>
    </w:p>
    <w:p w14:paraId="0FE8AE3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按照合同相关条款约定执行</w:t>
      </w:r>
      <w:r>
        <w:rPr>
          <w:rFonts w:hint="eastAsia" w:ascii="宋体" w:hAnsi="宋体" w:eastAsia="宋体" w:cs="宋体"/>
          <w:color w:val="auto"/>
          <w:sz w:val="21"/>
          <w:szCs w:val="21"/>
          <w:highlight w:val="none"/>
        </w:rPr>
        <w:t>。</w:t>
      </w:r>
    </w:p>
    <w:p w14:paraId="62FFB93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0FF9B16B">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04" w:name="_Toc532377384"/>
      <w:bookmarkStart w:id="705" w:name="_Toc532375648"/>
      <w:bookmarkStart w:id="706" w:name="_Toc297123554"/>
      <w:bookmarkStart w:id="707" w:name="_Toc292559412"/>
      <w:bookmarkStart w:id="708" w:name="_Toc303539161"/>
      <w:bookmarkStart w:id="709" w:name="_Toc296944546"/>
      <w:bookmarkStart w:id="710" w:name="_Toc296891035"/>
      <w:bookmarkStart w:id="711" w:name="_Toc297216213"/>
      <w:bookmarkStart w:id="712" w:name="_Toc296891247"/>
      <w:bookmarkStart w:id="713" w:name="_Toc312678042"/>
      <w:bookmarkStart w:id="714" w:name="_Toc292559917"/>
      <w:bookmarkStart w:id="715" w:name="_Toc296347206"/>
      <w:bookmarkStart w:id="716" w:name="_Toc296503207"/>
      <w:bookmarkStart w:id="717" w:name="_Toc296346708"/>
      <w:bookmarkStart w:id="718" w:name="_Toc304295581"/>
      <w:bookmarkStart w:id="719" w:name="_Toc297048393"/>
      <w:bookmarkStart w:id="720" w:name="_Toc297120507"/>
      <w:bookmarkStart w:id="721" w:name="_Toc300935004"/>
      <w:r>
        <w:rPr>
          <w:rFonts w:hint="eastAsia" w:ascii="宋体" w:hAnsi="宋体" w:eastAsia="宋体" w:cs="宋体"/>
          <w:color w:val="auto"/>
          <w:sz w:val="21"/>
          <w:szCs w:val="21"/>
          <w:highlight w:val="none"/>
        </w:rPr>
        <w:t>12.2 预付款</w:t>
      </w:r>
      <w:bookmarkEnd w:id="704"/>
      <w:bookmarkEnd w:id="705"/>
    </w:p>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14:paraId="5F375910">
      <w:pPr>
        <w:spacing w:line="360" w:lineRule="auto"/>
        <w:ind w:firstLine="420" w:firstLineChars="200"/>
        <w:jc w:val="left"/>
        <w:rPr>
          <w:rFonts w:hint="eastAsia" w:ascii="宋体" w:hAnsi="宋体" w:eastAsia="宋体" w:cs="宋体"/>
          <w:color w:val="auto"/>
          <w:sz w:val="21"/>
          <w:szCs w:val="21"/>
          <w:highlight w:val="none"/>
        </w:rPr>
      </w:pPr>
      <w:bookmarkStart w:id="722" w:name="_Toc532375649"/>
      <w:bookmarkStart w:id="723" w:name="_Toc532377385"/>
      <w:r>
        <w:rPr>
          <w:rFonts w:hint="eastAsia" w:ascii="宋体" w:hAnsi="宋体" w:eastAsia="宋体" w:cs="宋体"/>
          <w:color w:val="auto"/>
          <w:sz w:val="21"/>
          <w:szCs w:val="21"/>
          <w:highlight w:val="none"/>
        </w:rPr>
        <w:t>12.2.1 预付款的支付</w:t>
      </w:r>
    </w:p>
    <w:p w14:paraId="5FCA5C8D">
      <w:pPr>
        <w:keepNext w:val="0"/>
        <w:keepLines w:val="0"/>
        <w:widowControl/>
        <w:suppressLineNumbers w:val="0"/>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合同金额的10%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p>
    <w:p w14:paraId="1F104B8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预付款担保提交后7天内</w:t>
      </w:r>
      <w:r>
        <w:rPr>
          <w:rFonts w:hint="eastAsia" w:ascii="宋体" w:hAnsi="宋体" w:eastAsia="宋体" w:cs="宋体"/>
          <w:color w:val="auto"/>
          <w:sz w:val="21"/>
          <w:szCs w:val="21"/>
          <w:highlight w:val="none"/>
        </w:rPr>
        <w:t>。</w:t>
      </w:r>
    </w:p>
    <w:p w14:paraId="7B854F36">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承包人完成累计金额达到签约合同金额的30%后，在合同约定的每个计量周期按审核确认的进度款金额的20%进行扣回，直至预付款全额扣回。</w:t>
      </w:r>
    </w:p>
    <w:p w14:paraId="7735E6F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4227601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合同签订后7天内</w:t>
      </w:r>
      <w:r>
        <w:rPr>
          <w:rFonts w:hint="eastAsia" w:ascii="宋体" w:hAnsi="宋体" w:eastAsia="宋体" w:cs="宋体"/>
          <w:color w:val="auto"/>
          <w:sz w:val="21"/>
          <w:szCs w:val="21"/>
          <w:highlight w:val="none"/>
        </w:rPr>
        <w:t>。</w:t>
      </w:r>
    </w:p>
    <w:p w14:paraId="5F68566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银行保函</w:t>
      </w:r>
      <w:r>
        <w:rPr>
          <w:rFonts w:hint="eastAsia" w:ascii="宋体" w:hAnsi="宋体" w:eastAsia="宋体" w:cs="宋体"/>
          <w:color w:val="auto"/>
          <w:sz w:val="21"/>
          <w:szCs w:val="21"/>
          <w:highlight w:val="none"/>
        </w:rPr>
        <w:t>。</w:t>
      </w:r>
    </w:p>
    <w:p w14:paraId="58EDA28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预付款担保的金额：</w:t>
      </w:r>
      <w:r>
        <w:rPr>
          <w:rFonts w:hint="eastAsia" w:ascii="宋体" w:hAnsi="宋体" w:eastAsia="宋体" w:cs="宋体"/>
          <w:color w:val="auto"/>
          <w:sz w:val="21"/>
          <w:szCs w:val="21"/>
          <w:highlight w:val="none"/>
          <w:u w:val="single"/>
        </w:rPr>
        <w:t xml:space="preserve"> 同预付款支付金额。</w:t>
      </w:r>
    </w:p>
    <w:p w14:paraId="173E6EA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F8C9F4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预付款担保的期限：</w:t>
      </w:r>
      <w:r>
        <w:rPr>
          <w:rFonts w:hint="eastAsia" w:ascii="宋体" w:hAnsi="宋体" w:eastAsia="宋体" w:cs="宋体"/>
          <w:color w:val="auto"/>
          <w:sz w:val="21"/>
          <w:szCs w:val="21"/>
          <w:highlight w:val="none"/>
          <w:u w:val="single"/>
        </w:rPr>
        <w:t xml:space="preserve"> 自预付款支付之日起，至预付款全部扣回之日止。</w:t>
      </w:r>
    </w:p>
    <w:p w14:paraId="5747F9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预付款担保的退还时间：</w:t>
      </w:r>
      <w:r>
        <w:rPr>
          <w:rFonts w:hint="eastAsia" w:ascii="宋体" w:hAnsi="宋体" w:eastAsia="宋体" w:cs="宋体"/>
          <w:color w:val="auto"/>
          <w:sz w:val="21"/>
          <w:szCs w:val="21"/>
          <w:highlight w:val="none"/>
          <w:u w:val="single"/>
        </w:rPr>
        <w:t xml:space="preserve"> 预付款全部扣回之日自动失效。</w:t>
      </w:r>
    </w:p>
    <w:p w14:paraId="24A0D81C">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bookmarkEnd w:id="722"/>
      <w:bookmarkEnd w:id="723"/>
    </w:p>
    <w:p w14:paraId="2BB7579E">
      <w:pPr>
        <w:spacing w:line="360" w:lineRule="auto"/>
        <w:ind w:firstLine="420" w:firstLineChars="200"/>
        <w:jc w:val="left"/>
        <w:rPr>
          <w:rFonts w:hint="eastAsia" w:ascii="宋体" w:hAnsi="宋体" w:eastAsia="宋体" w:cs="宋体"/>
          <w:color w:val="auto"/>
          <w:sz w:val="21"/>
          <w:szCs w:val="21"/>
          <w:highlight w:val="none"/>
        </w:rPr>
      </w:pPr>
      <w:bookmarkStart w:id="724" w:name="_Hlk528928260"/>
      <w:r>
        <w:rPr>
          <w:rFonts w:hint="eastAsia" w:ascii="宋体" w:hAnsi="宋体" w:eastAsia="宋体" w:cs="宋体"/>
          <w:color w:val="auto"/>
          <w:sz w:val="21"/>
          <w:szCs w:val="21"/>
          <w:highlight w:val="none"/>
        </w:rPr>
        <w:t>12.3.1 计量原则</w:t>
      </w:r>
    </w:p>
    <w:p w14:paraId="7FF4398D">
      <w:pPr>
        <w:tabs>
          <w:tab w:val="left" w:pos="1134"/>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724"/>
    <w:p w14:paraId="5803D00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4738E2E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按月计量</w:t>
      </w:r>
      <w:r>
        <w:rPr>
          <w:rFonts w:hint="eastAsia" w:ascii="宋体" w:hAnsi="宋体" w:eastAsia="宋体" w:cs="宋体"/>
          <w:color w:val="auto"/>
          <w:sz w:val="21"/>
          <w:szCs w:val="21"/>
          <w:highlight w:val="none"/>
        </w:rPr>
        <w:t>。</w:t>
      </w:r>
    </w:p>
    <w:p w14:paraId="6E5A97A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73473A4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p>
    <w:p w14:paraId="21AE3AE8">
      <w:pPr>
        <w:spacing w:line="360" w:lineRule="auto"/>
        <w:ind w:firstLine="420" w:firstLineChars="200"/>
        <w:jc w:val="left"/>
        <w:rPr>
          <w:rFonts w:hint="eastAsia" w:ascii="宋体" w:hAnsi="宋体" w:eastAsia="宋体" w:cs="宋体"/>
          <w:color w:val="auto"/>
          <w:sz w:val="21"/>
          <w:szCs w:val="21"/>
          <w:highlight w:val="none"/>
          <w:u w:val="single"/>
        </w:rPr>
      </w:pPr>
      <w:bookmarkStart w:id="725" w:name="_Hlk528926162"/>
      <w:r>
        <w:rPr>
          <w:rFonts w:hint="eastAsia" w:ascii="宋体" w:hAnsi="宋体" w:eastAsia="宋体" w:cs="宋体"/>
          <w:color w:val="auto"/>
          <w:sz w:val="21"/>
          <w:szCs w:val="21"/>
          <w:highlight w:val="none"/>
          <w:u w:val="single"/>
        </w:rPr>
        <w:t>（1）承包人应于当月</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日前向监理人报送上月20日至当月19日已完成的工程量，并附进度付款申请单、已完成工程量报表和其他有关资料</w:t>
      </w:r>
      <w:r>
        <w:rPr>
          <w:rFonts w:hint="eastAsia" w:ascii="宋体" w:hAnsi="宋体" w:eastAsia="宋体" w:cs="宋体"/>
          <w:color w:val="auto"/>
          <w:sz w:val="21"/>
          <w:szCs w:val="21"/>
          <w:highlight w:val="none"/>
        </w:rPr>
        <w:t>。</w:t>
      </w:r>
    </w:p>
    <w:bookmarkEnd w:id="725"/>
    <w:p w14:paraId="505570DC">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eastAsia="宋体" w:cs="宋体"/>
          <w:color w:val="auto"/>
          <w:sz w:val="21"/>
          <w:szCs w:val="21"/>
          <w:highlight w:val="none"/>
        </w:rPr>
        <w:t>。</w:t>
      </w:r>
    </w:p>
    <w:p w14:paraId="051EBC1D">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宋体"/>
          <w:color w:val="auto"/>
          <w:sz w:val="21"/>
          <w:szCs w:val="21"/>
          <w:highlight w:val="none"/>
        </w:rPr>
        <w:t>。</w:t>
      </w:r>
    </w:p>
    <w:p w14:paraId="03A0DC07">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宋体"/>
          <w:color w:val="auto"/>
          <w:sz w:val="21"/>
          <w:szCs w:val="21"/>
          <w:highlight w:val="none"/>
        </w:rPr>
        <w:t>。</w:t>
      </w:r>
    </w:p>
    <w:p w14:paraId="0E43103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4F7162E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按形象进度比例支付</w:t>
      </w:r>
      <w:r>
        <w:rPr>
          <w:rFonts w:hint="eastAsia" w:ascii="宋体" w:hAnsi="宋体" w:eastAsia="宋体" w:cs="宋体"/>
          <w:color w:val="auto"/>
          <w:sz w:val="21"/>
          <w:szCs w:val="21"/>
          <w:highlight w:val="none"/>
        </w:rPr>
        <w:t>。</w:t>
      </w:r>
    </w:p>
    <w:p w14:paraId="0420C6F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12.3.5总价合同采用支付分解表计量支付的，是否适用第12.3.4项〔总价合同的计量〕约定进行计量：</w:t>
      </w:r>
      <w:r>
        <w:rPr>
          <w:rFonts w:hint="eastAsia" w:ascii="宋体" w:hAnsi="宋体" w:eastAsia="宋体" w:cs="宋体"/>
          <w:color w:val="auto"/>
          <w:sz w:val="21"/>
          <w:szCs w:val="21"/>
          <w:highlight w:val="none"/>
          <w:u w:val="single"/>
        </w:rPr>
        <w:t>适用</w:t>
      </w:r>
      <w:r>
        <w:rPr>
          <w:rFonts w:hint="eastAsia" w:ascii="宋体" w:hAnsi="宋体" w:eastAsia="宋体" w:cs="宋体"/>
          <w:color w:val="auto"/>
          <w:sz w:val="21"/>
          <w:szCs w:val="21"/>
          <w:highlight w:val="none"/>
        </w:rPr>
        <w:t>。</w:t>
      </w:r>
    </w:p>
    <w:p w14:paraId="39860AA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59F8B1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51C7FEDC">
      <w:pPr>
        <w:pStyle w:val="7"/>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bookmarkStart w:id="726" w:name="_Toc532375650"/>
      <w:bookmarkStart w:id="727" w:name="_Toc532377386"/>
      <w:bookmarkStart w:id="728" w:name="_Hlk528928289"/>
      <w:r>
        <w:rPr>
          <w:rFonts w:hint="eastAsia" w:ascii="宋体" w:hAnsi="宋体" w:eastAsia="宋体" w:cs="宋体"/>
          <w:b/>
          <w:bCs/>
          <w:color w:val="auto"/>
          <w:sz w:val="21"/>
          <w:szCs w:val="21"/>
          <w:highlight w:val="none"/>
        </w:rPr>
        <w:t>12.4 工程进度款支付</w:t>
      </w:r>
      <w:bookmarkEnd w:id="726"/>
      <w:bookmarkEnd w:id="727"/>
    </w:p>
    <w:bookmarkEnd w:id="728"/>
    <w:p w14:paraId="21EAFE4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3279EDC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u w:val="single"/>
        </w:rPr>
        <w:t>按月计量支付进度款。</w:t>
      </w:r>
    </w:p>
    <w:p w14:paraId="2475F52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3E07AF6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进度付款申请单应包括下列内容：</w:t>
      </w:r>
    </w:p>
    <w:p w14:paraId="7E7FD44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（1）截至本次付款周期已完成工作对应的金额</w:t>
      </w:r>
      <w:r>
        <w:rPr>
          <w:rFonts w:hint="eastAsia" w:ascii="宋体" w:hAnsi="宋体" w:eastAsia="宋体" w:cs="宋体"/>
          <w:color w:val="auto"/>
          <w:sz w:val="21"/>
          <w:szCs w:val="21"/>
          <w:highlight w:val="none"/>
        </w:rPr>
        <w:t>；</w:t>
      </w:r>
    </w:p>
    <w:p w14:paraId="4EDC61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（2）根据第10条〔变更〕应增加和扣减的已审定变更金额</w:t>
      </w:r>
      <w:r>
        <w:rPr>
          <w:rFonts w:hint="eastAsia" w:ascii="宋体" w:hAnsi="宋体" w:eastAsia="宋体" w:cs="宋体"/>
          <w:color w:val="auto"/>
          <w:sz w:val="21"/>
          <w:szCs w:val="21"/>
          <w:highlight w:val="none"/>
        </w:rPr>
        <w:t>；</w:t>
      </w:r>
    </w:p>
    <w:p w14:paraId="45C3A0E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（3）根据第12.2款〔预付款〕约定应支付的预付款和扣减的返还预付款</w:t>
      </w:r>
      <w:r>
        <w:rPr>
          <w:rFonts w:hint="eastAsia" w:ascii="宋体" w:hAnsi="宋体" w:eastAsia="宋体" w:cs="宋体"/>
          <w:color w:val="auto"/>
          <w:sz w:val="21"/>
          <w:szCs w:val="21"/>
          <w:highlight w:val="none"/>
        </w:rPr>
        <w:t>；</w:t>
      </w:r>
    </w:p>
    <w:p w14:paraId="7EEB958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（4）根据第15.3款〔质量保证金〕约定应扣减的质量保证金</w:t>
      </w:r>
      <w:r>
        <w:rPr>
          <w:rFonts w:hint="eastAsia" w:ascii="宋体" w:hAnsi="宋体" w:eastAsia="宋体" w:cs="宋体"/>
          <w:color w:val="auto"/>
          <w:sz w:val="21"/>
          <w:szCs w:val="21"/>
          <w:highlight w:val="none"/>
        </w:rPr>
        <w:t>；</w:t>
      </w:r>
    </w:p>
    <w:p w14:paraId="2995254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（5）根据第19条〔索赔〕应增加和扣减的已审定索赔金额</w:t>
      </w:r>
      <w:r>
        <w:rPr>
          <w:rFonts w:hint="eastAsia" w:ascii="宋体" w:hAnsi="宋体" w:eastAsia="宋体" w:cs="宋体"/>
          <w:color w:val="auto"/>
          <w:sz w:val="21"/>
          <w:szCs w:val="21"/>
          <w:highlight w:val="none"/>
        </w:rPr>
        <w:t>；</w:t>
      </w:r>
    </w:p>
    <w:p w14:paraId="2541C32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（6）根据第11条〔价格调整〕应增加和扣减的价格调整金额</w:t>
      </w:r>
      <w:r>
        <w:rPr>
          <w:rFonts w:hint="eastAsia" w:ascii="宋体" w:hAnsi="宋体" w:eastAsia="宋体" w:cs="宋体"/>
          <w:color w:val="auto"/>
          <w:sz w:val="21"/>
          <w:szCs w:val="21"/>
          <w:highlight w:val="none"/>
        </w:rPr>
        <w:t>；</w:t>
      </w:r>
    </w:p>
    <w:p w14:paraId="6A81852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（7）对已签发的进度款支付证书中出现错误的修正，应在本次进度付款中支付或扣除的金额</w:t>
      </w:r>
      <w:r>
        <w:rPr>
          <w:rFonts w:hint="eastAsia" w:ascii="宋体" w:hAnsi="宋体" w:eastAsia="宋体" w:cs="宋体"/>
          <w:color w:val="auto"/>
          <w:sz w:val="21"/>
          <w:szCs w:val="21"/>
          <w:highlight w:val="none"/>
        </w:rPr>
        <w:t>；</w:t>
      </w:r>
    </w:p>
    <w:p w14:paraId="7898465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（8）根据合同约定承包人应向发包人支付的违约金</w:t>
      </w:r>
      <w:r>
        <w:rPr>
          <w:rFonts w:hint="eastAsia" w:ascii="宋体" w:hAnsi="宋体" w:eastAsia="宋体" w:cs="宋体"/>
          <w:color w:val="auto"/>
          <w:sz w:val="21"/>
          <w:szCs w:val="21"/>
          <w:highlight w:val="none"/>
        </w:rPr>
        <w:t>；</w:t>
      </w:r>
    </w:p>
    <w:p w14:paraId="4E26F9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（9）根据合同约定发包人应向承包人支付的违约金和（或）奖励</w:t>
      </w:r>
      <w:r>
        <w:rPr>
          <w:rFonts w:hint="eastAsia" w:ascii="宋体" w:hAnsi="宋体" w:eastAsia="宋体" w:cs="宋体"/>
          <w:color w:val="auto"/>
          <w:sz w:val="21"/>
          <w:szCs w:val="21"/>
          <w:highlight w:val="none"/>
        </w:rPr>
        <w:t>；</w:t>
      </w:r>
    </w:p>
    <w:p w14:paraId="6138932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（10）根据合同约定应增加和扣减的其他金额</w:t>
      </w:r>
      <w:r>
        <w:rPr>
          <w:rFonts w:hint="eastAsia" w:ascii="宋体" w:hAnsi="宋体" w:eastAsia="宋体" w:cs="宋体"/>
          <w:color w:val="auto"/>
          <w:sz w:val="21"/>
          <w:szCs w:val="21"/>
          <w:highlight w:val="none"/>
        </w:rPr>
        <w:t>；</w:t>
      </w:r>
    </w:p>
    <w:p w14:paraId="5782FF4C">
      <w:pPr>
        <w:keepNext w:val="0"/>
        <w:keepLines w:val="0"/>
        <w:pageBreakBefore w:val="0"/>
        <w:widowControl w:val="0"/>
        <w:kinsoku/>
        <w:wordWrap/>
        <w:overflowPunct/>
        <w:topLinePunct w:val="0"/>
        <w:autoSpaceDE/>
        <w:autoSpaceDN/>
        <w:bidi w:val="0"/>
        <w:adjustRightInd/>
        <w:spacing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（11）当月应支付的人工费（工资款）金额</w:t>
      </w:r>
      <w:r>
        <w:rPr>
          <w:rFonts w:hint="eastAsia" w:ascii="宋体" w:hAnsi="宋体" w:eastAsia="宋体" w:cs="宋体"/>
          <w:color w:val="auto"/>
          <w:sz w:val="21"/>
          <w:szCs w:val="21"/>
          <w:highlight w:val="none"/>
          <w:u w:val="single"/>
          <w:lang w:eastAsia="zh-CN"/>
        </w:rPr>
        <w:t>，建设单位每月将以不低于当月已完工产值的</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%作为当月人工费（工资款），单独拨付至施工总承包企业的工资专用账户对应项目中（若人工费数额大于当月已完工产值的</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%时，按实际人工费数额拨付；若人工费数额小于当月已完工产值的</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%时，按当月已完工产值的</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%拨付）。</w:t>
      </w:r>
    </w:p>
    <w:p w14:paraId="00D7AD9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51187776">
      <w:pPr>
        <w:keepNext w:val="0"/>
        <w:keepLines w:val="0"/>
        <w:pageBreakBefore w:val="0"/>
        <w:widowControl w:val="0"/>
        <w:kinsoku/>
        <w:wordWrap/>
        <w:overflowPunct/>
        <w:topLinePunct w:val="0"/>
        <w:autoSpaceDE/>
        <w:autoSpaceDN/>
        <w:bidi w:val="0"/>
        <w:adjustRightInd/>
        <w:spacing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eastAsia="宋体" w:cs="宋体"/>
          <w:color w:val="auto"/>
          <w:sz w:val="21"/>
          <w:szCs w:val="21"/>
          <w:highlight w:val="none"/>
        </w:rPr>
        <w:t>。</w:t>
      </w:r>
    </w:p>
    <w:p w14:paraId="2AAE742E">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eastAsia="宋体" w:cs="宋体"/>
          <w:color w:val="auto"/>
          <w:sz w:val="21"/>
          <w:szCs w:val="21"/>
          <w:highlight w:val="none"/>
        </w:rPr>
        <w:t>。</w:t>
      </w:r>
    </w:p>
    <w:p w14:paraId="5E1CA32A">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62D4FEF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180C8A41">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收到完整资料后7天内</w:t>
      </w:r>
      <w:r>
        <w:rPr>
          <w:rFonts w:hint="eastAsia" w:ascii="宋体" w:hAnsi="宋体" w:eastAsia="宋体" w:cs="宋体"/>
          <w:color w:val="auto"/>
          <w:sz w:val="21"/>
          <w:szCs w:val="21"/>
          <w:highlight w:val="none"/>
        </w:rPr>
        <w:t>。</w:t>
      </w:r>
    </w:p>
    <w:p w14:paraId="134EFED4">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发包人收到监理人报送资料后7天内完成审批并签发进度款支付证书</w:t>
      </w:r>
      <w:r>
        <w:rPr>
          <w:rFonts w:hint="eastAsia" w:ascii="宋体" w:hAnsi="宋体" w:eastAsia="宋体" w:cs="宋体"/>
          <w:color w:val="auto"/>
          <w:sz w:val="21"/>
          <w:szCs w:val="21"/>
          <w:highlight w:val="none"/>
        </w:rPr>
        <w:t>。</w:t>
      </w:r>
    </w:p>
    <w:p w14:paraId="4AF374B0">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0806A1FE">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发包人签发进度款支付证书或临时进度款支付证书，不表明发包人已同意、批准或接受了承包人完成的相应部分的工作。</w:t>
      </w:r>
    </w:p>
    <w:p w14:paraId="6E2F291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（2）进度款支付：</w:t>
      </w:r>
    </w:p>
    <w:p w14:paraId="6C0072D1">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①发包人将上月农民工工资支付凭证作为当月进度款支付的前置条件。</w:t>
      </w:r>
    </w:p>
    <w:p w14:paraId="18585EFD">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安全文明施工费：</w:t>
      </w:r>
      <w:r>
        <w:rPr>
          <w:rFonts w:hint="eastAsia" w:ascii="宋体" w:hAnsi="宋体" w:eastAsia="宋体" w:cs="宋体"/>
          <w:color w:val="auto"/>
          <w:sz w:val="21"/>
          <w:szCs w:val="21"/>
          <w:highlight w:val="none"/>
          <w:u w:val="single"/>
          <w:lang w:val="en-US" w:eastAsia="zh-CN"/>
        </w:rPr>
        <w:t>合同签订后，采购人在开工前按签约合同价中安全文明施工费的 50％支付供应商，用于现场安全文明施工建设，余下安全文明施工费按施工进度支付。</w:t>
      </w:r>
      <w:r>
        <w:rPr>
          <w:rFonts w:hint="eastAsia" w:ascii="宋体" w:hAnsi="宋体" w:eastAsia="宋体" w:cs="宋体"/>
          <w:color w:val="auto"/>
          <w:sz w:val="21"/>
          <w:szCs w:val="21"/>
          <w:highlight w:val="none"/>
          <w:lang w:val="en-US" w:eastAsia="zh-CN"/>
        </w:rPr>
        <w:t xml:space="preserve"> </w:t>
      </w:r>
    </w:p>
    <w:p w14:paraId="6A3233F6">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分部分项工程费：</w:t>
      </w:r>
      <w:r>
        <w:rPr>
          <w:rFonts w:hint="eastAsia" w:ascii="宋体" w:hAnsi="宋体" w:eastAsia="宋体" w:cs="宋体"/>
          <w:color w:val="auto"/>
          <w:sz w:val="21"/>
          <w:szCs w:val="21"/>
          <w:highlight w:val="none"/>
          <w:u w:val="single"/>
          <w:lang w:val="en-US" w:eastAsia="zh-CN"/>
        </w:rPr>
        <w:t>按供应商当期完成并经监理人、跟审单位和采购人审定的工程量乘以相应综合单价计算当期完成的分部分项工程费及相应的规费和税金。采购人在签发进度款支付证书或临时进度款支付证书的次月 10 日前按经监理人、跟审单位和采购人审定的当期完成的分部分项工程费及相应的规费和税金（不含人工费价差和材料费价差）的 80%支付供应商。</w:t>
      </w:r>
      <w:r>
        <w:rPr>
          <w:rFonts w:hint="eastAsia" w:ascii="宋体" w:hAnsi="宋体" w:eastAsia="宋体" w:cs="宋体"/>
          <w:color w:val="auto"/>
          <w:sz w:val="21"/>
          <w:szCs w:val="21"/>
          <w:highlight w:val="none"/>
          <w:lang w:val="en-US" w:eastAsia="zh-CN"/>
        </w:rPr>
        <w:t xml:space="preserve"> </w:t>
      </w:r>
    </w:p>
    <w:p w14:paraId="1C4F521A">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措施项目费：</w:t>
      </w:r>
      <w:r>
        <w:rPr>
          <w:rFonts w:hint="eastAsia" w:ascii="宋体" w:hAnsi="宋体" w:eastAsia="宋体" w:cs="宋体"/>
          <w:color w:val="auto"/>
          <w:sz w:val="21"/>
          <w:szCs w:val="21"/>
          <w:highlight w:val="none"/>
          <w:u w:val="single"/>
          <w:lang w:val="en-US" w:eastAsia="zh-CN"/>
        </w:rPr>
        <w:t>按供应商当期完成并经监理人、跟审单位和采购人审定的分部分项工程量，乘以相应综合单价计算所得合计金额占签约合同价格中分部分项工程费合计金额的比例，并以签约合同价格中措施项目费为基数计算当期完成的措施项目费及相应的规费和税金。采购人在签发进度款支付证书或临时进度款支付证书的次月 10 日前按经监理人、跟审单位和采购人审定的当期完成的措施项目费及相应的规费和税金（不含人工费价差和材料费价差）的 80%支付供应商。</w:t>
      </w:r>
      <w:r>
        <w:rPr>
          <w:rFonts w:hint="eastAsia" w:ascii="宋体" w:hAnsi="宋体" w:eastAsia="宋体" w:cs="宋体"/>
          <w:color w:val="auto"/>
          <w:sz w:val="21"/>
          <w:szCs w:val="21"/>
          <w:highlight w:val="none"/>
          <w:lang w:val="en-US" w:eastAsia="zh-CN"/>
        </w:rPr>
        <w:t xml:space="preserve"> </w:t>
      </w:r>
    </w:p>
    <w:p w14:paraId="11207752">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其他项目费：</w:t>
      </w:r>
      <w:r>
        <w:rPr>
          <w:rFonts w:hint="eastAsia" w:ascii="宋体" w:hAnsi="宋体" w:eastAsia="宋体" w:cs="宋体"/>
          <w:color w:val="auto"/>
          <w:sz w:val="21"/>
          <w:szCs w:val="21"/>
          <w:highlight w:val="none"/>
          <w:u w:val="single"/>
          <w:lang w:val="en-US" w:eastAsia="zh-CN"/>
        </w:rPr>
        <w:t>按供应商当期完成并经监理人、跟审单位和采购人审定的工程量乘以相应综合单价计算当期完成的其他项目费及相应的规费和税金。采购人在签发进度款支付证书或临时进度款支付证书的次月 10 日前按经监理人、跟审单位和采购人审定的当期完成的其他项目费及相应的规费和税金的 80% 支付供应商。</w:t>
      </w:r>
      <w:r>
        <w:rPr>
          <w:rFonts w:hint="eastAsia" w:ascii="宋体" w:hAnsi="宋体" w:eastAsia="宋体" w:cs="宋体"/>
          <w:color w:val="auto"/>
          <w:sz w:val="21"/>
          <w:szCs w:val="21"/>
          <w:highlight w:val="none"/>
          <w:lang w:val="en-US" w:eastAsia="zh-CN"/>
        </w:rPr>
        <w:t xml:space="preserve"> </w:t>
      </w:r>
    </w:p>
    <w:p w14:paraId="5C62D270">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⑥</w:t>
      </w:r>
      <w:r>
        <w:rPr>
          <w:rFonts w:hint="eastAsia" w:ascii="宋体" w:hAnsi="宋体" w:eastAsia="宋体" w:cs="宋体"/>
          <w:color w:val="auto"/>
          <w:sz w:val="21"/>
          <w:szCs w:val="21"/>
          <w:highlight w:val="none"/>
          <w:lang w:val="en-US" w:eastAsia="zh-CN"/>
        </w:rPr>
        <w:t>人工费（工资款）：</w:t>
      </w:r>
      <w:r>
        <w:rPr>
          <w:rFonts w:hint="eastAsia" w:ascii="宋体" w:hAnsi="宋体" w:eastAsia="宋体" w:cs="宋体"/>
          <w:color w:val="auto"/>
          <w:sz w:val="21"/>
          <w:szCs w:val="21"/>
          <w:highlight w:val="none"/>
          <w:u w:val="single"/>
          <w:lang w:val="en-US" w:eastAsia="zh-CN"/>
        </w:rPr>
        <w:t>采购人在签发人工费（工资款）支付证书的次月 10 日前，按经监理人和采购人审定的当月完成的合同价款的 15 %（人工费数额大于当月完成的合同价款的 15% 时，按实际人工费数额拨付；若人工费数额小于当月完成的合同价款的 15%时，按不小于当月完成的合同价款的 15% 拨付），支付至供应商。</w:t>
      </w:r>
      <w:r>
        <w:rPr>
          <w:rFonts w:hint="eastAsia" w:ascii="宋体" w:hAnsi="宋体" w:eastAsia="宋体" w:cs="宋体"/>
          <w:color w:val="auto"/>
          <w:sz w:val="21"/>
          <w:szCs w:val="21"/>
          <w:highlight w:val="none"/>
          <w:lang w:val="en-US" w:eastAsia="zh-CN"/>
        </w:rPr>
        <w:t xml:space="preserve"> </w:t>
      </w:r>
    </w:p>
    <w:p w14:paraId="566C741F">
      <w:pPr>
        <w:spacing w:line="360" w:lineRule="auto"/>
        <w:ind w:firstLine="420" w:firstLineChars="2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single"/>
        </w:rPr>
        <w:t>⑦</w:t>
      </w:r>
      <w:r>
        <w:rPr>
          <w:rFonts w:hint="eastAsia" w:ascii="宋体" w:hAnsi="宋体" w:eastAsia="宋体" w:cs="宋体"/>
          <w:color w:val="auto"/>
          <w:sz w:val="21"/>
          <w:szCs w:val="21"/>
          <w:highlight w:val="none"/>
          <w:u w:val="single"/>
          <w:lang w:val="en-US" w:eastAsia="zh-CN"/>
        </w:rPr>
        <w:t>人工、材料价差按 80%纳入当期进度支付</w:t>
      </w:r>
      <w:r>
        <w:rPr>
          <w:rFonts w:hint="eastAsia" w:ascii="宋体" w:hAnsi="宋体" w:eastAsia="宋体" w:cs="宋体"/>
          <w:color w:val="auto"/>
          <w:sz w:val="21"/>
          <w:szCs w:val="21"/>
          <w:highlight w:val="none"/>
          <w:u w:val="single"/>
        </w:rPr>
        <w:t>，价差调整方式按11条约定执行。</w:t>
      </w:r>
      <w:r>
        <w:rPr>
          <w:rFonts w:hint="eastAsia" w:ascii="宋体" w:hAnsi="宋体" w:eastAsia="宋体" w:cs="宋体"/>
          <w:color w:val="auto"/>
          <w:sz w:val="21"/>
          <w:szCs w:val="21"/>
          <w:highlight w:val="none"/>
          <w:u w:val="none"/>
          <w:lang w:val="en-US" w:eastAsia="zh-CN"/>
        </w:rPr>
        <w:t xml:space="preserve"> </w:t>
      </w:r>
    </w:p>
    <w:p w14:paraId="4B20E178">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⑧</w:t>
      </w:r>
      <w:r>
        <w:rPr>
          <w:rFonts w:hint="eastAsia" w:ascii="宋体" w:hAnsi="宋体" w:eastAsia="宋体" w:cs="宋体"/>
          <w:color w:val="auto"/>
          <w:sz w:val="21"/>
          <w:szCs w:val="21"/>
          <w:highlight w:val="none"/>
          <w:u w:val="single"/>
          <w:lang w:val="en-US" w:eastAsia="zh-CN"/>
        </w:rPr>
        <w:t>工程竣工验收合格后 28 天内，采购人向供应商支付至累计进度审定金额的 80%；移交完整的工程竣工资料后 14 天内，采购人向供应商支付至累计进度审定金额的 85%；经大渡口区审计局或财政局完成结算审计或结算审核后28天内，采购人向供应商支付至经大渡口区审计局或财政局审定金额的97%；缺陷责任期满后 28 天内采购人向供应商支付剩余工程款。</w:t>
      </w:r>
      <w:r>
        <w:rPr>
          <w:rFonts w:hint="eastAsia" w:ascii="宋体" w:hAnsi="宋体" w:eastAsia="宋体" w:cs="宋体"/>
          <w:color w:val="auto"/>
          <w:sz w:val="21"/>
          <w:szCs w:val="21"/>
          <w:highlight w:val="none"/>
          <w:lang w:val="en-US" w:eastAsia="zh-CN"/>
        </w:rPr>
        <w:t xml:space="preserve"> </w:t>
      </w:r>
    </w:p>
    <w:p w14:paraId="3B982028">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⑨支付方式：银行转账。 </w:t>
      </w:r>
    </w:p>
    <w:p w14:paraId="32EE4DA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5.支付账户 </w:t>
      </w:r>
    </w:p>
    <w:p w14:paraId="084F8B1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采购人应将合同价款支付至如下供应商指定的开户银行及银行账户： </w:t>
      </w:r>
    </w:p>
    <w:p w14:paraId="54BD22A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 </w:t>
      </w:r>
    </w:p>
    <w:p w14:paraId="1CF3F96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CE1379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61638F2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采购人应按行业主管部门的相关规定将人工费（工资款）支付至供应商指定的农民工工资专用账户。</w:t>
      </w:r>
    </w:p>
    <w:p w14:paraId="3C2FDF4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729" w:name="_Toc351203645"/>
      <w:bookmarkStart w:id="730" w:name="_Toc532375651"/>
      <w:bookmarkStart w:id="731" w:name="_Toc532377388"/>
      <w:bookmarkStart w:id="732" w:name="_Toc297048405"/>
      <w:bookmarkStart w:id="733" w:name="_Toc296503219"/>
      <w:bookmarkStart w:id="734" w:name="_Toc296346720"/>
      <w:bookmarkStart w:id="735" w:name="_Toc296891259"/>
      <w:bookmarkStart w:id="736" w:name="_Toc292559929"/>
      <w:bookmarkStart w:id="737" w:name="_Toc312678053"/>
      <w:bookmarkStart w:id="738" w:name="_Toc297216223"/>
      <w:bookmarkStart w:id="739" w:name="_Toc296944558"/>
      <w:bookmarkStart w:id="740" w:name="_Toc304295593"/>
      <w:bookmarkStart w:id="741" w:name="_Toc296347218"/>
      <w:bookmarkStart w:id="742" w:name="_Toc297123564"/>
      <w:bookmarkStart w:id="743" w:name="_Toc300935015"/>
      <w:bookmarkStart w:id="744" w:name="_Toc303539172"/>
      <w:bookmarkStart w:id="745" w:name="_Toc297120519"/>
      <w:bookmarkStart w:id="746" w:name="_Toc296891047"/>
      <w:bookmarkStart w:id="747" w:name="_Toc292559424"/>
      <w:r>
        <w:rPr>
          <w:rFonts w:hint="eastAsia" w:ascii="宋体" w:hAnsi="宋体" w:eastAsia="宋体" w:cs="宋体"/>
          <w:color w:val="auto"/>
          <w:kern w:val="2"/>
          <w:sz w:val="21"/>
          <w:szCs w:val="21"/>
          <w:highlight w:val="none"/>
        </w:rPr>
        <w:t>13. 验收和工程试车</w:t>
      </w:r>
      <w:bookmarkEnd w:id="729"/>
      <w:bookmarkEnd w:id="730"/>
      <w:bookmarkEnd w:id="731"/>
    </w:p>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14:paraId="39AC3E2D">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48" w:name="_Toc532377389"/>
      <w:bookmarkStart w:id="749" w:name="_Toc532375652"/>
      <w:bookmarkStart w:id="750" w:name="_Toc280868704"/>
      <w:bookmarkStart w:id="751" w:name="_Toc280868705"/>
      <w:bookmarkStart w:id="752" w:name="_Toc280868706"/>
      <w:bookmarkStart w:id="753" w:name="_Toc280868707"/>
      <w:bookmarkStart w:id="754" w:name="_Toc280868708"/>
      <w:bookmarkStart w:id="755" w:name="_Toc267251474"/>
      <w:bookmarkStart w:id="756" w:name="_Toc267251470"/>
      <w:bookmarkStart w:id="757" w:name="_Toc267251473"/>
      <w:bookmarkStart w:id="758" w:name="_Toc280868709"/>
      <w:bookmarkStart w:id="759" w:name="_Toc267251476"/>
      <w:bookmarkStart w:id="760" w:name="_Toc267251475"/>
      <w:bookmarkStart w:id="761" w:name="_Toc267251471"/>
      <w:bookmarkStart w:id="762" w:name="_Toc267251472"/>
      <w:r>
        <w:rPr>
          <w:rFonts w:hint="eastAsia" w:ascii="宋体" w:hAnsi="宋体" w:eastAsia="宋体" w:cs="宋体"/>
          <w:color w:val="auto"/>
          <w:sz w:val="21"/>
          <w:szCs w:val="21"/>
          <w:highlight w:val="none"/>
        </w:rPr>
        <w:t>13.1 分部分项工程验收</w:t>
      </w:r>
      <w:bookmarkEnd w:id="748"/>
      <w:bookmarkEnd w:id="749"/>
    </w:p>
    <w:p w14:paraId="2BD2902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 监理人不能按时进行验收时，应提前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3DA1E052">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5B515F8B">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63" w:name="_Toc532377390"/>
      <w:bookmarkStart w:id="764" w:name="_Toc532375653"/>
      <w:bookmarkStart w:id="765" w:name="_Toc312678056"/>
      <w:bookmarkStart w:id="766" w:name="_Toc296347222"/>
      <w:bookmarkStart w:id="767" w:name="_Toc300935016"/>
      <w:bookmarkStart w:id="768" w:name="_Toc297216224"/>
      <w:bookmarkStart w:id="769" w:name="_Toc297123565"/>
      <w:bookmarkStart w:id="770" w:name="_Toc304295596"/>
      <w:bookmarkStart w:id="771" w:name="_Toc297120523"/>
      <w:bookmarkStart w:id="772" w:name="_Toc292559428"/>
      <w:bookmarkStart w:id="773" w:name="_Toc303539173"/>
      <w:bookmarkStart w:id="774" w:name="_Toc297048409"/>
      <w:bookmarkStart w:id="775" w:name="_Toc296346724"/>
      <w:bookmarkStart w:id="776" w:name="_Toc292559933"/>
      <w:bookmarkStart w:id="777" w:name="_Toc296891263"/>
      <w:bookmarkStart w:id="778" w:name="_Toc296891051"/>
      <w:bookmarkStart w:id="779" w:name="_Toc296503223"/>
      <w:bookmarkStart w:id="780" w:name="_Toc296944562"/>
      <w:r>
        <w:rPr>
          <w:rFonts w:hint="eastAsia" w:ascii="宋体" w:hAnsi="宋体" w:eastAsia="宋体" w:cs="宋体"/>
          <w:color w:val="auto"/>
          <w:sz w:val="21"/>
          <w:szCs w:val="21"/>
          <w:highlight w:val="none"/>
        </w:rPr>
        <w:t>13.2 竣工验收</w:t>
      </w:r>
      <w:bookmarkEnd w:id="763"/>
      <w:bookmarkEnd w:id="764"/>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099BAC23">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bookmarkEnd w:id="750"/>
    <w:p w14:paraId="2FEACF8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关于竣工验收程序的约定：工程完工且符合下列条件时，承包人可向发包人提供竣工报告，并要求验收：</w:t>
      </w:r>
    </w:p>
    <w:p w14:paraId="6786AF6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（1）除发包人同意的甩项工作和缺陷修补工作外，合同范围内的全部工程以及有关工作，包括合同要求的试验、试运行以及检验均已完成，并符合合同要求；</w:t>
      </w:r>
    </w:p>
    <w:p w14:paraId="35D9BDD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（2）已按合同约定编制了甩项工作和缺陷修补工作清单以及相应的施工计划；</w:t>
      </w:r>
    </w:p>
    <w:p w14:paraId="71546AE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（3）已按合同约定的内容和份数备齐竣工资料。</w:t>
      </w:r>
    </w:p>
    <w:p w14:paraId="3C4CBB5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413F6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工程竣工及竣工资料：</w:t>
      </w:r>
    </w:p>
    <w:p w14:paraId="6643B3C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eastAsia="宋体" w:cs="宋体"/>
          <w:color w:val="auto"/>
          <w:sz w:val="21"/>
          <w:szCs w:val="21"/>
          <w:highlight w:val="none"/>
        </w:rPr>
        <w:t>。</w:t>
      </w:r>
    </w:p>
    <w:p w14:paraId="38F5FF11">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宋体"/>
          <w:color w:val="auto"/>
          <w:sz w:val="21"/>
          <w:szCs w:val="21"/>
          <w:highlight w:val="none"/>
        </w:rPr>
        <w:t>。</w:t>
      </w:r>
    </w:p>
    <w:p w14:paraId="5949C55A">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（3）承包人提供竣工资料的约定：</w:t>
      </w:r>
      <w:r>
        <w:rPr>
          <w:rFonts w:hint="eastAsia" w:ascii="宋体" w:hAnsi="宋体" w:eastAsia="宋体" w:cs="宋体"/>
          <w:color w:val="auto"/>
          <w:sz w:val="21"/>
          <w:szCs w:val="21"/>
          <w:highlight w:val="none"/>
          <w:u w:val="single"/>
        </w:rPr>
        <w:t>承包人提供纸质版竣工图三套，电子版竣工图二套（刻光盘）</w:t>
      </w:r>
      <w:r>
        <w:rPr>
          <w:rFonts w:hint="eastAsia" w:ascii="宋体" w:hAnsi="宋体" w:eastAsia="宋体" w:cs="宋体"/>
          <w:color w:val="auto"/>
          <w:sz w:val="21"/>
          <w:szCs w:val="21"/>
          <w:highlight w:val="none"/>
        </w:rPr>
        <w:t>。</w:t>
      </w:r>
    </w:p>
    <w:bookmarkEnd w:id="751"/>
    <w:p w14:paraId="6B59163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 移交、接收全部与部分工程</w:t>
      </w:r>
    </w:p>
    <w:bookmarkEnd w:id="752"/>
    <w:p w14:paraId="72A58A9C">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颁发工程接收证书后7天内完成工程的移交</w:t>
      </w:r>
      <w:r>
        <w:rPr>
          <w:rFonts w:hint="eastAsia" w:ascii="宋体" w:hAnsi="宋体" w:eastAsia="宋体" w:cs="宋体"/>
          <w:color w:val="auto"/>
          <w:sz w:val="21"/>
          <w:szCs w:val="21"/>
          <w:highlight w:val="none"/>
        </w:rPr>
        <w:t>。</w:t>
      </w:r>
    </w:p>
    <w:p w14:paraId="6391E4D1">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发包人未按合同约定接收全部或部分工程的，违约金的计算方法为：发包人自应当接收工程之日起承担工程照管、成品保护、保管等与工程有关的各项费用。</w:t>
      </w:r>
    </w:p>
    <w:bookmarkEnd w:id="753"/>
    <w:p w14:paraId="3A33C52C">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因承包人自身原因未按时移交工程的，违约金的计算方法为：</w:t>
      </w:r>
      <w:r>
        <w:rPr>
          <w:rFonts w:hint="eastAsia" w:ascii="宋体" w:hAnsi="宋体" w:eastAsia="宋体" w:cs="宋体"/>
          <w:color w:val="auto"/>
          <w:sz w:val="21"/>
          <w:szCs w:val="21"/>
          <w:highlight w:val="none"/>
          <w:u w:val="single"/>
        </w:rPr>
        <w:t>承包人应承担工程照管、成品保护、保管等与工程有关的各项费用，并按经审定结算金额的0.5‰/天支付违约金</w:t>
      </w:r>
      <w:r>
        <w:rPr>
          <w:rFonts w:hint="eastAsia" w:ascii="宋体" w:hAnsi="宋体" w:eastAsia="宋体" w:cs="宋体"/>
          <w:color w:val="auto"/>
          <w:sz w:val="21"/>
          <w:szCs w:val="21"/>
          <w:highlight w:val="none"/>
        </w:rPr>
        <w:t>。</w:t>
      </w:r>
    </w:p>
    <w:p w14:paraId="6E718FB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81" w:name="_Toc532377391"/>
      <w:bookmarkStart w:id="782" w:name="_Toc532375654"/>
      <w:r>
        <w:rPr>
          <w:rFonts w:hint="eastAsia" w:ascii="宋体" w:hAnsi="宋体" w:eastAsia="宋体" w:cs="宋体"/>
          <w:color w:val="auto"/>
          <w:sz w:val="21"/>
          <w:szCs w:val="21"/>
          <w:highlight w:val="none"/>
        </w:rPr>
        <w:t>13.3 工程试车</w:t>
      </w:r>
      <w:bookmarkEnd w:id="781"/>
      <w:bookmarkEnd w:id="782"/>
    </w:p>
    <w:p w14:paraId="40C6463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528222D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53CE77DD">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p w14:paraId="2459EC23">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p w14:paraId="620EBDF9">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83" w:name="_Toc532375655"/>
      <w:bookmarkStart w:id="784" w:name="_Toc532377392"/>
      <w:r>
        <w:rPr>
          <w:rFonts w:hint="eastAsia" w:ascii="宋体" w:hAnsi="宋体" w:eastAsia="宋体" w:cs="宋体"/>
          <w:color w:val="auto"/>
          <w:sz w:val="21"/>
          <w:szCs w:val="21"/>
          <w:highlight w:val="none"/>
        </w:rPr>
        <w:t>13.6 竣工退场</w:t>
      </w:r>
      <w:bookmarkEnd w:id="783"/>
      <w:bookmarkEnd w:id="784"/>
    </w:p>
    <w:p w14:paraId="30309D7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6E83234C">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宋体"/>
          <w:color w:val="auto"/>
          <w:sz w:val="21"/>
          <w:szCs w:val="21"/>
          <w:highlight w:val="none"/>
        </w:rPr>
        <w:t>。</w:t>
      </w:r>
    </w:p>
    <w:bookmarkEnd w:id="754"/>
    <w:p w14:paraId="6C70C8E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785" w:name="_Toc351203646"/>
      <w:bookmarkStart w:id="786" w:name="_Toc532375656"/>
      <w:bookmarkStart w:id="787" w:name="_Toc532377393"/>
      <w:r>
        <w:rPr>
          <w:rFonts w:hint="eastAsia" w:ascii="宋体" w:hAnsi="宋体" w:eastAsia="宋体" w:cs="宋体"/>
          <w:color w:val="auto"/>
          <w:kern w:val="2"/>
          <w:sz w:val="21"/>
          <w:szCs w:val="21"/>
          <w:highlight w:val="none"/>
        </w:rPr>
        <w:t>14. 竣工结算</w:t>
      </w:r>
      <w:bookmarkEnd w:id="785"/>
      <w:bookmarkEnd w:id="786"/>
      <w:bookmarkEnd w:id="787"/>
    </w:p>
    <w:p w14:paraId="2D56F5D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88" w:name="_Toc532377394"/>
      <w:bookmarkStart w:id="789" w:name="_Toc532375657"/>
      <w:r>
        <w:rPr>
          <w:rFonts w:hint="eastAsia" w:ascii="宋体" w:hAnsi="宋体" w:eastAsia="宋体" w:cs="宋体"/>
          <w:color w:val="auto"/>
          <w:sz w:val="21"/>
          <w:szCs w:val="21"/>
          <w:highlight w:val="none"/>
        </w:rPr>
        <w:t>14.1 竣工结算申请</w:t>
      </w:r>
      <w:bookmarkEnd w:id="788"/>
      <w:bookmarkEnd w:id="789"/>
    </w:p>
    <w:p w14:paraId="7051E198">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790" w:name="_Hlk524297994"/>
      <w:r>
        <w:rPr>
          <w:rFonts w:hint="eastAsia" w:ascii="宋体" w:hAnsi="宋体" w:eastAsia="宋体" w:cs="宋体"/>
          <w:color w:val="auto"/>
          <w:sz w:val="21"/>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3097E06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竣工结算申请单包括但不限于以下内容：</w:t>
      </w:r>
    </w:p>
    <w:p w14:paraId="5F44B468">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（1）竣工结算合同价格；</w:t>
      </w:r>
    </w:p>
    <w:p w14:paraId="47EE72C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（2）变更增减金额；</w:t>
      </w:r>
    </w:p>
    <w:p w14:paraId="6329C8D2">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（3）现场签证增减金额；</w:t>
      </w:r>
    </w:p>
    <w:p w14:paraId="5FBE917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（4）索赔增减金额；</w:t>
      </w:r>
    </w:p>
    <w:p w14:paraId="2930EE5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（5）奖励、罚金及违约金；</w:t>
      </w:r>
    </w:p>
    <w:p w14:paraId="05A44586">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（6）发包人已支付承包人的款项；</w:t>
      </w:r>
    </w:p>
    <w:p w14:paraId="6511BF05">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（7）应扣留的质量保证金；</w:t>
      </w:r>
    </w:p>
    <w:p w14:paraId="05365A2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（8）发包人应支付承包人的合同价款。</w:t>
      </w:r>
      <w:bookmarkEnd w:id="790"/>
    </w:p>
    <w:p w14:paraId="3AC83406">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u w:val="single"/>
          <w:lang w:val="en-US" w:eastAsia="zh-CN"/>
        </w:rPr>
        <w:t xml:space="preserve"> / 。</w:t>
      </w:r>
    </w:p>
    <w:p w14:paraId="430C7348">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91" w:name="_Toc532377395"/>
      <w:bookmarkStart w:id="792" w:name="_Toc532375658"/>
      <w:r>
        <w:rPr>
          <w:rFonts w:hint="eastAsia" w:ascii="宋体" w:hAnsi="宋体" w:eastAsia="宋体" w:cs="宋体"/>
          <w:color w:val="auto"/>
          <w:sz w:val="21"/>
          <w:szCs w:val="21"/>
          <w:highlight w:val="none"/>
        </w:rPr>
        <w:t>14.2 竣工结算审核</w:t>
      </w:r>
      <w:bookmarkEnd w:id="791"/>
      <w:bookmarkEnd w:id="792"/>
    </w:p>
    <w:p w14:paraId="02CB567E">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 竣工结算办法</w:t>
      </w:r>
    </w:p>
    <w:p w14:paraId="2381E7A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14.2.1.1计量原则</w:t>
      </w:r>
    </w:p>
    <w:p w14:paraId="5BE3AB86">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按照第12.3.1项〔计量原则〕约定执行。</w:t>
      </w:r>
    </w:p>
    <w:p w14:paraId="1A81634E">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14.2.1.2计价原则</w:t>
      </w:r>
    </w:p>
    <w:p w14:paraId="747000E4">
      <w:pPr>
        <w:spacing w:line="360" w:lineRule="auto"/>
        <w:ind w:right="140" w:rightChars="50"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合同竣工</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u w:val="single"/>
        </w:rPr>
        <w:t>价=Σ</w:t>
      </w:r>
      <w:r>
        <w:rPr>
          <w:rFonts w:hint="eastAsia" w:ascii="宋体" w:hAnsi="宋体" w:eastAsia="宋体" w:cs="宋体"/>
          <w:color w:val="auto"/>
          <w:sz w:val="21"/>
          <w:szCs w:val="21"/>
          <w:highlight w:val="none"/>
          <w:u w:val="single"/>
          <w:lang w:eastAsia="zh-CN"/>
        </w:rPr>
        <w:t>分部分项</w:t>
      </w:r>
      <w:r>
        <w:rPr>
          <w:rFonts w:hint="eastAsia" w:ascii="宋体" w:hAnsi="宋体" w:eastAsia="宋体" w:cs="宋体"/>
          <w:color w:val="auto"/>
          <w:sz w:val="21"/>
          <w:szCs w:val="21"/>
          <w:highlight w:val="none"/>
          <w:u w:val="single"/>
        </w:rPr>
        <w:t>工程结算价+Σ</w:t>
      </w:r>
      <w:r>
        <w:rPr>
          <w:rFonts w:hint="eastAsia" w:ascii="宋体" w:hAnsi="宋体" w:eastAsia="宋体" w:cs="宋体"/>
          <w:color w:val="auto"/>
          <w:sz w:val="21"/>
          <w:szCs w:val="21"/>
          <w:highlight w:val="none"/>
          <w:u w:val="single"/>
          <w:lang w:eastAsia="zh-CN"/>
        </w:rPr>
        <w:t>措施项目</w:t>
      </w:r>
      <w:r>
        <w:rPr>
          <w:rFonts w:hint="eastAsia" w:ascii="宋体" w:hAnsi="宋体" w:eastAsia="宋体" w:cs="宋体"/>
          <w:color w:val="auto"/>
          <w:sz w:val="21"/>
          <w:szCs w:val="21"/>
          <w:highlight w:val="none"/>
          <w:u w:val="single"/>
        </w:rPr>
        <w:t>结算价+Σ</w:t>
      </w:r>
      <w:r>
        <w:rPr>
          <w:rFonts w:hint="eastAsia" w:ascii="宋体" w:hAnsi="宋体" w:eastAsia="宋体" w:cs="宋体"/>
          <w:color w:val="auto"/>
          <w:sz w:val="21"/>
          <w:szCs w:val="21"/>
          <w:highlight w:val="none"/>
          <w:u w:val="single"/>
          <w:lang w:eastAsia="zh-CN"/>
        </w:rPr>
        <w:t>其他项目</w:t>
      </w:r>
      <w:r>
        <w:rPr>
          <w:rFonts w:hint="eastAsia" w:ascii="宋体" w:hAnsi="宋体" w:eastAsia="宋体" w:cs="宋体"/>
          <w:color w:val="auto"/>
          <w:sz w:val="21"/>
          <w:szCs w:val="21"/>
          <w:highlight w:val="none"/>
          <w:u w:val="single"/>
        </w:rPr>
        <w:t>结算价±Σ价格调整（如有）±Σ变更、索赔与现场签证结算价±Σ奖励、罚金、违约金及其他费用+Σ</w:t>
      </w:r>
      <w:r>
        <w:rPr>
          <w:rFonts w:hint="eastAsia" w:ascii="宋体" w:hAnsi="宋体" w:eastAsia="宋体" w:cs="宋体"/>
          <w:color w:val="auto"/>
          <w:sz w:val="21"/>
          <w:szCs w:val="21"/>
          <w:highlight w:val="none"/>
          <w:u w:val="single"/>
          <w:lang w:eastAsia="zh-CN"/>
        </w:rPr>
        <w:t>规费+</w:t>
      </w:r>
      <w:r>
        <w:rPr>
          <w:rFonts w:hint="eastAsia" w:ascii="宋体" w:hAnsi="宋体" w:eastAsia="宋体" w:cs="宋体"/>
          <w:color w:val="auto"/>
          <w:sz w:val="21"/>
          <w:szCs w:val="21"/>
          <w:highlight w:val="none"/>
          <w:u w:val="single"/>
        </w:rPr>
        <w:t>Σ</w:t>
      </w:r>
      <w:r>
        <w:rPr>
          <w:rFonts w:hint="eastAsia" w:ascii="宋体" w:hAnsi="宋体" w:eastAsia="宋体" w:cs="宋体"/>
          <w:color w:val="auto"/>
          <w:sz w:val="21"/>
          <w:szCs w:val="21"/>
          <w:highlight w:val="none"/>
          <w:u w:val="single"/>
          <w:lang w:eastAsia="zh-CN"/>
        </w:rPr>
        <w:t>税金。</w:t>
      </w:r>
    </w:p>
    <w:p w14:paraId="0C7721D1">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eastAsia="zh-CN"/>
        </w:rPr>
        <w:t>结算</w:t>
      </w:r>
      <w:r>
        <w:rPr>
          <w:rFonts w:hint="eastAsia" w:ascii="宋体" w:hAnsi="宋体" w:eastAsia="宋体" w:cs="宋体"/>
          <w:color w:val="auto"/>
          <w:sz w:val="21"/>
          <w:szCs w:val="21"/>
          <w:highlight w:val="none"/>
        </w:rPr>
        <w:t>办法</w:t>
      </w:r>
      <w:r>
        <w:rPr>
          <w:rFonts w:hint="eastAsia" w:ascii="宋体" w:hAnsi="宋体" w:eastAsia="宋体" w:cs="宋体"/>
          <w:color w:val="auto"/>
          <w:sz w:val="21"/>
          <w:szCs w:val="21"/>
          <w:highlight w:val="none"/>
          <w:lang w:eastAsia="zh-CN"/>
        </w:rPr>
        <w:t>如下：</w:t>
      </w:r>
    </w:p>
    <w:p w14:paraId="40B8E83C">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（1）分部分项</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eastAsia="zh-CN"/>
        </w:rPr>
        <w:t>：</w:t>
      </w:r>
    </w:p>
    <w:p w14:paraId="16744C01">
      <w:pPr>
        <w:spacing w:line="360" w:lineRule="auto"/>
        <w:ind w:right="140" w:rightChars="50"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①已标价</w:t>
      </w:r>
      <w:r>
        <w:rPr>
          <w:rFonts w:hint="eastAsia" w:ascii="宋体" w:hAnsi="宋体" w:eastAsia="宋体" w:cs="宋体"/>
          <w:color w:val="auto"/>
          <w:sz w:val="21"/>
          <w:szCs w:val="21"/>
          <w:highlight w:val="none"/>
          <w:u w:val="single"/>
          <w:lang w:eastAsia="zh-CN"/>
        </w:rPr>
        <w:t>工程量清单</w:t>
      </w:r>
      <w:r>
        <w:rPr>
          <w:rFonts w:hint="eastAsia" w:ascii="宋体" w:hAnsi="宋体" w:eastAsia="宋体" w:cs="宋体"/>
          <w:color w:val="auto"/>
          <w:sz w:val="21"/>
          <w:szCs w:val="21"/>
          <w:highlight w:val="none"/>
          <w:u w:val="single"/>
        </w:rPr>
        <w:t>子目</w:t>
      </w:r>
      <w:r>
        <w:rPr>
          <w:rFonts w:hint="eastAsia" w:ascii="宋体" w:hAnsi="宋体" w:eastAsia="宋体" w:cs="宋体"/>
          <w:color w:val="auto"/>
          <w:sz w:val="21"/>
          <w:szCs w:val="21"/>
          <w:highlight w:val="none"/>
          <w:u w:val="single"/>
          <w:lang w:eastAsia="zh-CN"/>
        </w:rPr>
        <w:t>综合单价</w:t>
      </w:r>
      <w:r>
        <w:rPr>
          <w:rFonts w:hint="eastAsia" w:ascii="宋体" w:hAnsi="宋体" w:eastAsia="宋体" w:cs="宋体"/>
          <w:color w:val="auto"/>
          <w:sz w:val="21"/>
          <w:szCs w:val="21"/>
          <w:highlight w:val="none"/>
          <w:u w:val="single"/>
        </w:rPr>
        <w:t>按合同约定无需调整的，以按照竣工图和第12.3.1项〔计量原则〕约定确定的工程量</w:t>
      </w:r>
      <w:r>
        <w:rPr>
          <w:rFonts w:hint="eastAsia" w:ascii="宋体" w:hAnsi="宋体" w:eastAsia="宋体" w:cs="宋体"/>
          <w:color w:val="auto"/>
          <w:sz w:val="21"/>
          <w:szCs w:val="21"/>
          <w:highlight w:val="none"/>
          <w:u w:val="single"/>
          <w:lang w:eastAsia="zh-CN"/>
        </w:rPr>
        <w:t>乘以</w:t>
      </w:r>
      <w:r>
        <w:rPr>
          <w:rFonts w:hint="eastAsia" w:ascii="宋体" w:hAnsi="宋体" w:eastAsia="宋体" w:cs="宋体"/>
          <w:color w:val="auto"/>
          <w:sz w:val="21"/>
          <w:szCs w:val="21"/>
          <w:highlight w:val="none"/>
          <w:u w:val="single"/>
        </w:rPr>
        <w:t>相应的已标价</w:t>
      </w:r>
      <w:r>
        <w:rPr>
          <w:rFonts w:hint="eastAsia" w:ascii="宋体" w:hAnsi="宋体" w:eastAsia="宋体" w:cs="宋体"/>
          <w:color w:val="auto"/>
          <w:sz w:val="21"/>
          <w:szCs w:val="21"/>
          <w:highlight w:val="none"/>
          <w:u w:val="single"/>
          <w:lang w:eastAsia="zh-CN"/>
        </w:rPr>
        <w:t>工程量</w:t>
      </w:r>
      <w:r>
        <w:rPr>
          <w:rFonts w:hint="eastAsia" w:ascii="宋体" w:hAnsi="宋体" w:eastAsia="宋体" w:cs="宋体"/>
          <w:color w:val="auto"/>
          <w:sz w:val="21"/>
          <w:szCs w:val="21"/>
          <w:highlight w:val="none"/>
          <w:u w:val="single"/>
        </w:rPr>
        <w:t>清单子目综合单价确定该</w:t>
      </w:r>
      <w:r>
        <w:rPr>
          <w:rFonts w:hint="eastAsia" w:ascii="宋体" w:hAnsi="宋体" w:eastAsia="宋体" w:cs="宋体"/>
          <w:color w:val="auto"/>
          <w:sz w:val="21"/>
          <w:szCs w:val="21"/>
          <w:highlight w:val="none"/>
          <w:u w:val="single"/>
          <w:lang w:eastAsia="zh-CN"/>
        </w:rPr>
        <w:t>部分</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lang w:eastAsia="zh-CN"/>
        </w:rPr>
        <w:t>部分项</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eastAsia="zh-CN"/>
        </w:rPr>
        <w:t>结算价</w:t>
      </w:r>
      <w:r>
        <w:rPr>
          <w:rFonts w:hint="eastAsia" w:ascii="宋体" w:hAnsi="宋体" w:eastAsia="宋体" w:cs="宋体"/>
          <w:color w:val="auto"/>
          <w:sz w:val="21"/>
          <w:szCs w:val="21"/>
          <w:highlight w:val="none"/>
          <w:u w:val="single"/>
        </w:rPr>
        <w:t>；</w:t>
      </w:r>
    </w:p>
    <w:p w14:paraId="019839DE">
      <w:pPr>
        <w:tabs>
          <w:tab w:val="left" w:pos="711"/>
          <w:tab w:val="left" w:pos="2580"/>
        </w:tabs>
        <w:spacing w:line="360" w:lineRule="auto"/>
        <w:ind w:right="140" w:rightChars="50"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②已标价工程量清单子目综合单价按第11.3款〔严重不平衡</w:t>
      </w:r>
      <w:r>
        <w:rPr>
          <w:rFonts w:hint="eastAsia" w:ascii="宋体" w:hAnsi="宋体" w:eastAsia="宋体" w:cs="宋体"/>
          <w:color w:val="auto"/>
          <w:sz w:val="21"/>
          <w:szCs w:val="21"/>
          <w:highlight w:val="none"/>
          <w:u w:val="single"/>
          <w:lang w:eastAsia="zh-CN"/>
        </w:rPr>
        <w:t>报价</w:t>
      </w:r>
      <w:r>
        <w:rPr>
          <w:rFonts w:hint="eastAsia" w:ascii="宋体" w:hAnsi="宋体" w:eastAsia="宋体" w:cs="宋体"/>
          <w:color w:val="auto"/>
          <w:sz w:val="21"/>
          <w:szCs w:val="21"/>
          <w:highlight w:val="none"/>
          <w:u w:val="single"/>
        </w:rPr>
        <w:t>引起的调整〕约定需要修正综合单价的，</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u w:val="single"/>
        </w:rPr>
        <w:t>工程量超过已标价</w:t>
      </w:r>
      <w:r>
        <w:rPr>
          <w:rFonts w:hint="eastAsia" w:ascii="宋体" w:hAnsi="宋体" w:eastAsia="宋体" w:cs="宋体"/>
          <w:color w:val="auto"/>
          <w:sz w:val="21"/>
          <w:szCs w:val="21"/>
          <w:highlight w:val="none"/>
          <w:u w:val="single"/>
          <w:lang w:eastAsia="zh-CN"/>
        </w:rPr>
        <w:t>工程量</w:t>
      </w:r>
      <w:r>
        <w:rPr>
          <w:rFonts w:hint="eastAsia" w:ascii="宋体" w:hAnsi="宋体" w:eastAsia="宋体" w:cs="宋体"/>
          <w:color w:val="auto"/>
          <w:sz w:val="21"/>
          <w:szCs w:val="21"/>
          <w:highlight w:val="none"/>
          <w:u w:val="single"/>
        </w:rPr>
        <w:t>15%的，超出部分工程量乘以按第11.3款〔严重不平衡</w:t>
      </w:r>
      <w:r>
        <w:rPr>
          <w:rFonts w:hint="eastAsia" w:ascii="宋体" w:hAnsi="宋体" w:eastAsia="宋体" w:cs="宋体"/>
          <w:color w:val="auto"/>
          <w:sz w:val="21"/>
          <w:szCs w:val="21"/>
          <w:highlight w:val="none"/>
          <w:u w:val="single"/>
          <w:lang w:eastAsia="zh-CN"/>
        </w:rPr>
        <w:t>报价</w:t>
      </w:r>
      <w:r>
        <w:rPr>
          <w:rFonts w:hint="eastAsia" w:ascii="宋体" w:hAnsi="宋体" w:eastAsia="宋体" w:cs="宋体"/>
          <w:color w:val="auto"/>
          <w:sz w:val="21"/>
          <w:szCs w:val="21"/>
          <w:highlight w:val="none"/>
          <w:u w:val="single"/>
        </w:rPr>
        <w:t>引起的调整〕约定修正</w:t>
      </w:r>
      <w:r>
        <w:rPr>
          <w:rFonts w:hint="eastAsia" w:ascii="宋体" w:hAnsi="宋体" w:eastAsia="宋体" w:cs="宋体"/>
          <w:color w:val="auto"/>
          <w:sz w:val="21"/>
          <w:szCs w:val="21"/>
          <w:highlight w:val="none"/>
          <w:u w:val="single"/>
          <w:lang w:eastAsia="zh-CN"/>
        </w:rPr>
        <w:t>综合单价</w:t>
      </w:r>
      <w:r>
        <w:rPr>
          <w:rFonts w:hint="eastAsia" w:ascii="宋体" w:hAnsi="宋体" w:eastAsia="宋体" w:cs="宋体"/>
          <w:color w:val="auto"/>
          <w:sz w:val="21"/>
          <w:szCs w:val="21"/>
          <w:highlight w:val="none"/>
          <w:u w:val="single"/>
        </w:rPr>
        <w:t>确定该部分分部分项</w:t>
      </w:r>
      <w:r>
        <w:rPr>
          <w:rFonts w:hint="eastAsia" w:ascii="宋体" w:hAnsi="宋体" w:eastAsia="宋体" w:cs="宋体"/>
          <w:color w:val="auto"/>
          <w:sz w:val="21"/>
          <w:szCs w:val="21"/>
          <w:highlight w:val="none"/>
          <w:u w:val="single"/>
          <w:lang w:eastAsia="zh-CN"/>
        </w:rPr>
        <w:t>工程</w:t>
      </w:r>
      <w:r>
        <w:rPr>
          <w:rFonts w:hint="eastAsia" w:ascii="宋体" w:hAnsi="宋体" w:eastAsia="宋体" w:cs="宋体"/>
          <w:color w:val="auto"/>
          <w:sz w:val="21"/>
          <w:szCs w:val="21"/>
          <w:highlight w:val="none"/>
          <w:u w:val="single"/>
        </w:rPr>
        <w:t>结算价；</w:t>
      </w:r>
    </w:p>
    <w:p w14:paraId="72A807A2">
      <w:pPr>
        <w:spacing w:line="360" w:lineRule="auto"/>
        <w:ind w:right="140" w:rightChars="50"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③需要对没有填入综合单价或总额价的子目项目进行扣减的，第12.3.1项〔计量原则〕约定</w:t>
      </w:r>
      <w:r>
        <w:rPr>
          <w:rFonts w:hint="eastAsia" w:ascii="宋体" w:hAnsi="宋体" w:eastAsia="宋体" w:cs="宋体"/>
          <w:color w:val="auto"/>
          <w:sz w:val="21"/>
          <w:szCs w:val="21"/>
          <w:highlight w:val="none"/>
          <w:u w:val="single"/>
          <w:lang w:eastAsia="zh-CN"/>
        </w:rPr>
        <w:t>确定</w:t>
      </w:r>
      <w:r>
        <w:rPr>
          <w:rFonts w:hint="eastAsia" w:ascii="宋体" w:hAnsi="宋体" w:eastAsia="宋体" w:cs="宋体"/>
          <w:color w:val="auto"/>
          <w:sz w:val="21"/>
          <w:szCs w:val="21"/>
          <w:highlight w:val="none"/>
          <w:u w:val="single"/>
        </w:rPr>
        <w:t>的</w:t>
      </w:r>
      <w:r>
        <w:rPr>
          <w:rFonts w:hint="eastAsia" w:ascii="宋体" w:hAnsi="宋体" w:eastAsia="宋体" w:cs="宋体"/>
          <w:color w:val="auto"/>
          <w:sz w:val="21"/>
          <w:szCs w:val="21"/>
          <w:highlight w:val="none"/>
          <w:u w:val="single"/>
          <w:lang w:eastAsia="zh-CN"/>
        </w:rPr>
        <w:t>工程量</w:t>
      </w:r>
      <w:r>
        <w:rPr>
          <w:rFonts w:hint="eastAsia" w:ascii="宋体" w:hAnsi="宋体" w:eastAsia="宋体" w:cs="宋体"/>
          <w:color w:val="auto"/>
          <w:sz w:val="21"/>
          <w:szCs w:val="21"/>
          <w:highlight w:val="none"/>
          <w:u w:val="single"/>
        </w:rPr>
        <w:t>乘以按照10.4.1〔</w:t>
      </w:r>
      <w:r>
        <w:rPr>
          <w:rFonts w:hint="eastAsia" w:ascii="宋体" w:hAnsi="宋体" w:eastAsia="宋体" w:cs="宋体"/>
          <w:color w:val="auto"/>
          <w:sz w:val="21"/>
          <w:szCs w:val="21"/>
          <w:highlight w:val="none"/>
          <w:u w:val="single"/>
          <w:lang w:eastAsia="zh-CN"/>
        </w:rPr>
        <w:t>变更</w:t>
      </w:r>
      <w:r>
        <w:rPr>
          <w:rFonts w:hint="eastAsia" w:ascii="宋体" w:hAnsi="宋体" w:eastAsia="宋体" w:cs="宋体"/>
          <w:color w:val="auto"/>
          <w:sz w:val="21"/>
          <w:szCs w:val="21"/>
          <w:highlight w:val="none"/>
          <w:u w:val="single"/>
        </w:rPr>
        <w:t>估价原则〕（3）目约定的</w:t>
      </w:r>
      <w:r>
        <w:rPr>
          <w:rFonts w:hint="eastAsia" w:ascii="宋体" w:hAnsi="宋体" w:eastAsia="宋体" w:cs="宋体"/>
          <w:color w:val="auto"/>
          <w:sz w:val="21"/>
          <w:szCs w:val="21"/>
          <w:highlight w:val="none"/>
          <w:u w:val="single"/>
          <w:lang w:eastAsia="zh-CN"/>
        </w:rPr>
        <w:t>综合单价</w:t>
      </w:r>
      <w:r>
        <w:rPr>
          <w:rFonts w:hint="eastAsia" w:ascii="宋体" w:hAnsi="宋体" w:eastAsia="宋体" w:cs="宋体"/>
          <w:color w:val="auto"/>
          <w:sz w:val="21"/>
          <w:szCs w:val="21"/>
          <w:highlight w:val="none"/>
          <w:u w:val="single"/>
        </w:rPr>
        <w:t>进行扣减；</w:t>
      </w:r>
    </w:p>
    <w:p w14:paraId="50F59CBB">
      <w:pPr>
        <w:spacing w:line="360" w:lineRule="auto"/>
        <w:ind w:right="140" w:rightChars="50"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④合同、已标价</w:t>
      </w:r>
      <w:r>
        <w:rPr>
          <w:rFonts w:hint="eastAsia" w:ascii="宋体" w:hAnsi="宋体" w:eastAsia="宋体" w:cs="宋体"/>
          <w:color w:val="auto"/>
          <w:sz w:val="21"/>
          <w:szCs w:val="21"/>
          <w:highlight w:val="none"/>
          <w:u w:val="single"/>
          <w:lang w:eastAsia="zh-CN"/>
        </w:rPr>
        <w:t>工程量清单</w:t>
      </w:r>
      <w:r>
        <w:rPr>
          <w:rFonts w:hint="eastAsia" w:ascii="宋体" w:hAnsi="宋体" w:eastAsia="宋体" w:cs="宋体"/>
          <w:color w:val="auto"/>
          <w:sz w:val="21"/>
          <w:szCs w:val="21"/>
          <w:highlight w:val="none"/>
          <w:u w:val="single"/>
        </w:rPr>
        <w:t>和招标文件另有约定的，按照其约定</w:t>
      </w:r>
      <w:r>
        <w:rPr>
          <w:rFonts w:hint="eastAsia" w:ascii="宋体" w:hAnsi="宋体" w:eastAsia="宋体" w:cs="宋体"/>
          <w:color w:val="auto"/>
          <w:sz w:val="21"/>
          <w:szCs w:val="21"/>
          <w:highlight w:val="none"/>
          <w:u w:val="single"/>
          <w:lang w:eastAsia="zh-CN"/>
        </w:rPr>
        <w:t>执行。</w:t>
      </w:r>
    </w:p>
    <w:p w14:paraId="042E2D11">
      <w:pPr>
        <w:tabs>
          <w:tab w:val="left" w:pos="711"/>
          <w:tab w:val="left" w:pos="2580"/>
        </w:tabs>
        <w:spacing w:line="360" w:lineRule="auto"/>
        <w:ind w:right="140" w:rightChars="5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（2）措施项目：</w:t>
      </w:r>
    </w:p>
    <w:p w14:paraId="7DF1ED00">
      <w:pPr>
        <w:spacing w:line="360" w:lineRule="auto"/>
        <w:ind w:right="140" w:rightChars="50"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①已标价</w:t>
      </w:r>
      <w:r>
        <w:rPr>
          <w:rFonts w:hint="eastAsia" w:ascii="宋体" w:hAnsi="宋体" w:eastAsia="宋体" w:cs="宋体"/>
          <w:color w:val="auto"/>
          <w:sz w:val="21"/>
          <w:szCs w:val="21"/>
          <w:highlight w:val="none"/>
          <w:u w:val="single"/>
          <w:lang w:eastAsia="zh-CN"/>
        </w:rPr>
        <w:t>工程量清单</w:t>
      </w:r>
      <w:r>
        <w:rPr>
          <w:rFonts w:hint="eastAsia" w:ascii="宋体" w:hAnsi="宋体" w:eastAsia="宋体" w:cs="宋体"/>
          <w:color w:val="auto"/>
          <w:sz w:val="21"/>
          <w:szCs w:val="21"/>
          <w:highlight w:val="none"/>
          <w:u w:val="single"/>
        </w:rPr>
        <w:t>范围内以项为计量单位的措施项目费（安全文明</w:t>
      </w:r>
      <w:r>
        <w:rPr>
          <w:rFonts w:hint="eastAsia" w:ascii="宋体" w:hAnsi="宋体" w:eastAsia="宋体" w:cs="宋体"/>
          <w:color w:val="auto"/>
          <w:sz w:val="21"/>
          <w:szCs w:val="21"/>
          <w:highlight w:val="none"/>
          <w:u w:val="single"/>
          <w:lang w:eastAsia="zh-CN"/>
        </w:rPr>
        <w:t>施工</w:t>
      </w:r>
      <w:r>
        <w:rPr>
          <w:rFonts w:hint="eastAsia" w:ascii="宋体" w:hAnsi="宋体" w:eastAsia="宋体" w:cs="宋体"/>
          <w:color w:val="auto"/>
          <w:sz w:val="21"/>
          <w:szCs w:val="21"/>
          <w:highlight w:val="none"/>
          <w:u w:val="single"/>
        </w:rPr>
        <w:t>费除外）包干使用；不以项为计量单位的措施项目费按第14.2.1项〔竣工</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u w:val="single"/>
        </w:rPr>
        <w:t>办理办法〕分部分项约定执行</w:t>
      </w:r>
      <w:r>
        <w:rPr>
          <w:rFonts w:hint="eastAsia" w:ascii="宋体" w:hAnsi="宋体" w:eastAsia="宋体" w:cs="宋体"/>
          <w:color w:val="auto"/>
          <w:sz w:val="21"/>
          <w:szCs w:val="21"/>
          <w:highlight w:val="none"/>
          <w:u w:val="single"/>
          <w:lang w:eastAsia="zh-CN"/>
        </w:rPr>
        <w:t>。</w:t>
      </w:r>
    </w:p>
    <w:p w14:paraId="2C99033F">
      <w:pPr>
        <w:spacing w:line="360" w:lineRule="auto"/>
        <w:ind w:right="140" w:rightChars="50"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u w:val="single"/>
          <w:lang w:eastAsia="zh-CN"/>
        </w:rPr>
        <w:t>工程</w:t>
      </w:r>
      <w:r>
        <w:rPr>
          <w:rFonts w:hint="eastAsia" w:ascii="宋体" w:hAnsi="宋体" w:eastAsia="宋体" w:cs="宋体"/>
          <w:color w:val="auto"/>
          <w:sz w:val="21"/>
          <w:szCs w:val="21"/>
          <w:highlight w:val="none"/>
          <w:u w:val="single"/>
        </w:rPr>
        <w:t>变更引起施工方案改变使措施项目发生变化的，经</w:t>
      </w:r>
      <w:r>
        <w:rPr>
          <w:rFonts w:hint="eastAsia" w:ascii="宋体" w:hAnsi="宋体" w:eastAsia="宋体" w:cs="宋体"/>
          <w:color w:val="auto"/>
          <w:sz w:val="21"/>
          <w:szCs w:val="21"/>
          <w:highlight w:val="none"/>
          <w:u w:val="single"/>
          <w:lang w:eastAsia="zh-CN"/>
        </w:rPr>
        <w:t>监理人</w:t>
      </w:r>
      <w:r>
        <w:rPr>
          <w:rFonts w:hint="eastAsia" w:ascii="宋体" w:hAnsi="宋体" w:eastAsia="宋体" w:cs="宋体"/>
          <w:color w:val="auto"/>
          <w:sz w:val="21"/>
          <w:szCs w:val="21"/>
          <w:highlight w:val="none"/>
          <w:u w:val="single"/>
        </w:rPr>
        <w:t>、发包人确定后可对按第10.4.3项约定</w:t>
      </w:r>
      <w:r>
        <w:rPr>
          <w:rFonts w:hint="eastAsia" w:ascii="宋体" w:hAnsi="宋体" w:eastAsia="宋体" w:cs="宋体"/>
          <w:color w:val="auto"/>
          <w:sz w:val="21"/>
          <w:szCs w:val="21"/>
          <w:highlight w:val="none"/>
          <w:u w:val="single"/>
          <w:lang w:eastAsia="zh-CN"/>
        </w:rPr>
        <w:t>执行。</w:t>
      </w:r>
    </w:p>
    <w:p w14:paraId="48FE632C">
      <w:pPr>
        <w:tabs>
          <w:tab w:val="left" w:pos="711"/>
          <w:tab w:val="left" w:pos="2580"/>
        </w:tabs>
        <w:spacing w:line="360" w:lineRule="auto"/>
        <w:ind w:right="140" w:rightChars="5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③安全文明施工费按照</w:t>
      </w:r>
      <w:r>
        <w:rPr>
          <w:rFonts w:hint="eastAsia" w:ascii="宋体" w:hAnsi="宋体" w:eastAsia="宋体" w:cs="宋体"/>
          <w:color w:val="auto"/>
          <w:sz w:val="21"/>
          <w:szCs w:val="21"/>
          <w:highlight w:val="none"/>
          <w:u w:val="single"/>
          <w:lang w:eastAsia="zh-CN"/>
        </w:rPr>
        <w:t>《重庆市</w:t>
      </w:r>
      <w:r>
        <w:rPr>
          <w:rFonts w:hint="eastAsia" w:ascii="宋体" w:hAnsi="宋体" w:eastAsia="宋体" w:cs="宋体"/>
          <w:color w:val="auto"/>
          <w:sz w:val="21"/>
          <w:szCs w:val="21"/>
          <w:highlight w:val="none"/>
          <w:u w:val="single"/>
        </w:rPr>
        <w:t>住房和城乡</w:t>
      </w:r>
      <w:r>
        <w:rPr>
          <w:rFonts w:hint="eastAsia" w:ascii="宋体" w:hAnsi="宋体" w:eastAsia="宋体" w:cs="宋体"/>
          <w:color w:val="auto"/>
          <w:sz w:val="21"/>
          <w:szCs w:val="21"/>
          <w:highlight w:val="none"/>
          <w:u w:val="single"/>
          <w:lang w:eastAsia="zh-CN"/>
        </w:rPr>
        <w:t>建设</w:t>
      </w:r>
      <w:r>
        <w:rPr>
          <w:rFonts w:hint="eastAsia" w:ascii="宋体" w:hAnsi="宋体" w:eastAsia="宋体" w:cs="宋体"/>
          <w:color w:val="auto"/>
          <w:sz w:val="21"/>
          <w:szCs w:val="21"/>
          <w:highlight w:val="none"/>
          <w:u w:val="single"/>
        </w:rPr>
        <w:t>委员会关于修订发布&lt;重庆市建设</w:t>
      </w:r>
      <w:r>
        <w:rPr>
          <w:rFonts w:hint="eastAsia" w:ascii="宋体" w:hAnsi="宋体" w:eastAsia="宋体" w:cs="宋体"/>
          <w:color w:val="auto"/>
          <w:sz w:val="21"/>
          <w:szCs w:val="21"/>
          <w:highlight w:val="none"/>
          <w:u w:val="single"/>
          <w:lang w:eastAsia="zh-CN"/>
        </w:rPr>
        <w:t>工程</w:t>
      </w:r>
      <w:r>
        <w:rPr>
          <w:rFonts w:hint="eastAsia" w:ascii="宋体" w:hAnsi="宋体" w:eastAsia="宋体" w:cs="宋体"/>
          <w:color w:val="auto"/>
          <w:sz w:val="21"/>
          <w:szCs w:val="21"/>
          <w:highlight w:val="none"/>
          <w:u w:val="single"/>
        </w:rPr>
        <w:t>安全文明施工费计取及使用管理规定&gt;的通知》（渝建管〔2024〕38 号</w:t>
      </w:r>
      <w:r>
        <w:rPr>
          <w:rFonts w:hint="eastAsia" w:ascii="宋体" w:hAnsi="宋体" w:eastAsia="宋体" w:cs="宋体"/>
          <w:color w:val="auto"/>
          <w:sz w:val="21"/>
          <w:szCs w:val="21"/>
          <w:highlight w:val="none"/>
          <w:u w:val="single"/>
          <w:lang w:eastAsia="zh-CN"/>
        </w:rPr>
        <w:t>）的规定</w:t>
      </w:r>
      <w:r>
        <w:rPr>
          <w:rFonts w:hint="eastAsia" w:ascii="宋体" w:hAnsi="宋体" w:eastAsia="宋体" w:cs="宋体"/>
          <w:color w:val="auto"/>
          <w:sz w:val="21"/>
          <w:szCs w:val="21"/>
          <w:highlight w:val="none"/>
          <w:u w:val="single"/>
        </w:rPr>
        <w:t>进行结算</w:t>
      </w:r>
      <w:r>
        <w:rPr>
          <w:rFonts w:hint="eastAsia" w:ascii="宋体" w:hAnsi="宋体" w:eastAsia="宋体" w:cs="宋体"/>
          <w:color w:val="auto"/>
          <w:sz w:val="21"/>
          <w:szCs w:val="21"/>
          <w:highlight w:val="none"/>
          <w:lang w:eastAsia="zh-CN"/>
        </w:rPr>
        <w:t>。</w:t>
      </w:r>
    </w:p>
    <w:p w14:paraId="156A18E3">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）其他项目</w:t>
      </w:r>
      <w:r>
        <w:rPr>
          <w:rFonts w:hint="eastAsia" w:ascii="宋体" w:hAnsi="宋体" w:eastAsia="宋体" w:cs="宋体"/>
          <w:color w:val="auto"/>
          <w:sz w:val="21"/>
          <w:szCs w:val="21"/>
          <w:highlight w:val="none"/>
        </w:rPr>
        <w:t>：</w:t>
      </w:r>
    </w:p>
    <w:p w14:paraId="2A7BC9D8">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①材料</w:t>
      </w:r>
      <w:r>
        <w:rPr>
          <w:rFonts w:hint="eastAsia" w:ascii="宋体" w:hAnsi="宋体" w:eastAsia="宋体" w:cs="宋体"/>
          <w:color w:val="auto"/>
          <w:sz w:val="21"/>
          <w:szCs w:val="21"/>
          <w:highlight w:val="none"/>
        </w:rPr>
        <w:t>（工程设备）暂估价：</w:t>
      </w:r>
      <w:r>
        <w:rPr>
          <w:rFonts w:hint="eastAsia" w:ascii="宋体" w:hAnsi="宋体" w:eastAsia="宋体" w:cs="宋体"/>
          <w:color w:val="auto"/>
          <w:sz w:val="21"/>
          <w:szCs w:val="21"/>
          <w:highlight w:val="none"/>
          <w:u w:val="single"/>
        </w:rPr>
        <w:t>按照第12.3.1项〔计量原则〕约定及对应定额消耗量确定的数量乘以监理人、跟审单位、发包人</w:t>
      </w:r>
      <w:r>
        <w:rPr>
          <w:rFonts w:hint="eastAsia" w:ascii="宋体" w:hAnsi="宋体" w:eastAsia="宋体" w:cs="宋体"/>
          <w:color w:val="auto"/>
          <w:sz w:val="21"/>
          <w:szCs w:val="21"/>
          <w:highlight w:val="none"/>
          <w:u w:val="single"/>
          <w:lang w:eastAsia="zh-CN"/>
        </w:rPr>
        <w:t>根据</w:t>
      </w:r>
      <w:r>
        <w:rPr>
          <w:rFonts w:hint="eastAsia" w:ascii="宋体" w:hAnsi="宋体" w:eastAsia="宋体" w:cs="宋体"/>
          <w:color w:val="auto"/>
          <w:sz w:val="21"/>
          <w:szCs w:val="21"/>
          <w:highlight w:val="none"/>
          <w:u w:val="single"/>
        </w:rPr>
        <w:t>市场行情认质核价确定</w:t>
      </w:r>
      <w:r>
        <w:rPr>
          <w:rFonts w:hint="eastAsia" w:ascii="宋体" w:hAnsi="宋体" w:eastAsia="宋体" w:cs="宋体"/>
          <w:color w:val="auto"/>
          <w:sz w:val="21"/>
          <w:szCs w:val="21"/>
          <w:highlight w:val="none"/>
          <w:u w:val="single"/>
          <w:lang w:eastAsia="zh-CN"/>
        </w:rPr>
        <w:t>的价格</w:t>
      </w:r>
      <w:r>
        <w:rPr>
          <w:rFonts w:hint="eastAsia" w:ascii="宋体" w:hAnsi="宋体" w:eastAsia="宋体" w:cs="宋体"/>
          <w:color w:val="auto"/>
          <w:sz w:val="21"/>
          <w:szCs w:val="21"/>
          <w:highlight w:val="none"/>
          <w:u w:val="single"/>
        </w:rPr>
        <w:t>进行结算</w:t>
      </w:r>
      <w:r>
        <w:rPr>
          <w:rFonts w:hint="eastAsia" w:ascii="宋体" w:hAnsi="宋体" w:eastAsia="宋体" w:cs="宋体"/>
          <w:color w:val="auto"/>
          <w:sz w:val="21"/>
          <w:szCs w:val="21"/>
          <w:highlight w:val="none"/>
        </w:rPr>
        <w:t>。</w:t>
      </w:r>
    </w:p>
    <w:p w14:paraId="0D37D7A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②专业工程暂估价：</w:t>
      </w:r>
    </w:p>
    <w:p w14:paraId="6AE1879A">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1）对于不属于依法必须招标的暂估价项目：按发包人审定</w:t>
      </w:r>
      <w:r>
        <w:rPr>
          <w:rFonts w:hint="eastAsia" w:ascii="宋体" w:hAnsi="宋体" w:eastAsia="宋体" w:cs="宋体"/>
          <w:color w:val="auto"/>
          <w:sz w:val="21"/>
          <w:szCs w:val="21"/>
          <w:highlight w:val="none"/>
          <w:u w:val="single"/>
          <w:lang w:eastAsia="zh-CN"/>
        </w:rPr>
        <w:t>的价格</w:t>
      </w:r>
      <w:r>
        <w:rPr>
          <w:rFonts w:hint="eastAsia" w:ascii="宋体" w:hAnsi="宋体" w:eastAsia="宋体" w:cs="宋体"/>
          <w:color w:val="auto"/>
          <w:sz w:val="21"/>
          <w:szCs w:val="21"/>
          <w:highlight w:val="none"/>
          <w:u w:val="single"/>
        </w:rPr>
        <w:t>进行结算。</w:t>
      </w:r>
    </w:p>
    <w:p w14:paraId="7E2900F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2）对于依法必须招标的暂估价项目：达到招标规模标准的暂估价内容，包括专业工程暂估价和</w:t>
      </w:r>
      <w:r>
        <w:rPr>
          <w:rFonts w:hint="eastAsia" w:ascii="宋体" w:hAnsi="宋体" w:eastAsia="宋体" w:cs="宋体"/>
          <w:color w:val="auto"/>
          <w:sz w:val="21"/>
          <w:szCs w:val="21"/>
          <w:highlight w:val="none"/>
          <w:u w:val="single"/>
          <w:lang w:eastAsia="zh-CN"/>
        </w:rPr>
        <w:t>材料</w:t>
      </w:r>
      <w:r>
        <w:rPr>
          <w:rFonts w:hint="eastAsia" w:ascii="宋体" w:hAnsi="宋体" w:eastAsia="宋体" w:cs="宋体"/>
          <w:color w:val="auto"/>
          <w:sz w:val="21"/>
          <w:szCs w:val="21"/>
          <w:highlight w:val="none"/>
          <w:u w:val="single"/>
        </w:rPr>
        <w:t>设备暂估价均应招标确定，并按暂估价招标文件约定</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rPr>
        <w:t>。</w:t>
      </w:r>
    </w:p>
    <w:p w14:paraId="128A96E4">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3）总承包服务费：总承包服务费包干使用，结算时不作调整</w:t>
      </w:r>
      <w:r>
        <w:rPr>
          <w:rFonts w:hint="eastAsia" w:ascii="宋体" w:hAnsi="宋体" w:eastAsia="宋体" w:cs="宋体"/>
          <w:color w:val="auto"/>
          <w:sz w:val="21"/>
          <w:szCs w:val="21"/>
          <w:highlight w:val="none"/>
          <w:lang w:eastAsia="zh-CN"/>
        </w:rPr>
        <w:t>。</w:t>
      </w:r>
    </w:p>
    <w:p w14:paraId="1881A450">
      <w:pPr>
        <w:tabs>
          <w:tab w:val="left" w:pos="711"/>
          <w:tab w:val="left" w:pos="2580"/>
        </w:tabs>
        <w:spacing w:line="360" w:lineRule="auto"/>
        <w:ind w:right="140" w:rightChars="5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（4）价格调整：</w:t>
      </w:r>
      <w:r>
        <w:rPr>
          <w:rFonts w:hint="eastAsia" w:ascii="宋体" w:hAnsi="宋体" w:eastAsia="宋体" w:cs="宋体"/>
          <w:color w:val="auto"/>
          <w:sz w:val="21"/>
          <w:szCs w:val="21"/>
          <w:highlight w:val="none"/>
          <w:u w:val="single"/>
        </w:rPr>
        <w:t>按照第11条〔</w:t>
      </w:r>
      <w:r>
        <w:rPr>
          <w:rFonts w:hint="eastAsia" w:ascii="宋体" w:hAnsi="宋体" w:eastAsia="宋体" w:cs="宋体"/>
          <w:color w:val="auto"/>
          <w:sz w:val="21"/>
          <w:szCs w:val="21"/>
          <w:highlight w:val="none"/>
          <w:u w:val="single"/>
          <w:lang w:eastAsia="zh-CN"/>
        </w:rPr>
        <w:t>价格</w:t>
      </w:r>
      <w:r>
        <w:rPr>
          <w:rFonts w:hint="eastAsia" w:ascii="宋体" w:hAnsi="宋体" w:eastAsia="宋体" w:cs="宋体"/>
          <w:color w:val="auto"/>
          <w:sz w:val="21"/>
          <w:szCs w:val="21"/>
          <w:highlight w:val="none"/>
          <w:u w:val="single"/>
        </w:rPr>
        <w:t>调整〕约定约定执行</w:t>
      </w:r>
      <w:r>
        <w:rPr>
          <w:rFonts w:hint="eastAsia" w:ascii="宋体" w:hAnsi="宋体" w:eastAsia="宋体" w:cs="宋体"/>
          <w:color w:val="auto"/>
          <w:sz w:val="21"/>
          <w:szCs w:val="21"/>
          <w:highlight w:val="none"/>
        </w:rPr>
        <w:t>。</w:t>
      </w:r>
    </w:p>
    <w:p w14:paraId="6D6FD2A2">
      <w:pPr>
        <w:tabs>
          <w:tab w:val="left" w:pos="711"/>
          <w:tab w:val="left" w:pos="2580"/>
        </w:tabs>
        <w:spacing w:line="360" w:lineRule="auto"/>
        <w:ind w:right="140" w:rightChars="50"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（5）工程变更、索赔与</w:t>
      </w:r>
      <w:r>
        <w:rPr>
          <w:rFonts w:hint="eastAsia" w:ascii="宋体" w:hAnsi="宋体" w:eastAsia="宋体" w:cs="宋体"/>
          <w:color w:val="auto"/>
          <w:sz w:val="21"/>
          <w:szCs w:val="21"/>
          <w:highlight w:val="none"/>
          <w:lang w:eastAsia="zh-CN"/>
        </w:rPr>
        <w:t>现场</w:t>
      </w:r>
      <w:r>
        <w:rPr>
          <w:rFonts w:hint="eastAsia" w:ascii="宋体" w:hAnsi="宋体" w:eastAsia="宋体" w:cs="宋体"/>
          <w:color w:val="auto"/>
          <w:sz w:val="21"/>
          <w:szCs w:val="21"/>
          <w:highlight w:val="none"/>
        </w:rPr>
        <w:t>签证：</w:t>
      </w:r>
    </w:p>
    <w:p w14:paraId="692D252D">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1）工程变更：按照第10.4.1项〔变更估价原则〕约定确定为总价包干的，按审定包干总价计入结算；其余项目按照有效的竣工结算资料和第12.3.1项〔计量原则〕约定确定的工程量乘以</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的按照第10.4.1项〔变更估价原则〕约定确定</w:t>
      </w:r>
      <w:r>
        <w:rPr>
          <w:rFonts w:hint="eastAsia" w:ascii="宋体" w:hAnsi="宋体" w:eastAsia="宋体" w:cs="宋体"/>
          <w:color w:val="auto"/>
          <w:sz w:val="21"/>
          <w:szCs w:val="21"/>
          <w:highlight w:val="none"/>
          <w:lang w:eastAsia="zh-CN"/>
        </w:rPr>
        <w:t>综合单价</w:t>
      </w:r>
      <w:r>
        <w:rPr>
          <w:rFonts w:hint="eastAsia" w:ascii="宋体" w:hAnsi="宋体" w:eastAsia="宋体" w:cs="宋体"/>
          <w:color w:val="auto"/>
          <w:sz w:val="21"/>
          <w:szCs w:val="21"/>
          <w:highlight w:val="none"/>
        </w:rPr>
        <w:t>来确定该部分结算价</w:t>
      </w:r>
      <w:r>
        <w:rPr>
          <w:rFonts w:hint="eastAsia" w:ascii="宋体" w:hAnsi="宋体" w:eastAsia="宋体" w:cs="宋体"/>
          <w:color w:val="auto"/>
          <w:sz w:val="21"/>
          <w:szCs w:val="21"/>
          <w:highlight w:val="none"/>
          <w:lang w:eastAsia="zh-CN"/>
        </w:rPr>
        <w:t>。</w:t>
      </w:r>
    </w:p>
    <w:p w14:paraId="797D8E4C">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2）索赔：按照第10.4.1项〔变更</w:t>
      </w:r>
      <w:r>
        <w:rPr>
          <w:rFonts w:hint="eastAsia" w:ascii="宋体" w:hAnsi="宋体" w:eastAsia="宋体" w:cs="宋体"/>
          <w:color w:val="auto"/>
          <w:sz w:val="21"/>
          <w:szCs w:val="21"/>
          <w:highlight w:val="none"/>
          <w:lang w:eastAsia="zh-CN"/>
        </w:rPr>
        <w:t>估价</w:t>
      </w:r>
      <w:r>
        <w:rPr>
          <w:rFonts w:hint="eastAsia" w:ascii="宋体" w:hAnsi="宋体" w:eastAsia="宋体" w:cs="宋体"/>
          <w:color w:val="auto"/>
          <w:sz w:val="21"/>
          <w:szCs w:val="21"/>
          <w:highlight w:val="none"/>
        </w:rPr>
        <w:t>原则〕和第14.2.1项〔竣工</w:t>
      </w:r>
      <w:r>
        <w:rPr>
          <w:rFonts w:hint="eastAsia" w:ascii="宋体" w:hAnsi="宋体" w:eastAsia="宋体" w:cs="宋体"/>
          <w:color w:val="auto"/>
          <w:sz w:val="21"/>
          <w:szCs w:val="21"/>
          <w:highlight w:val="none"/>
          <w:lang w:eastAsia="zh-CN"/>
        </w:rPr>
        <w:t>结算</w:t>
      </w:r>
      <w:r>
        <w:rPr>
          <w:rFonts w:hint="eastAsia" w:ascii="宋体" w:hAnsi="宋体" w:eastAsia="宋体" w:cs="宋体"/>
          <w:color w:val="auto"/>
          <w:sz w:val="21"/>
          <w:szCs w:val="21"/>
          <w:highlight w:val="none"/>
        </w:rPr>
        <w:t>办法〕约定执行。</w:t>
      </w:r>
    </w:p>
    <w:p w14:paraId="2345B335">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3）现场签证：按照第10.4.1项〔变更估价原则〕和第14.2.1项〔竣工</w:t>
      </w:r>
      <w:r>
        <w:rPr>
          <w:rFonts w:hint="eastAsia" w:ascii="宋体" w:hAnsi="宋体" w:eastAsia="宋体" w:cs="宋体"/>
          <w:color w:val="auto"/>
          <w:sz w:val="21"/>
          <w:szCs w:val="21"/>
          <w:highlight w:val="none"/>
          <w:lang w:eastAsia="zh-CN"/>
        </w:rPr>
        <w:t>结算</w:t>
      </w:r>
      <w:r>
        <w:rPr>
          <w:rFonts w:hint="eastAsia" w:ascii="宋体" w:hAnsi="宋体" w:eastAsia="宋体" w:cs="宋体"/>
          <w:color w:val="auto"/>
          <w:sz w:val="21"/>
          <w:szCs w:val="21"/>
          <w:highlight w:val="none"/>
        </w:rPr>
        <w:t>办法〕约定执行</w:t>
      </w:r>
      <w:r>
        <w:rPr>
          <w:rFonts w:hint="eastAsia" w:ascii="宋体" w:hAnsi="宋体" w:eastAsia="宋体" w:cs="宋体"/>
          <w:color w:val="auto"/>
          <w:sz w:val="21"/>
          <w:szCs w:val="21"/>
          <w:highlight w:val="none"/>
          <w:lang w:eastAsia="zh-CN"/>
        </w:rPr>
        <w:t>。</w:t>
      </w:r>
    </w:p>
    <w:p w14:paraId="228EBB06">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奖励、罚金、违约金及其他费用：</w:t>
      </w:r>
      <w:r>
        <w:rPr>
          <w:rFonts w:hint="eastAsia" w:ascii="宋体" w:hAnsi="宋体" w:eastAsia="宋体" w:cs="宋体"/>
          <w:color w:val="auto"/>
          <w:sz w:val="21"/>
          <w:szCs w:val="21"/>
          <w:highlight w:val="none"/>
          <w:u w:val="single"/>
        </w:rPr>
        <w:t>按实进行</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lang w:eastAsia="zh-CN"/>
        </w:rPr>
        <w:t>。</w:t>
      </w:r>
    </w:p>
    <w:p w14:paraId="71737911">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规费：已标价工程量清单中规费费用按《重庆市建设工程费用定额》（CQFYDE-2018）执行</w:t>
      </w:r>
      <w:r>
        <w:rPr>
          <w:rFonts w:hint="eastAsia" w:ascii="宋体" w:hAnsi="宋体" w:eastAsia="宋体" w:cs="宋体"/>
          <w:color w:val="auto"/>
          <w:sz w:val="21"/>
          <w:szCs w:val="21"/>
          <w:highlight w:val="none"/>
          <w:lang w:eastAsia="zh-CN"/>
        </w:rPr>
        <w:t>。</w:t>
      </w:r>
    </w:p>
    <w:p w14:paraId="7C107A2A">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税金：包含增值税、城市维护建设税、教育费附加、地方教育附加以及环境保护税。其中增值税按《重庆市建设工程费用定额》（CQFYDE-2018）、《重庆市城乡建设委员会关于适用增值税新税率调整</w:t>
      </w:r>
      <w:r>
        <w:rPr>
          <w:rFonts w:hint="eastAsia" w:ascii="宋体" w:hAnsi="宋体" w:eastAsia="宋体" w:cs="宋体"/>
          <w:color w:val="auto"/>
          <w:sz w:val="21"/>
          <w:szCs w:val="21"/>
          <w:highlight w:val="none"/>
          <w:lang w:eastAsia="zh-CN"/>
        </w:rPr>
        <w:t>建设工程</w:t>
      </w:r>
      <w:r>
        <w:rPr>
          <w:rFonts w:hint="eastAsia" w:ascii="宋体" w:hAnsi="宋体" w:eastAsia="宋体" w:cs="宋体"/>
          <w:color w:val="auto"/>
          <w:sz w:val="21"/>
          <w:szCs w:val="21"/>
          <w:highlight w:val="none"/>
        </w:rPr>
        <w:t>计价依据的通知》（渝建〔2019〕143号）规定执行，环境保护税按实</w:t>
      </w:r>
      <w:r>
        <w:rPr>
          <w:rFonts w:hint="eastAsia" w:ascii="宋体" w:hAnsi="宋体" w:eastAsia="宋体" w:cs="宋体"/>
          <w:color w:val="auto"/>
          <w:sz w:val="21"/>
          <w:szCs w:val="21"/>
          <w:highlight w:val="none"/>
          <w:lang w:eastAsia="zh-CN"/>
        </w:rPr>
        <w:t>结算。</w:t>
      </w:r>
    </w:p>
    <w:p w14:paraId="3191713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14.2.1.3竣工结算价</w:t>
      </w:r>
    </w:p>
    <w:p w14:paraId="0309F122">
      <w:pPr>
        <w:tabs>
          <w:tab w:val="left" w:pos="711"/>
          <w:tab w:val="left" w:pos="2580"/>
        </w:tabs>
        <w:spacing w:line="360" w:lineRule="auto"/>
        <w:ind w:right="140" w:rightChars="50" w:firstLine="420" w:firstLineChars="200"/>
        <w:jc w:val="left"/>
        <w:textAlignment w:val="baseline"/>
        <w:rPr>
          <w:rFonts w:hint="eastAsia" w:ascii="宋体" w:hAnsi="宋体" w:eastAsia="宋体" w:cs="宋体"/>
          <w:color w:val="auto"/>
          <w:sz w:val="21"/>
          <w:szCs w:val="21"/>
          <w:highlight w:val="none"/>
          <w:u w:val="single"/>
        </w:rPr>
      </w:pPr>
      <w:bookmarkStart w:id="793" w:name="_Hlk528660512"/>
      <w:r>
        <w:rPr>
          <w:rFonts w:hint="eastAsia" w:ascii="宋体" w:hAnsi="宋体" w:eastAsia="宋体" w:cs="宋体"/>
          <w:color w:val="auto"/>
          <w:sz w:val="21"/>
          <w:szCs w:val="21"/>
          <w:highlight w:val="none"/>
          <w:u w:val="single"/>
          <w:lang w:eastAsia="zh-CN"/>
        </w:rPr>
        <w:t>本项目需经大渡口区审计局或区财政局完成结算审计或结算审核，最终结算金额以大渡口区审计局或区财政局结算审定金额为准</w:t>
      </w:r>
      <w:r>
        <w:rPr>
          <w:rFonts w:hint="eastAsia" w:ascii="宋体" w:hAnsi="宋体" w:eastAsia="宋体" w:cs="宋体"/>
          <w:color w:val="auto"/>
          <w:sz w:val="21"/>
          <w:szCs w:val="21"/>
          <w:highlight w:val="none"/>
        </w:rPr>
        <w:t>。</w:t>
      </w:r>
    </w:p>
    <w:bookmarkEnd w:id="793"/>
    <w:p w14:paraId="33E053A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14.2.2 竣工结算审核期限</w:t>
      </w:r>
    </w:p>
    <w:p w14:paraId="6109944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监理人审核竣工付款申请单的期限：</w:t>
      </w:r>
      <w:r>
        <w:rPr>
          <w:rFonts w:hint="eastAsia" w:ascii="宋体" w:hAnsi="宋体" w:eastAsia="宋体" w:cs="宋体"/>
          <w:color w:val="auto"/>
          <w:sz w:val="21"/>
          <w:szCs w:val="21"/>
          <w:highlight w:val="none"/>
          <w:u w:val="single"/>
        </w:rPr>
        <w:t>不超过</w:t>
      </w:r>
      <w:r>
        <w:rPr>
          <w:rFonts w:hint="eastAsia" w:ascii="宋体" w:hAnsi="宋体" w:eastAsia="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w:t>
      </w:r>
    </w:p>
    <w:p w14:paraId="7DBBC70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发包人审核竣工付款申请单的期限：</w:t>
      </w:r>
      <w:r>
        <w:rPr>
          <w:rFonts w:hint="eastAsia" w:ascii="宋体" w:hAnsi="宋体" w:eastAsia="宋体" w:cs="宋体"/>
          <w:color w:val="auto"/>
          <w:sz w:val="21"/>
          <w:szCs w:val="21"/>
          <w:highlight w:val="none"/>
          <w:u w:val="single"/>
        </w:rPr>
        <w:t>不超过</w:t>
      </w:r>
      <w:r>
        <w:rPr>
          <w:rFonts w:hint="eastAsia" w:ascii="宋体" w:hAnsi="宋体" w:eastAsia="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w:t>
      </w:r>
    </w:p>
    <w:p w14:paraId="2215DA4D">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完成竣工付款申请单审核后</w:t>
      </w:r>
      <w:r>
        <w:rPr>
          <w:rFonts w:hint="eastAsia" w:ascii="宋体" w:hAnsi="宋体" w:eastAsia="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highlight w:val="none"/>
        </w:rPr>
        <w:t>。</w:t>
      </w:r>
    </w:p>
    <w:p w14:paraId="508AE478">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 按照第20条〔争议解决〕约定处理。</w:t>
      </w:r>
    </w:p>
    <w:p w14:paraId="7B8A8C3A">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94" w:name="_Toc532375659"/>
      <w:bookmarkStart w:id="795" w:name="_Toc532377396"/>
      <w:r>
        <w:rPr>
          <w:rFonts w:hint="eastAsia" w:ascii="宋体" w:hAnsi="宋体" w:eastAsia="宋体" w:cs="宋体"/>
          <w:color w:val="auto"/>
          <w:sz w:val="21"/>
          <w:szCs w:val="21"/>
          <w:highlight w:val="none"/>
        </w:rPr>
        <w:t>14.4 最终结清</w:t>
      </w:r>
      <w:bookmarkEnd w:id="794"/>
      <w:bookmarkEnd w:id="795"/>
    </w:p>
    <w:p w14:paraId="04EDC99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3D92DF8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3份</w:t>
      </w:r>
      <w:r>
        <w:rPr>
          <w:rFonts w:hint="eastAsia" w:ascii="宋体" w:hAnsi="宋体" w:eastAsia="宋体" w:cs="宋体"/>
          <w:color w:val="auto"/>
          <w:sz w:val="21"/>
          <w:szCs w:val="21"/>
          <w:highlight w:val="none"/>
        </w:rPr>
        <w:t>。</w:t>
      </w:r>
    </w:p>
    <w:p w14:paraId="19F66DD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sz w:val="21"/>
          <w:szCs w:val="21"/>
          <w:highlight w:val="none"/>
          <w:u w:val="single"/>
        </w:rPr>
        <w:t>缺陷责任期终止证书颁发后14天内</w:t>
      </w:r>
      <w:r>
        <w:rPr>
          <w:rFonts w:hint="eastAsia" w:ascii="宋体" w:hAnsi="宋体" w:eastAsia="宋体" w:cs="宋体"/>
          <w:color w:val="auto"/>
          <w:sz w:val="21"/>
          <w:szCs w:val="21"/>
          <w:highlight w:val="none"/>
        </w:rPr>
        <w:t>。</w:t>
      </w:r>
    </w:p>
    <w:p w14:paraId="4F96716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179E28C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发包人收到完整资料后14天内完成审批并颁发最终结清证书</w:t>
      </w:r>
      <w:r>
        <w:rPr>
          <w:rFonts w:hint="eastAsia" w:ascii="宋体" w:hAnsi="宋体" w:eastAsia="宋体" w:cs="宋体"/>
          <w:color w:val="auto"/>
          <w:sz w:val="21"/>
          <w:szCs w:val="21"/>
          <w:highlight w:val="none"/>
        </w:rPr>
        <w:t>。</w:t>
      </w:r>
    </w:p>
    <w:p w14:paraId="10DC7933">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颁发最终结清证书的14天内</w:t>
      </w:r>
      <w:r>
        <w:rPr>
          <w:rFonts w:hint="eastAsia" w:ascii="宋体" w:hAnsi="宋体" w:eastAsia="宋体" w:cs="宋体"/>
          <w:color w:val="auto"/>
          <w:sz w:val="21"/>
          <w:szCs w:val="21"/>
          <w:highlight w:val="none"/>
        </w:rPr>
        <w:t>。</w:t>
      </w:r>
    </w:p>
    <w:p w14:paraId="1D7E2DD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本条补充14.5款：</w:t>
      </w:r>
    </w:p>
    <w:bookmarkEnd w:id="755"/>
    <w:bookmarkEnd w:id="756"/>
    <w:bookmarkEnd w:id="757"/>
    <w:bookmarkEnd w:id="758"/>
    <w:bookmarkEnd w:id="759"/>
    <w:bookmarkEnd w:id="760"/>
    <w:bookmarkEnd w:id="761"/>
    <w:bookmarkEnd w:id="762"/>
    <w:p w14:paraId="22DF694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796" w:name="_Toc532375660"/>
      <w:bookmarkStart w:id="797" w:name="_Toc532377397"/>
      <w:r>
        <w:rPr>
          <w:rFonts w:hint="eastAsia" w:ascii="宋体" w:hAnsi="宋体" w:eastAsia="宋体" w:cs="宋体"/>
          <w:color w:val="auto"/>
          <w:sz w:val="21"/>
          <w:szCs w:val="21"/>
          <w:highlight w:val="none"/>
        </w:rPr>
        <w:t>14.5 逾期办理或不配合办理竣工结算的处理</w:t>
      </w:r>
      <w:bookmarkEnd w:id="796"/>
      <w:bookmarkEnd w:id="797"/>
    </w:p>
    <w:p w14:paraId="65E6E2D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有下列情形之一的，视为承包人放弃与发包人共同办理竣工结算的权利，发包人有权会同跟审单位、监理人根据有效资料共同确定竣工结算金额。</w:t>
      </w:r>
    </w:p>
    <w:p w14:paraId="0942374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（1）承包人逾期未报送竣工结算资料，亦未获得发包人批准延期报送，经发包人两</w:t>
      </w:r>
      <w:bookmarkStart w:id="798" w:name="_Hlk529133622"/>
      <w:r>
        <w:rPr>
          <w:rFonts w:hint="eastAsia" w:ascii="宋体" w:hAnsi="宋体" w:eastAsia="宋体" w:cs="宋体"/>
          <w:color w:val="auto"/>
          <w:sz w:val="21"/>
          <w:szCs w:val="21"/>
          <w:highlight w:val="none"/>
        </w:rPr>
        <w:t>次书面催告仍未在限期内报送的</w:t>
      </w:r>
      <w:bookmarkEnd w:id="798"/>
      <w:r>
        <w:rPr>
          <w:rFonts w:hint="eastAsia" w:ascii="宋体" w:hAnsi="宋体" w:eastAsia="宋体" w:cs="宋体"/>
          <w:color w:val="auto"/>
          <w:sz w:val="21"/>
          <w:szCs w:val="21"/>
          <w:highlight w:val="none"/>
        </w:rPr>
        <w:t>；</w:t>
      </w:r>
    </w:p>
    <w:p w14:paraId="01AA2A9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14D941A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（3）承包人不配合发包人、跟审单位、监理人、发包人委托的工程造价咨询服务单位办理竣工结算的，经发包人两次书面函告仍未改正的。</w:t>
      </w:r>
    </w:p>
    <w:p w14:paraId="2D5F6A4D">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049B5864">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宋体"/>
          <w:color w:val="auto"/>
          <w:sz w:val="21"/>
          <w:szCs w:val="21"/>
          <w:highlight w:val="none"/>
        </w:rPr>
        <w:t>。</w:t>
      </w:r>
    </w:p>
    <w:bookmarkEnd w:id="465"/>
    <w:bookmarkEnd w:id="466"/>
    <w:bookmarkEnd w:id="467"/>
    <w:bookmarkEnd w:id="468"/>
    <w:bookmarkEnd w:id="469"/>
    <w:bookmarkEnd w:id="470"/>
    <w:bookmarkEnd w:id="471"/>
    <w:bookmarkEnd w:id="472"/>
    <w:p w14:paraId="74B7B2BB">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799" w:name="_Toc351203647"/>
      <w:bookmarkStart w:id="800" w:name="_Toc532375661"/>
      <w:bookmarkStart w:id="801" w:name="_Toc532377398"/>
      <w:bookmarkStart w:id="802" w:name="_Toc267251483"/>
      <w:bookmarkStart w:id="803" w:name="_Toc280868717"/>
      <w:bookmarkStart w:id="804" w:name="_Toc280868718"/>
      <w:r>
        <w:rPr>
          <w:rFonts w:hint="eastAsia" w:ascii="宋体" w:hAnsi="宋体" w:eastAsia="宋体" w:cs="宋体"/>
          <w:color w:val="auto"/>
          <w:kern w:val="2"/>
          <w:sz w:val="21"/>
          <w:szCs w:val="21"/>
          <w:highlight w:val="none"/>
        </w:rPr>
        <w:t>15. 缺陷责任期与保修</w:t>
      </w:r>
      <w:bookmarkEnd w:id="799"/>
      <w:bookmarkEnd w:id="800"/>
      <w:bookmarkEnd w:id="801"/>
    </w:p>
    <w:bookmarkEnd w:id="802"/>
    <w:p w14:paraId="4362A6F8">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05" w:name="_Toc532375662"/>
      <w:bookmarkStart w:id="806" w:name="_Toc532377399"/>
      <w:r>
        <w:rPr>
          <w:rFonts w:hint="eastAsia" w:ascii="宋体" w:hAnsi="宋体" w:eastAsia="宋体" w:cs="宋体"/>
          <w:color w:val="auto"/>
          <w:sz w:val="21"/>
          <w:szCs w:val="21"/>
          <w:highlight w:val="none"/>
        </w:rPr>
        <w:t>15.3 质量保证金</w:t>
      </w:r>
      <w:bookmarkEnd w:id="805"/>
      <w:bookmarkEnd w:id="806"/>
    </w:p>
    <w:p w14:paraId="5D3FE2E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208861C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236E13E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w:t>
      </w:r>
    </w:p>
    <w:p w14:paraId="530417BC">
      <w:pPr>
        <w:spacing w:line="360" w:lineRule="auto"/>
        <w:ind w:right="140" w:rightChars="5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缴纳形式：</w:t>
      </w:r>
      <w:r>
        <w:rPr>
          <w:rFonts w:hint="eastAsia" w:ascii="宋体" w:hAnsi="宋体" w:eastAsia="宋体" w:cs="宋体"/>
          <w:color w:val="auto"/>
          <w:kern w:val="0"/>
          <w:sz w:val="21"/>
          <w:szCs w:val="21"/>
          <w:highlight w:val="none"/>
          <w:u w:val="none"/>
          <w:lang w:val="en-US" w:eastAsia="zh-CN"/>
        </w:rPr>
        <w:t>质量保证金</w:t>
      </w:r>
      <w:r>
        <w:rPr>
          <w:rFonts w:hint="eastAsia" w:ascii="宋体" w:hAnsi="宋体" w:eastAsia="宋体" w:cs="宋体"/>
          <w:color w:val="auto"/>
          <w:kern w:val="0"/>
          <w:sz w:val="21"/>
          <w:szCs w:val="21"/>
          <w:highlight w:val="none"/>
          <w:u w:val="none"/>
        </w:rPr>
        <w:t>保函包括银行保函、保证保险和担保保函</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其示范文本详见合同附件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kern w:val="0"/>
          <w:sz w:val="21"/>
          <w:szCs w:val="21"/>
          <w:highlight w:val="none"/>
          <w:u w:val="none"/>
          <w:lang w:val="en-US" w:eastAsia="zh-CN"/>
        </w:rPr>
        <w:t>承包人提交的质量保证金</w:t>
      </w:r>
      <w:r>
        <w:rPr>
          <w:rFonts w:hint="eastAsia" w:ascii="宋体" w:hAnsi="宋体" w:eastAsia="宋体" w:cs="宋体"/>
          <w:color w:val="auto"/>
          <w:kern w:val="0"/>
          <w:sz w:val="21"/>
          <w:szCs w:val="21"/>
          <w:highlight w:val="none"/>
          <w:u w:val="none"/>
        </w:rPr>
        <w:t>保函</w:t>
      </w:r>
      <w:r>
        <w:rPr>
          <w:rFonts w:hint="eastAsia" w:ascii="宋体" w:hAnsi="宋体" w:eastAsia="宋体" w:cs="宋体"/>
          <w:color w:val="auto"/>
          <w:kern w:val="0"/>
          <w:sz w:val="21"/>
          <w:szCs w:val="21"/>
          <w:highlight w:val="none"/>
          <w:u w:val="none"/>
          <w:lang w:val="en-US" w:eastAsia="zh-CN"/>
        </w:rPr>
        <w:t>应</w:t>
      </w:r>
      <w:r>
        <w:rPr>
          <w:rFonts w:hint="eastAsia" w:ascii="宋体" w:hAnsi="宋体" w:eastAsia="宋体" w:cs="宋体"/>
          <w:color w:val="auto"/>
          <w:kern w:val="0"/>
          <w:sz w:val="21"/>
          <w:szCs w:val="21"/>
          <w:highlight w:val="none"/>
          <w:u w:val="none"/>
        </w:rPr>
        <w:t>严格执行</w:t>
      </w:r>
      <w:r>
        <w:rPr>
          <w:rFonts w:hint="eastAsia" w:ascii="宋体" w:hAnsi="宋体" w:eastAsia="宋体" w:cs="宋体"/>
          <w:color w:val="auto"/>
          <w:kern w:val="0"/>
          <w:sz w:val="21"/>
          <w:szCs w:val="21"/>
          <w:highlight w:val="none"/>
          <w:u w:val="none"/>
          <w:lang w:val="en-US" w:eastAsia="zh-CN"/>
        </w:rPr>
        <w:t>其</w:t>
      </w:r>
      <w:r>
        <w:rPr>
          <w:rFonts w:hint="eastAsia" w:ascii="宋体" w:hAnsi="宋体" w:eastAsia="宋体" w:cs="宋体"/>
          <w:color w:val="auto"/>
          <w:kern w:val="0"/>
          <w:sz w:val="21"/>
          <w:szCs w:val="21"/>
          <w:highlight w:val="none"/>
          <w:u w:val="none"/>
        </w:rPr>
        <w:t>示范文本，不得对示范文本中的实质性内容进行修改</w:t>
      </w:r>
      <w:r>
        <w:rPr>
          <w:rFonts w:hint="eastAsia" w:ascii="宋体" w:hAnsi="宋体" w:eastAsia="宋体" w:cs="宋体"/>
          <w:color w:val="auto"/>
          <w:sz w:val="21"/>
          <w:szCs w:val="21"/>
          <w:highlight w:val="none"/>
          <w:u w:val="none"/>
          <w:lang w:eastAsia="zh-CN"/>
        </w:rPr>
        <w:t>。</w:t>
      </w:r>
    </w:p>
    <w:p w14:paraId="34E16572">
      <w:pPr>
        <w:spacing w:line="360" w:lineRule="auto"/>
        <w:ind w:right="140" w:rightChars="5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2）具体要求：</w:t>
      </w:r>
      <w:r>
        <w:rPr>
          <w:rFonts w:hint="eastAsia" w:ascii="宋体" w:hAnsi="宋体" w:eastAsia="宋体" w:cs="宋体"/>
          <w:color w:val="auto"/>
          <w:kern w:val="0"/>
          <w:sz w:val="21"/>
          <w:szCs w:val="21"/>
          <w:highlight w:val="none"/>
          <w:lang w:val="en-US" w:eastAsia="zh-CN"/>
        </w:rPr>
        <w:t>质量保证金</w:t>
      </w:r>
      <w:r>
        <w:rPr>
          <w:rFonts w:hint="eastAsia" w:ascii="宋体" w:hAnsi="宋体" w:eastAsia="宋体" w:cs="宋体"/>
          <w:color w:val="auto"/>
          <w:kern w:val="0"/>
          <w:sz w:val="21"/>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质量保证金</w:t>
      </w:r>
      <w:r>
        <w:rPr>
          <w:rFonts w:hint="eastAsia" w:ascii="宋体" w:hAnsi="宋体" w:eastAsia="宋体" w:cs="宋体"/>
          <w:color w:val="auto"/>
          <w:kern w:val="0"/>
          <w:sz w:val="21"/>
          <w:szCs w:val="21"/>
          <w:highlight w:val="none"/>
        </w:rPr>
        <w:t>保函</w:t>
      </w:r>
      <w:r>
        <w:rPr>
          <w:rFonts w:hint="eastAsia" w:ascii="宋体" w:hAnsi="宋体" w:eastAsia="宋体" w:cs="宋体"/>
          <w:color w:val="auto"/>
          <w:kern w:val="0"/>
          <w:sz w:val="21"/>
          <w:szCs w:val="21"/>
          <w:highlight w:val="none"/>
          <w:lang w:eastAsia="zh-CN"/>
        </w:rPr>
        <w:t>应合法合规，符合招投标行政监督部门、行业主管部门和金融监管部门的相关规定，满足招标文件约定要求。</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应选择在渝依法设立总部或者设有分支机构的金融机构开具</w:t>
      </w:r>
      <w:r>
        <w:rPr>
          <w:rFonts w:hint="eastAsia" w:ascii="宋体" w:hAnsi="宋体" w:eastAsia="宋体" w:cs="宋体"/>
          <w:color w:val="auto"/>
          <w:kern w:val="0"/>
          <w:sz w:val="21"/>
          <w:szCs w:val="21"/>
          <w:highlight w:val="none"/>
          <w:lang w:val="en-US" w:eastAsia="zh-CN"/>
        </w:rPr>
        <w:t>质量保证金</w:t>
      </w:r>
      <w:r>
        <w:rPr>
          <w:rFonts w:hint="eastAsia" w:ascii="宋体" w:hAnsi="宋体" w:eastAsia="宋体" w:cs="宋体"/>
          <w:color w:val="auto"/>
          <w:kern w:val="0"/>
          <w:sz w:val="21"/>
          <w:szCs w:val="21"/>
          <w:highlight w:val="none"/>
        </w:rPr>
        <w:t>保函</w:t>
      </w:r>
      <w:r>
        <w:rPr>
          <w:rFonts w:hint="eastAsia" w:ascii="宋体" w:hAnsi="宋体" w:eastAsia="宋体" w:cs="宋体"/>
          <w:color w:val="auto"/>
          <w:kern w:val="0"/>
          <w:sz w:val="21"/>
          <w:szCs w:val="21"/>
          <w:highlight w:val="none"/>
          <w:lang w:val="en-US" w:eastAsia="zh-CN"/>
        </w:rPr>
        <w:t>（包括纸质保函或电子保函）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质量保证金</w:t>
      </w:r>
      <w:r>
        <w:rPr>
          <w:rFonts w:hint="eastAsia" w:ascii="宋体" w:hAnsi="宋体" w:eastAsia="宋体" w:cs="宋体"/>
          <w:color w:val="auto"/>
          <w:kern w:val="0"/>
          <w:sz w:val="21"/>
          <w:szCs w:val="21"/>
          <w:highlight w:val="none"/>
        </w:rPr>
        <w:t>保函</w:t>
      </w:r>
      <w:r>
        <w:rPr>
          <w:rFonts w:hint="eastAsia" w:ascii="宋体" w:hAnsi="宋体" w:eastAsia="宋体" w:cs="宋体"/>
          <w:color w:val="auto"/>
          <w:kern w:val="0"/>
          <w:sz w:val="21"/>
          <w:szCs w:val="21"/>
          <w:highlight w:val="none"/>
          <w:lang w:val="en-US" w:eastAsia="zh-CN"/>
        </w:rPr>
        <w:t>为纸质保函的，纸质保函应注明在</w:t>
      </w:r>
      <w:r>
        <w:rPr>
          <w:rFonts w:hint="eastAsia" w:ascii="宋体" w:hAnsi="宋体" w:eastAsia="宋体" w:cs="宋体"/>
          <w:color w:val="auto"/>
          <w:kern w:val="0"/>
          <w:sz w:val="21"/>
          <w:szCs w:val="21"/>
          <w:highlight w:val="none"/>
        </w:rPr>
        <w:t>重庆市辖区范围内的核验地址和核验方式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并确保该纸质保函能在开立人在渝的总部或者分支机构进行核验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承包人对所提交的质量保证金</w:t>
      </w:r>
      <w:r>
        <w:rPr>
          <w:rFonts w:hint="eastAsia" w:ascii="宋体" w:hAnsi="宋体" w:eastAsia="宋体" w:cs="宋体"/>
          <w:color w:val="auto"/>
          <w:kern w:val="0"/>
          <w:sz w:val="21"/>
          <w:szCs w:val="21"/>
          <w:highlight w:val="none"/>
        </w:rPr>
        <w:t>保函</w:t>
      </w:r>
      <w:r>
        <w:rPr>
          <w:rFonts w:hint="eastAsia" w:ascii="宋体" w:hAnsi="宋体" w:eastAsia="宋体" w:cs="宋体"/>
          <w:color w:val="auto"/>
          <w:kern w:val="0"/>
          <w:sz w:val="21"/>
          <w:szCs w:val="21"/>
          <w:highlight w:val="none"/>
          <w:lang w:val="en-US" w:eastAsia="zh-CN"/>
        </w:rPr>
        <w:t>的真实性、合法性、有效性负责。</w:t>
      </w:r>
    </w:p>
    <w:p w14:paraId="1372A67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3）保函金额为：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BDA2E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）提交时间：</w:t>
      </w:r>
      <w:r>
        <w:rPr>
          <w:rFonts w:hint="eastAsia" w:ascii="宋体" w:hAnsi="宋体" w:eastAsia="宋体" w:cs="宋体"/>
          <w:color w:val="auto"/>
          <w:sz w:val="21"/>
          <w:szCs w:val="21"/>
          <w:highlight w:val="none"/>
          <w:u w:val="single"/>
        </w:rPr>
        <w:t>工程竣工验收合格后14天内</w:t>
      </w:r>
      <w:r>
        <w:rPr>
          <w:rFonts w:hint="eastAsia" w:ascii="宋体" w:hAnsi="宋体" w:eastAsia="宋体" w:cs="宋体"/>
          <w:color w:val="auto"/>
          <w:sz w:val="21"/>
          <w:szCs w:val="21"/>
          <w:highlight w:val="none"/>
        </w:rPr>
        <w:t>。</w:t>
      </w:r>
    </w:p>
    <w:p w14:paraId="79BF1B7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eastAsia="宋体" w:cs="宋体"/>
          <w:color w:val="auto"/>
          <w:sz w:val="21"/>
          <w:szCs w:val="21"/>
          <w:highlight w:val="none"/>
        </w:rPr>
        <w:t>。</w:t>
      </w:r>
    </w:p>
    <w:p w14:paraId="6B7B9EA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（2）竣工结算价的</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w:t>
      </w:r>
    </w:p>
    <w:p w14:paraId="5DEA692D">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扣留大渡口区结算评审部门委托的结算评审单位认可的结算金额 3 %的工程款作为质量保证金</w:t>
      </w:r>
      <w:r>
        <w:rPr>
          <w:rFonts w:hint="eastAsia" w:ascii="宋体" w:hAnsi="宋体" w:eastAsia="宋体" w:cs="宋体"/>
          <w:color w:val="auto"/>
          <w:sz w:val="21"/>
          <w:szCs w:val="21"/>
          <w:highlight w:val="none"/>
        </w:rPr>
        <w:t>。</w:t>
      </w:r>
    </w:p>
    <w:p w14:paraId="213745E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14:paraId="469D34A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137254F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64AB3736">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412242CC">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其他扣留方式：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A57EC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15.3.3质量保证金的退还</w:t>
      </w:r>
    </w:p>
    <w:p w14:paraId="48331D3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（1）在发包人颁发缺陷责任期终止证书之日起14天内退还。</w:t>
      </w:r>
    </w:p>
    <w:p w14:paraId="6CCFECF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（2）缺陷责任期内，承包人认真履行合同约定的责任，到期后，承包人可向发包人申请返还质量保证金。</w:t>
      </w:r>
    </w:p>
    <w:p w14:paraId="48D6AF0D">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（3）质量保证金是否支付利息采取以下</w:t>
      </w:r>
      <w:r>
        <w:rPr>
          <w:rFonts w:hint="eastAsia" w:ascii="宋体" w:hAnsi="宋体" w:eastAsia="宋体" w:cs="宋体"/>
          <w:color w:val="auto"/>
          <w:sz w:val="21"/>
          <w:szCs w:val="21"/>
          <w:highlight w:val="none"/>
          <w:u w:val="single"/>
        </w:rPr>
        <w:t>第②种</w:t>
      </w:r>
      <w:r>
        <w:rPr>
          <w:rFonts w:hint="eastAsia" w:ascii="宋体" w:hAnsi="宋体" w:eastAsia="宋体" w:cs="宋体"/>
          <w:color w:val="auto"/>
          <w:sz w:val="21"/>
          <w:szCs w:val="21"/>
          <w:highlight w:val="none"/>
        </w:rPr>
        <w:t>方式：</w:t>
      </w:r>
    </w:p>
    <w:p w14:paraId="1A8C0F5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①按照中国人民银行  年  月公布的5年期贷款市场报价利率支付利息</w:t>
      </w:r>
      <w:r>
        <w:rPr>
          <w:rFonts w:hint="eastAsia" w:ascii="宋体" w:hAnsi="宋体" w:eastAsia="宋体" w:cs="宋体"/>
          <w:color w:val="auto"/>
          <w:sz w:val="21"/>
          <w:szCs w:val="21"/>
          <w:highlight w:val="none"/>
        </w:rPr>
        <w:t>。</w:t>
      </w:r>
    </w:p>
    <w:p w14:paraId="26E0D485">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②不采用</w:t>
      </w:r>
      <w:r>
        <w:rPr>
          <w:rFonts w:hint="eastAsia" w:ascii="宋体" w:hAnsi="宋体" w:eastAsia="宋体" w:cs="宋体"/>
          <w:color w:val="auto"/>
          <w:sz w:val="21"/>
          <w:szCs w:val="21"/>
          <w:highlight w:val="none"/>
        </w:rPr>
        <w:t>。</w:t>
      </w:r>
    </w:p>
    <w:p w14:paraId="68F0854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07" w:name="_Toc532377400"/>
      <w:bookmarkStart w:id="808" w:name="_Toc532375663"/>
      <w:r>
        <w:rPr>
          <w:rFonts w:hint="eastAsia" w:ascii="宋体" w:hAnsi="宋体" w:eastAsia="宋体" w:cs="宋体"/>
          <w:color w:val="auto"/>
          <w:sz w:val="21"/>
          <w:szCs w:val="21"/>
          <w:highlight w:val="none"/>
        </w:rPr>
        <w:t>15.4 保修</w:t>
      </w:r>
      <w:bookmarkEnd w:id="807"/>
      <w:bookmarkEnd w:id="808"/>
    </w:p>
    <w:p w14:paraId="6C9C231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1CB9166A">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bookmarkStart w:id="809" w:name="_Hlk524381274"/>
      <w:r>
        <w:rPr>
          <w:rFonts w:hint="eastAsia" w:ascii="宋体" w:hAnsi="宋体" w:eastAsia="宋体" w:cs="宋体"/>
          <w:color w:val="auto"/>
          <w:sz w:val="21"/>
          <w:szCs w:val="21"/>
          <w:highlight w:val="none"/>
        </w:rPr>
        <w:t>按照附件1《工程质量保修书》的规定执行。</w:t>
      </w:r>
      <w:bookmarkEnd w:id="809"/>
    </w:p>
    <w:p w14:paraId="240CC8B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2B0C286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小时内，最长不能超过</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小时</w:t>
      </w:r>
      <w:r>
        <w:rPr>
          <w:rFonts w:hint="eastAsia" w:ascii="宋体" w:hAnsi="宋体" w:eastAsia="宋体" w:cs="宋体"/>
          <w:color w:val="auto"/>
          <w:sz w:val="21"/>
          <w:szCs w:val="21"/>
          <w:highlight w:val="none"/>
        </w:rPr>
        <w:t>。</w:t>
      </w:r>
    </w:p>
    <w:p w14:paraId="4FAF0892">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810" w:name="_Toc351203648"/>
      <w:bookmarkStart w:id="811" w:name="_Toc532377401"/>
      <w:bookmarkStart w:id="812" w:name="_Toc532375664"/>
      <w:r>
        <w:rPr>
          <w:rFonts w:hint="eastAsia" w:ascii="宋体" w:hAnsi="宋体" w:eastAsia="宋体" w:cs="宋体"/>
          <w:color w:val="auto"/>
          <w:kern w:val="2"/>
          <w:sz w:val="21"/>
          <w:szCs w:val="21"/>
          <w:highlight w:val="none"/>
        </w:rPr>
        <w:t>16. 违约</w:t>
      </w:r>
      <w:bookmarkEnd w:id="810"/>
      <w:bookmarkEnd w:id="811"/>
      <w:bookmarkEnd w:id="812"/>
    </w:p>
    <w:p w14:paraId="5594192F">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13" w:name="_Toc532377402"/>
      <w:r>
        <w:rPr>
          <w:rFonts w:hint="eastAsia" w:ascii="宋体" w:hAnsi="宋体" w:eastAsia="宋体" w:cs="宋体"/>
          <w:color w:val="auto"/>
          <w:sz w:val="21"/>
          <w:szCs w:val="21"/>
          <w:highlight w:val="none"/>
        </w:rPr>
        <w:t>16.1 发包人违约</w:t>
      </w:r>
      <w:bookmarkEnd w:id="813"/>
    </w:p>
    <w:p w14:paraId="216B40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发包人违约的情形</w:t>
      </w:r>
    </w:p>
    <w:p w14:paraId="0C118F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除通用合同条款约定外，发包人违约的其他情形：</w:t>
      </w:r>
    </w:p>
    <w:p w14:paraId="77EC93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（1）根据专用合同条款7.5.1项因发包人原因导致工期延误的；</w:t>
      </w:r>
    </w:p>
    <w:p w14:paraId="0EB20F7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（2）因发包人原因未能及时办理完毕合同约定的许可、批准或备案的；</w:t>
      </w:r>
    </w:p>
    <w:p w14:paraId="5C83B2F9">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（3）因监理人未能按合同约定发出指示、指示延误或发出了错误指示而导致承包人费用增加和（或）工期延误的；</w:t>
      </w:r>
    </w:p>
    <w:p w14:paraId="14FDB5F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（4）根据5.3.3发包人或监理人要求重新检查的，经检查证明工程质量符合合同要求的，并由此产生增加的费用和（或）延误的工期的；</w:t>
      </w:r>
    </w:p>
    <w:p w14:paraId="6F1A4A8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（5）因发包人原因造成工程质量未达到合同约定标准的；</w:t>
      </w:r>
    </w:p>
    <w:p w14:paraId="083E085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（6）由于发包人原因对承包人造成的人员人身伤亡和财产损失的；</w:t>
      </w:r>
    </w:p>
    <w:p w14:paraId="5A0E72F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（7）因发包人原因导致工程无法按期办理竣工验收或竣工结算的；</w:t>
      </w:r>
    </w:p>
    <w:p w14:paraId="0CCA96F8">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（8）发包人无正当理由未按约定退还履约担保、低价风险担保、预付款担保或质量保证金的；</w:t>
      </w:r>
    </w:p>
    <w:p w14:paraId="047102C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（9）发包人不当提取履约担保、低价风险担保或质量保证金的；</w:t>
      </w:r>
    </w:p>
    <w:p w14:paraId="38C13EF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（10）发包人未按合同约定接收全部或部分工作的；</w:t>
      </w:r>
    </w:p>
    <w:p w14:paraId="7739AEBE">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（11）发包人未按合同约定办理保险的；</w:t>
      </w:r>
    </w:p>
    <w:p w14:paraId="2E003763">
      <w:pPr>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（12）其他：</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E8219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16.1.2发包人违约的责任</w:t>
      </w:r>
    </w:p>
    <w:p w14:paraId="6906B05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（1）因发包人原因未能及时办理完毕前述许可、批准或备案的违约责任：由发包人承担由此增加的费用和（或）顺延工期，并支付合理利润，具体索赔程序按照第19条〔索赔〕约定执行。</w:t>
      </w:r>
    </w:p>
    <w:p w14:paraId="72FC260F">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50FF5EF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（3）因发包人原因导致工期延误的违约责任：由发包人承担由此增加的费用和（或）顺延工期，并支付合理利润，具体索赔程序按照第19条〔索赔〕约定执行。</w:t>
      </w:r>
    </w:p>
    <w:p w14:paraId="3C5BA06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（4）因发包人原因未能在计划开工日期前7天内下达开工通知的违约责任：由发包人承担由此增加的费用和（或）顺延工期，并支付合理利润，具体索赔程序按照第19条〔索赔〕约定执行。</w:t>
      </w:r>
    </w:p>
    <w:p w14:paraId="4513663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3A6C54C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（6）因发包人原因未按合同约定支付合同价款的违约责任：发包人应向承包人支付违约金，自应当支付之日起28天后开始计算违约金，计算公式：</w:t>
      </w:r>
      <w:r>
        <w:rPr>
          <w:rFonts w:hint="eastAsia" w:ascii="宋体" w:hAnsi="宋体" w:eastAsia="宋体" w:cs="宋体"/>
          <w:color w:val="auto"/>
          <w:kern w:val="0"/>
          <w:sz w:val="21"/>
          <w:szCs w:val="21"/>
          <w:highlight w:val="none"/>
          <w:u w:val="single"/>
        </w:rPr>
        <w:t>违约金=应付未付金额×中国人民银行  年  月公布的5年期贷款市场报价利率/360天×逾期天数</w:t>
      </w:r>
      <w:r>
        <w:rPr>
          <w:rFonts w:hint="eastAsia" w:ascii="宋体" w:hAnsi="宋体" w:eastAsia="宋体" w:cs="宋体"/>
          <w:color w:val="auto"/>
          <w:sz w:val="21"/>
          <w:szCs w:val="21"/>
          <w:highlight w:val="none"/>
          <w:u w:val="single"/>
        </w:rPr>
        <w:t>（自第29天起计算）</w:t>
      </w:r>
      <w:r>
        <w:rPr>
          <w:rFonts w:hint="eastAsia" w:ascii="宋体" w:hAnsi="宋体" w:eastAsia="宋体" w:cs="宋体"/>
          <w:color w:val="auto"/>
          <w:kern w:val="0"/>
          <w:sz w:val="21"/>
          <w:szCs w:val="21"/>
          <w:highlight w:val="none"/>
          <w:u w:val="single"/>
        </w:rPr>
        <w:t>；逾期天数超过56天的，超过部分天数按上述利率的两倍计算并支付违约金</w:t>
      </w:r>
      <w:r>
        <w:rPr>
          <w:rFonts w:hint="eastAsia" w:ascii="宋体" w:hAnsi="宋体" w:eastAsia="宋体" w:cs="宋体"/>
          <w:color w:val="auto"/>
          <w:kern w:val="0"/>
          <w:sz w:val="21"/>
          <w:szCs w:val="21"/>
          <w:highlight w:val="none"/>
        </w:rPr>
        <w:t>。</w:t>
      </w:r>
    </w:p>
    <w:p w14:paraId="52D5939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（7）发包人违反合同约定，自行实施或转由他人实施被取消的合同工作内容的违约责任：由发包人承担由此给承包人造成的实际损失并支付合理利润。</w:t>
      </w:r>
    </w:p>
    <w:p w14:paraId="479A0F5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1461B46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（9）因发包人原因造成工程质量未达到合同约定标准的，由发包人承担由此增加的费用和（或）延误的工期，并支付合理利润。</w:t>
      </w:r>
    </w:p>
    <w:p w14:paraId="5156277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（10）因发包人违反合同约定造成暂停施工的违约责任：由发包人承担由此增加的费用和（或）顺延工期，并支付合理利润，具体索赔程序按照第19条〔索赔〕约定执行。</w:t>
      </w:r>
    </w:p>
    <w:p w14:paraId="44EEC43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279026F7">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2A118B0F">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（13）</w:t>
      </w:r>
      <w:r>
        <w:rPr>
          <w:rFonts w:hint="eastAsia" w:ascii="宋体" w:hAnsi="宋体" w:eastAsia="宋体" w:cs="宋体"/>
          <w:color w:val="auto"/>
          <w:kern w:val="0"/>
          <w:sz w:val="21"/>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eastAsia="宋体" w:cs="宋体"/>
          <w:color w:val="auto"/>
          <w:kern w:val="0"/>
          <w:sz w:val="21"/>
          <w:szCs w:val="21"/>
          <w:highlight w:val="none"/>
          <w:u w:val="single"/>
        </w:rPr>
        <w:t>计算公式：违约金=应退未退担保金额×中国人民银行  年  月公布的5年期贷款市场报价利率/360天×逾期天数</w:t>
      </w:r>
      <w:r>
        <w:rPr>
          <w:rFonts w:hint="eastAsia" w:ascii="宋体" w:hAnsi="宋体" w:eastAsia="宋体" w:cs="宋体"/>
          <w:color w:val="auto"/>
          <w:sz w:val="21"/>
          <w:szCs w:val="21"/>
          <w:highlight w:val="none"/>
          <w:u w:val="single"/>
        </w:rPr>
        <w:t>（自第29天起计算）</w:t>
      </w:r>
      <w:r>
        <w:rPr>
          <w:rFonts w:hint="eastAsia" w:ascii="宋体" w:hAnsi="宋体" w:eastAsia="宋体" w:cs="宋体"/>
          <w:color w:val="auto"/>
          <w:kern w:val="0"/>
          <w:sz w:val="21"/>
          <w:szCs w:val="21"/>
          <w:highlight w:val="none"/>
        </w:rPr>
        <w:t>。</w:t>
      </w:r>
    </w:p>
    <w:p w14:paraId="587CB23C">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none"/>
        </w:rPr>
        <w:t>（14）发包人不当提取履约担保、</w:t>
      </w:r>
      <w:r>
        <w:rPr>
          <w:rFonts w:hint="eastAsia" w:ascii="宋体" w:hAnsi="宋体" w:eastAsia="宋体" w:cs="宋体"/>
          <w:color w:val="auto"/>
          <w:sz w:val="21"/>
          <w:szCs w:val="21"/>
          <w:highlight w:val="none"/>
          <w:u w:val="none"/>
        </w:rPr>
        <w:t>低价风险担保、</w:t>
      </w:r>
      <w:r>
        <w:rPr>
          <w:rFonts w:hint="eastAsia" w:ascii="宋体" w:hAnsi="宋体" w:eastAsia="宋体" w:cs="宋体"/>
          <w:color w:val="auto"/>
          <w:kern w:val="0"/>
          <w:sz w:val="21"/>
          <w:szCs w:val="21"/>
          <w:highlight w:val="none"/>
          <w:u w:val="none"/>
        </w:rPr>
        <w:t>预付款担保或质量保证金的，应及时予以退还，若不当提取超过28天的，应承担违约责任：发包人应向承包人支付违约金，</w:t>
      </w:r>
      <w:r>
        <w:rPr>
          <w:rFonts w:hint="eastAsia" w:ascii="宋体" w:hAnsi="宋体" w:eastAsia="宋体" w:cs="宋体"/>
          <w:color w:val="auto"/>
          <w:kern w:val="0"/>
          <w:sz w:val="21"/>
          <w:szCs w:val="21"/>
          <w:highlight w:val="none"/>
          <w:u w:val="single"/>
        </w:rPr>
        <w:t>计算公式：违约金=不当提取的担保金额×中国人民银行  年  月公布的5年期贷款市场报价利率/360天×逾期天数（自第29天起计算）。</w:t>
      </w:r>
    </w:p>
    <w:p w14:paraId="4C68371A">
      <w:pPr>
        <w:spacing w:line="36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（15）发包人未按合同约定接收全部或部分工作的违约责任：由发包人承担自应当接收工程之日起的工程照管、成品保护、保管等与工程有关的各项费用。</w:t>
      </w:r>
    </w:p>
    <w:p w14:paraId="4670321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（16）由于发包人原因对承包人造成的人员人身伤亡和财产损失的，由发包人负责赔偿，并承担由此增加的费用和（或）延误的工期，并支付合理利润。</w:t>
      </w:r>
    </w:p>
    <w:p w14:paraId="70B8DD7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（17）发包人未按合同约定办理保险的违约责任：除按18.6.1项约定执行外，每延迟1天，按</w:t>
      </w:r>
      <w:r>
        <w:rPr>
          <w:rFonts w:hint="eastAsia" w:ascii="宋体" w:hAnsi="宋体" w:eastAsia="宋体" w:cs="宋体"/>
          <w:color w:val="auto"/>
          <w:kern w:val="0"/>
          <w:sz w:val="21"/>
          <w:szCs w:val="21"/>
          <w:highlight w:val="none"/>
          <w:u w:val="single"/>
        </w:rPr>
        <w:t>500元/天</w:t>
      </w:r>
      <w:r>
        <w:rPr>
          <w:rFonts w:hint="eastAsia" w:ascii="宋体" w:hAnsi="宋体" w:eastAsia="宋体" w:cs="宋体"/>
          <w:color w:val="auto"/>
          <w:kern w:val="0"/>
          <w:sz w:val="21"/>
          <w:szCs w:val="21"/>
          <w:highlight w:val="none"/>
        </w:rPr>
        <w:t>支付违约金。</w:t>
      </w:r>
    </w:p>
    <w:p w14:paraId="69BA349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86AE25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38D0F4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35549B7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因发包人违约并致使合同目的不能实现的，承包人有权解除合同：</w:t>
      </w:r>
    </w:p>
    <w:p w14:paraId="69A1D6A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（1）因发包人原因延迟支付合同价款超过180天的；</w:t>
      </w:r>
    </w:p>
    <w:p w14:paraId="7CD66BE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（2）因发包人原因导致工期延误超过90天的；</w:t>
      </w:r>
    </w:p>
    <w:p w14:paraId="749853F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（3）因发包人第16.1.2（5）违约情形导致暂停施工满56天，且发包人仍未纠正其违约行为的；</w:t>
      </w:r>
    </w:p>
    <w:p w14:paraId="103ECA8A">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（4）其他未履行合同项下的义务构成对合同的实质性违约，并且在收到承包人要求说明其违约并予以补救的通知后56天内仍未补救该实质性违约的；</w:t>
      </w:r>
    </w:p>
    <w:p w14:paraId="165ADB0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合同约定的承包人有权解除合同的其他情形</w:t>
      </w:r>
      <w:r>
        <w:rPr>
          <w:rFonts w:hint="eastAsia" w:ascii="宋体" w:hAnsi="宋体" w:eastAsia="宋体" w:cs="宋体"/>
          <w:color w:val="auto"/>
          <w:kern w:val="0"/>
          <w:sz w:val="21"/>
          <w:szCs w:val="21"/>
          <w:highlight w:val="none"/>
        </w:rPr>
        <w:t>。</w:t>
      </w:r>
    </w:p>
    <w:p w14:paraId="498255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16.1.4 因发包人违约解除合同后的付款</w:t>
      </w:r>
    </w:p>
    <w:p w14:paraId="2A6EB4C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承包人按照本款约定解除合同的，发包人应在解除合同后28天内支付下列款项，并解除履约担保、低价风险担保、预付款担保：</w:t>
      </w:r>
    </w:p>
    <w:p w14:paraId="1F8FB9E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（1）合同解除前所完成工作的价款；</w:t>
      </w:r>
    </w:p>
    <w:p w14:paraId="4A1D108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（2）承包人为工程施工订购并已付款的材料、工程设备和其他物品的价款；</w:t>
      </w:r>
    </w:p>
    <w:p w14:paraId="737078D9">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（3）承包人撤离施工现场以及遣散承包人人员的款项；</w:t>
      </w:r>
    </w:p>
    <w:p w14:paraId="4E279D0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（4）按照合同约定在合同解除前应支付的违约金；</w:t>
      </w:r>
    </w:p>
    <w:p w14:paraId="402D4298">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（5）按照合同约定应当支付给承包人的其他款项；</w:t>
      </w:r>
    </w:p>
    <w:p w14:paraId="25D1169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（6）按照合同约定应退还的质量保证金；</w:t>
      </w:r>
    </w:p>
    <w:p w14:paraId="23E327A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（7）因解除合同给承包人造成的损失；</w:t>
      </w:r>
    </w:p>
    <w:p w14:paraId="5FEA4BD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p>
    <w:p w14:paraId="16D2F56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合同当事人未能就解除合同后的结清达成一致的，按照第20条〔争议解决〕的约定处理。</w:t>
      </w:r>
    </w:p>
    <w:p w14:paraId="04A08901">
      <w:pPr>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17171577">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14" w:name="_Toc532377403"/>
      <w:r>
        <w:rPr>
          <w:rFonts w:hint="eastAsia" w:ascii="宋体" w:hAnsi="宋体" w:eastAsia="宋体" w:cs="宋体"/>
          <w:color w:val="auto"/>
          <w:sz w:val="21"/>
          <w:szCs w:val="21"/>
          <w:highlight w:val="none"/>
        </w:rPr>
        <w:t>16.2 承包人违约</w:t>
      </w:r>
      <w:bookmarkEnd w:id="814"/>
    </w:p>
    <w:p w14:paraId="33A5970B">
      <w:pPr>
        <w:snapToGrid w:val="0"/>
        <w:spacing w:line="360" w:lineRule="auto"/>
        <w:ind w:firstLine="420" w:firstLineChars="200"/>
        <w:jc w:val="left"/>
        <w:rPr>
          <w:rFonts w:hint="eastAsia" w:ascii="宋体" w:hAnsi="宋体" w:eastAsia="宋体" w:cs="宋体"/>
          <w:color w:val="auto"/>
          <w:kern w:val="0"/>
          <w:sz w:val="21"/>
          <w:szCs w:val="21"/>
          <w:highlight w:val="none"/>
        </w:rPr>
      </w:pPr>
      <w:bookmarkStart w:id="815" w:name="_Hlk524380579"/>
      <w:r>
        <w:rPr>
          <w:rFonts w:hint="eastAsia" w:ascii="宋体" w:hAnsi="宋体" w:eastAsia="宋体" w:cs="宋体"/>
          <w:color w:val="auto"/>
          <w:kern w:val="0"/>
          <w:sz w:val="21"/>
          <w:szCs w:val="21"/>
          <w:highlight w:val="none"/>
        </w:rPr>
        <w:t>16.2.1 承包人违约的情形</w:t>
      </w:r>
    </w:p>
    <w:p w14:paraId="5CC99514">
      <w:pPr>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除通用合同条款约定外，承包人违约的其他情形：</w:t>
      </w:r>
    </w:p>
    <w:p w14:paraId="4F62960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（1）承包人未按合同约定提交履约担保或质量保证金的；</w:t>
      </w:r>
    </w:p>
    <w:p w14:paraId="4D8D8E6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（2）承包人未能按期开工的；</w:t>
      </w:r>
    </w:p>
    <w:p w14:paraId="030C8AB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（3）承包人未按投标文件或监理人的要求及时配备称职的主要管理人员，或承包人未按经审定的施工组织设计配备或更换关键施工设备的；</w:t>
      </w:r>
    </w:p>
    <w:p w14:paraId="0A2DB77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（4）承包人有安全问题或有违反安全管理规章制度情况的；</w:t>
      </w:r>
    </w:p>
    <w:p w14:paraId="068949C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（5）承包人在缺陷责任期及保修期内，未能在合理期限对工程缺陷进行修复，或拒绝按发包人要求进行修复的；</w:t>
      </w:r>
    </w:p>
    <w:p w14:paraId="35CF59A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（6）承包人拖欠其工人或所雇人员工资或报酬，导致其工人或所雇人员向有关部门投诉、控告、检举或以聚集等方式讨要工资或报酬的；</w:t>
      </w:r>
    </w:p>
    <w:p w14:paraId="6A861BF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（7）承包人不配合发包人、监理人及发包人委托的工程造价咨询服务单位结算审核或承包人其他原因导致未按期完成工程竣工结算的；</w:t>
      </w:r>
    </w:p>
    <w:p w14:paraId="1DA04214">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（8）承包人违反合同约定进行转包或违法分包的；</w:t>
      </w:r>
    </w:p>
    <w:p w14:paraId="7348522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（9）承包人未按合同约定移交全部或部分工作的；</w:t>
      </w:r>
    </w:p>
    <w:p w14:paraId="2A65FB5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（10）承包人未按合同约定购买保险的；</w:t>
      </w:r>
    </w:p>
    <w:p w14:paraId="0F810EC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（11）项目经理若有以下情形，属于承包人违约：</w:t>
      </w:r>
    </w:p>
    <w:p w14:paraId="723452F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1）项目经理不按承诺到岗的；</w:t>
      </w:r>
    </w:p>
    <w:p w14:paraId="09A0E46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2）每月在施工现场的天数少于约定天数的；</w:t>
      </w:r>
    </w:p>
    <w:p w14:paraId="4DE6EAD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3）承包人未提交项目经理劳动合同和社会保险证明的；</w:t>
      </w:r>
    </w:p>
    <w:p w14:paraId="2B014E0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4）未经批准，擅自离开施工现场（超过约定时间）的；</w:t>
      </w:r>
    </w:p>
    <w:p w14:paraId="29254D2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5）未经批准，擅自变更项目经理的；</w:t>
      </w:r>
    </w:p>
    <w:p w14:paraId="285D0DE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6）按照渝建发〔2015〕35号文的要求，施工期间，项目经理因在一个记分周期内累计记分达到12分，被建设行政主管部门依法责令停止执业的；</w:t>
      </w:r>
    </w:p>
    <w:p w14:paraId="608B6344">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7）发包人有正当理由认为项目经理不称职/不履职，且承包人在约定时间内不予更换的；</w:t>
      </w:r>
    </w:p>
    <w:p w14:paraId="102C14F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876737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（12）技术负责人若有以下情形，属于承包人违约：</w:t>
      </w:r>
    </w:p>
    <w:p w14:paraId="2C8A06F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1）每月在施工现场的天数少于约定天数的；</w:t>
      </w:r>
    </w:p>
    <w:p w14:paraId="5483819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2）承包人未提交技术负责人劳动合同和社会保险证明的；</w:t>
      </w:r>
    </w:p>
    <w:p w14:paraId="4801C0B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3）未经批准，擅自离开施工现场（超过约定时间）的；</w:t>
      </w:r>
    </w:p>
    <w:p w14:paraId="2B3853A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4）未经批准，擅自变更技术负责人的；</w:t>
      </w:r>
    </w:p>
    <w:p w14:paraId="552C937A">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5）发包人有正当理由认为技术负责人不称职/不履职，且承包人在约定时间内不予更换的；</w:t>
      </w:r>
    </w:p>
    <w:p w14:paraId="4795423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836F268">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（13）主要施工管理人员若有以下情形，属于承包人违约：</w:t>
      </w:r>
    </w:p>
    <w:p w14:paraId="251A501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1）承包人未提交主要管理人员劳动合同和社会保险证明的；</w:t>
      </w:r>
    </w:p>
    <w:p w14:paraId="0DC6C738">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2）未经批准，擅自离开施工现场（超过约定时间）的；</w:t>
      </w:r>
    </w:p>
    <w:p w14:paraId="20EBED5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3）未经批准，擅自变更主要施工管理人员的；</w:t>
      </w:r>
    </w:p>
    <w:p w14:paraId="68D14D5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4）发包人有正当理由认为主要施工管理人员不称职/不履职，且承包人在约定时间内不予更换的；</w:t>
      </w:r>
    </w:p>
    <w:p w14:paraId="4964846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bookmarkEnd w:id="815"/>
    <w:p w14:paraId="10316A78">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p>
    <w:p w14:paraId="0A6FB0A2">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3D8423AB">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14:paraId="23E5AA5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（1）承包人未按合同约定提交履约担保、质量保证金的违约责任：承包人应支付违约金，</w:t>
      </w:r>
      <w:r>
        <w:rPr>
          <w:rFonts w:hint="eastAsia" w:ascii="宋体" w:hAnsi="宋体" w:eastAsia="宋体" w:cs="宋体"/>
          <w:color w:val="auto"/>
          <w:sz w:val="21"/>
          <w:szCs w:val="21"/>
          <w:highlight w:val="none"/>
        </w:rPr>
        <w:t>违约金的计算方法：</w:t>
      </w:r>
      <w:r>
        <w:rPr>
          <w:rFonts w:hint="eastAsia" w:ascii="宋体" w:hAnsi="宋体" w:eastAsia="宋体" w:cs="宋体"/>
          <w:color w:val="auto"/>
          <w:kern w:val="0"/>
          <w:sz w:val="21"/>
          <w:szCs w:val="21"/>
          <w:highlight w:val="none"/>
        </w:rPr>
        <w:t>每延误1天，承包人按</w:t>
      </w:r>
      <w:r>
        <w:rPr>
          <w:rFonts w:hint="eastAsia" w:ascii="宋体" w:hAnsi="宋体" w:eastAsia="宋体" w:cs="宋体"/>
          <w:color w:val="auto"/>
          <w:kern w:val="0"/>
          <w:sz w:val="21"/>
          <w:szCs w:val="21"/>
          <w:highlight w:val="none"/>
          <w:u w:val="single"/>
        </w:rPr>
        <w:t xml:space="preserve"> 5000元/天</w:t>
      </w:r>
      <w:r>
        <w:rPr>
          <w:rFonts w:hint="eastAsia" w:ascii="宋体" w:hAnsi="宋体" w:eastAsia="宋体" w:cs="宋体"/>
          <w:color w:val="auto"/>
          <w:kern w:val="0"/>
          <w:sz w:val="21"/>
          <w:szCs w:val="21"/>
          <w:highlight w:val="none"/>
        </w:rPr>
        <w:t>计算违约金，累计违约金上限：</w:t>
      </w:r>
      <w:r>
        <w:rPr>
          <w:rFonts w:hint="eastAsia" w:ascii="宋体" w:hAnsi="宋体" w:eastAsia="宋体" w:cs="宋体"/>
          <w:color w:val="auto"/>
          <w:kern w:val="0"/>
          <w:sz w:val="21"/>
          <w:szCs w:val="21"/>
          <w:highlight w:val="none"/>
          <w:u w:val="single"/>
        </w:rPr>
        <w:t xml:space="preserve"> 不超过签约合同价的3%</w:t>
      </w:r>
      <w:r>
        <w:rPr>
          <w:rFonts w:hint="eastAsia" w:ascii="宋体" w:hAnsi="宋体" w:eastAsia="宋体" w:cs="宋体"/>
          <w:color w:val="auto"/>
          <w:kern w:val="0"/>
          <w:sz w:val="21"/>
          <w:szCs w:val="21"/>
          <w:highlight w:val="none"/>
          <w:lang w:val="zh-CN"/>
        </w:rPr>
        <w:t>。</w:t>
      </w:r>
    </w:p>
    <w:p w14:paraId="4899BE1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1"/>
          <w:szCs w:val="21"/>
          <w:highlight w:val="none"/>
          <w:u w:val="single"/>
        </w:rPr>
        <w:t xml:space="preserve"> 5%</w:t>
      </w:r>
      <w:r>
        <w:rPr>
          <w:rFonts w:hint="eastAsia" w:ascii="宋体" w:hAnsi="宋体" w:eastAsia="宋体" w:cs="宋体"/>
          <w:color w:val="auto"/>
          <w:kern w:val="0"/>
          <w:sz w:val="21"/>
          <w:szCs w:val="21"/>
          <w:highlight w:val="none"/>
        </w:rPr>
        <w:t>支付违约金，违法转/分包商应在7天内撤离出场。</w:t>
      </w:r>
    </w:p>
    <w:p w14:paraId="58604FE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1"/>
          <w:szCs w:val="21"/>
          <w:highlight w:val="none"/>
          <w:u w:val="single"/>
        </w:rPr>
        <w:t xml:space="preserve"> 5%</w:t>
      </w:r>
      <w:r>
        <w:rPr>
          <w:rFonts w:hint="eastAsia" w:ascii="宋体" w:hAnsi="宋体" w:eastAsia="宋体" w:cs="宋体"/>
          <w:color w:val="auto"/>
          <w:kern w:val="0"/>
          <w:sz w:val="21"/>
          <w:szCs w:val="21"/>
          <w:highlight w:val="none"/>
        </w:rPr>
        <w:t>支付违约金。</w:t>
      </w:r>
    </w:p>
    <w:p w14:paraId="2D0F5E3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1"/>
          <w:szCs w:val="21"/>
          <w:highlight w:val="none"/>
          <w:u w:val="single"/>
        </w:rPr>
        <w:t xml:space="preserve"> 5%</w:t>
      </w:r>
      <w:r>
        <w:rPr>
          <w:rFonts w:hint="eastAsia" w:ascii="宋体" w:hAnsi="宋体" w:eastAsia="宋体" w:cs="宋体"/>
          <w:color w:val="auto"/>
          <w:kern w:val="0"/>
          <w:sz w:val="21"/>
          <w:szCs w:val="21"/>
          <w:highlight w:val="none"/>
        </w:rPr>
        <w:t>支付违约金。</w:t>
      </w:r>
    </w:p>
    <w:p w14:paraId="35BE594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1"/>
          <w:szCs w:val="21"/>
          <w:highlight w:val="none"/>
          <w:u w:val="single"/>
        </w:rPr>
        <w:t xml:space="preserve"> 1%</w:t>
      </w:r>
      <w:r>
        <w:rPr>
          <w:rFonts w:hint="eastAsia" w:ascii="宋体" w:hAnsi="宋体" w:eastAsia="宋体" w:cs="宋体"/>
          <w:color w:val="auto"/>
          <w:kern w:val="0"/>
          <w:sz w:val="21"/>
          <w:szCs w:val="21"/>
          <w:highlight w:val="none"/>
        </w:rPr>
        <w:t>支付违约金。</w:t>
      </w:r>
    </w:p>
    <w:p w14:paraId="7D7CF76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（6）因承包人原因造成工期延误的违约承担方式和计算方法：由承包人承担由此增加的费用，</w:t>
      </w:r>
      <w:r>
        <w:rPr>
          <w:rFonts w:hint="eastAsia" w:ascii="宋体" w:hAnsi="宋体" w:eastAsia="宋体" w:cs="宋体"/>
          <w:color w:val="auto"/>
          <w:sz w:val="21"/>
          <w:szCs w:val="21"/>
          <w:highlight w:val="none"/>
        </w:rPr>
        <w:t>由此导致工期延误的，工期不予顺延；逾期竣工违约金的计算方法：</w:t>
      </w:r>
      <w:r>
        <w:rPr>
          <w:rFonts w:hint="eastAsia" w:ascii="宋体" w:hAnsi="宋体" w:eastAsia="宋体" w:cs="宋体"/>
          <w:color w:val="auto"/>
          <w:kern w:val="0"/>
          <w:sz w:val="21"/>
          <w:szCs w:val="21"/>
          <w:highlight w:val="none"/>
        </w:rPr>
        <w:t>每延误1天，承包人按</w:t>
      </w:r>
      <w:r>
        <w:rPr>
          <w:rFonts w:hint="eastAsia" w:ascii="宋体" w:hAnsi="宋体" w:eastAsia="宋体" w:cs="宋体"/>
          <w:color w:val="auto"/>
          <w:kern w:val="0"/>
          <w:sz w:val="21"/>
          <w:szCs w:val="21"/>
          <w:highlight w:val="none"/>
          <w:u w:val="single"/>
        </w:rPr>
        <w:t xml:space="preserve"> 5000元/天</w:t>
      </w:r>
      <w:r>
        <w:rPr>
          <w:rFonts w:hint="eastAsia" w:ascii="宋体" w:hAnsi="宋体" w:eastAsia="宋体" w:cs="宋体"/>
          <w:color w:val="auto"/>
          <w:kern w:val="0"/>
          <w:sz w:val="21"/>
          <w:szCs w:val="21"/>
          <w:highlight w:val="none"/>
        </w:rPr>
        <w:t>计算逾期竣工违约金，累计违约金上限：</w:t>
      </w:r>
      <w:r>
        <w:rPr>
          <w:rFonts w:hint="eastAsia" w:ascii="宋体" w:hAnsi="宋体" w:eastAsia="宋体" w:cs="宋体"/>
          <w:color w:val="auto"/>
          <w:kern w:val="0"/>
          <w:sz w:val="21"/>
          <w:szCs w:val="21"/>
          <w:highlight w:val="none"/>
          <w:u w:val="single"/>
        </w:rPr>
        <w:t xml:space="preserve"> 不超过签约合同价的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承包人支付逾期竣工违约金后，不免除承包人继续完成工程及修补缺陷的义务。</w:t>
      </w:r>
    </w:p>
    <w:p w14:paraId="7121A6D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1"/>
          <w:szCs w:val="21"/>
          <w:highlight w:val="none"/>
          <w:u w:val="single"/>
        </w:rPr>
        <w:t xml:space="preserve"> 0.5%</w:t>
      </w:r>
      <w:r>
        <w:rPr>
          <w:rFonts w:hint="eastAsia" w:ascii="宋体" w:hAnsi="宋体" w:eastAsia="宋体" w:cs="宋体"/>
          <w:color w:val="auto"/>
          <w:kern w:val="0"/>
          <w:sz w:val="21"/>
          <w:szCs w:val="21"/>
          <w:highlight w:val="none"/>
        </w:rPr>
        <w:t>支付违约金。</w:t>
      </w:r>
    </w:p>
    <w:p w14:paraId="3E47D2B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（8）承包人明确表示或者以其行为表明不履行合同主要义务的违约责任：按签约合同价的</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支付违约金。</w:t>
      </w:r>
    </w:p>
    <w:p w14:paraId="5DA4D0F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（9）承包人未能按照合同约定履行其他义务的违约责任：按</w:t>
      </w:r>
      <w:r>
        <w:rPr>
          <w:rFonts w:hint="eastAsia" w:ascii="宋体" w:hAnsi="宋体" w:eastAsia="宋体" w:cs="宋体"/>
          <w:color w:val="auto"/>
          <w:kern w:val="0"/>
          <w:sz w:val="21"/>
          <w:szCs w:val="21"/>
          <w:highlight w:val="none"/>
          <w:u w:val="single"/>
        </w:rPr>
        <w:t>500元/次</w:t>
      </w:r>
      <w:r>
        <w:rPr>
          <w:rFonts w:hint="eastAsia" w:ascii="宋体" w:hAnsi="宋体" w:eastAsia="宋体" w:cs="宋体"/>
          <w:color w:val="auto"/>
          <w:kern w:val="0"/>
          <w:sz w:val="21"/>
          <w:szCs w:val="21"/>
          <w:highlight w:val="none"/>
        </w:rPr>
        <w:t>支付违约金。</w:t>
      </w:r>
    </w:p>
    <w:p w14:paraId="204F60E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（10）承包人未能按期开工的违约责任：按合同价</w:t>
      </w:r>
      <w:r>
        <w:rPr>
          <w:rFonts w:hint="eastAsia" w:ascii="宋体" w:hAnsi="宋体" w:eastAsia="宋体" w:cs="宋体"/>
          <w:color w:val="auto"/>
          <w:kern w:val="0"/>
          <w:sz w:val="21"/>
          <w:szCs w:val="21"/>
          <w:highlight w:val="none"/>
          <w:u w:val="single"/>
        </w:rPr>
        <w:t>0.2‰/天</w:t>
      </w:r>
      <w:r>
        <w:rPr>
          <w:rFonts w:hint="eastAsia" w:ascii="宋体" w:hAnsi="宋体" w:eastAsia="宋体" w:cs="宋体"/>
          <w:color w:val="auto"/>
          <w:kern w:val="0"/>
          <w:sz w:val="21"/>
          <w:szCs w:val="21"/>
          <w:highlight w:val="none"/>
        </w:rPr>
        <w:t>支付违约金，本项违约金累计限额为签约合同价的</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rPr>
        <w:t>。</w:t>
      </w:r>
    </w:p>
    <w:p w14:paraId="6626C1D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（11）承包人未按经审定的施工组织设计配备或更换关键施工设备的违约责任：按</w:t>
      </w:r>
      <w:r>
        <w:rPr>
          <w:rFonts w:hint="eastAsia" w:ascii="宋体" w:hAnsi="宋体" w:eastAsia="宋体" w:cs="宋体"/>
          <w:color w:val="auto"/>
          <w:kern w:val="0"/>
          <w:sz w:val="21"/>
          <w:szCs w:val="21"/>
          <w:highlight w:val="none"/>
          <w:u w:val="single"/>
        </w:rPr>
        <w:t xml:space="preserve"> 5000元/台·次</w:t>
      </w:r>
      <w:r>
        <w:rPr>
          <w:rFonts w:hint="eastAsia" w:ascii="宋体" w:hAnsi="宋体" w:eastAsia="宋体" w:cs="宋体"/>
          <w:color w:val="auto"/>
          <w:kern w:val="0"/>
          <w:sz w:val="21"/>
          <w:szCs w:val="21"/>
          <w:highlight w:val="none"/>
        </w:rPr>
        <w:t>支付违约金。</w:t>
      </w:r>
    </w:p>
    <w:p w14:paraId="21A23C6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（12）承包人有安全问题或有违反安全管理规章制度情况的违约责任：根据具体情节，按签约合同价的</w:t>
      </w:r>
      <w:r>
        <w:rPr>
          <w:rFonts w:hint="eastAsia" w:ascii="宋体" w:hAnsi="宋体" w:eastAsia="宋体" w:cs="宋体"/>
          <w:color w:val="auto"/>
          <w:kern w:val="0"/>
          <w:sz w:val="21"/>
          <w:szCs w:val="21"/>
          <w:highlight w:val="none"/>
          <w:u w:val="single"/>
        </w:rPr>
        <w:t>0.5‰/次</w:t>
      </w:r>
      <w:r>
        <w:rPr>
          <w:rFonts w:hint="eastAsia" w:ascii="宋体" w:hAnsi="宋体" w:eastAsia="宋体" w:cs="宋体"/>
          <w:color w:val="auto"/>
          <w:kern w:val="0"/>
          <w:sz w:val="21"/>
          <w:szCs w:val="21"/>
          <w:highlight w:val="none"/>
        </w:rPr>
        <w:t>支付违约金（累计不超过签约合同价的1%，详见附件9安全管理协议）。</w:t>
      </w:r>
    </w:p>
    <w:p w14:paraId="691A5F3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1"/>
          <w:szCs w:val="21"/>
          <w:highlight w:val="none"/>
          <w:u w:val="single"/>
        </w:rPr>
        <w:t>50000元/次</w:t>
      </w:r>
      <w:r>
        <w:rPr>
          <w:rFonts w:hint="eastAsia" w:ascii="宋体" w:hAnsi="宋体" w:eastAsia="宋体" w:cs="宋体"/>
          <w:color w:val="auto"/>
          <w:kern w:val="0"/>
          <w:sz w:val="21"/>
          <w:szCs w:val="21"/>
          <w:highlight w:val="none"/>
        </w:rPr>
        <w:t>支付违约金。</w:t>
      </w:r>
    </w:p>
    <w:p w14:paraId="091AD10E">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（14）承包人不配合发包人、监理人及发包人委托的工程造价咨询服务单位结算审核的违约责任：根据具体情节，按</w:t>
      </w:r>
      <w:r>
        <w:rPr>
          <w:rFonts w:hint="eastAsia" w:ascii="宋体" w:hAnsi="宋体" w:eastAsia="宋体" w:cs="宋体"/>
          <w:color w:val="auto"/>
          <w:kern w:val="0"/>
          <w:sz w:val="21"/>
          <w:szCs w:val="21"/>
          <w:highlight w:val="none"/>
          <w:u w:val="single"/>
        </w:rPr>
        <w:t>10000元/次</w:t>
      </w:r>
      <w:r>
        <w:rPr>
          <w:rFonts w:hint="eastAsia" w:ascii="宋体" w:hAnsi="宋体" w:eastAsia="宋体" w:cs="宋体"/>
          <w:color w:val="auto"/>
          <w:kern w:val="0"/>
          <w:sz w:val="21"/>
          <w:szCs w:val="21"/>
          <w:highlight w:val="none"/>
        </w:rPr>
        <w:t>支付违约金。</w:t>
      </w:r>
    </w:p>
    <w:p w14:paraId="55D1153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1"/>
          <w:szCs w:val="21"/>
          <w:highlight w:val="none"/>
          <w:u w:val="single"/>
        </w:rPr>
        <w:t>0.5‰</w:t>
      </w:r>
      <w:r>
        <w:rPr>
          <w:rFonts w:hint="eastAsia" w:ascii="宋体" w:hAnsi="宋体" w:eastAsia="宋体" w:cs="宋体"/>
          <w:color w:val="auto"/>
          <w:kern w:val="0"/>
          <w:sz w:val="21"/>
          <w:szCs w:val="21"/>
          <w:highlight w:val="none"/>
        </w:rPr>
        <w:t>支付违约金。</w:t>
      </w:r>
    </w:p>
    <w:p w14:paraId="4102846E">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（16）承包人未按合同约定购买保险的违约责任：除按18.6.2项约定执行外，每延迟1天，按</w:t>
      </w:r>
      <w:r>
        <w:rPr>
          <w:rFonts w:hint="eastAsia" w:ascii="宋体" w:hAnsi="宋体" w:eastAsia="宋体" w:cs="宋体"/>
          <w:color w:val="auto"/>
          <w:sz w:val="21"/>
          <w:szCs w:val="21"/>
          <w:highlight w:val="none"/>
          <w:u w:val="single"/>
        </w:rPr>
        <w:t>500元/天</w:t>
      </w:r>
      <w:r>
        <w:rPr>
          <w:rFonts w:hint="eastAsia" w:ascii="宋体" w:hAnsi="宋体" w:eastAsia="宋体" w:cs="宋体"/>
          <w:color w:val="auto"/>
          <w:sz w:val="21"/>
          <w:szCs w:val="21"/>
          <w:highlight w:val="none"/>
        </w:rPr>
        <w:t>支付违约金。</w:t>
      </w:r>
    </w:p>
    <w:p w14:paraId="6114F42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（17）发生第16.2.1项（11）目、16.2.1项（12）目、16.2.1项（13）目违约情形的违约责任：除承担由此增加的费用和工期延误的责任，承包人应向发包人支付违约金：</w:t>
      </w:r>
    </w:p>
    <w:p w14:paraId="0D0FF9B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1）项目经理违约承担方式和计算方法：对于第16.2.1项（11）目的情形，每发现一次，根据具体情节，按</w:t>
      </w:r>
      <w:r>
        <w:rPr>
          <w:rFonts w:hint="eastAsia" w:ascii="宋体" w:hAnsi="宋体" w:eastAsia="宋体" w:cs="宋体"/>
          <w:color w:val="auto"/>
          <w:kern w:val="0"/>
          <w:sz w:val="21"/>
          <w:szCs w:val="21"/>
          <w:highlight w:val="none"/>
          <w:u w:val="single"/>
        </w:rPr>
        <w:t>1000元/天·次</w:t>
      </w:r>
      <w:r>
        <w:rPr>
          <w:rFonts w:hint="eastAsia" w:ascii="宋体" w:hAnsi="宋体" w:eastAsia="宋体" w:cs="宋体"/>
          <w:color w:val="auto"/>
          <w:kern w:val="0"/>
          <w:sz w:val="21"/>
          <w:szCs w:val="21"/>
          <w:highlight w:val="none"/>
        </w:rPr>
        <w:t>计算违约金；项目经理不按承诺到岗的（3.2.3项约定的情形除外），按履约保证金的</w:t>
      </w:r>
      <w:r>
        <w:rPr>
          <w:rFonts w:hint="eastAsia" w:ascii="宋体" w:hAnsi="宋体" w:eastAsia="宋体" w:cs="宋体"/>
          <w:color w:val="auto"/>
          <w:kern w:val="0"/>
          <w:sz w:val="21"/>
          <w:szCs w:val="21"/>
          <w:highlight w:val="none"/>
          <w:u w:val="single"/>
          <w:lang w:val="en-US" w:eastAsia="zh-CN"/>
        </w:rPr>
        <w:t>100</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支付违约金，并解除合同；擅自更换项目经理的，按签约合同价的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支付违约金，每次不低于</w:t>
      </w:r>
      <w:r>
        <w:rPr>
          <w:rFonts w:hint="eastAsia" w:ascii="宋体" w:hAnsi="宋体" w:eastAsia="宋体" w:cs="宋体"/>
          <w:color w:val="auto"/>
          <w:kern w:val="0"/>
          <w:sz w:val="21"/>
          <w:szCs w:val="21"/>
          <w:highlight w:val="none"/>
          <w:u w:val="single"/>
        </w:rPr>
        <w:t>20万</w:t>
      </w:r>
      <w:r>
        <w:rPr>
          <w:rFonts w:hint="eastAsia" w:ascii="宋体" w:hAnsi="宋体" w:eastAsia="宋体" w:cs="宋体"/>
          <w:color w:val="auto"/>
          <w:kern w:val="0"/>
          <w:sz w:val="21"/>
          <w:szCs w:val="21"/>
          <w:highlight w:val="none"/>
        </w:rPr>
        <w:t>，累计不超过</w:t>
      </w:r>
      <w:r>
        <w:rPr>
          <w:rFonts w:hint="eastAsia" w:ascii="宋体" w:hAnsi="宋体" w:eastAsia="宋体" w:cs="宋体"/>
          <w:color w:val="auto"/>
          <w:kern w:val="0"/>
          <w:sz w:val="21"/>
          <w:szCs w:val="21"/>
          <w:highlight w:val="none"/>
          <w:u w:val="single"/>
        </w:rPr>
        <w:t>200万</w:t>
      </w:r>
      <w:r>
        <w:rPr>
          <w:rFonts w:hint="eastAsia" w:ascii="宋体" w:hAnsi="宋体" w:eastAsia="宋体" w:cs="宋体"/>
          <w:color w:val="auto"/>
          <w:kern w:val="0"/>
          <w:sz w:val="21"/>
          <w:szCs w:val="21"/>
          <w:highlight w:val="none"/>
        </w:rPr>
        <w:t>；项目经理被责令停止执业的，按签约合同价的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支付违约金，每次不低于</w:t>
      </w:r>
      <w:r>
        <w:rPr>
          <w:rFonts w:hint="eastAsia" w:ascii="宋体" w:hAnsi="宋体" w:eastAsia="宋体" w:cs="宋体"/>
          <w:color w:val="auto"/>
          <w:kern w:val="0"/>
          <w:sz w:val="21"/>
          <w:szCs w:val="21"/>
          <w:highlight w:val="none"/>
          <w:u w:val="single"/>
        </w:rPr>
        <w:t>20万</w:t>
      </w:r>
      <w:r>
        <w:rPr>
          <w:rFonts w:hint="eastAsia" w:ascii="宋体" w:hAnsi="宋体" w:eastAsia="宋体" w:cs="宋体"/>
          <w:color w:val="auto"/>
          <w:kern w:val="0"/>
          <w:sz w:val="21"/>
          <w:szCs w:val="21"/>
          <w:highlight w:val="none"/>
        </w:rPr>
        <w:t>，累计不超过</w:t>
      </w:r>
      <w:r>
        <w:rPr>
          <w:rFonts w:hint="eastAsia" w:ascii="宋体" w:hAnsi="宋体" w:eastAsia="宋体" w:cs="宋体"/>
          <w:color w:val="auto"/>
          <w:kern w:val="0"/>
          <w:sz w:val="21"/>
          <w:szCs w:val="21"/>
          <w:highlight w:val="none"/>
          <w:u w:val="single"/>
        </w:rPr>
        <w:t>200万</w:t>
      </w:r>
      <w:r>
        <w:rPr>
          <w:rFonts w:hint="eastAsia" w:ascii="宋体" w:hAnsi="宋体" w:eastAsia="宋体" w:cs="宋体"/>
          <w:color w:val="auto"/>
          <w:kern w:val="0"/>
          <w:sz w:val="21"/>
          <w:szCs w:val="21"/>
          <w:highlight w:val="none"/>
        </w:rPr>
        <w:t>；项目经理被责令停止执业的，按签约合同价的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支付违约金，每次不低于</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rPr>
        <w:t>万，累计不超过</w:t>
      </w:r>
      <w:r>
        <w:rPr>
          <w:rFonts w:hint="eastAsia" w:ascii="宋体" w:hAnsi="宋体" w:eastAsia="宋体" w:cs="宋体"/>
          <w:color w:val="auto"/>
          <w:kern w:val="0"/>
          <w:sz w:val="21"/>
          <w:szCs w:val="21"/>
          <w:highlight w:val="none"/>
          <w:u w:val="single"/>
        </w:rPr>
        <w:t>200</w:t>
      </w:r>
      <w:r>
        <w:rPr>
          <w:rFonts w:hint="eastAsia" w:ascii="宋体" w:hAnsi="宋体" w:eastAsia="宋体" w:cs="宋体"/>
          <w:color w:val="auto"/>
          <w:kern w:val="0"/>
          <w:sz w:val="21"/>
          <w:szCs w:val="21"/>
          <w:highlight w:val="none"/>
        </w:rPr>
        <w:t>万。</w:t>
      </w:r>
    </w:p>
    <w:p w14:paraId="7D01609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2）主要技术负责人违约承担方式和计算方法：对于第16.2.1项（12）目的六种情形，每发现一次，根据具体情节，按</w:t>
      </w:r>
      <w:r>
        <w:rPr>
          <w:rFonts w:hint="eastAsia" w:ascii="宋体" w:hAnsi="宋体" w:eastAsia="宋体" w:cs="宋体"/>
          <w:color w:val="auto"/>
          <w:kern w:val="0"/>
          <w:sz w:val="21"/>
          <w:szCs w:val="21"/>
          <w:highlight w:val="none"/>
          <w:u w:val="single"/>
        </w:rPr>
        <w:t>1000元/天·次</w:t>
      </w:r>
      <w:r>
        <w:rPr>
          <w:rFonts w:hint="eastAsia" w:ascii="宋体" w:hAnsi="宋体" w:eastAsia="宋体" w:cs="宋体"/>
          <w:color w:val="auto"/>
          <w:kern w:val="0"/>
          <w:sz w:val="21"/>
          <w:szCs w:val="21"/>
          <w:highlight w:val="none"/>
        </w:rPr>
        <w:t>计算违约金；擅自更换主要技术负责人的，按签约合同价的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支付违约金，每次不低于</w:t>
      </w:r>
      <w:r>
        <w:rPr>
          <w:rFonts w:hint="eastAsia" w:ascii="宋体" w:hAnsi="宋体" w:eastAsia="宋体" w:cs="宋体"/>
          <w:color w:val="auto"/>
          <w:kern w:val="0"/>
          <w:sz w:val="21"/>
          <w:szCs w:val="21"/>
          <w:highlight w:val="none"/>
          <w:u w:val="single"/>
        </w:rPr>
        <w:t>10万</w:t>
      </w:r>
      <w:r>
        <w:rPr>
          <w:rFonts w:hint="eastAsia" w:ascii="宋体" w:hAnsi="宋体" w:eastAsia="宋体" w:cs="宋体"/>
          <w:color w:val="auto"/>
          <w:kern w:val="0"/>
          <w:sz w:val="21"/>
          <w:szCs w:val="21"/>
          <w:highlight w:val="none"/>
        </w:rPr>
        <w:t>，累计不超过</w:t>
      </w:r>
      <w:r>
        <w:rPr>
          <w:rFonts w:hint="eastAsia" w:ascii="宋体" w:hAnsi="宋体" w:eastAsia="宋体" w:cs="宋体"/>
          <w:color w:val="auto"/>
          <w:kern w:val="0"/>
          <w:sz w:val="21"/>
          <w:szCs w:val="21"/>
          <w:highlight w:val="none"/>
          <w:u w:val="single"/>
        </w:rPr>
        <w:t>100万</w:t>
      </w:r>
      <w:r>
        <w:rPr>
          <w:rFonts w:hint="eastAsia" w:ascii="宋体" w:hAnsi="宋体" w:eastAsia="宋体" w:cs="宋体"/>
          <w:color w:val="auto"/>
          <w:kern w:val="0"/>
          <w:sz w:val="21"/>
          <w:szCs w:val="21"/>
          <w:highlight w:val="none"/>
        </w:rPr>
        <w:t>。</w:t>
      </w:r>
    </w:p>
    <w:p w14:paraId="7F94851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3）主要施工管理人员违约承担方式和计算方法：对于第16.2.1项（13）目的五种情形，每发现一次，根据具体情节，按</w:t>
      </w:r>
      <w:r>
        <w:rPr>
          <w:rFonts w:hint="eastAsia" w:ascii="宋体" w:hAnsi="宋体" w:eastAsia="宋体" w:cs="宋体"/>
          <w:color w:val="auto"/>
          <w:kern w:val="0"/>
          <w:sz w:val="21"/>
          <w:szCs w:val="21"/>
          <w:highlight w:val="none"/>
          <w:u w:val="single"/>
        </w:rPr>
        <w:t>500元/天·次</w:t>
      </w:r>
      <w:r>
        <w:rPr>
          <w:rFonts w:hint="eastAsia" w:ascii="宋体" w:hAnsi="宋体" w:eastAsia="宋体" w:cs="宋体"/>
          <w:color w:val="auto"/>
          <w:kern w:val="0"/>
          <w:sz w:val="21"/>
          <w:szCs w:val="21"/>
          <w:highlight w:val="none"/>
        </w:rPr>
        <w:t>计算违约金。</w:t>
      </w:r>
    </w:p>
    <w:p w14:paraId="08DDBFC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r>
        <w:rPr>
          <w:rFonts w:hint="eastAsia" w:ascii="宋体" w:hAnsi="宋体" w:eastAsia="宋体" w:cs="宋体"/>
          <w:color w:val="auto"/>
          <w:kern w:val="0"/>
          <w:sz w:val="21"/>
          <w:szCs w:val="21"/>
          <w:highlight w:val="none"/>
          <w:u w:val="single"/>
          <w:lang w:val="en-US" w:eastAsia="zh-CN"/>
        </w:rPr>
        <w:t>经发包人同意的承包人更换人员违约承担方式和计算方法：项目经理按 10000元/人·次计算违约金，技术负责人和其他主要管理人员按5000元/人·次计算违约金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bookmarkStart w:id="816" w:name="_Hlk524380347"/>
    </w:p>
    <w:p w14:paraId="257E0A69">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宋体"/>
          <w:color w:val="auto"/>
          <w:kern w:val="0"/>
          <w:sz w:val="21"/>
          <w:szCs w:val="21"/>
          <w:highlight w:val="none"/>
        </w:rPr>
        <w:t>16.2.2项第（1）目承担违约责任</w:t>
      </w:r>
      <w:r>
        <w:rPr>
          <w:rFonts w:hint="eastAsia" w:ascii="宋体" w:hAnsi="宋体" w:eastAsia="宋体" w:cs="宋体"/>
          <w:color w:val="auto"/>
          <w:sz w:val="21"/>
          <w:szCs w:val="21"/>
          <w:highlight w:val="none"/>
        </w:rPr>
        <w:t>，并从应付或到期应付给承包人的任何款项中或采用其他方法，扣除该违约金。</w:t>
      </w:r>
    </w:p>
    <w:p w14:paraId="3D2E7CD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宋体"/>
          <w:color w:val="auto"/>
          <w:kern w:val="0"/>
          <w:sz w:val="21"/>
          <w:szCs w:val="21"/>
          <w:highlight w:val="none"/>
        </w:rPr>
        <w:t>，承担由此给</w:t>
      </w:r>
      <w:r>
        <w:rPr>
          <w:rFonts w:hint="eastAsia" w:ascii="宋体" w:hAnsi="宋体" w:eastAsia="宋体" w:cs="宋体"/>
          <w:color w:val="auto"/>
          <w:sz w:val="21"/>
          <w:szCs w:val="21"/>
          <w:highlight w:val="none"/>
        </w:rPr>
        <w:t>发包人造成的经济损失。</w:t>
      </w:r>
    </w:p>
    <w:p w14:paraId="3B31B26B">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承包人承担承包范围的工程质量、安全、环保责任，因承包人原因引起的质量、安全、环保等事故由承包人承担相应的法律后果。</w:t>
      </w:r>
    </w:p>
    <w:bookmarkEnd w:id="816"/>
    <w:p w14:paraId="1E358FF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5E17E00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因承包人违约并致使合同目的不能实现的，发包人有权解除合同：</w:t>
      </w:r>
    </w:p>
    <w:p w14:paraId="16C5889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（1）未按合同约定延迟提供履约担保、质量保证金超过14天的；</w:t>
      </w:r>
    </w:p>
    <w:p w14:paraId="2ECDB55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（2）未按合同约定购买保险且经催告后超过56天的；</w:t>
      </w:r>
    </w:p>
    <w:p w14:paraId="012FAC9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（3）因承包人原因导致开工时间累计延误超过56天的；</w:t>
      </w:r>
    </w:p>
    <w:p w14:paraId="6D0AE65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（4）因承包人原因导致工期延误超过90天的；</w:t>
      </w:r>
    </w:p>
    <w:p w14:paraId="239B7FA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（5）发生第21.2款〔退出机制〕约定的情形的；</w:t>
      </w:r>
    </w:p>
    <w:p w14:paraId="287F3E1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（6）监理人发出整改通知后，承包人在监理人限定的期限内仍不纠正违约行为的；</w:t>
      </w:r>
    </w:p>
    <w:p w14:paraId="56034C0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（7）承包人进入清算或者严重资不抵债且无法履行合同的；</w:t>
      </w:r>
    </w:p>
    <w:p w14:paraId="0F2C71E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（8）违反适用法律而被相关政府部门依法吊销营业执照、责令停业、清算或宣布破产、责令关闭的；</w:t>
      </w:r>
    </w:p>
    <w:p w14:paraId="2F04CD8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14:paraId="6D51F281">
      <w:pPr>
        <w:pStyle w:val="30"/>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（10）合同约定的发包人有权解除合同的其他情形。</w:t>
      </w:r>
    </w:p>
    <w:p w14:paraId="5419F0B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16.2.4因承包人违约解除合同后的处理</w:t>
      </w:r>
    </w:p>
    <w:p w14:paraId="39E4B42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因承包人违约导致合同解除的，合同当事人应在合同解除后56天内完成估价、付款和清算，并按以下约定执行：</w:t>
      </w:r>
    </w:p>
    <w:p w14:paraId="1F3D866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（1）合同解除后，按第14.2款结算审定方式确定承包人实际完成工作对应的合同价款，以及承包人已提供的材料、工程设备、施工设备和临时工程等的价值；</w:t>
      </w:r>
    </w:p>
    <w:p w14:paraId="2786526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（2）合同解除后，承包人应支付违约金；</w:t>
      </w:r>
    </w:p>
    <w:p w14:paraId="56AC473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（3）合同解除后，赔偿因解除合同给发包人造成的损失；</w:t>
      </w:r>
    </w:p>
    <w:p w14:paraId="30A37A0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14:paraId="7FBDF18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DEE66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425C487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803"/>
    <w:bookmarkEnd w:id="804"/>
    <w:p w14:paraId="7861C66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817" w:name="_Toc532377404"/>
      <w:bookmarkStart w:id="818" w:name="_Toc351203649"/>
      <w:bookmarkStart w:id="819" w:name="_Toc532375665"/>
      <w:bookmarkStart w:id="820" w:name="_Hlk528928440"/>
      <w:r>
        <w:rPr>
          <w:rFonts w:hint="eastAsia" w:ascii="宋体" w:hAnsi="宋体" w:eastAsia="宋体" w:cs="宋体"/>
          <w:color w:val="auto"/>
          <w:kern w:val="2"/>
          <w:sz w:val="21"/>
          <w:szCs w:val="21"/>
          <w:highlight w:val="none"/>
        </w:rPr>
        <w:t>17. 不可抗力</w:t>
      </w:r>
      <w:bookmarkEnd w:id="817"/>
      <w:bookmarkEnd w:id="818"/>
      <w:bookmarkEnd w:id="819"/>
    </w:p>
    <w:p w14:paraId="3C96C20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21" w:name="_Toc532377405"/>
      <w:bookmarkStart w:id="822" w:name="_Toc532375666"/>
      <w:r>
        <w:rPr>
          <w:rFonts w:hint="eastAsia" w:ascii="宋体" w:hAnsi="宋体" w:eastAsia="宋体" w:cs="宋体"/>
          <w:color w:val="auto"/>
          <w:sz w:val="21"/>
          <w:szCs w:val="21"/>
          <w:highlight w:val="none"/>
        </w:rPr>
        <w:t>17.1 不可抗力的确认</w:t>
      </w:r>
      <w:bookmarkEnd w:id="821"/>
      <w:bookmarkEnd w:id="822"/>
    </w:p>
    <w:p w14:paraId="15653F86">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bookmarkStart w:id="823" w:name="_Hlk524379638"/>
    </w:p>
    <w:p w14:paraId="34C6619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（1）洪水、火山爆发、山崩、山体滑坡、泥石流、龙卷风、隧道内不可预测的突发性地质灾害等自然灾害；</w:t>
      </w:r>
    </w:p>
    <w:p w14:paraId="71F4612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（2）骚乱、戒严、封锁、禁运、恐怖行为、等社会行为，但承包人或其分包人派遣与雇佣的人员由于合同工程施工原因引起的除外；</w:t>
      </w:r>
    </w:p>
    <w:p w14:paraId="0A02B73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（3）不能合理预见的重大交通阻滞、停运、交通事故，非双方责任引起的火灾、爆炸、船舶撞击等情形；</w:t>
      </w:r>
    </w:p>
    <w:p w14:paraId="1F0E109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（4）化学或放射性污染或核辐射；</w:t>
      </w:r>
    </w:p>
    <w:p w14:paraId="48921838">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（5）环保治理等政府行为导致项目停工的。</w:t>
      </w:r>
      <w:bookmarkEnd w:id="823"/>
    </w:p>
    <w:p w14:paraId="711BF90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D31944">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24" w:name="_Toc532375667"/>
      <w:bookmarkStart w:id="825" w:name="_Toc351203610"/>
      <w:bookmarkStart w:id="826" w:name="_Toc532377406"/>
      <w:bookmarkStart w:id="827" w:name="_Toc296346620"/>
      <w:bookmarkStart w:id="828" w:name="_Toc296503119"/>
      <w:bookmarkStart w:id="829" w:name="_Toc337558826"/>
      <w:r>
        <w:rPr>
          <w:rFonts w:hint="eastAsia" w:ascii="宋体" w:hAnsi="宋体" w:eastAsia="宋体" w:cs="宋体"/>
          <w:color w:val="auto"/>
          <w:sz w:val="21"/>
          <w:szCs w:val="21"/>
          <w:highlight w:val="none"/>
        </w:rPr>
        <w:t>17.3 不可抗力后果的承担</w:t>
      </w:r>
      <w:bookmarkEnd w:id="824"/>
      <w:bookmarkEnd w:id="825"/>
      <w:bookmarkEnd w:id="826"/>
    </w:p>
    <w:bookmarkEnd w:id="827"/>
    <w:bookmarkEnd w:id="828"/>
    <w:bookmarkEnd w:id="829"/>
    <w:p w14:paraId="7B59F1BD">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17.3.1 不可抗力引起的后果及造成的损失由合同当事人按照法律规定及合同约定各自承担。不可抗力发生前已完成的工程应当按照合同约定进行计量支付。</w:t>
      </w:r>
    </w:p>
    <w:p w14:paraId="736B5262">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 不可抗力导致的人员伤亡、财产损失、费用增加和（或）工期延误等后果，由合同当事人按以下原则承担：</w:t>
      </w:r>
    </w:p>
    <w:p w14:paraId="5152B086">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（1）永久工程、已运至施工现场的施工材料和工程设备的损坏，以及因工程损坏造成的第三方人员伤亡和财产损失由发包人承担；</w:t>
      </w:r>
    </w:p>
    <w:p w14:paraId="56A52A42">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（2）承包人施工设备的损坏由承包人承担；</w:t>
      </w:r>
    </w:p>
    <w:p w14:paraId="3B3433C8">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（3）发包人和承包人承担各自人员伤亡和财产的损失；</w:t>
      </w:r>
    </w:p>
    <w:p w14:paraId="12F35373">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（4）因不可抗力影响承包人履行合同约定的义务，已经引起或将引起工期延误的，应当顺延工期，由此导致承包人停工的费用损失由发包人和承包人合理共担；</w:t>
      </w:r>
    </w:p>
    <w:p w14:paraId="0D39DCB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（5）因不可抗力引起或将引起工期延误，发包人要求赶工的，由此增加的赶工费用由发包人承担；</w:t>
      </w:r>
    </w:p>
    <w:p w14:paraId="259C1F7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（6）承包人在停工期间按照发包人要求照管、清理和修复工程的费用由发包人承担；</w:t>
      </w:r>
    </w:p>
    <w:p w14:paraId="4B43618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（7）不可抗力事件发生后，合同当事人均应采取措施尽量避免和减少损失的扩大，任何一方当事人没有采取有效措施导致损失扩大的，应对扩大的损失承担责任。</w:t>
      </w:r>
    </w:p>
    <w:p w14:paraId="3576167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51D69B">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30" w:name="_Toc532377407"/>
      <w:bookmarkStart w:id="831" w:name="_Toc532375668"/>
      <w:r>
        <w:rPr>
          <w:rFonts w:hint="eastAsia" w:ascii="宋体" w:hAnsi="宋体" w:eastAsia="宋体" w:cs="宋体"/>
          <w:color w:val="auto"/>
          <w:sz w:val="21"/>
          <w:szCs w:val="21"/>
          <w:highlight w:val="none"/>
        </w:rPr>
        <w:t>17.4 因不可抗力解除合同</w:t>
      </w:r>
      <w:bookmarkEnd w:id="830"/>
      <w:bookmarkEnd w:id="831"/>
    </w:p>
    <w:p w14:paraId="6C3CD56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天内完成款项的支付。</w:t>
      </w:r>
    </w:p>
    <w:p w14:paraId="72CF4756">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832" w:name="_Toc532375669"/>
      <w:bookmarkStart w:id="833" w:name="_Toc532377408"/>
      <w:bookmarkStart w:id="834" w:name="_Toc351203650"/>
      <w:r>
        <w:rPr>
          <w:rFonts w:hint="eastAsia" w:ascii="宋体" w:hAnsi="宋体" w:eastAsia="宋体" w:cs="宋体"/>
          <w:color w:val="auto"/>
          <w:kern w:val="2"/>
          <w:sz w:val="21"/>
          <w:szCs w:val="21"/>
          <w:highlight w:val="none"/>
        </w:rPr>
        <w:t>18. 保险</w:t>
      </w:r>
      <w:bookmarkEnd w:id="832"/>
      <w:bookmarkEnd w:id="833"/>
      <w:bookmarkEnd w:id="834"/>
    </w:p>
    <w:p w14:paraId="01542EA4">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35" w:name="_Toc532377409"/>
      <w:bookmarkStart w:id="836" w:name="_Toc532375670"/>
      <w:r>
        <w:rPr>
          <w:rFonts w:hint="eastAsia" w:ascii="宋体" w:hAnsi="宋体" w:eastAsia="宋体" w:cs="宋体"/>
          <w:color w:val="auto"/>
          <w:sz w:val="21"/>
          <w:szCs w:val="21"/>
          <w:highlight w:val="none"/>
        </w:rPr>
        <w:t>18.1 工程保险</w:t>
      </w:r>
      <w:bookmarkEnd w:id="835"/>
      <w:bookmarkEnd w:id="836"/>
    </w:p>
    <w:p w14:paraId="5FF76BE1">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关于工程保险的特别约定：发包人应投保</w:t>
      </w:r>
      <w:r>
        <w:rPr>
          <w:rFonts w:hint="eastAsia" w:ascii="宋体" w:hAnsi="宋体" w:eastAsia="宋体" w:cs="宋体"/>
          <w:color w:val="auto"/>
          <w:sz w:val="21"/>
          <w:szCs w:val="21"/>
          <w:highlight w:val="none"/>
          <w:u w:val="single"/>
        </w:rPr>
        <w:t>建筑工程一切险或安装工程一切险</w:t>
      </w:r>
      <w:r>
        <w:rPr>
          <w:rFonts w:hint="eastAsia" w:ascii="宋体" w:hAnsi="宋体" w:eastAsia="宋体" w:cs="宋体"/>
          <w:color w:val="auto"/>
          <w:sz w:val="21"/>
          <w:szCs w:val="21"/>
          <w:highlight w:val="none"/>
        </w:rPr>
        <w:t>；发包人委托承包人投保的，因投保产生的保险费和其他相关费用由发包人承担。</w:t>
      </w:r>
    </w:p>
    <w:p w14:paraId="42A4B74E">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37" w:name="_Toc532377410"/>
      <w:bookmarkStart w:id="838" w:name="_Toc532375671"/>
      <w:r>
        <w:rPr>
          <w:rFonts w:hint="eastAsia" w:ascii="宋体" w:hAnsi="宋体" w:eastAsia="宋体" w:cs="宋体"/>
          <w:color w:val="auto"/>
          <w:sz w:val="21"/>
          <w:szCs w:val="21"/>
          <w:highlight w:val="none"/>
        </w:rPr>
        <w:t>18.3 其他保险</w:t>
      </w:r>
      <w:bookmarkEnd w:id="837"/>
      <w:bookmarkEnd w:id="838"/>
    </w:p>
    <w:p w14:paraId="43F92868">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FD81ED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DBB4FE">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安全生产责任险：</w:t>
      </w:r>
      <w:r>
        <w:rPr>
          <w:rFonts w:hint="eastAsia" w:ascii="宋体" w:hAnsi="宋体" w:eastAsia="宋体" w:cs="宋体"/>
          <w:color w:val="auto"/>
          <w:sz w:val="21"/>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eastAsia="宋体" w:cs="宋体"/>
          <w:color w:val="auto"/>
          <w:sz w:val="21"/>
          <w:szCs w:val="21"/>
          <w:highlight w:val="none"/>
        </w:rPr>
        <w:t>。</w:t>
      </w:r>
    </w:p>
    <w:p w14:paraId="258DCE79">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39" w:name="_Toc532375672"/>
      <w:bookmarkStart w:id="840" w:name="_Toc532377411"/>
      <w:r>
        <w:rPr>
          <w:rFonts w:hint="eastAsia" w:ascii="宋体" w:hAnsi="宋体" w:eastAsia="宋体" w:cs="宋体"/>
          <w:color w:val="auto"/>
          <w:sz w:val="21"/>
          <w:szCs w:val="21"/>
          <w:highlight w:val="none"/>
        </w:rPr>
        <w:t>18.7 通知义务</w:t>
      </w:r>
      <w:bookmarkEnd w:id="839"/>
      <w:bookmarkEnd w:id="840"/>
    </w:p>
    <w:p w14:paraId="6DBB179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2BA084A6">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41" w:name="_Toc532375673"/>
      <w:bookmarkStart w:id="842" w:name="_Toc532377412"/>
      <w:r>
        <w:rPr>
          <w:rFonts w:hint="eastAsia" w:ascii="宋体" w:hAnsi="宋体" w:eastAsia="宋体" w:cs="宋体"/>
          <w:color w:val="auto"/>
          <w:sz w:val="21"/>
          <w:szCs w:val="21"/>
          <w:highlight w:val="none"/>
        </w:rPr>
        <w:t>18.8 其他</w:t>
      </w:r>
      <w:bookmarkEnd w:id="841"/>
      <w:bookmarkEnd w:id="842"/>
    </w:p>
    <w:p w14:paraId="46F0D764">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18.8.1 工程开工日前，承包人向发包人提交各项生效的保险证据和保险单副本。未按本项约定提交的，每延后1天，承包人按500元/天支付违约金。</w:t>
      </w:r>
    </w:p>
    <w:p w14:paraId="0B1521F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18.8.2 承包人保险赔偿金不足以补偿发包人损失时，</w:t>
      </w:r>
      <w:bookmarkStart w:id="843" w:name="_Hlk524378346"/>
      <w:r>
        <w:rPr>
          <w:rFonts w:hint="eastAsia" w:ascii="宋体" w:hAnsi="宋体" w:eastAsia="宋体" w:cs="宋体"/>
          <w:color w:val="auto"/>
          <w:sz w:val="21"/>
          <w:szCs w:val="21"/>
          <w:highlight w:val="none"/>
        </w:rPr>
        <w:t>差额由承包人负责补足</w:t>
      </w:r>
      <w:bookmarkEnd w:id="843"/>
      <w:r>
        <w:rPr>
          <w:rFonts w:hint="eastAsia" w:ascii="宋体" w:hAnsi="宋体" w:eastAsia="宋体" w:cs="宋体"/>
          <w:color w:val="auto"/>
          <w:sz w:val="21"/>
          <w:szCs w:val="21"/>
          <w:highlight w:val="none"/>
        </w:rPr>
        <w:t>。</w:t>
      </w:r>
    </w:p>
    <w:p w14:paraId="20372946">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844" w:name="_Toc532375674"/>
      <w:bookmarkStart w:id="845" w:name="_Toc532377413"/>
      <w:bookmarkStart w:id="846" w:name="_Toc351203620"/>
      <w:bookmarkStart w:id="847" w:name="_Toc296503140"/>
      <w:bookmarkStart w:id="848" w:name="_Toc296346641"/>
      <w:bookmarkStart w:id="849" w:name="_Toc337558835"/>
      <w:r>
        <w:rPr>
          <w:rFonts w:hint="eastAsia" w:ascii="宋体" w:hAnsi="宋体" w:eastAsia="宋体" w:cs="宋体"/>
          <w:color w:val="auto"/>
          <w:kern w:val="2"/>
          <w:sz w:val="21"/>
          <w:szCs w:val="21"/>
          <w:highlight w:val="none"/>
        </w:rPr>
        <w:t>19. 索赔</w:t>
      </w:r>
      <w:bookmarkEnd w:id="844"/>
      <w:bookmarkEnd w:id="845"/>
      <w:bookmarkEnd w:id="846"/>
    </w:p>
    <w:bookmarkEnd w:id="847"/>
    <w:bookmarkEnd w:id="848"/>
    <w:bookmarkEnd w:id="849"/>
    <w:p w14:paraId="4A1B366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50" w:name="_Toc532377414"/>
      <w:bookmarkStart w:id="851" w:name="_Toc532375675"/>
      <w:bookmarkStart w:id="852" w:name="_Toc296503141"/>
      <w:bookmarkStart w:id="853" w:name="_Toc337558836"/>
      <w:bookmarkStart w:id="854" w:name="_Toc351203621"/>
      <w:bookmarkStart w:id="855" w:name="_Toc296346642"/>
      <w:r>
        <w:rPr>
          <w:rFonts w:hint="eastAsia" w:ascii="宋体" w:hAnsi="宋体" w:eastAsia="宋体" w:cs="宋体"/>
          <w:color w:val="auto"/>
          <w:sz w:val="21"/>
          <w:szCs w:val="21"/>
          <w:highlight w:val="none"/>
        </w:rPr>
        <w:t>19.1 承包人的索赔</w:t>
      </w:r>
      <w:bookmarkEnd w:id="850"/>
      <w:bookmarkEnd w:id="851"/>
    </w:p>
    <w:p w14:paraId="44C15986">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根据合同约定，承包人认为有权得到追加付款和（或）延长工期的，应按以下程序向发包人提出索赔：</w:t>
      </w:r>
    </w:p>
    <w:p w14:paraId="2C8CAD8C">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2A22BDFD">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01F610E8">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（3）索赔事件具有持续影响的，承包人应按监理人要求的合理时间间隔继续递交延续索赔通知，说明持续影响的实际情况和记录，列出累计的追加付款金额和（或）工期延长天数；</w:t>
      </w:r>
    </w:p>
    <w:p w14:paraId="34164B77">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（4）在索赔事件影响结束后28天内，承包人应向监理人递交最终索赔报告，说明最终要求索赔的追加付款金额和（或）延长的工期，并附必要的记录和证明材料。</w:t>
      </w:r>
    </w:p>
    <w:p w14:paraId="2D500549">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B70726">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56" w:name="_Toc532375676"/>
      <w:bookmarkStart w:id="857" w:name="_Toc532377415"/>
      <w:r>
        <w:rPr>
          <w:rFonts w:hint="eastAsia" w:ascii="宋体" w:hAnsi="宋体" w:eastAsia="宋体" w:cs="宋体"/>
          <w:color w:val="auto"/>
          <w:sz w:val="21"/>
          <w:szCs w:val="21"/>
          <w:highlight w:val="none"/>
        </w:rPr>
        <w:t>19.2 对承包人索赔的处理</w:t>
      </w:r>
      <w:bookmarkEnd w:id="856"/>
      <w:bookmarkEnd w:id="857"/>
    </w:p>
    <w:p w14:paraId="244AA133">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对承包人索赔的处理如下：</w:t>
      </w:r>
    </w:p>
    <w:p w14:paraId="257B1237">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eastAsia="宋体" w:cs="宋体"/>
          <w:color w:val="auto"/>
          <w:sz w:val="21"/>
          <w:szCs w:val="21"/>
          <w:highlight w:val="none"/>
        </w:rPr>
        <w:t>；</w:t>
      </w:r>
    </w:p>
    <w:p w14:paraId="05C5525B">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宋体"/>
          <w:color w:val="auto"/>
          <w:sz w:val="21"/>
          <w:szCs w:val="21"/>
          <w:highlight w:val="none"/>
        </w:rPr>
        <w:t>；</w:t>
      </w:r>
    </w:p>
    <w:p w14:paraId="0087AB0D">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（3）承包人接受索赔处理结果的，索赔款项在当期进度款中进行支付；承包人不接受索赔处理结果的，按照第20条〔争议解决〕约定处理</w:t>
      </w:r>
      <w:r>
        <w:rPr>
          <w:rFonts w:hint="eastAsia" w:ascii="宋体" w:hAnsi="宋体" w:eastAsia="宋体" w:cs="宋体"/>
          <w:color w:val="auto"/>
          <w:sz w:val="21"/>
          <w:szCs w:val="21"/>
          <w:highlight w:val="none"/>
        </w:rPr>
        <w:t>；</w:t>
      </w:r>
    </w:p>
    <w:p w14:paraId="2CE55092">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（4）工期延误的关键线路按照经监理人、发包人审批同意的施工组织设计计算</w:t>
      </w:r>
      <w:r>
        <w:rPr>
          <w:rFonts w:hint="eastAsia" w:ascii="宋体" w:hAnsi="宋体" w:eastAsia="宋体" w:cs="宋体"/>
          <w:color w:val="auto"/>
          <w:sz w:val="21"/>
          <w:szCs w:val="21"/>
          <w:highlight w:val="none"/>
        </w:rPr>
        <w:t>。</w:t>
      </w:r>
    </w:p>
    <w:p w14:paraId="5D582999">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58" w:name="_Toc532375677"/>
      <w:bookmarkStart w:id="859" w:name="_Toc532377416"/>
      <w:r>
        <w:rPr>
          <w:rFonts w:hint="eastAsia" w:ascii="宋体" w:hAnsi="宋体" w:eastAsia="宋体" w:cs="宋体"/>
          <w:color w:val="auto"/>
          <w:sz w:val="21"/>
          <w:szCs w:val="21"/>
          <w:highlight w:val="none"/>
        </w:rPr>
        <w:t>19.3发包人的索赔</w:t>
      </w:r>
      <w:bookmarkEnd w:id="858"/>
      <w:bookmarkEnd w:id="859"/>
    </w:p>
    <w:p w14:paraId="287FA67A">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根据合同约定，发包人认为有权得到赔付金额和（或）延长缺陷责任期的，监理人应向承包人发出通知并附有详细的证明。</w:t>
      </w:r>
    </w:p>
    <w:p w14:paraId="53E29422">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860" w:name="_Hlk528652769"/>
      <w:r>
        <w:rPr>
          <w:rFonts w:hint="eastAsia" w:ascii="宋体" w:hAnsi="宋体" w:eastAsia="宋体" w:cs="宋体"/>
          <w:color w:val="auto"/>
          <w:sz w:val="21"/>
          <w:szCs w:val="21"/>
          <w:highlight w:val="none"/>
        </w:rPr>
        <w:t>通过监理人向承包人正式递交最终索赔报告</w:t>
      </w:r>
      <w:bookmarkEnd w:id="860"/>
      <w:r>
        <w:rPr>
          <w:rFonts w:hint="eastAsia" w:ascii="宋体" w:hAnsi="宋体" w:eastAsia="宋体" w:cs="宋体"/>
          <w:color w:val="auto"/>
          <w:sz w:val="21"/>
          <w:szCs w:val="21"/>
          <w:highlight w:val="none"/>
        </w:rPr>
        <w:t>。</w:t>
      </w:r>
    </w:p>
    <w:p w14:paraId="6791DF7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61" w:name="_Toc532375678"/>
      <w:bookmarkStart w:id="862" w:name="_Toc532377417"/>
      <w:r>
        <w:rPr>
          <w:rFonts w:hint="eastAsia" w:ascii="宋体" w:hAnsi="宋体" w:eastAsia="宋体" w:cs="宋体"/>
          <w:color w:val="auto"/>
          <w:sz w:val="21"/>
          <w:szCs w:val="21"/>
          <w:highlight w:val="none"/>
        </w:rPr>
        <w:t>19.4 对发包人索赔的处理</w:t>
      </w:r>
      <w:bookmarkEnd w:id="861"/>
      <w:bookmarkEnd w:id="862"/>
    </w:p>
    <w:p w14:paraId="714354DE">
      <w:pPr>
        <w:autoSpaceDE w:val="0"/>
        <w:autoSpaceDN w:val="0"/>
        <w:spacing w:line="360" w:lineRule="auto"/>
        <w:ind w:right="140" w:rightChars="5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14:paraId="3E1A6DE3">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（1）承包人收到发包人提交的索赔报告后，应及时审查索赔报告的内容、查验发包人证明材料；</w:t>
      </w:r>
    </w:p>
    <w:p w14:paraId="5FEA2CDE">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6F0CEF96">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3419F717">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63" w:name="_Toc532375679"/>
      <w:bookmarkStart w:id="864" w:name="_Toc532377418"/>
      <w:bookmarkStart w:id="865" w:name="_Hlk528928420"/>
      <w:r>
        <w:rPr>
          <w:rFonts w:hint="eastAsia" w:ascii="宋体" w:hAnsi="宋体" w:eastAsia="宋体" w:cs="宋体"/>
          <w:color w:val="auto"/>
          <w:sz w:val="21"/>
          <w:szCs w:val="21"/>
          <w:highlight w:val="none"/>
        </w:rPr>
        <w:t>19.5 提出索赔的期限</w:t>
      </w:r>
      <w:bookmarkEnd w:id="863"/>
      <w:bookmarkEnd w:id="864"/>
    </w:p>
    <w:p w14:paraId="2410163D">
      <w:pPr>
        <w:autoSpaceDE w:val="0"/>
        <w:autoSpaceDN w:val="0"/>
        <w:spacing w:line="360" w:lineRule="auto"/>
        <w:ind w:right="140" w:rightChars="50" w:firstLine="420" w:firstLineChars="200"/>
        <w:jc w:val="left"/>
        <w:rPr>
          <w:rFonts w:hint="eastAsia" w:ascii="宋体" w:hAnsi="宋体" w:eastAsia="宋体" w:cs="宋体"/>
          <w:color w:val="auto"/>
          <w:sz w:val="21"/>
          <w:szCs w:val="21"/>
          <w:highlight w:val="none"/>
        </w:rPr>
      </w:pPr>
      <w:bookmarkStart w:id="866" w:name="_Hlk524298376"/>
      <w:r>
        <w:rPr>
          <w:rFonts w:hint="eastAsia" w:ascii="宋体" w:hAnsi="宋体" w:eastAsia="宋体" w:cs="宋体"/>
          <w:color w:val="auto"/>
          <w:sz w:val="21"/>
          <w:szCs w:val="21"/>
          <w:highlight w:val="none"/>
        </w:rPr>
        <w:t>任一索赔事件发生后28天内，承包人/发包人未向对方发出索赔意向通知书的，视为其已放弃索赔权，无权再就该索赔事项提出任何索赔。</w:t>
      </w:r>
    </w:p>
    <w:bookmarkEnd w:id="852"/>
    <w:bookmarkEnd w:id="853"/>
    <w:bookmarkEnd w:id="854"/>
    <w:bookmarkEnd w:id="855"/>
    <w:bookmarkEnd w:id="865"/>
    <w:bookmarkEnd w:id="866"/>
    <w:p w14:paraId="1BC5CCAD">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867" w:name="_Toc532377419"/>
      <w:bookmarkStart w:id="868" w:name="_Toc532375680"/>
      <w:bookmarkStart w:id="869" w:name="_Toc351203651"/>
      <w:r>
        <w:rPr>
          <w:rFonts w:hint="eastAsia" w:ascii="宋体" w:hAnsi="宋体" w:eastAsia="宋体" w:cs="宋体"/>
          <w:color w:val="auto"/>
          <w:kern w:val="2"/>
          <w:sz w:val="21"/>
          <w:szCs w:val="21"/>
          <w:highlight w:val="none"/>
        </w:rPr>
        <w:t>20. 争议解决</w:t>
      </w:r>
      <w:bookmarkEnd w:id="867"/>
      <w:bookmarkEnd w:id="868"/>
      <w:bookmarkEnd w:id="869"/>
    </w:p>
    <w:p w14:paraId="11BAD4B5">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70" w:name="_Toc532377420"/>
      <w:bookmarkStart w:id="871" w:name="_Toc532375681"/>
      <w:r>
        <w:rPr>
          <w:rFonts w:hint="eastAsia" w:ascii="宋体" w:hAnsi="宋体" w:eastAsia="宋体" w:cs="宋体"/>
          <w:color w:val="auto"/>
          <w:sz w:val="21"/>
          <w:szCs w:val="21"/>
          <w:highlight w:val="none"/>
        </w:rPr>
        <w:t>20.3 争议评审</w:t>
      </w:r>
      <w:bookmarkEnd w:id="870"/>
      <w:bookmarkEnd w:id="871"/>
    </w:p>
    <w:p w14:paraId="282FC0E0">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AFB9EA">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72" w:name="_Toc532377421"/>
      <w:bookmarkStart w:id="873" w:name="_Toc532375682"/>
      <w:r>
        <w:rPr>
          <w:rFonts w:hint="eastAsia" w:ascii="宋体" w:hAnsi="宋体" w:eastAsia="宋体" w:cs="宋体"/>
          <w:color w:val="auto"/>
          <w:sz w:val="21"/>
          <w:szCs w:val="21"/>
          <w:highlight w:val="none"/>
        </w:rPr>
        <w:t>20.4 仲裁或诉讼</w:t>
      </w:r>
      <w:bookmarkEnd w:id="872"/>
      <w:bookmarkEnd w:id="873"/>
    </w:p>
    <w:p w14:paraId="04FBAB85">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7F393BC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重庆市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1E94489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项目所在地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79A29698">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21"/>
          <w:szCs w:val="21"/>
          <w:highlight w:val="none"/>
        </w:rPr>
      </w:pPr>
      <w:bookmarkStart w:id="874" w:name="_Toc532375683"/>
      <w:bookmarkStart w:id="875" w:name="_Toc532377422"/>
      <w:r>
        <w:rPr>
          <w:rFonts w:hint="eastAsia" w:ascii="宋体" w:hAnsi="宋体" w:eastAsia="宋体" w:cs="宋体"/>
          <w:color w:val="auto"/>
          <w:kern w:val="2"/>
          <w:sz w:val="21"/>
          <w:szCs w:val="21"/>
          <w:highlight w:val="none"/>
        </w:rPr>
        <w:t>21. 补充条款</w:t>
      </w:r>
      <w:bookmarkEnd w:id="874"/>
      <w:bookmarkEnd w:id="875"/>
    </w:p>
    <w:p w14:paraId="73B3D503">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76" w:name="_Toc532375684"/>
      <w:bookmarkStart w:id="877" w:name="_Toc532377423"/>
      <w:r>
        <w:rPr>
          <w:rFonts w:hint="eastAsia" w:ascii="宋体" w:hAnsi="宋体" w:eastAsia="宋体" w:cs="宋体"/>
          <w:color w:val="auto"/>
          <w:sz w:val="21"/>
          <w:szCs w:val="21"/>
          <w:highlight w:val="none"/>
        </w:rPr>
        <w:t>21.1 退出机制</w:t>
      </w:r>
      <w:bookmarkEnd w:id="876"/>
      <w:bookmarkEnd w:id="877"/>
    </w:p>
    <w:p w14:paraId="24C693B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21.1.1有下列情形之一的，发包人有权解除合同，亦有权兑付履约担保，并对承包人做清退出场处理</w:t>
      </w:r>
      <w:r>
        <w:rPr>
          <w:rFonts w:hint="eastAsia" w:ascii="宋体" w:hAnsi="宋体" w:eastAsia="宋体" w:cs="宋体"/>
          <w:color w:val="auto"/>
          <w:kern w:val="0"/>
          <w:sz w:val="21"/>
          <w:szCs w:val="21"/>
          <w:highlight w:val="none"/>
        </w:rPr>
        <w:t>：</w:t>
      </w:r>
    </w:p>
    <w:p w14:paraId="38394AF1">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（1）因承包人原因造成较大及以上等级生产安全事故或工程质量事故的；</w:t>
      </w:r>
    </w:p>
    <w:p w14:paraId="748E717B">
      <w:pPr>
        <w:spacing w:line="360" w:lineRule="auto"/>
        <w:ind w:right="140" w:rightChars="5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（2）因承包人债权债务纠纷或其他纠纷导致工程无法正常施工的。</w:t>
      </w:r>
    </w:p>
    <w:p w14:paraId="188C066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none"/>
        </w:rPr>
        <w:t>。</w:t>
      </w:r>
    </w:p>
    <w:p w14:paraId="00835B27">
      <w:pPr>
        <w:spacing w:line="360" w:lineRule="auto"/>
        <w:ind w:right="140" w:rightChars="50"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21.1.2有下列情形之一的，承包人有权解除合同，并按16.1.4约定执行：</w:t>
      </w:r>
    </w:p>
    <w:p w14:paraId="0997C810">
      <w:pPr>
        <w:spacing w:line="360" w:lineRule="auto"/>
        <w:ind w:right="140" w:rightChars="50"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（1）因发包人征地、拆迁、补偿、审批手续等原因致使本工程延期开工超过90天的。</w:t>
      </w:r>
    </w:p>
    <w:p w14:paraId="072A9F4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38CF3A8">
      <w:pPr>
        <w:pStyle w:val="7"/>
        <w:spacing w:before="0" w:beforeAutospacing="0" w:after="0" w:afterAutospacing="0" w:line="360" w:lineRule="auto"/>
        <w:ind w:firstLine="422" w:firstLineChars="200"/>
        <w:rPr>
          <w:rFonts w:hint="eastAsia" w:ascii="宋体" w:hAnsi="宋体" w:eastAsia="宋体" w:cs="宋体"/>
          <w:color w:val="auto"/>
          <w:sz w:val="21"/>
          <w:szCs w:val="21"/>
          <w:highlight w:val="none"/>
        </w:rPr>
      </w:pPr>
      <w:bookmarkStart w:id="878" w:name="_Toc532377424"/>
      <w:bookmarkStart w:id="879" w:name="_Toc532375685"/>
      <w:r>
        <w:rPr>
          <w:rFonts w:hint="eastAsia" w:ascii="宋体" w:hAnsi="宋体" w:eastAsia="宋体" w:cs="宋体"/>
          <w:color w:val="auto"/>
          <w:sz w:val="21"/>
          <w:szCs w:val="21"/>
          <w:highlight w:val="none"/>
        </w:rPr>
        <w:t>21.2智慧工地</w:t>
      </w:r>
      <w:bookmarkEnd w:id="878"/>
      <w:bookmarkEnd w:id="879"/>
    </w:p>
    <w:p w14:paraId="25A7FB96">
      <w:pPr>
        <w:spacing w:line="360" w:lineRule="auto"/>
        <w:ind w:right="140" w:rightChars="50"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工地建设</w:t>
      </w:r>
      <w:r>
        <w:rPr>
          <w:rFonts w:hint="eastAsia" w:ascii="宋体" w:hAnsi="宋体" w:eastAsia="宋体" w:cs="宋体"/>
          <w:color w:val="auto"/>
          <w:kern w:val="0"/>
          <w:sz w:val="21"/>
          <w:szCs w:val="21"/>
          <w:highlight w:val="none"/>
          <w:u w:val="none"/>
          <w:lang w:val="en-US" w:eastAsia="zh-CN"/>
        </w:rPr>
        <w:t>按照</w:t>
      </w:r>
      <w:r>
        <w:rPr>
          <w:rFonts w:hint="eastAsia" w:ascii="宋体" w:hAnsi="宋体" w:eastAsia="宋体" w:cs="宋体"/>
          <w:color w:val="auto"/>
          <w:kern w:val="0"/>
          <w:sz w:val="21"/>
          <w:szCs w:val="21"/>
          <w:highlight w:val="none"/>
          <w:u w:val="none"/>
        </w:rPr>
        <w:t>重庆市城乡建设委员会《</w:t>
      </w:r>
      <w:r>
        <w:rPr>
          <w:rFonts w:hint="eastAsia" w:ascii="宋体" w:hAnsi="宋体" w:eastAsia="宋体" w:cs="宋体"/>
          <w:color w:val="auto"/>
          <w:kern w:val="0"/>
          <w:sz w:val="21"/>
          <w:szCs w:val="21"/>
          <w:highlight w:val="none"/>
          <w:u w:val="none"/>
          <w:lang w:val="en-US" w:eastAsia="zh-CN"/>
        </w:rPr>
        <w:t>重庆市房屋建筑和市政基础设施工程</w:t>
      </w:r>
      <w:r>
        <w:rPr>
          <w:rFonts w:hint="eastAsia" w:ascii="宋体" w:hAnsi="宋体" w:eastAsia="宋体" w:cs="宋体"/>
          <w:color w:val="auto"/>
          <w:kern w:val="0"/>
          <w:sz w:val="21"/>
          <w:szCs w:val="21"/>
          <w:highlight w:val="none"/>
          <w:u w:val="none"/>
        </w:rPr>
        <w:t>智慧工地</w:t>
      </w:r>
      <w:r>
        <w:rPr>
          <w:rFonts w:hint="eastAsia" w:ascii="宋体" w:hAnsi="宋体" w:eastAsia="宋体" w:cs="宋体"/>
          <w:color w:val="auto"/>
          <w:kern w:val="0"/>
          <w:sz w:val="21"/>
          <w:szCs w:val="21"/>
          <w:highlight w:val="none"/>
          <w:u w:val="none"/>
          <w:lang w:val="en-US" w:eastAsia="zh-CN"/>
        </w:rPr>
        <w:t>管理规定（试行）</w:t>
      </w:r>
      <w:r>
        <w:rPr>
          <w:rFonts w:hint="eastAsia" w:ascii="宋体" w:hAnsi="宋体" w:eastAsia="宋体" w:cs="宋体"/>
          <w:color w:val="auto"/>
          <w:kern w:val="0"/>
          <w:sz w:val="21"/>
          <w:szCs w:val="21"/>
          <w:highlight w:val="none"/>
          <w:u w:val="none"/>
        </w:rPr>
        <w:t>的通知</w:t>
      </w:r>
      <w:r>
        <w:rPr>
          <w:rFonts w:hint="eastAsia" w:ascii="宋体" w:hAnsi="宋体" w:eastAsia="宋体" w:cs="宋体"/>
          <w:color w:val="auto"/>
          <w:kern w:val="0"/>
          <w:sz w:val="21"/>
          <w:szCs w:val="21"/>
          <w:highlight w:val="none"/>
          <w:u w:val="none"/>
          <w:lang w:val="en-US" w:eastAsia="zh-CN"/>
        </w:rPr>
        <w:t xml:space="preserve">》 （渝建发〔2021〕6 </w:t>
      </w:r>
      <w:r>
        <w:rPr>
          <w:rFonts w:hint="eastAsia" w:ascii="宋体" w:hAnsi="宋体" w:eastAsia="宋体" w:cs="宋体"/>
          <w:color w:val="auto"/>
          <w:kern w:val="0"/>
          <w:sz w:val="21"/>
          <w:szCs w:val="21"/>
          <w:highlight w:val="none"/>
          <w:u w:val="none"/>
        </w:rPr>
        <w:t>号）的相关要求</w:t>
      </w:r>
      <w:bookmarkEnd w:id="820"/>
      <w:r>
        <w:rPr>
          <w:rFonts w:hint="eastAsia" w:ascii="宋体" w:hAnsi="宋体" w:eastAsia="宋体" w:cs="宋体"/>
          <w:color w:val="auto"/>
          <w:kern w:val="0"/>
          <w:sz w:val="21"/>
          <w:szCs w:val="21"/>
          <w:highlight w:val="none"/>
          <w:u w:val="none"/>
          <w:lang w:val="en-US" w:eastAsia="zh-CN"/>
        </w:rPr>
        <w:t>执行，费用包含在</w:t>
      </w:r>
      <w:r>
        <w:rPr>
          <w:rFonts w:hint="eastAsia" w:ascii="宋体" w:hAnsi="宋体" w:eastAsia="宋体" w:cs="宋体"/>
          <w:color w:val="auto"/>
          <w:kern w:val="0"/>
          <w:sz w:val="21"/>
          <w:szCs w:val="21"/>
          <w:highlight w:val="none"/>
          <w:u w:val="none"/>
        </w:rPr>
        <w:t>投标报价</w:t>
      </w:r>
      <w:r>
        <w:rPr>
          <w:rFonts w:hint="eastAsia" w:ascii="宋体" w:hAnsi="宋体" w:eastAsia="宋体" w:cs="宋体"/>
          <w:color w:val="auto"/>
          <w:kern w:val="0"/>
          <w:sz w:val="21"/>
          <w:szCs w:val="21"/>
          <w:highlight w:val="none"/>
          <w:u w:val="none"/>
          <w:lang w:val="en-US" w:eastAsia="zh-CN"/>
        </w:rPr>
        <w:t>中，由</w:t>
      </w:r>
      <w:r>
        <w:rPr>
          <w:rFonts w:hint="eastAsia" w:ascii="宋体" w:hAnsi="宋体" w:eastAsia="宋体" w:cs="宋体"/>
          <w:color w:val="auto"/>
          <w:kern w:val="0"/>
          <w:sz w:val="21"/>
          <w:szCs w:val="21"/>
          <w:highlight w:val="none"/>
          <w:u w:val="none"/>
        </w:rPr>
        <w:t>投标</w:t>
      </w:r>
      <w:r>
        <w:rPr>
          <w:rFonts w:hint="eastAsia" w:ascii="宋体" w:hAnsi="宋体" w:eastAsia="宋体" w:cs="宋体"/>
          <w:color w:val="auto"/>
          <w:kern w:val="0"/>
          <w:sz w:val="21"/>
          <w:szCs w:val="21"/>
          <w:highlight w:val="none"/>
          <w:u w:val="none"/>
          <w:lang w:val="en-US" w:eastAsia="zh-CN"/>
        </w:rPr>
        <w:t>人综合考虑。</w:t>
      </w:r>
    </w:p>
    <w:p w14:paraId="449C9B69">
      <w:pPr>
        <w:spacing w:line="360" w:lineRule="auto"/>
        <w:ind w:right="140" w:rightChars="5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21.3低价风险担保</w:t>
      </w:r>
    </w:p>
    <w:p w14:paraId="0E79D365">
      <w:pPr>
        <w:spacing w:line="360" w:lineRule="auto"/>
        <w:ind w:right="140" w:rightChars="50"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lang w:eastAsia="zh-CN"/>
        </w:rPr>
        <w:t>无</w:t>
      </w:r>
      <w:r>
        <w:rPr>
          <w:rFonts w:hint="eastAsia" w:ascii="宋体" w:hAnsi="宋体" w:eastAsia="宋体" w:cs="宋体"/>
          <w:color w:val="auto"/>
          <w:kern w:val="0"/>
          <w:sz w:val="21"/>
          <w:szCs w:val="21"/>
          <w:highlight w:val="none"/>
          <w:u w:val="none"/>
        </w:rPr>
        <w:t>。</w:t>
      </w:r>
    </w:p>
    <w:p w14:paraId="5EC703C5">
      <w:pPr>
        <w:pStyle w:val="20"/>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21.4 关于不平衡报价的约定：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49E57B77">
      <w:pPr>
        <w:pStyle w:val="20"/>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21.5其他约定：</w:t>
      </w:r>
    </w:p>
    <w:p w14:paraId="3025C6AF">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①工地建设按照重庆市城乡建设委员会《重庆市房屋建筑和市政基础设施工程智慧工地管理规定（试行）的通知》 （渝建发〔2021〕6 号）的相关要求执行，费用包含在投标报价中，由投标人综合考虑。</w:t>
      </w:r>
    </w:p>
    <w:p w14:paraId="13489C1B">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②本工程分部分项清单中的“余方弃置”的要求：分部分项清单中的“余方弃置（增运</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KM）”，供应商在报价时按增运</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KM 填报，如实际外运距离有所减少，结算时按采购人、监理单位等各方（如有全过程造价控制单位，则必须有全过程造价控制单位签字）核定的弃渣线路的运距进行等比例调整（例：若实际增运运距为17 KM，则该清单子项结算价为:综合单价投标报价/</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*实际方量*实际增运运距17 KM）。若实际增运运距有所增加（即超过</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KM），则结算时仍按</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KM 计算，超过部分不予考虑。运距精确到小数点后一位。</w:t>
      </w:r>
    </w:p>
    <w:p w14:paraId="65A81B31">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若项目弃渣需外运至专用弃渣场，必须按照《城市建筑垃圾管理规定》（中华人民共和国建设部令第139号）、《重庆市市容环境卫生管理条例》和《重庆市新型智能建筑渣土车推广使用工作实施方案》（渝城管局〔2021〕139号）的规定执行</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在项目签发进度款和办理结算时，承包人须提供渣场合同（弃土协议）、相关运输车辆照片、渣场照片、相关发票、渣票及相应的转账记录，否则外运和渣场费不予认可。</w:t>
      </w:r>
    </w:p>
    <w:p w14:paraId="17383893">
      <w:pPr>
        <w:spacing w:line="360" w:lineRule="auto"/>
        <w:ind w:right="140" w:rightChars="5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④本工程可能发生现状管线保护（含燃气管道、自来水管道、电力管廊等）、占用菜地等情况，请投标人自行踏勘现场，相应费用由投标人自行考虑，招标人不在另行支付。</w:t>
      </w:r>
      <w:bookmarkStart w:id="880" w:name="baidusnap7"/>
      <w:bookmarkEnd w:id="880"/>
      <w:bookmarkStart w:id="881" w:name="baidusnap3"/>
      <w:bookmarkEnd w:id="881"/>
      <w:bookmarkStart w:id="882" w:name="_Toc532377425"/>
      <w:bookmarkStart w:id="883" w:name="_Toc532375686"/>
      <w:bookmarkStart w:id="884" w:name="_Toc351203652"/>
    </w:p>
    <w:p w14:paraId="049389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⑤项目周边电线、电、缆沟、管网（包括燃气管网）的情况由供应商自行查勘现场并将施工期间的临时性保护费用和配合费用考虑在投标报价中。如管线确需永久性保护或迁改，永久性保护和迁改事宜及费用由采购人负责，但中标人需配合协调主管部门制定实施方案。暂列金额采购人有权全部使用、部分使用或完全不用；如需实施，须经过采购人确认，费用须经过采购人、监理人及结算审核单位审核。</w:t>
      </w:r>
    </w:p>
    <w:p w14:paraId="09F7ED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⑥</w:t>
      </w:r>
      <w:r>
        <w:rPr>
          <w:rFonts w:hint="eastAsia" w:ascii="宋体" w:hAnsi="宋体" w:eastAsia="宋体" w:cs="宋体"/>
          <w:color w:val="auto"/>
          <w:sz w:val="21"/>
          <w:szCs w:val="21"/>
          <w:highlight w:val="none"/>
          <w:u w:val="single"/>
        </w:rPr>
        <w:t>本工程涉及的交通组织、交通转换过程中产生的深化设计、报批、专家评审等费用，由供应商综合考虑纳入投标报价中，采购人不单独计取。</w:t>
      </w:r>
    </w:p>
    <w:p w14:paraId="47890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⑦</w:t>
      </w:r>
      <w:r>
        <w:rPr>
          <w:rFonts w:hint="eastAsia" w:ascii="宋体" w:hAnsi="宋体" w:eastAsia="宋体" w:cs="宋体"/>
          <w:color w:val="auto"/>
          <w:sz w:val="21"/>
          <w:szCs w:val="21"/>
          <w:highlight w:val="none"/>
          <w:u w:val="single"/>
        </w:rPr>
        <w:t>在项目结算评审时，业主单位应先进行初审，再报结算评审。结算评审的基本收费由业主承担，如果送审结算金额与评审审定金额相比，审减率在 5%之内（含 5%）的审减效益费由业主单位承担；审减率超过 5%的，全部审减效益费由施工单位承担，由业主单位统一支付后，在工程款中扣减。(该审减率为不抵扣审增部分的净审减率)。</w:t>
      </w:r>
    </w:p>
    <w:p w14:paraId="31D46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⑧</w:t>
      </w:r>
      <w:r>
        <w:rPr>
          <w:rFonts w:hint="eastAsia" w:ascii="宋体" w:hAnsi="宋体" w:eastAsia="宋体" w:cs="宋体"/>
          <w:color w:val="auto"/>
          <w:sz w:val="21"/>
          <w:szCs w:val="21"/>
          <w:highlight w:val="none"/>
          <w:u w:val="single"/>
        </w:rPr>
        <w:t>施工单位须和建设单位等相关施工参与部门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7114AB3A">
      <w:pPr>
        <w:spacing w:line="360" w:lineRule="auto"/>
        <w:ind w:right="140" w:rightChars="50"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22. 合同附件</w:t>
      </w:r>
      <w:bookmarkEnd w:id="882"/>
      <w:bookmarkEnd w:id="883"/>
    </w:p>
    <w:p w14:paraId="2052173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以下附件是本合同的有效组成部分：</w:t>
      </w:r>
    </w:p>
    <w:p w14:paraId="4E6FC37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55C94263">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附件2：主要建设工程文件目录</w:t>
      </w:r>
    </w:p>
    <w:p w14:paraId="79B55C5C">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附件3：承包人项目管理机构组成表</w:t>
      </w:r>
    </w:p>
    <w:p w14:paraId="6B62433E">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附件4：履约担保（如有）</w:t>
      </w:r>
    </w:p>
    <w:p w14:paraId="2ED5E34B">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附件5：预付款担保（如有）</w:t>
      </w:r>
    </w:p>
    <w:p w14:paraId="447D0859">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附件6：支付担保（如有）</w:t>
      </w:r>
    </w:p>
    <w:p w14:paraId="5199E59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附件7：专业工程暂估价表</w:t>
      </w:r>
    </w:p>
    <w:p w14:paraId="7BB13227">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附件8：廉洁从业协议</w:t>
      </w:r>
    </w:p>
    <w:p w14:paraId="696810FD">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附件9：安全管理协议</w:t>
      </w:r>
    </w:p>
    <w:p w14:paraId="7AD111EF">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附件10：保障农民工工资支付协议</w:t>
      </w:r>
    </w:p>
    <w:p w14:paraId="234AF102">
      <w:pPr>
        <w:spacing w:line="360" w:lineRule="auto"/>
        <w:ind w:right="140" w:rightChars="5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附件11：质量保证金保函（如有）</w:t>
      </w:r>
    </w:p>
    <w:bookmarkEnd w:id="884"/>
    <w:p w14:paraId="461446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885" w:name="_Toc267261693"/>
      <w:bookmarkStart w:id="886" w:name="_Toc296891054"/>
      <w:bookmarkStart w:id="887" w:name="_Toc296891266"/>
      <w:bookmarkStart w:id="888" w:name="_Toc296346727"/>
      <w:bookmarkStart w:id="889" w:name="_Toc296347225"/>
      <w:bookmarkStart w:id="890" w:name="_Toc296503226"/>
      <w:bookmarkStart w:id="891" w:name="_Toc296944565"/>
      <w:r>
        <w:rPr>
          <w:rFonts w:hint="eastAsia" w:ascii="宋体" w:hAnsi="宋体" w:eastAsia="宋体" w:cs="宋体"/>
          <w:color w:val="auto"/>
          <w:sz w:val="21"/>
          <w:szCs w:val="21"/>
          <w:highlight w:val="none"/>
        </w:rPr>
        <w:t>件1：</w:t>
      </w:r>
      <w:bookmarkEnd w:id="885"/>
      <w:bookmarkEnd w:id="886"/>
      <w:bookmarkEnd w:id="887"/>
      <w:bookmarkEnd w:id="888"/>
      <w:bookmarkEnd w:id="889"/>
      <w:bookmarkEnd w:id="890"/>
      <w:bookmarkEnd w:id="891"/>
    </w:p>
    <w:p w14:paraId="025B4F35">
      <w:pPr>
        <w:spacing w:before="156" w:beforeLines="50" w:after="156"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14:paraId="447BEA01">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color w:val="auto"/>
          <w:sz w:val="21"/>
          <w:szCs w:val="21"/>
          <w:highlight w:val="none"/>
          <w:u w:val="single"/>
        </w:rPr>
        <w:t xml:space="preserve">                             </w:t>
      </w:r>
    </w:p>
    <w:p w14:paraId="5BAB11BC">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color w:val="auto"/>
          <w:sz w:val="21"/>
          <w:szCs w:val="21"/>
          <w:highlight w:val="none"/>
          <w:u w:val="single"/>
        </w:rPr>
        <w:t xml:space="preserve">                             </w:t>
      </w:r>
    </w:p>
    <w:p w14:paraId="792F2B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发包人和承包人根据《中华人民共和国建筑法》和《建设工程质量管理条例》，经协商一致就</w:t>
      </w:r>
    </w:p>
    <w:p w14:paraId="433093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2C7B9277">
      <w:pPr>
        <w:spacing w:line="360" w:lineRule="auto"/>
        <w:ind w:firstLine="420" w:firstLineChars="200"/>
        <w:rPr>
          <w:rFonts w:hint="eastAsia" w:ascii="宋体" w:hAnsi="宋体" w:eastAsia="宋体" w:cs="宋体"/>
          <w:color w:val="auto"/>
          <w:sz w:val="21"/>
          <w:szCs w:val="21"/>
          <w:highlight w:val="none"/>
        </w:rPr>
      </w:pPr>
      <w:bookmarkStart w:id="892" w:name="_Toc532375687"/>
      <w:r>
        <w:rPr>
          <w:rFonts w:hint="eastAsia" w:ascii="宋体" w:hAnsi="宋体" w:eastAsia="宋体" w:cs="宋体"/>
          <w:color w:val="auto"/>
          <w:sz w:val="21"/>
          <w:szCs w:val="21"/>
          <w:highlight w:val="none"/>
        </w:rPr>
        <w:t>一、工程质量保修范围和内容</w:t>
      </w:r>
      <w:bookmarkEnd w:id="892"/>
    </w:p>
    <w:p w14:paraId="4DC1D8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2002BC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F42D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承包人承包范围内容均属质量保修范围内容；其中：</w:t>
      </w:r>
    </w:p>
    <w:p w14:paraId="7BAA78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1.属于设计原因造成的质量问题，承包人负责维修，不留隐患，费用由发包人承担；</w:t>
      </w:r>
    </w:p>
    <w:p w14:paraId="7D17AE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2.属于施工造成的质量问题，承包人负责维修，不留隐患；</w:t>
      </w:r>
    </w:p>
    <w:p w14:paraId="43F19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3.属于业主使用不当造成的质量问题，配合抢修，费用由发包人承担。</w:t>
      </w:r>
    </w:p>
    <w:p w14:paraId="58BF848D">
      <w:pPr>
        <w:spacing w:line="360" w:lineRule="auto"/>
        <w:ind w:firstLine="420" w:firstLineChars="200"/>
        <w:rPr>
          <w:rFonts w:hint="eastAsia" w:ascii="宋体" w:hAnsi="宋体" w:eastAsia="宋体" w:cs="宋体"/>
          <w:color w:val="auto"/>
          <w:sz w:val="21"/>
          <w:szCs w:val="21"/>
          <w:highlight w:val="none"/>
        </w:rPr>
      </w:pPr>
      <w:bookmarkStart w:id="893" w:name="_Toc532375688"/>
      <w:r>
        <w:rPr>
          <w:rFonts w:hint="eastAsia" w:ascii="宋体" w:hAnsi="宋体" w:eastAsia="宋体" w:cs="宋体"/>
          <w:color w:val="auto"/>
          <w:sz w:val="21"/>
          <w:szCs w:val="21"/>
          <w:highlight w:val="none"/>
        </w:rPr>
        <w:t>二、质量保修期</w:t>
      </w:r>
      <w:bookmarkEnd w:id="893"/>
    </w:p>
    <w:p w14:paraId="50F164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根据《建设工程质量管理条例》及有关规定，本工程质量保修期约定如下：</w:t>
      </w:r>
    </w:p>
    <w:p w14:paraId="30FF83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1.基础设施工程、房屋建筑的地基基础工程和主体结构工程，为设计文件规定的该工程的合理使用年限；</w:t>
      </w:r>
    </w:p>
    <w:p w14:paraId="5D691F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2.屋面防水工程、有防水要求的卫生间、房间和外墙面的防渗漏，为5年；</w:t>
      </w:r>
    </w:p>
    <w:p w14:paraId="4B9130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3.供热与供冷系统，为2个采暖期、供冷期；</w:t>
      </w:r>
    </w:p>
    <w:p w14:paraId="3C4FD8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4.电气管线、给排水管道、设备安装和装修工程，为2年；</w:t>
      </w:r>
    </w:p>
    <w:p w14:paraId="084984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5.其他项目保修期限：2年；</w:t>
      </w:r>
      <w:r>
        <w:rPr>
          <w:rFonts w:hint="eastAsia" w:ascii="宋体" w:hAnsi="宋体" w:eastAsia="宋体" w:cs="宋体"/>
          <w:i/>
          <w:color w:val="auto"/>
          <w:sz w:val="21"/>
          <w:szCs w:val="21"/>
          <w:highlight w:val="none"/>
        </w:rPr>
        <w:t>[提示：如有不同，根据具体情况修改]</w:t>
      </w:r>
    </w:p>
    <w:p w14:paraId="5BE5D9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建设工程的保修期，自工程竣工验收合格之日起计算。</w:t>
      </w:r>
    </w:p>
    <w:p w14:paraId="158A86CE">
      <w:pPr>
        <w:spacing w:line="360" w:lineRule="auto"/>
        <w:ind w:firstLine="420" w:firstLineChars="200"/>
        <w:rPr>
          <w:rFonts w:hint="eastAsia" w:ascii="宋体" w:hAnsi="宋体" w:eastAsia="宋体" w:cs="宋体"/>
          <w:color w:val="auto"/>
          <w:sz w:val="21"/>
          <w:szCs w:val="21"/>
          <w:highlight w:val="none"/>
        </w:rPr>
      </w:pPr>
      <w:bookmarkStart w:id="894" w:name="_Toc532375689"/>
      <w:r>
        <w:rPr>
          <w:rFonts w:hint="eastAsia" w:ascii="宋体" w:hAnsi="宋体" w:eastAsia="宋体" w:cs="宋体"/>
          <w:color w:val="auto"/>
          <w:sz w:val="21"/>
          <w:szCs w:val="21"/>
          <w:highlight w:val="none"/>
        </w:rPr>
        <w:t>三、质量保修责任</w:t>
      </w:r>
      <w:bookmarkEnd w:id="894"/>
    </w:p>
    <w:p w14:paraId="633A50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44C743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12B896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EDFEA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5A0B9578">
      <w:pPr>
        <w:spacing w:line="360" w:lineRule="auto"/>
        <w:ind w:firstLine="420" w:firstLineChars="200"/>
        <w:rPr>
          <w:rFonts w:hint="eastAsia" w:ascii="宋体" w:hAnsi="宋体" w:eastAsia="宋体" w:cs="宋体"/>
          <w:color w:val="auto"/>
          <w:sz w:val="21"/>
          <w:szCs w:val="21"/>
          <w:highlight w:val="none"/>
        </w:rPr>
      </w:pPr>
      <w:bookmarkStart w:id="895" w:name="_Toc532375690"/>
      <w:r>
        <w:rPr>
          <w:rFonts w:hint="eastAsia" w:ascii="宋体" w:hAnsi="宋体" w:eastAsia="宋体" w:cs="宋体"/>
          <w:color w:val="auto"/>
          <w:sz w:val="21"/>
          <w:szCs w:val="21"/>
          <w:highlight w:val="none"/>
        </w:rPr>
        <w:t>四、保修费用</w:t>
      </w:r>
      <w:bookmarkEnd w:id="895"/>
    </w:p>
    <w:p w14:paraId="375BEA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保修费用由质量缺陷的责任方承担。</w:t>
      </w:r>
    </w:p>
    <w:p w14:paraId="0FB94B7E">
      <w:pPr>
        <w:spacing w:line="360" w:lineRule="auto"/>
        <w:ind w:firstLine="420" w:firstLineChars="200"/>
        <w:rPr>
          <w:rFonts w:hint="eastAsia" w:ascii="宋体" w:hAnsi="宋体" w:eastAsia="宋体" w:cs="宋体"/>
          <w:color w:val="auto"/>
          <w:sz w:val="21"/>
          <w:szCs w:val="21"/>
          <w:highlight w:val="none"/>
        </w:rPr>
      </w:pPr>
      <w:bookmarkStart w:id="896" w:name="_Toc532375691"/>
      <w:r>
        <w:rPr>
          <w:rFonts w:hint="eastAsia" w:ascii="宋体" w:hAnsi="宋体" w:eastAsia="宋体" w:cs="宋体"/>
          <w:color w:val="auto"/>
          <w:sz w:val="21"/>
          <w:szCs w:val="21"/>
          <w:highlight w:val="none"/>
        </w:rPr>
        <w:t>五、双方约定的其他工程质量保修事项</w:t>
      </w:r>
    </w:p>
    <w:p w14:paraId="4E105F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按国家相关法律和规定执行</w:t>
      </w:r>
      <w:r>
        <w:rPr>
          <w:rFonts w:hint="eastAsia" w:ascii="宋体" w:hAnsi="宋体" w:eastAsia="宋体" w:cs="宋体"/>
          <w:color w:val="auto"/>
          <w:sz w:val="21"/>
          <w:szCs w:val="21"/>
          <w:highlight w:val="none"/>
        </w:rPr>
        <w:t>。</w:t>
      </w:r>
      <w:bookmarkEnd w:id="896"/>
    </w:p>
    <w:p w14:paraId="27BBD1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本工程质量保修书由发包人、承包人在工程竣工验收前共同签署，作为施工合同附件，其有效期限至保修期满。</w:t>
      </w:r>
    </w:p>
    <w:p w14:paraId="6A378E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六、本文件生效</w:t>
      </w:r>
    </w:p>
    <w:p w14:paraId="042551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本工程质量保修书经发包人与承包人盖章后生效。</w:t>
      </w:r>
    </w:p>
    <w:p w14:paraId="6D3919C2">
      <w:pPr>
        <w:pStyle w:val="2"/>
        <w:spacing w:line="360" w:lineRule="auto"/>
        <w:ind w:firstLine="420" w:firstLineChars="200"/>
        <w:rPr>
          <w:rFonts w:hint="eastAsia" w:ascii="宋体" w:hAnsi="宋体" w:eastAsia="宋体" w:cs="宋体"/>
          <w:color w:val="auto"/>
          <w:sz w:val="21"/>
          <w:szCs w:val="21"/>
          <w:highlight w:val="none"/>
        </w:rPr>
      </w:pPr>
    </w:p>
    <w:p w14:paraId="00541520">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（盖单位公章）</w:t>
      </w:r>
    </w:p>
    <w:p w14:paraId="144ACF4F">
      <w:pPr>
        <w:spacing w:line="360" w:lineRule="auto"/>
        <w:ind w:firstLine="420" w:firstLineChars="200"/>
        <w:rPr>
          <w:rFonts w:hint="eastAsia" w:ascii="宋体" w:hAnsi="宋体" w:eastAsia="宋体" w:cs="宋体"/>
          <w:snapToGrid w:val="0"/>
          <w:color w:val="auto"/>
          <w:kern w:val="0"/>
          <w:sz w:val="21"/>
          <w:szCs w:val="21"/>
          <w:highlight w:val="none"/>
        </w:rPr>
      </w:pPr>
    </w:p>
    <w:p w14:paraId="3059FCAC">
      <w:pPr>
        <w:spacing w:line="360" w:lineRule="auto"/>
        <w:ind w:firstLine="420" w:firstLineChars="200"/>
        <w:rPr>
          <w:rFonts w:hint="eastAsia" w:ascii="宋体" w:hAnsi="宋体" w:eastAsia="宋体" w:cs="宋体"/>
          <w:snapToGrid w:val="0"/>
          <w:color w:val="auto"/>
          <w:kern w:val="0"/>
          <w:sz w:val="21"/>
          <w:szCs w:val="21"/>
          <w:highlight w:val="none"/>
        </w:rPr>
      </w:pPr>
    </w:p>
    <w:p w14:paraId="4A26D5C2">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0CE9B353">
      <w:pPr>
        <w:spacing w:line="360" w:lineRule="auto"/>
        <w:ind w:firstLine="420" w:firstLineChars="200"/>
        <w:rPr>
          <w:rFonts w:hint="eastAsia" w:ascii="宋体" w:hAnsi="宋体" w:eastAsia="宋体" w:cs="宋体"/>
          <w:snapToGrid w:val="0"/>
          <w:color w:val="auto"/>
          <w:kern w:val="0"/>
          <w:sz w:val="21"/>
          <w:szCs w:val="21"/>
          <w:highlight w:val="none"/>
        </w:rPr>
      </w:pPr>
    </w:p>
    <w:p w14:paraId="61BB2886">
      <w:pPr>
        <w:spacing w:line="360" w:lineRule="auto"/>
        <w:ind w:firstLine="420" w:firstLineChars="200"/>
        <w:rPr>
          <w:rFonts w:hint="eastAsia" w:ascii="宋体" w:hAnsi="宋体" w:eastAsia="宋体" w:cs="宋体"/>
          <w:snapToGrid w:val="0"/>
          <w:color w:val="auto"/>
          <w:kern w:val="0"/>
          <w:sz w:val="21"/>
          <w:szCs w:val="21"/>
          <w:highlight w:val="none"/>
        </w:rPr>
      </w:pPr>
    </w:p>
    <w:p w14:paraId="13A046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承包人：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（盖单位公章）</w:t>
      </w:r>
    </w:p>
    <w:p w14:paraId="70490946">
      <w:pPr>
        <w:spacing w:line="360" w:lineRule="auto"/>
        <w:ind w:firstLine="420" w:firstLineChars="200"/>
        <w:rPr>
          <w:rFonts w:hint="eastAsia" w:ascii="宋体" w:hAnsi="宋体" w:eastAsia="宋体" w:cs="宋体"/>
          <w:snapToGrid w:val="0"/>
          <w:color w:val="auto"/>
          <w:kern w:val="0"/>
          <w:sz w:val="21"/>
          <w:szCs w:val="21"/>
          <w:highlight w:val="none"/>
        </w:rPr>
      </w:pPr>
    </w:p>
    <w:p w14:paraId="3C33A523">
      <w:pPr>
        <w:spacing w:line="360" w:lineRule="auto"/>
        <w:ind w:firstLine="420" w:firstLineChars="200"/>
        <w:rPr>
          <w:rFonts w:hint="eastAsia" w:ascii="宋体" w:hAnsi="宋体" w:eastAsia="宋体" w:cs="宋体"/>
          <w:snapToGrid w:val="0"/>
          <w:color w:val="auto"/>
          <w:kern w:val="0"/>
          <w:sz w:val="21"/>
          <w:szCs w:val="21"/>
          <w:highlight w:val="none"/>
        </w:rPr>
      </w:pPr>
    </w:p>
    <w:p w14:paraId="7CAE2FF4">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6A3C2F51">
      <w:pPr>
        <w:spacing w:line="360" w:lineRule="auto"/>
        <w:ind w:firstLine="418" w:firstLineChars="200"/>
        <w:rPr>
          <w:rFonts w:hint="eastAsia" w:ascii="宋体" w:hAnsi="宋体" w:eastAsia="宋体" w:cs="宋体"/>
          <w:snapToGrid w:val="0"/>
          <w:color w:val="auto"/>
          <w:spacing w:val="1"/>
          <w:w w:val="99"/>
          <w:kern w:val="0"/>
          <w:position w:val="-2"/>
          <w:sz w:val="21"/>
          <w:szCs w:val="21"/>
          <w:highlight w:val="none"/>
        </w:rPr>
      </w:pPr>
    </w:p>
    <w:p w14:paraId="407501AA">
      <w:pPr>
        <w:spacing w:line="360" w:lineRule="auto"/>
        <w:ind w:firstLine="418" w:firstLineChars="200"/>
        <w:rPr>
          <w:rFonts w:hint="eastAsia" w:ascii="宋体" w:hAnsi="宋体" w:eastAsia="宋体" w:cs="宋体"/>
          <w:snapToGrid w:val="0"/>
          <w:color w:val="auto"/>
          <w:spacing w:val="1"/>
          <w:w w:val="99"/>
          <w:kern w:val="0"/>
          <w:position w:val="-2"/>
          <w:sz w:val="21"/>
          <w:szCs w:val="21"/>
          <w:highlight w:val="none"/>
        </w:rPr>
      </w:pPr>
    </w:p>
    <w:p w14:paraId="76309B8B">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签约时间：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2B75CBC3">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附件2：</w:t>
      </w:r>
    </w:p>
    <w:p w14:paraId="089B0F1B">
      <w:pPr>
        <w:spacing w:before="156" w:beforeLines="50" w:after="156" w:afterLines="5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tbl>
      <w:tblPr>
        <w:tblStyle w:val="2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2DB2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356D9061">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文件名称</w:t>
            </w:r>
          </w:p>
        </w:tc>
        <w:tc>
          <w:tcPr>
            <w:tcW w:w="1418" w:type="dxa"/>
            <w:vAlign w:val="center"/>
          </w:tcPr>
          <w:p w14:paraId="14DD5CBA">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套数</w:t>
            </w:r>
          </w:p>
        </w:tc>
        <w:tc>
          <w:tcPr>
            <w:tcW w:w="1418" w:type="dxa"/>
          </w:tcPr>
          <w:p w14:paraId="34416CA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2917" w:type="dxa"/>
          </w:tcPr>
          <w:p w14:paraId="2D3555E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14:paraId="15F0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6DC650A">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4F378F87">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1AC1E58A">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482394B9">
            <w:pPr>
              <w:spacing w:line="400" w:lineRule="exact"/>
              <w:ind w:firstLine="420" w:firstLineChars="200"/>
              <w:rPr>
                <w:rFonts w:hint="eastAsia" w:ascii="宋体" w:hAnsi="宋体" w:eastAsia="宋体" w:cs="宋体"/>
                <w:color w:val="auto"/>
                <w:sz w:val="21"/>
                <w:szCs w:val="21"/>
                <w:highlight w:val="none"/>
              </w:rPr>
            </w:pPr>
          </w:p>
        </w:tc>
      </w:tr>
      <w:tr w14:paraId="566A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CE820D9">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163E60F9">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3BF8FD37">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69FFC526">
            <w:pPr>
              <w:spacing w:line="400" w:lineRule="exact"/>
              <w:ind w:firstLine="420" w:firstLineChars="200"/>
              <w:rPr>
                <w:rFonts w:hint="eastAsia" w:ascii="宋体" w:hAnsi="宋体" w:eastAsia="宋体" w:cs="宋体"/>
                <w:color w:val="auto"/>
                <w:sz w:val="21"/>
                <w:szCs w:val="21"/>
                <w:highlight w:val="none"/>
              </w:rPr>
            </w:pPr>
          </w:p>
        </w:tc>
      </w:tr>
      <w:tr w14:paraId="780D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18B2E3C">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62D91438">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017FA600">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7823411C">
            <w:pPr>
              <w:spacing w:line="400" w:lineRule="exact"/>
              <w:ind w:firstLine="420" w:firstLineChars="200"/>
              <w:rPr>
                <w:rFonts w:hint="eastAsia" w:ascii="宋体" w:hAnsi="宋体" w:eastAsia="宋体" w:cs="宋体"/>
                <w:color w:val="auto"/>
                <w:sz w:val="21"/>
                <w:szCs w:val="21"/>
                <w:highlight w:val="none"/>
              </w:rPr>
            </w:pPr>
          </w:p>
        </w:tc>
      </w:tr>
      <w:tr w14:paraId="3C34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46A3AD5">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3E82FD35">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6134FB3D">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0B94D0C7">
            <w:pPr>
              <w:spacing w:line="400" w:lineRule="exact"/>
              <w:ind w:firstLine="420" w:firstLineChars="200"/>
              <w:rPr>
                <w:rFonts w:hint="eastAsia" w:ascii="宋体" w:hAnsi="宋体" w:eastAsia="宋体" w:cs="宋体"/>
                <w:color w:val="auto"/>
                <w:sz w:val="21"/>
                <w:szCs w:val="21"/>
                <w:highlight w:val="none"/>
              </w:rPr>
            </w:pPr>
          </w:p>
        </w:tc>
      </w:tr>
      <w:tr w14:paraId="6BBB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0FC50F4">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432CD0D2">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794EFAEB">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6F6DAF73">
            <w:pPr>
              <w:spacing w:line="400" w:lineRule="exact"/>
              <w:ind w:firstLine="420" w:firstLineChars="200"/>
              <w:rPr>
                <w:rFonts w:hint="eastAsia" w:ascii="宋体" w:hAnsi="宋体" w:eastAsia="宋体" w:cs="宋体"/>
                <w:color w:val="auto"/>
                <w:sz w:val="21"/>
                <w:szCs w:val="21"/>
                <w:highlight w:val="none"/>
              </w:rPr>
            </w:pPr>
          </w:p>
        </w:tc>
      </w:tr>
      <w:tr w14:paraId="7E46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AA42694">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4587E78C">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2A524A63">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109F3BD4">
            <w:pPr>
              <w:spacing w:line="400" w:lineRule="exact"/>
              <w:ind w:firstLine="420" w:firstLineChars="200"/>
              <w:rPr>
                <w:rFonts w:hint="eastAsia" w:ascii="宋体" w:hAnsi="宋体" w:eastAsia="宋体" w:cs="宋体"/>
                <w:color w:val="auto"/>
                <w:sz w:val="21"/>
                <w:szCs w:val="21"/>
                <w:highlight w:val="none"/>
              </w:rPr>
            </w:pPr>
          </w:p>
        </w:tc>
      </w:tr>
      <w:tr w14:paraId="2E51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DFB56AA">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68E9910F">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3E990F77">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7192CD33">
            <w:pPr>
              <w:spacing w:line="400" w:lineRule="exact"/>
              <w:ind w:firstLine="420" w:firstLineChars="200"/>
              <w:rPr>
                <w:rFonts w:hint="eastAsia" w:ascii="宋体" w:hAnsi="宋体" w:eastAsia="宋体" w:cs="宋体"/>
                <w:color w:val="auto"/>
                <w:sz w:val="21"/>
                <w:szCs w:val="21"/>
                <w:highlight w:val="none"/>
              </w:rPr>
            </w:pPr>
          </w:p>
        </w:tc>
      </w:tr>
      <w:tr w14:paraId="4DFE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DB2FD2D">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5B87521C">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736423D2">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2EAFCD84">
            <w:pPr>
              <w:spacing w:line="400" w:lineRule="exact"/>
              <w:ind w:firstLine="420" w:firstLineChars="200"/>
              <w:rPr>
                <w:rFonts w:hint="eastAsia" w:ascii="宋体" w:hAnsi="宋体" w:eastAsia="宋体" w:cs="宋体"/>
                <w:color w:val="auto"/>
                <w:sz w:val="21"/>
                <w:szCs w:val="21"/>
                <w:highlight w:val="none"/>
              </w:rPr>
            </w:pPr>
          </w:p>
        </w:tc>
      </w:tr>
      <w:tr w14:paraId="3496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DE00EEA">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74326D28">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6292BA18">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41D3DC37">
            <w:pPr>
              <w:spacing w:line="400" w:lineRule="exact"/>
              <w:ind w:firstLine="420" w:firstLineChars="200"/>
              <w:rPr>
                <w:rFonts w:hint="eastAsia" w:ascii="宋体" w:hAnsi="宋体" w:eastAsia="宋体" w:cs="宋体"/>
                <w:color w:val="auto"/>
                <w:sz w:val="21"/>
                <w:szCs w:val="21"/>
                <w:highlight w:val="none"/>
              </w:rPr>
            </w:pPr>
          </w:p>
        </w:tc>
      </w:tr>
      <w:tr w14:paraId="6288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8A10F32">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4D88ED82">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1D33275E">
            <w:pPr>
              <w:spacing w:line="400" w:lineRule="exact"/>
              <w:ind w:firstLine="420" w:firstLineChars="200"/>
              <w:rPr>
                <w:rFonts w:hint="eastAsia" w:ascii="宋体" w:hAnsi="宋体" w:eastAsia="宋体" w:cs="宋体"/>
                <w:color w:val="auto"/>
                <w:sz w:val="21"/>
                <w:szCs w:val="21"/>
                <w:highlight w:val="none"/>
              </w:rPr>
            </w:pPr>
          </w:p>
        </w:tc>
        <w:tc>
          <w:tcPr>
            <w:tcW w:w="2917" w:type="dxa"/>
            <w:vAlign w:val="center"/>
          </w:tcPr>
          <w:p w14:paraId="37007488">
            <w:pPr>
              <w:spacing w:line="400" w:lineRule="exact"/>
              <w:ind w:firstLine="420" w:firstLineChars="200"/>
              <w:rPr>
                <w:rFonts w:hint="eastAsia" w:ascii="宋体" w:hAnsi="宋体" w:eastAsia="宋体" w:cs="宋体"/>
                <w:color w:val="auto"/>
                <w:sz w:val="21"/>
                <w:szCs w:val="21"/>
                <w:highlight w:val="none"/>
              </w:rPr>
            </w:pPr>
          </w:p>
        </w:tc>
      </w:tr>
      <w:tr w14:paraId="26A5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34E5B86">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6C0F7A20">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4023AB34">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259C12F5">
            <w:pPr>
              <w:spacing w:line="400" w:lineRule="exact"/>
              <w:ind w:firstLine="420" w:firstLineChars="200"/>
              <w:rPr>
                <w:rFonts w:hint="eastAsia" w:ascii="宋体" w:hAnsi="宋体" w:eastAsia="宋体" w:cs="宋体"/>
                <w:color w:val="auto"/>
                <w:sz w:val="21"/>
                <w:szCs w:val="21"/>
                <w:highlight w:val="none"/>
              </w:rPr>
            </w:pPr>
          </w:p>
        </w:tc>
      </w:tr>
      <w:tr w14:paraId="06C2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D01D630">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1ED9C5A9">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27A284B4">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5631587B">
            <w:pPr>
              <w:spacing w:line="400" w:lineRule="exact"/>
              <w:ind w:firstLine="420" w:firstLineChars="200"/>
              <w:rPr>
                <w:rFonts w:hint="eastAsia" w:ascii="宋体" w:hAnsi="宋体" w:eastAsia="宋体" w:cs="宋体"/>
                <w:color w:val="auto"/>
                <w:sz w:val="21"/>
                <w:szCs w:val="21"/>
                <w:highlight w:val="none"/>
              </w:rPr>
            </w:pPr>
          </w:p>
        </w:tc>
      </w:tr>
      <w:tr w14:paraId="4A77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8A2AD23">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1D81F382">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7ABCED6A">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3213F84C">
            <w:pPr>
              <w:spacing w:line="400" w:lineRule="exact"/>
              <w:ind w:firstLine="420" w:firstLineChars="200"/>
              <w:rPr>
                <w:rFonts w:hint="eastAsia" w:ascii="宋体" w:hAnsi="宋体" w:eastAsia="宋体" w:cs="宋体"/>
                <w:color w:val="auto"/>
                <w:sz w:val="21"/>
                <w:szCs w:val="21"/>
                <w:highlight w:val="none"/>
              </w:rPr>
            </w:pPr>
          </w:p>
        </w:tc>
      </w:tr>
      <w:tr w14:paraId="4C86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74EB50E">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40796E2F">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17F0FDC8">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4089E8D8">
            <w:pPr>
              <w:spacing w:line="400" w:lineRule="exact"/>
              <w:ind w:firstLine="420" w:firstLineChars="200"/>
              <w:rPr>
                <w:rFonts w:hint="eastAsia" w:ascii="宋体" w:hAnsi="宋体" w:eastAsia="宋体" w:cs="宋体"/>
                <w:color w:val="auto"/>
                <w:sz w:val="21"/>
                <w:szCs w:val="21"/>
                <w:highlight w:val="none"/>
              </w:rPr>
            </w:pPr>
          </w:p>
        </w:tc>
      </w:tr>
      <w:tr w14:paraId="7AC9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1EAD3D0">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4D2F9401">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4989F628">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7F104568">
            <w:pPr>
              <w:spacing w:line="400" w:lineRule="exact"/>
              <w:ind w:firstLine="420" w:firstLineChars="200"/>
              <w:rPr>
                <w:rFonts w:hint="eastAsia" w:ascii="宋体" w:hAnsi="宋体" w:eastAsia="宋体" w:cs="宋体"/>
                <w:color w:val="auto"/>
                <w:sz w:val="21"/>
                <w:szCs w:val="21"/>
                <w:highlight w:val="none"/>
              </w:rPr>
            </w:pPr>
          </w:p>
        </w:tc>
      </w:tr>
      <w:tr w14:paraId="777E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3EB440B">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3D089028">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5385AF58">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75456061">
            <w:pPr>
              <w:spacing w:line="400" w:lineRule="exact"/>
              <w:ind w:firstLine="420" w:firstLineChars="200"/>
              <w:rPr>
                <w:rFonts w:hint="eastAsia" w:ascii="宋体" w:hAnsi="宋体" w:eastAsia="宋体" w:cs="宋体"/>
                <w:color w:val="auto"/>
                <w:sz w:val="21"/>
                <w:szCs w:val="21"/>
                <w:highlight w:val="none"/>
              </w:rPr>
            </w:pPr>
          </w:p>
        </w:tc>
      </w:tr>
      <w:tr w14:paraId="039C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9141786">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7980D511">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107C1656">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76A814DC">
            <w:pPr>
              <w:spacing w:line="400" w:lineRule="exact"/>
              <w:ind w:firstLine="420" w:firstLineChars="200"/>
              <w:rPr>
                <w:rFonts w:hint="eastAsia" w:ascii="宋体" w:hAnsi="宋体" w:eastAsia="宋体" w:cs="宋体"/>
                <w:color w:val="auto"/>
                <w:sz w:val="21"/>
                <w:szCs w:val="21"/>
                <w:highlight w:val="none"/>
              </w:rPr>
            </w:pPr>
          </w:p>
        </w:tc>
      </w:tr>
      <w:tr w14:paraId="31FA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33449DD">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4ECA21B1">
            <w:pPr>
              <w:spacing w:line="400" w:lineRule="exact"/>
              <w:ind w:firstLine="420" w:firstLineChars="200"/>
              <w:rPr>
                <w:rFonts w:hint="eastAsia" w:ascii="宋体" w:hAnsi="宋体" w:eastAsia="宋体" w:cs="宋体"/>
                <w:color w:val="auto"/>
                <w:sz w:val="21"/>
                <w:szCs w:val="21"/>
                <w:highlight w:val="none"/>
              </w:rPr>
            </w:pPr>
          </w:p>
        </w:tc>
        <w:tc>
          <w:tcPr>
            <w:tcW w:w="1418" w:type="dxa"/>
          </w:tcPr>
          <w:p w14:paraId="4BC89F87">
            <w:pPr>
              <w:spacing w:line="400" w:lineRule="exact"/>
              <w:ind w:firstLine="420" w:firstLineChars="200"/>
              <w:rPr>
                <w:rFonts w:hint="eastAsia" w:ascii="宋体" w:hAnsi="宋体" w:eastAsia="宋体" w:cs="宋体"/>
                <w:color w:val="auto"/>
                <w:sz w:val="21"/>
                <w:szCs w:val="21"/>
                <w:highlight w:val="none"/>
              </w:rPr>
            </w:pPr>
          </w:p>
        </w:tc>
        <w:tc>
          <w:tcPr>
            <w:tcW w:w="2917" w:type="dxa"/>
          </w:tcPr>
          <w:p w14:paraId="0C23B9C4">
            <w:pPr>
              <w:spacing w:line="400" w:lineRule="exact"/>
              <w:ind w:firstLine="420" w:firstLineChars="200"/>
              <w:rPr>
                <w:rFonts w:hint="eastAsia" w:ascii="宋体" w:hAnsi="宋体" w:eastAsia="宋体" w:cs="宋体"/>
                <w:color w:val="auto"/>
                <w:sz w:val="21"/>
                <w:szCs w:val="21"/>
                <w:highlight w:val="none"/>
              </w:rPr>
            </w:pPr>
          </w:p>
        </w:tc>
      </w:tr>
    </w:tbl>
    <w:p w14:paraId="03DF34AC">
      <w:pPr>
        <w:spacing w:line="360" w:lineRule="auto"/>
        <w:ind w:firstLine="420" w:firstLineChars="200"/>
        <w:rPr>
          <w:rFonts w:hint="eastAsia" w:ascii="宋体" w:hAnsi="宋体" w:eastAsia="宋体" w:cs="宋体"/>
          <w:color w:val="auto"/>
          <w:sz w:val="21"/>
          <w:szCs w:val="21"/>
          <w:highlight w:val="none"/>
        </w:rPr>
      </w:pPr>
    </w:p>
    <w:p w14:paraId="167F218D">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897" w:name="_Toc296503228"/>
      <w:bookmarkStart w:id="898" w:name="_Toc296891056"/>
      <w:bookmarkStart w:id="899" w:name="_Toc267261699"/>
      <w:bookmarkStart w:id="900" w:name="_Toc296346729"/>
      <w:bookmarkStart w:id="901" w:name="_Toc296944567"/>
      <w:bookmarkStart w:id="902" w:name="_Toc296891268"/>
      <w:bookmarkStart w:id="903" w:name="_Toc296347227"/>
      <w:r>
        <w:rPr>
          <w:rFonts w:hint="eastAsia" w:ascii="宋体" w:hAnsi="宋体" w:eastAsia="宋体" w:cs="宋体"/>
          <w:color w:val="auto"/>
          <w:sz w:val="21"/>
          <w:szCs w:val="21"/>
          <w:highlight w:val="none"/>
        </w:rPr>
        <w:t>件3：</w:t>
      </w:r>
    </w:p>
    <w:bookmarkEnd w:id="897"/>
    <w:bookmarkEnd w:id="898"/>
    <w:bookmarkEnd w:id="899"/>
    <w:bookmarkEnd w:id="900"/>
    <w:bookmarkEnd w:id="901"/>
    <w:bookmarkEnd w:id="902"/>
    <w:bookmarkEnd w:id="903"/>
    <w:p w14:paraId="2BEF8A12">
      <w:pPr>
        <w:spacing w:before="156" w:beforeLines="50" w:after="156" w:afterLines="5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承包人项目管理机构组成表</w:t>
      </w:r>
    </w:p>
    <w:tbl>
      <w:tblPr>
        <w:tblStyle w:val="21"/>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92E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0AE0C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vAlign w:val="center"/>
          </w:tcPr>
          <w:p w14:paraId="41E92A6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vAlign w:val="center"/>
          </w:tcPr>
          <w:p w14:paraId="2F1353DA">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vAlign w:val="center"/>
          </w:tcPr>
          <w:p w14:paraId="3D19E71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252" w:type="dxa"/>
            <w:vAlign w:val="center"/>
          </w:tcPr>
          <w:p w14:paraId="520FFFFA">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主要资历、经验及承担过的项目</w:t>
            </w:r>
          </w:p>
        </w:tc>
      </w:tr>
      <w:tr w14:paraId="7204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74EF9491">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14:paraId="3D00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FDA12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vAlign w:val="center"/>
          </w:tcPr>
          <w:p w14:paraId="3A174543">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7F7FA94C">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11FDA2CE">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6119F9B8">
            <w:pPr>
              <w:spacing w:line="400" w:lineRule="exact"/>
              <w:ind w:firstLine="420" w:firstLineChars="200"/>
              <w:rPr>
                <w:rFonts w:hint="eastAsia" w:ascii="宋体" w:hAnsi="宋体" w:eastAsia="宋体" w:cs="宋体"/>
                <w:color w:val="auto"/>
                <w:sz w:val="21"/>
                <w:szCs w:val="21"/>
                <w:highlight w:val="none"/>
              </w:rPr>
            </w:pPr>
          </w:p>
        </w:tc>
      </w:tr>
      <w:tr w14:paraId="7F8F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55F13D2">
            <w:pPr>
              <w:spacing w:line="400" w:lineRule="exact"/>
              <w:jc w:val="center"/>
              <w:rPr>
                <w:rFonts w:hint="eastAsia" w:ascii="宋体" w:hAnsi="宋体" w:eastAsia="宋体" w:cs="宋体"/>
                <w:color w:val="auto"/>
                <w:sz w:val="21"/>
                <w:szCs w:val="21"/>
                <w:highlight w:val="none"/>
              </w:rPr>
            </w:pPr>
          </w:p>
        </w:tc>
        <w:tc>
          <w:tcPr>
            <w:tcW w:w="1418" w:type="dxa"/>
            <w:vAlign w:val="center"/>
          </w:tcPr>
          <w:p w14:paraId="3A33FB24">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439260C7">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7B629C67">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4DF7792D">
            <w:pPr>
              <w:spacing w:line="400" w:lineRule="exact"/>
              <w:ind w:firstLine="420" w:firstLineChars="200"/>
              <w:rPr>
                <w:rFonts w:hint="eastAsia" w:ascii="宋体" w:hAnsi="宋体" w:eastAsia="宋体" w:cs="宋体"/>
                <w:color w:val="auto"/>
                <w:sz w:val="21"/>
                <w:szCs w:val="21"/>
                <w:highlight w:val="none"/>
              </w:rPr>
            </w:pPr>
          </w:p>
        </w:tc>
      </w:tr>
      <w:tr w14:paraId="214C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C6966B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vAlign w:val="center"/>
          </w:tcPr>
          <w:p w14:paraId="1672B066">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384D193A">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459294A">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201B957B">
            <w:pPr>
              <w:spacing w:line="400" w:lineRule="exact"/>
              <w:ind w:firstLine="420" w:firstLineChars="200"/>
              <w:rPr>
                <w:rFonts w:hint="eastAsia" w:ascii="宋体" w:hAnsi="宋体" w:eastAsia="宋体" w:cs="宋体"/>
                <w:color w:val="auto"/>
                <w:sz w:val="21"/>
                <w:szCs w:val="21"/>
                <w:highlight w:val="none"/>
              </w:rPr>
            </w:pPr>
          </w:p>
        </w:tc>
      </w:tr>
      <w:tr w14:paraId="7F70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A48A33B">
            <w:pPr>
              <w:spacing w:line="400" w:lineRule="exact"/>
              <w:jc w:val="center"/>
              <w:rPr>
                <w:rFonts w:hint="eastAsia" w:ascii="宋体" w:hAnsi="宋体" w:eastAsia="宋体" w:cs="宋体"/>
                <w:color w:val="auto"/>
                <w:sz w:val="21"/>
                <w:szCs w:val="21"/>
                <w:highlight w:val="none"/>
              </w:rPr>
            </w:pPr>
          </w:p>
        </w:tc>
        <w:tc>
          <w:tcPr>
            <w:tcW w:w="1418" w:type="dxa"/>
            <w:vAlign w:val="center"/>
          </w:tcPr>
          <w:p w14:paraId="56D4DF86">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61E7D130">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1FABF58F">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09D53E45">
            <w:pPr>
              <w:spacing w:line="400" w:lineRule="exact"/>
              <w:ind w:firstLine="420" w:firstLineChars="200"/>
              <w:rPr>
                <w:rFonts w:hint="eastAsia" w:ascii="宋体" w:hAnsi="宋体" w:eastAsia="宋体" w:cs="宋体"/>
                <w:color w:val="auto"/>
                <w:sz w:val="21"/>
                <w:szCs w:val="21"/>
                <w:highlight w:val="none"/>
              </w:rPr>
            </w:pPr>
          </w:p>
        </w:tc>
      </w:tr>
      <w:tr w14:paraId="0EF7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66D9D8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14:paraId="5CDE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70DAC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vAlign w:val="center"/>
          </w:tcPr>
          <w:p w14:paraId="0376D06F">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2C852D26">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58AF6FE6">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4ED3E48B">
            <w:pPr>
              <w:spacing w:line="400" w:lineRule="exact"/>
              <w:ind w:firstLine="420" w:firstLineChars="200"/>
              <w:rPr>
                <w:rFonts w:hint="eastAsia" w:ascii="宋体" w:hAnsi="宋体" w:eastAsia="宋体" w:cs="宋体"/>
                <w:color w:val="auto"/>
                <w:sz w:val="21"/>
                <w:szCs w:val="21"/>
                <w:highlight w:val="none"/>
              </w:rPr>
            </w:pPr>
          </w:p>
        </w:tc>
      </w:tr>
      <w:tr w14:paraId="216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5500EB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vAlign w:val="center"/>
          </w:tcPr>
          <w:p w14:paraId="415AFD76">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C3AAE09">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7C0B865A">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59CC2F38">
            <w:pPr>
              <w:spacing w:line="400" w:lineRule="exact"/>
              <w:ind w:firstLine="420" w:firstLineChars="200"/>
              <w:rPr>
                <w:rFonts w:hint="eastAsia" w:ascii="宋体" w:hAnsi="宋体" w:eastAsia="宋体" w:cs="宋体"/>
                <w:color w:val="auto"/>
                <w:sz w:val="21"/>
                <w:szCs w:val="21"/>
                <w:highlight w:val="none"/>
              </w:rPr>
            </w:pPr>
          </w:p>
        </w:tc>
      </w:tr>
      <w:tr w14:paraId="2B6F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5009F5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vAlign w:val="center"/>
          </w:tcPr>
          <w:p w14:paraId="09131C38">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7397D8B">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57260833">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709CAF34">
            <w:pPr>
              <w:spacing w:line="400" w:lineRule="exact"/>
              <w:ind w:firstLine="420" w:firstLineChars="200"/>
              <w:rPr>
                <w:rFonts w:hint="eastAsia" w:ascii="宋体" w:hAnsi="宋体" w:eastAsia="宋体" w:cs="宋体"/>
                <w:color w:val="auto"/>
                <w:sz w:val="21"/>
                <w:szCs w:val="21"/>
                <w:highlight w:val="none"/>
              </w:rPr>
            </w:pPr>
          </w:p>
        </w:tc>
      </w:tr>
      <w:tr w14:paraId="25C2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26E8A8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vAlign w:val="center"/>
          </w:tcPr>
          <w:p w14:paraId="2DC13144">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4EA1E333">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72BC169">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206CB9EF">
            <w:pPr>
              <w:spacing w:line="400" w:lineRule="exact"/>
              <w:ind w:firstLine="420" w:firstLineChars="200"/>
              <w:rPr>
                <w:rFonts w:hint="eastAsia" w:ascii="宋体" w:hAnsi="宋体" w:eastAsia="宋体" w:cs="宋体"/>
                <w:color w:val="auto"/>
                <w:sz w:val="21"/>
                <w:szCs w:val="21"/>
                <w:highlight w:val="none"/>
              </w:rPr>
            </w:pPr>
          </w:p>
        </w:tc>
      </w:tr>
      <w:tr w14:paraId="7C75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4ADCE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vAlign w:val="center"/>
          </w:tcPr>
          <w:p w14:paraId="0856C5D3">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195940FE">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42C9189">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12275CD6">
            <w:pPr>
              <w:spacing w:line="400" w:lineRule="exact"/>
              <w:ind w:firstLine="420" w:firstLineChars="200"/>
              <w:rPr>
                <w:rFonts w:hint="eastAsia" w:ascii="宋体" w:hAnsi="宋体" w:eastAsia="宋体" w:cs="宋体"/>
                <w:color w:val="auto"/>
                <w:sz w:val="21"/>
                <w:szCs w:val="21"/>
                <w:highlight w:val="none"/>
              </w:rPr>
            </w:pPr>
          </w:p>
        </w:tc>
      </w:tr>
      <w:tr w14:paraId="2B41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2157B1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1418" w:type="dxa"/>
            <w:vAlign w:val="center"/>
          </w:tcPr>
          <w:p w14:paraId="0D0BE1B6">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75174F6">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2620D7F2">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4A38D22B">
            <w:pPr>
              <w:spacing w:line="400" w:lineRule="exact"/>
              <w:ind w:firstLine="420" w:firstLineChars="200"/>
              <w:rPr>
                <w:rFonts w:hint="eastAsia" w:ascii="宋体" w:hAnsi="宋体" w:eastAsia="宋体" w:cs="宋体"/>
                <w:color w:val="auto"/>
                <w:sz w:val="21"/>
                <w:szCs w:val="21"/>
                <w:highlight w:val="none"/>
              </w:rPr>
            </w:pPr>
          </w:p>
        </w:tc>
      </w:tr>
      <w:tr w14:paraId="51F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0F79F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vAlign w:val="center"/>
          </w:tcPr>
          <w:p w14:paraId="5C3DF32D">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681E4F4E">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2C2CD1E2">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2A237DA1">
            <w:pPr>
              <w:spacing w:line="400" w:lineRule="exact"/>
              <w:ind w:firstLine="420" w:firstLineChars="200"/>
              <w:rPr>
                <w:rFonts w:hint="eastAsia" w:ascii="宋体" w:hAnsi="宋体" w:eastAsia="宋体" w:cs="宋体"/>
                <w:color w:val="auto"/>
                <w:sz w:val="21"/>
                <w:szCs w:val="21"/>
                <w:highlight w:val="none"/>
              </w:rPr>
            </w:pPr>
          </w:p>
        </w:tc>
      </w:tr>
      <w:tr w14:paraId="525A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799273">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vAlign w:val="center"/>
          </w:tcPr>
          <w:p w14:paraId="4E8E5BC1">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7DDB06C7">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6F75645D">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0ADEA652">
            <w:pPr>
              <w:spacing w:line="400" w:lineRule="exact"/>
              <w:ind w:firstLine="420" w:firstLineChars="200"/>
              <w:rPr>
                <w:rFonts w:hint="eastAsia" w:ascii="宋体" w:hAnsi="宋体" w:eastAsia="宋体" w:cs="宋体"/>
                <w:color w:val="auto"/>
                <w:sz w:val="21"/>
                <w:szCs w:val="21"/>
                <w:highlight w:val="none"/>
              </w:rPr>
            </w:pPr>
          </w:p>
        </w:tc>
      </w:tr>
      <w:tr w14:paraId="470D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49BBC4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vAlign w:val="center"/>
          </w:tcPr>
          <w:p w14:paraId="624420FC">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34CB5378">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75D217AC">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629346AC">
            <w:pPr>
              <w:spacing w:line="400" w:lineRule="exact"/>
              <w:ind w:firstLine="420" w:firstLineChars="200"/>
              <w:rPr>
                <w:rFonts w:hint="eastAsia" w:ascii="宋体" w:hAnsi="宋体" w:eastAsia="宋体" w:cs="宋体"/>
                <w:color w:val="auto"/>
                <w:sz w:val="21"/>
                <w:szCs w:val="21"/>
                <w:highlight w:val="none"/>
              </w:rPr>
            </w:pPr>
          </w:p>
        </w:tc>
      </w:tr>
      <w:tr w14:paraId="234A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B592E03">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7B95D25E">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5D5A462C">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3FE1D750">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4CEB1582">
            <w:pPr>
              <w:spacing w:line="400" w:lineRule="exact"/>
              <w:ind w:firstLine="420" w:firstLineChars="200"/>
              <w:rPr>
                <w:rFonts w:hint="eastAsia" w:ascii="宋体" w:hAnsi="宋体" w:eastAsia="宋体" w:cs="宋体"/>
                <w:color w:val="auto"/>
                <w:sz w:val="21"/>
                <w:szCs w:val="21"/>
                <w:highlight w:val="none"/>
              </w:rPr>
            </w:pPr>
          </w:p>
        </w:tc>
      </w:tr>
      <w:tr w14:paraId="0A9E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7CA8B8">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1438713E">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33389EBE">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8623A7A">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41F47273">
            <w:pPr>
              <w:spacing w:line="400" w:lineRule="exact"/>
              <w:ind w:firstLine="420" w:firstLineChars="200"/>
              <w:rPr>
                <w:rFonts w:hint="eastAsia" w:ascii="宋体" w:hAnsi="宋体" w:eastAsia="宋体" w:cs="宋体"/>
                <w:color w:val="auto"/>
                <w:sz w:val="21"/>
                <w:szCs w:val="21"/>
                <w:highlight w:val="none"/>
              </w:rPr>
            </w:pPr>
          </w:p>
        </w:tc>
      </w:tr>
      <w:tr w14:paraId="01B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12D1FBEF">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1DE6678E">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2AC3A4C6">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68553E08">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4CA38D24">
            <w:pPr>
              <w:spacing w:line="400" w:lineRule="exact"/>
              <w:ind w:firstLine="420" w:firstLineChars="200"/>
              <w:rPr>
                <w:rFonts w:hint="eastAsia" w:ascii="宋体" w:hAnsi="宋体" w:eastAsia="宋体" w:cs="宋体"/>
                <w:color w:val="auto"/>
                <w:sz w:val="21"/>
                <w:szCs w:val="21"/>
                <w:highlight w:val="none"/>
              </w:rPr>
            </w:pPr>
          </w:p>
        </w:tc>
      </w:tr>
      <w:tr w14:paraId="342D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4789DC71">
            <w:pPr>
              <w:spacing w:line="400" w:lineRule="exact"/>
              <w:ind w:firstLine="420" w:firstLineChars="200"/>
              <w:rPr>
                <w:rFonts w:hint="eastAsia" w:ascii="宋体" w:hAnsi="宋体" w:eastAsia="宋体" w:cs="宋体"/>
                <w:color w:val="auto"/>
                <w:sz w:val="21"/>
                <w:szCs w:val="21"/>
                <w:highlight w:val="none"/>
              </w:rPr>
            </w:pPr>
          </w:p>
        </w:tc>
        <w:tc>
          <w:tcPr>
            <w:tcW w:w="1418" w:type="dxa"/>
            <w:vAlign w:val="center"/>
          </w:tcPr>
          <w:p w14:paraId="29B70383">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48D85ED3">
            <w:pPr>
              <w:spacing w:line="400" w:lineRule="exact"/>
              <w:ind w:firstLine="420" w:firstLineChars="200"/>
              <w:rPr>
                <w:rFonts w:hint="eastAsia" w:ascii="宋体" w:hAnsi="宋体" w:eastAsia="宋体" w:cs="宋体"/>
                <w:color w:val="auto"/>
                <w:sz w:val="21"/>
                <w:szCs w:val="21"/>
                <w:highlight w:val="none"/>
              </w:rPr>
            </w:pPr>
          </w:p>
        </w:tc>
        <w:tc>
          <w:tcPr>
            <w:tcW w:w="1134" w:type="dxa"/>
            <w:vAlign w:val="center"/>
          </w:tcPr>
          <w:p w14:paraId="04E4C3DD">
            <w:pPr>
              <w:spacing w:line="400" w:lineRule="exact"/>
              <w:ind w:firstLine="420" w:firstLineChars="200"/>
              <w:rPr>
                <w:rFonts w:hint="eastAsia" w:ascii="宋体" w:hAnsi="宋体" w:eastAsia="宋体" w:cs="宋体"/>
                <w:color w:val="auto"/>
                <w:sz w:val="21"/>
                <w:szCs w:val="21"/>
                <w:highlight w:val="none"/>
              </w:rPr>
            </w:pPr>
          </w:p>
        </w:tc>
        <w:tc>
          <w:tcPr>
            <w:tcW w:w="4252" w:type="dxa"/>
            <w:vAlign w:val="center"/>
          </w:tcPr>
          <w:p w14:paraId="65A2211C">
            <w:pPr>
              <w:spacing w:line="400" w:lineRule="exact"/>
              <w:ind w:firstLine="420" w:firstLineChars="200"/>
              <w:rPr>
                <w:rFonts w:hint="eastAsia" w:ascii="宋体" w:hAnsi="宋体" w:eastAsia="宋体" w:cs="宋体"/>
                <w:color w:val="auto"/>
                <w:sz w:val="21"/>
                <w:szCs w:val="21"/>
                <w:highlight w:val="none"/>
              </w:rPr>
            </w:pPr>
          </w:p>
        </w:tc>
      </w:tr>
    </w:tbl>
    <w:p w14:paraId="366B6468">
      <w:pPr>
        <w:spacing w:line="48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br w:type="page"/>
      </w:r>
      <w:bookmarkStart w:id="904" w:name="_Toc267261701"/>
      <w:r>
        <w:rPr>
          <w:rFonts w:hint="eastAsia" w:ascii="宋体" w:hAnsi="宋体" w:eastAsia="宋体" w:cs="宋体"/>
          <w:color w:val="auto"/>
          <w:sz w:val="21"/>
          <w:szCs w:val="21"/>
          <w:highlight w:val="none"/>
        </w:rPr>
        <w:t>附</w:t>
      </w:r>
      <w:bookmarkStart w:id="905" w:name="_Toc296944570"/>
      <w:bookmarkStart w:id="906" w:name="_Toc296891059"/>
      <w:bookmarkStart w:id="907" w:name="_Toc296891271"/>
      <w:bookmarkStart w:id="908" w:name="_Toc296346732"/>
      <w:bookmarkStart w:id="909" w:name="_Toc296347230"/>
      <w:bookmarkStart w:id="910" w:name="_Toc296503231"/>
      <w:r>
        <w:rPr>
          <w:rFonts w:hint="eastAsia" w:ascii="宋体" w:hAnsi="宋体" w:eastAsia="宋体" w:cs="宋体"/>
          <w:color w:val="auto"/>
          <w:sz w:val="21"/>
          <w:szCs w:val="21"/>
          <w:highlight w:val="none"/>
        </w:rPr>
        <w:t>件4：</w:t>
      </w:r>
      <w:r>
        <w:rPr>
          <w:rFonts w:hint="eastAsia" w:ascii="宋体" w:hAnsi="宋体" w:eastAsia="宋体" w:cs="宋体"/>
          <w:color w:val="auto"/>
          <w:sz w:val="21"/>
          <w:szCs w:val="21"/>
          <w:highlight w:val="none"/>
          <w:lang w:val="en-US" w:eastAsia="zh-CN"/>
        </w:rPr>
        <w:t>履约担保（如有）</w:t>
      </w:r>
    </w:p>
    <w:bookmarkEnd w:id="904"/>
    <w:bookmarkEnd w:id="905"/>
    <w:bookmarkEnd w:id="906"/>
    <w:bookmarkEnd w:id="907"/>
    <w:bookmarkEnd w:id="908"/>
    <w:bookmarkEnd w:id="909"/>
    <w:bookmarkEnd w:id="910"/>
    <w:p w14:paraId="36E37893">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645A558E">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68C2DE2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36FDA2C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03C5D7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67D6A1D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5FC657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39F04F2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45F7AEE">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6790A9EF">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58596F2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（以下简称“申请人”）就工程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32F02E9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43D31B2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A52FDC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起至合同约定的工期截止日后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656E639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646A2DF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0E94FB6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78D9B89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2C21B3E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0EA9FAA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B12745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08BB3C9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18BDA75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7C764C8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53644C9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5C70E6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22A607D4">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26CF3A16">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1767E3E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212C305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3F58923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27D305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AC8E8B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8A0353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4718CFF4">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62E842B0">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B2EC36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911" w:name="_Toc296503232"/>
      <w:bookmarkStart w:id="912" w:name="_Toc296891060"/>
      <w:bookmarkStart w:id="913" w:name="_Toc296891272"/>
      <w:bookmarkStart w:id="914" w:name="_Toc296346733"/>
      <w:bookmarkStart w:id="915" w:name="_Toc267261702"/>
      <w:bookmarkStart w:id="916" w:name="_Toc296944571"/>
      <w:bookmarkStart w:id="917" w:name="_Toc296347231"/>
      <w:r>
        <w:rPr>
          <w:rFonts w:hint="eastAsia" w:ascii="宋体" w:hAnsi="宋体" w:eastAsia="宋体" w:cs="宋体"/>
          <w:color w:val="auto"/>
          <w:sz w:val="21"/>
          <w:szCs w:val="21"/>
          <w:highlight w:val="none"/>
        </w:rPr>
        <w:t>件5：</w:t>
      </w:r>
    </w:p>
    <w:bookmarkEnd w:id="911"/>
    <w:bookmarkEnd w:id="912"/>
    <w:bookmarkEnd w:id="913"/>
    <w:bookmarkEnd w:id="914"/>
    <w:bookmarkEnd w:id="915"/>
    <w:bookmarkEnd w:id="916"/>
    <w:bookmarkEnd w:id="917"/>
    <w:p w14:paraId="538A07FF">
      <w:pPr>
        <w:spacing w:before="156" w:beforeLines="50" w:after="156" w:afterLines="5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预付款担保（如有）</w:t>
      </w:r>
    </w:p>
    <w:p w14:paraId="4F51B1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14:paraId="31DC15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62BFCE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CA72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14:paraId="737DC1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2DE36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14:paraId="5C45AB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769495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3F5AE4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0730E6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本保函自我方法定代表人（或其委托代理人）</w:t>
      </w:r>
      <w:r>
        <w:rPr>
          <w:rFonts w:hint="eastAsia" w:ascii="宋体" w:hAnsi="宋体" w:eastAsia="宋体" w:cs="宋体"/>
          <w:color w:val="auto"/>
          <w:sz w:val="21"/>
          <w:szCs w:val="21"/>
          <w:highlight w:val="none"/>
          <w:lang w:eastAsia="zh-CN"/>
        </w:rPr>
        <w:t>签名</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公章之日起生效。</w:t>
      </w:r>
    </w:p>
    <w:p w14:paraId="2CD1F66C">
      <w:pPr>
        <w:pStyle w:val="2"/>
        <w:spacing w:line="360" w:lineRule="auto"/>
        <w:ind w:firstLine="420" w:firstLineChars="200"/>
        <w:rPr>
          <w:rFonts w:hint="eastAsia" w:ascii="宋体" w:hAnsi="宋体" w:eastAsia="宋体" w:cs="宋体"/>
          <w:color w:val="auto"/>
          <w:sz w:val="21"/>
          <w:szCs w:val="21"/>
          <w:highlight w:val="none"/>
        </w:rPr>
      </w:pPr>
    </w:p>
    <w:p w14:paraId="5A79EC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14:paraId="30FD2A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签名</w:t>
      </w:r>
      <w:r>
        <w:rPr>
          <w:rFonts w:hint="eastAsia" w:ascii="宋体" w:hAnsi="宋体" w:eastAsia="宋体" w:cs="宋体"/>
          <w:color w:val="auto"/>
          <w:sz w:val="21"/>
          <w:szCs w:val="21"/>
          <w:highlight w:val="none"/>
        </w:rPr>
        <w:t>）</w:t>
      </w:r>
    </w:p>
    <w:p w14:paraId="12B6DB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D8E0E2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73F1B3D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815051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0AD8F446">
      <w:pPr>
        <w:spacing w:line="360" w:lineRule="auto"/>
        <w:ind w:firstLine="420" w:firstLineChars="200"/>
        <w:rPr>
          <w:rFonts w:hint="eastAsia" w:ascii="宋体" w:hAnsi="宋体" w:eastAsia="宋体" w:cs="宋体"/>
          <w:color w:val="auto"/>
          <w:sz w:val="21"/>
          <w:szCs w:val="21"/>
          <w:highlight w:val="none"/>
          <w:u w:val="single"/>
        </w:rPr>
      </w:pPr>
    </w:p>
    <w:p w14:paraId="1DB3DC42">
      <w:pPr>
        <w:spacing w:line="36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BF9D966">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918" w:name="_Toc296891061"/>
      <w:bookmarkStart w:id="919" w:name="_Toc296347232"/>
      <w:bookmarkStart w:id="920" w:name="_Toc296891273"/>
      <w:bookmarkStart w:id="921" w:name="_Toc296944572"/>
      <w:bookmarkStart w:id="922" w:name="_Toc296346734"/>
      <w:bookmarkStart w:id="923" w:name="_Toc296503233"/>
      <w:r>
        <w:rPr>
          <w:rFonts w:hint="eastAsia" w:ascii="宋体" w:hAnsi="宋体" w:eastAsia="宋体" w:cs="宋体"/>
          <w:color w:val="auto"/>
          <w:sz w:val="21"/>
          <w:szCs w:val="21"/>
          <w:highlight w:val="none"/>
        </w:rPr>
        <w:t>件6：</w:t>
      </w:r>
    </w:p>
    <w:bookmarkEnd w:id="918"/>
    <w:bookmarkEnd w:id="919"/>
    <w:bookmarkEnd w:id="920"/>
    <w:bookmarkEnd w:id="921"/>
    <w:bookmarkEnd w:id="922"/>
    <w:bookmarkEnd w:id="923"/>
    <w:p w14:paraId="7E20C1BA">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支付担保（如有）</w:t>
      </w:r>
    </w:p>
    <w:p w14:paraId="6B7596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774AC2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鉴于你方作为承包人已经与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15A19865">
      <w:pPr>
        <w:spacing w:line="360" w:lineRule="auto"/>
        <w:ind w:firstLine="420" w:firstLineChars="200"/>
        <w:rPr>
          <w:rFonts w:hint="eastAsia" w:ascii="宋体" w:hAnsi="宋体" w:eastAsia="宋体" w:cs="宋体"/>
          <w:color w:val="auto"/>
          <w:sz w:val="21"/>
          <w:szCs w:val="21"/>
          <w:highlight w:val="none"/>
        </w:rPr>
      </w:pPr>
      <w:bookmarkStart w:id="924" w:name="_Toc532375692"/>
      <w:r>
        <w:rPr>
          <w:rFonts w:hint="eastAsia" w:ascii="宋体" w:hAnsi="宋体" w:eastAsia="宋体" w:cs="宋体"/>
          <w:color w:val="auto"/>
          <w:sz w:val="21"/>
          <w:szCs w:val="21"/>
          <w:highlight w:val="none"/>
        </w:rPr>
        <w:t>一、保证的范围及保证金额</w:t>
      </w:r>
      <w:bookmarkEnd w:id="924"/>
    </w:p>
    <w:p w14:paraId="7D5054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14:paraId="1F087C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14:paraId="731533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8006FEA">
      <w:pPr>
        <w:spacing w:line="360" w:lineRule="auto"/>
        <w:ind w:firstLine="420" w:firstLineChars="200"/>
        <w:rPr>
          <w:rFonts w:hint="eastAsia" w:ascii="宋体" w:hAnsi="宋体" w:eastAsia="宋体" w:cs="宋体"/>
          <w:color w:val="auto"/>
          <w:sz w:val="21"/>
          <w:szCs w:val="21"/>
          <w:highlight w:val="none"/>
        </w:rPr>
      </w:pPr>
      <w:bookmarkStart w:id="925" w:name="_Toc532375693"/>
      <w:r>
        <w:rPr>
          <w:rFonts w:hint="eastAsia" w:ascii="宋体" w:hAnsi="宋体" w:eastAsia="宋体" w:cs="宋体"/>
          <w:color w:val="auto"/>
          <w:sz w:val="21"/>
          <w:szCs w:val="21"/>
          <w:highlight w:val="none"/>
        </w:rPr>
        <w:t>二、保证的方式及保证期间</w:t>
      </w:r>
      <w:bookmarkEnd w:id="925"/>
    </w:p>
    <w:p w14:paraId="19F0F2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14:paraId="22DE31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39326B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14:paraId="62D58055">
      <w:pPr>
        <w:spacing w:line="360" w:lineRule="auto"/>
        <w:ind w:firstLine="420" w:firstLineChars="200"/>
        <w:rPr>
          <w:rFonts w:hint="eastAsia" w:ascii="宋体" w:hAnsi="宋体" w:eastAsia="宋体" w:cs="宋体"/>
          <w:color w:val="auto"/>
          <w:sz w:val="21"/>
          <w:szCs w:val="21"/>
          <w:highlight w:val="none"/>
        </w:rPr>
      </w:pPr>
      <w:bookmarkStart w:id="926" w:name="_Toc532375694"/>
      <w:r>
        <w:rPr>
          <w:rFonts w:hint="eastAsia" w:ascii="宋体" w:hAnsi="宋体" w:eastAsia="宋体" w:cs="宋体"/>
          <w:color w:val="auto"/>
          <w:sz w:val="21"/>
          <w:szCs w:val="21"/>
          <w:highlight w:val="none"/>
        </w:rPr>
        <w:t>三、承担保证责任的形式</w:t>
      </w:r>
      <w:bookmarkEnd w:id="926"/>
    </w:p>
    <w:p w14:paraId="76D76E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14:paraId="0D06C0D4">
      <w:pPr>
        <w:spacing w:line="360" w:lineRule="auto"/>
        <w:ind w:firstLine="420" w:firstLineChars="200"/>
        <w:rPr>
          <w:rFonts w:hint="eastAsia" w:ascii="宋体" w:hAnsi="宋体" w:eastAsia="宋体" w:cs="宋体"/>
          <w:color w:val="auto"/>
          <w:sz w:val="21"/>
          <w:szCs w:val="21"/>
          <w:highlight w:val="none"/>
        </w:rPr>
      </w:pPr>
      <w:bookmarkStart w:id="927" w:name="_Toc532375695"/>
      <w:r>
        <w:rPr>
          <w:rFonts w:hint="eastAsia" w:ascii="宋体" w:hAnsi="宋体" w:eastAsia="宋体" w:cs="宋体"/>
          <w:color w:val="auto"/>
          <w:sz w:val="21"/>
          <w:szCs w:val="21"/>
          <w:highlight w:val="none"/>
        </w:rPr>
        <w:t>四、代偿的安排</w:t>
      </w:r>
      <w:bookmarkEnd w:id="927"/>
    </w:p>
    <w:p w14:paraId="7882D3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07F3E4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018A04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14:paraId="767D60A5">
      <w:pPr>
        <w:spacing w:line="360" w:lineRule="auto"/>
        <w:ind w:firstLine="420" w:firstLineChars="200"/>
        <w:rPr>
          <w:rFonts w:hint="eastAsia" w:ascii="宋体" w:hAnsi="宋体" w:eastAsia="宋体" w:cs="宋体"/>
          <w:color w:val="auto"/>
          <w:sz w:val="21"/>
          <w:szCs w:val="21"/>
          <w:highlight w:val="none"/>
        </w:rPr>
      </w:pPr>
      <w:bookmarkStart w:id="928" w:name="_Toc532375696"/>
      <w:r>
        <w:rPr>
          <w:rFonts w:hint="eastAsia" w:ascii="宋体" w:hAnsi="宋体" w:eastAsia="宋体" w:cs="宋体"/>
          <w:color w:val="auto"/>
          <w:sz w:val="21"/>
          <w:szCs w:val="21"/>
          <w:highlight w:val="none"/>
        </w:rPr>
        <w:t>五、保证责任的解除</w:t>
      </w:r>
      <w:bookmarkEnd w:id="928"/>
    </w:p>
    <w:p w14:paraId="30FF34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14:paraId="6B3F0A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14:paraId="33CA0C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461E19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14:paraId="026573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  个工作日内，将本保函原件返还我方。</w:t>
      </w:r>
    </w:p>
    <w:p w14:paraId="4EDB9FA3">
      <w:pPr>
        <w:spacing w:line="360" w:lineRule="auto"/>
        <w:ind w:firstLine="420" w:firstLineChars="200"/>
        <w:rPr>
          <w:rFonts w:hint="eastAsia" w:ascii="宋体" w:hAnsi="宋体" w:eastAsia="宋体" w:cs="宋体"/>
          <w:color w:val="auto"/>
          <w:sz w:val="21"/>
          <w:szCs w:val="21"/>
          <w:highlight w:val="none"/>
        </w:rPr>
      </w:pPr>
      <w:bookmarkStart w:id="929" w:name="_Toc532375697"/>
      <w:r>
        <w:rPr>
          <w:rFonts w:hint="eastAsia" w:ascii="宋体" w:hAnsi="宋体" w:eastAsia="宋体" w:cs="宋体"/>
          <w:color w:val="auto"/>
          <w:sz w:val="21"/>
          <w:szCs w:val="21"/>
          <w:highlight w:val="none"/>
        </w:rPr>
        <w:t>六、免责条款</w:t>
      </w:r>
      <w:bookmarkEnd w:id="929"/>
    </w:p>
    <w:p w14:paraId="1B1EB6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14:paraId="4C8C2B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14:paraId="3E458B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331E5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14:paraId="156C4DEE">
      <w:pPr>
        <w:spacing w:line="360" w:lineRule="auto"/>
        <w:ind w:firstLine="420" w:firstLineChars="200"/>
        <w:rPr>
          <w:rFonts w:hint="eastAsia" w:ascii="宋体" w:hAnsi="宋体" w:eastAsia="宋体" w:cs="宋体"/>
          <w:color w:val="auto"/>
          <w:sz w:val="21"/>
          <w:szCs w:val="21"/>
          <w:highlight w:val="none"/>
        </w:rPr>
      </w:pPr>
      <w:bookmarkStart w:id="930" w:name="_Toc532375698"/>
      <w:r>
        <w:rPr>
          <w:rFonts w:hint="eastAsia" w:ascii="宋体" w:hAnsi="宋体" w:eastAsia="宋体" w:cs="宋体"/>
          <w:color w:val="auto"/>
          <w:sz w:val="21"/>
          <w:szCs w:val="21"/>
          <w:highlight w:val="none"/>
        </w:rPr>
        <w:t>七、争议解决</w:t>
      </w:r>
      <w:bookmarkEnd w:id="930"/>
    </w:p>
    <w:p w14:paraId="3F3084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5D680B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0215C2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0BDC0DAE">
      <w:pPr>
        <w:spacing w:line="360" w:lineRule="auto"/>
        <w:ind w:firstLine="420" w:firstLineChars="200"/>
        <w:rPr>
          <w:rFonts w:hint="eastAsia" w:ascii="宋体" w:hAnsi="宋体" w:eastAsia="宋体" w:cs="宋体"/>
          <w:color w:val="auto"/>
          <w:sz w:val="21"/>
          <w:szCs w:val="21"/>
          <w:highlight w:val="none"/>
        </w:rPr>
      </w:pPr>
      <w:bookmarkStart w:id="931" w:name="_Toc532375699"/>
      <w:r>
        <w:rPr>
          <w:rFonts w:hint="eastAsia" w:ascii="宋体" w:hAnsi="宋体" w:eastAsia="宋体" w:cs="宋体"/>
          <w:color w:val="auto"/>
          <w:sz w:val="21"/>
          <w:szCs w:val="21"/>
          <w:highlight w:val="none"/>
        </w:rPr>
        <w:t>八、保函的生效</w:t>
      </w:r>
      <w:bookmarkEnd w:id="931"/>
    </w:p>
    <w:p w14:paraId="34F96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本保函自我方法定代表人（或其委托代理人）</w:t>
      </w:r>
      <w:r>
        <w:rPr>
          <w:rFonts w:hint="eastAsia" w:ascii="宋体" w:hAnsi="宋体" w:eastAsia="宋体" w:cs="宋体"/>
          <w:color w:val="auto"/>
          <w:sz w:val="21"/>
          <w:szCs w:val="21"/>
          <w:highlight w:val="none"/>
          <w:lang w:eastAsia="zh-CN"/>
        </w:rPr>
        <w:t>签名</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公章之日起生效。</w:t>
      </w:r>
    </w:p>
    <w:p w14:paraId="1AE85114">
      <w:pPr>
        <w:spacing w:line="360" w:lineRule="auto"/>
        <w:ind w:firstLine="420" w:firstLineChars="200"/>
        <w:jc w:val="left"/>
        <w:rPr>
          <w:rFonts w:hint="eastAsia" w:ascii="宋体" w:hAnsi="宋体" w:eastAsia="宋体" w:cs="宋体"/>
          <w:color w:val="auto"/>
          <w:sz w:val="21"/>
          <w:szCs w:val="21"/>
          <w:highlight w:val="none"/>
        </w:rPr>
      </w:pPr>
    </w:p>
    <w:p w14:paraId="644950C1">
      <w:pPr>
        <w:spacing w:line="360" w:lineRule="auto"/>
        <w:ind w:firstLine="420" w:firstLineChars="200"/>
        <w:jc w:val="left"/>
        <w:rPr>
          <w:rFonts w:hint="eastAsia" w:ascii="宋体" w:hAnsi="宋体" w:eastAsia="宋体" w:cs="宋体"/>
          <w:color w:val="auto"/>
          <w:sz w:val="21"/>
          <w:szCs w:val="21"/>
          <w:highlight w:val="none"/>
        </w:rPr>
      </w:pPr>
    </w:p>
    <w:p w14:paraId="23F88CE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val="en-US" w:eastAsia="zh-CN"/>
        </w:rPr>
        <w:t>单位公</w:t>
      </w:r>
      <w:r>
        <w:rPr>
          <w:rFonts w:hint="eastAsia" w:ascii="宋体" w:hAnsi="宋体" w:eastAsia="宋体" w:cs="宋体"/>
          <w:color w:val="auto"/>
          <w:sz w:val="21"/>
          <w:szCs w:val="21"/>
          <w:highlight w:val="none"/>
        </w:rPr>
        <w:t>章）</w:t>
      </w:r>
    </w:p>
    <w:p w14:paraId="7B6EC2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签名</w:t>
      </w:r>
      <w:r>
        <w:rPr>
          <w:rFonts w:hint="eastAsia" w:ascii="宋体" w:hAnsi="宋体" w:eastAsia="宋体" w:cs="宋体"/>
          <w:color w:val="auto"/>
          <w:sz w:val="21"/>
          <w:szCs w:val="21"/>
          <w:highlight w:val="none"/>
        </w:rPr>
        <w:t>）</w:t>
      </w:r>
    </w:p>
    <w:p w14:paraId="5002376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232110E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27CA18E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73D5FF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2C61F9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br w:type="page"/>
      </w:r>
    </w:p>
    <w:p w14:paraId="0FECDBB0">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w:t>
      </w:r>
    </w:p>
    <w:p w14:paraId="2FD70FAA">
      <w:pPr>
        <w:spacing w:before="156" w:beforeLines="50" w:after="156" w:afterLines="5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专业工程暂估价表</w:t>
      </w:r>
    </w:p>
    <w:tbl>
      <w:tblPr>
        <w:tblStyle w:val="2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66BF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FC4F01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tcPr>
          <w:p w14:paraId="7E7DFF8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专业工程名称</w:t>
            </w:r>
          </w:p>
        </w:tc>
        <w:tc>
          <w:tcPr>
            <w:tcW w:w="5103" w:type="dxa"/>
          </w:tcPr>
          <w:p w14:paraId="7E9A26D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工程内容</w:t>
            </w:r>
          </w:p>
        </w:tc>
        <w:tc>
          <w:tcPr>
            <w:tcW w:w="1560" w:type="dxa"/>
          </w:tcPr>
          <w:p w14:paraId="0D0DDD1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r>
      <w:tr w14:paraId="5AAA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66497F8">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07C7B633">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7B67EF2F">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7C4DD17E">
            <w:pPr>
              <w:spacing w:line="400" w:lineRule="exact"/>
              <w:ind w:firstLine="420" w:firstLineChars="200"/>
              <w:rPr>
                <w:rFonts w:hint="eastAsia" w:ascii="宋体" w:hAnsi="宋体" w:eastAsia="宋体" w:cs="宋体"/>
                <w:color w:val="auto"/>
                <w:sz w:val="21"/>
                <w:szCs w:val="21"/>
                <w:highlight w:val="none"/>
              </w:rPr>
            </w:pPr>
          </w:p>
        </w:tc>
      </w:tr>
      <w:tr w14:paraId="085C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0B7CA2D">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3ED02A38">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12B9477E">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2D840C36">
            <w:pPr>
              <w:spacing w:line="400" w:lineRule="exact"/>
              <w:ind w:firstLine="420" w:firstLineChars="200"/>
              <w:rPr>
                <w:rFonts w:hint="eastAsia" w:ascii="宋体" w:hAnsi="宋体" w:eastAsia="宋体" w:cs="宋体"/>
                <w:color w:val="auto"/>
                <w:sz w:val="21"/>
                <w:szCs w:val="21"/>
                <w:highlight w:val="none"/>
              </w:rPr>
            </w:pPr>
          </w:p>
        </w:tc>
      </w:tr>
      <w:tr w14:paraId="5059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AE46E24">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572397C0">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1BA77524">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2C2FAF11">
            <w:pPr>
              <w:spacing w:line="400" w:lineRule="exact"/>
              <w:ind w:firstLine="420" w:firstLineChars="200"/>
              <w:rPr>
                <w:rFonts w:hint="eastAsia" w:ascii="宋体" w:hAnsi="宋体" w:eastAsia="宋体" w:cs="宋体"/>
                <w:color w:val="auto"/>
                <w:sz w:val="21"/>
                <w:szCs w:val="21"/>
                <w:highlight w:val="none"/>
              </w:rPr>
            </w:pPr>
          </w:p>
        </w:tc>
      </w:tr>
      <w:tr w14:paraId="38D6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1EA47B2">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54B3E99F">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2EC02693">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0C514F80">
            <w:pPr>
              <w:spacing w:line="400" w:lineRule="exact"/>
              <w:ind w:firstLine="420" w:firstLineChars="200"/>
              <w:rPr>
                <w:rFonts w:hint="eastAsia" w:ascii="宋体" w:hAnsi="宋体" w:eastAsia="宋体" w:cs="宋体"/>
                <w:color w:val="auto"/>
                <w:sz w:val="21"/>
                <w:szCs w:val="21"/>
                <w:highlight w:val="none"/>
              </w:rPr>
            </w:pPr>
          </w:p>
        </w:tc>
      </w:tr>
      <w:tr w14:paraId="1742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23894D8">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15CD3A29">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133417F8">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558EB682">
            <w:pPr>
              <w:spacing w:line="400" w:lineRule="exact"/>
              <w:ind w:firstLine="420" w:firstLineChars="200"/>
              <w:rPr>
                <w:rFonts w:hint="eastAsia" w:ascii="宋体" w:hAnsi="宋体" w:eastAsia="宋体" w:cs="宋体"/>
                <w:color w:val="auto"/>
                <w:sz w:val="21"/>
                <w:szCs w:val="21"/>
                <w:highlight w:val="none"/>
              </w:rPr>
            </w:pPr>
          </w:p>
        </w:tc>
      </w:tr>
      <w:tr w14:paraId="1BEF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E0D32E0">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495DA896">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6A0C3D46">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100791D9">
            <w:pPr>
              <w:spacing w:line="400" w:lineRule="exact"/>
              <w:ind w:firstLine="420" w:firstLineChars="200"/>
              <w:rPr>
                <w:rFonts w:hint="eastAsia" w:ascii="宋体" w:hAnsi="宋体" w:eastAsia="宋体" w:cs="宋体"/>
                <w:color w:val="auto"/>
                <w:sz w:val="21"/>
                <w:szCs w:val="21"/>
                <w:highlight w:val="none"/>
              </w:rPr>
            </w:pPr>
          </w:p>
        </w:tc>
      </w:tr>
      <w:tr w14:paraId="0966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0B89279">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18FCD3CE">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40D6EBB0">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45D10B51">
            <w:pPr>
              <w:spacing w:line="400" w:lineRule="exact"/>
              <w:ind w:firstLine="420" w:firstLineChars="200"/>
              <w:rPr>
                <w:rFonts w:hint="eastAsia" w:ascii="宋体" w:hAnsi="宋体" w:eastAsia="宋体" w:cs="宋体"/>
                <w:color w:val="auto"/>
                <w:sz w:val="21"/>
                <w:szCs w:val="21"/>
                <w:highlight w:val="none"/>
              </w:rPr>
            </w:pPr>
          </w:p>
        </w:tc>
      </w:tr>
      <w:tr w14:paraId="3A44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620D85E">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636AD3ED">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6AC5065A">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4584E22E">
            <w:pPr>
              <w:spacing w:line="400" w:lineRule="exact"/>
              <w:ind w:firstLine="420" w:firstLineChars="200"/>
              <w:rPr>
                <w:rFonts w:hint="eastAsia" w:ascii="宋体" w:hAnsi="宋体" w:eastAsia="宋体" w:cs="宋体"/>
                <w:color w:val="auto"/>
                <w:sz w:val="21"/>
                <w:szCs w:val="21"/>
                <w:highlight w:val="none"/>
              </w:rPr>
            </w:pPr>
          </w:p>
        </w:tc>
      </w:tr>
      <w:tr w14:paraId="6520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0D9328">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2C937865">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5B7856CA">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3BA66249">
            <w:pPr>
              <w:spacing w:line="400" w:lineRule="exact"/>
              <w:ind w:firstLine="420" w:firstLineChars="200"/>
              <w:rPr>
                <w:rFonts w:hint="eastAsia" w:ascii="宋体" w:hAnsi="宋体" w:eastAsia="宋体" w:cs="宋体"/>
                <w:color w:val="auto"/>
                <w:sz w:val="21"/>
                <w:szCs w:val="21"/>
                <w:highlight w:val="none"/>
              </w:rPr>
            </w:pPr>
          </w:p>
        </w:tc>
      </w:tr>
      <w:tr w14:paraId="598F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9A475F1">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13DFD459">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0A381E32">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2AB459E1">
            <w:pPr>
              <w:spacing w:line="400" w:lineRule="exact"/>
              <w:ind w:firstLine="420" w:firstLineChars="200"/>
              <w:rPr>
                <w:rFonts w:hint="eastAsia" w:ascii="宋体" w:hAnsi="宋体" w:eastAsia="宋体" w:cs="宋体"/>
                <w:color w:val="auto"/>
                <w:sz w:val="21"/>
                <w:szCs w:val="21"/>
                <w:highlight w:val="none"/>
              </w:rPr>
            </w:pPr>
          </w:p>
        </w:tc>
      </w:tr>
      <w:tr w14:paraId="795F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6C3A158">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6FFA9AD4">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438B71B2">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5CF4946C">
            <w:pPr>
              <w:spacing w:line="400" w:lineRule="exact"/>
              <w:ind w:firstLine="420" w:firstLineChars="200"/>
              <w:rPr>
                <w:rFonts w:hint="eastAsia" w:ascii="宋体" w:hAnsi="宋体" w:eastAsia="宋体" w:cs="宋体"/>
                <w:color w:val="auto"/>
                <w:sz w:val="21"/>
                <w:szCs w:val="21"/>
                <w:highlight w:val="none"/>
              </w:rPr>
            </w:pPr>
          </w:p>
        </w:tc>
      </w:tr>
      <w:tr w14:paraId="38A9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AF8F71A">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700C3CCA">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20A3D44E">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59001775">
            <w:pPr>
              <w:spacing w:line="400" w:lineRule="exact"/>
              <w:ind w:firstLine="420" w:firstLineChars="200"/>
              <w:rPr>
                <w:rFonts w:hint="eastAsia" w:ascii="宋体" w:hAnsi="宋体" w:eastAsia="宋体" w:cs="宋体"/>
                <w:color w:val="auto"/>
                <w:sz w:val="21"/>
                <w:szCs w:val="21"/>
                <w:highlight w:val="none"/>
              </w:rPr>
            </w:pPr>
          </w:p>
        </w:tc>
      </w:tr>
      <w:tr w14:paraId="2343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0442731">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3EAD9297">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1ADECC42">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232644B5">
            <w:pPr>
              <w:spacing w:line="400" w:lineRule="exact"/>
              <w:ind w:firstLine="420" w:firstLineChars="200"/>
              <w:rPr>
                <w:rFonts w:hint="eastAsia" w:ascii="宋体" w:hAnsi="宋体" w:eastAsia="宋体" w:cs="宋体"/>
                <w:color w:val="auto"/>
                <w:sz w:val="21"/>
                <w:szCs w:val="21"/>
                <w:highlight w:val="none"/>
              </w:rPr>
            </w:pPr>
          </w:p>
        </w:tc>
      </w:tr>
      <w:tr w14:paraId="3F95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8CCF063">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7015BA74">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3962740C">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7062948F">
            <w:pPr>
              <w:spacing w:line="400" w:lineRule="exact"/>
              <w:ind w:firstLine="420" w:firstLineChars="200"/>
              <w:rPr>
                <w:rFonts w:hint="eastAsia" w:ascii="宋体" w:hAnsi="宋体" w:eastAsia="宋体" w:cs="宋体"/>
                <w:color w:val="auto"/>
                <w:sz w:val="21"/>
                <w:szCs w:val="21"/>
                <w:highlight w:val="none"/>
              </w:rPr>
            </w:pPr>
          </w:p>
        </w:tc>
      </w:tr>
      <w:tr w14:paraId="1CBE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11965E3">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1CCFB97A">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4A7984B9">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7B99C179">
            <w:pPr>
              <w:spacing w:line="400" w:lineRule="exact"/>
              <w:ind w:firstLine="420" w:firstLineChars="200"/>
              <w:rPr>
                <w:rFonts w:hint="eastAsia" w:ascii="宋体" w:hAnsi="宋体" w:eastAsia="宋体" w:cs="宋体"/>
                <w:color w:val="auto"/>
                <w:sz w:val="21"/>
                <w:szCs w:val="21"/>
                <w:highlight w:val="none"/>
              </w:rPr>
            </w:pPr>
          </w:p>
        </w:tc>
      </w:tr>
      <w:tr w14:paraId="6903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9B1B5FB">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41CC684E">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04176FEA">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0224C6EE">
            <w:pPr>
              <w:spacing w:line="400" w:lineRule="exact"/>
              <w:ind w:firstLine="420" w:firstLineChars="200"/>
              <w:rPr>
                <w:rFonts w:hint="eastAsia" w:ascii="宋体" w:hAnsi="宋体" w:eastAsia="宋体" w:cs="宋体"/>
                <w:color w:val="auto"/>
                <w:sz w:val="21"/>
                <w:szCs w:val="21"/>
                <w:highlight w:val="none"/>
              </w:rPr>
            </w:pPr>
          </w:p>
        </w:tc>
      </w:tr>
      <w:tr w14:paraId="5136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C11B190">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16445F5F">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367A03D3">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514E600F">
            <w:pPr>
              <w:spacing w:line="400" w:lineRule="exact"/>
              <w:ind w:firstLine="420" w:firstLineChars="200"/>
              <w:rPr>
                <w:rFonts w:hint="eastAsia" w:ascii="宋体" w:hAnsi="宋体" w:eastAsia="宋体" w:cs="宋体"/>
                <w:color w:val="auto"/>
                <w:sz w:val="21"/>
                <w:szCs w:val="21"/>
                <w:highlight w:val="none"/>
              </w:rPr>
            </w:pPr>
          </w:p>
        </w:tc>
      </w:tr>
      <w:tr w14:paraId="64AC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6574E00">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7F8FA471">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7B023CDE">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51E08F4E">
            <w:pPr>
              <w:spacing w:line="400" w:lineRule="exact"/>
              <w:ind w:firstLine="420" w:firstLineChars="200"/>
              <w:rPr>
                <w:rFonts w:hint="eastAsia" w:ascii="宋体" w:hAnsi="宋体" w:eastAsia="宋体" w:cs="宋体"/>
                <w:color w:val="auto"/>
                <w:sz w:val="21"/>
                <w:szCs w:val="21"/>
                <w:highlight w:val="none"/>
              </w:rPr>
            </w:pPr>
          </w:p>
        </w:tc>
      </w:tr>
      <w:tr w14:paraId="2000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86CF222">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3A600B68">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5DBA0BEC">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5F7E60CD">
            <w:pPr>
              <w:spacing w:line="400" w:lineRule="exact"/>
              <w:ind w:firstLine="420" w:firstLineChars="200"/>
              <w:rPr>
                <w:rFonts w:hint="eastAsia" w:ascii="宋体" w:hAnsi="宋体" w:eastAsia="宋体" w:cs="宋体"/>
                <w:color w:val="auto"/>
                <w:sz w:val="21"/>
                <w:szCs w:val="21"/>
                <w:highlight w:val="none"/>
              </w:rPr>
            </w:pPr>
          </w:p>
        </w:tc>
      </w:tr>
      <w:tr w14:paraId="74D3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E788FC7">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173764E9">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0B730A51">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778A6D58">
            <w:pPr>
              <w:spacing w:line="400" w:lineRule="exact"/>
              <w:ind w:firstLine="420" w:firstLineChars="200"/>
              <w:rPr>
                <w:rFonts w:hint="eastAsia" w:ascii="宋体" w:hAnsi="宋体" w:eastAsia="宋体" w:cs="宋体"/>
                <w:color w:val="auto"/>
                <w:sz w:val="21"/>
                <w:szCs w:val="21"/>
                <w:highlight w:val="none"/>
              </w:rPr>
            </w:pPr>
          </w:p>
        </w:tc>
      </w:tr>
      <w:tr w14:paraId="4246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0E6C67E">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2B58DFF4">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0930C381">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1D794BA0">
            <w:pPr>
              <w:spacing w:line="400" w:lineRule="exact"/>
              <w:ind w:firstLine="420" w:firstLineChars="200"/>
              <w:rPr>
                <w:rFonts w:hint="eastAsia" w:ascii="宋体" w:hAnsi="宋体" w:eastAsia="宋体" w:cs="宋体"/>
                <w:color w:val="auto"/>
                <w:sz w:val="21"/>
                <w:szCs w:val="21"/>
                <w:highlight w:val="none"/>
              </w:rPr>
            </w:pPr>
          </w:p>
        </w:tc>
      </w:tr>
      <w:tr w14:paraId="29F7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DD6540B">
            <w:pPr>
              <w:spacing w:line="400" w:lineRule="exact"/>
              <w:ind w:firstLine="420" w:firstLineChars="200"/>
              <w:rPr>
                <w:rFonts w:hint="eastAsia" w:ascii="宋体" w:hAnsi="宋体" w:eastAsia="宋体" w:cs="宋体"/>
                <w:color w:val="auto"/>
                <w:sz w:val="21"/>
                <w:szCs w:val="21"/>
                <w:highlight w:val="none"/>
              </w:rPr>
            </w:pPr>
          </w:p>
        </w:tc>
        <w:tc>
          <w:tcPr>
            <w:tcW w:w="1984" w:type="dxa"/>
          </w:tcPr>
          <w:p w14:paraId="2FCF6F8D">
            <w:pPr>
              <w:spacing w:line="400" w:lineRule="exact"/>
              <w:ind w:firstLine="420" w:firstLineChars="200"/>
              <w:rPr>
                <w:rFonts w:hint="eastAsia" w:ascii="宋体" w:hAnsi="宋体" w:eastAsia="宋体" w:cs="宋体"/>
                <w:color w:val="auto"/>
                <w:sz w:val="21"/>
                <w:szCs w:val="21"/>
                <w:highlight w:val="none"/>
              </w:rPr>
            </w:pPr>
          </w:p>
        </w:tc>
        <w:tc>
          <w:tcPr>
            <w:tcW w:w="5103" w:type="dxa"/>
          </w:tcPr>
          <w:p w14:paraId="455A7E42">
            <w:pPr>
              <w:spacing w:line="400" w:lineRule="exact"/>
              <w:ind w:firstLine="420" w:firstLineChars="200"/>
              <w:rPr>
                <w:rFonts w:hint="eastAsia" w:ascii="宋体" w:hAnsi="宋体" w:eastAsia="宋体" w:cs="宋体"/>
                <w:color w:val="auto"/>
                <w:sz w:val="21"/>
                <w:szCs w:val="21"/>
                <w:highlight w:val="none"/>
              </w:rPr>
            </w:pPr>
          </w:p>
        </w:tc>
        <w:tc>
          <w:tcPr>
            <w:tcW w:w="1560" w:type="dxa"/>
          </w:tcPr>
          <w:p w14:paraId="003D4732">
            <w:pPr>
              <w:spacing w:line="400" w:lineRule="exact"/>
              <w:ind w:firstLine="420" w:firstLineChars="200"/>
              <w:rPr>
                <w:rFonts w:hint="eastAsia" w:ascii="宋体" w:hAnsi="宋体" w:eastAsia="宋体" w:cs="宋体"/>
                <w:color w:val="auto"/>
                <w:sz w:val="21"/>
                <w:szCs w:val="21"/>
                <w:highlight w:val="none"/>
              </w:rPr>
            </w:pPr>
          </w:p>
        </w:tc>
      </w:tr>
      <w:tr w14:paraId="4552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2FC112F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r>
    </w:tbl>
    <w:p w14:paraId="565A6619">
      <w:pPr>
        <w:spacing w:line="360" w:lineRule="auto"/>
        <w:ind w:firstLine="420" w:firstLineChars="200"/>
        <w:rPr>
          <w:rFonts w:hint="eastAsia" w:ascii="宋体" w:hAnsi="宋体" w:eastAsia="宋体" w:cs="宋体"/>
          <w:color w:val="auto"/>
          <w:sz w:val="21"/>
          <w:szCs w:val="21"/>
          <w:highlight w:val="none"/>
        </w:rPr>
      </w:pPr>
    </w:p>
    <w:p w14:paraId="4F1C63E7">
      <w:pPr>
        <w:pStyle w:val="2"/>
        <w:spacing w:line="360" w:lineRule="auto"/>
        <w:rPr>
          <w:rFonts w:hint="eastAsia" w:ascii="宋体" w:hAnsi="宋体" w:eastAsia="宋体" w:cs="宋体"/>
          <w:color w:val="auto"/>
          <w:sz w:val="21"/>
          <w:szCs w:val="21"/>
          <w:highlight w:val="none"/>
        </w:rPr>
      </w:pPr>
    </w:p>
    <w:p w14:paraId="15C28B72">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578AF7A">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w:t>
      </w:r>
    </w:p>
    <w:p w14:paraId="63942683">
      <w:pPr>
        <w:spacing w:before="156" w:beforeLines="50" w:after="156" w:afterLines="5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廉洁从业协议</w:t>
      </w:r>
    </w:p>
    <w:p w14:paraId="6D011D50">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color w:val="auto"/>
          <w:sz w:val="21"/>
          <w:szCs w:val="21"/>
          <w:highlight w:val="none"/>
          <w:u w:val="single"/>
        </w:rPr>
        <w:t xml:space="preserve">                             </w:t>
      </w:r>
    </w:p>
    <w:p w14:paraId="681ECCC7">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color w:val="auto"/>
          <w:sz w:val="21"/>
          <w:szCs w:val="21"/>
          <w:highlight w:val="none"/>
          <w:u w:val="single"/>
        </w:rPr>
        <w:t xml:space="preserve">                             </w:t>
      </w:r>
    </w:p>
    <w:p w14:paraId="4D383D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341F94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 发包人承包人的权利和义务</w:t>
      </w:r>
    </w:p>
    <w:p w14:paraId="1FB0CD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（1）严格遵守党的政策规定和国家有关法律法规及相关部门的有关规定。</w:t>
      </w:r>
    </w:p>
    <w:p w14:paraId="28DD0C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（2）严格执行 工程的合同文件，自觉按合同办事。</w:t>
      </w:r>
    </w:p>
    <w:p w14:paraId="58C285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（3）双方的业务活动坚持公开、公正、诚信、透明的原则（法律认定的商业秘密和合同文件另有规定除外），不得损害国家和集体利益，违反工程建设管理规章制度。</w:t>
      </w:r>
    </w:p>
    <w:p w14:paraId="781C7A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2AE347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198A58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（6）发现对方严重违反协议义务条款的行为，有向其上级有关部门举报、建议给予处理并要求告知处理结果的权利。</w:t>
      </w:r>
    </w:p>
    <w:p w14:paraId="1980AB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发包人的义务</w:t>
      </w:r>
    </w:p>
    <w:p w14:paraId="7F09BE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（1）发包人及其工作人员不得索要或接受承包人的礼金、有价证券和贵重物品，不得在承包人报销任何应由发包人或发包人工作人员个人支付的费用等。</w:t>
      </w:r>
    </w:p>
    <w:p w14:paraId="4E3408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6240E4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6E13B7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4B325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（5）发包人及其工作人员不得以任何理由向承包人推荐分包单位或推销材料，不得要求承包人购买合同规定外的材料和设备。</w:t>
      </w:r>
    </w:p>
    <w:p w14:paraId="792ACE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607C85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承包人义务</w:t>
      </w:r>
    </w:p>
    <w:p w14:paraId="6AFC1B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（1）承包人不得以任何理由向发包人及其工作人员行贿或馈赠礼金、有价证券、贵重礼品。</w:t>
      </w:r>
    </w:p>
    <w:p w14:paraId="0BE0E5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（2）承包人不得以任何名义为发包人及其工作人员报销应由发包人单位或个人支付的任何费用。</w:t>
      </w:r>
    </w:p>
    <w:p w14:paraId="7228A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（3）承包人不得以任何理由安排发包人工作人员参加超标准宴请及娱乐活动。</w:t>
      </w:r>
    </w:p>
    <w:p w14:paraId="0882ED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（4）承包人不得为发包人单位和个人购置或提供通讯工具、交通工具和高档办公用品等。</w:t>
      </w:r>
    </w:p>
    <w:p w14:paraId="070A79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违约责任</w:t>
      </w:r>
    </w:p>
    <w:p w14:paraId="1C6581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41248C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（2）承包人及其工作人员违反合同第1、3条，按管理权限，依据有关规定给予党纪、政纪或组织处理；给发包人单位造成经济损失的，应予以赔偿。</w:t>
      </w:r>
    </w:p>
    <w:p w14:paraId="2479FA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1A0DF1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协议有效期为甲乙双方签署之日起至该工程项目竣工验收后止。</w:t>
      </w:r>
    </w:p>
    <w:p w14:paraId="112CDF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7.协议作为 工程施工合同的附件，与工程施工合同具有同等的法律效力，经合同双方签署立即生效。</w:t>
      </w:r>
    </w:p>
    <w:p w14:paraId="54F97C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7DCC5EE4">
      <w:pPr>
        <w:spacing w:line="360" w:lineRule="auto"/>
        <w:rPr>
          <w:rFonts w:hint="eastAsia" w:ascii="宋体" w:hAnsi="宋体" w:eastAsia="宋体" w:cs="宋体"/>
          <w:color w:val="auto"/>
          <w:sz w:val="21"/>
          <w:szCs w:val="21"/>
          <w:highlight w:val="none"/>
        </w:rPr>
      </w:pPr>
    </w:p>
    <w:p w14:paraId="2B28126F">
      <w:pPr>
        <w:pStyle w:val="2"/>
        <w:spacing w:line="360" w:lineRule="auto"/>
        <w:rPr>
          <w:rFonts w:hint="eastAsia" w:ascii="宋体" w:hAnsi="宋体" w:eastAsia="宋体" w:cs="宋体"/>
          <w:color w:val="auto"/>
          <w:sz w:val="21"/>
          <w:szCs w:val="21"/>
          <w:highlight w:val="none"/>
        </w:rPr>
      </w:pPr>
    </w:p>
    <w:p w14:paraId="6958E8FB">
      <w:pPr>
        <w:pStyle w:val="2"/>
        <w:spacing w:line="360" w:lineRule="auto"/>
        <w:rPr>
          <w:rFonts w:hint="eastAsia" w:ascii="宋体" w:hAnsi="宋体" w:eastAsia="宋体" w:cs="宋体"/>
          <w:color w:val="auto"/>
          <w:sz w:val="21"/>
          <w:szCs w:val="21"/>
          <w:highlight w:val="none"/>
        </w:rPr>
      </w:pPr>
    </w:p>
    <w:p w14:paraId="4A2AE7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                         乙     方：</w:t>
      </w:r>
    </w:p>
    <w:p w14:paraId="6E0AC3CF">
      <w:pPr>
        <w:spacing w:line="360" w:lineRule="auto"/>
        <w:rPr>
          <w:rFonts w:hint="eastAsia" w:ascii="宋体" w:hAnsi="宋体" w:eastAsia="宋体" w:cs="宋体"/>
          <w:color w:val="auto"/>
          <w:sz w:val="21"/>
          <w:szCs w:val="21"/>
          <w:highlight w:val="none"/>
        </w:rPr>
      </w:pPr>
    </w:p>
    <w:p w14:paraId="13A8F5E5">
      <w:pPr>
        <w:spacing w:line="360" w:lineRule="auto"/>
        <w:rPr>
          <w:rFonts w:hint="eastAsia" w:ascii="宋体" w:hAnsi="宋体" w:eastAsia="宋体" w:cs="宋体"/>
          <w:color w:val="auto"/>
          <w:sz w:val="21"/>
          <w:szCs w:val="21"/>
          <w:highlight w:val="none"/>
        </w:rPr>
      </w:pPr>
    </w:p>
    <w:p w14:paraId="2BA54F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14:paraId="664D2CCA">
      <w:pPr>
        <w:spacing w:line="360" w:lineRule="auto"/>
        <w:rPr>
          <w:rFonts w:hint="eastAsia" w:ascii="宋体" w:hAnsi="宋体" w:eastAsia="宋体" w:cs="宋体"/>
          <w:color w:val="auto"/>
          <w:sz w:val="21"/>
          <w:szCs w:val="21"/>
          <w:highlight w:val="none"/>
        </w:rPr>
      </w:pPr>
    </w:p>
    <w:p w14:paraId="7653997A">
      <w:pPr>
        <w:spacing w:line="360" w:lineRule="auto"/>
        <w:rPr>
          <w:rFonts w:hint="eastAsia" w:ascii="宋体" w:hAnsi="宋体" w:eastAsia="宋体" w:cs="宋体"/>
          <w:color w:val="auto"/>
          <w:sz w:val="21"/>
          <w:szCs w:val="21"/>
          <w:highlight w:val="none"/>
        </w:rPr>
      </w:pPr>
    </w:p>
    <w:p w14:paraId="2E11B6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或其授权的代理人：                  或授权的代理人：</w:t>
      </w:r>
    </w:p>
    <w:p w14:paraId="09A097A5">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附件9：</w:t>
      </w:r>
    </w:p>
    <w:p w14:paraId="1C7C0F70">
      <w:pPr>
        <w:spacing w:before="156" w:beforeLines="50" w:after="156" w:afterLines="50" w:line="480" w:lineRule="auto"/>
        <w:jc w:val="center"/>
        <w:rPr>
          <w:rFonts w:hint="eastAsia" w:ascii="宋体" w:hAnsi="宋体" w:eastAsia="宋体" w:cs="宋体"/>
          <w:color w:val="auto"/>
          <w:sz w:val="21"/>
          <w:szCs w:val="21"/>
          <w:highlight w:val="none"/>
        </w:rPr>
      </w:pPr>
      <w:bookmarkStart w:id="932" w:name="_Toc435690184"/>
      <w:bookmarkStart w:id="933" w:name="_Toc435689499"/>
      <w:bookmarkStart w:id="934" w:name="_Toc247431422"/>
      <w:bookmarkStart w:id="935" w:name="_Toc239510288"/>
      <w:bookmarkStart w:id="936" w:name="_Toc336680145"/>
      <w:bookmarkStart w:id="937" w:name="_Toc448406299"/>
      <w:r>
        <w:rPr>
          <w:rFonts w:hint="eastAsia" w:ascii="宋体" w:hAnsi="宋体" w:eastAsia="宋体" w:cs="宋体"/>
          <w:color w:val="auto"/>
          <w:sz w:val="21"/>
          <w:szCs w:val="21"/>
          <w:highlight w:val="none"/>
        </w:rPr>
        <w:t>安全管理协议</w:t>
      </w:r>
      <w:bookmarkEnd w:id="932"/>
      <w:bookmarkEnd w:id="933"/>
      <w:bookmarkEnd w:id="934"/>
      <w:bookmarkEnd w:id="935"/>
      <w:bookmarkEnd w:id="936"/>
      <w:bookmarkEnd w:id="937"/>
    </w:p>
    <w:p w14:paraId="7A816C9F">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color w:val="auto"/>
          <w:sz w:val="21"/>
          <w:szCs w:val="21"/>
          <w:highlight w:val="none"/>
          <w:u w:val="single"/>
        </w:rPr>
        <w:t xml:space="preserve">                             </w:t>
      </w:r>
    </w:p>
    <w:p w14:paraId="3CEDC566">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color w:val="auto"/>
          <w:sz w:val="21"/>
          <w:szCs w:val="21"/>
          <w:highlight w:val="none"/>
          <w:u w:val="single"/>
        </w:rPr>
        <w:t xml:space="preserve">                             </w:t>
      </w:r>
    </w:p>
    <w:p w14:paraId="3B59509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为了确保实现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安全生产目标，进一步明确双方的安全管理责任，加强安全生产管理工作的协调、管理力度，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（以下简称“发包人”）与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C1093D3">
      <w:pPr>
        <w:spacing w:line="360" w:lineRule="auto"/>
        <w:ind w:firstLine="420" w:firstLineChars="200"/>
        <w:rPr>
          <w:rFonts w:hint="eastAsia" w:ascii="宋体" w:hAnsi="宋体" w:eastAsia="宋体" w:cs="宋体"/>
          <w:color w:val="auto"/>
          <w:sz w:val="21"/>
          <w:szCs w:val="21"/>
          <w:highlight w:val="none"/>
        </w:rPr>
      </w:pPr>
      <w:bookmarkStart w:id="938" w:name="_Toc247431423"/>
      <w:bookmarkStart w:id="939" w:name="_Toc247418263"/>
      <w:bookmarkStart w:id="940" w:name="_Toc239510289"/>
      <w:bookmarkStart w:id="941" w:name="_Toc532375700"/>
      <w:r>
        <w:rPr>
          <w:rFonts w:hint="eastAsia" w:ascii="宋体" w:hAnsi="宋体" w:eastAsia="宋体" w:cs="宋体"/>
          <w:color w:val="auto"/>
          <w:sz w:val="21"/>
          <w:szCs w:val="21"/>
          <w:highlight w:val="none"/>
        </w:rPr>
        <w:t>一、协议有效期限</w:t>
      </w:r>
      <w:bookmarkEnd w:id="938"/>
      <w:bookmarkEnd w:id="939"/>
      <w:bookmarkEnd w:id="940"/>
      <w:bookmarkEnd w:id="941"/>
    </w:p>
    <w:p w14:paraId="30F245C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本协议中所涉及的安全管理责任自合同签订之日起开始生效，至合同工程全部完工验收且经发包人与承包人签订移交协议生效后之日终止。</w:t>
      </w:r>
    </w:p>
    <w:p w14:paraId="6FE776B5">
      <w:pPr>
        <w:spacing w:line="360" w:lineRule="auto"/>
        <w:ind w:firstLine="420" w:firstLineChars="200"/>
        <w:rPr>
          <w:rFonts w:hint="eastAsia" w:ascii="宋体" w:hAnsi="宋体" w:eastAsia="宋体" w:cs="宋体"/>
          <w:color w:val="auto"/>
          <w:sz w:val="21"/>
          <w:szCs w:val="21"/>
          <w:highlight w:val="none"/>
        </w:rPr>
      </w:pPr>
      <w:bookmarkStart w:id="942" w:name="_Toc247418264"/>
      <w:bookmarkStart w:id="943" w:name="_Toc532375701"/>
      <w:bookmarkStart w:id="944" w:name="_Toc239510290"/>
      <w:bookmarkStart w:id="945" w:name="_Toc247431424"/>
      <w:r>
        <w:rPr>
          <w:rFonts w:hint="eastAsia" w:ascii="宋体" w:hAnsi="宋体" w:eastAsia="宋体" w:cs="宋体"/>
          <w:color w:val="auto"/>
          <w:sz w:val="21"/>
          <w:szCs w:val="21"/>
          <w:highlight w:val="none"/>
        </w:rPr>
        <w:t>二、责任目标</w:t>
      </w:r>
      <w:bookmarkEnd w:id="942"/>
      <w:bookmarkEnd w:id="943"/>
      <w:bookmarkEnd w:id="944"/>
      <w:bookmarkEnd w:id="945"/>
    </w:p>
    <w:p w14:paraId="5BD997C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（一）承包人承诺承担和履行合同和发包人所规定的安全责任，且满足要求。</w:t>
      </w:r>
    </w:p>
    <w:p w14:paraId="786A63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（二）承包人的安全控制目标是确保本工程在实施过程中：</w:t>
      </w:r>
    </w:p>
    <w:p w14:paraId="76D22F1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1．不发生人身重伤事故；</w:t>
      </w:r>
    </w:p>
    <w:p w14:paraId="3DA531F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2．不发生火灾事故；</w:t>
      </w:r>
    </w:p>
    <w:p w14:paraId="09CDF7A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3．不发生负有同等及以上事故责任的造成人身重伤的一般交通事故；</w:t>
      </w:r>
    </w:p>
    <w:p w14:paraId="3A48E96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4．不发生集体食物中毒事件（同时5人及以上的食物中毒）；</w:t>
      </w:r>
    </w:p>
    <w:p w14:paraId="7382B36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5．不发生流行性传染病 （无甲型传染病、其他常见传染病未形成多人同时患病）；</w:t>
      </w:r>
    </w:p>
    <w:p w14:paraId="691F9EF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6．不发生重大环境污染事件（生活、工业垃圾及其他污染物造成环境污染和大面积水土流失）；</w:t>
      </w:r>
    </w:p>
    <w:p w14:paraId="3B09297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7．不发生对施工区附近生产、生活造成重大影响的事件（如造成重大设备损坏、重大财产损失、人员伤害等）；</w:t>
      </w:r>
    </w:p>
    <w:p w14:paraId="68190B2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8．不发生治安保卫事件（构成刑事拘留及以上的事件、盗窃直接损失超过1万元人民币的事件）。</w:t>
      </w:r>
    </w:p>
    <w:p w14:paraId="56FE066D">
      <w:pPr>
        <w:spacing w:line="360" w:lineRule="auto"/>
        <w:ind w:firstLine="420" w:firstLineChars="200"/>
        <w:jc w:val="left"/>
        <w:rPr>
          <w:rFonts w:hint="eastAsia" w:ascii="宋体" w:hAnsi="宋体" w:eastAsia="宋体" w:cs="宋体"/>
          <w:color w:val="auto"/>
          <w:sz w:val="21"/>
          <w:szCs w:val="21"/>
          <w:highlight w:val="none"/>
        </w:rPr>
      </w:pPr>
      <w:bookmarkStart w:id="946" w:name="_Toc247431425"/>
      <w:bookmarkStart w:id="947" w:name="_Toc239510291"/>
      <w:bookmarkStart w:id="948" w:name="_Toc247418265"/>
      <w:r>
        <w:rPr>
          <w:rFonts w:hint="eastAsia" w:ascii="宋体" w:hAnsi="宋体" w:eastAsia="宋体" w:cs="宋体"/>
          <w:color w:val="auto"/>
          <w:sz w:val="21"/>
          <w:szCs w:val="21"/>
          <w:highlight w:val="none"/>
        </w:rPr>
        <w:t>（三）承包人承诺在施工中控制以下安全事故的发生：</w:t>
      </w:r>
      <w:bookmarkEnd w:id="946"/>
      <w:bookmarkEnd w:id="947"/>
      <w:bookmarkEnd w:id="948"/>
    </w:p>
    <w:p w14:paraId="2C2A92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1．人员轻伤事故。</w:t>
      </w:r>
    </w:p>
    <w:p w14:paraId="3AB8805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2．负有同等及以上事故责任的人身轻伤交通事故。</w:t>
      </w:r>
    </w:p>
    <w:p w14:paraId="76DEAD1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3．其他安全未遂事故和异常事件。</w:t>
      </w:r>
    </w:p>
    <w:p w14:paraId="4ABEFE2B">
      <w:pPr>
        <w:spacing w:line="360" w:lineRule="auto"/>
        <w:ind w:firstLine="420" w:firstLineChars="200"/>
        <w:rPr>
          <w:rFonts w:hint="eastAsia" w:ascii="宋体" w:hAnsi="宋体" w:eastAsia="宋体" w:cs="宋体"/>
          <w:color w:val="auto"/>
          <w:sz w:val="21"/>
          <w:szCs w:val="21"/>
          <w:highlight w:val="none"/>
        </w:rPr>
      </w:pPr>
      <w:bookmarkStart w:id="949" w:name="_Toc247418266"/>
      <w:bookmarkStart w:id="950" w:name="_Toc532375702"/>
      <w:bookmarkStart w:id="951" w:name="_Toc247431426"/>
      <w:bookmarkStart w:id="952" w:name="_Toc239510292"/>
      <w:r>
        <w:rPr>
          <w:rFonts w:hint="eastAsia" w:ascii="宋体" w:hAnsi="宋体" w:eastAsia="宋体" w:cs="宋体"/>
          <w:color w:val="auto"/>
          <w:sz w:val="21"/>
          <w:szCs w:val="21"/>
          <w:highlight w:val="none"/>
        </w:rPr>
        <w:t>三、安全责任</w:t>
      </w:r>
      <w:bookmarkEnd w:id="949"/>
      <w:bookmarkEnd w:id="950"/>
      <w:bookmarkEnd w:id="951"/>
      <w:bookmarkEnd w:id="952"/>
    </w:p>
    <w:p w14:paraId="2387D38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1．承包人负有安全生产的管理责任和直接责任。</w:t>
      </w:r>
    </w:p>
    <w:p w14:paraId="25EC7FF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2．承包人的法人或签署合同的公司总经理或受委托的代理人对合同安全负有全面的领导责任。</w:t>
      </w:r>
    </w:p>
    <w:p w14:paraId="6BCF1D5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3．承包人项目经理对施工现场的安全工作负有全面的直接领导责任。</w:t>
      </w:r>
    </w:p>
    <w:p w14:paraId="3EB741C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4．承包人保证执行“谁施工、谁负责”的施工安全原则。</w:t>
      </w:r>
    </w:p>
    <w:p w14:paraId="328D5F2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5．承包人保证服从发包人对安全工作的统一协调和管理。</w:t>
      </w:r>
    </w:p>
    <w:p w14:paraId="7461645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6．承包人保证对本工程项目安全生产条件及其管理资源自行投入，保证安全资金的专款专用。</w:t>
      </w:r>
    </w:p>
    <w:p w14:paraId="378C8F8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7．承包人保证建立本工程项目的安全管理体系及安全保证体系（注：项目安全管理大纲/手册、管理性的程序文件等）。</w:t>
      </w:r>
    </w:p>
    <w:p w14:paraId="110FDA2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8．承包人保证现场的安全管理专职人员必须持有建设主管部门安全生产培训考核合格证书。</w:t>
      </w:r>
    </w:p>
    <w:p w14:paraId="746CB95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9．承包人保证为现场所有工作人员（含分包商员工及劳务人员）配备符合国家标准的有承包人和/或其下属分包商标志的个人基本劳动保护用品。</w:t>
      </w:r>
    </w:p>
    <w:p w14:paraId="011A50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10．承包人保证按照国家法律规定为现场所有工作人员（含分包商员工及劳务人员）购买意外伤害保险。</w:t>
      </w:r>
    </w:p>
    <w:p w14:paraId="3A238F1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11．承包人保证施工生活营地（包括自建的和租用的营地）满足消防、安全用电、卫生防疫、防暴雨、防雷击等方面的安全要求。</w:t>
      </w:r>
    </w:p>
    <w:p w14:paraId="1418DB9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12．承包人保证对带入现场的设备、工具、材料按照国家法规和标准进行检测、试验，并持有法定部门出具的检验证书。</w:t>
      </w:r>
    </w:p>
    <w:p w14:paraId="49A899D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13．承包人保证制订施工现场的文明施工措施，保护环境、树木和植被，保持施工现场的良好秩序和整洁的作业环境。</w:t>
      </w:r>
    </w:p>
    <w:p w14:paraId="363BB95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14．承包人负责在施工过程中与当地政府、周边群众及其他承包商保持良好的沟通和交流。承包人遇到与周边群众发生纠纷时，应负责协调工作，确保工程能够顺利进行。</w:t>
      </w:r>
    </w:p>
    <w:p w14:paraId="352C5A77">
      <w:pPr>
        <w:spacing w:line="360" w:lineRule="auto"/>
        <w:ind w:firstLine="420" w:firstLineChars="200"/>
        <w:rPr>
          <w:rFonts w:hint="eastAsia" w:ascii="宋体" w:hAnsi="宋体" w:eastAsia="宋体" w:cs="宋体"/>
          <w:color w:val="auto"/>
          <w:sz w:val="21"/>
          <w:szCs w:val="21"/>
          <w:highlight w:val="none"/>
        </w:rPr>
      </w:pPr>
      <w:bookmarkStart w:id="953" w:name="_Toc239510293"/>
      <w:bookmarkStart w:id="954" w:name="_Toc247431427"/>
      <w:bookmarkStart w:id="955" w:name="_Toc247418267"/>
      <w:bookmarkStart w:id="956" w:name="_Toc532375703"/>
      <w:r>
        <w:rPr>
          <w:rFonts w:hint="eastAsia" w:ascii="宋体" w:hAnsi="宋体" w:eastAsia="宋体" w:cs="宋体"/>
          <w:color w:val="auto"/>
          <w:sz w:val="21"/>
          <w:szCs w:val="21"/>
          <w:highlight w:val="none"/>
        </w:rPr>
        <w:t>四、接口及协调</w:t>
      </w:r>
      <w:bookmarkEnd w:id="953"/>
      <w:bookmarkEnd w:id="954"/>
      <w:bookmarkEnd w:id="955"/>
      <w:bookmarkEnd w:id="956"/>
    </w:p>
    <w:p w14:paraId="511B71A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1．发包人委托监理公司对该工程实施监理，监理公司在安全管理方面代表发包人行使监督检查职能，承包人必须给予配合和支持。</w:t>
      </w:r>
    </w:p>
    <w:p w14:paraId="145FBE8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2．承包人人员、车辆的出入，带入现场的设备、机具、材料，在现场使用的或直接管理的办公、生活、生产性设施的安全管理须满足发包人现场管理的基本要求。</w:t>
      </w:r>
    </w:p>
    <w:p w14:paraId="4A0AF90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43A40B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2B94241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5．承包人指定的专职安全管理人员应与发包人委托的监理公司建立联系，在业务上接受发包人委托的监理公司的协调和指导。</w:t>
      </w:r>
    </w:p>
    <w:p w14:paraId="409C28A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6．开工后承包人的专职安全管理人员应按照发包人委托的监理公司的规定，定期报送安全月度快报、季报、年报和各种专项事故报告等。</w:t>
      </w:r>
    </w:p>
    <w:p w14:paraId="731329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7．在工程实体未全部正式移交发包人施工管理部门之前，承包人依旧对施工范围内的安全管理负责。</w:t>
      </w:r>
    </w:p>
    <w:p w14:paraId="25B4490D">
      <w:pPr>
        <w:spacing w:line="360" w:lineRule="auto"/>
        <w:ind w:firstLine="420" w:firstLineChars="200"/>
        <w:rPr>
          <w:rFonts w:hint="eastAsia" w:ascii="宋体" w:hAnsi="宋体" w:eastAsia="宋体" w:cs="宋体"/>
          <w:color w:val="auto"/>
          <w:sz w:val="21"/>
          <w:szCs w:val="21"/>
          <w:highlight w:val="none"/>
        </w:rPr>
      </w:pPr>
      <w:bookmarkStart w:id="957" w:name="_Toc247431428"/>
      <w:bookmarkStart w:id="958" w:name="_Toc532375704"/>
      <w:bookmarkStart w:id="959" w:name="_Toc239510294"/>
      <w:bookmarkStart w:id="960" w:name="_Toc247418268"/>
      <w:r>
        <w:rPr>
          <w:rFonts w:hint="eastAsia" w:ascii="宋体" w:hAnsi="宋体" w:eastAsia="宋体" w:cs="宋体"/>
          <w:color w:val="auto"/>
          <w:sz w:val="21"/>
          <w:szCs w:val="21"/>
          <w:highlight w:val="none"/>
        </w:rPr>
        <w:t>五、安全资质审查</w:t>
      </w:r>
      <w:bookmarkEnd w:id="957"/>
      <w:bookmarkEnd w:id="958"/>
      <w:bookmarkEnd w:id="959"/>
      <w:bookmarkEnd w:id="960"/>
    </w:p>
    <w:p w14:paraId="547ABA5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承包人在项目开工前5个工作天内向发包人委托的监理公司提供以下安全资质供审查和存档：</w:t>
      </w:r>
    </w:p>
    <w:p w14:paraId="5FFD3CF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1．企业安全生产许可证书复印件。</w:t>
      </w:r>
    </w:p>
    <w:p w14:paraId="29AD02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2．企业近三年的施工简历及安全施工业绩证明文件。</w:t>
      </w:r>
    </w:p>
    <w:p w14:paraId="7E3A7E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3．企业主要安全管理人员（包括项目经理、专职安全管理人员）经建设主管部门安全生产知识考核合格证书。</w:t>
      </w:r>
    </w:p>
    <w:p w14:paraId="1308AD5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4．特种作业人员资格证书。</w:t>
      </w:r>
    </w:p>
    <w:p w14:paraId="21FED51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5．项目安全管理机构及其人员配备（承包人必须配有专职的安全员）。</w:t>
      </w:r>
    </w:p>
    <w:p w14:paraId="4C7B83E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6．适用于项目的安全管理体系及保证体系文件（安全管理大纲及管理程序文件）。</w:t>
      </w:r>
    </w:p>
    <w:p w14:paraId="7FCE900B">
      <w:pPr>
        <w:spacing w:line="360" w:lineRule="auto"/>
        <w:ind w:firstLine="420" w:firstLineChars="200"/>
        <w:rPr>
          <w:rFonts w:hint="eastAsia" w:ascii="宋体" w:hAnsi="宋体" w:eastAsia="宋体" w:cs="宋体"/>
          <w:color w:val="auto"/>
          <w:sz w:val="21"/>
          <w:szCs w:val="21"/>
          <w:highlight w:val="none"/>
        </w:rPr>
      </w:pPr>
      <w:bookmarkStart w:id="961" w:name="_Toc532375705"/>
      <w:bookmarkStart w:id="962" w:name="_Toc239510295"/>
      <w:bookmarkStart w:id="963" w:name="_Toc247431429"/>
      <w:bookmarkStart w:id="964" w:name="_Toc247418269"/>
      <w:r>
        <w:rPr>
          <w:rFonts w:hint="eastAsia" w:ascii="宋体" w:hAnsi="宋体" w:eastAsia="宋体" w:cs="宋体"/>
          <w:color w:val="auto"/>
          <w:sz w:val="21"/>
          <w:szCs w:val="21"/>
          <w:highlight w:val="none"/>
        </w:rPr>
        <w:t>六、人员基本素质</w:t>
      </w:r>
      <w:bookmarkEnd w:id="961"/>
      <w:bookmarkEnd w:id="962"/>
      <w:bookmarkEnd w:id="963"/>
      <w:bookmarkEnd w:id="964"/>
    </w:p>
    <w:p w14:paraId="6F9AAED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承包人提供的人员必须满足下列要求：</w:t>
      </w:r>
    </w:p>
    <w:p w14:paraId="7889973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58CAA18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2．无刑事案件牵连。</w:t>
      </w:r>
    </w:p>
    <w:p w14:paraId="693828A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3．无吸毒、酗酒、赌博、嫖娼等恶习及违法行为。</w:t>
      </w:r>
    </w:p>
    <w:p w14:paraId="73F5F647">
      <w:pPr>
        <w:spacing w:line="360" w:lineRule="auto"/>
        <w:ind w:firstLine="420" w:firstLineChars="200"/>
        <w:rPr>
          <w:rFonts w:hint="eastAsia" w:ascii="宋体" w:hAnsi="宋体" w:eastAsia="宋体" w:cs="宋体"/>
          <w:color w:val="auto"/>
          <w:sz w:val="21"/>
          <w:szCs w:val="21"/>
          <w:highlight w:val="none"/>
        </w:rPr>
      </w:pPr>
      <w:bookmarkStart w:id="965" w:name="_Toc532375706"/>
      <w:bookmarkStart w:id="966" w:name="_Toc247431430"/>
      <w:bookmarkStart w:id="967" w:name="_Toc247418270"/>
      <w:bookmarkStart w:id="968" w:name="_Toc239510296"/>
      <w:r>
        <w:rPr>
          <w:rFonts w:hint="eastAsia" w:ascii="宋体" w:hAnsi="宋体" w:eastAsia="宋体" w:cs="宋体"/>
          <w:color w:val="auto"/>
          <w:sz w:val="21"/>
          <w:szCs w:val="21"/>
          <w:highlight w:val="none"/>
        </w:rPr>
        <w:t>七、劳动保护</w:t>
      </w:r>
      <w:bookmarkEnd w:id="965"/>
      <w:bookmarkEnd w:id="966"/>
      <w:bookmarkEnd w:id="967"/>
      <w:bookmarkEnd w:id="968"/>
    </w:p>
    <w:p w14:paraId="08D871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1．承包人负责为本单位任何用工形式的员工提供个人劳动保护用品（包括工作服、安全帽、安全鞋等）。</w:t>
      </w:r>
    </w:p>
    <w:p w14:paraId="2366AAC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2．承包人负责向特殊工种的员工提供特殊劳动保护，否则不得从事特殊工种作业。</w:t>
      </w:r>
    </w:p>
    <w:p w14:paraId="7BF6B3C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3．发包人委托的监理公司有权检查承包人的个人劳动保护用品是否符合国家的相应标准。</w:t>
      </w:r>
    </w:p>
    <w:p w14:paraId="3211FD6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承包人在特殊风险场所作业而需要特殊防护用品或安全仪表时，必须在上述防护用品全部到位后才能开工。</w:t>
      </w:r>
    </w:p>
    <w:p w14:paraId="3FBB9F5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5．承包人应配备临时安全围栏、警示带、警告标志、防火布等集体防护用品。</w:t>
      </w:r>
    </w:p>
    <w:p w14:paraId="6AE285FA">
      <w:pPr>
        <w:spacing w:line="360" w:lineRule="auto"/>
        <w:ind w:firstLine="420" w:firstLineChars="200"/>
        <w:rPr>
          <w:rFonts w:hint="eastAsia" w:ascii="宋体" w:hAnsi="宋体" w:eastAsia="宋体" w:cs="宋体"/>
          <w:color w:val="auto"/>
          <w:sz w:val="21"/>
          <w:szCs w:val="21"/>
          <w:highlight w:val="none"/>
        </w:rPr>
      </w:pPr>
      <w:bookmarkStart w:id="969" w:name="_Toc247418271"/>
      <w:bookmarkStart w:id="970" w:name="_Toc532375707"/>
      <w:bookmarkStart w:id="971" w:name="_Toc247431431"/>
      <w:bookmarkStart w:id="972" w:name="_Toc239510297"/>
      <w:r>
        <w:rPr>
          <w:rFonts w:hint="eastAsia" w:ascii="宋体" w:hAnsi="宋体" w:eastAsia="宋体" w:cs="宋体"/>
          <w:color w:val="auto"/>
          <w:sz w:val="21"/>
          <w:szCs w:val="21"/>
          <w:highlight w:val="none"/>
        </w:rPr>
        <w:t>八、施工机具与材料</w:t>
      </w:r>
      <w:bookmarkEnd w:id="969"/>
      <w:bookmarkEnd w:id="970"/>
      <w:bookmarkEnd w:id="971"/>
      <w:bookmarkEnd w:id="972"/>
    </w:p>
    <w:p w14:paraId="2681366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1．承包人对带入现场的施工机械和工器具的安全负责。</w:t>
      </w:r>
    </w:p>
    <w:p w14:paraId="34632E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2．对于承包人带入现场的特殊工器具，如起重设备、索具、机动车辆、压缩气瓶等，承包人必须按国家法规和标准进行检测、试验，并持有法定部门出具的检验证书。</w:t>
      </w:r>
    </w:p>
    <w:p w14:paraId="47C2C8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3．对于不属于法定检测的工器具，承包人也必须建立相应的管理、检测制度，这些工器具包括登高工具、脚手架材料、电动工具、安全防护设备及用具等。</w:t>
      </w:r>
    </w:p>
    <w:p w14:paraId="13D02714">
      <w:pPr>
        <w:spacing w:line="360" w:lineRule="auto"/>
        <w:ind w:firstLine="420" w:firstLineChars="200"/>
        <w:rPr>
          <w:rFonts w:hint="eastAsia" w:ascii="宋体" w:hAnsi="宋体" w:eastAsia="宋体" w:cs="宋体"/>
          <w:color w:val="auto"/>
          <w:sz w:val="21"/>
          <w:szCs w:val="21"/>
          <w:highlight w:val="none"/>
        </w:rPr>
      </w:pPr>
      <w:bookmarkStart w:id="973" w:name="_Toc239510298"/>
      <w:bookmarkStart w:id="974" w:name="_Toc532375708"/>
      <w:bookmarkStart w:id="975" w:name="_Toc247418272"/>
      <w:bookmarkStart w:id="976" w:name="_Toc247431432"/>
      <w:r>
        <w:rPr>
          <w:rFonts w:hint="eastAsia" w:ascii="宋体" w:hAnsi="宋体" w:eastAsia="宋体" w:cs="宋体"/>
          <w:color w:val="auto"/>
          <w:sz w:val="21"/>
          <w:szCs w:val="21"/>
          <w:highlight w:val="none"/>
        </w:rPr>
        <w:t>九、开工前安全条件检查</w:t>
      </w:r>
      <w:bookmarkEnd w:id="973"/>
      <w:bookmarkEnd w:id="974"/>
      <w:bookmarkEnd w:id="975"/>
      <w:bookmarkEnd w:id="976"/>
    </w:p>
    <w:p w14:paraId="705D75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0A0FD64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F23C97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0068B3E">
      <w:pPr>
        <w:spacing w:line="360" w:lineRule="auto"/>
        <w:ind w:firstLine="420" w:firstLineChars="200"/>
        <w:rPr>
          <w:rFonts w:hint="eastAsia" w:ascii="宋体" w:hAnsi="宋体" w:eastAsia="宋体" w:cs="宋体"/>
          <w:color w:val="auto"/>
          <w:sz w:val="21"/>
          <w:szCs w:val="21"/>
          <w:highlight w:val="none"/>
        </w:rPr>
      </w:pPr>
      <w:bookmarkStart w:id="977" w:name="_Toc239510299"/>
      <w:bookmarkStart w:id="978" w:name="_Toc247431433"/>
      <w:bookmarkStart w:id="979" w:name="_Toc532375709"/>
      <w:bookmarkStart w:id="980" w:name="_Toc247418273"/>
      <w:r>
        <w:rPr>
          <w:rFonts w:hint="eastAsia" w:ascii="宋体" w:hAnsi="宋体" w:eastAsia="宋体" w:cs="宋体"/>
          <w:color w:val="auto"/>
          <w:sz w:val="21"/>
          <w:szCs w:val="21"/>
          <w:highlight w:val="none"/>
        </w:rPr>
        <w:t>十、安全监督</w:t>
      </w:r>
      <w:bookmarkEnd w:id="977"/>
      <w:bookmarkEnd w:id="978"/>
      <w:bookmarkEnd w:id="979"/>
      <w:bookmarkEnd w:id="980"/>
    </w:p>
    <w:p w14:paraId="799D710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1．承包人应配备有满足项目安全管理需要的专职安全管理人员。</w:t>
      </w:r>
    </w:p>
    <w:p w14:paraId="6534C6B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2．承包人的专职安全管理人员必须持建设主管部门颁发的安全生产知识考核合格证书。</w:t>
      </w:r>
    </w:p>
    <w:p w14:paraId="11430C6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3．承包人的专职安全管理人员在业务上接受发包人委托的监理公司和发包人安全管理部门的协调和指导。</w:t>
      </w:r>
    </w:p>
    <w:p w14:paraId="4DB3D5B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4．承包人应建立班前安全交底制度；施工期间坚持开展安全检查和日常安全监督并形成相应的记录。</w:t>
      </w:r>
    </w:p>
    <w:p w14:paraId="39A3A6F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5．承包人应在每个作业区任命兼职安全员，赋予兼职安全员相应的授权和义务，并对兼职安全员进行定期考核。</w:t>
      </w:r>
    </w:p>
    <w:p w14:paraId="017200B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6．承包人应接受和配合发包人专业部门及委托的监理公司的监督与安全评价。</w:t>
      </w:r>
    </w:p>
    <w:p w14:paraId="3BD57B9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3BEF0EB8">
      <w:pPr>
        <w:spacing w:line="360" w:lineRule="auto"/>
        <w:ind w:firstLine="420" w:firstLineChars="200"/>
        <w:rPr>
          <w:rFonts w:hint="eastAsia" w:ascii="宋体" w:hAnsi="宋体" w:eastAsia="宋体" w:cs="宋体"/>
          <w:color w:val="auto"/>
          <w:sz w:val="21"/>
          <w:szCs w:val="21"/>
          <w:highlight w:val="none"/>
        </w:rPr>
      </w:pPr>
      <w:bookmarkStart w:id="981" w:name="_Toc247431434"/>
      <w:bookmarkStart w:id="982" w:name="_Toc532375710"/>
      <w:bookmarkStart w:id="983" w:name="_Toc239510300"/>
      <w:bookmarkStart w:id="984" w:name="_Toc247418274"/>
      <w:r>
        <w:rPr>
          <w:rFonts w:hint="eastAsia" w:ascii="宋体" w:hAnsi="宋体" w:eastAsia="宋体" w:cs="宋体"/>
          <w:color w:val="auto"/>
          <w:sz w:val="21"/>
          <w:szCs w:val="21"/>
          <w:highlight w:val="none"/>
        </w:rPr>
        <w:t>十一、安全培训与授权</w:t>
      </w:r>
      <w:bookmarkEnd w:id="981"/>
      <w:bookmarkEnd w:id="982"/>
      <w:bookmarkEnd w:id="983"/>
      <w:bookmarkEnd w:id="984"/>
    </w:p>
    <w:p w14:paraId="7077EBA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374920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2．承包人应在特殊工种之外的其他工种中，筛选出高风险工种，并对其开展针对性的专题安全培训。</w:t>
      </w:r>
    </w:p>
    <w:p w14:paraId="1BAC59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3．承包人应组织 “入场培训”和考核。发包人委托的监理公司有权监督培训、考核情况或组织抽查考核。</w:t>
      </w:r>
    </w:p>
    <w:p w14:paraId="004624C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4．承包人应建立安全培训和考核机制，编制培训教材和培训滚动计划。承包人应组织安全考试/考核，建立培训考核记录，发包人委托的监理公司有权查看这些记录。</w:t>
      </w:r>
    </w:p>
    <w:p w14:paraId="34A08228">
      <w:pPr>
        <w:spacing w:line="360" w:lineRule="auto"/>
        <w:ind w:firstLine="420" w:firstLineChars="200"/>
        <w:rPr>
          <w:rFonts w:hint="eastAsia" w:ascii="宋体" w:hAnsi="宋体" w:eastAsia="宋体" w:cs="宋体"/>
          <w:color w:val="auto"/>
          <w:sz w:val="21"/>
          <w:szCs w:val="21"/>
          <w:highlight w:val="none"/>
        </w:rPr>
      </w:pPr>
      <w:bookmarkStart w:id="985" w:name="_Toc247418275"/>
      <w:bookmarkStart w:id="986" w:name="_Toc239510301"/>
      <w:bookmarkStart w:id="987" w:name="_Toc247431435"/>
      <w:bookmarkStart w:id="988" w:name="_Toc532375711"/>
      <w:r>
        <w:rPr>
          <w:rFonts w:hint="eastAsia" w:ascii="宋体" w:hAnsi="宋体" w:eastAsia="宋体" w:cs="宋体"/>
          <w:color w:val="auto"/>
          <w:sz w:val="21"/>
          <w:szCs w:val="21"/>
          <w:highlight w:val="none"/>
        </w:rPr>
        <w:t>十二、职业健康与卫生防疫</w:t>
      </w:r>
      <w:bookmarkEnd w:id="985"/>
      <w:bookmarkEnd w:id="986"/>
      <w:bookmarkEnd w:id="987"/>
      <w:bookmarkEnd w:id="988"/>
    </w:p>
    <w:p w14:paraId="326CEBC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401F32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2．承包人应保证卫生防疫基本设施的投入，以满足医疗、急救的要求，建立外部医疗支持渠道。</w:t>
      </w:r>
    </w:p>
    <w:p w14:paraId="7A30337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477DCFD6">
      <w:pPr>
        <w:spacing w:line="360" w:lineRule="auto"/>
        <w:ind w:firstLine="420" w:firstLineChars="200"/>
        <w:rPr>
          <w:rFonts w:hint="eastAsia" w:ascii="宋体" w:hAnsi="宋体" w:eastAsia="宋体" w:cs="宋体"/>
          <w:color w:val="auto"/>
          <w:sz w:val="21"/>
          <w:szCs w:val="21"/>
          <w:highlight w:val="none"/>
        </w:rPr>
      </w:pPr>
      <w:bookmarkStart w:id="989" w:name="_Toc247431436"/>
      <w:bookmarkStart w:id="990" w:name="_Toc239510302"/>
      <w:bookmarkStart w:id="991" w:name="_Toc532375712"/>
      <w:bookmarkStart w:id="992" w:name="_Toc247418276"/>
      <w:r>
        <w:rPr>
          <w:rFonts w:hint="eastAsia" w:ascii="宋体" w:hAnsi="宋体" w:eastAsia="宋体" w:cs="宋体"/>
          <w:color w:val="auto"/>
          <w:sz w:val="21"/>
          <w:szCs w:val="21"/>
          <w:highlight w:val="none"/>
        </w:rPr>
        <w:t>十三、文明施工与环保要求</w:t>
      </w:r>
      <w:bookmarkEnd w:id="989"/>
      <w:bookmarkEnd w:id="990"/>
      <w:bookmarkEnd w:id="991"/>
      <w:bookmarkEnd w:id="992"/>
    </w:p>
    <w:p w14:paraId="36905AE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1．承包人需制订施工现场的文明施工措施，保持良好的施工现场秩序。施工现场的物料堆放要摆放整齐，安全标志和宣传标志要清楚醒目，废料、废物要分类收集，安全通道要畅通。</w:t>
      </w:r>
    </w:p>
    <w:p w14:paraId="7D7629C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2．承包人作业时应避免建筑材料抛洒、飞扬、流淌；应尽可能降低噪音、震动。</w:t>
      </w:r>
    </w:p>
    <w:p w14:paraId="546B238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3．承包人应根据实际需要，在施工现场布置临时卫生设施（洗手间、卫生间等），施工作业不破坏环境卫生，不污染现场环境。</w:t>
      </w:r>
    </w:p>
    <w:p w14:paraId="37B3D69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4．承包人在施工中应充分重视对环境的保护，保护绿色植被，保护古树。施工如需伤害古树，必须报告发包人委托的监理公司，在未得到指令前，禁止擅自伤害古树。</w:t>
      </w:r>
    </w:p>
    <w:p w14:paraId="7ED9D7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7CA96F7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6．承包人在施工中应禁止向环境，排放工业污水、生活污水、废油或其他有害物质。</w:t>
      </w:r>
    </w:p>
    <w:p w14:paraId="42E786B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0E58705">
      <w:pPr>
        <w:spacing w:line="360" w:lineRule="auto"/>
        <w:ind w:firstLine="420" w:firstLineChars="200"/>
        <w:rPr>
          <w:rFonts w:hint="eastAsia" w:ascii="宋体" w:hAnsi="宋体" w:eastAsia="宋体" w:cs="宋体"/>
          <w:color w:val="auto"/>
          <w:sz w:val="21"/>
          <w:szCs w:val="21"/>
          <w:highlight w:val="none"/>
        </w:rPr>
      </w:pPr>
      <w:bookmarkStart w:id="993" w:name="_Toc247418277"/>
      <w:bookmarkStart w:id="994" w:name="_Toc239510303"/>
      <w:bookmarkStart w:id="995" w:name="_Toc532375713"/>
      <w:bookmarkStart w:id="996" w:name="_Toc247431437"/>
      <w:r>
        <w:rPr>
          <w:rFonts w:hint="eastAsia" w:ascii="宋体" w:hAnsi="宋体" w:eastAsia="宋体" w:cs="宋体"/>
          <w:color w:val="auto"/>
          <w:sz w:val="21"/>
          <w:szCs w:val="21"/>
          <w:highlight w:val="none"/>
        </w:rPr>
        <w:t>十四、工程风险管理与事故预防</w:t>
      </w:r>
      <w:bookmarkEnd w:id="993"/>
      <w:bookmarkEnd w:id="994"/>
      <w:bookmarkEnd w:id="995"/>
      <w:bookmarkEnd w:id="996"/>
    </w:p>
    <w:p w14:paraId="59CC92FB">
      <w:pPr>
        <w:spacing w:line="360" w:lineRule="auto"/>
        <w:ind w:firstLine="420" w:firstLineChars="200"/>
        <w:jc w:val="left"/>
        <w:rPr>
          <w:rFonts w:hint="eastAsia" w:ascii="宋体" w:hAnsi="宋体" w:eastAsia="宋体" w:cs="宋体"/>
          <w:color w:val="auto"/>
          <w:sz w:val="21"/>
          <w:szCs w:val="21"/>
          <w:highlight w:val="none"/>
        </w:rPr>
      </w:pPr>
      <w:bookmarkStart w:id="997" w:name="_Toc247418278"/>
      <w:bookmarkStart w:id="998" w:name="_Toc239510304"/>
      <w:bookmarkStart w:id="999" w:name="_Toc247431438"/>
      <w:r>
        <w:rPr>
          <w:rFonts w:hint="eastAsia" w:ascii="宋体" w:hAnsi="宋体" w:eastAsia="宋体" w:cs="宋体"/>
          <w:color w:val="auto"/>
          <w:sz w:val="21"/>
          <w:szCs w:val="21"/>
          <w:highlight w:val="none"/>
        </w:rPr>
        <w:t>（一）基本要求</w:t>
      </w:r>
      <w:bookmarkEnd w:id="997"/>
      <w:bookmarkEnd w:id="998"/>
      <w:bookmarkEnd w:id="999"/>
    </w:p>
    <w:p w14:paraId="52492548">
      <w:pPr>
        <w:spacing w:line="360" w:lineRule="auto"/>
        <w:ind w:firstLine="420" w:firstLineChars="200"/>
        <w:jc w:val="left"/>
        <w:rPr>
          <w:rFonts w:hint="eastAsia" w:ascii="宋体" w:hAnsi="宋体" w:eastAsia="宋体" w:cs="宋体"/>
          <w:color w:val="auto"/>
          <w:sz w:val="21"/>
          <w:szCs w:val="21"/>
          <w:highlight w:val="none"/>
        </w:rPr>
      </w:pPr>
      <w:bookmarkStart w:id="1000" w:name="_Toc532375714"/>
      <w:r>
        <w:rPr>
          <w:rFonts w:hint="eastAsia" w:ascii="宋体" w:hAnsi="宋体" w:eastAsia="宋体" w:cs="宋体"/>
          <w:color w:val="auto"/>
          <w:sz w:val="21"/>
          <w:szCs w:val="21"/>
          <w:highlight w:val="none"/>
        </w:rPr>
        <w:t>1．承包人应对施工过程进行全面、深入的危险源识别和风险分析。在施工安全组织设计中提供危险源及重要危险源清单、作业风险分析报告，该报告应包括（但不限于）如下信息：</w:t>
      </w:r>
      <w:bookmarkEnd w:id="1000"/>
    </w:p>
    <w:p w14:paraId="674396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（1）高风险作业和工种清单：作业名称、类别和数量、主要事故风险。</w:t>
      </w:r>
    </w:p>
    <w:p w14:paraId="3D93A35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（2）施工能源和机械的种类、数量和主要事故风险。</w:t>
      </w:r>
    </w:p>
    <w:p w14:paraId="0E356C9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（3）施工作业条件的类型和主要事故风险。</w:t>
      </w:r>
    </w:p>
    <w:p w14:paraId="714E2D5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（4）主要工艺过程（或施工活动）的类别及其相关的事故风险。</w:t>
      </w:r>
    </w:p>
    <w:p w14:paraId="7B31599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（5）主要火灾危险（可燃物、点火源）。</w:t>
      </w:r>
    </w:p>
    <w:p w14:paraId="651C0EC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（6）主要自然灾害（洪水、大风、雷暴、暴雨、地质灾害等）。</w:t>
      </w:r>
    </w:p>
    <w:p w14:paraId="681A648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（7）主要环境保护事件（有害垃圾、机械的跑冒滴漏、原材料流失、水土流失等）。</w:t>
      </w:r>
    </w:p>
    <w:p w14:paraId="12A9AE9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w:t>
      </w:r>
    </w:p>
    <w:p w14:paraId="3AE932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2．承包人应针对识别出的危险源制定有针对性的事故预防措施并确保在施工中得到有效落实。</w:t>
      </w:r>
    </w:p>
    <w:p w14:paraId="2D1154D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3．承包人应建立日常施工活动的动态作业风险分析和安全交底制度。该制度应明确规定风险分析的方法、责任和交底的内容、时间及记录。</w:t>
      </w:r>
    </w:p>
    <w:p w14:paraId="4430BABF">
      <w:pPr>
        <w:spacing w:line="360" w:lineRule="auto"/>
        <w:ind w:firstLine="420" w:firstLineChars="200"/>
        <w:jc w:val="left"/>
        <w:rPr>
          <w:rFonts w:hint="eastAsia" w:ascii="宋体" w:hAnsi="宋体" w:eastAsia="宋体" w:cs="宋体"/>
          <w:color w:val="auto"/>
          <w:sz w:val="21"/>
          <w:szCs w:val="21"/>
          <w:highlight w:val="none"/>
        </w:rPr>
      </w:pPr>
      <w:bookmarkStart w:id="1001" w:name="_Toc239510305"/>
      <w:bookmarkStart w:id="1002" w:name="_Toc247431439"/>
      <w:bookmarkStart w:id="1003" w:name="_Toc247418279"/>
      <w:r>
        <w:rPr>
          <w:rFonts w:hint="eastAsia" w:ascii="宋体" w:hAnsi="宋体" w:eastAsia="宋体" w:cs="宋体"/>
          <w:color w:val="auto"/>
          <w:sz w:val="21"/>
          <w:szCs w:val="21"/>
          <w:highlight w:val="none"/>
        </w:rPr>
        <w:t>（二）现场作业基本安全条件</w:t>
      </w:r>
      <w:bookmarkEnd w:id="1001"/>
      <w:bookmarkEnd w:id="1002"/>
      <w:bookmarkEnd w:id="1003"/>
    </w:p>
    <w:p w14:paraId="40CC37A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482F9B53">
      <w:pPr>
        <w:spacing w:line="360" w:lineRule="auto"/>
        <w:ind w:firstLine="420" w:firstLineChars="200"/>
        <w:rPr>
          <w:rFonts w:hint="eastAsia" w:ascii="宋体" w:hAnsi="宋体" w:eastAsia="宋体" w:cs="宋体"/>
          <w:color w:val="auto"/>
          <w:sz w:val="21"/>
          <w:szCs w:val="21"/>
          <w:highlight w:val="none"/>
        </w:rPr>
      </w:pPr>
      <w:bookmarkStart w:id="1004" w:name="_Toc247431440"/>
      <w:bookmarkStart w:id="1005" w:name="_Toc239510306"/>
      <w:bookmarkStart w:id="1006" w:name="_Toc247418280"/>
      <w:bookmarkStart w:id="1007" w:name="_Toc532375715"/>
      <w:r>
        <w:rPr>
          <w:rFonts w:hint="eastAsia" w:ascii="宋体" w:hAnsi="宋体" w:eastAsia="宋体" w:cs="宋体"/>
          <w:color w:val="auto"/>
          <w:sz w:val="21"/>
          <w:szCs w:val="21"/>
          <w:highlight w:val="none"/>
        </w:rPr>
        <w:t>十五、事故报告与应急救援</w:t>
      </w:r>
      <w:bookmarkEnd w:id="1004"/>
      <w:bookmarkEnd w:id="1005"/>
      <w:bookmarkEnd w:id="1006"/>
      <w:bookmarkEnd w:id="1007"/>
    </w:p>
    <w:p w14:paraId="7EFFA31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1．承包人应制定对于未遂事故及以上级别的安全事件和事故，定期报送安全月度快报、季报、年报和各种专项事故报告等。</w:t>
      </w:r>
    </w:p>
    <w:p w14:paraId="15AC604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2．承包人应建立安全事故统计记录、未遂事故统计记录、违章统计记录，并根据统计情况进行分析，并就分析结果制定相应的预防措施。</w:t>
      </w:r>
    </w:p>
    <w:p w14:paraId="5144E7F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3．承包人应建立事故应急救援机制，明确事故处置的基本原则，即现场发生事故时，首先抢救生命，向救援组织报警，并采取措施限制事故扩大。</w:t>
      </w:r>
    </w:p>
    <w:p w14:paraId="2BBDC20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4．承包人应建立相应的应急响应组织，以便能迅速处理突发意外。</w:t>
      </w:r>
    </w:p>
    <w:p w14:paraId="21686DB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171E155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6．承包人应对应急预案进行适当演练，保证应急预案的可操作性。</w:t>
      </w:r>
    </w:p>
    <w:p w14:paraId="7F3DBC4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7．在工地的其他施工单位发生重大事故时，承包人应无条件立即配合、支持事故抢险。</w:t>
      </w:r>
    </w:p>
    <w:p w14:paraId="35D9238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8．承包人必须为事故处置支付各项费用，包括受伤者的抚恤、补偿等费用，并按合同要求赔偿对发包人造成的损失。</w:t>
      </w:r>
    </w:p>
    <w:p w14:paraId="6D7ACBB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9．由于发包人原因而造成的事故，发包人应负责按事故的具体损失情况给予承包人经济赔偿。</w:t>
      </w:r>
    </w:p>
    <w:p w14:paraId="4943A8F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10．涉及承包人员工的伤害事故，承包人除要报告发包人委托的监理公司外，还应负责按照国家、行业和本单位上级公司的要求，上报事故。</w:t>
      </w:r>
    </w:p>
    <w:p w14:paraId="13405DF7">
      <w:pPr>
        <w:spacing w:line="360" w:lineRule="auto"/>
        <w:ind w:firstLine="420" w:firstLineChars="200"/>
        <w:rPr>
          <w:rFonts w:hint="eastAsia" w:ascii="宋体" w:hAnsi="宋体" w:eastAsia="宋体" w:cs="宋体"/>
          <w:color w:val="auto"/>
          <w:sz w:val="21"/>
          <w:szCs w:val="21"/>
          <w:highlight w:val="none"/>
        </w:rPr>
      </w:pPr>
      <w:bookmarkStart w:id="1008" w:name="_Toc532375716"/>
      <w:bookmarkStart w:id="1009" w:name="_Toc247418281"/>
      <w:bookmarkStart w:id="1010" w:name="_Toc239510307"/>
      <w:bookmarkStart w:id="1011" w:name="_Toc247431441"/>
      <w:r>
        <w:rPr>
          <w:rFonts w:hint="eastAsia" w:ascii="宋体" w:hAnsi="宋体" w:eastAsia="宋体" w:cs="宋体"/>
          <w:color w:val="auto"/>
          <w:sz w:val="21"/>
          <w:szCs w:val="21"/>
          <w:highlight w:val="none"/>
        </w:rPr>
        <w:t>十六、安全业绩考核</w:t>
      </w:r>
      <w:bookmarkEnd w:id="1008"/>
      <w:bookmarkEnd w:id="1009"/>
      <w:bookmarkEnd w:id="1010"/>
      <w:bookmarkEnd w:id="1011"/>
    </w:p>
    <w:p w14:paraId="7E68743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为了落实安全管理的责任，承包人在施工过程中发生安全事故时，承包人除应按国家有关规定承担责任和处罚外，发包人还将按照以下标准进行考核：</w:t>
      </w:r>
    </w:p>
    <w:tbl>
      <w:tblPr>
        <w:tblStyle w:val="21"/>
        <w:tblW w:w="7005" w:type="dxa"/>
        <w:jc w:val="center"/>
        <w:tblLayout w:type="fixed"/>
        <w:tblCellMar>
          <w:top w:w="0" w:type="dxa"/>
          <w:left w:w="0" w:type="dxa"/>
          <w:bottom w:w="0" w:type="dxa"/>
          <w:right w:w="0" w:type="dxa"/>
        </w:tblCellMar>
      </w:tblPr>
      <w:tblGrid>
        <w:gridCol w:w="3240"/>
        <w:gridCol w:w="3765"/>
      </w:tblGrid>
      <w:tr w14:paraId="57272C2A">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69325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EF8A4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违约金额</w:t>
            </w:r>
          </w:p>
        </w:tc>
      </w:tr>
      <w:tr w14:paraId="79128480">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E11CB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122FF93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签约合同价</w:t>
            </w:r>
            <w:r>
              <w:rPr>
                <w:rFonts w:hint="eastAsia" w:ascii="宋体" w:hAnsi="宋体" w:eastAsia="宋体" w:cs="宋体"/>
                <w:color w:val="auto"/>
                <w:sz w:val="21"/>
                <w:szCs w:val="21"/>
                <w:highlight w:val="none"/>
              </w:rPr>
              <w:t>的0.5‰</w:t>
            </w:r>
          </w:p>
        </w:tc>
      </w:tr>
      <w:tr w14:paraId="3222ADBE">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DF2C4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3C97944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签约合同价的2‰</w:t>
            </w:r>
          </w:p>
        </w:tc>
      </w:tr>
      <w:tr w14:paraId="6377FB4E">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99EFE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0427486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签约合同价的4‰</w:t>
            </w:r>
          </w:p>
        </w:tc>
      </w:tr>
    </w:tbl>
    <w:p w14:paraId="7EF1C9B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（1）较大事故，是指造成3人以上10人以下死亡，或者10人以上50人以下重伤，或者1000万元以上5000万元以下直接经济损失的事故；</w:t>
      </w:r>
    </w:p>
    <w:p w14:paraId="17A89C1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（2）重大事故，是指造成10人以上30人以下死亡，或者50人以上100人以下重伤，或者5000万元以上1亿元以下直接经济损失的事故；</w:t>
      </w:r>
    </w:p>
    <w:p w14:paraId="71B7932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（3）特别重大事故，是指造成30人以上死亡，或者100人以上重伤（包括急性工业中毒，下同），或者1亿元以上直接经济损失的事故；</w:t>
      </w:r>
    </w:p>
    <w:p w14:paraId="5291D1CE">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（4）所称的“以上”包括本数，所称的“以下”不包括本数。</w:t>
      </w:r>
    </w:p>
    <w:p w14:paraId="7CC32FA4">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404803D9">
      <w:pPr>
        <w:spacing w:line="276" w:lineRule="auto"/>
        <w:ind w:firstLine="420" w:firstLineChars="200"/>
        <w:rPr>
          <w:rFonts w:hint="eastAsia" w:ascii="宋体" w:hAnsi="宋体" w:eastAsia="宋体" w:cs="宋体"/>
          <w:color w:val="auto"/>
          <w:sz w:val="21"/>
          <w:szCs w:val="21"/>
          <w:highlight w:val="none"/>
        </w:rPr>
      </w:pPr>
      <w:bookmarkStart w:id="1012" w:name="_Toc247418282"/>
      <w:bookmarkStart w:id="1013" w:name="_Toc239510308"/>
      <w:bookmarkStart w:id="1014" w:name="_Toc247431442"/>
      <w:bookmarkStart w:id="1015" w:name="_Toc532375717"/>
      <w:r>
        <w:rPr>
          <w:rFonts w:hint="eastAsia" w:ascii="宋体" w:hAnsi="宋体" w:eastAsia="宋体" w:cs="宋体"/>
          <w:color w:val="auto"/>
          <w:sz w:val="21"/>
          <w:szCs w:val="21"/>
          <w:highlight w:val="none"/>
        </w:rPr>
        <w:t>十七、协议条款的修订</w:t>
      </w:r>
      <w:bookmarkEnd w:id="1012"/>
      <w:bookmarkEnd w:id="1013"/>
      <w:bookmarkEnd w:id="1014"/>
      <w:bookmarkEnd w:id="1015"/>
    </w:p>
    <w:p w14:paraId="17A16E13">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在项目实施过程中，经双方友好协商，本协议的有关条款也可做出相应的修改。</w:t>
      </w:r>
    </w:p>
    <w:p w14:paraId="24350563">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本工程安全管理协议，由发包人、承包人双方在施工承包合同签订后7天内共同签署，作为施工合同附件。</w:t>
      </w:r>
    </w:p>
    <w:p w14:paraId="215ADB7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u w:val="single"/>
        </w:rPr>
        <w:t xml:space="preserve">                   </w:t>
      </w:r>
    </w:p>
    <w:p w14:paraId="595F9EC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E2EA8F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ED95058">
      <w:pPr>
        <w:spacing w:line="360" w:lineRule="auto"/>
        <w:ind w:firstLine="420" w:firstLineChars="200"/>
        <w:jc w:val="left"/>
        <w:rPr>
          <w:rFonts w:hint="eastAsia" w:ascii="宋体" w:hAnsi="宋体" w:eastAsia="宋体" w:cs="宋体"/>
          <w:color w:val="auto"/>
          <w:sz w:val="21"/>
          <w:szCs w:val="21"/>
          <w:highlight w:val="none"/>
        </w:rPr>
      </w:pPr>
    </w:p>
    <w:p w14:paraId="06CB0BF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  包  人（</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u w:val="single"/>
        </w:rPr>
        <w:t xml:space="preserve">                   </w:t>
      </w:r>
    </w:p>
    <w:p w14:paraId="4727586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p>
    <w:p w14:paraId="48ED443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或其委托代理人（签名）：</w:t>
      </w:r>
      <w:r>
        <w:rPr>
          <w:rFonts w:hint="eastAsia" w:ascii="宋体" w:hAnsi="宋体" w:eastAsia="宋体" w:cs="宋体"/>
          <w:color w:val="auto"/>
          <w:sz w:val="21"/>
          <w:szCs w:val="21"/>
          <w:highlight w:val="none"/>
          <w:u w:val="single"/>
        </w:rPr>
        <w:t xml:space="preserve">                   </w:t>
      </w:r>
    </w:p>
    <w:p w14:paraId="6BE16CF4">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p>
    <w:p w14:paraId="4D81670C">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w:t>
      </w:r>
    </w:p>
    <w:p w14:paraId="2F523614">
      <w:pPr>
        <w:spacing w:before="156" w:beforeLines="50" w:after="156" w:afterLines="5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保障农民工工资支付协议</w:t>
      </w:r>
    </w:p>
    <w:p w14:paraId="4D0970A5">
      <w:pPr>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w:t>
      </w:r>
    </w:p>
    <w:p w14:paraId="5E72DF9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5D95E6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57206F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319C7F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70BC47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3310004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四、若发现承包人有下列事项的，发包人在支付当期进度款时暂扣当期应支付进度款5%比例的款项。</w:t>
      </w:r>
    </w:p>
    <w:p w14:paraId="5078A7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（一）现场检查发现项目存在拖欠农民工工资情况并经核查属实的；</w:t>
      </w:r>
    </w:p>
    <w:p w14:paraId="07EEED4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（二）相关行政管理部门检查发现存在拖欠农民工工资情况并经核查属实的；</w:t>
      </w:r>
    </w:p>
    <w:p w14:paraId="5B9E806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（三）有拖欠农民工工资投诉事项并经核查属实的。</w:t>
      </w:r>
    </w:p>
    <w:p w14:paraId="018551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2F8DEB57">
      <w:pPr>
        <w:tabs>
          <w:tab w:val="left" w:pos="1080"/>
          <w:tab w:val="left" w:pos="1260"/>
          <w:tab w:val="left" w:pos="1440"/>
        </w:tabs>
        <w:spacing w:line="360" w:lineRule="auto"/>
        <w:ind w:firstLine="420" w:firstLineChars="200"/>
        <w:rPr>
          <w:rFonts w:hint="eastAsia" w:ascii="宋体" w:hAnsi="宋体" w:eastAsia="宋体" w:cs="宋体"/>
          <w:snapToGrid w:val="0"/>
          <w:color w:val="auto"/>
          <w:spacing w:val="-4"/>
          <w:kern w:val="0"/>
          <w:sz w:val="21"/>
          <w:szCs w:val="21"/>
          <w:highlight w:val="none"/>
        </w:rPr>
      </w:pPr>
      <w:r>
        <w:rPr>
          <w:rFonts w:hint="eastAsia" w:ascii="宋体" w:hAnsi="宋体" w:eastAsia="宋体" w:cs="宋体"/>
          <w:color w:val="auto"/>
          <w:sz w:val="21"/>
          <w:szCs w:val="21"/>
          <w:highlight w:val="none"/>
        </w:rPr>
        <w:t>六、本协议经双方法定代表人或委托代理人签名并加盖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公章后生效，履行完毕后自然失效。</w:t>
      </w:r>
    </w:p>
    <w:p w14:paraId="52A4CB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14:paraId="7F0530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1、关于农民工工资发放情况的说明表</w:t>
      </w:r>
    </w:p>
    <w:p w14:paraId="5C083CB2">
      <w:pPr>
        <w:pStyle w:val="2"/>
        <w:spacing w:line="360" w:lineRule="auto"/>
        <w:ind w:firstLine="420" w:firstLineChars="200"/>
        <w:rPr>
          <w:rFonts w:hint="eastAsia" w:ascii="宋体" w:hAnsi="宋体" w:eastAsia="宋体" w:cs="宋体"/>
          <w:color w:val="auto"/>
          <w:sz w:val="21"/>
          <w:szCs w:val="21"/>
          <w:highlight w:val="none"/>
        </w:rPr>
      </w:pPr>
    </w:p>
    <w:p w14:paraId="3E785EE0">
      <w:pPr>
        <w:pStyle w:val="2"/>
        <w:spacing w:line="360" w:lineRule="auto"/>
        <w:ind w:firstLine="420" w:firstLineChars="200"/>
        <w:rPr>
          <w:rFonts w:hint="eastAsia" w:ascii="宋体" w:hAnsi="宋体" w:eastAsia="宋体" w:cs="宋体"/>
          <w:color w:val="auto"/>
          <w:sz w:val="21"/>
          <w:szCs w:val="21"/>
          <w:highlight w:val="none"/>
        </w:rPr>
      </w:pPr>
    </w:p>
    <w:p w14:paraId="65F56F72">
      <w:pPr>
        <w:pStyle w:val="2"/>
        <w:spacing w:line="360" w:lineRule="auto"/>
        <w:ind w:firstLine="420" w:firstLineChars="200"/>
        <w:rPr>
          <w:rFonts w:hint="eastAsia" w:ascii="宋体" w:hAnsi="宋体" w:eastAsia="宋体" w:cs="宋体"/>
          <w:color w:val="auto"/>
          <w:sz w:val="21"/>
          <w:szCs w:val="21"/>
          <w:highlight w:val="none"/>
        </w:rPr>
      </w:pPr>
    </w:p>
    <w:p w14:paraId="5FD66D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27E9B801">
      <w:pPr>
        <w:spacing w:line="360" w:lineRule="auto"/>
        <w:ind w:firstLine="420" w:firstLineChars="200"/>
        <w:rPr>
          <w:rFonts w:hint="eastAsia" w:ascii="宋体" w:hAnsi="宋体" w:eastAsia="宋体" w:cs="宋体"/>
          <w:color w:val="auto"/>
          <w:sz w:val="21"/>
          <w:szCs w:val="21"/>
          <w:highlight w:val="none"/>
        </w:rPr>
      </w:pPr>
    </w:p>
    <w:p w14:paraId="37CE7D85">
      <w:pPr>
        <w:spacing w:line="360" w:lineRule="auto"/>
        <w:ind w:firstLine="420" w:firstLineChars="200"/>
        <w:rPr>
          <w:rFonts w:hint="eastAsia" w:ascii="宋体" w:hAnsi="宋体" w:eastAsia="宋体" w:cs="宋体"/>
          <w:color w:val="auto"/>
          <w:sz w:val="21"/>
          <w:szCs w:val="21"/>
          <w:highlight w:val="none"/>
        </w:rPr>
      </w:pPr>
    </w:p>
    <w:p w14:paraId="3BF425F2">
      <w:pPr>
        <w:pStyle w:val="2"/>
        <w:spacing w:line="360" w:lineRule="auto"/>
        <w:rPr>
          <w:rFonts w:hint="eastAsia" w:ascii="宋体" w:hAnsi="宋体" w:eastAsia="宋体" w:cs="宋体"/>
          <w:color w:val="auto"/>
          <w:sz w:val="21"/>
          <w:szCs w:val="21"/>
          <w:highlight w:val="none"/>
        </w:rPr>
      </w:pPr>
    </w:p>
    <w:p w14:paraId="7601B2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w:t>
      </w:r>
    </w:p>
    <w:p w14:paraId="0C7D08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294D4A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r>
        <w:rPr>
          <w:rFonts w:hint="eastAsia" w:ascii="宋体" w:hAnsi="宋体" w:eastAsia="宋体" w:cs="宋体"/>
          <w:color w:val="auto"/>
          <w:sz w:val="21"/>
          <w:szCs w:val="21"/>
          <w:highlight w:val="none"/>
          <w:u w:val="single"/>
        </w:rPr>
        <w:t xml:space="preserve">       </w:t>
      </w:r>
    </w:p>
    <w:p w14:paraId="0C01E0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p>
    <w:p w14:paraId="6352D01A">
      <w:pPr>
        <w:spacing w:line="360" w:lineRule="auto"/>
        <w:rPr>
          <w:rFonts w:hint="eastAsia" w:ascii="宋体" w:hAnsi="宋体" w:eastAsia="宋体" w:cs="宋体"/>
          <w:color w:val="auto"/>
          <w:sz w:val="21"/>
          <w:szCs w:val="21"/>
          <w:highlight w:val="none"/>
        </w:rPr>
      </w:pPr>
    </w:p>
    <w:p w14:paraId="7C5B90B6">
      <w:pPr>
        <w:spacing w:line="360" w:lineRule="auto"/>
        <w:rPr>
          <w:rFonts w:hint="eastAsia" w:ascii="宋体" w:hAnsi="宋体" w:eastAsia="宋体" w:cs="宋体"/>
          <w:color w:val="auto"/>
          <w:sz w:val="21"/>
          <w:szCs w:val="21"/>
          <w:highlight w:val="none"/>
        </w:rPr>
      </w:pPr>
    </w:p>
    <w:p w14:paraId="3B8E3452">
      <w:pPr>
        <w:spacing w:line="360" w:lineRule="auto"/>
        <w:rPr>
          <w:rFonts w:hint="eastAsia" w:ascii="宋体" w:hAnsi="宋体" w:eastAsia="宋体" w:cs="宋体"/>
          <w:color w:val="auto"/>
          <w:sz w:val="21"/>
          <w:szCs w:val="21"/>
          <w:highlight w:val="none"/>
        </w:rPr>
      </w:pPr>
    </w:p>
    <w:p w14:paraId="1BBEBD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49E2CB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455379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r>
        <w:rPr>
          <w:rFonts w:hint="eastAsia" w:ascii="宋体" w:hAnsi="宋体" w:eastAsia="宋体" w:cs="宋体"/>
          <w:color w:val="auto"/>
          <w:sz w:val="21"/>
          <w:szCs w:val="21"/>
          <w:highlight w:val="none"/>
          <w:u w:val="single"/>
        </w:rPr>
        <w:t xml:space="preserve">       </w:t>
      </w:r>
    </w:p>
    <w:p w14:paraId="2A4241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p>
    <w:p w14:paraId="7E41140B">
      <w:pPr>
        <w:snapToGrid w:val="0"/>
        <w:spacing w:line="360" w:lineRule="auto"/>
        <w:ind w:firstLine="560"/>
        <w:rPr>
          <w:rFonts w:hint="eastAsia" w:ascii="宋体" w:hAnsi="宋体" w:eastAsia="宋体" w:cs="宋体"/>
          <w:color w:val="auto"/>
          <w:sz w:val="21"/>
          <w:szCs w:val="21"/>
          <w:highlight w:val="none"/>
        </w:rPr>
      </w:pPr>
    </w:p>
    <w:p w14:paraId="29DFA0A2">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保障农民工工资支付协议附件1：</w:t>
      </w:r>
    </w:p>
    <w:p w14:paraId="3E954864">
      <w:pPr>
        <w:widowControl/>
        <w:snapToGrid w:val="0"/>
        <w:spacing w:after="100" w:afterAutospacing="1"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关于农民工工资发放情况的说明表</w:t>
      </w:r>
    </w:p>
    <w:tbl>
      <w:tblPr>
        <w:tblStyle w:val="21"/>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96B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6CBF18D">
            <w:pPr>
              <w:widowControl/>
              <w:snapToGrid w:val="0"/>
              <w:spacing w:after="100" w:afterAutospacing="1"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p>
        </w:tc>
      </w:tr>
      <w:tr w14:paraId="05BE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37D34FB5">
            <w:pPr>
              <w:widowControl/>
              <w:snapToGrid w:val="0"/>
              <w:spacing w:after="100" w:afterAutospacing="1"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施工单位：</w:t>
            </w:r>
          </w:p>
        </w:tc>
        <w:tc>
          <w:tcPr>
            <w:tcW w:w="6201" w:type="dxa"/>
          </w:tcPr>
          <w:p w14:paraId="1D99F208">
            <w:pPr>
              <w:widowControl/>
              <w:snapToGrid w:val="0"/>
              <w:spacing w:after="100" w:afterAutospacing="1" w:line="400" w:lineRule="exact"/>
              <w:rPr>
                <w:rFonts w:hint="eastAsia" w:ascii="宋体" w:hAnsi="宋体" w:eastAsia="宋体" w:cs="宋体"/>
                <w:color w:val="auto"/>
                <w:kern w:val="0"/>
                <w:sz w:val="21"/>
                <w:szCs w:val="21"/>
                <w:highlight w:val="none"/>
              </w:rPr>
            </w:pPr>
          </w:p>
        </w:tc>
      </w:tr>
      <w:tr w14:paraId="0F5D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74A7854">
            <w:pPr>
              <w:widowControl/>
              <w:snapToGrid w:val="0"/>
              <w:spacing w:after="100" w:afterAutospacing="1"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监理单位：</w:t>
            </w:r>
          </w:p>
        </w:tc>
        <w:tc>
          <w:tcPr>
            <w:tcW w:w="6201" w:type="dxa"/>
          </w:tcPr>
          <w:p w14:paraId="0BF9572D">
            <w:pPr>
              <w:widowControl/>
              <w:snapToGrid w:val="0"/>
              <w:spacing w:after="100" w:afterAutospacing="1" w:line="400" w:lineRule="exact"/>
              <w:rPr>
                <w:rFonts w:hint="eastAsia" w:ascii="宋体" w:hAnsi="宋体" w:eastAsia="宋体" w:cs="宋体"/>
                <w:color w:val="auto"/>
                <w:kern w:val="0"/>
                <w:sz w:val="21"/>
                <w:szCs w:val="21"/>
                <w:highlight w:val="none"/>
              </w:rPr>
            </w:pPr>
          </w:p>
        </w:tc>
      </w:tr>
      <w:tr w14:paraId="79E8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2A87DC7D">
            <w:pPr>
              <w:widowControl/>
              <w:snapToGrid w:val="0"/>
              <w:spacing w:after="100" w:afterAutospacing="1" w:line="400" w:lineRule="exact"/>
              <w:rPr>
                <w:rFonts w:hint="eastAsia" w:ascii="宋体" w:hAnsi="宋体" w:eastAsia="宋体" w:cs="宋体"/>
                <w:color w:val="auto"/>
                <w:kern w:val="0"/>
                <w:sz w:val="21"/>
                <w:szCs w:val="21"/>
                <w:highlight w:val="none"/>
                <w:u w:val="single"/>
              </w:rPr>
            </w:pPr>
          </w:p>
          <w:p w14:paraId="7B2A0401">
            <w:pPr>
              <w:widowControl/>
              <w:snapToGrid w:val="0"/>
              <w:spacing w:after="100" w:afterAutospacing="1"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（项目业主单位名称）：</w:t>
            </w:r>
          </w:p>
          <w:p w14:paraId="577D3C4F">
            <w:pPr>
              <w:widowControl/>
              <w:snapToGrid w:val="0"/>
              <w:spacing w:after="100" w:afterAutospacing="1"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73B27014">
            <w:pPr>
              <w:pStyle w:val="2"/>
              <w:rPr>
                <w:rFonts w:hint="eastAsia" w:ascii="宋体" w:hAnsi="宋体" w:eastAsia="宋体" w:cs="宋体"/>
                <w:color w:val="auto"/>
                <w:sz w:val="21"/>
                <w:szCs w:val="21"/>
                <w:highlight w:val="none"/>
                <w:lang w:eastAsia="zh-CN"/>
              </w:rPr>
            </w:pPr>
          </w:p>
          <w:p w14:paraId="4B544EED">
            <w:pPr>
              <w:widowControl/>
              <w:snapToGrid w:val="0"/>
              <w:spacing w:after="100" w:afterAutospacing="1" w:line="400" w:lineRule="exact"/>
              <w:ind w:firstLine="1260" w:firstLineChars="6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施工单位项目负责人签名（加盖项目章）：</w:t>
            </w:r>
            <w:r>
              <w:rPr>
                <w:rFonts w:hint="eastAsia" w:ascii="宋体" w:hAnsi="宋体" w:eastAsia="宋体" w:cs="宋体"/>
                <w:color w:val="auto"/>
                <w:kern w:val="0"/>
                <w:sz w:val="21"/>
                <w:szCs w:val="21"/>
                <w:highlight w:val="none"/>
                <w:u w:val="single"/>
              </w:rPr>
              <w:t xml:space="preserve">        </w:t>
            </w:r>
          </w:p>
        </w:tc>
      </w:tr>
      <w:tr w14:paraId="47A2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116DDD96">
            <w:pPr>
              <w:widowControl/>
              <w:snapToGrid w:val="0"/>
              <w:spacing w:after="100" w:afterAutospacing="1"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监理单位意见：</w:t>
            </w:r>
          </w:p>
        </w:tc>
        <w:tc>
          <w:tcPr>
            <w:tcW w:w="6201" w:type="dxa"/>
          </w:tcPr>
          <w:p w14:paraId="7DFBC04C">
            <w:pPr>
              <w:widowControl/>
              <w:snapToGrid w:val="0"/>
              <w:spacing w:after="100" w:afterAutospacing="1" w:line="400" w:lineRule="exact"/>
              <w:rPr>
                <w:rFonts w:hint="eastAsia" w:ascii="宋体" w:hAnsi="宋体" w:eastAsia="宋体" w:cs="宋体"/>
                <w:color w:val="auto"/>
                <w:kern w:val="0"/>
                <w:sz w:val="21"/>
                <w:szCs w:val="21"/>
                <w:highlight w:val="none"/>
                <w:u w:val="single"/>
              </w:rPr>
            </w:pPr>
          </w:p>
          <w:p w14:paraId="6DF2C87A">
            <w:pPr>
              <w:widowControl/>
              <w:snapToGrid w:val="0"/>
              <w:spacing w:after="100" w:afterAutospacing="1" w:line="40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             总监签名并加盖项目章：</w:t>
            </w:r>
            <w:r>
              <w:rPr>
                <w:rFonts w:hint="eastAsia" w:ascii="宋体" w:hAnsi="宋体" w:eastAsia="宋体" w:cs="宋体"/>
                <w:color w:val="auto"/>
                <w:kern w:val="0"/>
                <w:sz w:val="21"/>
                <w:szCs w:val="21"/>
                <w:highlight w:val="none"/>
                <w:u w:val="single"/>
              </w:rPr>
              <w:t xml:space="preserve">        </w:t>
            </w:r>
          </w:p>
        </w:tc>
      </w:tr>
      <w:tr w14:paraId="3D23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2E7DA0B2">
            <w:pPr>
              <w:widowControl/>
              <w:snapToGrid w:val="0"/>
              <w:spacing w:after="100" w:afterAutospacing="1"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工程部项目负责人意见：</w:t>
            </w:r>
          </w:p>
        </w:tc>
        <w:tc>
          <w:tcPr>
            <w:tcW w:w="6201" w:type="dxa"/>
          </w:tcPr>
          <w:p w14:paraId="5297A523">
            <w:pPr>
              <w:widowControl/>
              <w:snapToGrid w:val="0"/>
              <w:spacing w:after="100" w:afterAutospacing="1" w:line="400" w:lineRule="exact"/>
              <w:rPr>
                <w:rFonts w:hint="eastAsia" w:ascii="宋体" w:hAnsi="宋体" w:eastAsia="宋体" w:cs="宋体"/>
                <w:color w:val="auto"/>
                <w:kern w:val="0"/>
                <w:sz w:val="21"/>
                <w:szCs w:val="21"/>
                <w:highlight w:val="none"/>
                <w:u w:val="single"/>
              </w:rPr>
            </w:pPr>
          </w:p>
          <w:p w14:paraId="48248527">
            <w:pPr>
              <w:widowControl/>
              <w:snapToGrid w:val="0"/>
              <w:spacing w:after="100" w:afterAutospacing="1" w:line="40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                   项目负责人签名：</w:t>
            </w:r>
            <w:r>
              <w:rPr>
                <w:rFonts w:hint="eastAsia" w:ascii="宋体" w:hAnsi="宋体" w:eastAsia="宋体" w:cs="宋体"/>
                <w:color w:val="auto"/>
                <w:kern w:val="0"/>
                <w:sz w:val="21"/>
                <w:szCs w:val="21"/>
                <w:highlight w:val="none"/>
                <w:u w:val="single"/>
              </w:rPr>
              <w:t xml:space="preserve">        </w:t>
            </w:r>
          </w:p>
        </w:tc>
      </w:tr>
    </w:tbl>
    <w:p w14:paraId="26BF99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9D063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附件11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质量保证金保函</w:t>
      </w:r>
      <w:r>
        <w:rPr>
          <w:rFonts w:hint="eastAsia" w:ascii="宋体" w:hAnsi="宋体" w:eastAsia="宋体" w:cs="宋体"/>
          <w:color w:val="auto"/>
          <w:sz w:val="21"/>
          <w:szCs w:val="21"/>
          <w:highlight w:val="none"/>
        </w:rPr>
        <w:t>（如有）</w:t>
      </w:r>
    </w:p>
    <w:p w14:paraId="6DFCBE1F">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4A97CF44">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6251C665">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BEDAC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297B1D0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7A7C9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1E71C4A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6099DA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0C77254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2C032FEB">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p>
    <w:p w14:paraId="2AD577B7">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（受益人名称）： </w:t>
      </w:r>
    </w:p>
    <w:p w14:paraId="5E0CF91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工程（以下简称“本工程”）施工和有关事项协商一致共同签订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（合同名称）合同编号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7C3489F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3C7026C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EA0029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三、本保函有效期（保证期间）为以下第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种：</w:t>
      </w:r>
    </w:p>
    <w:p w14:paraId="0BE7C68E">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本保函有效期至</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6017984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C3282EA">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四、我方承诺，在收到受益人发来的书面索赔通知和本保函原件后的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日内无条件支付至受益人指定账户，前述书面索赔通知即为付款要求之单据，且应满足以下要求：</w:t>
      </w:r>
    </w:p>
    <w:p w14:paraId="65CDEA8A">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（1）索赔通知到达的日期在本保函的有效期内；</w:t>
      </w:r>
    </w:p>
    <w:p w14:paraId="27B135A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4C8E733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777458D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441C01D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（5）索赔通知应在本保函有效期内到达的地址是：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49C083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727937A3">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20D86B9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六、与本保函有关的合同不成立、不生效、无效、被撤销、被解除，不影响本保函的独立有效。 </w:t>
      </w:r>
    </w:p>
    <w:p w14:paraId="04F2B1D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0F161DE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375E11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560C9606">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58640011">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2C1F797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68B4CA1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68C649A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5C017B5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0BCA2AB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3D86235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37372DA">
      <w:pPr>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bookmarkEnd w:id="0"/>
      <w:bookmarkEnd w:id="1"/>
      <w:bookmarkEnd w:id="2"/>
      <w:bookmarkEnd w:id="3"/>
      <w:bookmarkEnd w:id="4"/>
      <w:bookmarkEnd w:id="5"/>
      <w:bookmarkEnd w:id="6"/>
      <w:bookmarkEnd w:id="7"/>
      <w:bookmarkEnd w:id="8"/>
      <w:bookmarkEnd w:id="81"/>
      <w:r>
        <w:rPr>
          <w:rFonts w:hint="eastAsia" w:ascii="宋体" w:hAnsi="宋体" w:eastAsia="宋体" w:cs="宋体"/>
          <w:color w:val="auto"/>
          <w:sz w:val="21"/>
          <w:szCs w:val="21"/>
          <w:highlight w:val="none"/>
        </w:rPr>
        <w:br w:type="page"/>
      </w:r>
      <w:bookmarkStart w:id="1016" w:name="招标文件05章工程量清单"/>
      <w:bookmarkEnd w:id="1016"/>
    </w:p>
    <w:p w14:paraId="18BCB53F">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66B84FF6">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p>
    <w:p w14:paraId="208DDA70">
      <w:pPr>
        <w:pStyle w:val="4"/>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t>第七篇  响应文件编制要求</w:t>
      </w:r>
    </w:p>
    <w:p w14:paraId="08BB391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一、经济部分</w:t>
      </w:r>
    </w:p>
    <w:p w14:paraId="043218F2">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（一）竞争性磋商报价函</w:t>
      </w:r>
    </w:p>
    <w:p w14:paraId="6E4B0C1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（二）已标价工程量清单</w:t>
      </w:r>
    </w:p>
    <w:p w14:paraId="2002AC9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二、服务部分</w:t>
      </w:r>
    </w:p>
    <w:p w14:paraId="3029ACB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71D55D9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21801177">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三、商务部分</w:t>
      </w:r>
    </w:p>
    <w:p w14:paraId="4FC123F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7B26D8E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14:paraId="6194F0E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四、资格条件及其他</w:t>
      </w:r>
    </w:p>
    <w:p w14:paraId="64FEBF2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08001446">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2A56235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0FA0BF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657E828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2400EF8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五、其他资料</w:t>
      </w:r>
    </w:p>
    <w:p w14:paraId="7165846C">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6D094071">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w:t>
      </w:r>
    </w:p>
    <w:p w14:paraId="30917BF8">
      <w:pPr>
        <w:rPr>
          <w:rFonts w:hint="eastAsia"/>
          <w:color w:val="auto"/>
          <w:highlight w:val="none"/>
        </w:rPr>
      </w:pPr>
      <w:r>
        <w:rPr>
          <w:rFonts w:hint="eastAsia" w:ascii="宋体" w:hAnsi="宋体" w:eastAsia="宋体" w:cs="宋体"/>
          <w:color w:val="auto"/>
          <w:sz w:val="24"/>
          <w:szCs w:val="24"/>
          <w:highlight w:val="none"/>
        </w:rPr>
        <w:br w:type="page"/>
      </w:r>
    </w:p>
    <w:p w14:paraId="31CEA688">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017" w:name="_Toc15455"/>
      <w:bookmarkStart w:id="1018" w:name="_Toc7751"/>
      <w:r>
        <w:rPr>
          <w:rFonts w:hint="eastAsia" w:ascii="宋体" w:hAnsi="宋体" w:eastAsia="宋体" w:cs="宋体"/>
          <w:color w:val="auto"/>
          <w:sz w:val="24"/>
          <w:szCs w:val="24"/>
          <w:highlight w:val="none"/>
        </w:rPr>
        <w:t>一、经济部分</w:t>
      </w:r>
      <w:bookmarkEnd w:id="1017"/>
      <w:bookmarkEnd w:id="1018"/>
    </w:p>
    <w:p w14:paraId="26F56A56">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157A18A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4015FA7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73DA208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6F33011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1、愿意按照竞争性磋商文件中的一切要求，提供本项目的服务费初始报价为人民币：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。以我公司最后报价为准。</w:t>
      </w:r>
    </w:p>
    <w:p w14:paraId="453C528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2.我方现提交的响应文件为：响应文件正本1份，副本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，电子文档</w:t>
      </w:r>
      <w:r>
        <w:rPr>
          <w:rFonts w:hint="eastAsia" w:ascii="宋体" w:hAnsi="宋体" w:cs="宋体"/>
          <w:color w:val="auto"/>
          <w:sz w:val="24"/>
          <w:szCs w:val="24"/>
          <w:highlight w:val="none"/>
          <w:lang w:val="en-US" w:eastAsia="zh-CN"/>
        </w:rPr>
        <w:t>1份</w:t>
      </w:r>
      <w:r>
        <w:rPr>
          <w:rFonts w:hint="eastAsia" w:ascii="宋体" w:hAnsi="宋体" w:eastAsia="宋体" w:cs="宋体"/>
          <w:color w:val="auto"/>
          <w:sz w:val="24"/>
          <w:szCs w:val="24"/>
          <w:highlight w:val="none"/>
        </w:rPr>
        <w:t>。</w:t>
      </w:r>
    </w:p>
    <w:p w14:paraId="5EDEEDA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p w14:paraId="57A003A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2A645E1A">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5、在整个竞争性磋商过程中，我方若有违规行为，接受按照《中华人民共和国政府采购法》及其实施条例等规定给予惩罚。</w:t>
      </w:r>
    </w:p>
    <w:p w14:paraId="49B95F3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，将按照最终磋商结果签订合同，并且严格履行合同义务。本承诺函将成为合同不可分割的一部分，与合同具有同等的法律效力。</w:t>
      </w:r>
    </w:p>
    <w:p w14:paraId="415CDED6">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我方理解，最低报价不是成交的唯一条件。</w:t>
      </w:r>
    </w:p>
    <w:p w14:paraId="477C12D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8、我方同意按竞争性磋商文件规定，交纳竞争性磋商文件要求的磋商保证金。</w:t>
      </w:r>
    </w:p>
    <w:p w14:paraId="369DD9E8">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9、我方未为采购项目提供整体设计、规范编制或者项目管理、监理、检测等服务。</w:t>
      </w:r>
    </w:p>
    <w:p w14:paraId="424F2689">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4B891E0C">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4D354833">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349C557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2897E9C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B640CC3">
      <w:pPr>
        <w:pStyle w:val="16"/>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sz w:val="24"/>
          <w:szCs w:val="24"/>
          <w:highlight w:val="none"/>
        </w:rPr>
      </w:pPr>
    </w:p>
    <w:p w14:paraId="6CE8EC3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35F8913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3E23D570">
      <w:pPr>
        <w:pStyle w:val="16"/>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sz w:val="24"/>
          <w:szCs w:val="24"/>
          <w:highlight w:val="none"/>
        </w:rPr>
      </w:pPr>
    </w:p>
    <w:p w14:paraId="33F0898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p>
    <w:p w14:paraId="5798171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已标价工程量清单</w:t>
      </w:r>
    </w:p>
    <w:p w14:paraId="6F74C5F5">
      <w:pPr>
        <w:pStyle w:val="16"/>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lang w:val="en-US" w:eastAsia="zh-CN"/>
        </w:rPr>
      </w:pPr>
    </w:p>
    <w:p w14:paraId="33556A2D">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p>
    <w:p w14:paraId="3F077E54">
      <w:pPr>
        <w:pStyle w:val="16"/>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5053D988">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3B626F3C">
      <w:pPr>
        <w:pStyle w:val="16"/>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3BA7024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9650CA7">
      <w:pPr>
        <w:pStyle w:val="16"/>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4985C8B7">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534DE706">
      <w:pPr>
        <w:pStyle w:val="16"/>
        <w:kinsoku/>
        <w:wordWrap/>
        <w:overflowPunct/>
        <w:topLinePunct w:val="0"/>
        <w:autoSpaceDE/>
        <w:autoSpaceDN/>
        <w:bidi w:val="0"/>
        <w:spacing w:before="0" w:after="0" w:line="440" w:lineRule="exact"/>
        <w:ind w:left="0" w:leftChars="0" w:right="0" w:rightChars="0"/>
        <w:textAlignment w:val="auto"/>
        <w:rPr>
          <w:rFonts w:hint="eastAsia" w:ascii="宋体" w:hAnsi="宋体" w:eastAsia="宋体" w:cs="宋体"/>
          <w:color w:val="auto"/>
          <w:highlight w:val="none"/>
        </w:rPr>
      </w:pPr>
    </w:p>
    <w:p w14:paraId="3C0DEBE7">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F7EF0A">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bookmarkStart w:id="1019" w:name="_Toc5448"/>
      <w:bookmarkStart w:id="1020" w:name="_Toc342913420"/>
      <w:bookmarkStart w:id="1021" w:name="_Toc313008357"/>
      <w:bookmarkStart w:id="1022" w:name="_Toc9573"/>
      <w:bookmarkStart w:id="1023" w:name="_Toc24044"/>
      <w:bookmarkStart w:id="1024" w:name="_Toc313888361"/>
    </w:p>
    <w:p w14:paraId="5979DF08">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bookmarkStart w:id="1025" w:name="_Toc6352"/>
      <w:r>
        <w:rPr>
          <w:rFonts w:hint="eastAsia" w:ascii="宋体" w:hAnsi="宋体" w:eastAsia="宋体" w:cs="宋体"/>
          <w:color w:val="auto"/>
          <w:sz w:val="24"/>
          <w:szCs w:val="24"/>
          <w:highlight w:val="none"/>
        </w:rPr>
        <w:t>二、服务部分</w:t>
      </w:r>
      <w:bookmarkEnd w:id="1019"/>
      <w:bookmarkEnd w:id="1020"/>
      <w:bookmarkEnd w:id="1021"/>
      <w:bookmarkEnd w:id="1022"/>
      <w:bookmarkEnd w:id="1023"/>
      <w:bookmarkEnd w:id="1024"/>
      <w:bookmarkEnd w:id="1025"/>
    </w:p>
    <w:p w14:paraId="47CA683B">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（一）服务响应偏离表</w:t>
      </w:r>
    </w:p>
    <w:p w14:paraId="1B180CA3">
      <w:pPr>
        <w:pStyle w:val="13"/>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w:t>
      </w:r>
    </w:p>
    <w:p w14:paraId="06EA9751">
      <w:pPr>
        <w:pStyle w:val="13"/>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672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A96DFE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vAlign w:val="center"/>
          </w:tcPr>
          <w:p w14:paraId="09074F9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vAlign w:val="center"/>
          </w:tcPr>
          <w:p w14:paraId="143B41E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vAlign w:val="center"/>
          </w:tcPr>
          <w:p w14:paraId="709DF99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5515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6DBFEC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038E612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72998DF5">
            <w:pPr>
              <w:tabs>
                <w:tab w:val="left" w:pos="6300"/>
              </w:tabs>
              <w:kinsoku/>
              <w:wordWrap/>
              <w:overflowPunct/>
              <w:topLinePunct w:val="0"/>
              <w:autoSpaceDE/>
              <w:autoSpaceDN/>
              <w:bidi w:val="0"/>
              <w:snapToGrid w:val="0"/>
              <w:spacing w:line="440" w:lineRule="exact"/>
              <w:ind w:left="0" w:leftChars="0" w:right="0" w:rightChars="0"/>
              <w:textAlignment w:val="auto"/>
              <w:outlineLvl w:val="0"/>
              <w:rPr>
                <w:rFonts w:hint="eastAsia" w:ascii="宋体" w:hAnsi="宋体" w:eastAsia="宋体" w:cs="宋体"/>
                <w:color w:val="auto"/>
                <w:sz w:val="21"/>
                <w:szCs w:val="21"/>
                <w:highlight w:val="none"/>
              </w:rPr>
            </w:pPr>
          </w:p>
        </w:tc>
        <w:tc>
          <w:tcPr>
            <w:tcW w:w="2309" w:type="dxa"/>
            <w:vAlign w:val="center"/>
          </w:tcPr>
          <w:p w14:paraId="5E40A9C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7C01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291C6D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386B2DE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308352F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1973697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4F41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67E35C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744CB60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00F184A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76DE5B7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7DE7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59B9C9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7B5A3D2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35AFDCE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41B6680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1DAD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871DB4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11B6FE5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03B11CA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0A8D57E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2032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26996F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CD773D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0289482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6D90B69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1E0C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A4DE09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61E3EC6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363F8D1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557D9C6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5F12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DE35D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3A64ED04">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1CB64EF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3CB2F30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3887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01E3D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138FC8B5">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33EC7DA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4782490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r w14:paraId="191B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5C9521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967" w:type="dxa"/>
            <w:vAlign w:val="center"/>
          </w:tcPr>
          <w:p w14:paraId="4FBB8D3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3081" w:type="dxa"/>
            <w:vAlign w:val="center"/>
          </w:tcPr>
          <w:p w14:paraId="362E8C4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c>
          <w:tcPr>
            <w:tcW w:w="2309" w:type="dxa"/>
            <w:vAlign w:val="center"/>
          </w:tcPr>
          <w:p w14:paraId="5EFE0D0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1"/>
                <w:highlight w:val="none"/>
              </w:rPr>
            </w:pPr>
          </w:p>
        </w:tc>
      </w:tr>
    </w:tbl>
    <w:p w14:paraId="3BF97CA6">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w:t>
      </w:r>
    </w:p>
    <w:p w14:paraId="3134FEE5">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8"/>
          <w:highlight w:val="none"/>
        </w:rPr>
      </w:pPr>
    </w:p>
    <w:p w14:paraId="00868322">
      <w:pPr>
        <w:kinsoku/>
        <w:wordWrap/>
        <w:overflowPunct/>
        <w:topLinePunct w:val="0"/>
        <w:autoSpaceDE/>
        <w:autoSpaceDN/>
        <w:bidi w:val="0"/>
        <w:spacing w:line="440" w:lineRule="exact"/>
        <w:ind w:left="0" w:leftChars="0" w:right="0" w:rightChars="0"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777C101C">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424138C3">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13843E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1.本表即为对本项目“第二篇  项目服务需求”中所列条款进行比较和响应；</w:t>
      </w:r>
    </w:p>
    <w:p w14:paraId="33547D9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57643856">
      <w:pP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br w:type="page"/>
      </w:r>
    </w:p>
    <w:p w14:paraId="0BE1DF9B">
      <w:pPr>
        <w:kinsoku/>
        <w:wordWrap/>
        <w:overflowPunct/>
        <w:topLinePunct w:val="0"/>
        <w:autoSpaceDE/>
        <w:autoSpaceDN/>
        <w:bidi w:val="0"/>
        <w:spacing w:line="440" w:lineRule="exact"/>
        <w:ind w:left="0" w:leftChars="0" w:right="0" w:right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（二）其他资料（格式自定）</w:t>
      </w:r>
    </w:p>
    <w:p w14:paraId="4A690F00">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b w:val="0"/>
          <w:color w:val="auto"/>
          <w:highlight w:val="none"/>
        </w:rPr>
      </w:pPr>
    </w:p>
    <w:p w14:paraId="4882C79F">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b w:val="0"/>
          <w:color w:val="auto"/>
          <w:highlight w:val="none"/>
        </w:rPr>
      </w:pPr>
    </w:p>
    <w:p w14:paraId="14CDC696">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highlight w:val="none"/>
        </w:rPr>
        <w:br w:type="page"/>
      </w:r>
      <w:bookmarkStart w:id="1026" w:name="_Toc313008358"/>
      <w:bookmarkStart w:id="1027" w:name="_Toc30652"/>
      <w:bookmarkStart w:id="1028" w:name="_Toc5445"/>
      <w:bookmarkStart w:id="1029" w:name="_Toc342913421"/>
      <w:bookmarkStart w:id="1030" w:name="_Toc9361"/>
      <w:bookmarkStart w:id="1031" w:name="_Toc313888362"/>
      <w:bookmarkStart w:id="1032" w:name="_Toc15488"/>
      <w:r>
        <w:rPr>
          <w:rFonts w:hint="eastAsia" w:ascii="宋体" w:hAnsi="宋体" w:eastAsia="宋体" w:cs="宋体"/>
          <w:color w:val="auto"/>
          <w:sz w:val="24"/>
          <w:szCs w:val="24"/>
          <w:highlight w:val="none"/>
        </w:rPr>
        <w:t>三、商务部分</w:t>
      </w:r>
      <w:bookmarkEnd w:id="1026"/>
      <w:bookmarkEnd w:id="1027"/>
      <w:bookmarkEnd w:id="1028"/>
      <w:bookmarkEnd w:id="1029"/>
      <w:bookmarkEnd w:id="1030"/>
      <w:bookmarkEnd w:id="1031"/>
      <w:bookmarkEnd w:id="1032"/>
    </w:p>
    <w:p w14:paraId="7D3776C5">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bookmarkStart w:id="1033" w:name="_Toc283382459"/>
      <w:r>
        <w:rPr>
          <w:rFonts w:hint="eastAsia" w:ascii="宋体" w:hAnsi="宋体" w:eastAsia="宋体" w:cs="宋体"/>
          <w:color w:val="auto"/>
          <w:sz w:val="24"/>
          <w:szCs w:val="24"/>
          <w:highlight w:val="none"/>
        </w:rPr>
        <w:t>商务响应偏离表</w:t>
      </w:r>
    </w:p>
    <w:p w14:paraId="69735A42">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项目编号：</w:t>
      </w:r>
    </w:p>
    <w:p w14:paraId="5980C6F9">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2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3D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6214E0E">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2524D05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vAlign w:val="center"/>
          </w:tcPr>
          <w:p w14:paraId="3F08408D">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CEFEBE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1AEA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FCE85A">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26DA11AB">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1F3B16F9">
            <w:pPr>
              <w:tabs>
                <w:tab w:val="left" w:pos="6300"/>
              </w:tabs>
              <w:kinsoku/>
              <w:wordWrap/>
              <w:overflowPunct/>
              <w:topLinePunct w:val="0"/>
              <w:autoSpaceDE/>
              <w:autoSpaceDN/>
              <w:bidi w:val="0"/>
              <w:snapToGrid w:val="0"/>
              <w:spacing w:line="440" w:lineRule="exact"/>
              <w:ind w:left="0" w:leftChars="0" w:right="0" w:rightChars="0"/>
              <w:textAlignment w:val="auto"/>
              <w:outlineLvl w:val="0"/>
              <w:rPr>
                <w:rFonts w:hint="eastAsia" w:ascii="宋体" w:hAnsi="宋体" w:eastAsia="宋体" w:cs="宋体"/>
                <w:color w:val="auto"/>
                <w:sz w:val="21"/>
                <w:szCs w:val="24"/>
                <w:highlight w:val="none"/>
              </w:rPr>
            </w:pPr>
          </w:p>
        </w:tc>
        <w:tc>
          <w:tcPr>
            <w:tcW w:w="2355" w:type="dxa"/>
            <w:vAlign w:val="center"/>
          </w:tcPr>
          <w:p w14:paraId="60F57BA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7878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AAF48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42A5703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5A7E23C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52F88F9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1619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C68876">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29350FD4">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068E769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083881C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24DE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4033853">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0C38539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4089597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463FC27C">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505E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2F9800">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1B8E6498">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41412D4E">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17A82B11">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r w14:paraId="356C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05AEF7">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3179" w:type="dxa"/>
            <w:vAlign w:val="center"/>
          </w:tcPr>
          <w:p w14:paraId="4B64804F">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434" w:type="dxa"/>
            <w:vAlign w:val="center"/>
          </w:tcPr>
          <w:p w14:paraId="7B4393A9">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c>
          <w:tcPr>
            <w:tcW w:w="2355" w:type="dxa"/>
            <w:vAlign w:val="center"/>
          </w:tcPr>
          <w:p w14:paraId="57BEC6F2">
            <w:pPr>
              <w:tabs>
                <w:tab w:val="left" w:pos="6300"/>
              </w:tabs>
              <w:kinsoku/>
              <w:wordWrap/>
              <w:overflowPunct/>
              <w:topLinePunct w:val="0"/>
              <w:autoSpaceDE/>
              <w:autoSpaceDN/>
              <w:bidi w:val="0"/>
              <w:snapToGrid w:val="0"/>
              <w:spacing w:line="440" w:lineRule="exact"/>
              <w:ind w:left="0" w:leftChars="0" w:right="0" w:rightChars="0"/>
              <w:jc w:val="center"/>
              <w:textAlignment w:val="auto"/>
              <w:outlineLvl w:val="0"/>
              <w:rPr>
                <w:rFonts w:hint="eastAsia" w:ascii="宋体" w:hAnsi="宋体" w:eastAsia="宋体" w:cs="宋体"/>
                <w:color w:val="auto"/>
                <w:sz w:val="21"/>
                <w:szCs w:val="24"/>
                <w:highlight w:val="none"/>
              </w:rPr>
            </w:pPr>
          </w:p>
        </w:tc>
      </w:tr>
    </w:tbl>
    <w:p w14:paraId="7122073A">
      <w:pPr>
        <w:kinsoku/>
        <w:wordWrap/>
        <w:overflowPunct/>
        <w:topLinePunct w:val="0"/>
        <w:autoSpaceDE/>
        <w:autoSpaceDN/>
        <w:bidi w:val="0"/>
        <w:snapToGrid w:val="0"/>
        <w:spacing w:line="440" w:lineRule="exact"/>
        <w:ind w:left="0" w:leftChars="0" w:right="0" w:rightChars="0" w:firstLine="465"/>
        <w:textAlignment w:val="auto"/>
        <w:rPr>
          <w:rFonts w:hint="eastAsia" w:ascii="宋体" w:hAnsi="宋体" w:eastAsia="宋体" w:cs="宋体"/>
          <w:color w:val="auto"/>
          <w:sz w:val="24"/>
          <w:szCs w:val="24"/>
          <w:highlight w:val="none"/>
        </w:rPr>
      </w:pPr>
    </w:p>
    <w:p w14:paraId="3355CEC0">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w:t>
      </w:r>
    </w:p>
    <w:p w14:paraId="7D8E268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8"/>
          <w:highlight w:val="none"/>
        </w:rPr>
      </w:pPr>
    </w:p>
    <w:p w14:paraId="2B2F28FC">
      <w:pPr>
        <w:kinsoku/>
        <w:wordWrap/>
        <w:overflowPunct/>
        <w:topLinePunct w:val="0"/>
        <w:autoSpaceDE/>
        <w:autoSpaceDN/>
        <w:bidi w:val="0"/>
        <w:spacing w:line="440" w:lineRule="exact"/>
        <w:ind w:left="0" w:leftChars="0" w:right="0" w:rightChars="0" w:firstLine="360" w:firstLineChars="1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1B2C2772">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440ED211">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5E1970E">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项目商务需求”中所列条款进行比较和响应；</w:t>
      </w:r>
    </w:p>
    <w:p w14:paraId="54B0790D">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15A34872">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4"/>
          <w:highlight w:val="none"/>
        </w:rPr>
      </w:pPr>
    </w:p>
    <w:p w14:paraId="44FCE5DB">
      <w:pPr>
        <w:kinsoku/>
        <w:wordWrap/>
        <w:overflowPunct/>
        <w:topLinePunct w:val="0"/>
        <w:autoSpaceDE/>
        <w:autoSpaceDN/>
        <w:bidi w:val="0"/>
        <w:spacing w:line="440" w:lineRule="exact"/>
        <w:ind w:left="0" w:leftChars="0" w:right="0" w:rightChars="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（二）其它优惠承诺（格式自定）</w:t>
      </w:r>
    </w:p>
    <w:p w14:paraId="4B7B8633">
      <w:pPr>
        <w:pStyle w:val="5"/>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End w:id="1033"/>
      <w:bookmarkStart w:id="1034" w:name="_Toc342913422"/>
      <w:bookmarkStart w:id="1035" w:name="_Toc13012"/>
      <w:bookmarkStart w:id="1036" w:name="_Toc313008359"/>
      <w:bookmarkStart w:id="1037" w:name="_Toc5971"/>
      <w:bookmarkStart w:id="1038" w:name="_Toc10102"/>
      <w:bookmarkStart w:id="1039" w:name="_Toc2522"/>
      <w:bookmarkStart w:id="1040" w:name="_Toc313888363"/>
      <w:r>
        <w:rPr>
          <w:rFonts w:hint="eastAsia" w:ascii="宋体" w:hAnsi="宋体" w:eastAsia="宋体" w:cs="宋体"/>
          <w:color w:val="auto"/>
          <w:sz w:val="24"/>
          <w:szCs w:val="24"/>
          <w:highlight w:val="none"/>
        </w:rPr>
        <w:t>四、资格条件及其他</w:t>
      </w:r>
      <w:bookmarkEnd w:id="1034"/>
      <w:bookmarkEnd w:id="1035"/>
      <w:bookmarkEnd w:id="1036"/>
      <w:bookmarkEnd w:id="1037"/>
      <w:bookmarkEnd w:id="1038"/>
      <w:bookmarkEnd w:id="1039"/>
      <w:bookmarkEnd w:id="1040"/>
    </w:p>
    <w:p w14:paraId="1C1AA3D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67771DD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p>
    <w:p w14:paraId="74ABC4F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highlight w:val="none"/>
        </w:rPr>
      </w:pPr>
    </w:p>
    <w:p w14:paraId="60C5B116">
      <w:pPr>
        <w:widowControl/>
        <w:kinsoku/>
        <w:wordWrap/>
        <w:overflowPunct/>
        <w:topLinePunct w:val="0"/>
        <w:autoSpaceDE/>
        <w:autoSpaceDN/>
        <w:bidi w:val="0"/>
        <w:spacing w:line="440" w:lineRule="exact"/>
        <w:ind w:left="0" w:leftChars="0" w:right="0" w:rightChars="0"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（三）法定代表人身份证明书（格式）</w:t>
      </w:r>
    </w:p>
    <w:p w14:paraId="1E75CD0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315DBFA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CE5D6BA">
      <w:pPr>
        <w:tabs>
          <w:tab w:val="left" w:pos="6300"/>
        </w:tabs>
        <w:snapToGrid w:val="0"/>
        <w:spacing w:line="500" w:lineRule="exact"/>
        <w:ind w:firstLine="570"/>
        <w:rPr>
          <w:rFonts w:hint="eastAsia" w:ascii="宋体" w:hAnsi="宋体" w:eastAsia="宋体" w:cs="宋体"/>
          <w:color w:val="auto"/>
          <w:sz w:val="24"/>
          <w:highlight w:val="none"/>
        </w:rPr>
      </w:pPr>
    </w:p>
    <w:p w14:paraId="07F4671B">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B44B96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040B85D5">
      <w:pPr>
        <w:tabs>
          <w:tab w:val="left" w:pos="6300"/>
        </w:tabs>
        <w:snapToGrid w:val="0"/>
        <w:spacing w:line="500" w:lineRule="exact"/>
        <w:ind w:firstLine="570"/>
        <w:rPr>
          <w:rFonts w:hint="eastAsia" w:ascii="宋体" w:hAnsi="宋体" w:eastAsia="宋体" w:cs="宋体"/>
          <w:color w:val="auto"/>
          <w:sz w:val="24"/>
          <w:highlight w:val="none"/>
        </w:rPr>
      </w:pPr>
    </w:p>
    <w:p w14:paraId="3C088D9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944A2F8">
      <w:pPr>
        <w:tabs>
          <w:tab w:val="left" w:pos="6300"/>
        </w:tabs>
        <w:snapToGrid w:val="0"/>
        <w:spacing w:line="500" w:lineRule="exact"/>
        <w:ind w:firstLine="570"/>
        <w:rPr>
          <w:rFonts w:hint="eastAsia" w:ascii="宋体" w:hAnsi="宋体" w:eastAsia="宋体" w:cs="宋体"/>
          <w:color w:val="auto"/>
          <w:sz w:val="24"/>
          <w:highlight w:val="none"/>
        </w:rPr>
      </w:pPr>
    </w:p>
    <w:p w14:paraId="53D1978B">
      <w:pPr>
        <w:tabs>
          <w:tab w:val="left" w:pos="6300"/>
        </w:tabs>
        <w:snapToGrid w:val="0"/>
        <w:spacing w:line="500" w:lineRule="exact"/>
        <w:ind w:firstLine="570"/>
        <w:rPr>
          <w:rFonts w:hint="eastAsia" w:ascii="宋体" w:hAnsi="宋体" w:eastAsia="宋体" w:cs="宋体"/>
          <w:color w:val="auto"/>
          <w:sz w:val="24"/>
          <w:highlight w:val="none"/>
        </w:rPr>
      </w:pPr>
    </w:p>
    <w:p w14:paraId="25C3FDA0">
      <w:pPr>
        <w:tabs>
          <w:tab w:val="left" w:pos="6300"/>
        </w:tabs>
        <w:snapToGrid w:val="0"/>
        <w:spacing w:line="500" w:lineRule="exact"/>
        <w:ind w:firstLine="570"/>
        <w:rPr>
          <w:rFonts w:hint="eastAsia" w:ascii="宋体" w:hAnsi="宋体" w:eastAsia="宋体" w:cs="宋体"/>
          <w:color w:val="auto"/>
          <w:sz w:val="24"/>
          <w:highlight w:val="none"/>
        </w:rPr>
      </w:pPr>
    </w:p>
    <w:p w14:paraId="01D0F71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7C66C11A">
      <w:pPr>
        <w:tabs>
          <w:tab w:val="left" w:pos="6300"/>
        </w:tabs>
        <w:snapToGrid w:val="0"/>
        <w:spacing w:line="500" w:lineRule="exact"/>
        <w:ind w:firstLine="570"/>
        <w:rPr>
          <w:rFonts w:hint="eastAsia" w:ascii="宋体" w:hAnsi="宋体" w:eastAsia="宋体" w:cs="宋体"/>
          <w:color w:val="auto"/>
          <w:sz w:val="24"/>
          <w:highlight w:val="none"/>
        </w:rPr>
      </w:pPr>
    </w:p>
    <w:p w14:paraId="10AC102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559335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4643ADF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A8B269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21F0D818">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67B5A0B5">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750482F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highlight w:val="none"/>
        </w:rPr>
      </w:pPr>
    </w:p>
    <w:p w14:paraId="09CA6009">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（四）法定代表人授权委托书（格式）</w:t>
      </w:r>
    </w:p>
    <w:p w14:paraId="7913A5D6">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5CCADF9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689B845">
      <w:pPr>
        <w:tabs>
          <w:tab w:val="left" w:pos="6300"/>
        </w:tabs>
        <w:snapToGrid w:val="0"/>
        <w:spacing w:line="500" w:lineRule="exact"/>
        <w:ind w:firstLine="570"/>
        <w:rPr>
          <w:rFonts w:hint="eastAsia" w:ascii="宋体" w:hAnsi="宋体" w:eastAsia="宋体" w:cs="宋体"/>
          <w:color w:val="auto"/>
          <w:sz w:val="24"/>
          <w:highlight w:val="none"/>
        </w:rPr>
      </w:pPr>
    </w:p>
    <w:p w14:paraId="58E55CB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640D135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7B0DA19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09BCB14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54F2E245">
      <w:pPr>
        <w:tabs>
          <w:tab w:val="left" w:pos="6300"/>
        </w:tabs>
        <w:snapToGrid w:val="0"/>
        <w:spacing w:line="500" w:lineRule="exact"/>
        <w:ind w:firstLine="570"/>
        <w:rPr>
          <w:rFonts w:hint="eastAsia" w:ascii="宋体" w:hAnsi="宋体" w:eastAsia="宋体" w:cs="宋体"/>
          <w:color w:val="auto"/>
          <w:sz w:val="24"/>
          <w:highlight w:val="none"/>
        </w:rPr>
      </w:pPr>
    </w:p>
    <w:p w14:paraId="5E9F7C0F">
      <w:pPr>
        <w:tabs>
          <w:tab w:val="left" w:pos="6300"/>
        </w:tabs>
        <w:snapToGrid w:val="0"/>
        <w:spacing w:line="500" w:lineRule="exact"/>
        <w:ind w:firstLine="570"/>
        <w:rPr>
          <w:rFonts w:hint="eastAsia" w:ascii="宋体" w:hAnsi="宋体" w:eastAsia="宋体" w:cs="宋体"/>
          <w:color w:val="auto"/>
          <w:sz w:val="24"/>
          <w:highlight w:val="none"/>
        </w:rPr>
      </w:pPr>
    </w:p>
    <w:p w14:paraId="6A0595D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7FB73ED0">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278DE573">
      <w:pPr>
        <w:tabs>
          <w:tab w:val="left" w:pos="6300"/>
        </w:tabs>
        <w:snapToGrid w:val="0"/>
        <w:spacing w:line="500" w:lineRule="exact"/>
        <w:ind w:firstLine="570"/>
        <w:rPr>
          <w:rFonts w:hint="eastAsia" w:ascii="宋体" w:hAnsi="宋体" w:eastAsia="宋体" w:cs="宋体"/>
          <w:color w:val="auto"/>
          <w:sz w:val="24"/>
          <w:szCs w:val="28"/>
          <w:highlight w:val="none"/>
        </w:rPr>
      </w:pPr>
    </w:p>
    <w:p w14:paraId="75202CEC">
      <w:pPr>
        <w:tabs>
          <w:tab w:val="left" w:pos="6300"/>
        </w:tabs>
        <w:snapToGrid w:val="0"/>
        <w:spacing w:line="500" w:lineRule="exact"/>
        <w:ind w:firstLine="570"/>
        <w:rPr>
          <w:rFonts w:hint="eastAsia" w:ascii="宋体" w:hAnsi="宋体" w:eastAsia="宋体" w:cs="宋体"/>
          <w:color w:val="auto"/>
          <w:sz w:val="24"/>
          <w:highlight w:val="none"/>
        </w:rPr>
      </w:pPr>
    </w:p>
    <w:p w14:paraId="599DD9E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191812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EB0F1E8">
      <w:pPr>
        <w:tabs>
          <w:tab w:val="left" w:pos="6300"/>
        </w:tabs>
        <w:snapToGrid w:val="0"/>
        <w:spacing w:line="500" w:lineRule="exact"/>
        <w:ind w:firstLine="570"/>
        <w:rPr>
          <w:rFonts w:hint="eastAsia" w:ascii="宋体" w:hAnsi="宋体" w:eastAsia="宋体" w:cs="宋体"/>
          <w:color w:val="auto"/>
          <w:sz w:val="24"/>
          <w:highlight w:val="none"/>
        </w:rPr>
      </w:pPr>
    </w:p>
    <w:p w14:paraId="107C938B">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C9BE9A2">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9BC31F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3F6FFC4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E6DC7D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6CBD460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0" w:firstLine="57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74F0AEFE">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highlight w:val="none"/>
        </w:rPr>
      </w:pPr>
      <w:r>
        <w:rPr>
          <w:rFonts w:ascii="宋体" w:hAnsi="宋体"/>
          <w:color w:val="auto"/>
          <w:highlight w:val="none"/>
        </w:rPr>
        <w:br w:type="column"/>
      </w:r>
    </w:p>
    <w:p w14:paraId="768A90F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02CFAD60">
      <w:pPr>
        <w:tabs>
          <w:tab w:val="left" w:pos="6300"/>
        </w:tabs>
        <w:kinsoku/>
        <w:wordWrap/>
        <w:overflowPunct/>
        <w:topLinePunct w:val="0"/>
        <w:autoSpaceDE/>
        <w:autoSpaceDN/>
        <w:bidi w:val="0"/>
        <w:snapToGrid w:val="0"/>
        <w:spacing w:line="440" w:lineRule="exact"/>
        <w:ind w:left="0" w:leftChars="0" w:right="0" w:rightChars="0"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44A65C82">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highlight w:val="none"/>
        </w:rPr>
      </w:pPr>
    </w:p>
    <w:p w14:paraId="419B5A7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6B5470B8">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60C6408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139A20F7">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1259C06">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3.我方在采购项目评审（评标）环节结束后，随时接受采购人的检查验证，配合提供相关证明材料，证明符合《中华人民共和国政府采购法》规定的供应商基本资格条件。</w:t>
      </w:r>
    </w:p>
    <w:p w14:paraId="2DC67D6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9C045D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F6A67F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p>
    <w:p w14:paraId="49DD738F">
      <w:pPr>
        <w:tabs>
          <w:tab w:val="left" w:pos="6300"/>
        </w:tabs>
        <w:kinsoku/>
        <w:wordWrap/>
        <w:overflowPunct/>
        <w:topLinePunct w:val="0"/>
        <w:autoSpaceDE/>
        <w:autoSpaceDN/>
        <w:bidi w:val="0"/>
        <w:snapToGrid w:val="0"/>
        <w:spacing w:line="440" w:lineRule="exact"/>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593D12E6">
      <w:pPr>
        <w:tabs>
          <w:tab w:val="left" w:pos="6300"/>
        </w:tabs>
        <w:kinsoku/>
        <w:wordWrap/>
        <w:overflowPunct/>
        <w:topLinePunct w:val="0"/>
        <w:autoSpaceDE/>
        <w:autoSpaceDN/>
        <w:bidi w:val="0"/>
        <w:snapToGrid w:val="0"/>
        <w:spacing w:line="440" w:lineRule="exact"/>
        <w:ind w:left="0" w:leftChars="0" w:right="0" w:rightChars="0"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8E4D3D0">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p>
    <w:p w14:paraId="78A39F5F">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691678F">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67AF10D3">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0C5DCC3E">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2360252A">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68635EC0">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3EEDFA13">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0E953FA8">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CFD1DD2">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6E61E70D">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48586D34">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5373178D">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3A02816">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584B3CB">
      <w:pPr>
        <w:tabs>
          <w:tab w:val="left" w:pos="6300"/>
        </w:tabs>
        <w:kinsoku/>
        <w:wordWrap/>
        <w:overflowPunct/>
        <w:topLinePunct w:val="0"/>
        <w:autoSpaceDE/>
        <w:autoSpaceDN/>
        <w:bidi w:val="0"/>
        <w:snapToGrid w:val="0"/>
        <w:spacing w:line="440" w:lineRule="exact"/>
        <w:ind w:left="0" w:leftChars="0" w:right="0" w:rightChars="0" w:firstLine="560" w:firstLineChars="200"/>
        <w:textAlignment w:val="auto"/>
        <w:rPr>
          <w:rFonts w:hint="eastAsia" w:ascii="宋体" w:hAnsi="宋体" w:eastAsia="宋体" w:cs="宋体"/>
          <w:color w:val="auto"/>
          <w:highlight w:val="none"/>
        </w:rPr>
      </w:pPr>
    </w:p>
    <w:p w14:paraId="73DCC0B0">
      <w:pPr>
        <w:pStyle w:val="5"/>
        <w:kinsoku/>
        <w:wordWrap/>
        <w:overflowPunct/>
        <w:topLinePunct w:val="0"/>
        <w:autoSpaceDE/>
        <w:autoSpaceDN/>
        <w:bidi w:val="0"/>
        <w:adjustRightInd w:val="0"/>
        <w:snapToGrid w:val="0"/>
        <w:spacing w:line="440" w:lineRule="exact"/>
        <w:ind w:left="0" w:leftChars="0" w:right="0" w:rightChars="0" w:firstLine="643"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041" w:name="_Toc106030910"/>
      <w:bookmarkStart w:id="1042" w:name="_Toc3646"/>
      <w:bookmarkStart w:id="1043" w:name="_Toc76462354"/>
      <w:bookmarkStart w:id="1044" w:name="_Toc14422"/>
      <w:r>
        <w:rPr>
          <w:rFonts w:hint="eastAsia" w:ascii="宋体" w:hAnsi="宋体" w:eastAsia="宋体" w:cs="宋体"/>
          <w:color w:val="auto"/>
          <w:sz w:val="24"/>
          <w:highlight w:val="none"/>
        </w:rPr>
        <w:t>五、其他资料</w:t>
      </w:r>
      <w:bookmarkEnd w:id="1041"/>
      <w:bookmarkEnd w:id="1042"/>
      <w:bookmarkEnd w:id="1043"/>
    </w:p>
    <w:p w14:paraId="3F88D057">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0E1BB34C">
      <w:pPr>
        <w:tabs>
          <w:tab w:val="left" w:pos="6300"/>
        </w:tabs>
        <w:kinsoku/>
        <w:wordWrap/>
        <w:overflowPunct/>
        <w:topLinePunct w:val="0"/>
        <w:autoSpaceDE/>
        <w:autoSpaceDN/>
        <w:bidi w:val="0"/>
        <w:snapToGrid w:val="0"/>
        <w:spacing w:line="440" w:lineRule="exact"/>
        <w:ind w:left="0" w:leftChars="0" w:right="0" w:rightChars="0" w:firstLine="56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568368E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采购活动，服务全部由符合政策要求的中小企业承接。相关企业（含联合体中的中小企业、签订分包意向协议的中小企业）的具体情况如下：</w:t>
      </w:r>
    </w:p>
    <w:p w14:paraId="2AEAC21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78C7F3C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3E314B38">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E20757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12FA7743">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3F0DE7F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2A482AA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1BCFE376">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44E8C0F">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7641DBF3">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16F73C7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2FACFC15">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39FC8A35">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696BB5BC">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4F0EFDCC">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558B0065">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59D46323">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3D6E788">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730B4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88AAD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A79666">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D8961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26C296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9675C6">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1E373">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404637">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5C7A7E">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822D29">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00A3D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76A35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A034C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337185">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2EC2ED7">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highlight w:val="none"/>
        </w:rPr>
        <w:t>监狱企业证明文件</w:t>
      </w:r>
    </w:p>
    <w:p w14:paraId="4796A13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0E26485E">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highlight w:val="none"/>
        </w:rPr>
        <w:t>残疾人福利性单位声明函</w:t>
      </w:r>
    </w:p>
    <w:p w14:paraId="076AA1A3">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0D22E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9187FF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48C23C0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3434998">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38F0D47C">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C32EB3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62E276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E64C931">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2E1B375">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87492DD">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07ABC3C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B15451C">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DD30EA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2C871FC">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02FA7A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131869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22AA80D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3C51FFD">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若成交供应商为残疾人福利性单位的，将在结果公告时公告其《残疾人福利性单位声明函》。</w:t>
      </w:r>
    </w:p>
    <w:p w14:paraId="099EBD61">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4F954D4">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（二）其他与项目有关的资料</w:t>
      </w:r>
    </w:p>
    <w:p w14:paraId="67E2DF1F">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bookmarkEnd w:id="1044"/>
    <w:p w14:paraId="391BA4FD">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4F5F0F2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4411AF6C">
      <w:pPr>
        <w:pStyle w:val="4"/>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131D3F78">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4667D59B">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3795F82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169374C1">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873DC62">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97DB89B">
      <w:pPr>
        <w:pStyle w:val="2"/>
        <w:rPr>
          <w:rFonts w:hint="eastAsia" w:ascii="宋体" w:hAnsi="宋体" w:eastAsia="宋体" w:cs="宋体"/>
          <w:color w:val="auto"/>
          <w:sz w:val="24"/>
          <w:szCs w:val="24"/>
          <w:highlight w:val="none"/>
        </w:rPr>
      </w:pPr>
    </w:p>
    <w:p w14:paraId="0E7D5BBE">
      <w:pPr>
        <w:rPr>
          <w:rFonts w:hint="eastAsia" w:ascii="宋体" w:hAnsi="宋体" w:eastAsia="宋体" w:cs="宋体"/>
          <w:color w:val="auto"/>
          <w:sz w:val="24"/>
          <w:szCs w:val="24"/>
          <w:highlight w:val="none"/>
        </w:rPr>
      </w:pPr>
    </w:p>
    <w:p w14:paraId="2977A870">
      <w:pPr>
        <w:pStyle w:val="2"/>
        <w:rPr>
          <w:rFonts w:hint="eastAsia"/>
          <w:color w:val="auto"/>
          <w:highlight w:val="none"/>
        </w:rPr>
      </w:pPr>
    </w:p>
    <w:p w14:paraId="59258E06">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A51B95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88065A1">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338E48C1">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54E24238">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50596716">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C15D403">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0BC4CA7">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50D527E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p>
    <w:p w14:paraId="0553461D">
      <w:pPr>
        <w:ind w:firstLine="720"/>
        <w:jc w:val="center"/>
        <w:rPr>
          <w:rFonts w:hint="eastAsia" w:ascii="仿宋" w:hAnsi="仿宋" w:eastAsia="仿宋" w:cs="仿宋"/>
          <w:color w:val="auto"/>
          <w:spacing w:val="-20"/>
          <w:sz w:val="36"/>
          <w:szCs w:val="36"/>
          <w:highlight w:val="none"/>
          <w:lang w:eastAsia="zh-CN"/>
        </w:rPr>
      </w:pPr>
      <w:r>
        <w:rPr>
          <w:rFonts w:hint="eastAsia" w:ascii="仿宋" w:hAnsi="仿宋" w:eastAsia="仿宋" w:cs="仿宋"/>
          <w:color w:val="auto"/>
          <w:spacing w:val="-20"/>
          <w:sz w:val="36"/>
          <w:szCs w:val="36"/>
          <w:highlight w:val="none"/>
          <w:lang w:eastAsia="zh-CN"/>
        </w:rPr>
        <w:t>重庆远博工程项目管理有限公司</w:t>
      </w:r>
    </w:p>
    <w:p w14:paraId="55044B33">
      <w:pPr>
        <w:ind w:firstLine="720"/>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采购文件发售登记表</w:t>
      </w: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6461A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noWrap w:val="0"/>
            <w:vAlign w:val="center"/>
          </w:tcPr>
          <w:p w14:paraId="1D064C19">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编号</w:t>
            </w:r>
          </w:p>
        </w:tc>
        <w:tc>
          <w:tcPr>
            <w:tcW w:w="7407" w:type="dxa"/>
            <w:gridSpan w:val="3"/>
            <w:noWrap w:val="0"/>
            <w:vAlign w:val="center"/>
          </w:tcPr>
          <w:p w14:paraId="1AB87D64">
            <w:pPr>
              <w:widowControl/>
              <w:jc w:val="center"/>
              <w:rPr>
                <w:rFonts w:hint="eastAsia" w:ascii="仿宋" w:hAnsi="仿宋" w:eastAsia="仿宋" w:cs="仿宋"/>
                <w:color w:val="auto"/>
                <w:szCs w:val="21"/>
                <w:highlight w:val="none"/>
              </w:rPr>
            </w:pPr>
          </w:p>
        </w:tc>
      </w:tr>
      <w:tr w14:paraId="61811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noWrap w:val="0"/>
            <w:vAlign w:val="center"/>
          </w:tcPr>
          <w:p w14:paraId="38DDB97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7407" w:type="dxa"/>
            <w:gridSpan w:val="3"/>
            <w:noWrap w:val="0"/>
            <w:vAlign w:val="center"/>
          </w:tcPr>
          <w:p w14:paraId="1BCB1578">
            <w:pPr>
              <w:widowControl/>
              <w:jc w:val="center"/>
              <w:rPr>
                <w:rFonts w:hint="eastAsia" w:ascii="仿宋" w:hAnsi="仿宋" w:eastAsia="仿宋" w:cs="仿宋"/>
                <w:color w:val="auto"/>
                <w:szCs w:val="21"/>
                <w:highlight w:val="none"/>
              </w:rPr>
            </w:pPr>
          </w:p>
        </w:tc>
      </w:tr>
      <w:tr w14:paraId="0C4EB9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noWrap w:val="0"/>
            <w:vAlign w:val="center"/>
          </w:tcPr>
          <w:p w14:paraId="792F2FB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tc>
        <w:tc>
          <w:tcPr>
            <w:tcW w:w="7407" w:type="dxa"/>
            <w:gridSpan w:val="3"/>
            <w:noWrap w:val="0"/>
            <w:vAlign w:val="center"/>
          </w:tcPr>
          <w:p w14:paraId="2C81096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（供应商公章）</w:t>
            </w:r>
          </w:p>
        </w:tc>
      </w:tr>
      <w:tr w14:paraId="2C3457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noWrap w:val="0"/>
            <w:vAlign w:val="center"/>
          </w:tcPr>
          <w:p w14:paraId="1617A1B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91" w:type="dxa"/>
            <w:noWrap w:val="0"/>
            <w:vAlign w:val="center"/>
          </w:tcPr>
          <w:p w14:paraId="63823321">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熊欣</w:t>
            </w:r>
          </w:p>
        </w:tc>
        <w:tc>
          <w:tcPr>
            <w:tcW w:w="1051" w:type="dxa"/>
            <w:noWrap w:val="0"/>
            <w:vAlign w:val="center"/>
          </w:tcPr>
          <w:p w14:paraId="44CB631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3965" w:type="dxa"/>
            <w:noWrap w:val="0"/>
            <w:vAlign w:val="center"/>
          </w:tcPr>
          <w:p w14:paraId="337B3C99">
            <w:pPr>
              <w:widowControl/>
              <w:jc w:val="center"/>
              <w:rPr>
                <w:rFonts w:hint="default" w:ascii="仿宋" w:hAnsi="仿宋" w:eastAsia="仿宋" w:cs="仿宋"/>
                <w:color w:val="auto"/>
                <w:szCs w:val="21"/>
                <w:highlight w:val="none"/>
                <w:lang w:val="en-US" w:eastAsia="zh-CN"/>
              </w:rPr>
            </w:pPr>
          </w:p>
        </w:tc>
      </w:tr>
      <w:tr w14:paraId="5DAA4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noWrap w:val="0"/>
            <w:vAlign w:val="center"/>
          </w:tcPr>
          <w:p w14:paraId="3E96DD0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办公电话</w:t>
            </w:r>
          </w:p>
        </w:tc>
        <w:tc>
          <w:tcPr>
            <w:tcW w:w="2391" w:type="dxa"/>
            <w:noWrap w:val="0"/>
            <w:vAlign w:val="center"/>
          </w:tcPr>
          <w:p w14:paraId="3AE35518">
            <w:pPr>
              <w:widowControl/>
              <w:jc w:val="center"/>
              <w:rPr>
                <w:rFonts w:hint="eastAsia" w:ascii="仿宋" w:hAnsi="仿宋" w:eastAsia="仿宋" w:cs="仿宋"/>
                <w:color w:val="auto"/>
                <w:szCs w:val="21"/>
                <w:highlight w:val="none"/>
                <w:lang w:val="en-US" w:eastAsia="zh-CN"/>
              </w:rPr>
            </w:pPr>
          </w:p>
        </w:tc>
        <w:tc>
          <w:tcPr>
            <w:tcW w:w="1051" w:type="dxa"/>
            <w:noWrap w:val="0"/>
            <w:vAlign w:val="center"/>
          </w:tcPr>
          <w:p w14:paraId="53AC0E5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3965" w:type="dxa"/>
            <w:noWrap w:val="0"/>
            <w:vAlign w:val="center"/>
          </w:tcPr>
          <w:p w14:paraId="3B8D3B73">
            <w:pPr>
              <w:widowControl/>
              <w:jc w:val="center"/>
              <w:rPr>
                <w:rFonts w:hint="eastAsia" w:ascii="仿宋" w:hAnsi="仿宋" w:eastAsia="仿宋" w:cs="仿宋"/>
                <w:color w:val="auto"/>
                <w:szCs w:val="21"/>
                <w:highlight w:val="none"/>
                <w:lang w:val="en-US" w:eastAsia="zh-CN"/>
              </w:rPr>
            </w:pPr>
          </w:p>
        </w:tc>
      </w:tr>
      <w:tr w14:paraId="105DA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noWrap w:val="0"/>
            <w:vAlign w:val="center"/>
          </w:tcPr>
          <w:p w14:paraId="0B56D1F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E-mail</w:t>
            </w:r>
          </w:p>
        </w:tc>
        <w:tc>
          <w:tcPr>
            <w:tcW w:w="7407" w:type="dxa"/>
            <w:gridSpan w:val="3"/>
            <w:noWrap w:val="0"/>
            <w:vAlign w:val="center"/>
          </w:tcPr>
          <w:p w14:paraId="037173FE">
            <w:pPr>
              <w:widowControl/>
              <w:jc w:val="center"/>
              <w:rPr>
                <w:rFonts w:hint="default" w:ascii="仿宋" w:hAnsi="仿宋" w:eastAsia="仿宋" w:cs="仿宋"/>
                <w:color w:val="auto"/>
                <w:szCs w:val="21"/>
                <w:highlight w:val="none"/>
                <w:lang w:val="en-US" w:eastAsia="zh-CN"/>
              </w:rPr>
            </w:pPr>
          </w:p>
        </w:tc>
      </w:tr>
      <w:tr w14:paraId="738CF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noWrap w:val="0"/>
            <w:vAlign w:val="center"/>
          </w:tcPr>
          <w:p w14:paraId="715DFF1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单位地址</w:t>
            </w:r>
          </w:p>
        </w:tc>
        <w:tc>
          <w:tcPr>
            <w:tcW w:w="7407" w:type="dxa"/>
            <w:gridSpan w:val="3"/>
            <w:noWrap w:val="0"/>
            <w:vAlign w:val="center"/>
          </w:tcPr>
          <w:p w14:paraId="4145871F">
            <w:pPr>
              <w:widowControl/>
              <w:jc w:val="center"/>
              <w:rPr>
                <w:rFonts w:hint="default" w:ascii="仿宋" w:hAnsi="仿宋" w:eastAsia="仿宋" w:cs="仿宋"/>
                <w:color w:val="auto"/>
                <w:szCs w:val="21"/>
                <w:highlight w:val="none"/>
                <w:lang w:val="en-US" w:eastAsia="zh-CN"/>
              </w:rPr>
            </w:pPr>
          </w:p>
        </w:tc>
      </w:tr>
    </w:tbl>
    <w:p w14:paraId="6DC8C743">
      <w:pPr>
        <w:spacing w:line="600" w:lineRule="exact"/>
        <w:rPr>
          <w:rFonts w:hint="eastAsia" w:ascii="仿宋" w:hAnsi="仿宋" w:eastAsia="仿宋" w:cs="仿宋"/>
          <w:color w:val="auto"/>
          <w:spacing w:val="-20"/>
          <w:highlight w:val="none"/>
        </w:rPr>
      </w:pPr>
      <w:r>
        <w:rPr>
          <w:rFonts w:hint="eastAsia" w:ascii="仿宋" w:hAnsi="仿宋" w:eastAsia="仿宋" w:cs="仿宋"/>
          <w:color w:val="auto"/>
          <w:highlight w:val="none"/>
        </w:rPr>
        <w:t>采购文件售价：</w:t>
      </w:r>
      <w:r>
        <w:rPr>
          <w:rFonts w:hint="eastAsia" w:ascii="仿宋" w:hAnsi="仿宋" w:eastAsia="仿宋" w:cs="仿宋"/>
          <w:color w:val="auto"/>
          <w:highlight w:val="none"/>
          <w:lang w:val="en-US" w:eastAsia="zh-CN"/>
        </w:rPr>
        <w:t>300</w:t>
      </w:r>
      <w:r>
        <w:rPr>
          <w:rFonts w:hint="eastAsia" w:ascii="仿宋" w:hAnsi="仿宋" w:eastAsia="仿宋" w:cs="仿宋"/>
          <w:color w:val="auto"/>
          <w:highlight w:val="none"/>
        </w:rPr>
        <w:t xml:space="preserve">元/份          </w:t>
      </w:r>
    </w:p>
    <w:p w14:paraId="374CAFCD">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51DAEBD4">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1B1FA514">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0"/>
    <w:family w:val="auto"/>
    <w:pitch w:val="default"/>
    <w:sig w:usb0="00000000" w:usb1="00000000" w:usb2="00000000" w:usb3="00000000" w:csb0="8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84A6">
    <w:pPr>
      <w:pStyle w:val="14"/>
      <w:framePr w:wrap="around" w:vAnchor="text" w:hAnchor="margin" w:xAlign="center" w:y="1"/>
      <w:rPr>
        <w:ins w:id="1" w:author="熊欣" w:date="2025-05-21T17:58:53Z"/>
        <w:rStyle w:val="23"/>
      </w:rPr>
    </w:pPr>
    <w:ins w:id="2" w:author="熊欣" w:date="2025-05-21T17:58:53Z">
      <w:r>
        <w:rPr/>
        <w:fldChar w:fldCharType="begin"/>
      </w:r>
    </w:ins>
    <w:ins w:id="3" w:author="熊欣" w:date="2025-05-21T17:58:53Z">
      <w:r>
        <w:rPr>
          <w:rStyle w:val="23"/>
        </w:rPr>
        <w:instrText xml:space="preserve">PAGE  </w:instrText>
      </w:r>
    </w:ins>
    <w:ins w:id="4" w:author="熊欣" w:date="2025-05-21T17:58:53Z">
      <w:r>
        <w:rPr/>
        <w:fldChar w:fldCharType="end"/>
      </w:r>
    </w:ins>
  </w:p>
  <w:p w14:paraId="528A04BF">
    <w:pPr>
      <w:pStyle w:val="14"/>
      <w:rPr>
        <w:ins w:id="5" w:author="熊欣" w:date="2025-05-21T17:58:53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D4D9">
    <w:pPr>
      <w:pStyle w:val="14"/>
      <w:framePr w:wrap="around" w:vAnchor="text" w:hAnchor="margin" w:xAlign="center" w:y="1"/>
      <w:rPr>
        <w:ins w:id="6" w:author="熊欣" w:date="2025-05-21T17:58:53Z"/>
        <w:rStyle w:val="23"/>
      </w:rPr>
    </w:pPr>
  </w:p>
  <w:p w14:paraId="5A210AB6">
    <w:pPr>
      <w:pStyle w:val="14"/>
      <w:jc w:val="center"/>
      <w:rPr>
        <w:ins w:id="7" w:author="熊欣" w:date="2025-05-21T17:58:53Z"/>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320E">
    <w:pPr>
      <w:pStyle w:val="14"/>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D2B91">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4D2B91">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723F">
    <w:pPr>
      <w:pStyle w:val="15"/>
      <w:pBdr>
        <w:bottom w:val="none" w:color="auto" w:sz="0" w:space="0"/>
      </w:pBdr>
      <w:rPr>
        <w:ins w:id="0" w:author="熊欣" w:date="2025-05-21T17:58:53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0BC26">
    <w:pPr>
      <w:pStyle w:val="15"/>
      <w:pBdr>
        <w:bottom w:val="none" w:color="auto" w:sz="0" w:space="1"/>
      </w:pBdr>
      <w:jc w:val="both"/>
      <w:rPr>
        <w:rFonts w:ascii="方正仿宋_GBK" w:eastAsia="方正仿宋_GBK"/>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熊欣">
    <w15:presenceInfo w15:providerId="None" w15:userId="熊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RkYTMwYmNiODQzYTk0YzBlYTRiNGNhMjIzNTgifQ=="/>
  </w:docVars>
  <w:rsids>
    <w:rsidRoot w:val="23BF2F12"/>
    <w:rsid w:val="000466AB"/>
    <w:rsid w:val="000553BB"/>
    <w:rsid w:val="000605FA"/>
    <w:rsid w:val="00176ADE"/>
    <w:rsid w:val="001977BE"/>
    <w:rsid w:val="001C0DFF"/>
    <w:rsid w:val="001D1AE3"/>
    <w:rsid w:val="00243BEE"/>
    <w:rsid w:val="00254B89"/>
    <w:rsid w:val="00260F48"/>
    <w:rsid w:val="00363BA3"/>
    <w:rsid w:val="003F00FB"/>
    <w:rsid w:val="004378B8"/>
    <w:rsid w:val="004A7DAF"/>
    <w:rsid w:val="00551DED"/>
    <w:rsid w:val="005C0AC4"/>
    <w:rsid w:val="006260E1"/>
    <w:rsid w:val="0066796F"/>
    <w:rsid w:val="0076295A"/>
    <w:rsid w:val="00774FEC"/>
    <w:rsid w:val="007D74FD"/>
    <w:rsid w:val="00A0470B"/>
    <w:rsid w:val="00AB361F"/>
    <w:rsid w:val="00AB5899"/>
    <w:rsid w:val="00AC3F25"/>
    <w:rsid w:val="00AE1839"/>
    <w:rsid w:val="00C720E9"/>
    <w:rsid w:val="00D10C33"/>
    <w:rsid w:val="00DB1EC1"/>
    <w:rsid w:val="00EA6B04"/>
    <w:rsid w:val="00EC0EDE"/>
    <w:rsid w:val="00F80F5A"/>
    <w:rsid w:val="00F90DD6"/>
    <w:rsid w:val="00F91B2A"/>
    <w:rsid w:val="00FF05F4"/>
    <w:rsid w:val="01892567"/>
    <w:rsid w:val="019D5B66"/>
    <w:rsid w:val="033C1520"/>
    <w:rsid w:val="03716D43"/>
    <w:rsid w:val="038A3960"/>
    <w:rsid w:val="03E7127D"/>
    <w:rsid w:val="0563090D"/>
    <w:rsid w:val="05747745"/>
    <w:rsid w:val="07F17F24"/>
    <w:rsid w:val="08324E90"/>
    <w:rsid w:val="093E22CB"/>
    <w:rsid w:val="09A92517"/>
    <w:rsid w:val="09D65B51"/>
    <w:rsid w:val="09EF276F"/>
    <w:rsid w:val="0A456BA2"/>
    <w:rsid w:val="0C060244"/>
    <w:rsid w:val="0CB34C61"/>
    <w:rsid w:val="0CF674F8"/>
    <w:rsid w:val="0DA10224"/>
    <w:rsid w:val="0E14123E"/>
    <w:rsid w:val="0E6574A4"/>
    <w:rsid w:val="10685029"/>
    <w:rsid w:val="10742706"/>
    <w:rsid w:val="124942A2"/>
    <w:rsid w:val="13073E14"/>
    <w:rsid w:val="131F7F7A"/>
    <w:rsid w:val="149C635D"/>
    <w:rsid w:val="14CE08EC"/>
    <w:rsid w:val="16F50CA4"/>
    <w:rsid w:val="181B7B46"/>
    <w:rsid w:val="18B705C1"/>
    <w:rsid w:val="18ED510D"/>
    <w:rsid w:val="18FF308F"/>
    <w:rsid w:val="19550115"/>
    <w:rsid w:val="19B968F6"/>
    <w:rsid w:val="19CA72DF"/>
    <w:rsid w:val="19D5786F"/>
    <w:rsid w:val="19EC1A12"/>
    <w:rsid w:val="1AEE25CF"/>
    <w:rsid w:val="1BD3043A"/>
    <w:rsid w:val="1BDD501E"/>
    <w:rsid w:val="1C4C35D7"/>
    <w:rsid w:val="1DDC23A0"/>
    <w:rsid w:val="1E66353C"/>
    <w:rsid w:val="1E703572"/>
    <w:rsid w:val="1ED97736"/>
    <w:rsid w:val="1FB04EF2"/>
    <w:rsid w:val="20BD6CCC"/>
    <w:rsid w:val="21AD49B4"/>
    <w:rsid w:val="22037305"/>
    <w:rsid w:val="22165A22"/>
    <w:rsid w:val="2295682E"/>
    <w:rsid w:val="22AD1241"/>
    <w:rsid w:val="22B1309C"/>
    <w:rsid w:val="23103C39"/>
    <w:rsid w:val="237A7171"/>
    <w:rsid w:val="23B1487F"/>
    <w:rsid w:val="23BF2F12"/>
    <w:rsid w:val="23D115D1"/>
    <w:rsid w:val="23F52E8E"/>
    <w:rsid w:val="24457B95"/>
    <w:rsid w:val="24A61AD5"/>
    <w:rsid w:val="253902A6"/>
    <w:rsid w:val="25FB6176"/>
    <w:rsid w:val="26170C2C"/>
    <w:rsid w:val="2687496B"/>
    <w:rsid w:val="27082C6B"/>
    <w:rsid w:val="27391076"/>
    <w:rsid w:val="280C37B8"/>
    <w:rsid w:val="29430470"/>
    <w:rsid w:val="29735EC2"/>
    <w:rsid w:val="297F29CF"/>
    <w:rsid w:val="2A3B5E0F"/>
    <w:rsid w:val="2AC76E2D"/>
    <w:rsid w:val="2AC804CE"/>
    <w:rsid w:val="2AFE53FF"/>
    <w:rsid w:val="2B285689"/>
    <w:rsid w:val="2B2D2CA0"/>
    <w:rsid w:val="2B842689"/>
    <w:rsid w:val="2C285054"/>
    <w:rsid w:val="2CDA0C05"/>
    <w:rsid w:val="2CDF0FBB"/>
    <w:rsid w:val="2CF0667B"/>
    <w:rsid w:val="2D0D4B37"/>
    <w:rsid w:val="2DBB5BA6"/>
    <w:rsid w:val="2DDF6F5B"/>
    <w:rsid w:val="2F2B5748"/>
    <w:rsid w:val="2FC64924"/>
    <w:rsid w:val="31BD2583"/>
    <w:rsid w:val="31D43E75"/>
    <w:rsid w:val="31D71BB7"/>
    <w:rsid w:val="321B5023"/>
    <w:rsid w:val="32824A2A"/>
    <w:rsid w:val="33E31CFF"/>
    <w:rsid w:val="344835B8"/>
    <w:rsid w:val="357843C8"/>
    <w:rsid w:val="38046A48"/>
    <w:rsid w:val="392F4087"/>
    <w:rsid w:val="39406294"/>
    <w:rsid w:val="394701D3"/>
    <w:rsid w:val="3AA50161"/>
    <w:rsid w:val="3BCD2B55"/>
    <w:rsid w:val="3DBE2C16"/>
    <w:rsid w:val="3E833588"/>
    <w:rsid w:val="3FAC38F6"/>
    <w:rsid w:val="4034632B"/>
    <w:rsid w:val="40B7508E"/>
    <w:rsid w:val="40C17CBA"/>
    <w:rsid w:val="40C75016"/>
    <w:rsid w:val="4176256C"/>
    <w:rsid w:val="41C50A51"/>
    <w:rsid w:val="42051E2E"/>
    <w:rsid w:val="4218760A"/>
    <w:rsid w:val="43302539"/>
    <w:rsid w:val="433724B6"/>
    <w:rsid w:val="43602E8F"/>
    <w:rsid w:val="44627A06"/>
    <w:rsid w:val="45674C6F"/>
    <w:rsid w:val="45D3699B"/>
    <w:rsid w:val="45FD7D6C"/>
    <w:rsid w:val="46671304"/>
    <w:rsid w:val="4775052E"/>
    <w:rsid w:val="47FD4E6B"/>
    <w:rsid w:val="498D1081"/>
    <w:rsid w:val="4A061AFF"/>
    <w:rsid w:val="4A4A0D21"/>
    <w:rsid w:val="4B355854"/>
    <w:rsid w:val="4BE90CB6"/>
    <w:rsid w:val="4C7C334C"/>
    <w:rsid w:val="4C9C5C47"/>
    <w:rsid w:val="4CCE79E7"/>
    <w:rsid w:val="4CF61B07"/>
    <w:rsid w:val="4D5B273D"/>
    <w:rsid w:val="4DB7491F"/>
    <w:rsid w:val="4E347D1E"/>
    <w:rsid w:val="4E4C34D2"/>
    <w:rsid w:val="4EBB043F"/>
    <w:rsid w:val="4EEA4880"/>
    <w:rsid w:val="4F9A1FFA"/>
    <w:rsid w:val="4FD46AA2"/>
    <w:rsid w:val="5019541D"/>
    <w:rsid w:val="51020D20"/>
    <w:rsid w:val="52A47B79"/>
    <w:rsid w:val="52BE236A"/>
    <w:rsid w:val="52E8065E"/>
    <w:rsid w:val="539C178B"/>
    <w:rsid w:val="540957A8"/>
    <w:rsid w:val="542911C9"/>
    <w:rsid w:val="54493C90"/>
    <w:rsid w:val="54934241"/>
    <w:rsid w:val="55191A1B"/>
    <w:rsid w:val="553C395C"/>
    <w:rsid w:val="561B454B"/>
    <w:rsid w:val="577A3B51"/>
    <w:rsid w:val="57B82BAB"/>
    <w:rsid w:val="57E81D32"/>
    <w:rsid w:val="580249E9"/>
    <w:rsid w:val="580B3C4D"/>
    <w:rsid w:val="5822754A"/>
    <w:rsid w:val="59C26857"/>
    <w:rsid w:val="5A9A1D10"/>
    <w:rsid w:val="5B1769FD"/>
    <w:rsid w:val="5BBA20EC"/>
    <w:rsid w:val="5C9A1694"/>
    <w:rsid w:val="5D6F4AB0"/>
    <w:rsid w:val="5DC7295C"/>
    <w:rsid w:val="5DD61A60"/>
    <w:rsid w:val="5DF62E4D"/>
    <w:rsid w:val="5E6C7060"/>
    <w:rsid w:val="60281F4D"/>
    <w:rsid w:val="603258C6"/>
    <w:rsid w:val="60BB629D"/>
    <w:rsid w:val="60BD425A"/>
    <w:rsid w:val="616109D2"/>
    <w:rsid w:val="616A2F16"/>
    <w:rsid w:val="61A373A3"/>
    <w:rsid w:val="620B2269"/>
    <w:rsid w:val="62344188"/>
    <w:rsid w:val="62764728"/>
    <w:rsid w:val="62E01743"/>
    <w:rsid w:val="63A03A38"/>
    <w:rsid w:val="63B42865"/>
    <w:rsid w:val="64D2146D"/>
    <w:rsid w:val="66472368"/>
    <w:rsid w:val="67B359DD"/>
    <w:rsid w:val="67FA392E"/>
    <w:rsid w:val="6803445D"/>
    <w:rsid w:val="68164CDF"/>
    <w:rsid w:val="684657F2"/>
    <w:rsid w:val="685272C6"/>
    <w:rsid w:val="687E630D"/>
    <w:rsid w:val="689E250C"/>
    <w:rsid w:val="68DB1949"/>
    <w:rsid w:val="693D55DE"/>
    <w:rsid w:val="69922573"/>
    <w:rsid w:val="6AD246EE"/>
    <w:rsid w:val="6ADE3093"/>
    <w:rsid w:val="6AF844D3"/>
    <w:rsid w:val="6D6D1C98"/>
    <w:rsid w:val="6E38371B"/>
    <w:rsid w:val="6EBA3E17"/>
    <w:rsid w:val="6EFA2466"/>
    <w:rsid w:val="6F3B2FB3"/>
    <w:rsid w:val="703379DD"/>
    <w:rsid w:val="70CE6608"/>
    <w:rsid w:val="70FF1FB5"/>
    <w:rsid w:val="723143F0"/>
    <w:rsid w:val="72513A74"/>
    <w:rsid w:val="725C39A2"/>
    <w:rsid w:val="72B017B9"/>
    <w:rsid w:val="72B84BC2"/>
    <w:rsid w:val="73181763"/>
    <w:rsid w:val="73306E0A"/>
    <w:rsid w:val="735B4D32"/>
    <w:rsid w:val="73A34E7A"/>
    <w:rsid w:val="7535553B"/>
    <w:rsid w:val="771D18BF"/>
    <w:rsid w:val="77C25344"/>
    <w:rsid w:val="78055569"/>
    <w:rsid w:val="781E71C5"/>
    <w:rsid w:val="784C1C5A"/>
    <w:rsid w:val="789B3CC7"/>
    <w:rsid w:val="79095C09"/>
    <w:rsid w:val="799D236B"/>
    <w:rsid w:val="79F44B96"/>
    <w:rsid w:val="79F830D1"/>
    <w:rsid w:val="7AF4420D"/>
    <w:rsid w:val="7C662EE9"/>
    <w:rsid w:val="7E063B57"/>
    <w:rsid w:val="7E24604B"/>
    <w:rsid w:val="7ED20D09"/>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8">
    <w:name w:val="Normal Indent"/>
    <w:basedOn w:val="1"/>
    <w:qFormat/>
    <w:uiPriority w:val="0"/>
    <w:pPr>
      <w:adjustRightInd w:val="0"/>
      <w:snapToGrid w:val="0"/>
      <w:spacing w:line="360" w:lineRule="auto"/>
      <w:ind w:firstLine="420"/>
    </w:pPr>
    <w:rPr>
      <w:sz w:val="24"/>
    </w:rPr>
  </w:style>
  <w:style w:type="paragraph" w:styleId="9">
    <w:name w:val="annotation text"/>
    <w:basedOn w:val="1"/>
    <w:qFormat/>
    <w:uiPriority w:val="0"/>
    <w:pPr>
      <w:jc w:val="left"/>
    </w:pPr>
  </w:style>
  <w:style w:type="paragraph" w:styleId="10">
    <w:name w:val="Body Text Indent"/>
    <w:basedOn w:val="1"/>
    <w:semiHidden/>
    <w:qFormat/>
    <w:uiPriority w:val="0"/>
    <w:pPr>
      <w:ind w:firstLine="585"/>
    </w:pPr>
    <w:rPr>
      <w:sz w:val="28"/>
    </w:r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before="120" w:after="120"/>
      <w:jc w:val="left"/>
    </w:pPr>
    <w:rPr>
      <w:caps/>
      <w:sz w:val="20"/>
    </w:rPr>
  </w:style>
  <w:style w:type="paragraph" w:styleId="17">
    <w:name w:val="toc 2"/>
    <w:basedOn w:val="1"/>
    <w:next w:val="1"/>
    <w:qFormat/>
    <w:uiPriority w:val="39"/>
    <w:pPr>
      <w:ind w:left="420" w:leftChars="200"/>
    </w:p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9">
    <w:name w:val="Normal (Web)"/>
    <w:basedOn w:val="1"/>
    <w:qFormat/>
    <w:uiPriority w:val="0"/>
    <w:rPr>
      <w:sz w:val="24"/>
    </w:rPr>
  </w:style>
  <w:style w:type="paragraph" w:styleId="20">
    <w:name w:val="Body Text First Indent"/>
    <w:basedOn w:val="2"/>
    <w:qFormat/>
    <w:uiPriority w:val="0"/>
    <w:pPr>
      <w:ind w:firstLine="420" w:firstLineChars="100"/>
    </w:pPr>
    <w:rPr>
      <w:kern w:val="2"/>
      <w:sz w:val="21"/>
    </w:rPr>
  </w:style>
  <w:style w:type="character" w:styleId="23">
    <w:name w:val="page number"/>
    <w:basedOn w:val="22"/>
    <w:qFormat/>
    <w:uiPriority w:val="0"/>
  </w:style>
  <w:style w:type="character" w:styleId="24">
    <w:name w:val="Hyperlink"/>
    <w:qFormat/>
    <w:uiPriority w:val="99"/>
    <w:rPr>
      <w:color w:val="0000FF"/>
      <w:u w:val="single"/>
    </w:rPr>
  </w:style>
  <w:style w:type="paragraph" w:customStyle="1" w:styleId="25">
    <w:name w:val="1"/>
    <w:basedOn w:val="1"/>
    <w:next w:val="12"/>
    <w:qFormat/>
    <w:uiPriority w:val="0"/>
    <w:rPr>
      <w:rFonts w:ascii="宋体" w:hAnsi="Courier New"/>
      <w:sz w:val="21"/>
    </w:rPr>
  </w:style>
  <w:style w:type="character" w:customStyle="1" w:styleId="26">
    <w:name w:val="NormalCharacter"/>
    <w:qFormat/>
    <w:uiPriority w:val="0"/>
    <w:rPr>
      <w:rFonts w:ascii="Times New Roman" w:hAnsi="Times New Roman" w:eastAsia="宋体" w:cs="Times New Roman"/>
      <w:kern w:val="2"/>
      <w:sz w:val="21"/>
      <w:lang w:val="en-US" w:eastAsia="zh-CN" w:bidi="ar-SA"/>
    </w:rPr>
  </w:style>
  <w:style w:type="paragraph" w:customStyle="1" w:styleId="27">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8">
    <w:name w:val="正文1"/>
    <w:basedOn w:val="1"/>
    <w:next w:val="1"/>
    <w:qFormat/>
    <w:uiPriority w:val="0"/>
    <w:pPr>
      <w:spacing w:line="300" w:lineRule="auto"/>
    </w:pPr>
    <w:rPr>
      <w:rFonts w:ascii="Calibri" w:hAnsi="Calibri"/>
      <w:szCs w:val="22"/>
    </w:rPr>
  </w:style>
  <w:style w:type="paragraph" w:customStyle="1" w:styleId="2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0">
    <w:name w:val="列出段落1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18430</Words>
  <Characters>19405</Characters>
  <Lines>186</Lines>
  <Paragraphs>52</Paragraphs>
  <TotalTime>6</TotalTime>
  <ScaleCrop>false</ScaleCrop>
  <LinksUpToDate>false</LinksUpToDate>
  <CharactersWithSpaces>20119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2023-10-26T01:55:00Z</dcterms:created>
  <dc:creator>weijiayi</dc:creator>
  <cp:lastModifiedBy>我还是胖墩儿</cp:lastModifiedBy>
  <cp:lastPrinted>2025-02-17T11:35:00Z</cp:lastPrinted>
  <dcterms:modified xsi:type="dcterms:W3CDTF">2025-05-30T09:02:03Z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8D91A0E0149444B2A3A57C7995D6797B_13</vt:lpwstr>
  </property>
  <property fmtid="{D5CDD505-2E9C-101B-9397-08002B2CF9AE}" pid="4" name="KSOTemplateDocerSaveRecord">
    <vt:lpwstr>eyJoZGlkIjoiOTk4N2FkZDE4ZDgwNDc4YWJmMDEyYWI5NzEyOTA3MGUiLCJ1c2VySWQiOiI4NTQ3NTgxMzYifQ==</vt:lpwstr>
  </property>
</Properties>
</file>