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72C0DC">
      <w:pPr>
        <w:jc w:val="center"/>
        <w:rPr>
          <w:rFonts w:hint="eastAsia" w:ascii="宋体" w:hAnsi="宋体" w:eastAsia="宋体" w:cs="宋体"/>
          <w:highlight w:val="none"/>
        </w:rPr>
      </w:pPr>
    </w:p>
    <w:p w14:paraId="5641EEDB">
      <w:pPr>
        <w:jc w:val="center"/>
        <w:rPr>
          <w:rFonts w:hint="eastAsia" w:ascii="宋体" w:hAnsi="宋体" w:eastAsia="宋体" w:cs="宋体"/>
          <w:b/>
          <w:sz w:val="84"/>
          <w:szCs w:val="84"/>
          <w:highlight w:val="none"/>
        </w:rPr>
      </w:pPr>
    </w:p>
    <w:p w14:paraId="04EE3D07">
      <w:pPr>
        <w:jc w:val="center"/>
        <w:rPr>
          <w:rFonts w:hint="eastAsia" w:ascii="宋体" w:hAnsi="宋体" w:eastAsia="宋体" w:cs="宋体"/>
          <w:b/>
          <w:sz w:val="84"/>
          <w:szCs w:val="84"/>
          <w:highlight w:val="none"/>
        </w:rPr>
      </w:pPr>
    </w:p>
    <w:p w14:paraId="01F5C53C">
      <w:pPr>
        <w:jc w:val="center"/>
        <w:rPr>
          <w:rFonts w:hint="eastAsia" w:ascii="宋体" w:hAnsi="宋体" w:eastAsia="宋体" w:cs="宋体"/>
          <w:sz w:val="108"/>
          <w:szCs w:val="108"/>
          <w:highlight w:val="none"/>
        </w:rPr>
      </w:pPr>
      <w:r>
        <w:rPr>
          <w:rFonts w:hint="eastAsia" w:ascii="宋体" w:hAnsi="宋体" w:eastAsia="宋体" w:cs="宋体"/>
          <w:b/>
          <w:sz w:val="108"/>
          <w:szCs w:val="108"/>
          <w:highlight w:val="none"/>
        </w:rPr>
        <w:t>竞争性磋商文件</w:t>
      </w:r>
    </w:p>
    <w:p w14:paraId="74027E86">
      <w:pPr>
        <w:jc w:val="center"/>
        <w:rPr>
          <w:rFonts w:hint="eastAsia" w:ascii="宋体" w:hAnsi="宋体" w:eastAsia="宋体" w:cs="宋体"/>
          <w:sz w:val="32"/>
          <w:highlight w:val="none"/>
        </w:rPr>
      </w:pPr>
    </w:p>
    <w:p w14:paraId="0BFC08EB">
      <w:pPr>
        <w:jc w:val="center"/>
        <w:rPr>
          <w:rFonts w:hint="eastAsia" w:ascii="宋体" w:hAnsi="宋体" w:eastAsia="宋体" w:cs="宋体"/>
          <w:sz w:val="32"/>
          <w:highlight w:val="none"/>
        </w:rPr>
      </w:pPr>
    </w:p>
    <w:p w14:paraId="2BF06F58">
      <w:pPr>
        <w:jc w:val="left"/>
        <w:rPr>
          <w:rFonts w:hint="eastAsia" w:ascii="宋体" w:hAnsi="宋体" w:eastAsia="宋体" w:cs="宋体"/>
          <w:sz w:val="32"/>
          <w:szCs w:val="32"/>
          <w:highlight w:val="none"/>
        </w:rPr>
      </w:pPr>
    </w:p>
    <w:p w14:paraId="4F5C3DF0">
      <w:pPr>
        <w:jc w:val="left"/>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项 目 编 号：</w:t>
      </w:r>
      <w:bookmarkStart w:id="0" w:name="OLE_LINK5"/>
      <w:bookmarkEnd w:id="0"/>
      <w:r>
        <w:rPr>
          <w:rFonts w:hint="eastAsia" w:ascii="宋体" w:hAnsi="宋体" w:eastAsia="宋体" w:cs="宋体"/>
          <w:sz w:val="44"/>
          <w:szCs w:val="44"/>
          <w:highlight w:val="none"/>
          <w:lang w:val="en-US" w:eastAsia="zh-CN"/>
        </w:rPr>
        <w:t>CQQG-2025-</w:t>
      </w:r>
      <w:r>
        <w:rPr>
          <w:rFonts w:hint="eastAsia" w:ascii="宋体" w:hAnsi="宋体" w:cs="宋体"/>
          <w:sz w:val="44"/>
          <w:szCs w:val="44"/>
          <w:highlight w:val="none"/>
          <w:lang w:val="en-US" w:eastAsia="zh-CN"/>
        </w:rPr>
        <w:t>0908</w:t>
      </w:r>
      <w:r>
        <w:rPr>
          <w:rFonts w:hint="eastAsia" w:ascii="宋体" w:hAnsi="宋体" w:eastAsia="宋体" w:cs="宋体"/>
          <w:sz w:val="44"/>
          <w:szCs w:val="44"/>
          <w:highlight w:val="none"/>
          <w:lang w:val="en-US" w:eastAsia="zh-CN"/>
        </w:rPr>
        <w:t xml:space="preserve"> </w:t>
      </w:r>
    </w:p>
    <w:p w14:paraId="5F0222A8">
      <w:pPr>
        <w:ind w:left="3080" w:hanging="3080" w:hangingChars="700"/>
        <w:jc w:val="both"/>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rPr>
        <w:t>项 目 名 称：</w:t>
      </w:r>
      <w:r>
        <w:rPr>
          <w:rFonts w:hint="eastAsia" w:ascii="宋体" w:hAnsi="宋体" w:eastAsia="宋体" w:cs="宋体"/>
          <w:sz w:val="44"/>
          <w:szCs w:val="44"/>
          <w:highlight w:val="none"/>
          <w:lang w:eastAsia="zh-CN"/>
        </w:rPr>
        <w:t>2025年粮油稳产促增收补贴激励（市本级）项目（宣传报道）</w:t>
      </w:r>
    </w:p>
    <w:p w14:paraId="5CFB2AA4">
      <w:pPr>
        <w:jc w:val="center"/>
        <w:rPr>
          <w:rFonts w:hint="eastAsia" w:ascii="宋体" w:hAnsi="宋体" w:eastAsia="宋体" w:cs="宋体"/>
          <w:sz w:val="30"/>
          <w:szCs w:val="30"/>
          <w:highlight w:val="none"/>
        </w:rPr>
      </w:pPr>
    </w:p>
    <w:p w14:paraId="1578B94D">
      <w:pPr>
        <w:jc w:val="center"/>
        <w:rPr>
          <w:rFonts w:hint="eastAsia" w:ascii="宋体" w:hAnsi="宋体" w:eastAsia="宋体" w:cs="宋体"/>
          <w:sz w:val="30"/>
          <w:szCs w:val="30"/>
          <w:highlight w:val="none"/>
        </w:rPr>
      </w:pPr>
    </w:p>
    <w:p w14:paraId="385A8718">
      <w:pPr>
        <w:jc w:val="center"/>
        <w:rPr>
          <w:rFonts w:hint="eastAsia" w:ascii="宋体" w:hAnsi="宋体" w:eastAsia="宋体" w:cs="宋体"/>
          <w:sz w:val="30"/>
          <w:szCs w:val="30"/>
          <w:highlight w:val="none"/>
        </w:rPr>
      </w:pPr>
    </w:p>
    <w:p w14:paraId="37C379FE">
      <w:pPr>
        <w:pStyle w:val="33"/>
        <w:rPr>
          <w:rFonts w:hint="eastAsia" w:ascii="宋体" w:hAnsi="宋体" w:eastAsia="宋体" w:cs="宋体"/>
          <w:sz w:val="30"/>
          <w:szCs w:val="30"/>
          <w:highlight w:val="none"/>
        </w:rPr>
      </w:pPr>
    </w:p>
    <w:p w14:paraId="4674F187">
      <w:pPr>
        <w:pStyle w:val="33"/>
        <w:rPr>
          <w:rFonts w:hint="eastAsia" w:ascii="宋体" w:hAnsi="宋体" w:eastAsia="宋体" w:cs="宋体"/>
          <w:sz w:val="30"/>
          <w:szCs w:val="30"/>
          <w:highlight w:val="none"/>
        </w:rPr>
      </w:pPr>
    </w:p>
    <w:p w14:paraId="24FA57C7">
      <w:pPr>
        <w:pStyle w:val="33"/>
        <w:rPr>
          <w:rFonts w:hint="eastAsia" w:ascii="宋体" w:hAnsi="宋体" w:eastAsia="宋体" w:cs="宋体"/>
          <w:sz w:val="30"/>
          <w:szCs w:val="30"/>
          <w:highlight w:val="none"/>
        </w:rPr>
      </w:pPr>
    </w:p>
    <w:p w14:paraId="1E9D718B">
      <w:pPr>
        <w:jc w:val="center"/>
        <w:rPr>
          <w:rFonts w:hint="eastAsia" w:ascii="宋体" w:hAnsi="宋体" w:eastAsia="宋体" w:cs="宋体"/>
          <w:sz w:val="30"/>
          <w:szCs w:val="30"/>
          <w:highlight w:val="none"/>
        </w:rPr>
      </w:pPr>
    </w:p>
    <w:p w14:paraId="22473741">
      <w:pPr>
        <w:jc w:val="center"/>
        <w:rPr>
          <w:rFonts w:hint="eastAsia" w:ascii="宋体" w:hAnsi="宋体" w:eastAsia="宋体" w:cs="宋体"/>
          <w:sz w:val="30"/>
          <w:szCs w:val="30"/>
          <w:highlight w:val="none"/>
        </w:rPr>
      </w:pPr>
    </w:p>
    <w:p w14:paraId="5F716434">
      <w:pPr>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 xml:space="preserve">       采   购   人：</w:t>
      </w:r>
      <w:r>
        <w:rPr>
          <w:rFonts w:hint="eastAsia" w:ascii="宋体" w:hAnsi="宋体" w:eastAsia="宋体" w:cs="宋体"/>
          <w:sz w:val="36"/>
          <w:szCs w:val="36"/>
          <w:highlight w:val="none"/>
          <w:lang w:eastAsia="zh-CN"/>
        </w:rPr>
        <w:t>重庆市农业技术推广总站</w:t>
      </w:r>
    </w:p>
    <w:p w14:paraId="52E25F69">
      <w:pPr>
        <w:ind w:firstLine="360" w:firstLineChars="10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 采购代理机构：重庆千广商务信息咨询有限公司</w:t>
      </w:r>
    </w:p>
    <w:p w14:paraId="4BEA7857">
      <w:pPr>
        <w:ind w:firstLine="320" w:firstLineChars="100"/>
        <w:jc w:val="center"/>
        <w:rPr>
          <w:rFonts w:hint="eastAsia" w:ascii="宋体" w:hAnsi="宋体" w:eastAsia="宋体" w:cs="宋体"/>
          <w:sz w:val="32"/>
          <w:szCs w:val="32"/>
          <w:highlight w:val="none"/>
        </w:rPr>
      </w:pPr>
    </w:p>
    <w:p w14:paraId="4EC5332F">
      <w:pPr>
        <w:ind w:firstLine="320" w:firstLineChars="100"/>
        <w:jc w:val="center"/>
        <w:rPr>
          <w:rFonts w:hint="eastAsia" w:ascii="宋体" w:hAnsi="宋体" w:eastAsia="宋体" w:cs="宋体"/>
          <w:sz w:val="32"/>
          <w:szCs w:val="32"/>
          <w:highlight w:val="none"/>
        </w:rPr>
      </w:pPr>
    </w:p>
    <w:p w14:paraId="351AEE8F">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2025年</w:t>
      </w:r>
      <w:r>
        <w:rPr>
          <w:rFonts w:hint="eastAsia" w:ascii="宋体" w:hAnsi="宋体" w:cs="宋体"/>
          <w:sz w:val="36"/>
          <w:szCs w:val="36"/>
          <w:highlight w:val="none"/>
          <w:lang w:val="en-US" w:eastAsia="zh-CN"/>
        </w:rPr>
        <w:t>9</w:t>
      </w:r>
      <w:r>
        <w:rPr>
          <w:rFonts w:hint="eastAsia" w:ascii="宋体" w:hAnsi="宋体" w:eastAsia="宋体" w:cs="宋体"/>
          <w:sz w:val="36"/>
          <w:szCs w:val="36"/>
          <w:highlight w:val="none"/>
        </w:rPr>
        <w:t>月</w:t>
      </w:r>
    </w:p>
    <w:p w14:paraId="13FC7D37">
      <w:pPr>
        <w:ind w:firstLine="320" w:firstLineChars="100"/>
        <w:jc w:val="center"/>
        <w:rPr>
          <w:rFonts w:hint="eastAsia" w:ascii="宋体" w:hAnsi="宋体" w:eastAsia="宋体" w:cs="宋体"/>
          <w:sz w:val="32"/>
          <w:szCs w:val="32"/>
          <w:highlight w:val="none"/>
        </w:rPr>
      </w:pPr>
    </w:p>
    <w:p w14:paraId="1A3F9B0C">
      <w:pPr>
        <w:jc w:val="center"/>
        <w:outlineLvl w:val="0"/>
        <w:rPr>
          <w:rFonts w:hint="eastAsia" w:ascii="宋体" w:hAnsi="宋体" w:eastAsia="宋体" w:cs="宋体"/>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7FA49A56">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2"/>
          <w:sz w:val="28"/>
          <w:szCs w:val="36"/>
          <w:highlight w:val="none"/>
          <w:lang w:val="en-US" w:eastAsia="zh-CN" w:bidi="ar-SA"/>
        </w:rPr>
      </w:pPr>
      <w:r>
        <w:rPr>
          <w:rFonts w:hint="eastAsia" w:ascii="宋体" w:hAnsi="宋体" w:eastAsia="宋体" w:cs="宋体"/>
          <w:b/>
          <w:bCs/>
          <w:kern w:val="2"/>
          <w:sz w:val="28"/>
          <w:szCs w:val="36"/>
          <w:highlight w:val="none"/>
          <w:lang w:val="en-US" w:eastAsia="zh-CN" w:bidi="ar-SA"/>
        </w:rPr>
        <w:t>目   录</w:t>
      </w:r>
    </w:p>
    <w:p w14:paraId="15FBD9B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TOC \o "1-3" \h \z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_Toc23216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第一篇  竞争性磋商邀请书</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_Toc23216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03AD3245">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_Toc27257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一、竞争性磋商内容</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_Toc27257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3538448">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_Toc30743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二、资金来源</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_Toc30743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C403D9C">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_Toc8767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三、供应商资格条件</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_Toc8767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F8A5C0F">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_Toc19696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四、磋商有关说明</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_Toc19696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0789B8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_Toc10966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五、其它有关规定</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_Toc10966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- 4 -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478E917F">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_Toc10983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六、采购项目需落实的政府采购政策</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_Toc10983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- 4 -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F8ED9FD">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_Toc597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七、联系方式</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_Toc597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921AA6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_Toc18004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第二篇  项目服务需求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_Toc18004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4988AB61">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_Toc26607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一、项目一览表</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_Toc26607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1A752EBF">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_Toc5386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二、项目定位</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_Toc5386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12B34E4">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_Toc2023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三、项目内容</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_Toc2023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5F528A1">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_Toc28918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四、服务要求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_Toc28918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- 7 -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512CE55">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_Toc8264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五、核心交付物</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_Toc8264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- 7 -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680C536">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_Toc1151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第三篇  项目商务需求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_Toc1151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101F8BFA">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_Toc11329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一、实施时间、地点及验收方式</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_Toc11329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26FA8C7">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_Toc30459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二、作品质量保证</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_Toc30459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18A3EA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_Toc21315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三、报价要求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_Toc21315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D4EAE26">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_Toc16822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四、付款方式</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_Toc16822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525A3B6">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_Toc615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五、违约责任</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_Toc615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- 8 -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1647165C">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_Toc6759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六、知识产权</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_Toc6759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- 9 -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F959BE4">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_Toc2463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七、其他</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_Toc2463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- 9 -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48B89A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_Toc1536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第四篇  评审标准、无效响应和采购终止</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_Toc1536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- 10 -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445DFC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_Toc9142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一、磋商程序及方法</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_Toc9142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- 10 -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6622053">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_Toc32565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二、评审标准</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_Toc32565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- 12 -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F95BBE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_Toc18238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三、无效响应</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_Toc18238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B4C47D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_Toc13891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四、采购终止</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_Toc13891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- 14 -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25EFD94">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_Toc20425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第五篇  供应商须知</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_Toc20425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DC34B7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_Toc23464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一、磋商费用</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_Toc23464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7FCE6F3">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_Toc18987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二、竞争性磋商文件</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_Toc18987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1B4944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_Toc13810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三、磋商要求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_Toc13810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F88E18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_Toc17306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四、成交供应商的确认和变更</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_Toc17306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B32CEE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_Toc732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五、成交通知</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_Toc732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0567A6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_Toc15067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六、关于质疑和投诉</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_Toc15067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- 16 -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5D63B026">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_Toc26172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七、采购代理服务费</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_Toc26172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- 17 -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DEE3C8C">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_Toc3049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八、签订合同</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_Toc3049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- 17 -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21A01387">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_Toc32160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第六篇  采购合同</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_Toc32160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- 19 -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AAA2D1F">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_Toc12723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第七篇  响应文件编制要求</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_Toc12723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- 20 -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FEC66A4">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_Toc9604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一、经济部分</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_Toc9604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- 21 -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106E7019">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_Toc22242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二、服务部分</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_Toc22242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- 23 -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90AD5A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_Toc9608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三、商务部分</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_Toc9608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- 25 -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697315E0">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_Toc13771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四、资格条件</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_Toc13771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- 27 -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7C6C613C">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_Toc25362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五、其他资料</w:t>
      </w:r>
      <w:r>
        <w:rPr>
          <w:rFonts w:hint="eastAsia" w:ascii="宋体" w:hAnsi="宋体" w:eastAsia="宋体" w:cs="宋体"/>
          <w:kern w:val="2"/>
          <w:sz w:val="28"/>
          <w:szCs w:val="28"/>
          <w:highlight w:val="none"/>
          <w:lang w:val="en-US" w:eastAsia="zh-CN" w:bidi="ar-SA"/>
        </w:rPr>
        <w:tab/>
      </w:r>
      <w:r>
        <w:rPr>
          <w:rFonts w:hint="eastAsia" w:ascii="宋体" w:hAnsi="宋体" w:eastAsia="宋体" w:cs="宋体"/>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PAGEREF _Toc25362 \h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kern w:val="2"/>
          <w:sz w:val="28"/>
          <w:szCs w:val="28"/>
          <w:highlight w:val="none"/>
          <w:lang w:val="en-US" w:eastAsia="zh-CN" w:bidi="ar-SA"/>
        </w:rPr>
        <w:t>- 32 -</w:t>
      </w:r>
      <w:r>
        <w:rPr>
          <w:rFonts w:hint="eastAsia" w:ascii="宋体" w:hAnsi="宋体" w:eastAsia="宋体" w:cs="宋体"/>
          <w:kern w:val="2"/>
          <w:sz w:val="28"/>
          <w:szCs w:val="28"/>
          <w:highlight w:val="none"/>
          <w:lang w:val="en-US" w:eastAsia="zh-CN" w:bidi="ar-SA"/>
        </w:rPr>
        <w:fldChar w:fldCharType="end"/>
      </w:r>
      <w:r>
        <w:rPr>
          <w:rFonts w:hint="eastAsia" w:ascii="宋体" w:hAnsi="宋体" w:eastAsia="宋体" w:cs="宋体"/>
          <w:kern w:val="2"/>
          <w:sz w:val="28"/>
          <w:szCs w:val="28"/>
          <w:highlight w:val="none"/>
          <w:lang w:val="en-US" w:eastAsia="zh-CN" w:bidi="ar-SA"/>
        </w:rPr>
        <w:fldChar w:fldCharType="end"/>
      </w:r>
    </w:p>
    <w:p w14:paraId="336B8D9F">
      <w:pPr>
        <w:pStyle w:val="37"/>
        <w:keepNext w:val="0"/>
        <w:keepLines w:val="0"/>
        <w:pageBreakBefore w:val="0"/>
        <w:widowControl w:val="0"/>
        <w:tabs>
          <w:tab w:val="right" w:leader="dot" w:pos="9412"/>
        </w:tabs>
        <w:kinsoku/>
        <w:wordWrap/>
        <w:overflowPunct/>
        <w:topLinePunct w:val="0"/>
        <w:autoSpaceDE/>
        <w:autoSpaceDN/>
        <w:bidi w:val="0"/>
        <w:adjustRightInd/>
        <w:snapToGrid/>
        <w:spacing w:line="320" w:lineRule="exact"/>
        <w:textAlignment w:val="auto"/>
        <w:rPr>
          <w:rFonts w:hint="eastAsia" w:ascii="宋体" w:hAnsi="宋体" w:eastAsia="宋体" w:cs="宋体"/>
          <w:kern w:val="2"/>
          <w:sz w:val="28"/>
          <w:szCs w:val="28"/>
          <w:highlight w:val="none"/>
          <w:lang w:val="en-US" w:eastAsia="zh-CN" w:bidi="ar-SA"/>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kern w:val="2"/>
          <w:sz w:val="28"/>
          <w:szCs w:val="28"/>
          <w:highlight w:val="none"/>
          <w:lang w:val="en-US" w:eastAsia="zh-CN" w:bidi="ar-SA"/>
        </w:rPr>
        <w:fldChar w:fldCharType="end"/>
      </w:r>
    </w:p>
    <w:p w14:paraId="54D38460">
      <w:pPr>
        <w:pStyle w:val="2"/>
        <w:spacing w:line="360" w:lineRule="auto"/>
        <w:jc w:val="center"/>
        <w:rPr>
          <w:rFonts w:hint="eastAsia" w:ascii="宋体" w:hAnsi="宋体" w:eastAsia="宋体" w:cs="宋体"/>
          <w:b/>
          <w:sz w:val="36"/>
          <w:szCs w:val="36"/>
          <w:highlight w:val="none"/>
        </w:rPr>
      </w:pPr>
      <w:bookmarkStart w:id="1" w:name="_Toc12789052"/>
      <w:bookmarkStart w:id="2" w:name="_Toc11641050"/>
      <w:bookmarkStart w:id="3" w:name="_Toc23216"/>
      <w:r>
        <w:rPr>
          <w:rFonts w:hint="eastAsia" w:ascii="宋体" w:hAnsi="宋体" w:eastAsia="宋体" w:cs="宋体"/>
          <w:b/>
          <w:sz w:val="36"/>
          <w:szCs w:val="36"/>
          <w:highlight w:val="none"/>
        </w:rPr>
        <w:t>第一篇  竞争性磋商邀请书</w:t>
      </w:r>
      <w:bookmarkEnd w:id="1"/>
      <w:bookmarkEnd w:id="2"/>
      <w:bookmarkEnd w:id="3"/>
    </w:p>
    <w:p w14:paraId="6F943C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重庆千广商务信息咨询有限公司（以下简称：采购代理机构）接受</w:t>
      </w:r>
      <w:r>
        <w:rPr>
          <w:rFonts w:hint="eastAsia" w:ascii="宋体" w:hAnsi="宋体" w:eastAsia="宋体" w:cs="宋体"/>
          <w:sz w:val="24"/>
          <w:szCs w:val="24"/>
          <w:highlight w:val="none"/>
          <w:lang w:eastAsia="zh-CN"/>
        </w:rPr>
        <w:t>重庆市农业技术推广总站</w:t>
      </w:r>
      <w:r>
        <w:rPr>
          <w:rFonts w:hint="eastAsia" w:ascii="宋体" w:hAnsi="宋体" w:eastAsia="宋体" w:cs="宋体"/>
          <w:sz w:val="24"/>
          <w:szCs w:val="24"/>
          <w:highlight w:val="none"/>
        </w:rPr>
        <w:t>（以下简称：采购人）的委托，对</w:t>
      </w:r>
      <w:r>
        <w:rPr>
          <w:rFonts w:hint="eastAsia" w:ascii="宋体" w:hAnsi="宋体" w:eastAsia="宋体" w:cs="宋体"/>
          <w:sz w:val="24"/>
          <w:szCs w:val="24"/>
          <w:highlight w:val="none"/>
          <w:u w:val="single"/>
          <w:lang w:eastAsia="zh-CN"/>
        </w:rPr>
        <w:t>2025年粮油稳产促增收补贴激励（市本级）项目（宣传报道）</w:t>
      </w:r>
      <w:r>
        <w:rPr>
          <w:rFonts w:hint="eastAsia" w:ascii="宋体" w:hAnsi="宋体" w:eastAsia="宋体" w:cs="宋体"/>
          <w:sz w:val="24"/>
          <w:szCs w:val="24"/>
          <w:highlight w:val="none"/>
        </w:rPr>
        <w:t>项目进行竞争性磋商采购。欢迎有资格的供应商前来参与磋商。</w:t>
      </w:r>
    </w:p>
    <w:p w14:paraId="065A6A2F">
      <w:pPr>
        <w:pStyle w:val="3"/>
        <w:spacing w:before="0" w:after="0" w:line="360" w:lineRule="auto"/>
        <w:rPr>
          <w:rFonts w:hint="eastAsia" w:ascii="宋体" w:hAnsi="宋体" w:eastAsia="宋体" w:cs="宋体"/>
          <w:sz w:val="24"/>
          <w:szCs w:val="24"/>
          <w:highlight w:val="none"/>
        </w:rPr>
      </w:pPr>
      <w:bookmarkStart w:id="4" w:name="_Toc317775175"/>
      <w:bookmarkStart w:id="5" w:name="_Toc27257"/>
      <w:bookmarkStart w:id="6" w:name="_Toc313893526"/>
      <w:r>
        <w:rPr>
          <w:rFonts w:hint="eastAsia" w:ascii="宋体" w:hAnsi="宋体" w:eastAsia="宋体" w:cs="宋体"/>
          <w:sz w:val="24"/>
          <w:szCs w:val="24"/>
          <w:highlight w:val="none"/>
        </w:rPr>
        <w:t>一、竞争性磋商内容</w:t>
      </w:r>
      <w:bookmarkEnd w:id="4"/>
      <w:bookmarkEnd w:id="5"/>
      <w:bookmarkEnd w:id="6"/>
    </w:p>
    <w:tbl>
      <w:tblPr>
        <w:tblStyle w:val="5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17"/>
        <w:gridCol w:w="1276"/>
        <w:gridCol w:w="2357"/>
      </w:tblGrid>
      <w:tr w14:paraId="7E9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635" w:type="dxa"/>
            <w:tcBorders>
              <w:top w:val="single" w:color="auto" w:sz="4" w:space="0"/>
              <w:left w:val="single" w:color="auto" w:sz="4" w:space="0"/>
              <w:right w:val="single" w:color="auto" w:sz="4" w:space="0"/>
            </w:tcBorders>
            <w:vAlign w:val="center"/>
          </w:tcPr>
          <w:p w14:paraId="0344FB49">
            <w:pPr>
              <w:widowControl/>
              <w:spacing w:line="36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项目名称</w:t>
            </w:r>
          </w:p>
        </w:tc>
        <w:tc>
          <w:tcPr>
            <w:tcW w:w="1417" w:type="dxa"/>
            <w:tcBorders>
              <w:top w:val="single" w:color="auto" w:sz="4" w:space="0"/>
              <w:left w:val="single" w:color="auto" w:sz="4" w:space="0"/>
              <w:right w:val="single" w:color="auto" w:sz="4" w:space="0"/>
            </w:tcBorders>
            <w:vAlign w:val="center"/>
          </w:tcPr>
          <w:p w14:paraId="1097559C">
            <w:pPr>
              <w:widowControl/>
              <w:spacing w:line="36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最高限价</w:t>
            </w:r>
          </w:p>
          <w:p w14:paraId="48638C6B">
            <w:pPr>
              <w:spacing w:line="36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（万元）</w:t>
            </w:r>
          </w:p>
        </w:tc>
        <w:tc>
          <w:tcPr>
            <w:tcW w:w="1276" w:type="dxa"/>
            <w:tcBorders>
              <w:top w:val="single" w:color="auto" w:sz="4" w:space="0"/>
              <w:left w:val="single" w:color="auto" w:sz="4" w:space="0"/>
              <w:right w:val="single" w:color="auto" w:sz="4" w:space="0"/>
            </w:tcBorders>
            <w:vAlign w:val="center"/>
          </w:tcPr>
          <w:p w14:paraId="491228A1">
            <w:pPr>
              <w:spacing w:line="360" w:lineRule="auto"/>
              <w:jc w:val="center"/>
              <w:rPr>
                <w:rFonts w:hint="eastAsia" w:ascii="宋体" w:hAnsi="宋体" w:eastAsia="宋体" w:cs="宋体"/>
                <w:sz w:val="22"/>
                <w:szCs w:val="22"/>
                <w:highlight w:val="none"/>
              </w:rPr>
            </w:pPr>
            <w:r>
              <w:rPr>
                <w:rFonts w:hint="eastAsia" w:ascii="宋体" w:hAnsi="宋体" w:eastAsia="宋体" w:cs="宋体"/>
                <w:b/>
                <w:bCs/>
                <w:kern w:val="0"/>
                <w:sz w:val="22"/>
                <w:szCs w:val="22"/>
                <w:highlight w:val="none"/>
              </w:rPr>
              <w:t>成交数量</w:t>
            </w:r>
          </w:p>
          <w:p w14:paraId="68B0A949">
            <w:pPr>
              <w:spacing w:line="36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（名）</w:t>
            </w:r>
          </w:p>
        </w:tc>
        <w:tc>
          <w:tcPr>
            <w:tcW w:w="2357" w:type="dxa"/>
            <w:tcBorders>
              <w:top w:val="single" w:color="auto" w:sz="4" w:space="0"/>
              <w:left w:val="single" w:color="auto" w:sz="4" w:space="0"/>
              <w:right w:val="single" w:color="auto" w:sz="4" w:space="0"/>
            </w:tcBorders>
            <w:vAlign w:val="center"/>
          </w:tcPr>
          <w:p w14:paraId="5F17FAA5">
            <w:pPr>
              <w:spacing w:line="360" w:lineRule="auto"/>
              <w:jc w:val="center"/>
              <w:rPr>
                <w:rFonts w:hint="eastAsia" w:ascii="宋体" w:hAnsi="宋体" w:eastAsia="宋体" w:cs="宋体"/>
                <w:bCs/>
                <w:kern w:val="0"/>
                <w:sz w:val="22"/>
                <w:szCs w:val="22"/>
                <w:highlight w:val="none"/>
              </w:rPr>
            </w:pPr>
            <w:r>
              <w:rPr>
                <w:rFonts w:hint="eastAsia" w:ascii="宋体" w:hAnsi="宋体" w:eastAsia="宋体" w:cs="宋体"/>
                <w:b/>
                <w:bCs/>
                <w:kern w:val="0"/>
                <w:sz w:val="21"/>
                <w:szCs w:val="21"/>
                <w:highlight w:val="none"/>
              </w:rPr>
              <w:t>采购标的对应的中小企业划分标准所属行业</w:t>
            </w:r>
          </w:p>
        </w:tc>
      </w:tr>
      <w:tr w14:paraId="0DF6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35" w:type="dxa"/>
            <w:tcBorders>
              <w:top w:val="single" w:color="auto" w:sz="4" w:space="0"/>
              <w:left w:val="single" w:color="auto" w:sz="4" w:space="0"/>
              <w:right w:val="single" w:color="auto" w:sz="4" w:space="0"/>
            </w:tcBorders>
            <w:vAlign w:val="center"/>
          </w:tcPr>
          <w:p w14:paraId="669AD62E">
            <w:pPr>
              <w:widowControl/>
              <w:spacing w:line="360" w:lineRule="auto"/>
              <w:jc w:val="center"/>
              <w:rPr>
                <w:rFonts w:hint="eastAsia" w:ascii="宋体" w:hAnsi="宋体" w:eastAsia="宋体" w:cs="宋体"/>
                <w:kern w:val="0"/>
                <w:sz w:val="22"/>
                <w:szCs w:val="22"/>
                <w:highlight w:val="none"/>
                <w:lang w:eastAsia="zh-CN"/>
              </w:rPr>
            </w:pPr>
            <w:bookmarkStart w:id="7" w:name="_Hlk344477914"/>
            <w:r>
              <w:rPr>
                <w:rFonts w:hint="eastAsia" w:ascii="宋体" w:hAnsi="宋体" w:eastAsia="宋体" w:cs="宋体"/>
                <w:sz w:val="24"/>
                <w:szCs w:val="24"/>
                <w:highlight w:val="none"/>
                <w:lang w:eastAsia="zh-CN"/>
              </w:rPr>
              <w:t>2025年粮油稳产促增收补贴激励（市本级）项目（宣传报道）</w:t>
            </w:r>
          </w:p>
        </w:tc>
        <w:tc>
          <w:tcPr>
            <w:tcW w:w="1417" w:type="dxa"/>
            <w:tcBorders>
              <w:top w:val="single" w:color="auto" w:sz="4" w:space="0"/>
              <w:left w:val="single" w:color="auto" w:sz="4" w:space="0"/>
              <w:right w:val="single" w:color="auto" w:sz="4" w:space="0"/>
            </w:tcBorders>
            <w:vAlign w:val="center"/>
          </w:tcPr>
          <w:p w14:paraId="7E889C92">
            <w:pPr>
              <w:widowControl/>
              <w:spacing w:line="360" w:lineRule="auto"/>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25.00</w:t>
            </w:r>
          </w:p>
        </w:tc>
        <w:tc>
          <w:tcPr>
            <w:tcW w:w="1276" w:type="dxa"/>
            <w:tcBorders>
              <w:top w:val="single" w:color="auto" w:sz="4" w:space="0"/>
              <w:left w:val="single" w:color="auto" w:sz="4" w:space="0"/>
              <w:right w:val="single" w:color="auto" w:sz="4" w:space="0"/>
            </w:tcBorders>
            <w:vAlign w:val="center"/>
          </w:tcPr>
          <w:p w14:paraId="33122573">
            <w:pPr>
              <w:widowControl/>
              <w:spacing w:line="360" w:lineRule="auto"/>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2357" w:type="dxa"/>
            <w:tcBorders>
              <w:top w:val="single" w:color="auto" w:sz="4" w:space="0"/>
              <w:left w:val="single" w:color="auto" w:sz="4" w:space="0"/>
              <w:right w:val="single" w:color="auto" w:sz="4" w:space="0"/>
            </w:tcBorders>
            <w:vAlign w:val="center"/>
          </w:tcPr>
          <w:p w14:paraId="41C204A9">
            <w:pPr>
              <w:spacing w:line="360" w:lineRule="auto"/>
              <w:jc w:val="center"/>
              <w:rPr>
                <w:rFonts w:hint="eastAsia" w:ascii="宋体" w:hAnsi="宋体" w:eastAsia="宋体" w:cs="宋体"/>
                <w:bCs/>
                <w:kern w:val="0"/>
                <w:sz w:val="22"/>
                <w:szCs w:val="22"/>
                <w:highlight w:val="none"/>
              </w:rPr>
            </w:pPr>
            <w:r>
              <w:rPr>
                <w:rFonts w:hint="eastAsia" w:ascii="宋体" w:hAnsi="宋体" w:eastAsia="宋体" w:cs="宋体"/>
                <w:color w:val="auto"/>
                <w:sz w:val="22"/>
                <w:szCs w:val="22"/>
                <w:highlight w:val="none"/>
              </w:rPr>
              <w:t>租赁和商务服务业</w:t>
            </w:r>
          </w:p>
        </w:tc>
      </w:tr>
      <w:bookmarkEnd w:id="7"/>
    </w:tbl>
    <w:p w14:paraId="4B376061">
      <w:pPr>
        <w:pStyle w:val="3"/>
        <w:spacing w:before="0" w:after="0" w:line="360" w:lineRule="auto"/>
        <w:rPr>
          <w:rFonts w:hint="eastAsia" w:ascii="宋体" w:hAnsi="宋体" w:eastAsia="宋体" w:cs="宋体"/>
          <w:sz w:val="24"/>
          <w:szCs w:val="24"/>
          <w:highlight w:val="none"/>
        </w:rPr>
      </w:pPr>
      <w:bookmarkStart w:id="8" w:name="_Toc30743"/>
      <w:bookmarkStart w:id="9" w:name="_Toc373860293"/>
      <w:bookmarkStart w:id="10" w:name="_Toc317775178"/>
      <w:r>
        <w:rPr>
          <w:rFonts w:hint="eastAsia" w:ascii="宋体" w:hAnsi="宋体" w:eastAsia="宋体" w:cs="宋体"/>
          <w:sz w:val="24"/>
          <w:szCs w:val="24"/>
          <w:highlight w:val="none"/>
        </w:rPr>
        <w:t>二、资金来源</w:t>
      </w:r>
      <w:bookmarkEnd w:id="8"/>
    </w:p>
    <w:p w14:paraId="07FCA9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粮油稳产促增收补贴激励（市本级）项目，</w:t>
      </w:r>
      <w:r>
        <w:rPr>
          <w:rFonts w:hint="eastAsia" w:ascii="宋体" w:hAnsi="宋体" w:eastAsia="宋体" w:cs="宋体"/>
          <w:sz w:val="24"/>
          <w:szCs w:val="24"/>
          <w:highlight w:val="none"/>
          <w:lang w:val="en-US" w:eastAsia="zh-CN"/>
        </w:rPr>
        <w:t>预算金额25万元</w:t>
      </w:r>
      <w:r>
        <w:rPr>
          <w:rFonts w:hint="eastAsia" w:ascii="宋体" w:hAnsi="宋体" w:eastAsia="宋体" w:cs="宋体"/>
          <w:sz w:val="24"/>
          <w:szCs w:val="24"/>
          <w:highlight w:val="none"/>
        </w:rPr>
        <w:t>。</w:t>
      </w:r>
    </w:p>
    <w:p w14:paraId="7038DC37">
      <w:pPr>
        <w:pStyle w:val="3"/>
        <w:spacing w:before="0" w:after="0" w:line="360" w:lineRule="auto"/>
        <w:rPr>
          <w:rFonts w:hint="eastAsia" w:ascii="宋体" w:hAnsi="宋体" w:eastAsia="宋体" w:cs="宋体"/>
          <w:sz w:val="24"/>
          <w:szCs w:val="24"/>
          <w:highlight w:val="none"/>
        </w:rPr>
      </w:pPr>
      <w:bookmarkStart w:id="11" w:name="_Toc8767"/>
      <w:r>
        <w:rPr>
          <w:rFonts w:hint="eastAsia" w:ascii="宋体" w:hAnsi="宋体" w:eastAsia="宋体" w:cs="宋体"/>
          <w:sz w:val="24"/>
          <w:szCs w:val="24"/>
          <w:highlight w:val="none"/>
        </w:rPr>
        <w:t>三、供应商资格条件</w:t>
      </w:r>
      <w:bookmarkEnd w:id="11"/>
    </w:p>
    <w:p w14:paraId="53BCDEE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017B93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(一)基本资格条件：</w:t>
      </w:r>
    </w:p>
    <w:p w14:paraId="2F1C6D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39545E4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14:paraId="0470F9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3F3E79D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776CB0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4F9F05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1135397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(二)特定资格条件：无。</w:t>
      </w:r>
    </w:p>
    <w:p w14:paraId="74BF2DFC">
      <w:pPr>
        <w:pStyle w:val="3"/>
        <w:spacing w:before="0" w:after="0" w:line="360" w:lineRule="auto"/>
        <w:rPr>
          <w:rFonts w:hint="eastAsia" w:ascii="宋体" w:hAnsi="宋体" w:eastAsia="宋体" w:cs="宋体"/>
          <w:sz w:val="24"/>
          <w:szCs w:val="24"/>
          <w:highlight w:val="none"/>
        </w:rPr>
      </w:pPr>
      <w:bookmarkStart w:id="12" w:name="_Toc19696"/>
      <w:r>
        <w:rPr>
          <w:rFonts w:hint="eastAsia" w:ascii="宋体" w:hAnsi="宋体" w:eastAsia="宋体" w:cs="宋体"/>
          <w:sz w:val="24"/>
          <w:szCs w:val="24"/>
          <w:highlight w:val="none"/>
        </w:rPr>
        <w:t>四、磋商有关说明</w:t>
      </w:r>
      <w:bookmarkEnd w:id="9"/>
      <w:bookmarkEnd w:id="12"/>
    </w:p>
    <w:p w14:paraId="4E27B493">
      <w:pPr>
        <w:spacing w:line="360" w:lineRule="auto"/>
        <w:ind w:firstLine="480" w:firstLineChars="200"/>
        <w:rPr>
          <w:rFonts w:hint="eastAsia" w:ascii="宋体" w:hAnsi="宋体" w:eastAsia="宋体" w:cs="宋体"/>
          <w:sz w:val="24"/>
          <w:szCs w:val="24"/>
          <w:highlight w:val="none"/>
        </w:rPr>
      </w:pPr>
      <w:bookmarkStart w:id="13" w:name="OLE_LINK8"/>
      <w:r>
        <w:rPr>
          <w:rFonts w:hint="eastAsia" w:ascii="宋体" w:hAnsi="宋体" w:eastAsia="宋体" w:cs="宋体"/>
          <w:sz w:val="24"/>
          <w:szCs w:val="24"/>
          <w:highlight w:val="none"/>
        </w:rPr>
        <w:t>（一）凡有意参加磋商的供应商，请</w:t>
      </w:r>
      <w:r>
        <w:rPr>
          <w:rStyle w:val="61"/>
          <w:rFonts w:hint="eastAsia" w:ascii="宋体" w:hAnsi="宋体" w:eastAsia="宋体" w:cs="宋体"/>
          <w:sz w:val="24"/>
          <w:szCs w:val="24"/>
          <w:highlight w:val="none"/>
          <w:lang w:val="zh-TW" w:eastAsia="zh-TW"/>
        </w:rPr>
        <w:t>在“行采家”</w:t>
      </w:r>
      <w:r>
        <w:rPr>
          <w:rFonts w:hint="eastAsia" w:ascii="宋体" w:hAnsi="宋体" w:eastAsia="宋体" w:cs="宋体"/>
          <w:sz w:val="24"/>
          <w:szCs w:val="24"/>
          <w:highlight w:val="none"/>
        </w:rPr>
        <w:t>（http://www.gec123.com）</w:t>
      </w:r>
      <w:r>
        <w:rPr>
          <w:rStyle w:val="61"/>
          <w:rFonts w:hint="eastAsia" w:ascii="宋体" w:hAnsi="宋体" w:eastAsia="宋体" w:cs="宋体"/>
          <w:sz w:val="24"/>
          <w:szCs w:val="24"/>
          <w:highlight w:val="none"/>
          <w:lang w:val="zh-TW" w:eastAsia="zh-TW"/>
        </w:rPr>
        <w:t>网上</w:t>
      </w:r>
      <w:r>
        <w:rPr>
          <w:rFonts w:hint="eastAsia" w:ascii="宋体" w:hAnsi="宋体" w:eastAsia="宋体" w:cs="宋体"/>
          <w:sz w:val="24"/>
          <w:szCs w:val="24"/>
          <w:highlight w:val="none"/>
        </w:rPr>
        <w:t>下载本项目竞争性磋商文件以及补遗等磋商前公布的所有项目资料，无论供应商领取或下载与否，均视为已知晓所有磋商实质性要求内容。</w:t>
      </w:r>
    </w:p>
    <w:p w14:paraId="1C644D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（二）竞争性磋商公告期限：自竞争性磋商公告发布之日</w:t>
      </w:r>
      <w:r>
        <w:rPr>
          <w:rFonts w:hint="eastAsia" w:ascii="宋体" w:hAnsi="宋体" w:eastAsia="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起五个工作日。</w:t>
      </w:r>
    </w:p>
    <w:bookmarkEnd w:id="13"/>
    <w:p w14:paraId="30478C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（三）磋商文件发售期</w:t>
      </w:r>
    </w:p>
    <w:p w14:paraId="56F600D7">
      <w:pPr>
        <w:spacing w:line="360" w:lineRule="auto"/>
        <w:ind w:firstLine="480" w:firstLineChars="200"/>
        <w:rPr>
          <w:rFonts w:hint="eastAsia" w:ascii="宋体" w:hAnsi="宋体" w:eastAsia="宋体" w:cs="宋体"/>
          <w:sz w:val="24"/>
          <w:szCs w:val="24"/>
          <w:highlight w:val="none"/>
        </w:rPr>
      </w:pPr>
      <w:bookmarkStart w:id="14" w:name="OLE_LINK1"/>
      <w:r>
        <w:rPr>
          <w:rFonts w:hint="eastAsia" w:ascii="宋体" w:hAnsi="宋体" w:eastAsia="宋体" w:cs="宋体"/>
          <w:sz w:val="24"/>
          <w:szCs w:val="24"/>
          <w:highlight w:val="none"/>
        </w:rPr>
        <w:t>1.报名和磋商文件发售期：</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 xml:space="preserve">日 </w:t>
      </w:r>
    </w:p>
    <w:p w14:paraId="7AE869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2.在磋商文件发售期内，将《采购文件发售登记表》（加盖供应商公章）扫描后发送至315119015@qq.com（邮箱）。</w:t>
      </w:r>
    </w:p>
    <w:p w14:paraId="1FD42E38">
      <w:pPr>
        <w:spacing w:line="360" w:lineRule="auto"/>
        <w:ind w:left="476" w:leftChars="17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3.竞争性磋商文件售价为：人民币300元/份，递交响应文件时递交至代理机构。</w:t>
      </w:r>
      <w:bookmarkEnd w:id="14"/>
      <w:r>
        <w:rPr>
          <w:rFonts w:hint="eastAsia" w:ascii="宋体" w:hAnsi="宋体" w:eastAsia="宋体" w:cs="宋体"/>
          <w:sz w:val="24"/>
          <w:szCs w:val="24"/>
          <w:highlight w:val="none"/>
        </w:rPr>
        <w:t>（四）递交磋商响应文件地点：</w:t>
      </w:r>
      <w:r>
        <w:rPr>
          <w:rFonts w:hint="eastAsia" w:ascii="宋体" w:hAnsi="宋体" w:eastAsia="宋体" w:cs="宋体"/>
          <w:sz w:val="24"/>
          <w:szCs w:val="24"/>
          <w:highlight w:val="none"/>
        </w:rPr>
        <w:t>重庆市两江新区黄山大道东段186号</w:t>
      </w:r>
      <w:r>
        <w:rPr>
          <w:rFonts w:hint="eastAsia" w:ascii="宋体" w:hAnsi="宋体" w:eastAsia="宋体" w:cs="宋体"/>
          <w:sz w:val="24"/>
          <w:szCs w:val="24"/>
          <w:highlight w:val="none"/>
          <w:lang w:eastAsia="zh-CN"/>
        </w:rPr>
        <w:t>。</w:t>
      </w:r>
    </w:p>
    <w:p w14:paraId="0160B31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（五）磋商响应文件递交开始时间：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日北京时间14:00</w:t>
      </w:r>
    </w:p>
    <w:p w14:paraId="772F0576">
      <w:pPr>
        <w:spacing w:line="360" w:lineRule="auto"/>
        <w:ind w:firstLine="480" w:firstLineChars="200"/>
        <w:rPr>
          <w:rFonts w:hint="eastAsia" w:ascii="宋体" w:hAnsi="宋体" w:eastAsia="宋体" w:cs="宋体"/>
          <w:sz w:val="24"/>
          <w:szCs w:val="24"/>
          <w:highlight w:val="none"/>
        </w:rPr>
      </w:pPr>
      <w:bookmarkStart w:id="15" w:name="_Toc373860294"/>
      <w:r>
        <w:rPr>
          <w:rFonts w:hint="eastAsia" w:ascii="宋体" w:hAnsi="宋体" w:eastAsia="宋体" w:cs="宋体"/>
          <w:sz w:val="24"/>
          <w:szCs w:val="24"/>
          <w:highlight w:val="none"/>
        </w:rPr>
        <w:t>（六）磋商响应文件递交截止时间：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日北京时间14:30</w:t>
      </w:r>
    </w:p>
    <w:p w14:paraId="2FFD18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（七）磋商开始时间：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日北京时间14:30</w:t>
      </w:r>
    </w:p>
    <w:bookmarkEnd w:id="15"/>
    <w:p w14:paraId="642E45C1">
      <w:pPr>
        <w:pStyle w:val="3"/>
        <w:spacing w:before="0" w:after="0" w:line="360" w:lineRule="auto"/>
        <w:rPr>
          <w:rFonts w:hint="eastAsia" w:ascii="宋体" w:hAnsi="宋体" w:eastAsia="宋体" w:cs="宋体"/>
          <w:sz w:val="24"/>
          <w:szCs w:val="24"/>
          <w:highlight w:val="none"/>
        </w:rPr>
      </w:pPr>
      <w:bookmarkStart w:id="16" w:name="_Toc10966"/>
      <w:r>
        <w:rPr>
          <w:rFonts w:hint="eastAsia" w:ascii="宋体" w:hAnsi="宋体" w:eastAsia="宋体" w:cs="宋体"/>
          <w:sz w:val="24"/>
          <w:szCs w:val="24"/>
          <w:highlight w:val="none"/>
        </w:rPr>
        <w:t>五、</w:t>
      </w:r>
      <w:bookmarkEnd w:id="10"/>
      <w:r>
        <w:rPr>
          <w:rFonts w:hint="eastAsia" w:ascii="宋体" w:hAnsi="宋体" w:eastAsia="宋体" w:cs="宋体"/>
          <w:sz w:val="24"/>
          <w:szCs w:val="24"/>
          <w:highlight w:val="none"/>
        </w:rPr>
        <w:t>其它有关规定</w:t>
      </w:r>
      <w:bookmarkEnd w:id="16"/>
    </w:p>
    <w:p w14:paraId="34063E9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（一）单位负责人为同一人或者存在直接控股、管理关系的不同供应商，不得参加同一合同项下的政府采购活动，否则均为无效响应。</w:t>
      </w:r>
    </w:p>
    <w:p w14:paraId="2DFCB7A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（二）为采购项目提供整体设计、规范编制或者项目管理、监理、检测等服务的供应商，不得再参加该采购项目的其他采购活动，否则均为无效响应。</w:t>
      </w:r>
    </w:p>
    <w:p w14:paraId="5C45153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（三）本项目的补遗文件（如果有）一律在“行采家”平台（http://www.gec123.com）上发布请各供应商注意下载。无论供应商下载与否，均视同供应商已知晓本项目补遗文件的内容。</w:t>
      </w:r>
    </w:p>
    <w:p w14:paraId="7379D01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14:paraId="27AE2AF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（五）磋商费用：无论磋商结果如何，供应商参与本项目磋商的所有费用均应由供应商自行承担。</w:t>
      </w:r>
    </w:p>
    <w:p w14:paraId="7A0A69C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bCs/>
          <w:sz w:val="24"/>
          <w:szCs w:val="24"/>
          <w:highlight w:val="none"/>
        </w:rPr>
        <w:t>本项目不接受联合体参与磋商，否则按无效处理。</w:t>
      </w:r>
    </w:p>
    <w:p w14:paraId="66439763">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eastAsia="zh-CN"/>
        </w:rPr>
        <w:t>本项目</w:t>
      </w:r>
      <w:r>
        <w:rPr>
          <w:rFonts w:hint="eastAsia" w:ascii="宋体" w:hAnsi="宋体" w:cs="宋体"/>
          <w:b/>
          <w:bCs/>
          <w:sz w:val="24"/>
          <w:szCs w:val="24"/>
          <w:highlight w:val="none"/>
          <w:lang w:val="en-US" w:eastAsia="zh-CN"/>
        </w:rPr>
        <w:t>仅</w:t>
      </w:r>
      <w:r>
        <w:rPr>
          <w:rFonts w:hint="eastAsia" w:ascii="宋体" w:hAnsi="宋体" w:eastAsia="宋体" w:cs="宋体"/>
          <w:b/>
          <w:bCs/>
          <w:sz w:val="24"/>
          <w:szCs w:val="24"/>
          <w:highlight w:val="none"/>
          <w:lang w:eastAsia="zh-CN"/>
        </w:rPr>
        <w:t>接受</w:t>
      </w:r>
      <w:r>
        <w:rPr>
          <w:rFonts w:hint="eastAsia" w:ascii="宋体" w:hAnsi="宋体" w:cs="宋体"/>
          <w:b/>
          <w:bCs/>
          <w:sz w:val="24"/>
          <w:szCs w:val="24"/>
          <w:highlight w:val="none"/>
          <w:lang w:val="en-US" w:eastAsia="zh-CN"/>
        </w:rPr>
        <w:t>出版</w:t>
      </w:r>
      <w:r>
        <w:rPr>
          <w:rFonts w:hint="eastAsia" w:ascii="宋体" w:hAnsi="宋体" w:eastAsia="宋体" w:cs="宋体"/>
          <w:b/>
          <w:bCs/>
          <w:sz w:val="24"/>
          <w:szCs w:val="24"/>
          <w:highlight w:val="none"/>
          <w:lang w:eastAsia="zh-CN"/>
        </w:rPr>
        <w:t>分包，否则按无效处理。</w:t>
      </w:r>
    </w:p>
    <w:p w14:paraId="54DA2BA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01F3117">
      <w:pPr>
        <w:pStyle w:val="3"/>
        <w:spacing w:before="0" w:after="0" w:line="360" w:lineRule="auto"/>
        <w:rPr>
          <w:rFonts w:hint="eastAsia" w:ascii="宋体" w:hAnsi="宋体" w:eastAsia="宋体" w:cs="宋体"/>
          <w:sz w:val="24"/>
          <w:szCs w:val="24"/>
          <w:highlight w:val="none"/>
        </w:rPr>
      </w:pPr>
      <w:bookmarkStart w:id="17" w:name="_Toc509586467"/>
      <w:bookmarkStart w:id="18" w:name="_Toc10983"/>
      <w:r>
        <w:rPr>
          <w:rFonts w:hint="eastAsia" w:ascii="宋体" w:hAnsi="宋体" w:eastAsia="宋体" w:cs="宋体"/>
          <w:sz w:val="24"/>
          <w:szCs w:val="24"/>
          <w:highlight w:val="none"/>
        </w:rPr>
        <w:t>六、</w:t>
      </w:r>
      <w:bookmarkStart w:id="19" w:name="_Toc479668114"/>
      <w:bookmarkStart w:id="20" w:name="_Toc480466698"/>
      <w:r>
        <w:rPr>
          <w:rFonts w:hint="eastAsia" w:ascii="宋体" w:hAnsi="宋体" w:eastAsia="宋体" w:cs="宋体"/>
          <w:sz w:val="24"/>
          <w:szCs w:val="24"/>
          <w:highlight w:val="none"/>
        </w:rPr>
        <w:t>采购项目需落实的政府采购政策</w:t>
      </w:r>
      <w:bookmarkEnd w:id="17"/>
      <w:bookmarkEnd w:id="18"/>
      <w:bookmarkEnd w:id="19"/>
      <w:bookmarkEnd w:id="20"/>
    </w:p>
    <w:p w14:paraId="5B7726F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BD5045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（二）按照&lt;财政部 工业和信息化部关于印发《政府采购促进中小企业发展暂行办法》的通知&gt;（财库〔2011〕181号）的规定，落实促进中小企业发展政策。</w:t>
      </w:r>
    </w:p>
    <w:p w14:paraId="7EA03CF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（三）按照&lt;财政部、司法部关于政府采购支持监狱企业发展有关问题的通知&gt;（财库〔2014〕68号）的规定，落实支持监狱企业发展政策。</w:t>
      </w:r>
    </w:p>
    <w:p w14:paraId="7EAF24A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（四）按照《三部门联合发布关于促进残疾人就业政府采购政策的通知》（财库〔2017〕 141号）的规定，落实支持残疾人福利性单位发展政策。</w:t>
      </w:r>
    </w:p>
    <w:p w14:paraId="1310A594">
      <w:pPr>
        <w:pStyle w:val="3"/>
        <w:spacing w:before="0" w:after="0" w:line="360" w:lineRule="auto"/>
        <w:rPr>
          <w:rFonts w:hint="eastAsia" w:ascii="宋体" w:hAnsi="宋体" w:eastAsia="宋体" w:cs="宋体"/>
          <w:sz w:val="24"/>
          <w:szCs w:val="24"/>
          <w:highlight w:val="none"/>
        </w:rPr>
      </w:pPr>
      <w:bookmarkStart w:id="21" w:name="_Toc597"/>
      <w:r>
        <w:rPr>
          <w:rFonts w:hint="eastAsia" w:ascii="宋体" w:hAnsi="宋体" w:eastAsia="宋体" w:cs="宋体"/>
          <w:sz w:val="24"/>
          <w:szCs w:val="24"/>
          <w:highlight w:val="none"/>
        </w:rPr>
        <w:t>七、联系方式</w:t>
      </w:r>
      <w:bookmarkEnd w:id="21"/>
    </w:p>
    <w:p w14:paraId="4D1C8327">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eastAsia="宋体" w:cs="宋体"/>
          <w:sz w:val="24"/>
          <w:szCs w:val="24"/>
          <w:highlight w:val="none"/>
          <w:lang w:eastAsia="zh-CN"/>
        </w:rPr>
        <w:t>重庆市农业技术推广总站</w:t>
      </w:r>
    </w:p>
    <w:p w14:paraId="09CFFD2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祝娜</w:t>
      </w:r>
    </w:p>
    <w:p w14:paraId="0772B6B5">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023-89133734</w:t>
      </w:r>
    </w:p>
    <w:p w14:paraId="5D3B30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地址：重庆市北部新区黄山大道东段186号</w:t>
      </w:r>
    </w:p>
    <w:p w14:paraId="6E2BE2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（二）采购代理机构：重庆千广商务信息咨询有限公司</w:t>
      </w:r>
    </w:p>
    <w:p w14:paraId="3D47E382">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张老师</w:t>
      </w:r>
    </w:p>
    <w:p w14:paraId="2A1BF124">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bookmarkStart w:id="22" w:name="OLE_LINK6"/>
      <w:r>
        <w:rPr>
          <w:rFonts w:hint="eastAsia" w:ascii="宋体" w:hAnsi="宋体" w:eastAsia="宋体" w:cs="宋体"/>
          <w:color w:val="auto"/>
          <w:sz w:val="24"/>
          <w:szCs w:val="24"/>
          <w:highlight w:val="none"/>
          <w:lang w:val="en-US" w:eastAsia="zh-CN"/>
        </w:rPr>
        <w:t>13896184944</w:t>
      </w:r>
    </w:p>
    <w:bookmarkEnd w:id="22"/>
    <w:p w14:paraId="3E7D27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址：重庆两江新区鸳鸯街道湖山路B19号附28号</w:t>
      </w:r>
    </w:p>
    <w:p w14:paraId="752B5F65">
      <w:pPr>
        <w:snapToGrid w:val="0"/>
        <w:ind w:firstLine="480" w:firstLineChars="200"/>
        <w:rPr>
          <w:rFonts w:hint="eastAsia" w:ascii="宋体" w:hAnsi="宋体" w:eastAsia="宋体" w:cs="宋体"/>
          <w:sz w:val="24"/>
          <w:szCs w:val="24"/>
          <w:highlight w:val="none"/>
        </w:rPr>
        <w:sectPr>
          <w:pgSz w:w="11907" w:h="16840"/>
          <w:pgMar w:top="1134" w:right="1418" w:bottom="1134" w:left="1418" w:header="964" w:footer="992" w:gutter="0"/>
          <w:pgNumType w:fmt="numberInDash"/>
          <w:cols w:space="720" w:num="1"/>
          <w:docGrid w:linePitch="312" w:charSpace="0"/>
        </w:sectPr>
      </w:pPr>
    </w:p>
    <w:p w14:paraId="3CF5B576">
      <w:pPr>
        <w:pStyle w:val="2"/>
        <w:spacing w:line="360" w:lineRule="auto"/>
        <w:jc w:val="center"/>
        <w:rPr>
          <w:rFonts w:hint="eastAsia" w:ascii="宋体" w:hAnsi="宋体" w:eastAsia="宋体" w:cs="宋体"/>
          <w:b/>
          <w:sz w:val="36"/>
          <w:szCs w:val="36"/>
          <w:highlight w:val="none"/>
        </w:rPr>
      </w:pPr>
      <w:bookmarkStart w:id="23" w:name="_Toc18004"/>
      <w:r>
        <w:rPr>
          <w:rFonts w:hint="eastAsia" w:ascii="宋体" w:hAnsi="宋体" w:eastAsia="宋体" w:cs="宋体"/>
          <w:b/>
          <w:sz w:val="36"/>
          <w:szCs w:val="36"/>
          <w:highlight w:val="none"/>
        </w:rPr>
        <w:t>第二篇  项目</w:t>
      </w:r>
      <w:r>
        <w:rPr>
          <w:rFonts w:hint="eastAsia" w:ascii="宋体" w:hAnsi="宋体" w:eastAsia="宋体" w:cs="宋体"/>
          <w:b/>
          <w:sz w:val="36"/>
          <w:szCs w:val="36"/>
          <w:highlight w:val="none"/>
          <w:lang w:val="en-US" w:eastAsia="zh-CN"/>
        </w:rPr>
        <w:t>服务</w:t>
      </w:r>
      <w:r>
        <w:rPr>
          <w:rFonts w:hint="eastAsia" w:ascii="宋体" w:hAnsi="宋体" w:eastAsia="宋体" w:cs="宋体"/>
          <w:b/>
          <w:sz w:val="36"/>
          <w:szCs w:val="36"/>
          <w:highlight w:val="none"/>
        </w:rPr>
        <w:t>需求</w:t>
      </w:r>
      <w:bookmarkEnd w:id="23"/>
    </w:p>
    <w:p w14:paraId="3C60C8FA">
      <w:pPr>
        <w:spacing w:line="400" w:lineRule="exact"/>
        <w:ind w:firstLine="482" w:firstLineChars="200"/>
        <w:rPr>
          <w:rFonts w:hint="eastAsia" w:ascii="宋体" w:hAnsi="宋体" w:eastAsia="宋体" w:cs="宋体"/>
          <w:sz w:val="24"/>
          <w:szCs w:val="24"/>
          <w:highlight w:val="none"/>
        </w:rPr>
      </w:pPr>
      <w:bookmarkStart w:id="24" w:name="_Toc26607"/>
      <w:bookmarkStart w:id="25" w:name="_Toc12789058"/>
      <w:r>
        <w:rPr>
          <w:rFonts w:hint="eastAsia" w:ascii="宋体" w:hAnsi="宋体"/>
          <w:b/>
          <w:bCs/>
          <w:sz w:val="24"/>
          <w:szCs w:val="24"/>
          <w:highlight w:val="none"/>
        </w:rPr>
        <w:t>“※”标注的服务需求为符合性审查中的实质性要求，响应文件若不满足按无效响应处理。</w:t>
      </w:r>
    </w:p>
    <w:p w14:paraId="02B0036F">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一、项目一览表</w:t>
      </w:r>
      <w:bookmarkEnd w:id="24"/>
    </w:p>
    <w:tbl>
      <w:tblPr>
        <w:tblStyle w:val="57"/>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465"/>
        <w:gridCol w:w="1968"/>
      </w:tblGrid>
      <w:tr w14:paraId="607F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7" w:type="dxa"/>
            <w:vAlign w:val="center"/>
          </w:tcPr>
          <w:p w14:paraId="1E36CB7C">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b/>
                <w:bCs/>
                <w:color w:val="000000" w:themeColor="text1"/>
                <w:sz w:val="22"/>
                <w:szCs w:val="24"/>
                <w:highlight w:val="none"/>
                <w14:textFill>
                  <w14:solidFill>
                    <w14:schemeClr w14:val="tx1"/>
                  </w14:solidFill>
                </w14:textFill>
              </w:rPr>
            </w:pPr>
            <w:r>
              <w:rPr>
                <w:rFonts w:hint="eastAsia" w:ascii="宋体" w:hAnsi="宋体" w:eastAsia="宋体" w:cs="宋体"/>
                <w:b/>
                <w:bCs/>
                <w:color w:val="000000" w:themeColor="text1"/>
                <w:sz w:val="22"/>
                <w:szCs w:val="24"/>
                <w:highlight w:val="none"/>
                <w14:textFill>
                  <w14:solidFill>
                    <w14:schemeClr w14:val="tx1"/>
                  </w14:solidFill>
                </w14:textFill>
              </w:rPr>
              <w:t>合同</w:t>
            </w:r>
          </w:p>
          <w:p w14:paraId="40A19126">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b/>
                <w:bCs/>
                <w:color w:val="000000" w:themeColor="text1"/>
                <w:sz w:val="22"/>
                <w:szCs w:val="24"/>
                <w:highlight w:val="none"/>
                <w14:textFill>
                  <w14:solidFill>
                    <w14:schemeClr w14:val="tx1"/>
                  </w14:solidFill>
                </w14:textFill>
              </w:rPr>
            </w:pPr>
            <w:r>
              <w:rPr>
                <w:rFonts w:hint="eastAsia" w:ascii="宋体" w:hAnsi="宋体" w:eastAsia="宋体" w:cs="宋体"/>
                <w:b/>
                <w:bCs/>
                <w:color w:val="000000" w:themeColor="text1"/>
                <w:sz w:val="22"/>
                <w:szCs w:val="24"/>
                <w:highlight w:val="none"/>
                <w14:textFill>
                  <w14:solidFill>
                    <w14:schemeClr w14:val="tx1"/>
                  </w14:solidFill>
                </w14:textFill>
              </w:rPr>
              <w:t>包号</w:t>
            </w:r>
          </w:p>
        </w:tc>
        <w:tc>
          <w:tcPr>
            <w:tcW w:w="5465" w:type="dxa"/>
            <w:vAlign w:val="center"/>
          </w:tcPr>
          <w:p w14:paraId="7650D888">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b/>
                <w:bCs/>
                <w:color w:val="000000" w:themeColor="text1"/>
                <w:sz w:val="22"/>
                <w:szCs w:val="24"/>
                <w:highlight w:val="none"/>
                <w14:textFill>
                  <w14:solidFill>
                    <w14:schemeClr w14:val="tx1"/>
                  </w14:solidFill>
                </w14:textFill>
              </w:rPr>
            </w:pPr>
            <w:r>
              <w:rPr>
                <w:rFonts w:hint="eastAsia" w:ascii="宋体" w:hAnsi="宋体" w:eastAsia="宋体" w:cs="宋体"/>
                <w:b/>
                <w:bCs/>
                <w:color w:val="000000" w:themeColor="text1"/>
                <w:sz w:val="22"/>
                <w:szCs w:val="24"/>
                <w:highlight w:val="none"/>
                <w14:textFill>
                  <w14:solidFill>
                    <w14:schemeClr w14:val="tx1"/>
                  </w14:solidFill>
                </w14:textFill>
              </w:rPr>
              <w:t>项目名称</w:t>
            </w:r>
          </w:p>
        </w:tc>
        <w:tc>
          <w:tcPr>
            <w:tcW w:w="1968" w:type="dxa"/>
            <w:vAlign w:val="center"/>
          </w:tcPr>
          <w:p w14:paraId="6AC10612">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sz w:val="22"/>
                <w:szCs w:val="24"/>
                <w:highlight w:val="none"/>
              </w:rPr>
            </w:pPr>
            <w:r>
              <w:rPr>
                <w:rFonts w:hint="eastAsia" w:ascii="宋体" w:hAnsi="宋体" w:eastAsia="宋体" w:cs="宋体"/>
                <w:b/>
                <w:bCs/>
                <w:color w:val="000000" w:themeColor="text1"/>
                <w:sz w:val="22"/>
                <w:szCs w:val="24"/>
                <w:highlight w:val="none"/>
                <w14:textFill>
                  <w14:solidFill>
                    <w14:schemeClr w14:val="tx1"/>
                  </w14:solidFill>
                </w14:textFill>
              </w:rPr>
              <w:t>数量/单位</w:t>
            </w:r>
          </w:p>
        </w:tc>
      </w:tr>
      <w:tr w14:paraId="2917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7" w:type="dxa"/>
            <w:vAlign w:val="center"/>
          </w:tcPr>
          <w:p w14:paraId="4CDC91C4">
            <w:pPr>
              <w:jc w:val="center"/>
              <w:rPr>
                <w:rFonts w:hint="eastAsia" w:ascii="宋体" w:hAnsi="宋体" w:eastAsia="宋体" w:cs="宋体"/>
                <w:sz w:val="22"/>
                <w:szCs w:val="24"/>
                <w:highlight w:val="none"/>
              </w:rPr>
            </w:pPr>
            <w:r>
              <w:rPr>
                <w:rFonts w:hint="eastAsia" w:ascii="宋体" w:hAnsi="宋体" w:eastAsia="宋体" w:cs="宋体"/>
                <w:sz w:val="22"/>
                <w:szCs w:val="24"/>
                <w:highlight w:val="none"/>
              </w:rPr>
              <w:t>一</w:t>
            </w:r>
          </w:p>
        </w:tc>
        <w:tc>
          <w:tcPr>
            <w:tcW w:w="5465" w:type="dxa"/>
            <w:vAlign w:val="center"/>
          </w:tcPr>
          <w:p w14:paraId="5DC9E1DC">
            <w:pPr>
              <w:pStyle w:val="15"/>
              <w:spacing w:line="400" w:lineRule="exact"/>
              <w:ind w:firstLine="0"/>
              <w:jc w:val="left"/>
              <w:outlineLvl w:val="0"/>
              <w:rPr>
                <w:rFonts w:hint="eastAsia" w:ascii="宋体" w:hAnsi="宋体" w:eastAsia="宋体" w:cs="宋体"/>
                <w:sz w:val="22"/>
                <w:szCs w:val="24"/>
                <w:highlight w:val="none"/>
                <w:lang w:eastAsia="zh-CN"/>
              </w:rPr>
            </w:pPr>
            <w:r>
              <w:rPr>
                <w:rFonts w:hint="eastAsia" w:ascii="宋体" w:hAnsi="宋体" w:eastAsia="宋体" w:cs="宋体"/>
                <w:szCs w:val="24"/>
                <w:highlight w:val="none"/>
                <w:lang w:eastAsia="zh-CN"/>
              </w:rPr>
              <w:t>2025年粮油稳产促增收补贴激励（市本级）项目（宣传报道）</w:t>
            </w:r>
          </w:p>
        </w:tc>
        <w:tc>
          <w:tcPr>
            <w:tcW w:w="1968" w:type="dxa"/>
            <w:vAlign w:val="center"/>
          </w:tcPr>
          <w:p w14:paraId="458EBEAB">
            <w:pPr>
              <w:keepNext w:val="0"/>
              <w:keepLines w:val="0"/>
              <w:suppressLineNumbers w:val="0"/>
              <w:snapToGrid w:val="0"/>
              <w:spacing w:before="0" w:beforeAutospacing="0" w:after="0" w:afterAutospacing="0"/>
              <w:ind w:left="0" w:leftChars="0" w:right="0" w:rightChars="0"/>
              <w:jc w:val="center"/>
              <w:textAlignment w:val="baseline"/>
              <w:rPr>
                <w:rFonts w:hint="eastAsia" w:ascii="宋体" w:hAnsi="宋体" w:eastAsia="宋体" w:cs="宋体"/>
                <w:sz w:val="22"/>
                <w:szCs w:val="24"/>
                <w:highlight w:val="none"/>
              </w:rPr>
            </w:pPr>
            <w:r>
              <w:rPr>
                <w:rFonts w:hint="eastAsia" w:ascii="宋体" w:hAnsi="宋体" w:eastAsia="宋体" w:cs="宋体"/>
                <w:sz w:val="24"/>
                <w:szCs w:val="24"/>
                <w:highlight w:val="none"/>
                <w:lang w:val="en-US" w:eastAsia="zh-CN"/>
              </w:rPr>
              <w:t>1项</w:t>
            </w:r>
          </w:p>
        </w:tc>
      </w:tr>
    </w:tbl>
    <w:p w14:paraId="5972BD77">
      <w:pPr>
        <w:pStyle w:val="3"/>
        <w:spacing w:before="0" w:after="0" w:line="360" w:lineRule="auto"/>
        <w:rPr>
          <w:rFonts w:hint="eastAsia" w:ascii="宋体" w:hAnsi="宋体" w:eastAsia="宋体" w:cs="宋体"/>
          <w:sz w:val="24"/>
          <w:szCs w:val="24"/>
          <w:highlight w:val="none"/>
          <w:lang w:val="en-US" w:eastAsia="zh-CN"/>
        </w:rPr>
      </w:pPr>
      <w:bookmarkStart w:id="26" w:name="_Toc5386"/>
      <w:r>
        <w:rPr>
          <w:rFonts w:hint="eastAsia" w:ascii="宋体" w:hAnsi="宋体" w:eastAsia="宋体" w:cs="宋体"/>
          <w:sz w:val="24"/>
          <w:szCs w:val="24"/>
          <w:highlight w:val="none"/>
        </w:rPr>
        <w:t>二、项目定位</w:t>
      </w:r>
      <w:bookmarkEnd w:id="26"/>
    </w:p>
    <w:p w14:paraId="4964AACB">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用“影像+图册”双载体，集中展示2025年度重庆市粮油大面积单产提升行动的“四良”融合路径、典型主体、亮点成效，营造全域比学赶超氛围。</w:t>
      </w:r>
    </w:p>
    <w:p w14:paraId="78E6EC8F">
      <w:pPr>
        <w:pStyle w:val="3"/>
        <w:spacing w:before="0" w:after="0" w:line="360" w:lineRule="auto"/>
        <w:rPr>
          <w:rFonts w:hint="eastAsia" w:ascii="宋体" w:hAnsi="宋体" w:eastAsia="宋体" w:cs="宋体"/>
          <w:sz w:val="24"/>
          <w:szCs w:val="24"/>
          <w:highlight w:val="none"/>
          <w:lang w:val="en-US" w:eastAsia="zh-CN"/>
        </w:rPr>
      </w:pPr>
      <w:bookmarkStart w:id="27" w:name="_Toc2023"/>
      <w:r>
        <w:rPr>
          <w:rFonts w:hint="eastAsia" w:ascii="宋体" w:hAnsi="宋体" w:eastAsia="宋体" w:cs="宋体"/>
          <w:sz w:val="24"/>
          <w:szCs w:val="24"/>
          <w:highlight w:val="none"/>
          <w:lang w:val="en-US" w:eastAsia="zh-CN"/>
        </w:rPr>
        <w:t>三、项目内容</w:t>
      </w:r>
      <w:bookmarkEnd w:id="27"/>
    </w:p>
    <w:tbl>
      <w:tblPr>
        <w:tblStyle w:val="58"/>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6392"/>
      </w:tblGrid>
      <w:tr w14:paraId="3E03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10" w:type="dxa"/>
            <w:tcBorders>
              <w:tl2br w:val="nil"/>
              <w:tr2bl w:val="nil"/>
            </w:tcBorders>
            <w:vAlign w:val="center"/>
          </w:tcPr>
          <w:p w14:paraId="5B42120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科目</w:t>
            </w:r>
          </w:p>
        </w:tc>
        <w:tc>
          <w:tcPr>
            <w:tcW w:w="6392" w:type="dxa"/>
            <w:tcBorders>
              <w:tl2br w:val="nil"/>
              <w:tr2bl w:val="nil"/>
            </w:tcBorders>
            <w:vAlign w:val="center"/>
          </w:tcPr>
          <w:p w14:paraId="01F6E1D3">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说明</w:t>
            </w:r>
          </w:p>
        </w:tc>
      </w:tr>
      <w:tr w14:paraId="55E7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tcBorders>
              <w:tl2br w:val="nil"/>
              <w:tr2bl w:val="nil"/>
            </w:tcBorders>
            <w:vAlign w:val="center"/>
          </w:tcPr>
          <w:p w14:paraId="29E2A24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1.专题宣传片制作</w:t>
            </w:r>
          </w:p>
        </w:tc>
        <w:tc>
          <w:tcPr>
            <w:tcW w:w="6392" w:type="dxa"/>
            <w:tcBorders>
              <w:tl2br w:val="nil"/>
              <w:tr2bl w:val="nil"/>
            </w:tcBorders>
            <w:vAlign w:val="center"/>
          </w:tcPr>
          <w:p w14:paraId="39BA4A59">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8~10分钟精剪。含策划脚本、拍摄、3D动画制作、后期剪辑、配音等。</w:t>
            </w:r>
          </w:p>
        </w:tc>
      </w:tr>
      <w:tr w14:paraId="4ED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l2br w:val="nil"/>
              <w:tr2bl w:val="nil"/>
            </w:tcBorders>
            <w:vAlign w:val="center"/>
          </w:tcPr>
          <w:p w14:paraId="06C9B0E1">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2.宣传图册制作</w:t>
            </w:r>
          </w:p>
        </w:tc>
        <w:tc>
          <w:tcPr>
            <w:tcW w:w="6392" w:type="dxa"/>
            <w:tcBorders>
              <w:tl2br w:val="nil"/>
              <w:tr2bl w:val="nil"/>
            </w:tcBorders>
            <w:vAlign w:val="center"/>
          </w:tcPr>
          <w:p w14:paraId="5C7ABD1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出版具ISBN书号的正版出版物。含摄影，撰稿、设计、打样、印刷、装订等。</w:t>
            </w:r>
          </w:p>
        </w:tc>
      </w:tr>
    </w:tbl>
    <w:p w14:paraId="22406962">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1.专题</w:t>
      </w:r>
      <w:r>
        <w:rPr>
          <w:rFonts w:hint="eastAsia" w:ascii="宋体" w:hAnsi="宋体" w:eastAsia="宋体" w:cs="宋体"/>
          <w:sz w:val="24"/>
          <w:szCs w:val="24"/>
          <w:highlight w:val="none"/>
          <w:lang w:eastAsia="zh-CN"/>
        </w:rPr>
        <w:t>宣传片</w:t>
      </w:r>
    </w:p>
    <w:p w14:paraId="1C6C4B70">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紧扣</w:t>
      </w:r>
      <w:r>
        <w:rPr>
          <w:rFonts w:hint="eastAsia" w:ascii="宋体" w:hAnsi="宋体" w:eastAsia="宋体" w:cs="宋体"/>
          <w:sz w:val="24"/>
          <w:szCs w:val="24"/>
          <w:highlight w:val="none"/>
          <w:lang w:val="en-US" w:eastAsia="zh-CN"/>
        </w:rPr>
        <w:t>国家粮食安全战略与重庆行动部署</w:t>
      </w:r>
      <w:r>
        <w:rPr>
          <w:rFonts w:hint="eastAsia" w:ascii="宋体" w:hAnsi="宋体" w:eastAsia="宋体" w:cs="宋体"/>
          <w:sz w:val="24"/>
          <w:szCs w:val="24"/>
          <w:highlight w:val="none"/>
          <w:lang w:eastAsia="zh-CN"/>
        </w:rPr>
        <w:t>，聚焦“良田、良种、良法、良机”深度融合的实践路径，围绕“种、管、收”关键农时和“水稻集约化育苗”等关键技术，</w:t>
      </w:r>
      <w:r>
        <w:rPr>
          <w:rFonts w:hint="eastAsia" w:ascii="宋体" w:hAnsi="宋体" w:eastAsia="宋体" w:cs="宋体"/>
          <w:sz w:val="24"/>
          <w:szCs w:val="24"/>
          <w:highlight w:val="none"/>
          <w:lang w:val="en-US" w:eastAsia="zh-CN"/>
        </w:rPr>
        <w:t>充分展现重庆</w:t>
      </w:r>
      <w:r>
        <w:rPr>
          <w:rFonts w:hint="eastAsia" w:ascii="宋体" w:hAnsi="宋体" w:eastAsia="宋体" w:cs="宋体"/>
          <w:sz w:val="24"/>
          <w:szCs w:val="24"/>
          <w:highlight w:val="none"/>
          <w:lang w:eastAsia="zh-CN"/>
        </w:rPr>
        <w:t>12个单产提升整建制推进县示范成效、</w:t>
      </w:r>
      <w:r>
        <w:rPr>
          <w:rFonts w:hint="eastAsia" w:ascii="宋体" w:hAnsi="宋体" w:eastAsia="宋体" w:cs="宋体"/>
          <w:sz w:val="24"/>
          <w:szCs w:val="24"/>
          <w:highlight w:val="none"/>
          <w:lang w:val="en-US" w:eastAsia="zh-CN"/>
        </w:rPr>
        <w:t>种粮大户（农户）</w:t>
      </w:r>
      <w:r>
        <w:rPr>
          <w:rFonts w:hint="eastAsia" w:ascii="宋体" w:hAnsi="宋体" w:eastAsia="宋体" w:cs="宋体"/>
          <w:sz w:val="24"/>
          <w:szCs w:val="24"/>
          <w:highlight w:val="none"/>
          <w:lang w:eastAsia="zh-CN"/>
        </w:rPr>
        <w:t>先进典型示范</w:t>
      </w:r>
      <w:r>
        <w:rPr>
          <w:rFonts w:hint="eastAsia" w:ascii="宋体" w:hAnsi="宋体" w:eastAsia="宋体" w:cs="宋体"/>
          <w:sz w:val="24"/>
          <w:szCs w:val="24"/>
          <w:highlight w:val="none"/>
          <w:lang w:val="en-US" w:eastAsia="zh-CN"/>
        </w:rPr>
        <w:t>案例。形成</w:t>
      </w:r>
      <w:r>
        <w:rPr>
          <w:rFonts w:hint="eastAsia" w:ascii="宋体" w:hAnsi="宋体" w:eastAsia="宋体" w:cs="宋体"/>
          <w:sz w:val="24"/>
          <w:szCs w:val="24"/>
          <w:highlight w:val="none"/>
          <w:lang w:eastAsia="zh-CN"/>
        </w:rPr>
        <w:t>“战略引领—实践创新—人物带动—未来展望”</w:t>
      </w:r>
      <w:r>
        <w:rPr>
          <w:rFonts w:hint="eastAsia" w:ascii="宋体" w:hAnsi="宋体" w:eastAsia="宋体" w:cs="宋体"/>
          <w:sz w:val="24"/>
          <w:szCs w:val="24"/>
          <w:highlight w:val="none"/>
          <w:lang w:val="en-US" w:eastAsia="zh-CN"/>
        </w:rPr>
        <w:t>的完整</w:t>
      </w:r>
      <w:r>
        <w:rPr>
          <w:rFonts w:hint="eastAsia" w:ascii="宋体" w:hAnsi="宋体" w:eastAsia="宋体" w:cs="宋体"/>
          <w:sz w:val="24"/>
          <w:szCs w:val="24"/>
          <w:highlight w:val="none"/>
          <w:lang w:eastAsia="zh-CN"/>
        </w:rPr>
        <w:t>叙事主线，系统呈现重庆在山地农业背景下，全面提升粮食综合生产能力的</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lang w:eastAsia="zh-CN"/>
        </w:rPr>
        <w:t>成</w:t>
      </w:r>
      <w:r>
        <w:rPr>
          <w:rFonts w:hint="eastAsia" w:ascii="宋体" w:hAnsi="宋体" w:eastAsia="宋体" w:cs="宋体"/>
          <w:sz w:val="24"/>
          <w:szCs w:val="24"/>
          <w:highlight w:val="none"/>
          <w:lang w:val="en-US" w:eastAsia="zh-CN"/>
        </w:rPr>
        <w:t>效和担当精神</w:t>
      </w:r>
      <w:r>
        <w:rPr>
          <w:rFonts w:hint="eastAsia" w:ascii="宋体" w:hAnsi="宋体" w:eastAsia="宋体" w:cs="宋体"/>
          <w:sz w:val="24"/>
          <w:szCs w:val="24"/>
          <w:highlight w:val="none"/>
          <w:lang w:eastAsia="zh-CN"/>
        </w:rPr>
        <w:t>。</w:t>
      </w:r>
    </w:p>
    <w:p w14:paraId="7DC71AA6">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2.宣传图册</w:t>
      </w:r>
    </w:p>
    <w:p w14:paraId="3CB19FDF">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对重庆粮食生产基本情况、“四良”融合关键措施、种粮大户（农户）举措亮点、12个</w:t>
      </w:r>
      <w:r>
        <w:rPr>
          <w:rFonts w:hint="eastAsia" w:ascii="宋体" w:hAnsi="宋体" w:eastAsia="宋体" w:cs="宋体"/>
          <w:sz w:val="24"/>
          <w:szCs w:val="24"/>
          <w:highlight w:val="none"/>
          <w:lang w:eastAsia="zh-CN"/>
        </w:rPr>
        <w:t>单产提升整建制县</w:t>
      </w:r>
      <w:r>
        <w:rPr>
          <w:rFonts w:hint="eastAsia" w:ascii="宋体" w:hAnsi="宋体" w:eastAsia="宋体" w:cs="宋体"/>
          <w:sz w:val="24"/>
          <w:szCs w:val="24"/>
          <w:highlight w:val="none"/>
          <w:lang w:val="en-US" w:eastAsia="zh-CN"/>
        </w:rPr>
        <w:t>示范片情况、单产提升大事记、国家战略指引和领导关怀等整理成册，全面展现重庆粮油大面积单产提升工作成果，编印高质量宣传图册。</w:t>
      </w:r>
    </w:p>
    <w:p w14:paraId="3C7A04B8">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说明：包括但不限于以上内容，</w:t>
      </w:r>
      <w:r>
        <w:rPr>
          <w:rFonts w:hint="eastAsia" w:ascii="宋体" w:hAnsi="宋体" w:eastAsia="宋体" w:cs="宋体"/>
          <w:sz w:val="24"/>
          <w:szCs w:val="24"/>
          <w:highlight w:val="none"/>
          <w:lang w:val="en-US" w:eastAsia="zh-CN"/>
        </w:rPr>
        <w:t>可根据实际情况调整。</w:t>
      </w:r>
    </w:p>
    <w:p w14:paraId="7C9A8A14">
      <w:pPr>
        <w:pStyle w:val="3"/>
        <w:spacing w:before="0" w:after="0" w:line="360" w:lineRule="auto"/>
        <w:rPr>
          <w:rFonts w:hint="eastAsia" w:ascii="宋体" w:hAnsi="宋体" w:eastAsia="宋体" w:cs="宋体"/>
          <w:sz w:val="24"/>
          <w:szCs w:val="24"/>
          <w:highlight w:val="none"/>
          <w:lang w:val="en-US" w:eastAsia="zh-CN"/>
        </w:rPr>
      </w:pPr>
      <w:bookmarkStart w:id="28" w:name="_Toc28918"/>
      <w:r>
        <w:rPr>
          <w:rFonts w:hint="eastAsia" w:ascii="宋体" w:hAnsi="宋体" w:eastAsia="宋体" w:cs="宋体"/>
          <w:sz w:val="24"/>
          <w:szCs w:val="24"/>
          <w:highlight w:val="none"/>
          <w:lang w:val="en-US" w:eastAsia="zh-CN"/>
        </w:rPr>
        <w:t>四、服务要求</w:t>
      </w:r>
      <w:bookmarkEnd w:id="28"/>
    </w:p>
    <w:p w14:paraId="53A0173A">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.供应商需要对采购人的宣传需求和宣传效果进行精准分析及定位策划，</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lang w:eastAsia="zh-CN"/>
        </w:rPr>
        <w:t>编制</w:t>
      </w:r>
      <w:r>
        <w:rPr>
          <w:rFonts w:hint="eastAsia" w:ascii="宋体" w:hAnsi="宋体" w:eastAsia="宋体" w:cs="宋体"/>
          <w:sz w:val="24"/>
          <w:szCs w:val="24"/>
          <w:highlight w:val="none"/>
          <w:lang w:val="en-US" w:eastAsia="zh-CN"/>
        </w:rPr>
        <w:t>相应的</w:t>
      </w:r>
      <w:r>
        <w:rPr>
          <w:rFonts w:hint="eastAsia" w:ascii="宋体" w:hAnsi="宋体" w:eastAsia="宋体" w:cs="宋体"/>
          <w:sz w:val="24"/>
          <w:szCs w:val="24"/>
          <w:highlight w:val="none"/>
          <w:lang w:eastAsia="zh-CN"/>
        </w:rPr>
        <w:t>组织实施方案等内容。</w:t>
      </w:r>
    </w:p>
    <w:p w14:paraId="7610A333">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.供应商宣传发布内容和技术标准，必须符合相关行业规定及国家相关法律法规。</w:t>
      </w:r>
    </w:p>
    <w:p w14:paraId="36DB51D1">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.供应商工作人员的交通和拍摄过程中的安全由供应商自行负责。</w:t>
      </w:r>
    </w:p>
    <w:p w14:paraId="655241BB">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对本项目所有内部资料、技术文档和信息具有保密义务。未经采购人书面许可，不得以任何形式向第三方透露本项目任何内容。资料归档：原始素材、成片、设计源文件保存≥5年。</w:t>
      </w:r>
    </w:p>
    <w:p w14:paraId="7D4B68EF">
      <w:pPr>
        <w:snapToGrid w:val="0"/>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b/>
          <w:bCs/>
          <w:sz w:val="24"/>
          <w:szCs w:val="24"/>
          <w:highlight w:val="none"/>
        </w:rPr>
        <w:t>※</w:t>
      </w:r>
      <w:r>
        <w:rPr>
          <w:rFonts w:hint="eastAsia" w:ascii="宋体" w:hAnsi="宋体" w:eastAsia="宋体" w:cs="宋体"/>
          <w:sz w:val="24"/>
          <w:szCs w:val="24"/>
          <w:highlight w:val="none"/>
          <w:lang w:val="en-US" w:eastAsia="zh-CN"/>
        </w:rPr>
        <w:t>5.供应商</w:t>
      </w:r>
      <w:r>
        <w:rPr>
          <w:rFonts w:hint="eastAsia" w:ascii="宋体" w:hAnsi="宋体" w:eastAsia="宋体" w:cs="宋体"/>
          <w:sz w:val="24"/>
          <w:szCs w:val="24"/>
          <w:highlight w:val="none"/>
          <w:lang w:eastAsia="zh-CN"/>
        </w:rPr>
        <w:t>具有项目相关工作能力及经验的服务团队。</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团队</w:t>
      </w:r>
      <w:r>
        <w:rPr>
          <w:rFonts w:hint="eastAsia" w:ascii="宋体" w:hAnsi="宋体" w:eastAsia="宋体" w:cs="宋体"/>
          <w:sz w:val="24"/>
          <w:szCs w:val="24"/>
          <w:highlight w:val="none"/>
          <w:lang w:val="en-US" w:eastAsia="zh-CN"/>
        </w:rPr>
        <w:t>包括：</w:t>
      </w:r>
      <w:r>
        <w:rPr>
          <w:rFonts w:hint="eastAsia" w:ascii="宋体" w:hAnsi="宋体" w:eastAsia="宋体" w:cs="宋体"/>
          <w:sz w:val="24"/>
          <w:szCs w:val="24"/>
          <w:highlight w:val="none"/>
          <w:lang w:eastAsia="zh-CN"/>
        </w:rPr>
        <w:t>导演、摄像、航拍、后期、文案、制片各1名。合同期内，服务团队人员应分工明确、人员稳定，未经采购人同意不得更换。（</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lang w:eastAsia="zh-CN"/>
        </w:rPr>
        <w:t>应按上述要求提供人员名单及承诺书。</w:t>
      </w:r>
      <w:r>
        <w:rPr>
          <w:rFonts w:hint="eastAsia" w:ascii="宋体" w:hAnsi="宋体" w:eastAsia="宋体" w:cs="宋体"/>
          <w:sz w:val="24"/>
          <w:szCs w:val="24"/>
          <w:highlight w:val="none"/>
          <w:lang w:eastAsia="zh-CN"/>
        </w:rPr>
        <w:t>）</w:t>
      </w:r>
    </w:p>
    <w:p w14:paraId="774305C3">
      <w:pPr>
        <w:pStyle w:val="3"/>
        <w:spacing w:before="0" w:after="0" w:line="360" w:lineRule="auto"/>
        <w:rPr>
          <w:rFonts w:hint="eastAsia" w:ascii="宋体" w:hAnsi="宋体" w:eastAsia="宋体" w:cs="宋体"/>
          <w:sz w:val="24"/>
          <w:szCs w:val="24"/>
          <w:highlight w:val="none"/>
          <w:lang w:eastAsia="zh-CN"/>
        </w:rPr>
      </w:pPr>
      <w:bookmarkStart w:id="29" w:name="_Toc8264"/>
      <w:r>
        <w:rPr>
          <w:rFonts w:hint="eastAsia" w:ascii="宋体" w:hAnsi="宋体" w:eastAsia="宋体" w:cs="宋体"/>
          <w:sz w:val="24"/>
          <w:szCs w:val="24"/>
          <w:highlight w:val="none"/>
          <w:lang w:val="en-US" w:eastAsia="zh-CN"/>
        </w:rPr>
        <w:t>五、核心交付物</w:t>
      </w:r>
      <w:bookmarkEnd w:id="29"/>
    </w:p>
    <w:tbl>
      <w:tblPr>
        <w:tblStyle w:val="58"/>
        <w:tblpPr w:leftFromText="180" w:rightFromText="180" w:vertAnchor="text" w:horzAnchor="page" w:tblpX="1930"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850"/>
        <w:gridCol w:w="1789"/>
        <w:gridCol w:w="2332"/>
      </w:tblGrid>
      <w:tr w14:paraId="0525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94" w:type="dxa"/>
            <w:vAlign w:val="center"/>
          </w:tcPr>
          <w:p w14:paraId="5616D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名称</w:t>
            </w:r>
          </w:p>
        </w:tc>
        <w:tc>
          <w:tcPr>
            <w:tcW w:w="2850" w:type="dxa"/>
            <w:vAlign w:val="center"/>
          </w:tcPr>
          <w:p w14:paraId="4FD49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eastAsia="zh-CN"/>
              </w:rPr>
              <w:t>规格及要求</w:t>
            </w:r>
          </w:p>
        </w:tc>
        <w:tc>
          <w:tcPr>
            <w:tcW w:w="1789" w:type="dxa"/>
            <w:vAlign w:val="center"/>
          </w:tcPr>
          <w:p w14:paraId="2A9A8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数量</w:t>
            </w:r>
          </w:p>
        </w:tc>
        <w:tc>
          <w:tcPr>
            <w:tcW w:w="2332" w:type="dxa"/>
            <w:vAlign w:val="center"/>
          </w:tcPr>
          <w:p w14:paraId="43884D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用途</w:t>
            </w:r>
          </w:p>
        </w:tc>
      </w:tr>
      <w:tr w14:paraId="7DCF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894" w:type="dxa"/>
            <w:vAlign w:val="center"/>
          </w:tcPr>
          <w:p w14:paraId="7D76C6B1">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1.专题宣传片</w:t>
            </w:r>
          </w:p>
        </w:tc>
        <w:tc>
          <w:tcPr>
            <w:tcW w:w="2850" w:type="dxa"/>
            <w:vAlign w:val="center"/>
          </w:tcPr>
          <w:p w14:paraId="2B77C530">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8~10分钟高清专题片（MP4/4K格式）</w:t>
            </w:r>
          </w:p>
        </w:tc>
        <w:tc>
          <w:tcPr>
            <w:tcW w:w="1789" w:type="dxa"/>
            <w:vAlign w:val="center"/>
          </w:tcPr>
          <w:p w14:paraId="10CA527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1套</w:t>
            </w:r>
          </w:p>
        </w:tc>
        <w:tc>
          <w:tcPr>
            <w:tcW w:w="2332" w:type="dxa"/>
            <w:vAlign w:val="center"/>
          </w:tcPr>
          <w:p w14:paraId="4C97C7D1">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会议推介、公众号、学习强国等</w:t>
            </w:r>
          </w:p>
        </w:tc>
      </w:tr>
      <w:tr w14:paraId="49DF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94" w:type="dxa"/>
            <w:vAlign w:val="center"/>
          </w:tcPr>
          <w:p w14:paraId="44A6C70E">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2.宣传图册</w:t>
            </w:r>
          </w:p>
        </w:tc>
        <w:tc>
          <w:tcPr>
            <w:tcW w:w="2850" w:type="dxa"/>
            <w:vAlign w:val="center"/>
          </w:tcPr>
          <w:p w14:paraId="685A0675">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具ISBN书号的正版出版物，全彩，A4横版，图册差错率：≤0.5/万字</w:t>
            </w:r>
          </w:p>
        </w:tc>
        <w:tc>
          <w:tcPr>
            <w:tcW w:w="1789" w:type="dxa"/>
            <w:vAlign w:val="center"/>
          </w:tcPr>
          <w:p w14:paraId="51BB5FBB">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首印300册</w:t>
            </w:r>
          </w:p>
        </w:tc>
        <w:tc>
          <w:tcPr>
            <w:tcW w:w="2332" w:type="dxa"/>
            <w:vAlign w:val="center"/>
          </w:tcPr>
          <w:p w14:paraId="7EF744B3">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宣介、培训等</w:t>
            </w:r>
          </w:p>
        </w:tc>
      </w:tr>
    </w:tbl>
    <w:p w14:paraId="7C3B673C">
      <w:pPr>
        <w:snapToGrid w:val="0"/>
        <w:spacing w:line="360" w:lineRule="auto"/>
        <w:rPr>
          <w:rFonts w:hint="eastAsia" w:ascii="宋体" w:hAnsi="宋体" w:eastAsia="宋体" w:cs="宋体"/>
          <w:sz w:val="24"/>
          <w:szCs w:val="24"/>
          <w:highlight w:val="none"/>
          <w:lang w:eastAsia="zh-CN"/>
        </w:rPr>
      </w:pPr>
    </w:p>
    <w:p w14:paraId="285415C8">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4B790713">
      <w:pPr>
        <w:pStyle w:val="2"/>
        <w:spacing w:line="360" w:lineRule="auto"/>
        <w:jc w:val="center"/>
        <w:rPr>
          <w:rFonts w:hint="eastAsia" w:ascii="宋体" w:hAnsi="宋体" w:eastAsia="宋体" w:cs="宋体"/>
          <w:b/>
          <w:sz w:val="36"/>
          <w:szCs w:val="36"/>
          <w:highlight w:val="none"/>
        </w:rPr>
      </w:pPr>
      <w:bookmarkStart w:id="30" w:name="_Toc1151"/>
      <w:r>
        <w:rPr>
          <w:rFonts w:hint="eastAsia" w:ascii="宋体" w:hAnsi="宋体" w:eastAsia="宋体" w:cs="宋体"/>
          <w:b/>
          <w:sz w:val="36"/>
          <w:szCs w:val="36"/>
          <w:highlight w:val="none"/>
        </w:rPr>
        <w:t>第三篇  项目商务需求</w:t>
      </w:r>
      <w:bookmarkEnd w:id="25"/>
      <w:bookmarkEnd w:id="30"/>
    </w:p>
    <w:p w14:paraId="408A25A2">
      <w:pPr>
        <w:spacing w:line="400" w:lineRule="exact"/>
        <w:ind w:firstLine="482" w:firstLineChars="200"/>
        <w:rPr>
          <w:rFonts w:hint="eastAsia" w:ascii="宋体" w:hAnsi="宋体"/>
          <w:b/>
          <w:bCs/>
          <w:sz w:val="24"/>
          <w:szCs w:val="24"/>
          <w:highlight w:val="none"/>
        </w:rPr>
      </w:pPr>
      <w:bookmarkStart w:id="31" w:name="_Toc344475120"/>
      <w:bookmarkStart w:id="32" w:name="_Toc11329"/>
      <w:r>
        <w:rPr>
          <w:rFonts w:hint="eastAsia" w:ascii="宋体" w:hAnsi="宋体"/>
          <w:b/>
          <w:bCs/>
          <w:sz w:val="24"/>
          <w:szCs w:val="24"/>
          <w:highlight w:val="none"/>
        </w:rPr>
        <w:t>“※”标注的服务需求为符合性审查中的实质性要求，响应文件若不满足按无效响应处理。</w:t>
      </w:r>
    </w:p>
    <w:p w14:paraId="53B117E1">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实施时间</w:t>
      </w:r>
      <w:r>
        <w:rPr>
          <w:rFonts w:hint="eastAsia" w:ascii="宋体" w:hAnsi="宋体" w:eastAsia="宋体" w:cs="宋体"/>
          <w:sz w:val="24"/>
          <w:szCs w:val="24"/>
          <w:highlight w:val="none"/>
        </w:rPr>
        <w:t>、地点及验收方式</w:t>
      </w:r>
      <w:bookmarkEnd w:id="31"/>
      <w:bookmarkEnd w:id="32"/>
    </w:p>
    <w:p w14:paraId="3A0E076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kern w:val="0"/>
          <w:sz w:val="24"/>
          <w:szCs w:val="24"/>
          <w:highlight w:val="none"/>
          <w:lang w:val="en-US" w:eastAsia="zh-CN"/>
        </w:rPr>
        <w:t>实施时间：2025年9月—2025年12月，12月底</w:t>
      </w:r>
      <w:r>
        <w:rPr>
          <w:rFonts w:hint="eastAsia" w:ascii="宋体" w:hAnsi="宋体" w:eastAsia="宋体" w:cs="宋体"/>
          <w:sz w:val="24"/>
          <w:szCs w:val="24"/>
          <w:highlight w:val="none"/>
        </w:rPr>
        <w:t>前完成全部项目内容，形成项目验收报告，通过项目验收。</w:t>
      </w:r>
    </w:p>
    <w:p w14:paraId="7B2B169A">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（二）服务地点</w:t>
      </w:r>
      <w:r>
        <w:rPr>
          <w:rFonts w:hint="eastAsia" w:ascii="宋体" w:hAnsi="宋体" w:eastAsia="宋体" w:cs="宋体"/>
          <w:kern w:val="0"/>
          <w:sz w:val="24"/>
          <w:szCs w:val="24"/>
          <w:highlight w:val="none"/>
          <w:lang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重庆市辖区范围</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kern w:val="0"/>
          <w:sz w:val="24"/>
          <w:szCs w:val="24"/>
          <w:highlight w:val="none"/>
          <w:lang w:eastAsia="zh-CN"/>
        </w:rPr>
        <w:t>采购人指定地点。</w:t>
      </w:r>
    </w:p>
    <w:p w14:paraId="69DFCEED">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（三）验收方式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成交供应商按服务要求完成核心交付物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并向采购人提交</w:t>
      </w:r>
      <w:r>
        <w:rPr>
          <w:rFonts w:hint="eastAsia" w:ascii="宋体" w:hAnsi="宋体" w:eastAsia="宋体" w:cs="宋体"/>
          <w:color w:val="auto"/>
          <w:kern w:val="0"/>
          <w:sz w:val="24"/>
          <w:szCs w:val="24"/>
          <w:highlight w:val="none"/>
          <w:lang w:val="en-US" w:eastAsia="zh-CN"/>
        </w:rPr>
        <w:t>验收申请</w:t>
      </w:r>
      <w:r>
        <w:rPr>
          <w:rFonts w:hint="eastAsia" w:ascii="宋体" w:hAnsi="宋体" w:eastAsia="宋体" w:cs="宋体"/>
          <w:color w:val="auto"/>
          <w:kern w:val="0"/>
          <w:sz w:val="24"/>
          <w:szCs w:val="24"/>
          <w:highlight w:val="none"/>
        </w:rPr>
        <w:t>，由采购人组织验收。若验收不合格，则成交供应商须立刻按采购人要求进行整改，直至成果整改合格，采购人再重新进行验收。</w:t>
      </w:r>
      <w:r>
        <w:rPr>
          <w:rFonts w:hint="eastAsia" w:ascii="宋体" w:hAnsi="宋体" w:eastAsia="宋体" w:cs="宋体"/>
          <w:color w:val="auto"/>
          <w:kern w:val="0"/>
          <w:sz w:val="24"/>
          <w:szCs w:val="24"/>
          <w:highlight w:val="none"/>
          <w:lang w:val="en-US" w:eastAsia="zh-CN"/>
        </w:rPr>
        <w:t>若整改仍达不到采购人要求或在规定时间内未整改完成的，采购人有权解除合同，不承担任何责任，且成交供应商应退还采购人已支付的合同款项。</w:t>
      </w:r>
    </w:p>
    <w:p w14:paraId="084FEB9A">
      <w:pPr>
        <w:pStyle w:val="3"/>
        <w:spacing w:before="0" w:after="0" w:line="360" w:lineRule="auto"/>
        <w:rPr>
          <w:rFonts w:hint="eastAsia" w:ascii="宋体" w:hAnsi="宋体" w:eastAsia="宋体" w:cs="宋体"/>
          <w:sz w:val="24"/>
          <w:szCs w:val="24"/>
          <w:highlight w:val="none"/>
          <w:lang w:val="en-US" w:eastAsia="zh-CN"/>
        </w:rPr>
      </w:pPr>
      <w:bookmarkStart w:id="33" w:name="_Toc26617"/>
      <w:bookmarkStart w:id="34" w:name="_Toc30459"/>
      <w:bookmarkStart w:id="35" w:name="_Toc20768"/>
      <w:bookmarkStart w:id="36" w:name="_Toc344475121"/>
      <w:r>
        <w:rPr>
          <w:rFonts w:hint="eastAsia" w:ascii="宋体" w:hAnsi="宋体"/>
          <w:b/>
          <w:bCs/>
          <w:sz w:val="24"/>
          <w:szCs w:val="24"/>
          <w:highlight w:val="none"/>
        </w:rPr>
        <w:t>※</w:t>
      </w:r>
      <w:r>
        <w:rPr>
          <w:rFonts w:hint="eastAsia" w:ascii="宋体" w:hAnsi="宋体" w:eastAsia="宋体" w:cs="宋体"/>
          <w:sz w:val="24"/>
          <w:szCs w:val="24"/>
          <w:highlight w:val="none"/>
          <w:lang w:val="en-US" w:eastAsia="zh-CN"/>
        </w:rPr>
        <w:t>二、作品质量保证</w:t>
      </w:r>
      <w:bookmarkEnd w:id="33"/>
      <w:bookmarkEnd w:id="34"/>
      <w:bookmarkEnd w:id="35"/>
    </w:p>
    <w:p w14:paraId="772A9E7B">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需对宣传内容进行校验审核，避免错别字、歧义、不良言论、粗俗内容等重大失误出现。一经采购人发现需立即进行修正和采取解决方案，采购人有权根据由供应商导致的重大失误造成的负面影响或社会舆论追究供应商的相应责任，一切后果由供应商全权负责及承担。</w:t>
      </w:r>
    </w:p>
    <w:p w14:paraId="79AAFEAF">
      <w:pPr>
        <w:pStyle w:val="3"/>
        <w:spacing w:before="0" w:after="0" w:line="360" w:lineRule="auto"/>
        <w:rPr>
          <w:rFonts w:hint="eastAsia" w:ascii="宋体" w:hAnsi="宋体" w:eastAsia="宋体" w:cs="宋体"/>
          <w:sz w:val="24"/>
          <w:szCs w:val="24"/>
          <w:highlight w:val="none"/>
        </w:rPr>
      </w:pPr>
      <w:bookmarkStart w:id="37" w:name="_Toc21315"/>
      <w:r>
        <w:rPr>
          <w:rFonts w:hint="eastAsia" w:ascii="宋体" w:hAnsi="宋体"/>
          <w:b/>
          <w:bCs/>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bookmarkEnd w:id="36"/>
      <w:r>
        <w:rPr>
          <w:rFonts w:hint="eastAsia" w:ascii="宋体" w:hAnsi="宋体" w:eastAsia="宋体" w:cs="宋体"/>
          <w:sz w:val="24"/>
          <w:szCs w:val="24"/>
          <w:highlight w:val="none"/>
        </w:rPr>
        <w:t>报价要求</w:t>
      </w:r>
      <w:bookmarkEnd w:id="37"/>
    </w:p>
    <w:p w14:paraId="27B1DF97">
      <w:pPr>
        <w:snapToGrid w:val="0"/>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本项目采用总价包干价，为人民币报价，包含磋商报价包括</w:t>
      </w:r>
      <w:r>
        <w:rPr>
          <w:rFonts w:hint="eastAsia" w:ascii="宋体" w:hAnsi="宋体" w:eastAsia="宋体" w:cs="宋体"/>
          <w:b/>
          <w:bCs/>
          <w:sz w:val="24"/>
          <w:szCs w:val="24"/>
          <w:highlight w:val="none"/>
          <w:lang w:val="en-US" w:eastAsia="zh-CN"/>
        </w:rPr>
        <w:t>宣传图册的出版费（含书号、编审、排版、装订等</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提供服务所需的设备或货物购买（制造）费、服务费、人工费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交通费、服装道具费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技术支持及安全保障费，媒体推广</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宣传</w:t>
      </w:r>
      <w:r>
        <w:rPr>
          <w:rFonts w:hint="eastAsia" w:ascii="宋体" w:hAnsi="宋体" w:eastAsia="宋体" w:cs="宋体"/>
          <w:color w:val="000000" w:themeColor="text1"/>
          <w:kern w:val="0"/>
          <w:sz w:val="24"/>
          <w:szCs w:val="24"/>
          <w:highlight w:val="none"/>
          <w14:textFill>
            <w14:solidFill>
              <w14:schemeClr w14:val="tx1"/>
            </w14:solidFill>
          </w14:textFill>
        </w:rPr>
        <w:t>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采访费、配音、妆化、演员道具租赁、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拍摄</w:t>
      </w:r>
      <w:r>
        <w:rPr>
          <w:rFonts w:hint="eastAsia" w:ascii="宋体" w:hAnsi="宋体" w:eastAsia="宋体" w:cs="宋体"/>
          <w:color w:val="000000" w:themeColor="text1"/>
          <w:kern w:val="0"/>
          <w:sz w:val="24"/>
          <w:szCs w:val="24"/>
          <w:highlight w:val="none"/>
          <w14:textFill>
            <w14:solidFill>
              <w14:schemeClr w14:val="tx1"/>
            </w14:solidFill>
          </w14:textFill>
        </w:rPr>
        <w:t>场景搭建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培训费及各种应纳的税费</w:t>
      </w:r>
      <w:r>
        <w:rPr>
          <w:rFonts w:hint="eastAsia" w:ascii="宋体" w:hAnsi="宋体" w:eastAsia="宋体" w:cs="宋体"/>
          <w:color w:val="000000" w:themeColor="text1"/>
          <w:kern w:val="0"/>
          <w:sz w:val="24"/>
          <w:szCs w:val="24"/>
          <w:highlight w:val="none"/>
          <w14:textFill>
            <w14:solidFill>
              <w14:schemeClr w14:val="tx1"/>
            </w14:solidFill>
          </w14:textFill>
        </w:rPr>
        <w:t>等完成本项目的所有费用</w:t>
      </w:r>
      <w:r>
        <w:rPr>
          <w:rFonts w:hint="eastAsia" w:ascii="宋体" w:hAnsi="宋体" w:eastAsia="宋体" w:cs="宋体"/>
          <w:sz w:val="24"/>
          <w:szCs w:val="24"/>
          <w:highlight w:val="none"/>
        </w:rPr>
        <w:t>。</w:t>
      </w:r>
    </w:p>
    <w:p w14:paraId="2D878223">
      <w:pPr>
        <w:snapToGrid w:val="0"/>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因供应商自身原因造成漏报、少报皆由其自行承担责任，采购人不再补偿。</w:t>
      </w:r>
    </w:p>
    <w:p w14:paraId="6CD7115B">
      <w:pPr>
        <w:pStyle w:val="3"/>
        <w:spacing w:before="0" w:after="0" w:line="360" w:lineRule="auto"/>
        <w:rPr>
          <w:rFonts w:hint="eastAsia" w:ascii="宋体" w:hAnsi="宋体" w:eastAsia="宋体" w:cs="宋体"/>
          <w:sz w:val="24"/>
          <w:szCs w:val="24"/>
          <w:highlight w:val="none"/>
        </w:rPr>
      </w:pPr>
      <w:bookmarkStart w:id="38" w:name="_Toc16822"/>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bookmarkStart w:id="39" w:name="_Toc344475122"/>
      <w:r>
        <w:rPr>
          <w:rFonts w:hint="eastAsia" w:ascii="宋体" w:hAnsi="宋体" w:eastAsia="宋体" w:cs="宋体"/>
          <w:sz w:val="24"/>
          <w:szCs w:val="24"/>
          <w:highlight w:val="none"/>
        </w:rPr>
        <w:t>付款方式</w:t>
      </w:r>
      <w:bookmarkEnd w:id="38"/>
      <w:bookmarkEnd w:id="39"/>
    </w:p>
    <w:p w14:paraId="2C8F4B3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（一）合同签订后，采购人向成交供应商支付合同金额</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0%的预付款，提交初剪版及图册打样后付30%，验收合格后支付剩余的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0%。对满足合同约定支付条件的，采购人原则上应在收到发票后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个工作日内按程序办理支付手续；</w:t>
      </w:r>
    </w:p>
    <w:p w14:paraId="329C2C3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（二）成交供应商向采购人开具发票，采购人以转账方式向成交供应商支付等额的合同款项。</w:t>
      </w:r>
      <w:bookmarkStart w:id="40" w:name="_Toc516588405"/>
      <w:bookmarkStart w:id="41" w:name="_Toc6772228"/>
    </w:p>
    <w:p w14:paraId="6F8D0B5F">
      <w:pPr>
        <w:pStyle w:val="3"/>
        <w:spacing w:before="0" w:after="0" w:line="360" w:lineRule="auto"/>
        <w:rPr>
          <w:rFonts w:hint="eastAsia" w:ascii="宋体" w:hAnsi="宋体" w:eastAsia="宋体" w:cs="宋体"/>
          <w:sz w:val="24"/>
          <w:szCs w:val="24"/>
          <w:highlight w:val="none"/>
        </w:rPr>
      </w:pPr>
      <w:bookmarkStart w:id="42" w:name="_Toc615"/>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bookmarkEnd w:id="40"/>
      <w:bookmarkEnd w:id="41"/>
      <w:r>
        <w:rPr>
          <w:rFonts w:hint="eastAsia" w:ascii="宋体" w:hAnsi="宋体" w:eastAsia="宋体" w:cs="宋体"/>
          <w:sz w:val="24"/>
          <w:szCs w:val="24"/>
          <w:highlight w:val="none"/>
        </w:rPr>
        <w:t>违约责任</w:t>
      </w:r>
      <w:bookmarkEnd w:id="42"/>
    </w:p>
    <w:p w14:paraId="623671E6">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如发生以下情况之一，视为供应商违约，采购人有权终止合同：</w:t>
      </w:r>
    </w:p>
    <w:p w14:paraId="7A1255E5">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（一）供应商在响应文件中提供虚假材料的，采购人有权终止合同，并追究相关法律责任。</w:t>
      </w:r>
    </w:p>
    <w:p w14:paraId="4082A01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（二）若因供应商原因，供应商未在规定时间节点内完成相应工作内容的，每延后1天成交供应商应向采购人支付合同金额5%的违约金。延后时间累计达10个自然日的，采购人有权终止合同，并追究相关法律责任。</w:t>
      </w:r>
    </w:p>
    <w:p w14:paraId="2501F9D4">
      <w:pPr>
        <w:pStyle w:val="3"/>
        <w:spacing w:before="0" w:after="0" w:line="360" w:lineRule="auto"/>
        <w:rPr>
          <w:rFonts w:hint="eastAsia" w:ascii="宋体" w:hAnsi="宋体" w:eastAsia="宋体" w:cs="宋体"/>
          <w:sz w:val="24"/>
          <w:szCs w:val="24"/>
          <w:highlight w:val="none"/>
        </w:rPr>
      </w:pPr>
      <w:bookmarkStart w:id="43" w:name="_Toc6759"/>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、知识产权</w:t>
      </w:r>
      <w:bookmarkEnd w:id="43"/>
    </w:p>
    <w:p w14:paraId="4361D99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C4363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（二）本项目产生的相关成果内容的知识产权归采购人所有，成交供应商需配合采购人对本项目知识产权进行保护。</w:t>
      </w:r>
    </w:p>
    <w:p w14:paraId="4B2D6818">
      <w:pPr>
        <w:pStyle w:val="3"/>
        <w:spacing w:before="0" w:after="0" w:line="360" w:lineRule="auto"/>
        <w:rPr>
          <w:rFonts w:hint="eastAsia" w:ascii="宋体" w:hAnsi="宋体" w:eastAsia="宋体" w:cs="宋体"/>
          <w:sz w:val="24"/>
          <w:szCs w:val="24"/>
          <w:highlight w:val="none"/>
        </w:rPr>
      </w:pPr>
      <w:bookmarkStart w:id="44" w:name="_Toc344475124"/>
      <w:bookmarkStart w:id="45" w:name="_Toc2463"/>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w:t>
      </w:r>
      <w:bookmarkEnd w:id="44"/>
      <w:bookmarkStart w:id="46" w:name="_Toc344475125"/>
      <w:r>
        <w:rPr>
          <w:rFonts w:hint="eastAsia" w:ascii="宋体" w:hAnsi="宋体" w:eastAsia="宋体" w:cs="宋体"/>
          <w:sz w:val="24"/>
          <w:szCs w:val="24"/>
          <w:highlight w:val="none"/>
        </w:rPr>
        <w:t>其他</w:t>
      </w:r>
      <w:bookmarkEnd w:id="45"/>
    </w:p>
    <w:bookmarkEnd w:id="46"/>
    <w:p w14:paraId="1DF25D6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（一）供应商必须在响应文件中对以上条款和服务承诺明确列出，承诺内容必须达到本篇及竞争性磋商文件其他条款的要求。</w:t>
      </w:r>
    </w:p>
    <w:p w14:paraId="281E61A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（二）其他未尽事宜由供需双方在采购合同中详细约定。</w:t>
      </w:r>
    </w:p>
    <w:p w14:paraId="61DAB88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（三）如供应商提供虚假证明材料导致成交，采购人在签订合同前发现，将如实将情况汇报给采购监管部门，在签订合同后发现，采购人有权单方面解除合同，对采购人造成的损失由成交供应商承担。</w:t>
      </w:r>
    </w:p>
    <w:p w14:paraId="79EC586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（四）在服务期内，未经采购人同意书面认可，供应商不得擅自将</w:t>
      </w:r>
      <w:r>
        <w:rPr>
          <w:rFonts w:hint="eastAsia" w:ascii="宋体" w:hAnsi="宋体" w:cs="宋体"/>
          <w:sz w:val="24"/>
          <w:szCs w:val="24"/>
          <w:highlight w:val="none"/>
          <w:lang w:eastAsia="zh-CN"/>
        </w:rPr>
        <w:t>出版以外的其他项目内容</w:t>
      </w:r>
      <w:r>
        <w:rPr>
          <w:rFonts w:hint="eastAsia" w:ascii="宋体" w:hAnsi="宋体" w:eastAsia="宋体" w:cs="宋体"/>
          <w:sz w:val="24"/>
          <w:szCs w:val="24"/>
          <w:highlight w:val="none"/>
        </w:rPr>
        <w:t>转包或分包。</w:t>
      </w:r>
    </w:p>
    <w:p w14:paraId="27874023">
      <w:pPr>
        <w:pStyle w:val="2"/>
        <w:spacing w:line="360" w:lineRule="auto"/>
        <w:jc w:val="center"/>
        <w:rPr>
          <w:rFonts w:hint="eastAsia" w:ascii="宋体" w:hAnsi="宋体" w:eastAsia="宋体" w:cs="宋体"/>
          <w:b/>
          <w:color w:val="auto"/>
          <w:sz w:val="36"/>
          <w:szCs w:val="30"/>
          <w:highlight w:val="none"/>
        </w:rPr>
      </w:pPr>
      <w:r>
        <w:rPr>
          <w:rFonts w:hint="eastAsia" w:ascii="宋体" w:hAnsi="宋体" w:eastAsia="宋体" w:cs="宋体"/>
          <w:b/>
          <w:sz w:val="36"/>
          <w:szCs w:val="30"/>
          <w:highlight w:val="none"/>
        </w:rPr>
        <w:br w:type="page"/>
      </w:r>
      <w:bookmarkStart w:id="47" w:name="_Toc1536"/>
      <w:r>
        <w:rPr>
          <w:rFonts w:hint="eastAsia" w:ascii="宋体" w:hAnsi="宋体" w:eastAsia="宋体" w:cs="宋体"/>
          <w:b/>
          <w:color w:val="auto"/>
          <w:sz w:val="36"/>
          <w:szCs w:val="36"/>
          <w:highlight w:val="none"/>
        </w:rPr>
        <w:t>第四篇  评审标准、无效响应和采购终止</w:t>
      </w:r>
      <w:bookmarkEnd w:id="47"/>
    </w:p>
    <w:p w14:paraId="3C177A0D">
      <w:pPr>
        <w:pStyle w:val="3"/>
        <w:spacing w:before="0" w:after="0" w:line="360" w:lineRule="auto"/>
        <w:rPr>
          <w:rFonts w:hint="eastAsia" w:ascii="宋体" w:hAnsi="宋体" w:eastAsia="宋体" w:cs="宋体"/>
          <w:color w:val="auto"/>
          <w:sz w:val="24"/>
          <w:szCs w:val="24"/>
          <w:highlight w:val="none"/>
        </w:rPr>
      </w:pPr>
      <w:bookmarkStart w:id="48" w:name="_Toc9142"/>
      <w:bookmarkStart w:id="49" w:name="_Toc102227313"/>
      <w:r>
        <w:rPr>
          <w:rFonts w:hint="eastAsia" w:ascii="宋体" w:hAnsi="宋体" w:eastAsia="宋体" w:cs="宋体"/>
          <w:color w:val="auto"/>
          <w:sz w:val="24"/>
          <w:szCs w:val="24"/>
          <w:highlight w:val="none"/>
        </w:rPr>
        <w:t>一、磋商程序及方法</w:t>
      </w:r>
      <w:bookmarkEnd w:id="48"/>
    </w:p>
    <w:p w14:paraId="080BBC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4F9FC8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79F513B8">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AEA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7862CB5">
            <w:pPr>
              <w:snapToGrid w:val="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71CFD95">
            <w:pPr>
              <w:snapToGrid w:val="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2A39405">
            <w:pPr>
              <w:snapToGrid w:val="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244F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640571">
            <w:pPr>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vAlign w:val="center"/>
          </w:tcPr>
          <w:p w14:paraId="0859201F">
            <w:pPr>
              <w:snapToGrid w:val="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vAlign w:val="center"/>
          </w:tcPr>
          <w:p w14:paraId="1FFFFA58">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vAlign w:val="center"/>
          </w:tcPr>
          <w:p w14:paraId="0242F7AC">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D025B84">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54AD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3934343">
            <w:pPr>
              <w:snapToGrid w:val="0"/>
              <w:jc w:val="center"/>
              <w:textAlignment w:val="baseline"/>
              <w:rPr>
                <w:rFonts w:hint="eastAsia" w:ascii="宋体" w:hAnsi="宋体" w:eastAsia="宋体" w:cs="宋体"/>
                <w:color w:val="auto"/>
                <w:sz w:val="21"/>
                <w:szCs w:val="21"/>
                <w:highlight w:val="none"/>
              </w:rPr>
            </w:pPr>
          </w:p>
        </w:tc>
        <w:tc>
          <w:tcPr>
            <w:tcW w:w="709" w:type="dxa"/>
            <w:vMerge w:val="continue"/>
            <w:vAlign w:val="center"/>
          </w:tcPr>
          <w:p w14:paraId="66234AFE">
            <w:pPr>
              <w:snapToGrid w:val="0"/>
              <w:textAlignment w:val="baseline"/>
              <w:rPr>
                <w:rFonts w:hint="eastAsia" w:ascii="宋体" w:hAnsi="宋体" w:eastAsia="宋体" w:cs="宋体"/>
                <w:color w:val="auto"/>
                <w:sz w:val="21"/>
                <w:szCs w:val="21"/>
                <w:highlight w:val="none"/>
                <w:lang w:val="zh-CN"/>
              </w:rPr>
            </w:pPr>
          </w:p>
        </w:tc>
        <w:tc>
          <w:tcPr>
            <w:tcW w:w="3118" w:type="dxa"/>
            <w:vAlign w:val="center"/>
          </w:tcPr>
          <w:p w14:paraId="3E600E65">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vAlign w:val="center"/>
          </w:tcPr>
          <w:p w14:paraId="2F9EB538">
            <w:pPr>
              <w:snapToGrid w:val="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4BB1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B80954">
            <w:pPr>
              <w:snapToGrid w:val="0"/>
              <w:jc w:val="center"/>
              <w:textAlignment w:val="baseline"/>
              <w:rPr>
                <w:rFonts w:hint="eastAsia" w:ascii="宋体" w:hAnsi="宋体" w:eastAsia="宋体" w:cs="宋体"/>
                <w:color w:val="auto"/>
                <w:sz w:val="21"/>
                <w:szCs w:val="21"/>
                <w:highlight w:val="none"/>
              </w:rPr>
            </w:pPr>
          </w:p>
        </w:tc>
        <w:tc>
          <w:tcPr>
            <w:tcW w:w="709" w:type="dxa"/>
            <w:vMerge w:val="continue"/>
            <w:vAlign w:val="center"/>
          </w:tcPr>
          <w:p w14:paraId="2AC28ED5">
            <w:pPr>
              <w:snapToGrid w:val="0"/>
              <w:textAlignment w:val="baseline"/>
              <w:rPr>
                <w:rFonts w:hint="eastAsia" w:ascii="宋体" w:hAnsi="宋体" w:eastAsia="宋体" w:cs="宋体"/>
                <w:color w:val="auto"/>
                <w:sz w:val="21"/>
                <w:szCs w:val="21"/>
                <w:highlight w:val="none"/>
                <w:lang w:val="zh-CN"/>
              </w:rPr>
            </w:pPr>
          </w:p>
        </w:tc>
        <w:tc>
          <w:tcPr>
            <w:tcW w:w="3118" w:type="dxa"/>
            <w:vAlign w:val="center"/>
          </w:tcPr>
          <w:p w14:paraId="1D0D29D9">
            <w:pPr>
              <w:snapToGrid w:val="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vAlign w:val="center"/>
          </w:tcPr>
          <w:p w14:paraId="61BCD1CF">
            <w:pPr>
              <w:snapToGrid w:val="0"/>
              <w:textAlignment w:val="baseline"/>
              <w:rPr>
                <w:rFonts w:hint="eastAsia" w:ascii="宋体" w:hAnsi="宋体" w:eastAsia="宋体" w:cs="宋体"/>
                <w:color w:val="auto"/>
                <w:sz w:val="21"/>
                <w:szCs w:val="21"/>
                <w:highlight w:val="none"/>
              </w:rPr>
            </w:pPr>
          </w:p>
        </w:tc>
      </w:tr>
      <w:tr w14:paraId="52E4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DDA61D">
            <w:pPr>
              <w:snapToGrid w:val="0"/>
              <w:jc w:val="center"/>
              <w:textAlignment w:val="baseline"/>
              <w:rPr>
                <w:rFonts w:hint="eastAsia" w:ascii="宋体" w:hAnsi="宋体" w:eastAsia="宋体" w:cs="宋体"/>
                <w:color w:val="auto"/>
                <w:sz w:val="21"/>
                <w:szCs w:val="21"/>
                <w:highlight w:val="none"/>
              </w:rPr>
            </w:pPr>
          </w:p>
        </w:tc>
        <w:tc>
          <w:tcPr>
            <w:tcW w:w="709" w:type="dxa"/>
            <w:vMerge w:val="continue"/>
            <w:vAlign w:val="center"/>
          </w:tcPr>
          <w:p w14:paraId="4A3FB985">
            <w:pPr>
              <w:snapToGrid w:val="0"/>
              <w:textAlignment w:val="baseline"/>
              <w:rPr>
                <w:rFonts w:hint="eastAsia" w:ascii="宋体" w:hAnsi="宋体" w:eastAsia="宋体" w:cs="宋体"/>
                <w:color w:val="auto"/>
                <w:sz w:val="21"/>
                <w:szCs w:val="21"/>
                <w:highlight w:val="none"/>
                <w:lang w:val="zh-CN"/>
              </w:rPr>
            </w:pPr>
          </w:p>
        </w:tc>
        <w:tc>
          <w:tcPr>
            <w:tcW w:w="3118" w:type="dxa"/>
            <w:vAlign w:val="center"/>
          </w:tcPr>
          <w:p w14:paraId="429AA36C">
            <w:pPr>
              <w:snapToGrid w:val="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vAlign w:val="center"/>
          </w:tcPr>
          <w:p w14:paraId="5FBB7415">
            <w:pPr>
              <w:snapToGrid w:val="0"/>
              <w:textAlignment w:val="baseline"/>
              <w:rPr>
                <w:rFonts w:hint="eastAsia" w:ascii="宋体" w:hAnsi="宋体" w:eastAsia="宋体" w:cs="宋体"/>
                <w:color w:val="auto"/>
                <w:sz w:val="21"/>
                <w:szCs w:val="21"/>
                <w:highlight w:val="none"/>
              </w:rPr>
            </w:pPr>
          </w:p>
        </w:tc>
      </w:tr>
      <w:tr w14:paraId="08F9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72C9CB">
            <w:pPr>
              <w:snapToGrid w:val="0"/>
              <w:jc w:val="center"/>
              <w:textAlignment w:val="baseline"/>
              <w:rPr>
                <w:rFonts w:hint="eastAsia" w:ascii="宋体" w:hAnsi="宋体" w:eastAsia="宋体" w:cs="宋体"/>
                <w:color w:val="auto"/>
                <w:sz w:val="21"/>
                <w:szCs w:val="21"/>
                <w:highlight w:val="none"/>
              </w:rPr>
            </w:pPr>
          </w:p>
        </w:tc>
        <w:tc>
          <w:tcPr>
            <w:tcW w:w="709" w:type="dxa"/>
            <w:vMerge w:val="continue"/>
            <w:vAlign w:val="center"/>
          </w:tcPr>
          <w:p w14:paraId="6AF16665">
            <w:pPr>
              <w:snapToGrid w:val="0"/>
              <w:textAlignment w:val="baseline"/>
              <w:rPr>
                <w:rFonts w:hint="eastAsia" w:ascii="宋体" w:hAnsi="宋体" w:eastAsia="宋体" w:cs="宋体"/>
                <w:color w:val="auto"/>
                <w:sz w:val="21"/>
                <w:szCs w:val="21"/>
                <w:highlight w:val="none"/>
                <w:lang w:val="zh-CN"/>
              </w:rPr>
            </w:pPr>
          </w:p>
        </w:tc>
        <w:tc>
          <w:tcPr>
            <w:tcW w:w="3118" w:type="dxa"/>
            <w:vAlign w:val="center"/>
          </w:tcPr>
          <w:p w14:paraId="7B25CFE9">
            <w:pPr>
              <w:snapToGrid w:val="0"/>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5.三年内在经营活动中无重大违纪记录</w:t>
            </w:r>
          </w:p>
        </w:tc>
        <w:tc>
          <w:tcPr>
            <w:tcW w:w="4984" w:type="dxa"/>
            <w:vMerge w:val="continue"/>
            <w:vAlign w:val="center"/>
          </w:tcPr>
          <w:p w14:paraId="5A347DEB">
            <w:pPr>
              <w:snapToGrid w:val="0"/>
              <w:textAlignment w:val="baseline"/>
              <w:rPr>
                <w:rFonts w:hint="eastAsia" w:ascii="宋体" w:hAnsi="宋体" w:eastAsia="宋体" w:cs="宋体"/>
                <w:b/>
                <w:color w:val="auto"/>
                <w:sz w:val="21"/>
                <w:szCs w:val="21"/>
                <w:highlight w:val="none"/>
              </w:rPr>
            </w:pPr>
          </w:p>
        </w:tc>
      </w:tr>
      <w:tr w14:paraId="4781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6B332AD">
            <w:pPr>
              <w:snapToGrid w:val="0"/>
              <w:jc w:val="center"/>
              <w:textAlignment w:val="baseline"/>
              <w:rPr>
                <w:rFonts w:hint="eastAsia" w:ascii="宋体" w:hAnsi="宋体" w:eastAsia="宋体" w:cs="宋体"/>
                <w:color w:val="auto"/>
                <w:sz w:val="21"/>
                <w:szCs w:val="21"/>
                <w:highlight w:val="none"/>
              </w:rPr>
            </w:pPr>
          </w:p>
        </w:tc>
        <w:tc>
          <w:tcPr>
            <w:tcW w:w="709" w:type="dxa"/>
            <w:vMerge w:val="continue"/>
            <w:vAlign w:val="center"/>
          </w:tcPr>
          <w:p w14:paraId="109F411B">
            <w:pPr>
              <w:snapToGrid w:val="0"/>
              <w:textAlignment w:val="baseline"/>
              <w:rPr>
                <w:rFonts w:hint="eastAsia" w:ascii="宋体" w:hAnsi="宋体" w:eastAsia="宋体" w:cs="宋体"/>
                <w:color w:val="auto"/>
                <w:sz w:val="21"/>
                <w:szCs w:val="21"/>
                <w:highlight w:val="none"/>
              </w:rPr>
            </w:pPr>
          </w:p>
        </w:tc>
        <w:tc>
          <w:tcPr>
            <w:tcW w:w="3118" w:type="dxa"/>
            <w:vAlign w:val="center"/>
          </w:tcPr>
          <w:p w14:paraId="733C583A">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vMerge w:val="continue"/>
            <w:vAlign w:val="center"/>
          </w:tcPr>
          <w:p w14:paraId="26BD861B">
            <w:pPr>
              <w:snapToGrid w:val="0"/>
              <w:textAlignment w:val="baseline"/>
              <w:rPr>
                <w:rFonts w:hint="eastAsia" w:ascii="宋体" w:hAnsi="宋体" w:eastAsia="宋体" w:cs="宋体"/>
                <w:color w:val="auto"/>
                <w:sz w:val="21"/>
                <w:szCs w:val="21"/>
                <w:highlight w:val="none"/>
              </w:rPr>
            </w:pPr>
          </w:p>
        </w:tc>
      </w:tr>
      <w:tr w14:paraId="234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19611558">
            <w:pPr>
              <w:snapToGri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vAlign w:val="center"/>
          </w:tcPr>
          <w:p w14:paraId="68B4D061">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4984" w:type="dxa"/>
            <w:vAlign w:val="center"/>
          </w:tcPr>
          <w:p w14:paraId="695C0D45">
            <w:pPr>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按“第一篇三、供应商资格要求（二）本项目的特定资格要求”的要求提交。</w:t>
            </w:r>
          </w:p>
        </w:tc>
      </w:tr>
    </w:tbl>
    <w:p w14:paraId="6FF3D7DB">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w:t>
      </w:r>
      <w:r>
        <w:rPr>
          <w:rFonts w:hint="eastAsia" w:ascii="宋体" w:hAnsi="宋体" w:eastAsia="宋体" w:cs="宋体"/>
          <w:kern w:val="0"/>
          <w:sz w:val="24"/>
          <w:szCs w:val="24"/>
          <w:highlight w:val="none"/>
        </w:rPr>
        <w:t>罚中“较大数额”的认定标准，由被执行人所在的省、自治区、直辖市人民政府制定，国务院有关部门规定了较大数额标准的，从其规定。</w:t>
      </w:r>
    </w:p>
    <w:p w14:paraId="11E684E0">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82"/>
        <w:gridCol w:w="1762"/>
        <w:gridCol w:w="5409"/>
      </w:tblGrid>
      <w:tr w14:paraId="686F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1EE8B48">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544" w:type="dxa"/>
            <w:gridSpan w:val="2"/>
            <w:vAlign w:val="center"/>
          </w:tcPr>
          <w:p w14:paraId="3CFE4651">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5409" w:type="dxa"/>
            <w:vAlign w:val="center"/>
          </w:tcPr>
          <w:p w14:paraId="01FE12F7">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5D9F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0F75D3D">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782" w:type="dxa"/>
            <w:vMerge w:val="restart"/>
            <w:vAlign w:val="center"/>
          </w:tcPr>
          <w:p w14:paraId="1DA50FCB">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1762" w:type="dxa"/>
            <w:vAlign w:val="center"/>
          </w:tcPr>
          <w:p w14:paraId="569AF1D7">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w:t>
            </w:r>
          </w:p>
        </w:tc>
        <w:tc>
          <w:tcPr>
            <w:tcW w:w="5409" w:type="dxa"/>
            <w:vAlign w:val="center"/>
          </w:tcPr>
          <w:p w14:paraId="69FC23AF">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响应文件上法定代表人或其授权代表人的签字齐全。</w:t>
            </w:r>
          </w:p>
        </w:tc>
      </w:tr>
      <w:tr w14:paraId="6A1F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C8B804">
            <w:pPr>
              <w:spacing w:line="360" w:lineRule="auto"/>
              <w:jc w:val="center"/>
              <w:rPr>
                <w:rFonts w:hint="eastAsia" w:ascii="宋体" w:hAnsi="宋体" w:eastAsia="宋体" w:cs="宋体"/>
                <w:kern w:val="0"/>
                <w:sz w:val="21"/>
                <w:szCs w:val="21"/>
                <w:highlight w:val="none"/>
              </w:rPr>
            </w:pPr>
          </w:p>
        </w:tc>
        <w:tc>
          <w:tcPr>
            <w:tcW w:w="1782" w:type="dxa"/>
            <w:vMerge w:val="continue"/>
            <w:vAlign w:val="center"/>
          </w:tcPr>
          <w:p w14:paraId="6A2808FA">
            <w:pPr>
              <w:spacing w:line="360" w:lineRule="auto"/>
              <w:rPr>
                <w:rFonts w:hint="eastAsia" w:ascii="宋体" w:hAnsi="宋体" w:eastAsia="宋体" w:cs="宋体"/>
                <w:kern w:val="0"/>
                <w:sz w:val="21"/>
                <w:szCs w:val="21"/>
                <w:highlight w:val="none"/>
              </w:rPr>
            </w:pPr>
          </w:p>
        </w:tc>
        <w:tc>
          <w:tcPr>
            <w:tcW w:w="1762" w:type="dxa"/>
            <w:vAlign w:val="center"/>
          </w:tcPr>
          <w:p w14:paraId="332ED34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5409" w:type="dxa"/>
            <w:vAlign w:val="center"/>
          </w:tcPr>
          <w:p w14:paraId="35F6DDF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法定代表人身份证明及授权委托书有效，符合竞争性磋商文件规定的格式，签字或盖章齐全。</w:t>
            </w:r>
          </w:p>
        </w:tc>
      </w:tr>
      <w:tr w14:paraId="737E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07BAADD">
            <w:pPr>
              <w:spacing w:line="360" w:lineRule="auto"/>
              <w:jc w:val="center"/>
              <w:rPr>
                <w:rFonts w:hint="eastAsia" w:ascii="宋体" w:hAnsi="宋体" w:eastAsia="宋体" w:cs="宋体"/>
                <w:kern w:val="0"/>
                <w:sz w:val="21"/>
                <w:szCs w:val="21"/>
                <w:highlight w:val="none"/>
              </w:rPr>
            </w:pPr>
          </w:p>
        </w:tc>
        <w:tc>
          <w:tcPr>
            <w:tcW w:w="1782" w:type="dxa"/>
            <w:vMerge w:val="continue"/>
            <w:vAlign w:val="center"/>
          </w:tcPr>
          <w:p w14:paraId="0A9C9728">
            <w:pPr>
              <w:spacing w:line="360" w:lineRule="auto"/>
              <w:rPr>
                <w:rFonts w:hint="eastAsia" w:ascii="宋体" w:hAnsi="宋体" w:eastAsia="宋体" w:cs="宋体"/>
                <w:kern w:val="0"/>
                <w:sz w:val="21"/>
                <w:szCs w:val="21"/>
                <w:highlight w:val="none"/>
              </w:rPr>
            </w:pPr>
          </w:p>
        </w:tc>
        <w:tc>
          <w:tcPr>
            <w:tcW w:w="1762" w:type="dxa"/>
            <w:vAlign w:val="center"/>
          </w:tcPr>
          <w:p w14:paraId="5F0746B5">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5409" w:type="dxa"/>
            <w:vAlign w:val="center"/>
          </w:tcPr>
          <w:p w14:paraId="528FC283">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每个分包只能有一个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1ACC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DE70BBA">
            <w:pPr>
              <w:spacing w:line="360" w:lineRule="auto"/>
              <w:jc w:val="center"/>
              <w:rPr>
                <w:rFonts w:hint="eastAsia" w:ascii="宋体" w:hAnsi="宋体" w:eastAsia="宋体" w:cs="宋体"/>
                <w:kern w:val="0"/>
                <w:sz w:val="21"/>
                <w:szCs w:val="21"/>
                <w:highlight w:val="none"/>
              </w:rPr>
            </w:pPr>
          </w:p>
        </w:tc>
        <w:tc>
          <w:tcPr>
            <w:tcW w:w="1782" w:type="dxa"/>
            <w:vMerge w:val="continue"/>
            <w:vAlign w:val="center"/>
          </w:tcPr>
          <w:p w14:paraId="40B07775">
            <w:pPr>
              <w:spacing w:line="360" w:lineRule="auto"/>
              <w:rPr>
                <w:rFonts w:hint="eastAsia" w:ascii="宋体" w:hAnsi="宋体" w:eastAsia="宋体" w:cs="宋体"/>
                <w:kern w:val="0"/>
                <w:sz w:val="21"/>
                <w:szCs w:val="21"/>
                <w:highlight w:val="none"/>
              </w:rPr>
            </w:pPr>
          </w:p>
        </w:tc>
        <w:tc>
          <w:tcPr>
            <w:tcW w:w="1762" w:type="dxa"/>
            <w:vAlign w:val="center"/>
          </w:tcPr>
          <w:p w14:paraId="637C422E">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5409" w:type="dxa"/>
            <w:vAlign w:val="center"/>
          </w:tcPr>
          <w:p w14:paraId="795EEB2B">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只能在最高限价范围内报价，</w:t>
            </w:r>
            <w:r>
              <w:rPr>
                <w:rFonts w:hint="eastAsia" w:ascii="宋体" w:hAnsi="宋体" w:eastAsia="宋体" w:cs="宋体"/>
                <w:sz w:val="21"/>
                <w:szCs w:val="21"/>
                <w:highlight w:val="none"/>
              </w:rPr>
              <w:t>只能有一个有效报价，不得提交选择性报价。</w:t>
            </w:r>
          </w:p>
        </w:tc>
      </w:tr>
      <w:tr w14:paraId="7DDC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5D34F707">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782" w:type="dxa"/>
            <w:vMerge w:val="restart"/>
            <w:vAlign w:val="center"/>
          </w:tcPr>
          <w:p w14:paraId="1CF55ABA">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1762" w:type="dxa"/>
            <w:vAlign w:val="center"/>
          </w:tcPr>
          <w:p w14:paraId="5DAEC729">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5409" w:type="dxa"/>
            <w:vAlign w:val="center"/>
          </w:tcPr>
          <w:p w14:paraId="39E17D65">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文件正、副本数量（含电子文档）符合</w:t>
            </w:r>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zh-CN"/>
              </w:rPr>
              <w:t>文件要求。</w:t>
            </w:r>
          </w:p>
        </w:tc>
      </w:tr>
      <w:tr w14:paraId="42E8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10168D3F">
            <w:pPr>
              <w:spacing w:line="360" w:lineRule="auto"/>
              <w:jc w:val="center"/>
              <w:rPr>
                <w:rFonts w:hint="eastAsia" w:ascii="宋体" w:hAnsi="宋体" w:eastAsia="宋体" w:cs="宋体"/>
                <w:kern w:val="0"/>
                <w:sz w:val="21"/>
                <w:szCs w:val="21"/>
                <w:highlight w:val="none"/>
              </w:rPr>
            </w:pPr>
          </w:p>
        </w:tc>
        <w:tc>
          <w:tcPr>
            <w:tcW w:w="1782" w:type="dxa"/>
            <w:vMerge w:val="continue"/>
            <w:vAlign w:val="center"/>
          </w:tcPr>
          <w:p w14:paraId="590BEF8C">
            <w:pPr>
              <w:spacing w:line="360" w:lineRule="auto"/>
              <w:rPr>
                <w:rFonts w:hint="eastAsia" w:ascii="宋体" w:hAnsi="宋体" w:eastAsia="宋体" w:cs="宋体"/>
                <w:kern w:val="0"/>
                <w:sz w:val="21"/>
                <w:szCs w:val="21"/>
                <w:highlight w:val="none"/>
              </w:rPr>
            </w:pPr>
          </w:p>
        </w:tc>
        <w:tc>
          <w:tcPr>
            <w:tcW w:w="1762" w:type="dxa"/>
            <w:vAlign w:val="center"/>
          </w:tcPr>
          <w:p w14:paraId="613F2918">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文件内容</w:t>
            </w:r>
          </w:p>
        </w:tc>
        <w:tc>
          <w:tcPr>
            <w:tcW w:w="5409" w:type="dxa"/>
            <w:vAlign w:val="center"/>
          </w:tcPr>
          <w:p w14:paraId="7500C77C">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文件内容齐全、无遗漏。</w:t>
            </w:r>
          </w:p>
        </w:tc>
      </w:tr>
      <w:tr w14:paraId="6632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A1CAAFF">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782" w:type="dxa"/>
            <w:vMerge w:val="restart"/>
            <w:vAlign w:val="center"/>
          </w:tcPr>
          <w:p w14:paraId="3D31E9F3">
            <w:pPr>
              <w:spacing w:line="360" w:lineRule="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竞争性磋商文件的响应程度审查</w:t>
            </w:r>
          </w:p>
        </w:tc>
        <w:tc>
          <w:tcPr>
            <w:tcW w:w="1762" w:type="dxa"/>
            <w:vAlign w:val="center"/>
          </w:tcPr>
          <w:p w14:paraId="6ADA5F67">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响应文件内容</w:t>
            </w:r>
          </w:p>
        </w:tc>
        <w:tc>
          <w:tcPr>
            <w:tcW w:w="5409" w:type="dxa"/>
            <w:vAlign w:val="center"/>
          </w:tcPr>
          <w:p w14:paraId="5E6107B3">
            <w:pPr>
              <w:pStyle w:val="32"/>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对竞争性磋商文件</w:t>
            </w:r>
            <w:r>
              <w:rPr>
                <w:rFonts w:hint="eastAsia" w:ascii="宋体" w:hAnsi="宋体" w:eastAsia="宋体" w:cs="宋体"/>
                <w:b/>
                <w:bCs/>
                <w:kern w:val="0"/>
                <w:sz w:val="21"/>
                <w:szCs w:val="21"/>
                <w:highlight w:val="none"/>
              </w:rPr>
              <w:t>第二、三篇</w:t>
            </w:r>
            <w:r>
              <w:rPr>
                <w:rFonts w:hint="eastAsia" w:ascii="宋体" w:hAnsi="宋体" w:eastAsia="宋体" w:cs="宋体"/>
                <w:b w:val="0"/>
                <w:bCs w:val="0"/>
                <w:kern w:val="0"/>
                <w:sz w:val="21"/>
                <w:szCs w:val="21"/>
                <w:highlight w:val="none"/>
              </w:rPr>
              <w:t>“※”标注部分</w:t>
            </w:r>
            <w:r>
              <w:rPr>
                <w:rFonts w:hint="eastAsia" w:ascii="宋体" w:hAnsi="宋体" w:eastAsia="宋体" w:cs="宋体"/>
                <w:kern w:val="0"/>
                <w:sz w:val="21"/>
                <w:szCs w:val="21"/>
                <w:highlight w:val="none"/>
              </w:rPr>
              <w:t>。</w:t>
            </w:r>
          </w:p>
        </w:tc>
      </w:tr>
      <w:tr w14:paraId="405D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5" w:type="dxa"/>
            <w:vMerge w:val="continue"/>
            <w:vAlign w:val="center"/>
          </w:tcPr>
          <w:p w14:paraId="0B5901C2">
            <w:pPr>
              <w:spacing w:line="360" w:lineRule="auto"/>
              <w:jc w:val="center"/>
              <w:rPr>
                <w:rFonts w:hint="eastAsia" w:ascii="宋体" w:hAnsi="宋体" w:eastAsia="宋体" w:cs="宋体"/>
                <w:kern w:val="0"/>
                <w:sz w:val="21"/>
                <w:szCs w:val="21"/>
                <w:highlight w:val="none"/>
              </w:rPr>
            </w:pPr>
          </w:p>
        </w:tc>
        <w:tc>
          <w:tcPr>
            <w:tcW w:w="1782" w:type="dxa"/>
            <w:vMerge w:val="continue"/>
            <w:vAlign w:val="center"/>
          </w:tcPr>
          <w:p w14:paraId="631AF28D">
            <w:pPr>
              <w:spacing w:line="360" w:lineRule="auto"/>
              <w:rPr>
                <w:rFonts w:hint="eastAsia" w:ascii="宋体" w:hAnsi="宋体" w:eastAsia="宋体" w:cs="宋体"/>
                <w:sz w:val="21"/>
                <w:szCs w:val="21"/>
                <w:highlight w:val="none"/>
                <w:lang w:val="zh-CN"/>
              </w:rPr>
            </w:pPr>
          </w:p>
        </w:tc>
        <w:tc>
          <w:tcPr>
            <w:tcW w:w="1762" w:type="dxa"/>
            <w:vAlign w:val="center"/>
          </w:tcPr>
          <w:p w14:paraId="73867413">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5409" w:type="dxa"/>
            <w:vAlign w:val="center"/>
          </w:tcPr>
          <w:p w14:paraId="0F184D1E">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满足磋商文件</w:t>
            </w:r>
            <w:r>
              <w:rPr>
                <w:rFonts w:hint="eastAsia" w:ascii="宋体" w:hAnsi="宋体" w:eastAsia="宋体" w:cs="宋体"/>
                <w:sz w:val="21"/>
                <w:szCs w:val="21"/>
                <w:highlight w:val="none"/>
                <w:lang w:val="zh-CN"/>
              </w:rPr>
              <w:t>规定。</w:t>
            </w:r>
          </w:p>
        </w:tc>
      </w:tr>
    </w:tbl>
    <w:p w14:paraId="70D86C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42AF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266E8D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（五）在磋商过程中磋商的任何一方不得向他人透露与磋商有关的技术资料、价格或其他信息。</w:t>
      </w:r>
    </w:p>
    <w:p w14:paraId="4A8AC2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6DCF8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（七）供应商在磋商时作出的所有书面承诺须由法定代表人或其授权代表签字。</w:t>
      </w:r>
    </w:p>
    <w:p w14:paraId="488FD48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793AB421">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（九）磋商小组采用综合评分法对提交最后报价的供应商的响应文件和最后报价（含有效书面承诺）进行综合评分。</w:t>
      </w:r>
      <w:r>
        <w:rPr>
          <w:rFonts w:hint="eastAsia" w:ascii="宋体" w:hAnsi="宋体" w:eastAsia="宋体" w:cs="宋体"/>
          <w:kern w:val="0"/>
          <w:sz w:val="24"/>
          <w:szCs w:val="24"/>
          <w:highlight w:val="none"/>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eastAsia="宋体" w:cs="宋体"/>
          <w:sz w:val="24"/>
          <w:szCs w:val="24"/>
          <w:highlight w:val="none"/>
        </w:rPr>
        <w:t>。</w:t>
      </w:r>
    </w:p>
    <w:p w14:paraId="31AAE5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（十）磋商小组各成员独立对每个</w:t>
      </w:r>
      <w:r>
        <w:rPr>
          <w:rFonts w:hint="eastAsia" w:ascii="宋体" w:hAnsi="宋体" w:eastAsia="宋体" w:cs="宋体"/>
          <w:kern w:val="0"/>
          <w:sz w:val="24"/>
          <w:szCs w:val="24"/>
          <w:highlight w:val="none"/>
        </w:rPr>
        <w:t>实质性响应</w:t>
      </w:r>
      <w:r>
        <w:rPr>
          <w:rFonts w:hint="eastAsia" w:ascii="宋体" w:hAnsi="宋体" w:eastAsia="宋体" w:cs="宋体"/>
          <w:sz w:val="24"/>
          <w:szCs w:val="24"/>
          <w:highlight w:val="none"/>
        </w:rPr>
        <w:t>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得分由高到低的顺序排列推荐。若所推荐的成交供应商的技术部分为0分，将失去成为成交候选供应商的资格。</w:t>
      </w:r>
    </w:p>
    <w:p w14:paraId="3D8EDB31">
      <w:pPr>
        <w:pStyle w:val="3"/>
        <w:spacing w:before="0" w:after="0" w:line="360" w:lineRule="auto"/>
        <w:rPr>
          <w:rFonts w:hint="eastAsia" w:ascii="宋体" w:hAnsi="宋体" w:eastAsia="宋体" w:cs="宋体"/>
          <w:color w:val="auto"/>
          <w:sz w:val="24"/>
          <w:szCs w:val="24"/>
          <w:highlight w:val="none"/>
        </w:rPr>
      </w:pPr>
      <w:bookmarkStart w:id="50" w:name="_Toc32565"/>
      <w:r>
        <w:rPr>
          <w:rFonts w:hint="eastAsia" w:ascii="宋体" w:hAnsi="宋体" w:eastAsia="宋体" w:cs="宋体"/>
          <w:color w:val="auto"/>
          <w:sz w:val="24"/>
          <w:szCs w:val="24"/>
          <w:highlight w:val="none"/>
        </w:rPr>
        <w:t>二、</w:t>
      </w:r>
      <w:bookmarkStart w:id="51" w:name="_Toc102227320"/>
      <w:bookmarkStart w:id="52" w:name="_Toc342913394"/>
      <w:r>
        <w:rPr>
          <w:rFonts w:hint="eastAsia" w:ascii="宋体" w:hAnsi="宋体" w:eastAsia="宋体" w:cs="宋体"/>
          <w:color w:val="auto"/>
          <w:sz w:val="24"/>
          <w:szCs w:val="24"/>
          <w:highlight w:val="none"/>
        </w:rPr>
        <w:t>评审标准</w:t>
      </w:r>
      <w:bookmarkEnd w:id="50"/>
    </w:p>
    <w:tbl>
      <w:tblPr>
        <w:tblStyle w:val="57"/>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64"/>
        <w:gridCol w:w="1280"/>
        <w:gridCol w:w="4339"/>
        <w:gridCol w:w="2231"/>
      </w:tblGrid>
      <w:tr w14:paraId="0AF7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48" w:type="pct"/>
            <w:noWrap w:val="0"/>
            <w:vAlign w:val="center"/>
          </w:tcPr>
          <w:p w14:paraId="594E0225">
            <w:pPr>
              <w:keepNext w:val="0"/>
              <w:keepLines w:val="0"/>
              <w:suppressLineNumbers w:val="0"/>
              <w:spacing w:before="0" w:beforeAutospacing="0" w:after="0" w:afterAutospacing="0"/>
              <w:ind w:left="0" w:right="0" w:firstLine="28"/>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645" w:type="pct"/>
            <w:noWrap w:val="0"/>
            <w:vAlign w:val="center"/>
          </w:tcPr>
          <w:p w14:paraId="3708BC17">
            <w:pPr>
              <w:keepNext w:val="0"/>
              <w:keepLines w:val="0"/>
              <w:suppressLineNumbers w:val="0"/>
              <w:spacing w:before="0" w:beforeAutospacing="0" w:after="0" w:afterAutospacing="0"/>
              <w:ind w:left="0" w:right="0" w:firstLine="28"/>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p w14:paraId="54B8CAF9">
            <w:pPr>
              <w:keepNext w:val="0"/>
              <w:keepLines w:val="0"/>
              <w:suppressLineNumbers w:val="0"/>
              <w:spacing w:before="0" w:beforeAutospacing="0" w:after="0" w:afterAutospacing="0"/>
              <w:ind w:left="0" w:right="0" w:firstLine="28"/>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及权重</w:t>
            </w:r>
          </w:p>
        </w:tc>
        <w:tc>
          <w:tcPr>
            <w:tcW w:w="653" w:type="pct"/>
            <w:noWrap w:val="0"/>
            <w:vAlign w:val="center"/>
          </w:tcPr>
          <w:p w14:paraId="36CC2F48">
            <w:pPr>
              <w:keepNext w:val="0"/>
              <w:keepLines w:val="0"/>
              <w:suppressLineNumbers w:val="0"/>
              <w:spacing w:before="0" w:beforeAutospacing="0" w:after="0" w:afterAutospacing="0"/>
              <w:ind w:left="0" w:right="0" w:firstLine="28"/>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2214" w:type="pct"/>
            <w:noWrap w:val="0"/>
            <w:vAlign w:val="center"/>
          </w:tcPr>
          <w:p w14:paraId="21E745D7">
            <w:pPr>
              <w:keepNext w:val="0"/>
              <w:keepLines w:val="0"/>
              <w:suppressLineNumbers w:val="0"/>
              <w:spacing w:before="0" w:beforeAutospacing="0" w:after="0" w:afterAutospacing="0"/>
              <w:ind w:left="0" w:right="0" w:firstLine="28"/>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1138" w:type="pct"/>
            <w:noWrap w:val="0"/>
            <w:vAlign w:val="center"/>
          </w:tcPr>
          <w:p w14:paraId="368120B7">
            <w:pPr>
              <w:pStyle w:val="125"/>
              <w:keepNext w:val="0"/>
              <w:keepLines w:val="0"/>
              <w:suppressLineNumbers w:val="0"/>
              <w:spacing w:before="0" w:beforeAutospacing="0" w:after="0" w:afterAutospacing="0" w:line="240" w:lineRule="auto"/>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14:paraId="09CF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noWrap w:val="0"/>
            <w:vAlign w:val="center"/>
          </w:tcPr>
          <w:p w14:paraId="5E22471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45" w:type="pct"/>
            <w:noWrap w:val="0"/>
            <w:vAlign w:val="center"/>
          </w:tcPr>
          <w:p w14:paraId="6AC522AE">
            <w:pPr>
              <w:keepNext w:val="0"/>
              <w:keepLines w:val="0"/>
              <w:suppressLineNumbers w:val="0"/>
              <w:spacing w:before="0" w:beforeAutospacing="0" w:after="0" w:afterAutospacing="0"/>
              <w:ind w:left="-38"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p w14:paraId="7A1D5C5D">
            <w:pPr>
              <w:pStyle w:val="55"/>
              <w:keepNext w:val="0"/>
              <w:keepLines w:val="0"/>
              <w:suppressLineNumbers w:val="0"/>
              <w:spacing w:before="0" w:beforeAutospacing="0" w:after="0" w:afterAutospacing="0" w:line="240" w:lineRule="auto"/>
              <w:ind w:left="-38"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tc>
        <w:tc>
          <w:tcPr>
            <w:tcW w:w="653" w:type="pct"/>
            <w:noWrap w:val="0"/>
            <w:vAlign w:val="center"/>
          </w:tcPr>
          <w:p w14:paraId="5E6A8C47">
            <w:pPr>
              <w:keepNext w:val="0"/>
              <w:keepLines w:val="0"/>
              <w:suppressLineNumbers w:val="0"/>
              <w:spacing w:before="0" w:beforeAutospacing="0" w:after="0" w:afterAutospacing="0"/>
              <w:ind w:left="-38"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w:t>
            </w:r>
          </w:p>
        </w:tc>
        <w:tc>
          <w:tcPr>
            <w:tcW w:w="2214" w:type="pct"/>
            <w:noWrap w:val="0"/>
            <w:vAlign w:val="center"/>
          </w:tcPr>
          <w:p w14:paraId="51C8BC01">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满足要求且最后报价最低的供应商的价格为磋商基准价，其价格分为满分，其余按照下列公式计算每个供应商的磋商报价得分。</w:t>
            </w:r>
          </w:p>
          <w:p w14:paraId="550F5321">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磋商报价得分=（磋商基准价/最后磋商报价）×价格权值×100。</w:t>
            </w:r>
          </w:p>
        </w:tc>
        <w:tc>
          <w:tcPr>
            <w:tcW w:w="1138" w:type="pct"/>
            <w:noWrap w:val="0"/>
            <w:vAlign w:val="center"/>
          </w:tcPr>
          <w:p w14:paraId="39C3B0FE">
            <w:pPr>
              <w:keepNext w:val="0"/>
              <w:keepLines w:val="0"/>
              <w:suppressLineNumbers w:val="0"/>
              <w:spacing w:before="0" w:beforeAutospacing="0" w:after="0" w:afterAutospacing="0"/>
              <w:ind w:left="-38" w:right="0"/>
              <w:jc w:val="left"/>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对小微企业的价格用扣除后的价格参与评审，详见“注：关于小微企业报价扣除比例说明”。</w:t>
            </w:r>
          </w:p>
        </w:tc>
      </w:tr>
      <w:tr w14:paraId="3FC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348" w:type="pct"/>
            <w:vMerge w:val="restart"/>
            <w:noWrap w:val="0"/>
            <w:vAlign w:val="center"/>
          </w:tcPr>
          <w:p w14:paraId="2976F86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45" w:type="pct"/>
            <w:vMerge w:val="restart"/>
            <w:noWrap w:val="0"/>
            <w:vAlign w:val="center"/>
          </w:tcPr>
          <w:p w14:paraId="42193AB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服务部分</w:t>
            </w:r>
          </w:p>
          <w:p w14:paraId="61FF32E6">
            <w:pPr>
              <w:pStyle w:val="55"/>
              <w:keepNext w:val="0"/>
              <w:keepLines w:val="0"/>
              <w:suppressLineNumbers w:val="0"/>
              <w:spacing w:before="0" w:beforeAutospacing="0" w:after="0" w:afterAutospacing="0" w:line="240" w:lineRule="auto"/>
              <w:ind w:left="0"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cs="宋体"/>
                <w:sz w:val="21"/>
                <w:szCs w:val="21"/>
                <w:highlight w:val="none"/>
                <w:lang w:val="en-US" w:eastAsia="zh-CN"/>
              </w:rPr>
              <w:t>55</w:t>
            </w:r>
            <w:r>
              <w:rPr>
                <w:rFonts w:hint="eastAsia" w:ascii="宋体" w:hAnsi="宋体" w:eastAsia="宋体" w:cs="宋体"/>
                <w:sz w:val="21"/>
                <w:szCs w:val="21"/>
                <w:highlight w:val="none"/>
              </w:rPr>
              <w:t>%）</w:t>
            </w:r>
          </w:p>
        </w:tc>
        <w:tc>
          <w:tcPr>
            <w:tcW w:w="653" w:type="pct"/>
            <w:vMerge w:val="restart"/>
            <w:noWrap w:val="0"/>
            <w:vAlign w:val="center"/>
          </w:tcPr>
          <w:p w14:paraId="4E8BC4A1">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专题汇报片</w:t>
            </w:r>
          </w:p>
          <w:p w14:paraId="6F666FF2">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创意方案</w:t>
            </w:r>
          </w:p>
          <w:p w14:paraId="0A0121FD">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14:textFill>
                  <w14:solidFill>
                    <w14:schemeClr w14:val="tx1"/>
                  </w14:solidFill>
                </w14:textFill>
              </w:rPr>
              <w:t>（30分）</w:t>
            </w:r>
          </w:p>
        </w:tc>
        <w:tc>
          <w:tcPr>
            <w:tcW w:w="2214" w:type="pct"/>
            <w:noWrap w:val="0"/>
            <w:vAlign w:val="center"/>
          </w:tcPr>
          <w:p w14:paraId="48D31D29">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1.创意部分（10分）</w:t>
            </w:r>
          </w:p>
          <w:p w14:paraId="34BA5DDB">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供应商为本项目提供专题汇报片的创意水平，从对项目的理解、深入程度角度综合考量。包括：项目定位、创意思路等</w:t>
            </w:r>
          </w:p>
          <w:p w14:paraId="73E2C398">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以上方案内容不存在瑕疵得10分，</w:t>
            </w:r>
          </w:p>
          <w:p w14:paraId="566E826F">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方案内容存在1处瑕疵得7分，</w:t>
            </w:r>
          </w:p>
          <w:p w14:paraId="352E096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方案内容存在2处瑕疵得4分，</w:t>
            </w:r>
          </w:p>
          <w:p w14:paraId="55FCB316">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方案内容存在3处瑕疵得1分，</w:t>
            </w:r>
          </w:p>
          <w:p w14:paraId="18D001C1">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sz w:val="21"/>
                <w:szCs w:val="21"/>
                <w:highlight w:val="none"/>
              </w:rPr>
              <w:t>方案内容存在4处以上瑕疵或未提供得0分。</w:t>
            </w:r>
          </w:p>
        </w:tc>
        <w:tc>
          <w:tcPr>
            <w:tcW w:w="1138" w:type="pct"/>
            <w:vMerge w:val="restart"/>
            <w:noWrap w:val="0"/>
            <w:vAlign w:val="center"/>
          </w:tcPr>
          <w:p w14:paraId="55A83BD8">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1.供应商提供相关方案，格式自定。</w:t>
            </w:r>
          </w:p>
          <w:p w14:paraId="46805564">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2.本项内容中所称的“瑕疵”：</w:t>
            </w:r>
          </w:p>
          <w:p w14:paraId="0FD9F49D">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①内容表述不完整或缺少关键分析点；</w:t>
            </w:r>
          </w:p>
          <w:p w14:paraId="5A717D19">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②计划及措施不科学、方案不合理；</w:t>
            </w:r>
          </w:p>
          <w:p w14:paraId="22661559">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③内容表述前后矛盾、无连贯性、内容存在逻辑漏洞；</w:t>
            </w:r>
          </w:p>
          <w:p w14:paraId="7BC70DBA">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④常识性错误；</w:t>
            </w:r>
          </w:p>
          <w:p w14:paraId="6CD67569">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⑤技术措施保障安排并不适用本项目特性或非专门针对本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制定；</w:t>
            </w:r>
          </w:p>
          <w:p w14:paraId="7BBC604F">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⑥方案中提出的措施举措不利于本项目目标的实现；</w:t>
            </w:r>
          </w:p>
          <w:p w14:paraId="1CF5E38E">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⑦现有技术条件下不可能实现采购目标；</w:t>
            </w:r>
          </w:p>
          <w:p w14:paraId="7B28EB42">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r>
              <w:rPr>
                <w:rFonts w:hint="eastAsia" w:ascii="宋体" w:hAnsi="宋体" w:eastAsia="宋体" w:cs="宋体"/>
                <w:sz w:val="21"/>
                <w:szCs w:val="21"/>
                <w:highlight w:val="none"/>
              </w:rPr>
              <w:t>上述任意一种情形为1处瑕疵。</w:t>
            </w:r>
          </w:p>
        </w:tc>
      </w:tr>
      <w:tr w14:paraId="4999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vMerge w:val="continue"/>
            <w:noWrap w:val="0"/>
            <w:vAlign w:val="center"/>
          </w:tcPr>
          <w:p w14:paraId="3E555A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645" w:type="pct"/>
            <w:vMerge w:val="continue"/>
            <w:noWrap w:val="0"/>
            <w:vAlign w:val="center"/>
          </w:tcPr>
          <w:p w14:paraId="52950C5A">
            <w:pPr>
              <w:pStyle w:val="55"/>
              <w:keepNext w:val="0"/>
              <w:keepLines w:val="0"/>
              <w:suppressLineNumbers w:val="0"/>
              <w:spacing w:before="0" w:beforeAutospacing="0" w:after="0" w:afterAutospacing="0" w:line="240" w:lineRule="auto"/>
              <w:ind w:left="0" w:right="0" w:firstLine="0"/>
              <w:jc w:val="center"/>
              <w:rPr>
                <w:rFonts w:hint="eastAsia" w:ascii="宋体" w:hAnsi="宋体" w:eastAsia="宋体" w:cs="宋体"/>
                <w:sz w:val="21"/>
                <w:szCs w:val="21"/>
                <w:highlight w:val="none"/>
              </w:rPr>
            </w:pPr>
          </w:p>
        </w:tc>
        <w:tc>
          <w:tcPr>
            <w:tcW w:w="653" w:type="pct"/>
            <w:vMerge w:val="continue"/>
            <w:noWrap w:val="0"/>
            <w:vAlign w:val="center"/>
          </w:tcPr>
          <w:p w14:paraId="01BF1AD4">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214" w:type="pct"/>
            <w:noWrap w:val="0"/>
            <w:vAlign w:val="center"/>
          </w:tcPr>
          <w:p w14:paraId="1376E620">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技术实现（20分）</w:t>
            </w:r>
          </w:p>
          <w:p w14:paraId="2472F276">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供应商为本项目提供专题汇报片的技术实现方案，从技术方案的完整性及可执行性角度进行综合考量，包括：文字脚本、分镜脚本、包装方案、拍摄计划等</w:t>
            </w:r>
          </w:p>
          <w:p w14:paraId="33F6FC03">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上述内容不存在瑕疵得20分；</w:t>
            </w:r>
          </w:p>
          <w:p w14:paraId="6279354D">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存在1处瑕疵得16分；</w:t>
            </w:r>
          </w:p>
          <w:p w14:paraId="163FD6A4">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存在2处瑕疵的得12分；</w:t>
            </w:r>
          </w:p>
          <w:p w14:paraId="465EA2A3">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存在3处瑕疵的得8分；</w:t>
            </w:r>
          </w:p>
          <w:p w14:paraId="705F4930">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存在4处瑕疵的得4分；</w:t>
            </w:r>
          </w:p>
          <w:p w14:paraId="3771A02A">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存在5处及以上瑕疵或未提供得0分。</w:t>
            </w:r>
          </w:p>
        </w:tc>
        <w:tc>
          <w:tcPr>
            <w:tcW w:w="1138" w:type="pct"/>
            <w:vMerge w:val="continue"/>
            <w:noWrap w:val="0"/>
            <w:vAlign w:val="center"/>
          </w:tcPr>
          <w:p w14:paraId="48D28B80">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p>
        </w:tc>
      </w:tr>
      <w:tr w14:paraId="576B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 w:type="pct"/>
            <w:vMerge w:val="continue"/>
            <w:noWrap w:val="0"/>
            <w:vAlign w:val="center"/>
          </w:tcPr>
          <w:p w14:paraId="755BF8E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645" w:type="pct"/>
            <w:vMerge w:val="continue"/>
            <w:noWrap w:val="0"/>
            <w:vAlign w:val="center"/>
          </w:tcPr>
          <w:p w14:paraId="0224FDA1">
            <w:pPr>
              <w:pStyle w:val="55"/>
              <w:keepNext w:val="0"/>
              <w:keepLines w:val="0"/>
              <w:suppressLineNumbers w:val="0"/>
              <w:spacing w:before="0" w:beforeAutospacing="0" w:after="0" w:afterAutospacing="0" w:line="240" w:lineRule="auto"/>
              <w:ind w:left="0" w:right="0" w:firstLine="0"/>
              <w:jc w:val="center"/>
              <w:rPr>
                <w:rFonts w:hint="eastAsia" w:ascii="宋体" w:hAnsi="宋体" w:eastAsia="宋体" w:cs="宋体"/>
                <w:sz w:val="21"/>
                <w:szCs w:val="21"/>
                <w:highlight w:val="none"/>
              </w:rPr>
            </w:pPr>
          </w:p>
        </w:tc>
        <w:tc>
          <w:tcPr>
            <w:tcW w:w="653" w:type="pct"/>
            <w:vMerge w:val="restart"/>
            <w:noWrap w:val="0"/>
            <w:vAlign w:val="center"/>
          </w:tcPr>
          <w:p w14:paraId="39E0F48D">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宣传图册</w:t>
            </w:r>
          </w:p>
          <w:p w14:paraId="62D5F8C3">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服务方案</w:t>
            </w:r>
          </w:p>
          <w:p w14:paraId="0585FF49">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eastAsia="宋体" w:cs="宋体"/>
                <w:b w:val="0"/>
                <w:bCs/>
                <w:sz w:val="21"/>
                <w:szCs w:val="21"/>
                <w:highlight w:val="none"/>
              </w:rPr>
            </w:pPr>
            <w:r>
              <w:rPr>
                <w:rFonts w:hint="eastAsia" w:ascii="宋体" w:hAnsi="宋体" w:cs="宋体"/>
                <w:color w:val="000000" w:themeColor="text1"/>
                <w:sz w:val="21"/>
                <w:szCs w:val="21"/>
                <w:highlight w:val="none"/>
                <w:lang w:val="en-US" w:eastAsia="zh-CN"/>
                <w14:textFill>
                  <w14:solidFill>
                    <w14:schemeClr w14:val="tx1"/>
                  </w14:solidFill>
                </w14:textFill>
              </w:rPr>
              <w:t>（20分）</w:t>
            </w:r>
          </w:p>
        </w:tc>
        <w:tc>
          <w:tcPr>
            <w:tcW w:w="2214" w:type="pct"/>
            <w:noWrap w:val="0"/>
            <w:vAlign w:val="center"/>
          </w:tcPr>
          <w:p w14:paraId="5D67CE5D">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创意部分（10分）</w:t>
            </w:r>
          </w:p>
          <w:p w14:paraId="0203E178">
            <w:pPr>
              <w:keepNext w:val="0"/>
              <w:keepLines w:val="0"/>
              <w:numPr>
                <w:ilvl w:val="0"/>
                <w:numId w:val="0"/>
              </w:numPr>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供应商为本项目提供设计制作宣传图册的创意方案，从对内容策划的创意性角度综合考量。包括：宣传图册定位、编纂创意思路与内容策划等</w:t>
            </w:r>
          </w:p>
          <w:p w14:paraId="45C5317E">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以上方案内容不存在瑕疵得10分，</w:t>
            </w:r>
          </w:p>
          <w:p w14:paraId="79A11F3B">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方案内容存在1处瑕疵得7分，</w:t>
            </w:r>
          </w:p>
          <w:p w14:paraId="46D71D93">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方案内容存在2处瑕疵得4分，</w:t>
            </w:r>
          </w:p>
          <w:p w14:paraId="59C6094A">
            <w:pPr>
              <w:keepNext w:val="0"/>
              <w:keepLines w:val="0"/>
              <w:suppressLineNumbers w:val="0"/>
              <w:adjustRightInd w:val="0"/>
              <w:snapToGrid w:val="0"/>
              <w:spacing w:before="0" w:beforeAutospacing="0" w:after="0" w:afterAutospacing="0" w:line="280" w:lineRule="exact"/>
              <w:ind w:left="0" w:leftChars="0" w:right="0" w:rightChars="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方案内容存在3处瑕疵得1分，</w:t>
            </w:r>
          </w:p>
          <w:p w14:paraId="3DAFB714">
            <w:pPr>
              <w:keepNext w:val="0"/>
              <w:keepLines w:val="0"/>
              <w:suppressLineNumbers w:val="0"/>
              <w:adjustRightInd w:val="0"/>
              <w:snapToGrid w:val="0"/>
              <w:spacing w:before="0" w:beforeAutospacing="0" w:after="0" w:afterAutospacing="0" w:line="280" w:lineRule="exact"/>
              <w:ind w:left="0" w:leftChars="0" w:right="0" w:rightChars="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方案内容存在4处以上瑕疵或未提供得0分。</w:t>
            </w:r>
          </w:p>
        </w:tc>
        <w:tc>
          <w:tcPr>
            <w:tcW w:w="1138" w:type="pct"/>
            <w:vMerge w:val="continue"/>
            <w:noWrap w:val="0"/>
            <w:vAlign w:val="center"/>
          </w:tcPr>
          <w:p w14:paraId="3CDBAC57">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p>
        </w:tc>
      </w:tr>
      <w:tr w14:paraId="04AE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48" w:type="pct"/>
            <w:vMerge w:val="continue"/>
            <w:noWrap w:val="0"/>
            <w:vAlign w:val="center"/>
          </w:tcPr>
          <w:p w14:paraId="5A95E53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645" w:type="pct"/>
            <w:vMerge w:val="continue"/>
            <w:noWrap w:val="0"/>
            <w:vAlign w:val="center"/>
          </w:tcPr>
          <w:p w14:paraId="3E1F3B2E">
            <w:pPr>
              <w:pStyle w:val="55"/>
              <w:keepNext w:val="0"/>
              <w:keepLines w:val="0"/>
              <w:suppressLineNumbers w:val="0"/>
              <w:spacing w:before="0" w:beforeAutospacing="0" w:after="0" w:afterAutospacing="0" w:line="240" w:lineRule="auto"/>
              <w:ind w:left="0" w:right="0" w:firstLine="0"/>
              <w:jc w:val="center"/>
              <w:rPr>
                <w:rFonts w:hint="eastAsia" w:ascii="宋体" w:hAnsi="宋体" w:eastAsia="宋体" w:cs="宋体"/>
                <w:sz w:val="21"/>
                <w:szCs w:val="21"/>
                <w:highlight w:val="none"/>
              </w:rPr>
            </w:pPr>
          </w:p>
        </w:tc>
        <w:tc>
          <w:tcPr>
            <w:tcW w:w="653" w:type="pct"/>
            <w:vMerge w:val="continue"/>
            <w:noWrap w:val="0"/>
            <w:vAlign w:val="center"/>
          </w:tcPr>
          <w:p w14:paraId="4F5FE4B3">
            <w:pPr>
              <w:pStyle w:val="4"/>
              <w:snapToGrid w:val="0"/>
              <w:spacing w:before="0" w:after="0" w:line="360" w:lineRule="exact"/>
              <w:jc w:val="center"/>
              <w:rPr>
                <w:rFonts w:hint="eastAsia" w:ascii="宋体" w:hAnsi="宋体" w:eastAsia="宋体" w:cs="宋体"/>
                <w:b w:val="0"/>
                <w:bCs/>
                <w:sz w:val="21"/>
                <w:szCs w:val="21"/>
                <w:highlight w:val="none"/>
              </w:rPr>
            </w:pPr>
          </w:p>
        </w:tc>
        <w:tc>
          <w:tcPr>
            <w:tcW w:w="2214" w:type="pct"/>
            <w:noWrap w:val="0"/>
            <w:vAlign w:val="center"/>
          </w:tcPr>
          <w:p w14:paraId="035241A9">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4.技术实现（10分）</w:t>
            </w:r>
          </w:p>
          <w:p w14:paraId="3194BD02">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供应商为本项目提供设计制作宣传图册的技术实现方案，从技术方案的完整性及可执行性角度进行综合考量，包括：图册视觉设计、制作材质与工艺建议、制作周期等。</w:t>
            </w:r>
          </w:p>
          <w:p w14:paraId="4ECA0807">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以上方案内容不存在瑕疵得10分，</w:t>
            </w:r>
          </w:p>
          <w:p w14:paraId="548566AC">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方案内容存在1处瑕疵得7分，</w:t>
            </w:r>
          </w:p>
          <w:p w14:paraId="3A6B8BD8">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方案内容存在2处瑕疵得4分，</w:t>
            </w:r>
          </w:p>
          <w:p w14:paraId="4CD71F6C">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方案内容存在3处瑕疵得1分，</w:t>
            </w:r>
          </w:p>
          <w:p w14:paraId="607B6C6A">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方案内容存在4处以上瑕疵或未提供得0分。</w:t>
            </w:r>
          </w:p>
        </w:tc>
        <w:tc>
          <w:tcPr>
            <w:tcW w:w="1138" w:type="pct"/>
            <w:vMerge w:val="continue"/>
            <w:noWrap w:val="0"/>
            <w:vAlign w:val="center"/>
          </w:tcPr>
          <w:p w14:paraId="7A740BF2">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p>
        </w:tc>
      </w:tr>
      <w:tr w14:paraId="14E0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48" w:type="pct"/>
            <w:vMerge w:val="continue"/>
            <w:noWrap w:val="0"/>
            <w:vAlign w:val="center"/>
          </w:tcPr>
          <w:p w14:paraId="3D556F6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645" w:type="pct"/>
            <w:vMerge w:val="continue"/>
            <w:noWrap w:val="0"/>
            <w:vAlign w:val="center"/>
          </w:tcPr>
          <w:p w14:paraId="17F8C9F1">
            <w:pPr>
              <w:pStyle w:val="55"/>
              <w:keepNext w:val="0"/>
              <w:keepLines w:val="0"/>
              <w:suppressLineNumbers w:val="0"/>
              <w:spacing w:before="0" w:beforeAutospacing="0" w:after="0" w:afterAutospacing="0" w:line="240" w:lineRule="auto"/>
              <w:ind w:left="0" w:right="0" w:firstLine="0"/>
              <w:jc w:val="center"/>
              <w:rPr>
                <w:rFonts w:hint="eastAsia" w:ascii="宋体" w:hAnsi="宋体" w:eastAsia="宋体" w:cs="宋体"/>
                <w:sz w:val="21"/>
                <w:szCs w:val="21"/>
                <w:highlight w:val="none"/>
              </w:rPr>
            </w:pPr>
          </w:p>
        </w:tc>
        <w:tc>
          <w:tcPr>
            <w:tcW w:w="653" w:type="pct"/>
            <w:noWrap w:val="0"/>
            <w:vAlign w:val="center"/>
          </w:tcPr>
          <w:p w14:paraId="20CEC63C">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团队配置方案</w:t>
            </w:r>
          </w:p>
          <w:p w14:paraId="758C324B">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（5分）</w:t>
            </w:r>
          </w:p>
        </w:tc>
        <w:tc>
          <w:tcPr>
            <w:tcW w:w="2214" w:type="pct"/>
            <w:noWrap w:val="0"/>
            <w:vAlign w:val="center"/>
          </w:tcPr>
          <w:p w14:paraId="6EF333EE">
            <w:pPr>
              <w:rPr>
                <w:rFonts w:hint="eastAsia" w:ascii="宋体" w:hAnsi="宋体" w:eastAsia="宋体" w:cs="宋体"/>
                <w:color w:val="auto"/>
                <w:sz w:val="21"/>
                <w:szCs w:val="21"/>
                <w:highlight w:val="none"/>
                <w:lang w:val="zh-CN"/>
              </w:rPr>
            </w:pPr>
            <w:r>
              <w:rPr>
                <w:rFonts w:hint="eastAsia" w:ascii="宋体" w:hAnsi="宋体" w:eastAsia="宋体" w:cs="宋体"/>
                <w:color w:val="000000" w:themeColor="text1"/>
                <w:sz w:val="21"/>
                <w:szCs w:val="21"/>
                <w:highlight w:val="none"/>
                <w:lang w:val="zh-CN"/>
                <w14:textFill>
                  <w14:solidFill>
                    <w14:schemeClr w14:val="tx1"/>
                  </w14:solidFill>
                </w14:textFill>
              </w:rPr>
              <w:t>供应商提供为本项服务的团队配</w:t>
            </w:r>
            <w:r>
              <w:rPr>
                <w:rFonts w:hint="eastAsia" w:ascii="宋体" w:hAnsi="宋体" w:eastAsia="宋体" w:cs="宋体"/>
                <w:color w:val="auto"/>
                <w:sz w:val="21"/>
                <w:szCs w:val="21"/>
                <w:highlight w:val="none"/>
                <w:lang w:val="zh-CN"/>
              </w:rPr>
              <w:t>置包含</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团队定位与目标</w:t>
            </w:r>
            <w:r>
              <w:rPr>
                <w:rFonts w:hint="eastAsia" w:ascii="宋体" w:hAnsi="宋体" w:cs="宋体"/>
                <w:color w:val="auto"/>
                <w:sz w:val="21"/>
                <w:szCs w:val="21"/>
                <w:highlight w:val="none"/>
                <w:lang w:val="zh-CN"/>
              </w:rPr>
              <w:t>；组织架构设计；人员培训；工作流程与协作机制；资源与工具配置；考核与激励机制；风险预案与优化；</w:t>
            </w:r>
            <w:r>
              <w:rPr>
                <w:rFonts w:hint="eastAsia" w:ascii="宋体" w:hAnsi="宋体" w:eastAsia="宋体" w:cs="宋体"/>
                <w:color w:val="auto"/>
                <w:sz w:val="21"/>
                <w:szCs w:val="21"/>
                <w:highlight w:val="none"/>
                <w:lang w:val="zh-CN"/>
              </w:rPr>
              <w:t>团队人员岗位安排、团队重要人员同类经验简述等</w:t>
            </w:r>
            <w:r>
              <w:rPr>
                <w:rFonts w:hint="eastAsia" w:ascii="宋体" w:hAnsi="宋体" w:cs="宋体"/>
                <w:color w:val="auto"/>
                <w:sz w:val="21"/>
                <w:szCs w:val="21"/>
                <w:highlight w:val="none"/>
                <w:lang w:val="zh-CN"/>
              </w:rPr>
              <w:t>。</w:t>
            </w:r>
          </w:p>
          <w:p w14:paraId="03CB1E2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以上方案内容不存在瑕疵得5分，</w:t>
            </w:r>
          </w:p>
          <w:p w14:paraId="0C67F39F">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方案内容存在1处瑕疵得3分，</w:t>
            </w:r>
          </w:p>
          <w:p w14:paraId="2C09BC60">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方案内容存在2处瑕疵得2分，</w:t>
            </w:r>
          </w:p>
          <w:p w14:paraId="0C549FCD">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方案内容存在3处瑕疵得1分，</w:t>
            </w:r>
          </w:p>
          <w:p w14:paraId="6C8BCB62">
            <w:pP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方案内容存在4处以上瑕疵或未提供得0分。</w:t>
            </w:r>
          </w:p>
        </w:tc>
        <w:tc>
          <w:tcPr>
            <w:tcW w:w="1138" w:type="pct"/>
            <w:vMerge w:val="continue"/>
            <w:noWrap w:val="0"/>
            <w:vAlign w:val="center"/>
          </w:tcPr>
          <w:p w14:paraId="0DFCA21B">
            <w:pPr>
              <w:keepNext w:val="0"/>
              <w:keepLines w:val="0"/>
              <w:suppressLineNumbers w:val="0"/>
              <w:spacing w:before="0" w:beforeAutospacing="0" w:after="0" w:afterAutospacing="0"/>
              <w:ind w:left="-38" w:right="0"/>
              <w:rPr>
                <w:rFonts w:hint="eastAsia" w:ascii="宋体" w:hAnsi="宋体" w:eastAsia="宋体" w:cs="宋体"/>
                <w:sz w:val="21"/>
                <w:szCs w:val="21"/>
                <w:highlight w:val="none"/>
              </w:rPr>
            </w:pPr>
          </w:p>
        </w:tc>
      </w:tr>
      <w:tr w14:paraId="2A4C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348" w:type="pct"/>
            <w:noWrap w:val="0"/>
            <w:vAlign w:val="center"/>
          </w:tcPr>
          <w:p w14:paraId="1172A1CF">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645" w:type="pct"/>
            <w:noWrap w:val="0"/>
            <w:vAlign w:val="center"/>
          </w:tcPr>
          <w:p w14:paraId="08B3D0F8">
            <w:pPr>
              <w:keepNext w:val="0"/>
              <w:keepLines w:val="0"/>
              <w:suppressLineNumbers w:val="0"/>
              <w:spacing w:before="0" w:beforeAutospacing="0" w:after="0" w:afterAutospacing="0"/>
              <w:ind w:left="-38" w:right="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商务部分（</w:t>
            </w:r>
            <w:r>
              <w:rPr>
                <w:rFonts w:hint="eastAsia" w:ascii="宋体" w:hAnsi="宋体" w:cs="宋体"/>
                <w:bCs/>
                <w:sz w:val="21"/>
                <w:szCs w:val="21"/>
                <w:highlight w:val="none"/>
                <w:lang w:val="en-US" w:eastAsia="zh-CN"/>
              </w:rPr>
              <w:t>15</w:t>
            </w:r>
            <w:r>
              <w:rPr>
                <w:rFonts w:hint="eastAsia" w:ascii="宋体" w:hAnsi="宋体" w:eastAsia="宋体" w:cs="宋体"/>
                <w:bCs/>
                <w:sz w:val="21"/>
                <w:szCs w:val="21"/>
                <w:highlight w:val="none"/>
              </w:rPr>
              <w:t>%）</w:t>
            </w:r>
          </w:p>
        </w:tc>
        <w:tc>
          <w:tcPr>
            <w:tcW w:w="653" w:type="pct"/>
            <w:noWrap w:val="0"/>
            <w:vAlign w:val="center"/>
          </w:tcPr>
          <w:p w14:paraId="28600DF0">
            <w:pP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履约经验（</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eastAsia="zh-CN"/>
                <w14:textFill>
                  <w14:solidFill>
                    <w14:schemeClr w14:val="tx1"/>
                  </w14:solidFill>
                </w14:textFill>
              </w:rPr>
              <w:t>分）</w:t>
            </w:r>
          </w:p>
        </w:tc>
        <w:tc>
          <w:tcPr>
            <w:tcW w:w="2214" w:type="pct"/>
            <w:noWrap w:val="0"/>
            <w:vAlign w:val="center"/>
          </w:tcPr>
          <w:p w14:paraId="0243F97D">
            <w:pPr>
              <w:rPr>
                <w:rFonts w:hint="eastAsia" w:ascii="宋体" w:hAnsi="宋体" w:eastAsia="宋体" w:cs="宋体"/>
                <w:szCs w:val="22"/>
                <w:highlight w:val="none"/>
              </w:rPr>
            </w:pP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年1月1日至响应文件递交截止时间</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lang w:val="en-US" w:eastAsia="zh-CN"/>
              </w:rPr>
              <w:t>，供应商承担过涉农宣传片案例或为政府、事业单位或国有企业完成设计、撰稿、印刷物制作相关服务的案例的，提供1个业绩得5分，本项最高得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1138" w:type="pct"/>
            <w:noWrap w:val="0"/>
            <w:vAlign w:val="center"/>
          </w:tcPr>
          <w:p w14:paraId="7DCB61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须提供业绩合同复印件，合同复印件至少需要包括</w:t>
            </w:r>
            <w:r>
              <w:rPr>
                <w:rFonts w:hint="eastAsia" w:ascii="宋体" w:hAnsi="宋体" w:eastAsia="宋体" w:cs="宋体"/>
                <w:color w:val="auto"/>
                <w:sz w:val="21"/>
                <w:szCs w:val="21"/>
                <w:highlight w:val="none"/>
                <w:lang w:eastAsia="zh-CN"/>
              </w:rPr>
              <w:t>合同首</w:t>
            </w:r>
            <w:r>
              <w:rPr>
                <w:rFonts w:hint="eastAsia" w:ascii="宋体" w:hAnsi="宋体" w:eastAsia="宋体" w:cs="宋体"/>
                <w:color w:val="auto"/>
                <w:sz w:val="21"/>
                <w:szCs w:val="21"/>
                <w:highlight w:val="none"/>
              </w:rPr>
              <w:t>页、服务内容页、签字盖章页并加盖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14:paraId="72895467">
            <w:pPr>
              <w:rPr>
                <w:rFonts w:hint="eastAsia" w:ascii="宋体" w:hAnsi="宋体" w:eastAsia="宋体" w:cs="宋体"/>
                <w:szCs w:val="22"/>
                <w:highlight w:val="none"/>
              </w:rPr>
            </w:pPr>
            <w:r>
              <w:rPr>
                <w:rFonts w:hint="eastAsia" w:ascii="宋体" w:hAnsi="宋体" w:eastAsia="宋体" w:cs="宋体"/>
                <w:color w:val="auto"/>
                <w:sz w:val="21"/>
                <w:szCs w:val="21"/>
                <w:highlight w:val="none"/>
              </w:rPr>
              <w:t>2.同一业绩不重复计分</w:t>
            </w:r>
            <w:r>
              <w:rPr>
                <w:rFonts w:hint="eastAsia" w:ascii="宋体" w:hAnsi="宋体" w:eastAsia="宋体" w:cs="宋体"/>
                <w:color w:val="auto"/>
                <w:sz w:val="21"/>
                <w:szCs w:val="21"/>
                <w:highlight w:val="none"/>
                <w:lang w:eastAsia="zh-CN"/>
              </w:rPr>
              <w:t>，转包、分包业绩无效</w:t>
            </w:r>
            <w:r>
              <w:rPr>
                <w:rFonts w:hint="eastAsia" w:ascii="宋体" w:hAnsi="宋体" w:eastAsia="宋体" w:cs="宋体"/>
                <w:color w:val="auto"/>
                <w:sz w:val="21"/>
                <w:szCs w:val="21"/>
                <w:highlight w:val="none"/>
              </w:rPr>
              <w:t>。</w:t>
            </w:r>
          </w:p>
        </w:tc>
      </w:tr>
    </w:tbl>
    <w:p w14:paraId="1E1E5B30">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注：关于小微企业报价扣除比例说明</w:t>
      </w:r>
    </w:p>
    <w:p w14:paraId="2F3E5FD5">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1.对小型企业和微型企业给予10%的扣除，以扣除后的报价参与评审。</w:t>
      </w:r>
    </w:p>
    <w:p w14:paraId="17E7BA4A">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2.监狱企业、残疾人福利性单位属于微型企业的，应提供中小微企业声明函（详见第七篇 五、其他“中小微企业声明函”）。未提供以上资料的监狱企业、残疾人福利性单位视同小型企业。</w:t>
      </w:r>
    </w:p>
    <w:p w14:paraId="3870E755">
      <w:pPr>
        <w:pStyle w:val="3"/>
        <w:spacing w:before="0" w:after="0" w:line="360" w:lineRule="auto"/>
        <w:rPr>
          <w:rFonts w:hint="eastAsia" w:ascii="宋体" w:hAnsi="宋体" w:eastAsia="宋体" w:cs="宋体"/>
          <w:sz w:val="24"/>
          <w:szCs w:val="24"/>
          <w:highlight w:val="none"/>
        </w:rPr>
      </w:pPr>
      <w:bookmarkStart w:id="53" w:name="_Toc18238"/>
      <w:r>
        <w:rPr>
          <w:rFonts w:hint="eastAsia" w:ascii="宋体" w:hAnsi="宋体" w:eastAsia="宋体" w:cs="宋体"/>
          <w:sz w:val="24"/>
          <w:szCs w:val="24"/>
          <w:highlight w:val="none"/>
        </w:rPr>
        <w:t>三、无效响应</w:t>
      </w:r>
      <w:bookmarkEnd w:id="53"/>
    </w:p>
    <w:p w14:paraId="0636A0F4">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供应商发生以下条款情况之一者，视为响应无效，其响应文件将被拒绝：</w:t>
      </w:r>
    </w:p>
    <w:p w14:paraId="41A18E30">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（一）供应商</w:t>
      </w:r>
      <w:r>
        <w:rPr>
          <w:rFonts w:hint="eastAsia" w:ascii="宋体" w:hAnsi="宋体" w:eastAsia="宋体" w:cs="宋体"/>
          <w:sz w:val="24"/>
          <w:szCs w:val="24"/>
          <w:highlight w:val="none"/>
          <w:lang w:val="en-US" w:eastAsia="zh-CN"/>
        </w:rPr>
        <w:t>未通过资格性检查</w:t>
      </w:r>
      <w:r>
        <w:rPr>
          <w:rFonts w:hint="eastAsia" w:ascii="宋体" w:hAnsi="宋体" w:eastAsia="宋体" w:cs="宋体"/>
          <w:sz w:val="24"/>
          <w:szCs w:val="24"/>
          <w:highlight w:val="none"/>
        </w:rPr>
        <w:t>或</w:t>
      </w:r>
      <w:r>
        <w:rPr>
          <w:rFonts w:hint="eastAsia" w:ascii="宋体" w:hAnsi="宋体" w:eastAsia="宋体" w:cs="宋体"/>
          <w:kern w:val="0"/>
          <w:sz w:val="24"/>
          <w:szCs w:val="24"/>
          <w:highlight w:val="none"/>
        </w:rPr>
        <w:t>符合性检查</w:t>
      </w:r>
      <w:r>
        <w:rPr>
          <w:rFonts w:hint="eastAsia" w:ascii="宋体" w:hAnsi="宋体" w:eastAsia="宋体" w:cs="宋体"/>
          <w:sz w:val="24"/>
          <w:szCs w:val="24"/>
          <w:highlight w:val="none"/>
        </w:rPr>
        <w:t>的；</w:t>
      </w:r>
    </w:p>
    <w:p w14:paraId="1153E980">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（二）供应商未按磋商文件规定购买磋商文件的；</w:t>
      </w:r>
    </w:p>
    <w:p w14:paraId="2C151708">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（三）供应商的法定代表人或其授权代表未参加磋商；</w:t>
      </w:r>
    </w:p>
    <w:p w14:paraId="18D3D8A0">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（四）供应商所提交的响应文件不按第七篇“响应文件编制要求”规定签字、盖章；</w:t>
      </w:r>
    </w:p>
    <w:p w14:paraId="43F5FF9C">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（五）供应商的最后报价超过采购预算的；</w:t>
      </w:r>
    </w:p>
    <w:p w14:paraId="3F2F67A5">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（六）法定代表人为同一个人的两个及两个以上法人，母公司、全资子公司及其控股公司，在同一分包采购中同时参与磋商；</w:t>
      </w:r>
    </w:p>
    <w:p w14:paraId="66E484AE">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（七）单位负责人为同一人或者存在直接控股、管理关系的不同供应商，参加同一合同项下的政府采购活动的；</w:t>
      </w:r>
    </w:p>
    <w:p w14:paraId="351E079C">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（八）为采购项目提供整体设计、规范编制或者项目管理、监理、检测等服务的供应商，再参加该采购项目的其他采购活动；</w:t>
      </w:r>
    </w:p>
    <w:p w14:paraId="52B49B43">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（九）供应商的服务期、质量保证期及磋商有效期不满足竞争性磋商文件要求的；</w:t>
      </w:r>
    </w:p>
    <w:p w14:paraId="243D4491">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（十）供应商响应文件内容有与国家现行法律法规相违背的内容，或附有采购人无法接受的条件。</w:t>
      </w:r>
    </w:p>
    <w:p w14:paraId="2FB4C6B8">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r>
        <w:rPr>
          <w:rFonts w:hint="eastAsia" w:ascii="宋体" w:hAnsi="宋体" w:eastAsia="宋体" w:cs="宋体"/>
          <w:color w:val="000000" w:themeColor="text1"/>
          <w:sz w:val="24"/>
          <w:szCs w:val="24"/>
          <w:highlight w:val="none"/>
          <w14:textFill>
            <w14:solidFill>
              <w14:schemeClr w14:val="tx1"/>
            </w14:solidFill>
          </w14:textFill>
        </w:rPr>
        <w:t>法律、法规和竞争性磋商文件规定的其他无效情形</w:t>
      </w:r>
      <w:r>
        <w:rPr>
          <w:rFonts w:hint="eastAsia" w:ascii="宋体" w:hAnsi="宋体" w:eastAsia="宋体" w:cs="宋体"/>
          <w:sz w:val="24"/>
          <w:szCs w:val="24"/>
          <w:highlight w:val="none"/>
        </w:rPr>
        <w:t>。</w:t>
      </w:r>
    </w:p>
    <w:p w14:paraId="513360FF">
      <w:pPr>
        <w:pStyle w:val="3"/>
        <w:spacing w:before="0" w:after="0" w:line="360" w:lineRule="auto"/>
        <w:rPr>
          <w:rFonts w:hint="eastAsia" w:ascii="宋体" w:hAnsi="宋体" w:eastAsia="宋体" w:cs="宋体"/>
          <w:sz w:val="24"/>
          <w:szCs w:val="24"/>
          <w:highlight w:val="none"/>
        </w:rPr>
      </w:pPr>
      <w:bookmarkStart w:id="54" w:name="_Toc13891"/>
      <w:r>
        <w:rPr>
          <w:rFonts w:hint="eastAsia" w:ascii="宋体" w:hAnsi="宋体" w:eastAsia="宋体" w:cs="宋体"/>
          <w:sz w:val="24"/>
          <w:szCs w:val="24"/>
          <w:highlight w:val="none"/>
        </w:rPr>
        <w:t>四、</w:t>
      </w:r>
      <w:bookmarkEnd w:id="51"/>
      <w:bookmarkEnd w:id="52"/>
      <w:r>
        <w:rPr>
          <w:rFonts w:hint="eastAsia" w:ascii="宋体" w:hAnsi="宋体" w:eastAsia="宋体" w:cs="宋体"/>
          <w:sz w:val="24"/>
          <w:szCs w:val="24"/>
          <w:highlight w:val="none"/>
        </w:rPr>
        <w:t>采购终止</w:t>
      </w:r>
      <w:bookmarkEnd w:id="54"/>
    </w:p>
    <w:p w14:paraId="252ACF85">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14:paraId="2763258E">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（一）因情况变化，不再符合规定的竞争性磋商采购方式适用情形的；</w:t>
      </w:r>
    </w:p>
    <w:p w14:paraId="73D1E744">
      <w:pPr>
        <w:snapToGrid w:val="0"/>
        <w:spacing w:line="360" w:lineRule="auto"/>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（二）出现影响采购公正的违法、违规行为的；</w:t>
      </w:r>
    </w:p>
    <w:p w14:paraId="094C869E">
      <w:pPr>
        <w:snapToGrid w:val="0"/>
        <w:spacing w:line="360" w:lineRule="auto"/>
        <w:ind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在采购过程中符合要求的供应商或者报价未超过最高限价的供应商不足3家的，但《政府采购竞争性磋商采购方式管理暂行办法》第二十一条第三款规定的情形,以及财政部财库[2015]124号文件规定的情形除外。</w:t>
      </w:r>
    </w:p>
    <w:p w14:paraId="7A3B4DC9">
      <w:pPr>
        <w:widowControl/>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bookmarkEnd w:id="49"/>
    <w:p w14:paraId="219D1952">
      <w:pPr>
        <w:pStyle w:val="2"/>
        <w:spacing w:line="360" w:lineRule="auto"/>
        <w:jc w:val="center"/>
        <w:rPr>
          <w:rFonts w:hint="eastAsia" w:ascii="宋体" w:hAnsi="宋体" w:eastAsia="宋体" w:cs="宋体"/>
          <w:b/>
          <w:sz w:val="36"/>
          <w:szCs w:val="36"/>
          <w:highlight w:val="none"/>
        </w:rPr>
      </w:pPr>
      <w:bookmarkStart w:id="55" w:name="_Toc6233"/>
      <w:bookmarkStart w:id="56" w:name="_Toc20425"/>
      <w:bookmarkStart w:id="57" w:name="_Toc507411003"/>
      <w:bookmarkStart w:id="58" w:name="_Toc512413890"/>
      <w:bookmarkStart w:id="59" w:name="_Toc12789059"/>
      <w:bookmarkStart w:id="60" w:name="_Toc11641055"/>
      <w:r>
        <w:rPr>
          <w:rFonts w:hint="eastAsia" w:ascii="宋体" w:hAnsi="宋体" w:eastAsia="宋体" w:cs="宋体"/>
          <w:b/>
          <w:sz w:val="36"/>
          <w:szCs w:val="36"/>
          <w:highlight w:val="none"/>
        </w:rPr>
        <w:t>第五篇  供应商须知</w:t>
      </w:r>
      <w:bookmarkEnd w:id="55"/>
      <w:bookmarkEnd w:id="56"/>
    </w:p>
    <w:p w14:paraId="412F8337">
      <w:pPr>
        <w:pStyle w:val="4"/>
        <w:spacing w:before="0" w:after="0" w:line="440" w:lineRule="exact"/>
        <w:rPr>
          <w:rFonts w:hint="eastAsia" w:ascii="宋体" w:hAnsi="宋体" w:eastAsia="宋体" w:cs="宋体"/>
          <w:color w:val="000000"/>
          <w:sz w:val="24"/>
          <w:szCs w:val="24"/>
          <w:highlight w:val="none"/>
        </w:rPr>
      </w:pPr>
      <w:bookmarkStart w:id="61" w:name="_Toc23464"/>
      <w:bookmarkStart w:id="62" w:name="_Toc342913389"/>
      <w:bookmarkStart w:id="63" w:name="_Toc7180"/>
      <w:r>
        <w:rPr>
          <w:rFonts w:hint="eastAsia" w:ascii="宋体" w:hAnsi="宋体" w:eastAsia="宋体" w:cs="宋体"/>
          <w:color w:val="000000"/>
          <w:sz w:val="24"/>
          <w:szCs w:val="24"/>
          <w:highlight w:val="none"/>
        </w:rPr>
        <w:t>一、磋商费用</w:t>
      </w:r>
      <w:bookmarkEnd w:id="61"/>
      <w:bookmarkEnd w:id="62"/>
      <w:bookmarkEnd w:id="63"/>
    </w:p>
    <w:p w14:paraId="42A6165A">
      <w:pPr>
        <w:pStyle w:val="182"/>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705889F">
      <w:pPr>
        <w:pStyle w:val="4"/>
        <w:tabs>
          <w:tab w:val="left" w:pos="2640"/>
        </w:tabs>
        <w:spacing w:before="0" w:after="0" w:line="400" w:lineRule="exact"/>
        <w:rPr>
          <w:rFonts w:hint="eastAsia" w:ascii="宋体" w:hAnsi="宋体" w:eastAsia="宋体" w:cs="宋体"/>
          <w:color w:val="000000"/>
          <w:sz w:val="24"/>
          <w:szCs w:val="24"/>
          <w:highlight w:val="none"/>
        </w:rPr>
      </w:pPr>
      <w:bookmarkStart w:id="64" w:name="_Toc6097"/>
      <w:bookmarkStart w:id="65" w:name="_Toc342913391"/>
      <w:bookmarkStart w:id="66" w:name="_Toc18987"/>
      <w:r>
        <w:rPr>
          <w:rFonts w:hint="eastAsia" w:ascii="宋体" w:hAnsi="宋体" w:eastAsia="宋体" w:cs="宋体"/>
          <w:color w:val="000000"/>
          <w:sz w:val="24"/>
          <w:szCs w:val="24"/>
          <w:highlight w:val="none"/>
        </w:rPr>
        <w:t>二、竞争性磋商文件</w:t>
      </w:r>
      <w:bookmarkEnd w:id="64"/>
      <w:bookmarkEnd w:id="65"/>
      <w:bookmarkEnd w:id="66"/>
    </w:p>
    <w:p w14:paraId="026A232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（一）竞争性磋商文件由采购邀请书、供应商须知、采购服务需求、采购商务需求、合同草案条款、响应文件编制要求六部分组成。</w:t>
      </w:r>
    </w:p>
    <w:p w14:paraId="386EE0F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（二）采购人（或采购代理机构）所作的一切有效的书面通知、修改及补充，都是竞争性磋商文件不可分割的部分。</w:t>
      </w:r>
    </w:p>
    <w:p w14:paraId="7E55608F">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bookmarkStart w:id="67" w:name="_Toc318159349"/>
      <w:bookmarkStart w:id="68" w:name="_Toc318159780"/>
      <w:bookmarkStart w:id="69" w:name="_Toc318166429"/>
      <w:bookmarkStart w:id="70" w:name="_Toc318159160"/>
      <w:r>
        <w:rPr>
          <w:rFonts w:hint="eastAsia" w:ascii="宋体" w:hAnsi="宋体" w:eastAsia="宋体" w:cs="宋体"/>
          <w:color w:val="000000"/>
          <w:sz w:val="24"/>
          <w:szCs w:val="24"/>
          <w:highlight w:val="none"/>
        </w:rPr>
        <w:t>本竞争性磋商文件中，磋商小组根据与供应商进行磋商可能实质性变动的内容为竞争性磋商文件第三、四、五篇全部内容。</w:t>
      </w:r>
    </w:p>
    <w:p w14:paraId="23A2CD3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（四）评审的依据为竞争性磋商文件和响应文件（含有效的书面承诺）。磋商小组判断响应文件对竞争性磋商文件的响应，仅基于响应文件本身而不靠外部证据。</w:t>
      </w:r>
    </w:p>
    <w:bookmarkEnd w:id="67"/>
    <w:bookmarkEnd w:id="68"/>
    <w:bookmarkEnd w:id="69"/>
    <w:bookmarkEnd w:id="70"/>
    <w:p w14:paraId="2FFABE6E">
      <w:pPr>
        <w:pStyle w:val="4"/>
        <w:spacing w:before="0" w:after="0" w:line="400" w:lineRule="exact"/>
        <w:rPr>
          <w:rFonts w:hint="eastAsia" w:ascii="宋体" w:hAnsi="宋体" w:eastAsia="宋体" w:cs="宋体"/>
          <w:color w:val="000000"/>
          <w:sz w:val="24"/>
          <w:szCs w:val="24"/>
          <w:highlight w:val="none"/>
        </w:rPr>
      </w:pPr>
      <w:bookmarkStart w:id="71" w:name="_Toc18772"/>
      <w:bookmarkStart w:id="72" w:name="_Toc179714297"/>
      <w:bookmarkStart w:id="73" w:name="_Toc342913392"/>
      <w:bookmarkStart w:id="74" w:name="_Toc102227318"/>
      <w:bookmarkStart w:id="75" w:name="_Toc13810"/>
      <w:r>
        <w:rPr>
          <w:rFonts w:hint="eastAsia" w:ascii="宋体" w:hAnsi="宋体" w:eastAsia="宋体" w:cs="宋体"/>
          <w:color w:val="000000"/>
          <w:sz w:val="24"/>
          <w:szCs w:val="24"/>
          <w:highlight w:val="none"/>
        </w:rPr>
        <w:t>三、磋商要求</w:t>
      </w:r>
      <w:bookmarkEnd w:id="71"/>
      <w:bookmarkEnd w:id="72"/>
      <w:bookmarkEnd w:id="73"/>
      <w:bookmarkEnd w:id="74"/>
      <w:bookmarkEnd w:id="75"/>
    </w:p>
    <w:p w14:paraId="0137944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3BA5B37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C26BD4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2.响应文件组成</w:t>
      </w:r>
    </w:p>
    <w:p w14:paraId="2BFA7DD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篇“响应文件编制要求”规定的部分和供应商所作的一切有效补充、修改和承诺等文件组成，供应商应按照第</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篇“响应文件编制要求”规定的目录顺序组织编写和装订，也可在基本格式基础上对表格进行扩展，未规定格式的由供应商自定格式。</w:t>
      </w:r>
    </w:p>
    <w:p w14:paraId="0B5EAB6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（二）联合体</w:t>
      </w:r>
    </w:p>
    <w:p w14:paraId="00FE8AD8">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本项目不接受以联合体形式参与磋商。</w:t>
      </w:r>
    </w:p>
    <w:p w14:paraId="4D16F20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（三）磋商有效期：响应文件及有关承诺文件有效期为提交响应文件截止时间起90天。</w:t>
      </w:r>
    </w:p>
    <w:p w14:paraId="165497C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（四）修正错误</w:t>
      </w:r>
    </w:p>
    <w:p w14:paraId="0C9936C6">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1.若供应商所递交的响应文件或最后报价中的价格出现大写金额和小写金额不一致的错误，以大写金额修正为准。</w:t>
      </w:r>
    </w:p>
    <w:p w14:paraId="1315640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DE44C8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（五）提交响应文件的份数和签署</w:t>
      </w:r>
    </w:p>
    <w:p w14:paraId="6BB0557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1.响应文件一式三份，其中正本一份，副本二份；副本可为正本的复印件，应与正本一致，如出现不一致情况以正本为准。</w:t>
      </w:r>
    </w:p>
    <w:p w14:paraId="55DD28F5">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2.在响应文件正本中，竞争性磋商文件第</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篇响应文件编制要求中规定签字、盖章的地方必须按其规定签字、盖章。</w:t>
      </w:r>
    </w:p>
    <w:p w14:paraId="3E31C1C2">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（六）响应文件的递交</w:t>
      </w:r>
    </w:p>
    <w:p w14:paraId="179C4C64">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响应文件的密封</w:t>
      </w:r>
    </w:p>
    <w:p w14:paraId="4BE49F2E">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1.1响应文件的正本、副本均应密封送达递交响应文件地点，应在封套上注明项目名称、供应商名称。若正本、副本分别进行密封的，还应在封套上注明“正本”、“副本”字样。</w:t>
      </w:r>
    </w:p>
    <w:p w14:paraId="3617796A">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1.2封套的封口处应加盖供应商公章或由法定代表人授权代表签字。</w:t>
      </w:r>
    </w:p>
    <w:p w14:paraId="6F5D82F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2.如果未按上述规定进行</w:t>
      </w:r>
      <w:bookmarkStart w:id="127" w:name="_GoBack"/>
      <w:bookmarkEnd w:id="127"/>
      <w:r>
        <w:rPr>
          <w:rFonts w:hint="eastAsia" w:ascii="宋体" w:hAnsi="宋体" w:eastAsia="宋体" w:cs="宋体"/>
          <w:color w:val="000000"/>
          <w:sz w:val="24"/>
          <w:szCs w:val="24"/>
          <w:highlight w:val="none"/>
        </w:rPr>
        <w:t>密封，采购代理机构对响应文件误投、丢失或提前拆封不负责任。</w:t>
      </w:r>
    </w:p>
    <w:p w14:paraId="0392C05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（七）供应商参与人员</w:t>
      </w:r>
    </w:p>
    <w:p w14:paraId="2779A210">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各个供应商应当派1-2名代表参与磋商，至少1人应为法定代表人或具有法定代表人授权委托书的授权代表。</w:t>
      </w:r>
    </w:p>
    <w:p w14:paraId="387BAFEC">
      <w:pPr>
        <w:pStyle w:val="4"/>
        <w:spacing w:before="0" w:after="0" w:line="400" w:lineRule="exact"/>
        <w:rPr>
          <w:rFonts w:hint="eastAsia" w:ascii="宋体" w:hAnsi="宋体" w:eastAsia="宋体" w:cs="宋体"/>
          <w:color w:val="000000"/>
          <w:sz w:val="24"/>
          <w:szCs w:val="24"/>
          <w:highlight w:val="none"/>
        </w:rPr>
      </w:pPr>
      <w:bookmarkStart w:id="76" w:name="_Toc17306"/>
      <w:bookmarkStart w:id="77" w:name="_Toc23048"/>
      <w:r>
        <w:rPr>
          <w:rFonts w:hint="eastAsia" w:ascii="宋体" w:hAnsi="宋体" w:eastAsia="宋体" w:cs="宋体"/>
          <w:color w:val="000000"/>
          <w:sz w:val="24"/>
          <w:szCs w:val="24"/>
          <w:highlight w:val="none"/>
        </w:rPr>
        <w:t>四、成交供应商的确认和变更</w:t>
      </w:r>
      <w:bookmarkEnd w:id="76"/>
      <w:bookmarkEnd w:id="77"/>
    </w:p>
    <w:p w14:paraId="06D6F331">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（一）成交供应商的确认</w:t>
      </w:r>
    </w:p>
    <w:p w14:paraId="58206A9D">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AD9437">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（二）成交供应商的变更</w:t>
      </w:r>
    </w:p>
    <w:p w14:paraId="3E1B9FBB">
      <w:pPr>
        <w:spacing w:line="400" w:lineRule="exact"/>
        <w:ind w:firstLine="480" w:firstLineChars="200"/>
        <w:rPr>
          <w:rFonts w:hint="eastAsia" w:ascii="宋体" w:hAnsi="宋体" w:eastAsia="宋体" w:cs="宋体"/>
          <w:color w:val="000000"/>
          <w:sz w:val="24"/>
          <w:szCs w:val="24"/>
          <w:highlight w:val="none"/>
        </w:rPr>
      </w:pPr>
      <w:bookmarkStart w:id="78" w:name="_Toc102227321"/>
      <w:bookmarkStart w:id="79" w:name="_Toc342913395"/>
      <w:r>
        <w:rPr>
          <w:rFonts w:hint="eastAsia" w:ascii="宋体" w:hAnsi="宋体" w:eastAsia="宋体" w:cs="宋体"/>
          <w:color w:val="000000"/>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31D7D08E">
      <w:pPr>
        <w:pStyle w:val="4"/>
        <w:spacing w:before="0" w:after="0" w:line="400" w:lineRule="exact"/>
        <w:rPr>
          <w:rFonts w:hint="eastAsia" w:ascii="宋体" w:hAnsi="宋体" w:eastAsia="宋体" w:cs="宋体"/>
          <w:color w:val="000000"/>
          <w:sz w:val="24"/>
          <w:szCs w:val="24"/>
          <w:highlight w:val="none"/>
        </w:rPr>
      </w:pPr>
      <w:bookmarkStart w:id="80" w:name="_Toc15654"/>
      <w:bookmarkStart w:id="81" w:name="_Toc732"/>
      <w:r>
        <w:rPr>
          <w:rFonts w:hint="eastAsia" w:ascii="宋体" w:hAnsi="宋体" w:eastAsia="宋体" w:cs="宋体"/>
          <w:color w:val="000000"/>
          <w:sz w:val="24"/>
          <w:szCs w:val="24"/>
          <w:highlight w:val="none"/>
        </w:rPr>
        <w:t>五、成交通知</w:t>
      </w:r>
      <w:bookmarkEnd w:id="78"/>
      <w:bookmarkEnd w:id="79"/>
      <w:bookmarkEnd w:id="80"/>
      <w:bookmarkEnd w:id="81"/>
    </w:p>
    <w:p w14:paraId="5A5C6D9C">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（一）成交供应商确定后，采购代理机构将“行采家”平台（http://www.gec123.com）上发布成交结果公告。</w:t>
      </w:r>
    </w:p>
    <w:p w14:paraId="7C41F2C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0F05D92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6416027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（四）如有供应商对成交结果提出质疑的，在质疑处理完毕后发出成交通知书。</w:t>
      </w:r>
    </w:p>
    <w:p w14:paraId="6D5C68B6">
      <w:pPr>
        <w:pStyle w:val="4"/>
        <w:spacing w:before="0" w:after="0" w:line="400" w:lineRule="exact"/>
        <w:rPr>
          <w:rFonts w:hint="eastAsia" w:ascii="宋体" w:hAnsi="宋体" w:eastAsia="宋体" w:cs="宋体"/>
          <w:color w:val="000000"/>
          <w:sz w:val="24"/>
          <w:szCs w:val="24"/>
          <w:highlight w:val="none"/>
        </w:rPr>
      </w:pPr>
      <w:bookmarkStart w:id="82" w:name="_Toc15067"/>
      <w:bookmarkStart w:id="83" w:name="_Toc1356"/>
      <w:r>
        <w:rPr>
          <w:rFonts w:hint="eastAsia" w:ascii="宋体" w:hAnsi="宋体" w:eastAsia="宋体" w:cs="宋体"/>
          <w:color w:val="000000"/>
          <w:sz w:val="24"/>
          <w:szCs w:val="24"/>
          <w:highlight w:val="none"/>
        </w:rPr>
        <w:t>六、关于质疑和投诉</w:t>
      </w:r>
      <w:bookmarkEnd w:id="82"/>
      <w:bookmarkEnd w:id="83"/>
    </w:p>
    <w:p w14:paraId="2E72781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（一）质疑</w:t>
      </w:r>
    </w:p>
    <w:p w14:paraId="18AEDD5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供应商认为采购文件、采购过程和成交结果使自己的权益收到伤害的，可向采购人或采购代理机构以书面形式提出质疑。</w:t>
      </w:r>
    </w:p>
    <w:p w14:paraId="46C2087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提出质疑的应当是参与所质疑项目采购活动的供应商。 </w:t>
      </w:r>
    </w:p>
    <w:p w14:paraId="6B2694F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1.质疑时限、内容</w:t>
      </w:r>
    </w:p>
    <w:p w14:paraId="1634887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6099205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1.2供应商提出质疑应当提交质疑函和必要的证明材料，质疑函应当包括下列内容：</w:t>
      </w:r>
    </w:p>
    <w:p w14:paraId="4EA0A4F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1.2.1供应商的姓名或者名称、地址、邮编、联系人及联系电话；</w:t>
      </w:r>
    </w:p>
    <w:p w14:paraId="17686B4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1.2.2质疑项目的名称、项目号以及磋商项目编号；</w:t>
      </w:r>
    </w:p>
    <w:p w14:paraId="4506D9B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1.2.3具体、明确的质疑事项和与质疑事项相关的请求；</w:t>
      </w:r>
    </w:p>
    <w:p w14:paraId="15575780">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1.2.4事实依据；</w:t>
      </w:r>
    </w:p>
    <w:p w14:paraId="4E25A55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1.2.5必要的法律依据；</w:t>
      </w:r>
    </w:p>
    <w:p w14:paraId="2B6FFF24">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1.2.6提出质疑的日期；</w:t>
      </w:r>
    </w:p>
    <w:p w14:paraId="58F3C1F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1.2.7营业执照（或事业单位法人证书，或个体工商户营业执照或有效的自然人身份证明、组织机构代码证）复印件；</w:t>
      </w:r>
    </w:p>
    <w:p w14:paraId="6ED4E16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1.2.8法定代表人授权委托书原件、法定代表人身份证复印件和其授权代表的身份证复印件（供应商为自然人的提供自然人身份证复印件）；</w:t>
      </w:r>
    </w:p>
    <w:p w14:paraId="6B21596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1.3供应商为自然人的，质疑函应当由本人签字；供应商为法人或者其他组织的，质疑函应当由法定代表人、主要负责人，或者其授权代表签字或者盖章，并加盖公章。</w:t>
      </w:r>
    </w:p>
    <w:p w14:paraId="194B97A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2.质疑答复</w:t>
      </w:r>
    </w:p>
    <w:p w14:paraId="65CDEF6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采购人、采购代理机构应当在收到供应商的书面质疑后七个工作日内作出答复，并以书面形式通知质疑供应商和其他有关供应商。</w:t>
      </w:r>
    </w:p>
    <w:p w14:paraId="2CB6D79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w:t>
      </w:r>
    </w:p>
    <w:p w14:paraId="02EC2D8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3.1供应商应按照《政府采购质疑和投诉办法》（财政部令第94号）及相关法律法规要求，在法定质疑期内一次性提出针对同一采购程序环节的质疑。</w:t>
      </w:r>
    </w:p>
    <w:p w14:paraId="37135C3A">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3.2质疑函范本可在财政部门户网站和中国政府采购网下载。</w:t>
      </w:r>
    </w:p>
    <w:p w14:paraId="618326C0">
      <w:pPr>
        <w:pStyle w:val="4"/>
        <w:spacing w:before="0" w:after="0" w:line="400" w:lineRule="exact"/>
        <w:rPr>
          <w:rFonts w:hint="eastAsia" w:ascii="宋体" w:hAnsi="宋体" w:eastAsia="宋体" w:cs="宋体"/>
          <w:color w:val="000000"/>
          <w:sz w:val="24"/>
          <w:szCs w:val="24"/>
          <w:highlight w:val="none"/>
        </w:rPr>
      </w:pPr>
      <w:bookmarkStart w:id="84" w:name="_Toc26172"/>
      <w:r>
        <w:rPr>
          <w:rFonts w:hint="eastAsia" w:ascii="宋体" w:hAnsi="宋体" w:eastAsia="宋体" w:cs="宋体"/>
          <w:color w:val="000000"/>
          <w:sz w:val="24"/>
          <w:szCs w:val="24"/>
          <w:highlight w:val="none"/>
        </w:rPr>
        <w:t>七、采购代理服务费</w:t>
      </w:r>
      <w:bookmarkEnd w:id="57"/>
      <w:bookmarkEnd w:id="58"/>
      <w:bookmarkEnd w:id="84"/>
    </w:p>
    <w:p w14:paraId="2278ABB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（一）供应商成交后向采购代理机构缴纳采购代理服务费（由成交供应商在领取成交</w:t>
      </w:r>
      <w:r>
        <w:rPr>
          <w:rFonts w:hint="eastAsia" w:ascii="宋体" w:hAnsi="宋体" w:eastAsia="宋体" w:cs="宋体"/>
          <w:color w:val="000000"/>
          <w:sz w:val="24"/>
          <w:szCs w:val="24"/>
          <w:highlight w:val="none"/>
        </w:rPr>
        <w:t>通知书之前一次性支付给采购代理机构），本次采购代理服务费为：</w:t>
      </w:r>
      <w:r>
        <w:rPr>
          <w:rFonts w:hint="eastAsia" w:ascii="宋体" w:hAnsi="宋体" w:eastAsia="宋体" w:cs="宋体"/>
          <w:color w:val="000000"/>
          <w:sz w:val="24"/>
          <w:szCs w:val="24"/>
          <w:highlight w:val="none"/>
          <w:lang w:val="en-US" w:eastAsia="zh-CN"/>
        </w:rPr>
        <w:t>3500元整</w:t>
      </w:r>
      <w:r>
        <w:rPr>
          <w:rFonts w:hint="eastAsia" w:ascii="宋体" w:hAnsi="宋体" w:eastAsia="宋体" w:cs="宋体"/>
          <w:color w:val="000000"/>
          <w:sz w:val="24"/>
          <w:szCs w:val="24"/>
          <w:highlight w:val="none"/>
        </w:rPr>
        <w:t>。</w:t>
      </w:r>
    </w:p>
    <w:p w14:paraId="7050B77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（二）采购代理服务费缴纳账号：</w:t>
      </w:r>
    </w:p>
    <w:p w14:paraId="6BBDEAC0">
      <w:pPr>
        <w:spacing w:line="400" w:lineRule="exact"/>
        <w:ind w:firstLine="482" w:firstLineChars="200"/>
        <w:rPr>
          <w:rFonts w:hint="eastAsia" w:ascii="宋体" w:hAnsi="宋体" w:eastAsia="宋体" w:cs="宋体"/>
          <w:b/>
          <w:color w:val="000000"/>
          <w:sz w:val="24"/>
          <w:szCs w:val="24"/>
          <w:highlight w:val="none"/>
        </w:rPr>
      </w:pPr>
      <w:bookmarkStart w:id="85" w:name="_Toc102227322"/>
      <w:bookmarkStart w:id="86" w:name="_Toc342913396"/>
      <w:bookmarkStart w:id="87" w:name="_Toc512413892"/>
      <w:r>
        <w:rPr>
          <w:rFonts w:hint="eastAsia" w:ascii="宋体" w:hAnsi="宋体" w:eastAsia="宋体" w:cs="宋体"/>
          <w:b/>
          <w:color w:val="000000"/>
          <w:sz w:val="24"/>
          <w:szCs w:val="24"/>
          <w:highlight w:val="none"/>
        </w:rPr>
        <w:t xml:space="preserve">      户  名：重庆千广商务信息咨询有限公司</w:t>
      </w:r>
    </w:p>
    <w:p w14:paraId="52FD97DE">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开户行: 中国农业银行股份有限公司重庆中华坊支行</w:t>
      </w:r>
    </w:p>
    <w:p w14:paraId="795D3949">
      <w:pPr>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帐  号: 31011601040006647</w:t>
      </w:r>
    </w:p>
    <w:p w14:paraId="6585F024">
      <w:pPr>
        <w:pStyle w:val="4"/>
        <w:spacing w:before="0" w:after="0" w:line="400" w:lineRule="exact"/>
        <w:rPr>
          <w:rFonts w:hint="eastAsia" w:ascii="宋体" w:hAnsi="宋体" w:eastAsia="宋体" w:cs="宋体"/>
          <w:color w:val="000000"/>
          <w:sz w:val="24"/>
          <w:szCs w:val="24"/>
          <w:highlight w:val="none"/>
        </w:rPr>
      </w:pPr>
      <w:bookmarkStart w:id="88" w:name="_Toc3049"/>
      <w:r>
        <w:rPr>
          <w:rFonts w:hint="eastAsia" w:ascii="宋体" w:hAnsi="宋体" w:eastAsia="宋体" w:cs="宋体"/>
          <w:color w:val="000000"/>
          <w:sz w:val="24"/>
          <w:szCs w:val="24"/>
          <w:highlight w:val="none"/>
        </w:rPr>
        <w:t>八、签订</w:t>
      </w:r>
      <w:bookmarkEnd w:id="85"/>
      <w:r>
        <w:rPr>
          <w:rFonts w:hint="eastAsia" w:ascii="宋体" w:hAnsi="宋体" w:eastAsia="宋体" w:cs="宋体"/>
          <w:color w:val="000000"/>
          <w:sz w:val="24"/>
          <w:szCs w:val="24"/>
          <w:highlight w:val="none"/>
        </w:rPr>
        <w:t>合同</w:t>
      </w:r>
      <w:bookmarkEnd w:id="86"/>
      <w:bookmarkEnd w:id="87"/>
      <w:bookmarkEnd w:id="88"/>
    </w:p>
    <w:p w14:paraId="262B3C7E">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（一）采购人应当自成交通知书发出之日起七日内，按照竞争性磋商文件和成交供应商响应文件的约定，与成交供应商签订书面合同。所签订的合同不得对竞争性磋商文件和供应商的响应文件作实质性修改。</w:t>
      </w:r>
    </w:p>
    <w:p w14:paraId="5F088C8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（二）竞争性磋商文件、供应商的响应文件及澄清文件等，均为签订政府采购合同的依据。</w:t>
      </w:r>
    </w:p>
    <w:p w14:paraId="2D21BA6F">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（三）合同生效条款由供需双方约定，法律、行政法规规定应当办理批准、登记等手续后生效的合同，依照其规定。</w:t>
      </w:r>
    </w:p>
    <w:p w14:paraId="663B0AC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（四）合同原则上应按照《重庆市政府采购合同》签订，相关单位要求适用合同通用格式版本的，应按其要求另行签订其他合同。</w:t>
      </w:r>
    </w:p>
    <w:p w14:paraId="18BE1507">
      <w:pPr>
        <w:pStyle w:val="2"/>
        <w:spacing w:line="360" w:lineRule="auto"/>
        <w:jc w:val="center"/>
        <w:rPr>
          <w:rFonts w:hint="eastAsia" w:ascii="宋体" w:hAnsi="宋体" w:eastAsia="宋体" w:cs="宋体"/>
          <w:sz w:val="24"/>
          <w:highlight w:val="none"/>
        </w:rPr>
      </w:pPr>
      <w:r>
        <w:rPr>
          <w:rFonts w:hint="eastAsia" w:ascii="宋体" w:hAnsi="宋体" w:eastAsia="宋体" w:cs="宋体"/>
          <w:b/>
          <w:sz w:val="36"/>
          <w:szCs w:val="30"/>
          <w:highlight w:val="none"/>
        </w:rPr>
        <w:br w:type="page"/>
      </w:r>
      <w:bookmarkEnd w:id="59"/>
      <w:bookmarkEnd w:id="60"/>
      <w:bookmarkStart w:id="89" w:name="_Toc148265480"/>
      <w:bookmarkStart w:id="90" w:name="_Toc303945820"/>
    </w:p>
    <w:bookmarkEnd w:id="89"/>
    <w:bookmarkEnd w:id="90"/>
    <w:p w14:paraId="013BE400">
      <w:pPr>
        <w:pStyle w:val="3"/>
        <w:spacing w:before="0" w:after="0" w:line="360" w:lineRule="auto"/>
        <w:jc w:val="center"/>
        <w:rPr>
          <w:rFonts w:hint="eastAsia" w:ascii="宋体" w:hAnsi="宋体" w:eastAsia="宋体" w:cs="宋体"/>
          <w:b w:val="0"/>
          <w:sz w:val="36"/>
          <w:szCs w:val="30"/>
          <w:highlight w:val="none"/>
        </w:rPr>
      </w:pPr>
      <w:bookmarkStart w:id="91" w:name="_Hlt41879464"/>
      <w:bookmarkEnd w:id="91"/>
      <w:bookmarkStart w:id="92" w:name="_Toc76462348"/>
      <w:bookmarkStart w:id="93" w:name="_Toc32160"/>
      <w:bookmarkStart w:id="94" w:name="_Toc106030904"/>
      <w:bookmarkStart w:id="95" w:name="_Toc12789072"/>
      <w:bookmarkStart w:id="96" w:name="_Toc4929"/>
      <w:r>
        <w:rPr>
          <w:rFonts w:hint="eastAsia" w:ascii="宋体" w:hAnsi="宋体" w:eastAsia="宋体" w:cs="宋体"/>
          <w:b w:val="0"/>
          <w:sz w:val="36"/>
          <w:szCs w:val="30"/>
          <w:highlight w:val="none"/>
        </w:rPr>
        <w:t>第六篇  采购合同</w:t>
      </w:r>
      <w:bookmarkEnd w:id="92"/>
      <w:bookmarkEnd w:id="93"/>
      <w:bookmarkEnd w:id="94"/>
    </w:p>
    <w:p w14:paraId="5C5BA955">
      <w:pPr>
        <w:spacing w:line="500" w:lineRule="exact"/>
        <w:jc w:val="center"/>
        <w:rPr>
          <w:rFonts w:hint="eastAsia" w:ascii="宋体" w:hAnsi="宋体" w:eastAsia="宋体" w:cs="宋体"/>
          <w:b/>
          <w:sz w:val="44"/>
          <w:highlight w:val="none"/>
        </w:rPr>
      </w:pPr>
    </w:p>
    <w:p w14:paraId="3B6A286A">
      <w:pPr>
        <w:spacing w:line="500" w:lineRule="exact"/>
        <w:jc w:val="center"/>
        <w:rPr>
          <w:rFonts w:hint="eastAsia" w:ascii="宋体" w:hAnsi="宋体" w:eastAsia="宋体" w:cs="宋体"/>
          <w:b/>
          <w:sz w:val="44"/>
          <w:highlight w:val="none"/>
          <w:lang w:val="en-US" w:eastAsia="zh-CN"/>
        </w:rPr>
      </w:pPr>
      <w:r>
        <w:rPr>
          <w:rFonts w:hint="eastAsia" w:ascii="宋体" w:hAnsi="宋体" w:eastAsia="宋体" w:cs="宋体"/>
          <w:b/>
          <w:sz w:val="44"/>
          <w:highlight w:val="none"/>
        </w:rPr>
        <w:t>重庆市政府采购合同</w:t>
      </w:r>
      <w:r>
        <w:rPr>
          <w:rFonts w:hint="eastAsia" w:ascii="宋体" w:hAnsi="宋体" w:eastAsia="宋体" w:cs="宋体"/>
          <w:b/>
          <w:sz w:val="44"/>
          <w:highlight w:val="none"/>
          <w:lang w:eastAsia="zh-CN"/>
        </w:rPr>
        <w:t>（</w:t>
      </w:r>
      <w:r>
        <w:rPr>
          <w:rFonts w:hint="eastAsia" w:ascii="宋体" w:hAnsi="宋体" w:eastAsia="宋体" w:cs="宋体"/>
          <w:b/>
          <w:sz w:val="44"/>
          <w:highlight w:val="none"/>
          <w:lang w:val="en-US" w:eastAsia="zh-CN"/>
        </w:rPr>
        <w:t>参考</w:t>
      </w:r>
      <w:r>
        <w:rPr>
          <w:rFonts w:hint="eastAsia" w:ascii="宋体" w:hAnsi="宋体" w:eastAsia="宋体" w:cs="宋体"/>
          <w:b/>
          <w:sz w:val="44"/>
          <w:highlight w:val="none"/>
          <w:lang w:eastAsia="zh-CN"/>
        </w:rPr>
        <w:t>）</w:t>
      </w:r>
    </w:p>
    <w:p w14:paraId="58858529">
      <w:pPr>
        <w:spacing w:line="500" w:lineRule="exact"/>
        <w:jc w:val="center"/>
        <w:rPr>
          <w:rFonts w:hint="eastAsia" w:ascii="宋体" w:hAnsi="宋体" w:eastAsia="宋体" w:cs="宋体"/>
          <w:highlight w:val="none"/>
        </w:rPr>
      </w:pPr>
      <w:r>
        <w:rPr>
          <w:rFonts w:hint="eastAsia" w:ascii="宋体" w:hAnsi="宋体" w:eastAsia="宋体" w:cs="宋体"/>
          <w:highlight w:val="none"/>
        </w:rPr>
        <w:t>（项目号：     ）</w:t>
      </w:r>
    </w:p>
    <w:p w14:paraId="34C3138D">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甲方（需方）：___________________________      计价单位：____________</w:t>
      </w:r>
    </w:p>
    <w:p w14:paraId="19E34734">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乙方（供方）：___________________________      计量单位：_____________</w:t>
      </w:r>
    </w:p>
    <w:p w14:paraId="402EA83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B85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9D095F8">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c>
        <w:tc>
          <w:tcPr>
            <w:tcW w:w="984" w:type="dxa"/>
            <w:noWrap w:val="0"/>
            <w:vAlign w:val="center"/>
          </w:tcPr>
          <w:p w14:paraId="0CFA4C8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98" w:type="dxa"/>
            <w:gridSpan w:val="2"/>
            <w:noWrap w:val="0"/>
            <w:vAlign w:val="center"/>
          </w:tcPr>
          <w:p w14:paraId="26A8B5A3">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综合单价</w:t>
            </w:r>
          </w:p>
        </w:tc>
        <w:tc>
          <w:tcPr>
            <w:tcW w:w="1134" w:type="dxa"/>
            <w:noWrap w:val="0"/>
            <w:vAlign w:val="center"/>
          </w:tcPr>
          <w:p w14:paraId="698B0641">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559" w:type="dxa"/>
            <w:noWrap w:val="0"/>
            <w:vAlign w:val="center"/>
          </w:tcPr>
          <w:p w14:paraId="2F91BFA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服务时间</w:t>
            </w:r>
          </w:p>
        </w:tc>
        <w:tc>
          <w:tcPr>
            <w:tcW w:w="1567" w:type="dxa"/>
            <w:noWrap w:val="0"/>
            <w:vAlign w:val="center"/>
          </w:tcPr>
          <w:p w14:paraId="5E48A909">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r>
      <w:tr w14:paraId="6D17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75522BD">
            <w:pPr>
              <w:spacing w:line="240" w:lineRule="atLeast"/>
              <w:jc w:val="center"/>
              <w:rPr>
                <w:rFonts w:hint="eastAsia" w:ascii="宋体" w:hAnsi="宋体" w:eastAsia="宋体" w:cs="宋体"/>
                <w:sz w:val="21"/>
                <w:szCs w:val="21"/>
                <w:highlight w:val="none"/>
              </w:rPr>
            </w:pPr>
          </w:p>
        </w:tc>
        <w:tc>
          <w:tcPr>
            <w:tcW w:w="984" w:type="dxa"/>
            <w:noWrap w:val="0"/>
            <w:vAlign w:val="center"/>
          </w:tcPr>
          <w:p w14:paraId="4C7676EE">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699F1240">
            <w:pPr>
              <w:spacing w:line="240" w:lineRule="atLeast"/>
              <w:jc w:val="center"/>
              <w:rPr>
                <w:rFonts w:hint="eastAsia" w:ascii="宋体" w:hAnsi="宋体" w:eastAsia="宋体" w:cs="宋体"/>
                <w:sz w:val="21"/>
                <w:szCs w:val="21"/>
                <w:highlight w:val="none"/>
              </w:rPr>
            </w:pPr>
          </w:p>
        </w:tc>
        <w:tc>
          <w:tcPr>
            <w:tcW w:w="1134" w:type="dxa"/>
            <w:noWrap w:val="0"/>
            <w:vAlign w:val="center"/>
          </w:tcPr>
          <w:p w14:paraId="0811D862">
            <w:pPr>
              <w:spacing w:line="240" w:lineRule="atLeast"/>
              <w:jc w:val="center"/>
              <w:rPr>
                <w:rFonts w:hint="eastAsia" w:ascii="宋体" w:hAnsi="宋体" w:eastAsia="宋体" w:cs="宋体"/>
                <w:sz w:val="21"/>
                <w:szCs w:val="21"/>
                <w:highlight w:val="none"/>
              </w:rPr>
            </w:pPr>
          </w:p>
        </w:tc>
        <w:tc>
          <w:tcPr>
            <w:tcW w:w="1559" w:type="dxa"/>
            <w:noWrap w:val="0"/>
            <w:vAlign w:val="center"/>
          </w:tcPr>
          <w:p w14:paraId="13FF50DE">
            <w:pPr>
              <w:spacing w:line="240" w:lineRule="atLeast"/>
              <w:jc w:val="center"/>
              <w:rPr>
                <w:rFonts w:hint="eastAsia" w:ascii="宋体" w:hAnsi="宋体" w:eastAsia="宋体" w:cs="宋体"/>
                <w:sz w:val="21"/>
                <w:szCs w:val="21"/>
                <w:highlight w:val="none"/>
              </w:rPr>
            </w:pPr>
          </w:p>
        </w:tc>
        <w:tc>
          <w:tcPr>
            <w:tcW w:w="1567" w:type="dxa"/>
            <w:noWrap w:val="0"/>
            <w:vAlign w:val="center"/>
          </w:tcPr>
          <w:p w14:paraId="2194D4AE">
            <w:pPr>
              <w:spacing w:line="240" w:lineRule="atLeast"/>
              <w:jc w:val="center"/>
              <w:rPr>
                <w:rFonts w:hint="eastAsia" w:ascii="宋体" w:hAnsi="宋体" w:eastAsia="宋体" w:cs="宋体"/>
                <w:sz w:val="21"/>
                <w:szCs w:val="21"/>
                <w:highlight w:val="none"/>
              </w:rPr>
            </w:pPr>
          </w:p>
        </w:tc>
      </w:tr>
      <w:tr w14:paraId="700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FBA413B">
            <w:pPr>
              <w:spacing w:line="240" w:lineRule="atLeast"/>
              <w:jc w:val="center"/>
              <w:rPr>
                <w:rFonts w:hint="eastAsia" w:ascii="宋体" w:hAnsi="宋体" w:eastAsia="宋体" w:cs="宋体"/>
                <w:sz w:val="21"/>
                <w:szCs w:val="21"/>
                <w:highlight w:val="none"/>
              </w:rPr>
            </w:pPr>
          </w:p>
        </w:tc>
        <w:tc>
          <w:tcPr>
            <w:tcW w:w="984" w:type="dxa"/>
            <w:noWrap w:val="0"/>
            <w:vAlign w:val="center"/>
          </w:tcPr>
          <w:p w14:paraId="0A03B72B">
            <w:pPr>
              <w:spacing w:line="240" w:lineRule="atLeast"/>
              <w:jc w:val="center"/>
              <w:rPr>
                <w:rFonts w:hint="eastAsia" w:ascii="宋体" w:hAnsi="宋体" w:eastAsia="宋体" w:cs="宋体"/>
                <w:sz w:val="21"/>
                <w:szCs w:val="21"/>
                <w:highlight w:val="none"/>
              </w:rPr>
            </w:pPr>
          </w:p>
        </w:tc>
        <w:tc>
          <w:tcPr>
            <w:tcW w:w="1298" w:type="dxa"/>
            <w:gridSpan w:val="2"/>
            <w:noWrap w:val="0"/>
            <w:vAlign w:val="center"/>
          </w:tcPr>
          <w:p w14:paraId="426CC565">
            <w:pPr>
              <w:spacing w:line="240" w:lineRule="atLeast"/>
              <w:jc w:val="center"/>
              <w:rPr>
                <w:rFonts w:hint="eastAsia" w:ascii="宋体" w:hAnsi="宋体" w:eastAsia="宋体" w:cs="宋体"/>
                <w:sz w:val="21"/>
                <w:szCs w:val="21"/>
                <w:highlight w:val="none"/>
              </w:rPr>
            </w:pPr>
          </w:p>
        </w:tc>
        <w:tc>
          <w:tcPr>
            <w:tcW w:w="1134" w:type="dxa"/>
            <w:noWrap w:val="0"/>
            <w:vAlign w:val="center"/>
          </w:tcPr>
          <w:p w14:paraId="47A1C8E5">
            <w:pPr>
              <w:spacing w:line="240" w:lineRule="atLeast"/>
              <w:jc w:val="center"/>
              <w:rPr>
                <w:rFonts w:hint="eastAsia" w:ascii="宋体" w:hAnsi="宋体" w:eastAsia="宋体" w:cs="宋体"/>
                <w:sz w:val="21"/>
                <w:szCs w:val="21"/>
                <w:highlight w:val="none"/>
              </w:rPr>
            </w:pPr>
          </w:p>
        </w:tc>
        <w:tc>
          <w:tcPr>
            <w:tcW w:w="1559" w:type="dxa"/>
            <w:noWrap w:val="0"/>
            <w:vAlign w:val="center"/>
          </w:tcPr>
          <w:p w14:paraId="5C40F819">
            <w:pPr>
              <w:spacing w:line="240" w:lineRule="atLeast"/>
              <w:jc w:val="center"/>
              <w:rPr>
                <w:rFonts w:hint="eastAsia" w:ascii="宋体" w:hAnsi="宋体" w:eastAsia="宋体" w:cs="宋体"/>
                <w:sz w:val="21"/>
                <w:szCs w:val="21"/>
                <w:highlight w:val="none"/>
              </w:rPr>
            </w:pPr>
          </w:p>
        </w:tc>
        <w:tc>
          <w:tcPr>
            <w:tcW w:w="1567" w:type="dxa"/>
            <w:noWrap w:val="0"/>
            <w:vAlign w:val="center"/>
          </w:tcPr>
          <w:p w14:paraId="514CBD7A">
            <w:pPr>
              <w:spacing w:line="240" w:lineRule="atLeast"/>
              <w:jc w:val="center"/>
              <w:rPr>
                <w:rFonts w:hint="eastAsia" w:ascii="宋体" w:hAnsi="宋体" w:eastAsia="宋体" w:cs="宋体"/>
                <w:sz w:val="21"/>
                <w:szCs w:val="21"/>
                <w:highlight w:val="none"/>
              </w:rPr>
            </w:pPr>
          </w:p>
        </w:tc>
      </w:tr>
      <w:tr w14:paraId="7D9C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BD395E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合计人民币（小写）：</w:t>
            </w:r>
          </w:p>
        </w:tc>
      </w:tr>
      <w:tr w14:paraId="196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219D76D">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合计人民币（大写）：</w:t>
            </w:r>
          </w:p>
        </w:tc>
      </w:tr>
      <w:tr w14:paraId="19FD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1CEC826">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一、服务要求</w:t>
            </w:r>
          </w:p>
        </w:tc>
      </w:tr>
      <w:tr w14:paraId="4F83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166F57E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二、考核方式</w:t>
            </w:r>
          </w:p>
        </w:tc>
      </w:tr>
      <w:tr w14:paraId="399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2C207198">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三、付款方式：</w:t>
            </w:r>
          </w:p>
          <w:p w14:paraId="729DD20B">
            <w:pPr>
              <w:rPr>
                <w:rFonts w:hint="eastAsia" w:ascii="宋体" w:hAnsi="宋体" w:eastAsia="宋体" w:cs="宋体"/>
                <w:highlight w:val="none"/>
              </w:rPr>
            </w:pPr>
          </w:p>
        </w:tc>
      </w:tr>
      <w:tr w14:paraId="216F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7A78EA63">
            <w:pPr>
              <w:rPr>
                <w:rFonts w:hint="eastAsia" w:ascii="宋体" w:hAnsi="宋体" w:eastAsia="宋体" w:cs="宋体"/>
                <w:sz w:val="21"/>
                <w:szCs w:val="21"/>
                <w:highlight w:val="none"/>
              </w:rPr>
            </w:pPr>
            <w:r>
              <w:rPr>
                <w:rFonts w:hint="eastAsia" w:ascii="宋体" w:hAnsi="宋体" w:eastAsia="宋体" w:cs="宋体"/>
                <w:sz w:val="21"/>
                <w:szCs w:val="21"/>
                <w:highlight w:val="none"/>
              </w:rPr>
              <w:t>X、履约保证金：</w:t>
            </w:r>
          </w:p>
        </w:tc>
      </w:tr>
      <w:tr w14:paraId="2321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DB0394D">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四、违约责任：</w:t>
            </w:r>
          </w:p>
          <w:p w14:paraId="6E582716">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按《中华人民共和国民法典》、《中华人民共和国政府采购法》执行，或按双方约定。</w:t>
            </w:r>
          </w:p>
        </w:tc>
      </w:tr>
      <w:tr w14:paraId="5F5F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A4F3A6D">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五、其他约定事项：</w:t>
            </w:r>
          </w:p>
          <w:p w14:paraId="2C3E1BE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1.采购文件及其澄清文件、响应文件和承诺是本合同不可分割的部分。</w:t>
            </w:r>
          </w:p>
          <w:p w14:paraId="6E1B6E92">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2.本合同如发生争议由双方协商解决，协商不成向需方所在人民法院提请诉讼。</w:t>
            </w:r>
          </w:p>
          <w:p w14:paraId="1E324E13">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3.本合同一式__份， 需方__份，供方__份，具同等法律效力。</w:t>
            </w:r>
          </w:p>
          <w:p w14:paraId="77A4BE2B">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4.其他：</w:t>
            </w:r>
          </w:p>
        </w:tc>
      </w:tr>
      <w:tr w14:paraId="37B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63083D11">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需方：</w:t>
            </w:r>
          </w:p>
          <w:p w14:paraId="511DA9B6">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6FCE5CD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05226004">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tc>
        <w:tc>
          <w:tcPr>
            <w:tcW w:w="4984" w:type="dxa"/>
            <w:gridSpan w:val="5"/>
            <w:noWrap w:val="0"/>
            <w:vAlign w:val="top"/>
          </w:tcPr>
          <w:p w14:paraId="47E3B63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供方：</w:t>
            </w:r>
          </w:p>
          <w:p w14:paraId="3C18C24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792F74A6">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7408C16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28981557">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14:paraId="191440DE">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p w14:paraId="081B9CEF">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p w14:paraId="07DA0F11">
            <w:pPr>
              <w:widowControl/>
              <w:spacing w:line="240" w:lineRule="atLeas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（本栏请用计算机打印以便于准确付款）</w:t>
            </w:r>
          </w:p>
        </w:tc>
      </w:tr>
      <w:tr w14:paraId="4ADA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CC225CA">
            <w:pPr>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69003F39">
            <w:pPr>
              <w:spacing w:line="240" w:lineRule="atLeast"/>
              <w:rPr>
                <w:rFonts w:hint="eastAsia" w:ascii="宋体" w:hAnsi="宋体" w:eastAsia="宋体" w:cs="宋体"/>
                <w:sz w:val="21"/>
                <w:szCs w:val="21"/>
                <w:highlight w:val="none"/>
              </w:rPr>
            </w:pPr>
          </w:p>
          <w:p w14:paraId="3D5000F5">
            <w:pPr>
              <w:spacing w:line="240" w:lineRule="atLeast"/>
              <w:rPr>
                <w:rFonts w:hint="eastAsia" w:ascii="宋体" w:hAnsi="宋体" w:eastAsia="宋体" w:cs="宋体"/>
                <w:sz w:val="21"/>
                <w:szCs w:val="21"/>
                <w:highlight w:val="none"/>
              </w:rPr>
            </w:pPr>
          </w:p>
        </w:tc>
      </w:tr>
    </w:tbl>
    <w:p w14:paraId="34E97B80">
      <w:pPr>
        <w:rPr>
          <w:rFonts w:hint="eastAsia" w:ascii="宋体" w:hAnsi="宋体" w:eastAsia="宋体" w:cs="宋体"/>
          <w:sz w:val="24"/>
          <w:highlight w:val="none"/>
        </w:rPr>
      </w:pPr>
      <w:r>
        <w:rPr>
          <w:rFonts w:hint="eastAsia" w:ascii="宋体" w:hAnsi="宋体" w:eastAsia="宋体" w:cs="宋体"/>
          <w:sz w:val="24"/>
          <w:highlight w:val="none"/>
        </w:rPr>
        <w:t>签约时间：           年   月   日      签约地点：</w:t>
      </w:r>
    </w:p>
    <w:p w14:paraId="414D7702">
      <w:pPr>
        <w:tabs>
          <w:tab w:val="left" w:pos="9000"/>
        </w:tabs>
        <w:spacing w:line="276" w:lineRule="auto"/>
        <w:jc w:val="center"/>
        <w:rPr>
          <w:rFonts w:hint="eastAsia" w:ascii="宋体" w:hAnsi="宋体" w:eastAsia="宋体" w:cs="宋体"/>
          <w:sz w:val="21"/>
          <w:szCs w:val="21"/>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143C05E">
      <w:pPr>
        <w:pStyle w:val="2"/>
        <w:spacing w:line="360" w:lineRule="auto"/>
        <w:jc w:val="center"/>
        <w:rPr>
          <w:rFonts w:hint="eastAsia" w:ascii="宋体" w:hAnsi="宋体" w:eastAsia="宋体" w:cs="宋体"/>
          <w:b/>
          <w:sz w:val="36"/>
          <w:szCs w:val="36"/>
          <w:highlight w:val="none"/>
        </w:rPr>
      </w:pPr>
      <w:bookmarkStart w:id="97" w:name="_Toc12723"/>
      <w:r>
        <w:rPr>
          <w:rFonts w:hint="eastAsia" w:ascii="宋体" w:hAnsi="宋体" w:eastAsia="宋体" w:cs="宋体"/>
          <w:b/>
          <w:sz w:val="36"/>
          <w:szCs w:val="36"/>
          <w:highlight w:val="none"/>
        </w:rPr>
        <w:t>第</w:t>
      </w:r>
      <w:r>
        <w:rPr>
          <w:rFonts w:hint="eastAsia" w:ascii="宋体" w:hAnsi="宋体" w:eastAsia="宋体" w:cs="宋体"/>
          <w:b/>
          <w:sz w:val="36"/>
          <w:szCs w:val="36"/>
          <w:highlight w:val="none"/>
          <w:lang w:val="en-US" w:eastAsia="zh-CN"/>
        </w:rPr>
        <w:t>七</w:t>
      </w:r>
      <w:r>
        <w:rPr>
          <w:rFonts w:hint="eastAsia" w:ascii="宋体" w:hAnsi="宋体" w:eastAsia="宋体" w:cs="宋体"/>
          <w:b/>
          <w:sz w:val="36"/>
          <w:szCs w:val="36"/>
          <w:highlight w:val="none"/>
        </w:rPr>
        <w:t xml:space="preserve">篇  </w:t>
      </w:r>
      <w:bookmarkEnd w:id="95"/>
      <w:r>
        <w:rPr>
          <w:rFonts w:hint="eastAsia" w:ascii="宋体" w:hAnsi="宋体" w:eastAsia="宋体" w:cs="宋体"/>
          <w:b/>
          <w:sz w:val="36"/>
          <w:szCs w:val="36"/>
          <w:highlight w:val="none"/>
        </w:rPr>
        <w:t>响应文件编制要求</w:t>
      </w:r>
      <w:bookmarkEnd w:id="96"/>
      <w:bookmarkEnd w:id="97"/>
    </w:p>
    <w:p w14:paraId="61966556">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一、经济部分</w:t>
      </w:r>
    </w:p>
    <w:p w14:paraId="11321E3A">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（一）竞争性磋商报价函</w:t>
      </w:r>
    </w:p>
    <w:p w14:paraId="5CB2EE3D">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2FCED20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二、服务部分</w:t>
      </w:r>
    </w:p>
    <w:p w14:paraId="68DE9B4C">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（一）服务方案</w:t>
      </w:r>
    </w:p>
    <w:p w14:paraId="7DDD9E09">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（二）项目实施方案</w:t>
      </w:r>
    </w:p>
    <w:p w14:paraId="087A6EB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（三）服务响应偏离表</w:t>
      </w:r>
    </w:p>
    <w:p w14:paraId="3DD8F29B">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三、商务部分</w:t>
      </w:r>
    </w:p>
    <w:p w14:paraId="53E1D86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（一）商务响应偏离表</w:t>
      </w:r>
    </w:p>
    <w:p w14:paraId="5AD51BB1">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（二）其它优惠服务承诺</w:t>
      </w:r>
    </w:p>
    <w:p w14:paraId="6227C9B6">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四、资格条件及其他</w:t>
      </w:r>
    </w:p>
    <w:p w14:paraId="2ADDDA1E">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27252846">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（二）法定代表人身份证明书（格式）</w:t>
      </w:r>
    </w:p>
    <w:p w14:paraId="09D4D450">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（三）法定代表人授权委托书（格式）</w:t>
      </w:r>
    </w:p>
    <w:p w14:paraId="64C96884">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（四）基本资格条件承诺函（格式）</w:t>
      </w:r>
    </w:p>
    <w:p w14:paraId="793478B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w:t>
      </w:r>
    </w:p>
    <w:p w14:paraId="7D2581AD">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五、其他资料</w:t>
      </w:r>
    </w:p>
    <w:p w14:paraId="2EDD8EE3">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（一）中小企业声明函、监狱企业证明文件、残疾人福利性单位声明函</w:t>
      </w:r>
    </w:p>
    <w:p w14:paraId="22A2DDAB">
      <w:pPr>
        <w:spacing w:line="440" w:lineRule="exact"/>
        <w:ind w:firstLine="480" w:firstLineChars="200"/>
        <w:rPr>
          <w:rFonts w:hint="eastAsia" w:ascii="宋体" w:hAnsi="宋体" w:eastAsia="宋体" w:cs="宋体"/>
          <w:color w:val="000000"/>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highlight w:val="none"/>
        </w:rPr>
        <w:t>（二）其他与项目有关的资料</w:t>
      </w:r>
    </w:p>
    <w:p w14:paraId="260F4915">
      <w:pPr>
        <w:pStyle w:val="4"/>
        <w:spacing w:before="0" w:after="0" w:line="360" w:lineRule="auto"/>
        <w:rPr>
          <w:rFonts w:hint="eastAsia" w:ascii="宋体" w:hAnsi="宋体" w:eastAsia="宋体" w:cs="宋体"/>
          <w:color w:val="000000"/>
          <w:sz w:val="24"/>
          <w:szCs w:val="24"/>
          <w:highlight w:val="none"/>
        </w:rPr>
      </w:pPr>
      <w:bookmarkStart w:id="98" w:name="_Toc342913419"/>
      <w:bookmarkStart w:id="99" w:name="_Toc9604"/>
      <w:bookmarkStart w:id="100" w:name="_Toc12144"/>
      <w:bookmarkStart w:id="101" w:name="_Toc313008356"/>
      <w:bookmarkStart w:id="102" w:name="_Toc313888360"/>
      <w:bookmarkStart w:id="103" w:name="_Toc283382454"/>
      <w:bookmarkStart w:id="104" w:name="_Toc12789073"/>
      <w:r>
        <w:rPr>
          <w:rFonts w:hint="eastAsia" w:ascii="宋体" w:hAnsi="宋体" w:eastAsia="宋体" w:cs="宋体"/>
          <w:color w:val="000000"/>
          <w:sz w:val="24"/>
          <w:szCs w:val="24"/>
          <w:highlight w:val="none"/>
        </w:rPr>
        <w:t>一、经济部分</w:t>
      </w:r>
      <w:bookmarkEnd w:id="98"/>
      <w:bookmarkEnd w:id="99"/>
      <w:bookmarkEnd w:id="100"/>
      <w:bookmarkEnd w:id="101"/>
      <w:bookmarkEnd w:id="102"/>
    </w:p>
    <w:bookmarkEnd w:id="103"/>
    <w:bookmarkEnd w:id="104"/>
    <w:p w14:paraId="3ED0365D">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（一）竞争性磋商报价函</w:t>
      </w:r>
    </w:p>
    <w:p w14:paraId="0B8330AA">
      <w:pPr>
        <w:tabs>
          <w:tab w:val="left" w:pos="6300"/>
        </w:tabs>
        <w:snapToGrid w:val="0"/>
        <w:spacing w:line="312"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竞争性磋商报价函</w:t>
      </w:r>
    </w:p>
    <w:p w14:paraId="644AF71D">
      <w:pPr>
        <w:tabs>
          <w:tab w:val="left" w:pos="6300"/>
        </w:tabs>
        <w:snapToGrid w:val="0"/>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（采购代理机构名称）</w:t>
      </w:r>
      <w:r>
        <w:rPr>
          <w:rFonts w:hint="eastAsia" w:ascii="宋体" w:hAnsi="宋体" w:eastAsia="宋体" w:cs="宋体"/>
          <w:color w:val="000000"/>
          <w:sz w:val="24"/>
          <w:szCs w:val="24"/>
          <w:highlight w:val="none"/>
        </w:rPr>
        <w:t>：</w:t>
      </w:r>
    </w:p>
    <w:p w14:paraId="4C3221AC">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我方收到____________________________（项目名称）及_____________（项目号）的竞争性磋商文件，经详细研究，决定参加该项目的磋商。</w:t>
      </w:r>
    </w:p>
    <w:p w14:paraId="0CC5973D">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1.愿意按照竞争性磋商文件中的一切要求，提供本项目的技术服务，初始报价为人民币大写：元整；人民币小写：元。以我公司最后报价为准。</w:t>
      </w:r>
    </w:p>
    <w:p w14:paraId="3D7B13EE">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2.我方现提交的响应文件为：响应文件正本</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份。</w:t>
      </w:r>
    </w:p>
    <w:p w14:paraId="05950DFA">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3.我方承诺：本次磋商的有效期为90天。</w:t>
      </w:r>
    </w:p>
    <w:p w14:paraId="494DC4D9">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4.我方完全理解和接受贵方竞争性磋商文件的一切规定和要求及评审办法。</w:t>
      </w:r>
    </w:p>
    <w:p w14:paraId="0F22DF0E">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5.在整个竞争性磋商过程中，我方若有违规行为，接受按照《中华人民共和国政府采购法》及其实施条例等规定给予惩罚。</w:t>
      </w:r>
    </w:p>
    <w:p w14:paraId="17D938D9">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6.我方若成为成交供应商，将按照最终磋商结果签订合同，并且严格履行合同义务。本承诺函将成为合同不可分割的一部分，与合同具有同等的法律效力。</w:t>
      </w:r>
    </w:p>
    <w:p w14:paraId="16C351EC">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7.我方理解，最低报价不是成交的唯一条件。</w:t>
      </w:r>
    </w:p>
    <w:p w14:paraId="53FE1D32">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8.我方同意按竞争性磋商文件规定，交纳竞争性磋商文件要求的磋商保证金。如果我方成为成交供应商，保证在接到成交通知书后，向采购代理机构交纳竞争性磋商文件规定的采购代理服务费。</w:t>
      </w:r>
    </w:p>
    <w:p w14:paraId="79B00EB0">
      <w:pPr>
        <w:tabs>
          <w:tab w:val="left" w:pos="6300"/>
        </w:tabs>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9.我方未为采购项目提供整体设计、规范编制或者项目管理、监理、检测等服务。</w:t>
      </w:r>
    </w:p>
    <w:p w14:paraId="71C76465">
      <w:pPr>
        <w:tabs>
          <w:tab w:val="left" w:pos="6300"/>
        </w:tabs>
        <w:snapToGrid w:val="0"/>
        <w:spacing w:line="312" w:lineRule="auto"/>
        <w:ind w:firstLine="570"/>
        <w:rPr>
          <w:rFonts w:hint="eastAsia" w:ascii="宋体" w:hAnsi="宋体" w:eastAsia="宋体" w:cs="宋体"/>
          <w:color w:val="000000"/>
          <w:sz w:val="24"/>
          <w:szCs w:val="24"/>
          <w:highlight w:val="none"/>
        </w:rPr>
      </w:pPr>
    </w:p>
    <w:p w14:paraId="0F996C27">
      <w:pPr>
        <w:tabs>
          <w:tab w:val="left" w:pos="6300"/>
        </w:tabs>
        <w:snapToGrid w:val="0"/>
        <w:spacing w:line="312" w:lineRule="auto"/>
        <w:ind w:firstLine="570"/>
        <w:rPr>
          <w:rFonts w:hint="eastAsia" w:ascii="宋体" w:hAnsi="宋体" w:eastAsia="宋体" w:cs="宋体"/>
          <w:color w:val="000000"/>
          <w:sz w:val="24"/>
          <w:szCs w:val="24"/>
          <w:highlight w:val="none"/>
        </w:rPr>
      </w:pPr>
    </w:p>
    <w:p w14:paraId="29644627">
      <w:pPr>
        <w:tabs>
          <w:tab w:val="left" w:pos="6300"/>
        </w:tabs>
        <w:snapToGrid w:val="0"/>
        <w:spacing w:line="312" w:lineRule="auto"/>
        <w:ind w:firstLine="570"/>
        <w:rPr>
          <w:rFonts w:hint="eastAsia" w:ascii="宋体" w:hAnsi="宋体" w:eastAsia="宋体" w:cs="宋体"/>
          <w:color w:val="000000"/>
          <w:sz w:val="24"/>
          <w:szCs w:val="24"/>
          <w:highlight w:val="none"/>
        </w:rPr>
      </w:pPr>
    </w:p>
    <w:p w14:paraId="550B5285">
      <w:pPr>
        <w:tabs>
          <w:tab w:val="left" w:pos="6300"/>
        </w:tabs>
        <w:snapToGrid w:val="0"/>
        <w:spacing w:line="312" w:lineRule="auto"/>
        <w:ind w:firstLine="570"/>
        <w:rPr>
          <w:rFonts w:hint="eastAsia" w:ascii="宋体" w:hAnsi="宋体" w:eastAsia="宋体" w:cs="宋体"/>
          <w:color w:val="000000"/>
          <w:sz w:val="24"/>
          <w:szCs w:val="24"/>
          <w:highlight w:val="none"/>
        </w:rPr>
      </w:pPr>
    </w:p>
    <w:p w14:paraId="1FE1934E">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供应商（公章）：</w:t>
      </w:r>
    </w:p>
    <w:p w14:paraId="04A3B63E">
      <w:pPr>
        <w:snapToGrid w:val="0"/>
        <w:spacing w:line="312" w:lineRule="auto"/>
        <w:ind w:firstLine="480" w:firstLineChars="200"/>
        <w:rPr>
          <w:rFonts w:hint="eastAsia" w:ascii="宋体" w:hAnsi="宋体" w:eastAsia="宋体" w:cs="宋体"/>
          <w:color w:val="000000"/>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highlight w:val="none"/>
        </w:rPr>
        <w:t xml:space="preserve">                                                  年   月   日</w:t>
      </w:r>
    </w:p>
    <w:p w14:paraId="3119DBAF">
      <w:pPr>
        <w:tabs>
          <w:tab w:val="left" w:pos="2895"/>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690AD4AD">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明细报价表</w:t>
      </w:r>
    </w:p>
    <w:p w14:paraId="724E2E86">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14:paraId="5CF3E0B6">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7DE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35DCC3F">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695" w:type="dxa"/>
            <w:vAlign w:val="center"/>
          </w:tcPr>
          <w:p w14:paraId="48B5142B">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名称</w:t>
            </w:r>
          </w:p>
        </w:tc>
        <w:tc>
          <w:tcPr>
            <w:tcW w:w="3404" w:type="dxa"/>
            <w:vAlign w:val="center"/>
          </w:tcPr>
          <w:p w14:paraId="4028D375">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相关信息</w:t>
            </w:r>
          </w:p>
        </w:tc>
        <w:tc>
          <w:tcPr>
            <w:tcW w:w="1344" w:type="dxa"/>
            <w:vAlign w:val="center"/>
          </w:tcPr>
          <w:p w14:paraId="557B5A46">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1344" w:type="dxa"/>
            <w:vAlign w:val="center"/>
          </w:tcPr>
          <w:p w14:paraId="4C694956">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单价</w:t>
            </w:r>
          </w:p>
        </w:tc>
        <w:tc>
          <w:tcPr>
            <w:tcW w:w="1344" w:type="dxa"/>
            <w:vAlign w:val="center"/>
          </w:tcPr>
          <w:p w14:paraId="2D4FC4BC">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合计</w:t>
            </w:r>
          </w:p>
        </w:tc>
      </w:tr>
      <w:tr w14:paraId="21F2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8E1870F">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95" w:type="dxa"/>
            <w:vAlign w:val="center"/>
          </w:tcPr>
          <w:p w14:paraId="08C11FD6">
            <w:pPr>
              <w:jc w:val="center"/>
              <w:rPr>
                <w:rFonts w:hint="eastAsia" w:ascii="宋体" w:hAnsi="宋体" w:eastAsia="宋体" w:cs="宋体"/>
                <w:color w:val="000000"/>
                <w:sz w:val="24"/>
                <w:szCs w:val="24"/>
                <w:highlight w:val="none"/>
              </w:rPr>
            </w:pPr>
          </w:p>
        </w:tc>
        <w:tc>
          <w:tcPr>
            <w:tcW w:w="3404" w:type="dxa"/>
          </w:tcPr>
          <w:p w14:paraId="19230D6C">
            <w:pPr>
              <w:jc w:val="center"/>
              <w:rPr>
                <w:rFonts w:hint="eastAsia" w:ascii="宋体" w:hAnsi="宋体" w:eastAsia="宋体" w:cs="宋体"/>
                <w:color w:val="000000"/>
                <w:sz w:val="24"/>
                <w:szCs w:val="24"/>
                <w:highlight w:val="none"/>
              </w:rPr>
            </w:pPr>
          </w:p>
        </w:tc>
        <w:tc>
          <w:tcPr>
            <w:tcW w:w="1344" w:type="dxa"/>
            <w:vAlign w:val="center"/>
          </w:tcPr>
          <w:p w14:paraId="3AA1EBA8">
            <w:pPr>
              <w:jc w:val="center"/>
              <w:rPr>
                <w:rFonts w:hint="eastAsia" w:ascii="宋体" w:hAnsi="宋体" w:eastAsia="宋体" w:cs="宋体"/>
                <w:color w:val="000000"/>
                <w:sz w:val="24"/>
                <w:szCs w:val="24"/>
                <w:highlight w:val="none"/>
              </w:rPr>
            </w:pPr>
          </w:p>
        </w:tc>
        <w:tc>
          <w:tcPr>
            <w:tcW w:w="1344" w:type="dxa"/>
          </w:tcPr>
          <w:p w14:paraId="1E4AA4DD">
            <w:pPr>
              <w:jc w:val="center"/>
              <w:rPr>
                <w:rFonts w:hint="eastAsia" w:ascii="宋体" w:hAnsi="宋体" w:eastAsia="宋体" w:cs="宋体"/>
                <w:color w:val="000000"/>
                <w:sz w:val="24"/>
                <w:szCs w:val="24"/>
                <w:highlight w:val="none"/>
              </w:rPr>
            </w:pPr>
          </w:p>
        </w:tc>
        <w:tc>
          <w:tcPr>
            <w:tcW w:w="1344" w:type="dxa"/>
          </w:tcPr>
          <w:p w14:paraId="70023032">
            <w:pPr>
              <w:jc w:val="center"/>
              <w:rPr>
                <w:rFonts w:hint="eastAsia" w:ascii="宋体" w:hAnsi="宋体" w:eastAsia="宋体" w:cs="宋体"/>
                <w:color w:val="000000"/>
                <w:sz w:val="24"/>
                <w:szCs w:val="24"/>
                <w:highlight w:val="none"/>
              </w:rPr>
            </w:pPr>
          </w:p>
        </w:tc>
      </w:tr>
      <w:tr w14:paraId="2D8C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D68F7E5">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95" w:type="dxa"/>
            <w:vAlign w:val="center"/>
          </w:tcPr>
          <w:p w14:paraId="470AA20E">
            <w:pPr>
              <w:jc w:val="center"/>
              <w:rPr>
                <w:rFonts w:hint="eastAsia" w:ascii="宋体" w:hAnsi="宋体" w:eastAsia="宋体" w:cs="宋体"/>
                <w:color w:val="000000"/>
                <w:sz w:val="24"/>
                <w:szCs w:val="24"/>
                <w:highlight w:val="none"/>
              </w:rPr>
            </w:pPr>
          </w:p>
        </w:tc>
        <w:tc>
          <w:tcPr>
            <w:tcW w:w="3404" w:type="dxa"/>
          </w:tcPr>
          <w:p w14:paraId="2590E5AF">
            <w:pPr>
              <w:jc w:val="center"/>
              <w:rPr>
                <w:rFonts w:hint="eastAsia" w:ascii="宋体" w:hAnsi="宋体" w:eastAsia="宋体" w:cs="宋体"/>
                <w:color w:val="000000"/>
                <w:sz w:val="24"/>
                <w:szCs w:val="24"/>
                <w:highlight w:val="none"/>
              </w:rPr>
            </w:pPr>
          </w:p>
        </w:tc>
        <w:tc>
          <w:tcPr>
            <w:tcW w:w="1344" w:type="dxa"/>
            <w:vAlign w:val="center"/>
          </w:tcPr>
          <w:p w14:paraId="5EEC35E2">
            <w:pPr>
              <w:jc w:val="center"/>
              <w:rPr>
                <w:rFonts w:hint="eastAsia" w:ascii="宋体" w:hAnsi="宋体" w:eastAsia="宋体" w:cs="宋体"/>
                <w:color w:val="000000"/>
                <w:sz w:val="24"/>
                <w:szCs w:val="24"/>
                <w:highlight w:val="none"/>
              </w:rPr>
            </w:pPr>
          </w:p>
        </w:tc>
        <w:tc>
          <w:tcPr>
            <w:tcW w:w="1344" w:type="dxa"/>
          </w:tcPr>
          <w:p w14:paraId="127F8AD0">
            <w:pPr>
              <w:jc w:val="center"/>
              <w:rPr>
                <w:rFonts w:hint="eastAsia" w:ascii="宋体" w:hAnsi="宋体" w:eastAsia="宋体" w:cs="宋体"/>
                <w:color w:val="000000"/>
                <w:sz w:val="24"/>
                <w:szCs w:val="24"/>
                <w:highlight w:val="none"/>
              </w:rPr>
            </w:pPr>
          </w:p>
        </w:tc>
        <w:tc>
          <w:tcPr>
            <w:tcW w:w="1344" w:type="dxa"/>
          </w:tcPr>
          <w:p w14:paraId="62B51B10">
            <w:pPr>
              <w:jc w:val="center"/>
              <w:rPr>
                <w:rFonts w:hint="eastAsia" w:ascii="宋体" w:hAnsi="宋体" w:eastAsia="宋体" w:cs="宋体"/>
                <w:color w:val="000000"/>
                <w:sz w:val="24"/>
                <w:szCs w:val="24"/>
                <w:highlight w:val="none"/>
              </w:rPr>
            </w:pPr>
          </w:p>
        </w:tc>
      </w:tr>
      <w:tr w14:paraId="0A42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6E2E3ED">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95" w:type="dxa"/>
            <w:vAlign w:val="center"/>
          </w:tcPr>
          <w:p w14:paraId="0E92288B">
            <w:pPr>
              <w:jc w:val="center"/>
              <w:rPr>
                <w:rFonts w:hint="eastAsia" w:ascii="宋体" w:hAnsi="宋体" w:eastAsia="宋体" w:cs="宋体"/>
                <w:color w:val="000000"/>
                <w:sz w:val="24"/>
                <w:szCs w:val="24"/>
                <w:highlight w:val="none"/>
              </w:rPr>
            </w:pPr>
          </w:p>
        </w:tc>
        <w:tc>
          <w:tcPr>
            <w:tcW w:w="3404" w:type="dxa"/>
          </w:tcPr>
          <w:p w14:paraId="65629F9E">
            <w:pPr>
              <w:jc w:val="center"/>
              <w:rPr>
                <w:rFonts w:hint="eastAsia" w:ascii="宋体" w:hAnsi="宋体" w:eastAsia="宋体" w:cs="宋体"/>
                <w:color w:val="000000"/>
                <w:sz w:val="24"/>
                <w:szCs w:val="24"/>
                <w:highlight w:val="none"/>
              </w:rPr>
            </w:pPr>
          </w:p>
        </w:tc>
        <w:tc>
          <w:tcPr>
            <w:tcW w:w="1344" w:type="dxa"/>
            <w:vAlign w:val="center"/>
          </w:tcPr>
          <w:p w14:paraId="216809A0">
            <w:pPr>
              <w:jc w:val="center"/>
              <w:rPr>
                <w:rFonts w:hint="eastAsia" w:ascii="宋体" w:hAnsi="宋体" w:eastAsia="宋体" w:cs="宋体"/>
                <w:color w:val="000000"/>
                <w:sz w:val="24"/>
                <w:szCs w:val="24"/>
                <w:highlight w:val="none"/>
              </w:rPr>
            </w:pPr>
          </w:p>
        </w:tc>
        <w:tc>
          <w:tcPr>
            <w:tcW w:w="1344" w:type="dxa"/>
          </w:tcPr>
          <w:p w14:paraId="32312CCC">
            <w:pPr>
              <w:jc w:val="center"/>
              <w:rPr>
                <w:rFonts w:hint="eastAsia" w:ascii="宋体" w:hAnsi="宋体" w:eastAsia="宋体" w:cs="宋体"/>
                <w:color w:val="000000"/>
                <w:sz w:val="24"/>
                <w:szCs w:val="24"/>
                <w:highlight w:val="none"/>
              </w:rPr>
            </w:pPr>
          </w:p>
        </w:tc>
        <w:tc>
          <w:tcPr>
            <w:tcW w:w="1344" w:type="dxa"/>
          </w:tcPr>
          <w:p w14:paraId="3D4F9244">
            <w:pPr>
              <w:jc w:val="center"/>
              <w:rPr>
                <w:rFonts w:hint="eastAsia" w:ascii="宋体" w:hAnsi="宋体" w:eastAsia="宋体" w:cs="宋体"/>
                <w:color w:val="000000"/>
                <w:sz w:val="24"/>
                <w:szCs w:val="24"/>
                <w:highlight w:val="none"/>
              </w:rPr>
            </w:pPr>
          </w:p>
        </w:tc>
      </w:tr>
      <w:tr w14:paraId="4F1F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34CFD6">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695" w:type="dxa"/>
            <w:vAlign w:val="center"/>
          </w:tcPr>
          <w:p w14:paraId="4E0C4A7A">
            <w:pPr>
              <w:jc w:val="center"/>
              <w:rPr>
                <w:rFonts w:hint="eastAsia" w:ascii="宋体" w:hAnsi="宋体" w:eastAsia="宋体" w:cs="宋体"/>
                <w:color w:val="000000"/>
                <w:sz w:val="24"/>
                <w:szCs w:val="24"/>
                <w:highlight w:val="none"/>
              </w:rPr>
            </w:pPr>
          </w:p>
        </w:tc>
        <w:tc>
          <w:tcPr>
            <w:tcW w:w="3404" w:type="dxa"/>
          </w:tcPr>
          <w:p w14:paraId="558DFC28">
            <w:pPr>
              <w:jc w:val="center"/>
              <w:rPr>
                <w:rFonts w:hint="eastAsia" w:ascii="宋体" w:hAnsi="宋体" w:eastAsia="宋体" w:cs="宋体"/>
                <w:color w:val="000000"/>
                <w:sz w:val="24"/>
                <w:szCs w:val="24"/>
                <w:highlight w:val="none"/>
              </w:rPr>
            </w:pPr>
          </w:p>
        </w:tc>
        <w:tc>
          <w:tcPr>
            <w:tcW w:w="1344" w:type="dxa"/>
            <w:vAlign w:val="center"/>
          </w:tcPr>
          <w:p w14:paraId="659F200D">
            <w:pPr>
              <w:jc w:val="center"/>
              <w:rPr>
                <w:rFonts w:hint="eastAsia" w:ascii="宋体" w:hAnsi="宋体" w:eastAsia="宋体" w:cs="宋体"/>
                <w:color w:val="000000"/>
                <w:sz w:val="24"/>
                <w:szCs w:val="24"/>
                <w:highlight w:val="none"/>
              </w:rPr>
            </w:pPr>
          </w:p>
        </w:tc>
        <w:tc>
          <w:tcPr>
            <w:tcW w:w="1344" w:type="dxa"/>
          </w:tcPr>
          <w:p w14:paraId="66615AAE">
            <w:pPr>
              <w:jc w:val="center"/>
              <w:rPr>
                <w:rFonts w:hint="eastAsia" w:ascii="宋体" w:hAnsi="宋体" w:eastAsia="宋体" w:cs="宋体"/>
                <w:color w:val="000000"/>
                <w:sz w:val="24"/>
                <w:szCs w:val="24"/>
                <w:highlight w:val="none"/>
              </w:rPr>
            </w:pPr>
          </w:p>
        </w:tc>
        <w:tc>
          <w:tcPr>
            <w:tcW w:w="1344" w:type="dxa"/>
          </w:tcPr>
          <w:p w14:paraId="45F03948">
            <w:pPr>
              <w:jc w:val="center"/>
              <w:rPr>
                <w:rFonts w:hint="eastAsia" w:ascii="宋体" w:hAnsi="宋体" w:eastAsia="宋体" w:cs="宋体"/>
                <w:color w:val="000000"/>
                <w:sz w:val="24"/>
                <w:szCs w:val="24"/>
                <w:highlight w:val="none"/>
              </w:rPr>
            </w:pPr>
          </w:p>
        </w:tc>
      </w:tr>
      <w:tr w14:paraId="7A9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DCD593F">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695" w:type="dxa"/>
            <w:vAlign w:val="center"/>
          </w:tcPr>
          <w:p w14:paraId="2E69AA77">
            <w:pPr>
              <w:jc w:val="center"/>
              <w:rPr>
                <w:rFonts w:hint="eastAsia" w:ascii="宋体" w:hAnsi="宋体" w:eastAsia="宋体" w:cs="宋体"/>
                <w:color w:val="000000"/>
                <w:sz w:val="24"/>
                <w:szCs w:val="24"/>
                <w:highlight w:val="none"/>
              </w:rPr>
            </w:pPr>
          </w:p>
        </w:tc>
        <w:tc>
          <w:tcPr>
            <w:tcW w:w="3404" w:type="dxa"/>
          </w:tcPr>
          <w:p w14:paraId="0EC9B6E4">
            <w:pPr>
              <w:jc w:val="center"/>
              <w:rPr>
                <w:rFonts w:hint="eastAsia" w:ascii="宋体" w:hAnsi="宋体" w:eastAsia="宋体" w:cs="宋体"/>
                <w:color w:val="000000"/>
                <w:sz w:val="24"/>
                <w:szCs w:val="24"/>
                <w:highlight w:val="none"/>
              </w:rPr>
            </w:pPr>
          </w:p>
        </w:tc>
        <w:tc>
          <w:tcPr>
            <w:tcW w:w="1344" w:type="dxa"/>
            <w:vAlign w:val="center"/>
          </w:tcPr>
          <w:p w14:paraId="51203950">
            <w:pPr>
              <w:jc w:val="center"/>
              <w:rPr>
                <w:rFonts w:hint="eastAsia" w:ascii="宋体" w:hAnsi="宋体" w:eastAsia="宋体" w:cs="宋体"/>
                <w:color w:val="000000"/>
                <w:sz w:val="24"/>
                <w:szCs w:val="24"/>
                <w:highlight w:val="none"/>
              </w:rPr>
            </w:pPr>
          </w:p>
        </w:tc>
        <w:tc>
          <w:tcPr>
            <w:tcW w:w="1344" w:type="dxa"/>
          </w:tcPr>
          <w:p w14:paraId="4B0CCA67">
            <w:pPr>
              <w:jc w:val="center"/>
              <w:rPr>
                <w:rFonts w:hint="eastAsia" w:ascii="宋体" w:hAnsi="宋体" w:eastAsia="宋体" w:cs="宋体"/>
                <w:color w:val="000000"/>
                <w:sz w:val="24"/>
                <w:szCs w:val="24"/>
                <w:highlight w:val="none"/>
              </w:rPr>
            </w:pPr>
          </w:p>
        </w:tc>
        <w:tc>
          <w:tcPr>
            <w:tcW w:w="1344" w:type="dxa"/>
          </w:tcPr>
          <w:p w14:paraId="7706E886">
            <w:pPr>
              <w:jc w:val="center"/>
              <w:rPr>
                <w:rFonts w:hint="eastAsia" w:ascii="宋体" w:hAnsi="宋体" w:eastAsia="宋体" w:cs="宋体"/>
                <w:color w:val="000000"/>
                <w:sz w:val="24"/>
                <w:szCs w:val="24"/>
                <w:highlight w:val="none"/>
              </w:rPr>
            </w:pPr>
          </w:p>
        </w:tc>
      </w:tr>
      <w:tr w14:paraId="64E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31D3EB3">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695" w:type="dxa"/>
            <w:vAlign w:val="center"/>
          </w:tcPr>
          <w:p w14:paraId="3E1CBA28">
            <w:pPr>
              <w:jc w:val="center"/>
              <w:rPr>
                <w:rFonts w:hint="eastAsia" w:ascii="宋体" w:hAnsi="宋体" w:eastAsia="宋体" w:cs="宋体"/>
                <w:color w:val="000000"/>
                <w:sz w:val="24"/>
                <w:szCs w:val="24"/>
                <w:highlight w:val="none"/>
              </w:rPr>
            </w:pPr>
          </w:p>
        </w:tc>
        <w:tc>
          <w:tcPr>
            <w:tcW w:w="3404" w:type="dxa"/>
          </w:tcPr>
          <w:p w14:paraId="210FE2D7">
            <w:pPr>
              <w:jc w:val="center"/>
              <w:rPr>
                <w:rFonts w:hint="eastAsia" w:ascii="宋体" w:hAnsi="宋体" w:eastAsia="宋体" w:cs="宋体"/>
                <w:color w:val="000000"/>
                <w:sz w:val="24"/>
                <w:szCs w:val="24"/>
                <w:highlight w:val="none"/>
              </w:rPr>
            </w:pPr>
          </w:p>
        </w:tc>
        <w:tc>
          <w:tcPr>
            <w:tcW w:w="1344" w:type="dxa"/>
            <w:vAlign w:val="center"/>
          </w:tcPr>
          <w:p w14:paraId="7F78F411">
            <w:pPr>
              <w:jc w:val="center"/>
              <w:rPr>
                <w:rFonts w:hint="eastAsia" w:ascii="宋体" w:hAnsi="宋体" w:eastAsia="宋体" w:cs="宋体"/>
                <w:color w:val="000000"/>
                <w:sz w:val="24"/>
                <w:szCs w:val="24"/>
                <w:highlight w:val="none"/>
              </w:rPr>
            </w:pPr>
          </w:p>
        </w:tc>
        <w:tc>
          <w:tcPr>
            <w:tcW w:w="1344" w:type="dxa"/>
          </w:tcPr>
          <w:p w14:paraId="724B71F4">
            <w:pPr>
              <w:jc w:val="center"/>
              <w:rPr>
                <w:rFonts w:hint="eastAsia" w:ascii="宋体" w:hAnsi="宋体" w:eastAsia="宋体" w:cs="宋体"/>
                <w:color w:val="000000"/>
                <w:sz w:val="24"/>
                <w:szCs w:val="24"/>
                <w:highlight w:val="none"/>
              </w:rPr>
            </w:pPr>
          </w:p>
        </w:tc>
        <w:tc>
          <w:tcPr>
            <w:tcW w:w="1344" w:type="dxa"/>
          </w:tcPr>
          <w:p w14:paraId="2FAE26E3">
            <w:pPr>
              <w:jc w:val="center"/>
              <w:rPr>
                <w:rFonts w:hint="eastAsia" w:ascii="宋体" w:hAnsi="宋体" w:eastAsia="宋体" w:cs="宋体"/>
                <w:color w:val="000000"/>
                <w:sz w:val="24"/>
                <w:szCs w:val="24"/>
                <w:highlight w:val="none"/>
              </w:rPr>
            </w:pPr>
          </w:p>
        </w:tc>
      </w:tr>
      <w:tr w14:paraId="7FC9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F25386">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695" w:type="dxa"/>
            <w:vAlign w:val="center"/>
          </w:tcPr>
          <w:p w14:paraId="34EAF426">
            <w:pPr>
              <w:jc w:val="center"/>
              <w:rPr>
                <w:rFonts w:hint="eastAsia" w:ascii="宋体" w:hAnsi="宋体" w:eastAsia="宋体" w:cs="宋体"/>
                <w:color w:val="000000"/>
                <w:sz w:val="24"/>
                <w:szCs w:val="24"/>
                <w:highlight w:val="none"/>
              </w:rPr>
            </w:pPr>
          </w:p>
        </w:tc>
        <w:tc>
          <w:tcPr>
            <w:tcW w:w="3404" w:type="dxa"/>
          </w:tcPr>
          <w:p w14:paraId="03684E52">
            <w:pPr>
              <w:jc w:val="center"/>
              <w:rPr>
                <w:rFonts w:hint="eastAsia" w:ascii="宋体" w:hAnsi="宋体" w:eastAsia="宋体" w:cs="宋体"/>
                <w:color w:val="000000"/>
                <w:sz w:val="24"/>
                <w:szCs w:val="24"/>
                <w:highlight w:val="none"/>
              </w:rPr>
            </w:pPr>
          </w:p>
        </w:tc>
        <w:tc>
          <w:tcPr>
            <w:tcW w:w="1344" w:type="dxa"/>
            <w:vAlign w:val="center"/>
          </w:tcPr>
          <w:p w14:paraId="03B1FEE5">
            <w:pPr>
              <w:jc w:val="center"/>
              <w:rPr>
                <w:rFonts w:hint="eastAsia" w:ascii="宋体" w:hAnsi="宋体" w:eastAsia="宋体" w:cs="宋体"/>
                <w:color w:val="000000"/>
                <w:sz w:val="24"/>
                <w:szCs w:val="24"/>
                <w:highlight w:val="none"/>
              </w:rPr>
            </w:pPr>
          </w:p>
        </w:tc>
        <w:tc>
          <w:tcPr>
            <w:tcW w:w="1344" w:type="dxa"/>
          </w:tcPr>
          <w:p w14:paraId="575C8C61">
            <w:pPr>
              <w:jc w:val="center"/>
              <w:rPr>
                <w:rFonts w:hint="eastAsia" w:ascii="宋体" w:hAnsi="宋体" w:eastAsia="宋体" w:cs="宋体"/>
                <w:color w:val="000000"/>
                <w:sz w:val="24"/>
                <w:szCs w:val="24"/>
                <w:highlight w:val="none"/>
              </w:rPr>
            </w:pPr>
          </w:p>
        </w:tc>
        <w:tc>
          <w:tcPr>
            <w:tcW w:w="1344" w:type="dxa"/>
          </w:tcPr>
          <w:p w14:paraId="1FF8BB2D">
            <w:pPr>
              <w:jc w:val="center"/>
              <w:rPr>
                <w:rFonts w:hint="eastAsia" w:ascii="宋体" w:hAnsi="宋体" w:eastAsia="宋体" w:cs="宋体"/>
                <w:color w:val="000000"/>
                <w:sz w:val="24"/>
                <w:szCs w:val="24"/>
                <w:highlight w:val="none"/>
              </w:rPr>
            </w:pPr>
          </w:p>
        </w:tc>
      </w:tr>
      <w:tr w14:paraId="0D5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C417C50">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695" w:type="dxa"/>
            <w:vAlign w:val="center"/>
          </w:tcPr>
          <w:p w14:paraId="5FF094C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人工费</w:t>
            </w:r>
          </w:p>
        </w:tc>
        <w:tc>
          <w:tcPr>
            <w:tcW w:w="3404" w:type="dxa"/>
          </w:tcPr>
          <w:p w14:paraId="4810C4BB">
            <w:pPr>
              <w:jc w:val="center"/>
              <w:rPr>
                <w:rFonts w:hint="eastAsia" w:ascii="宋体" w:hAnsi="宋体" w:eastAsia="宋体" w:cs="宋体"/>
                <w:color w:val="000000"/>
                <w:sz w:val="24"/>
                <w:szCs w:val="24"/>
                <w:highlight w:val="none"/>
              </w:rPr>
            </w:pPr>
          </w:p>
        </w:tc>
        <w:tc>
          <w:tcPr>
            <w:tcW w:w="1344" w:type="dxa"/>
            <w:vAlign w:val="center"/>
          </w:tcPr>
          <w:p w14:paraId="4E536B77">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344" w:type="dxa"/>
          </w:tcPr>
          <w:p w14:paraId="5E7A9651">
            <w:pPr>
              <w:jc w:val="center"/>
              <w:rPr>
                <w:rFonts w:hint="eastAsia" w:ascii="宋体" w:hAnsi="宋体" w:eastAsia="宋体" w:cs="宋体"/>
                <w:color w:val="000000"/>
                <w:sz w:val="24"/>
                <w:szCs w:val="24"/>
                <w:highlight w:val="none"/>
              </w:rPr>
            </w:pPr>
          </w:p>
        </w:tc>
        <w:tc>
          <w:tcPr>
            <w:tcW w:w="1344" w:type="dxa"/>
          </w:tcPr>
          <w:p w14:paraId="72FAC092">
            <w:pPr>
              <w:jc w:val="center"/>
              <w:rPr>
                <w:rFonts w:hint="eastAsia" w:ascii="宋体" w:hAnsi="宋体" w:eastAsia="宋体" w:cs="宋体"/>
                <w:color w:val="000000"/>
                <w:sz w:val="24"/>
                <w:szCs w:val="24"/>
                <w:highlight w:val="none"/>
              </w:rPr>
            </w:pPr>
          </w:p>
        </w:tc>
      </w:tr>
      <w:tr w14:paraId="1A3F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A9672C">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695" w:type="dxa"/>
            <w:vAlign w:val="center"/>
          </w:tcPr>
          <w:p w14:paraId="34DB1A0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运输费</w:t>
            </w:r>
          </w:p>
        </w:tc>
        <w:tc>
          <w:tcPr>
            <w:tcW w:w="3404" w:type="dxa"/>
          </w:tcPr>
          <w:p w14:paraId="49412A08">
            <w:pPr>
              <w:jc w:val="center"/>
              <w:rPr>
                <w:rFonts w:hint="eastAsia" w:ascii="宋体" w:hAnsi="宋体" w:eastAsia="宋体" w:cs="宋体"/>
                <w:color w:val="000000"/>
                <w:sz w:val="24"/>
                <w:szCs w:val="24"/>
                <w:highlight w:val="none"/>
              </w:rPr>
            </w:pPr>
          </w:p>
        </w:tc>
        <w:tc>
          <w:tcPr>
            <w:tcW w:w="1344" w:type="dxa"/>
            <w:vAlign w:val="center"/>
          </w:tcPr>
          <w:p w14:paraId="764A6DF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344" w:type="dxa"/>
          </w:tcPr>
          <w:p w14:paraId="5AF884B5">
            <w:pPr>
              <w:jc w:val="center"/>
              <w:rPr>
                <w:rFonts w:hint="eastAsia" w:ascii="宋体" w:hAnsi="宋体" w:eastAsia="宋体" w:cs="宋体"/>
                <w:color w:val="000000"/>
                <w:sz w:val="24"/>
                <w:szCs w:val="24"/>
                <w:highlight w:val="none"/>
              </w:rPr>
            </w:pPr>
          </w:p>
        </w:tc>
        <w:tc>
          <w:tcPr>
            <w:tcW w:w="1344" w:type="dxa"/>
          </w:tcPr>
          <w:p w14:paraId="3F0F9009">
            <w:pPr>
              <w:jc w:val="center"/>
              <w:rPr>
                <w:rFonts w:hint="eastAsia" w:ascii="宋体" w:hAnsi="宋体" w:eastAsia="宋体" w:cs="宋体"/>
                <w:color w:val="000000"/>
                <w:sz w:val="24"/>
                <w:szCs w:val="24"/>
                <w:highlight w:val="none"/>
              </w:rPr>
            </w:pPr>
          </w:p>
        </w:tc>
      </w:tr>
      <w:tr w14:paraId="00A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18D2E1">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695" w:type="dxa"/>
            <w:vAlign w:val="center"/>
          </w:tcPr>
          <w:p w14:paraId="7C575EA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其他费用</w:t>
            </w:r>
          </w:p>
        </w:tc>
        <w:tc>
          <w:tcPr>
            <w:tcW w:w="3404" w:type="dxa"/>
          </w:tcPr>
          <w:p w14:paraId="217BF131">
            <w:pPr>
              <w:jc w:val="center"/>
              <w:rPr>
                <w:rFonts w:hint="eastAsia" w:ascii="宋体" w:hAnsi="宋体" w:eastAsia="宋体" w:cs="宋体"/>
                <w:color w:val="000000"/>
                <w:sz w:val="24"/>
                <w:szCs w:val="24"/>
                <w:highlight w:val="none"/>
              </w:rPr>
            </w:pPr>
          </w:p>
        </w:tc>
        <w:tc>
          <w:tcPr>
            <w:tcW w:w="1344" w:type="dxa"/>
            <w:vAlign w:val="center"/>
          </w:tcPr>
          <w:p w14:paraId="47ADD0D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344" w:type="dxa"/>
          </w:tcPr>
          <w:p w14:paraId="392E4A6A">
            <w:pPr>
              <w:jc w:val="center"/>
              <w:rPr>
                <w:rFonts w:hint="eastAsia" w:ascii="宋体" w:hAnsi="宋体" w:eastAsia="宋体" w:cs="宋体"/>
                <w:color w:val="000000"/>
                <w:sz w:val="24"/>
                <w:szCs w:val="24"/>
                <w:highlight w:val="none"/>
              </w:rPr>
            </w:pPr>
          </w:p>
        </w:tc>
        <w:tc>
          <w:tcPr>
            <w:tcW w:w="1344" w:type="dxa"/>
          </w:tcPr>
          <w:p w14:paraId="49188EF1">
            <w:pPr>
              <w:jc w:val="center"/>
              <w:rPr>
                <w:rFonts w:hint="eastAsia" w:ascii="宋体" w:hAnsi="宋体" w:eastAsia="宋体" w:cs="宋体"/>
                <w:color w:val="000000"/>
                <w:sz w:val="24"/>
                <w:szCs w:val="24"/>
                <w:highlight w:val="none"/>
              </w:rPr>
            </w:pPr>
          </w:p>
        </w:tc>
      </w:tr>
      <w:tr w14:paraId="01BC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810EF08">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695" w:type="dxa"/>
            <w:vAlign w:val="center"/>
          </w:tcPr>
          <w:p w14:paraId="2B24C3E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3404" w:type="dxa"/>
          </w:tcPr>
          <w:p w14:paraId="6E7601A0">
            <w:pPr>
              <w:jc w:val="center"/>
              <w:rPr>
                <w:rFonts w:hint="eastAsia" w:ascii="宋体" w:hAnsi="宋体" w:eastAsia="宋体" w:cs="宋体"/>
                <w:color w:val="000000"/>
                <w:sz w:val="24"/>
                <w:szCs w:val="24"/>
                <w:highlight w:val="none"/>
              </w:rPr>
            </w:pPr>
          </w:p>
        </w:tc>
        <w:tc>
          <w:tcPr>
            <w:tcW w:w="1344" w:type="dxa"/>
            <w:vAlign w:val="center"/>
          </w:tcPr>
          <w:p w14:paraId="3544439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344" w:type="dxa"/>
          </w:tcPr>
          <w:p w14:paraId="22B82646">
            <w:pPr>
              <w:jc w:val="center"/>
              <w:rPr>
                <w:rFonts w:hint="eastAsia" w:ascii="宋体" w:hAnsi="宋体" w:eastAsia="宋体" w:cs="宋体"/>
                <w:color w:val="000000"/>
                <w:sz w:val="24"/>
                <w:szCs w:val="24"/>
                <w:highlight w:val="none"/>
              </w:rPr>
            </w:pPr>
          </w:p>
        </w:tc>
        <w:tc>
          <w:tcPr>
            <w:tcW w:w="1344" w:type="dxa"/>
          </w:tcPr>
          <w:p w14:paraId="35795724">
            <w:pPr>
              <w:jc w:val="center"/>
              <w:rPr>
                <w:rFonts w:hint="eastAsia" w:ascii="宋体" w:hAnsi="宋体" w:eastAsia="宋体" w:cs="宋体"/>
                <w:color w:val="000000"/>
                <w:sz w:val="24"/>
                <w:szCs w:val="24"/>
                <w:highlight w:val="none"/>
              </w:rPr>
            </w:pPr>
          </w:p>
        </w:tc>
      </w:tr>
      <w:tr w14:paraId="10EB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635379">
            <w:pPr>
              <w:pStyle w:val="23"/>
              <w:spacing w:line="240" w:lineRule="atLeast"/>
              <w:ind w:left="3920"/>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695" w:type="dxa"/>
            <w:vAlign w:val="center"/>
          </w:tcPr>
          <w:p w14:paraId="13D5E8D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p>
        </w:tc>
        <w:tc>
          <w:tcPr>
            <w:tcW w:w="7436" w:type="dxa"/>
            <w:gridSpan w:val="4"/>
          </w:tcPr>
          <w:p w14:paraId="0A5CA45F">
            <w:pPr>
              <w:rPr>
                <w:rFonts w:hint="eastAsia" w:ascii="宋体" w:hAnsi="宋体" w:eastAsia="宋体" w:cs="宋体"/>
                <w:color w:val="000000"/>
                <w:sz w:val="24"/>
                <w:szCs w:val="24"/>
                <w:highlight w:val="none"/>
              </w:rPr>
            </w:pPr>
          </w:p>
        </w:tc>
      </w:tr>
    </w:tbl>
    <w:p w14:paraId="45F9EC1E">
      <w:pPr>
        <w:snapToGrid w:val="0"/>
        <w:spacing w:line="500" w:lineRule="exact"/>
        <w:ind w:firstLine="480" w:firstLineChars="200"/>
        <w:rPr>
          <w:rFonts w:hint="eastAsia" w:ascii="宋体" w:hAnsi="宋体" w:eastAsia="宋体" w:cs="宋体"/>
          <w:color w:val="000000"/>
          <w:sz w:val="24"/>
          <w:szCs w:val="24"/>
          <w:highlight w:val="none"/>
        </w:rPr>
      </w:pPr>
    </w:p>
    <w:p w14:paraId="3C86C1BC">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注：1.请供应商完整填写本表。</w:t>
      </w:r>
    </w:p>
    <w:p w14:paraId="26099CFA">
      <w:pPr>
        <w:snapToGrid w:val="0"/>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2.该表可扩展</w:t>
      </w:r>
      <w:bookmarkStart w:id="105" w:name="OLE_LINK2"/>
      <w:r>
        <w:rPr>
          <w:rFonts w:hint="eastAsia" w:ascii="宋体" w:hAnsi="宋体" w:eastAsia="宋体" w:cs="宋体"/>
          <w:color w:val="000000"/>
          <w:sz w:val="24"/>
          <w:szCs w:val="24"/>
          <w:highlight w:val="none"/>
        </w:rPr>
        <w:t>，并逐页签字或盖章。</w:t>
      </w:r>
      <w:bookmarkEnd w:id="105"/>
    </w:p>
    <w:p w14:paraId="0F32F1C3">
      <w:pPr>
        <w:snapToGrid w:val="0"/>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3.该表可根据项目实际情况调整。</w:t>
      </w:r>
    </w:p>
    <w:p w14:paraId="7069CAA7">
      <w:pPr>
        <w:pStyle w:val="37"/>
        <w:spacing w:line="360" w:lineRule="auto"/>
        <w:rPr>
          <w:rFonts w:hint="eastAsia" w:ascii="宋体" w:hAnsi="宋体" w:eastAsia="宋体" w:cs="宋体"/>
          <w:color w:val="000000"/>
          <w:sz w:val="24"/>
          <w:szCs w:val="24"/>
          <w:highlight w:val="none"/>
        </w:rPr>
      </w:pPr>
    </w:p>
    <w:p w14:paraId="08B0EAD0">
      <w:pPr>
        <w:pStyle w:val="37"/>
        <w:spacing w:line="360" w:lineRule="auto"/>
        <w:rPr>
          <w:rFonts w:hint="eastAsia" w:ascii="宋体" w:hAnsi="宋体" w:eastAsia="宋体" w:cs="宋体"/>
          <w:color w:val="000000"/>
          <w:sz w:val="24"/>
          <w:szCs w:val="24"/>
          <w:highlight w:val="none"/>
        </w:rPr>
      </w:pPr>
    </w:p>
    <w:p w14:paraId="1A453493">
      <w:pPr>
        <w:rPr>
          <w:rFonts w:hint="eastAsia" w:ascii="宋体" w:hAnsi="宋体" w:eastAsia="宋体" w:cs="宋体"/>
          <w:color w:val="000000"/>
          <w:sz w:val="24"/>
          <w:szCs w:val="24"/>
          <w:highlight w:val="none"/>
        </w:rPr>
      </w:pPr>
    </w:p>
    <w:p w14:paraId="2553390E">
      <w:pPr>
        <w:rPr>
          <w:rFonts w:hint="eastAsia" w:ascii="宋体" w:hAnsi="宋体" w:eastAsia="宋体" w:cs="宋体"/>
          <w:color w:val="000000"/>
          <w:sz w:val="24"/>
          <w:szCs w:val="24"/>
          <w:highlight w:val="none"/>
        </w:rPr>
      </w:pPr>
    </w:p>
    <w:p w14:paraId="6E5F558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供应商名称（公章）：</w:t>
      </w:r>
    </w:p>
    <w:p w14:paraId="7FA6F150">
      <w:pPr>
        <w:spacing w:line="360" w:lineRule="auto"/>
        <w:ind w:right="480" w:firstLine="6480" w:firstLineChars="27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14:paraId="71234062">
      <w:pPr>
        <w:snapToGrid w:val="0"/>
        <w:spacing w:line="360" w:lineRule="auto"/>
        <w:ind w:firstLine="480" w:firstLineChars="200"/>
        <w:rPr>
          <w:rFonts w:hint="eastAsia" w:ascii="宋体" w:hAnsi="宋体" w:eastAsia="宋体" w:cs="宋体"/>
          <w:color w:val="000000"/>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6D031B8E">
      <w:pPr>
        <w:pStyle w:val="4"/>
        <w:spacing w:before="0" w:after="0" w:line="360" w:lineRule="auto"/>
        <w:rPr>
          <w:rFonts w:hint="eastAsia" w:ascii="宋体" w:hAnsi="宋体" w:eastAsia="宋体" w:cs="宋体"/>
          <w:color w:val="000000"/>
          <w:sz w:val="24"/>
          <w:szCs w:val="24"/>
          <w:highlight w:val="none"/>
        </w:rPr>
      </w:pPr>
      <w:bookmarkStart w:id="106" w:name="_Toc342913420"/>
      <w:bookmarkStart w:id="107" w:name="_Toc22242"/>
      <w:bookmarkStart w:id="108" w:name="_Toc27452"/>
      <w:bookmarkStart w:id="109" w:name="_Toc313888361"/>
      <w:bookmarkStart w:id="110" w:name="_Toc313008357"/>
      <w:r>
        <w:rPr>
          <w:rFonts w:hint="eastAsia" w:ascii="宋体" w:hAnsi="宋体" w:eastAsia="宋体" w:cs="宋体"/>
          <w:color w:val="000000"/>
          <w:sz w:val="24"/>
          <w:szCs w:val="24"/>
          <w:highlight w:val="none"/>
        </w:rPr>
        <w:t>二、服务部分</w:t>
      </w:r>
      <w:bookmarkEnd w:id="106"/>
      <w:bookmarkEnd w:id="107"/>
      <w:bookmarkEnd w:id="108"/>
      <w:bookmarkEnd w:id="109"/>
      <w:bookmarkEnd w:id="110"/>
    </w:p>
    <w:p w14:paraId="6D50DB8A">
      <w:pPr>
        <w:snapToGrid w:val="0"/>
        <w:spacing w:line="360" w:lineRule="auto"/>
        <w:jc w:val="center"/>
        <w:rPr>
          <w:rFonts w:hint="eastAsia" w:ascii="宋体" w:hAnsi="宋体" w:eastAsia="宋体" w:cs="宋体"/>
          <w:color w:val="000000"/>
          <w:sz w:val="24"/>
          <w:szCs w:val="24"/>
          <w:highlight w:val="none"/>
        </w:rPr>
      </w:pPr>
    </w:p>
    <w:p w14:paraId="4EEEFFB8">
      <w:pPr>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（一）服务方案（格式自定）</w:t>
      </w:r>
    </w:p>
    <w:p w14:paraId="42B6CC16">
      <w:pPr>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（二）项目实施方案（格式自定）</w:t>
      </w:r>
    </w:p>
    <w:p w14:paraId="5187D1FD">
      <w:pPr>
        <w:pStyle w:val="33"/>
        <w:rPr>
          <w:rFonts w:hint="eastAsia" w:ascii="宋体" w:hAnsi="宋体" w:eastAsia="宋体" w:cs="宋体"/>
          <w:highlight w:val="none"/>
        </w:rPr>
      </w:pPr>
    </w:p>
    <w:p w14:paraId="6B17FC9D">
      <w:pPr>
        <w:tabs>
          <w:tab w:val="left" w:pos="6300"/>
        </w:tabs>
        <w:snapToGrid w:val="0"/>
        <w:spacing w:line="500" w:lineRule="exact"/>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（三）服务响应偏离表</w:t>
      </w:r>
    </w:p>
    <w:p w14:paraId="26561431">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14:paraId="036606C1">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4F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25B23DD">
            <w:pPr>
              <w:tabs>
                <w:tab w:val="left" w:pos="6300"/>
              </w:tabs>
              <w:snapToGrid w:val="0"/>
              <w:spacing w:line="5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658" w:type="dxa"/>
            <w:vAlign w:val="center"/>
          </w:tcPr>
          <w:p w14:paraId="4D3F0135">
            <w:pPr>
              <w:tabs>
                <w:tab w:val="left" w:pos="6300"/>
              </w:tabs>
              <w:snapToGrid w:val="0"/>
              <w:spacing w:line="5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2759" w:type="dxa"/>
            <w:vAlign w:val="center"/>
          </w:tcPr>
          <w:p w14:paraId="07749B46">
            <w:pPr>
              <w:tabs>
                <w:tab w:val="left" w:pos="6300"/>
              </w:tabs>
              <w:snapToGrid w:val="0"/>
              <w:spacing w:line="5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067" w:type="dxa"/>
            <w:vAlign w:val="center"/>
          </w:tcPr>
          <w:p w14:paraId="0A9E25B5">
            <w:pPr>
              <w:tabs>
                <w:tab w:val="left" w:pos="6300"/>
              </w:tabs>
              <w:snapToGrid w:val="0"/>
              <w:spacing w:line="5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差异说明</w:t>
            </w:r>
          </w:p>
        </w:tc>
      </w:tr>
      <w:tr w14:paraId="6BB3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8E8DF8">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07D41CEA">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71B1D3D6">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0242F19C">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5BEE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14F809">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274C63A3">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5B62BE59">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7F9A3BD1">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5FB3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A35B3B">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6ECDC8F3">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5E2C721C">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1EBD7F44">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5AA8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679A84">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01773281">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7B293230">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74296C99">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7669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1E832A">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2C6195BF">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0358E426">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5EEF068D">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55F0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8625D">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17EAD540">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27245B58">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7F2CD526">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7EE7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AB2D61">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5FA04B63">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48EDB53D">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26902D3A">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0F0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8179A5">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58D1BA42">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458A7730">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5CDECBF0">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7EB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EF2393">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4B1CDEEC">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264A49B6">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2E2FED8C">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r w14:paraId="0EAC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8AC119">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658" w:type="dxa"/>
            <w:vAlign w:val="center"/>
          </w:tcPr>
          <w:p w14:paraId="4E6D451B">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759" w:type="dxa"/>
            <w:vAlign w:val="center"/>
          </w:tcPr>
          <w:p w14:paraId="350D76DB">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c>
          <w:tcPr>
            <w:tcW w:w="2067" w:type="dxa"/>
            <w:vAlign w:val="center"/>
          </w:tcPr>
          <w:p w14:paraId="44494F8A">
            <w:pPr>
              <w:tabs>
                <w:tab w:val="left" w:pos="6300"/>
              </w:tabs>
              <w:snapToGrid w:val="0"/>
              <w:spacing w:line="500" w:lineRule="exact"/>
              <w:jc w:val="center"/>
              <w:outlineLvl w:val="0"/>
              <w:rPr>
                <w:rFonts w:hint="eastAsia" w:ascii="宋体" w:hAnsi="宋体" w:eastAsia="宋体" w:cs="宋体"/>
                <w:color w:val="000000"/>
                <w:sz w:val="24"/>
                <w:szCs w:val="24"/>
                <w:highlight w:val="none"/>
              </w:rPr>
            </w:pPr>
          </w:p>
        </w:tc>
      </w:tr>
    </w:tbl>
    <w:p w14:paraId="657F76D5">
      <w:pPr>
        <w:spacing w:line="5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0FF211AF">
      <w:pPr>
        <w:spacing w:line="500" w:lineRule="exact"/>
        <w:rPr>
          <w:rFonts w:hint="eastAsia" w:ascii="宋体" w:hAnsi="宋体" w:eastAsia="宋体" w:cs="宋体"/>
          <w:color w:val="000000"/>
          <w:sz w:val="24"/>
          <w:szCs w:val="24"/>
          <w:highlight w:val="none"/>
        </w:rPr>
      </w:pPr>
    </w:p>
    <w:p w14:paraId="62E1F81D">
      <w:pPr>
        <w:spacing w:line="500" w:lineRule="exact"/>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5753F454">
      <w:pPr>
        <w:tabs>
          <w:tab w:val="left" w:pos="6300"/>
        </w:tabs>
        <w:snapToGrid w:val="0"/>
        <w:spacing w:line="500" w:lineRule="exact"/>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4B1ECBEE">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225024CD">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1.本表即为对本项目“第二篇  项目服务需求”中所列技术要求进行比较和响应；</w:t>
      </w:r>
    </w:p>
    <w:p w14:paraId="00CAED87">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2.该表必须按照竞争性磋商要求逐条如实填写，根据响应情况在“差异说明”项填写正偏离或负偏离及原因，完全符合的填写“无差异”；</w:t>
      </w:r>
    </w:p>
    <w:p w14:paraId="4920FD9E">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3.该表可扩展，并逐页签字或盖章；</w:t>
      </w:r>
    </w:p>
    <w:p w14:paraId="48AA7FE9">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4.可附相关技术支撑材料。（格式自定）</w:t>
      </w:r>
    </w:p>
    <w:p w14:paraId="3F569235">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5.若“响应情况”栏中仅填写“无偏离”或“有偏离”等内容而未作实质性参数描述，该供应商将失去成为成交供应商的资格，仅保留其合格供应商的身份。</w:t>
      </w:r>
    </w:p>
    <w:p w14:paraId="56BA59B4">
      <w:pPr>
        <w:pStyle w:val="4"/>
        <w:spacing w:before="0" w:after="0" w:line="360" w:lineRule="auto"/>
        <w:rPr>
          <w:rFonts w:hint="eastAsia" w:ascii="宋体" w:hAnsi="宋体" w:eastAsia="宋体" w:cs="宋体"/>
          <w:color w:val="000000"/>
          <w:sz w:val="24"/>
          <w:szCs w:val="24"/>
          <w:highlight w:val="none"/>
        </w:rPr>
      </w:pPr>
      <w:r>
        <w:rPr>
          <w:rFonts w:hint="eastAsia" w:ascii="宋体" w:hAnsi="宋体" w:eastAsia="宋体" w:cs="宋体"/>
          <w:b w:val="0"/>
          <w:color w:val="000000"/>
          <w:sz w:val="24"/>
          <w:szCs w:val="24"/>
          <w:highlight w:val="none"/>
        </w:rPr>
        <w:br w:type="page"/>
      </w:r>
      <w:bookmarkStart w:id="111" w:name="_Toc313008358"/>
      <w:bookmarkStart w:id="112" w:name="_Toc9608"/>
      <w:bookmarkStart w:id="113" w:name="_Toc313888362"/>
      <w:bookmarkStart w:id="114" w:name="_Toc6271"/>
      <w:bookmarkStart w:id="115" w:name="_Toc342913421"/>
      <w:r>
        <w:rPr>
          <w:rFonts w:hint="eastAsia" w:ascii="宋体" w:hAnsi="宋体" w:eastAsia="宋体" w:cs="宋体"/>
          <w:color w:val="000000"/>
          <w:sz w:val="24"/>
          <w:szCs w:val="24"/>
          <w:highlight w:val="none"/>
        </w:rPr>
        <w:t>三、商务部分</w:t>
      </w:r>
      <w:bookmarkEnd w:id="111"/>
      <w:bookmarkEnd w:id="112"/>
      <w:bookmarkEnd w:id="113"/>
      <w:bookmarkEnd w:id="114"/>
      <w:bookmarkEnd w:id="115"/>
    </w:p>
    <w:p w14:paraId="5003245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bookmarkStart w:id="116" w:name="_Toc283382459"/>
      <w:r>
        <w:rPr>
          <w:rFonts w:hint="eastAsia" w:ascii="宋体" w:hAnsi="宋体" w:eastAsia="宋体" w:cs="宋体"/>
          <w:color w:val="000000"/>
          <w:sz w:val="24"/>
          <w:szCs w:val="24"/>
          <w:highlight w:val="none"/>
        </w:rPr>
        <w:t>商务响应偏离表</w:t>
      </w:r>
    </w:p>
    <w:p w14:paraId="23539120">
      <w:pPr>
        <w:snapToGrid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商务响应偏离表（本表可自行设计格式）</w:t>
      </w:r>
    </w:p>
    <w:p w14:paraId="0321AF1B">
      <w:pPr>
        <w:snapToGrid w:val="0"/>
        <w:spacing w:line="360" w:lineRule="auto"/>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702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BEDCCA6">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179" w:type="dxa"/>
            <w:vAlign w:val="center"/>
          </w:tcPr>
          <w:p w14:paraId="39518638">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磋商项目需求</w:t>
            </w:r>
          </w:p>
        </w:tc>
        <w:tc>
          <w:tcPr>
            <w:tcW w:w="2434" w:type="dxa"/>
            <w:vAlign w:val="center"/>
          </w:tcPr>
          <w:p w14:paraId="6119F008">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355" w:type="dxa"/>
            <w:vAlign w:val="center"/>
          </w:tcPr>
          <w:p w14:paraId="500BE7B5">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偏离说明</w:t>
            </w:r>
          </w:p>
        </w:tc>
      </w:tr>
      <w:tr w14:paraId="0588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CC4FA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73172B1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521FFCDA">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3808812D">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03C5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39B4D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047ADFFE">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2FF6AAA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6C36162A">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2FE6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4189DE">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3E7649E0">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5EB937AA">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2457CC10">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40BD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8C8B6E">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3B87DD80">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62943F04">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1F877AA9">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389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4E62F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489AF34B">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1B3DCA0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6DD4092D">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6862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92659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179" w:type="dxa"/>
            <w:vAlign w:val="center"/>
          </w:tcPr>
          <w:p w14:paraId="1E258F3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434" w:type="dxa"/>
            <w:vAlign w:val="center"/>
          </w:tcPr>
          <w:p w14:paraId="40D1E75B">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355" w:type="dxa"/>
            <w:vAlign w:val="center"/>
          </w:tcPr>
          <w:p w14:paraId="24DD49C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bl>
    <w:p w14:paraId="39746D87">
      <w:pPr>
        <w:snapToGrid w:val="0"/>
        <w:spacing w:line="360" w:lineRule="auto"/>
        <w:ind w:firstLine="465"/>
        <w:rPr>
          <w:rFonts w:hint="eastAsia" w:ascii="宋体" w:hAnsi="宋体" w:eastAsia="宋体" w:cs="宋体"/>
          <w:color w:val="000000"/>
          <w:sz w:val="24"/>
          <w:szCs w:val="24"/>
          <w:highlight w:val="none"/>
        </w:rPr>
      </w:pPr>
    </w:p>
    <w:p w14:paraId="057C7F7E">
      <w:pPr>
        <w:spacing w:line="5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7B052B32">
      <w:pPr>
        <w:spacing w:line="500" w:lineRule="exact"/>
        <w:rPr>
          <w:rFonts w:hint="eastAsia" w:ascii="宋体" w:hAnsi="宋体" w:eastAsia="宋体" w:cs="宋体"/>
          <w:color w:val="000000"/>
          <w:sz w:val="24"/>
          <w:szCs w:val="24"/>
          <w:highlight w:val="none"/>
        </w:rPr>
      </w:pPr>
    </w:p>
    <w:p w14:paraId="078F9235">
      <w:pPr>
        <w:spacing w:line="5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3AE2E40D">
      <w:pPr>
        <w:tabs>
          <w:tab w:val="left" w:pos="6300"/>
        </w:tabs>
        <w:snapToGrid w:val="0"/>
        <w:spacing w:line="500" w:lineRule="exact"/>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5DB9883F">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0AABE13F">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1.本表即为对本项目“第三篇 </w:t>
      </w: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商务需求”中所列服务要求进行比较和响应；</w:t>
      </w:r>
    </w:p>
    <w:p w14:paraId="2A1EE512">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2.该表必须按照竞争性磋商要求逐条如实填写，根据响应情况在“差异说明”项填写正偏离或负偏离及原因，完全符合的填写“无差异”；</w:t>
      </w:r>
    </w:p>
    <w:p w14:paraId="713E60DB">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3.该表可扩展，并逐页签字或盖章；</w:t>
      </w:r>
    </w:p>
    <w:p w14:paraId="5858E4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（二）其它优惠承诺（格式自定）</w:t>
      </w:r>
    </w:p>
    <w:p w14:paraId="28266FAC">
      <w:pPr>
        <w:pStyle w:val="4"/>
        <w:spacing w:before="0" w:after="0" w:line="360" w:lineRule="auto"/>
        <w:rPr>
          <w:rFonts w:hint="eastAsia" w:ascii="宋体" w:hAnsi="宋体" w:eastAsia="宋体" w:cs="宋体"/>
          <w:sz w:val="24"/>
          <w:highlight w:val="none"/>
        </w:rPr>
      </w:pPr>
      <w:r>
        <w:rPr>
          <w:rFonts w:hint="eastAsia" w:ascii="宋体" w:hAnsi="宋体" w:eastAsia="宋体" w:cs="宋体"/>
          <w:color w:val="000000"/>
          <w:sz w:val="24"/>
          <w:szCs w:val="24"/>
          <w:highlight w:val="none"/>
        </w:rPr>
        <w:br w:type="page"/>
      </w:r>
      <w:bookmarkEnd w:id="116"/>
      <w:bookmarkStart w:id="117" w:name="_Toc313888363"/>
      <w:bookmarkStart w:id="118" w:name="_Toc13771"/>
      <w:bookmarkStart w:id="119" w:name="_Toc106030909"/>
      <w:bookmarkStart w:id="120" w:name="_Toc313008359"/>
      <w:bookmarkStart w:id="121" w:name="_Toc76462353"/>
      <w:bookmarkStart w:id="122" w:name="_Toc342913422"/>
      <w:r>
        <w:rPr>
          <w:rFonts w:hint="eastAsia" w:ascii="宋体" w:hAnsi="宋体" w:eastAsia="宋体" w:cs="宋体"/>
          <w:color w:val="000000"/>
          <w:sz w:val="24"/>
          <w:szCs w:val="24"/>
          <w:highlight w:val="none"/>
        </w:rPr>
        <w:t>四、资格条件</w:t>
      </w:r>
      <w:bookmarkEnd w:id="117"/>
      <w:bookmarkEnd w:id="118"/>
      <w:bookmarkEnd w:id="119"/>
      <w:bookmarkEnd w:id="120"/>
      <w:bookmarkEnd w:id="121"/>
      <w:bookmarkEnd w:id="122"/>
    </w:p>
    <w:p w14:paraId="3C30DA24">
      <w:pPr>
        <w:tabs>
          <w:tab w:val="left" w:pos="6300"/>
        </w:tabs>
        <w:snapToGrid w:val="0"/>
        <w:spacing w:line="4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02648062">
      <w:pPr>
        <w:tabs>
          <w:tab w:val="left" w:pos="6300"/>
        </w:tabs>
        <w:snapToGrid w:val="0"/>
        <w:spacing w:line="400" w:lineRule="exact"/>
        <w:ind w:firstLine="570"/>
        <w:rPr>
          <w:rFonts w:hint="eastAsia" w:ascii="宋体" w:hAnsi="宋体" w:eastAsia="宋体" w:cs="宋体"/>
          <w:highlight w:val="none"/>
        </w:rPr>
      </w:pPr>
    </w:p>
    <w:p w14:paraId="276CB9AD">
      <w:pPr>
        <w:tabs>
          <w:tab w:val="left" w:pos="6300"/>
        </w:tabs>
        <w:snapToGrid w:val="0"/>
        <w:spacing w:line="500" w:lineRule="exact"/>
        <w:ind w:firstLine="570"/>
        <w:rPr>
          <w:rFonts w:hint="eastAsia" w:ascii="宋体" w:hAnsi="宋体" w:eastAsia="宋体" w:cs="宋体"/>
          <w:highlight w:val="none"/>
        </w:rPr>
      </w:pPr>
    </w:p>
    <w:p w14:paraId="557ACA11">
      <w:pPr>
        <w:tabs>
          <w:tab w:val="left" w:pos="6300"/>
        </w:tabs>
        <w:snapToGrid w:val="0"/>
        <w:spacing w:line="500" w:lineRule="exact"/>
        <w:ind w:firstLine="570"/>
        <w:rPr>
          <w:rFonts w:hint="eastAsia" w:ascii="宋体" w:hAnsi="宋体" w:eastAsia="宋体" w:cs="宋体"/>
          <w:highlight w:val="none"/>
        </w:rPr>
      </w:pPr>
    </w:p>
    <w:p w14:paraId="71724EAF">
      <w:pPr>
        <w:tabs>
          <w:tab w:val="left" w:pos="6300"/>
        </w:tabs>
        <w:snapToGrid w:val="0"/>
        <w:spacing w:line="500" w:lineRule="exact"/>
        <w:ind w:firstLine="570"/>
        <w:rPr>
          <w:rFonts w:hint="eastAsia" w:ascii="宋体" w:hAnsi="宋体" w:eastAsia="宋体" w:cs="宋体"/>
          <w:highlight w:val="none"/>
        </w:rPr>
      </w:pPr>
    </w:p>
    <w:p w14:paraId="26C2C445">
      <w:pPr>
        <w:tabs>
          <w:tab w:val="left" w:pos="6300"/>
        </w:tabs>
        <w:snapToGrid w:val="0"/>
        <w:spacing w:line="500" w:lineRule="exact"/>
        <w:ind w:firstLine="570"/>
        <w:rPr>
          <w:rFonts w:hint="eastAsia" w:ascii="宋体" w:hAnsi="宋体" w:eastAsia="宋体" w:cs="宋体"/>
          <w:highlight w:val="none"/>
        </w:rPr>
      </w:pPr>
    </w:p>
    <w:p w14:paraId="111619C1">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（二）法定代表人身份证明书（格式）</w:t>
      </w:r>
    </w:p>
    <w:p w14:paraId="0AEAEE6B">
      <w:pPr>
        <w:tabs>
          <w:tab w:val="left" w:pos="6300"/>
        </w:tabs>
        <w:snapToGrid w:val="0"/>
        <w:spacing w:line="500" w:lineRule="exact"/>
        <w:ind w:firstLine="570"/>
        <w:rPr>
          <w:rFonts w:hint="eastAsia" w:ascii="宋体" w:hAnsi="宋体" w:eastAsia="宋体" w:cs="宋体"/>
          <w:sz w:val="24"/>
          <w:highlight w:val="none"/>
        </w:rPr>
      </w:pPr>
    </w:p>
    <w:p w14:paraId="67424346">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磋商项目名称：</w:t>
      </w:r>
      <w:r>
        <w:rPr>
          <w:rFonts w:hint="eastAsia" w:ascii="宋体" w:hAnsi="宋体" w:eastAsia="宋体" w:cs="宋体"/>
          <w:sz w:val="24"/>
          <w:highlight w:val="none"/>
          <w:u w:val="single"/>
        </w:rPr>
        <w:t xml:space="preserve">                                                </w:t>
      </w:r>
    </w:p>
    <w:p w14:paraId="62AF29BE">
      <w:pPr>
        <w:tabs>
          <w:tab w:val="left" w:pos="6300"/>
        </w:tabs>
        <w:snapToGrid w:val="0"/>
        <w:spacing w:line="500" w:lineRule="exact"/>
        <w:ind w:firstLine="570"/>
        <w:rPr>
          <w:rFonts w:hint="eastAsia" w:ascii="宋体" w:hAnsi="宋体" w:eastAsia="宋体" w:cs="宋体"/>
          <w:sz w:val="24"/>
          <w:highlight w:val="none"/>
        </w:rPr>
      </w:pPr>
    </w:p>
    <w:p w14:paraId="7548CF06">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4252798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（法定代表人姓名）</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性别</w:t>
      </w:r>
      <w:r>
        <w:rPr>
          <w:rFonts w:hint="eastAsia" w:ascii="宋体" w:hAnsi="宋体" w:eastAsia="宋体" w:cs="宋体"/>
          <w:color w:val="000000"/>
          <w:sz w:val="24"/>
          <w:highlight w:val="none"/>
          <w:lang w:eastAsia="zh-CN"/>
        </w:rPr>
        <w:t>）</w:t>
      </w:r>
      <w:r>
        <w:rPr>
          <w:rFonts w:hint="eastAsia" w:ascii="宋体" w:hAnsi="宋体" w:eastAsia="宋体" w:cs="宋体"/>
          <w:sz w:val="24"/>
          <w:highlight w:val="none"/>
        </w:rPr>
        <w:t>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（职务名称）职务，是（供应商名称）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37734651">
      <w:pPr>
        <w:tabs>
          <w:tab w:val="left" w:pos="6300"/>
        </w:tabs>
        <w:snapToGrid w:val="0"/>
        <w:spacing w:line="500" w:lineRule="exact"/>
        <w:ind w:firstLine="570"/>
        <w:rPr>
          <w:rFonts w:hint="eastAsia" w:ascii="宋体" w:hAnsi="宋体" w:eastAsia="宋体" w:cs="宋体"/>
          <w:sz w:val="24"/>
          <w:highlight w:val="none"/>
        </w:rPr>
      </w:pPr>
    </w:p>
    <w:p w14:paraId="2AFB1566">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特此证明。</w:t>
      </w:r>
    </w:p>
    <w:p w14:paraId="070C7B70">
      <w:pPr>
        <w:tabs>
          <w:tab w:val="left" w:pos="6300"/>
        </w:tabs>
        <w:snapToGrid w:val="0"/>
        <w:spacing w:line="500" w:lineRule="exact"/>
        <w:ind w:firstLine="570"/>
        <w:rPr>
          <w:rFonts w:hint="eastAsia" w:ascii="宋体" w:hAnsi="宋体" w:eastAsia="宋体" w:cs="宋体"/>
          <w:sz w:val="24"/>
          <w:highlight w:val="none"/>
        </w:rPr>
      </w:pPr>
    </w:p>
    <w:p w14:paraId="54A3B234">
      <w:pPr>
        <w:tabs>
          <w:tab w:val="left" w:pos="6300"/>
        </w:tabs>
        <w:snapToGrid w:val="0"/>
        <w:spacing w:line="500" w:lineRule="exact"/>
        <w:ind w:firstLine="570"/>
        <w:rPr>
          <w:rFonts w:hint="eastAsia" w:ascii="宋体" w:hAnsi="宋体" w:eastAsia="宋体" w:cs="宋体"/>
          <w:sz w:val="24"/>
          <w:highlight w:val="none"/>
        </w:rPr>
      </w:pPr>
    </w:p>
    <w:p w14:paraId="260AD336">
      <w:pPr>
        <w:tabs>
          <w:tab w:val="left" w:pos="6300"/>
        </w:tabs>
        <w:snapToGrid w:val="0"/>
        <w:spacing w:line="500" w:lineRule="exact"/>
        <w:ind w:firstLine="570"/>
        <w:rPr>
          <w:rFonts w:hint="eastAsia" w:ascii="宋体" w:hAnsi="宋体" w:eastAsia="宋体" w:cs="宋体"/>
          <w:sz w:val="24"/>
          <w:highlight w:val="none"/>
        </w:rPr>
      </w:pPr>
    </w:p>
    <w:p w14:paraId="7FD55282">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（供应商公章）</w:t>
      </w:r>
    </w:p>
    <w:p w14:paraId="655B9A96">
      <w:pPr>
        <w:tabs>
          <w:tab w:val="left" w:pos="6300"/>
        </w:tabs>
        <w:snapToGrid w:val="0"/>
        <w:spacing w:line="500" w:lineRule="exact"/>
        <w:ind w:firstLine="570"/>
        <w:rPr>
          <w:rFonts w:hint="eastAsia" w:ascii="宋体" w:hAnsi="宋体" w:eastAsia="宋体" w:cs="宋体"/>
          <w:sz w:val="24"/>
          <w:highlight w:val="none"/>
        </w:rPr>
      </w:pPr>
    </w:p>
    <w:p w14:paraId="14BB317C">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2E98DB6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法定代表人电话：XXXXXXX      电子邮箱：XXXXXX@XXXXX（若授权他人办理并签署响应文件的可不填写）</w:t>
      </w:r>
    </w:p>
    <w:p w14:paraId="046FD591">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（附：法定代表人身份证正反面复印件）</w:t>
      </w:r>
    </w:p>
    <w:p w14:paraId="67133776">
      <w:pPr>
        <w:tabs>
          <w:tab w:val="left" w:pos="6300"/>
        </w:tabs>
        <w:snapToGrid w:val="0"/>
        <w:spacing w:line="500" w:lineRule="exact"/>
        <w:ind w:firstLine="570"/>
        <w:rPr>
          <w:rFonts w:hint="eastAsia" w:ascii="宋体" w:hAnsi="宋体" w:eastAsia="宋体" w:cs="宋体"/>
          <w:sz w:val="24"/>
          <w:highlight w:val="none"/>
        </w:rPr>
      </w:pPr>
    </w:p>
    <w:p w14:paraId="7033792C">
      <w:pPr>
        <w:tabs>
          <w:tab w:val="left" w:pos="6300"/>
        </w:tabs>
        <w:snapToGrid w:val="0"/>
        <w:spacing w:line="500" w:lineRule="exact"/>
        <w:ind w:firstLine="570"/>
        <w:rPr>
          <w:rFonts w:hint="eastAsia" w:ascii="宋体" w:hAnsi="宋体" w:eastAsia="宋体" w:cs="宋体"/>
          <w:sz w:val="24"/>
          <w:highlight w:val="none"/>
        </w:rPr>
      </w:pPr>
    </w:p>
    <w:p w14:paraId="5174A7E2">
      <w:pPr>
        <w:tabs>
          <w:tab w:val="left" w:pos="6300"/>
        </w:tabs>
        <w:snapToGrid w:val="0"/>
        <w:spacing w:line="500" w:lineRule="exact"/>
        <w:ind w:firstLine="570"/>
        <w:rPr>
          <w:rFonts w:hint="eastAsia" w:ascii="宋体" w:hAnsi="宋体" w:eastAsia="宋体" w:cs="宋体"/>
          <w:sz w:val="24"/>
          <w:highlight w:val="none"/>
        </w:rPr>
      </w:pPr>
    </w:p>
    <w:p w14:paraId="403A3D4A">
      <w:pPr>
        <w:tabs>
          <w:tab w:val="left" w:pos="6300"/>
        </w:tabs>
        <w:snapToGrid w:val="0"/>
        <w:spacing w:line="500" w:lineRule="exact"/>
        <w:ind w:firstLine="570"/>
        <w:rPr>
          <w:rFonts w:hint="eastAsia" w:ascii="宋体" w:hAnsi="宋体" w:eastAsia="宋体" w:cs="宋体"/>
          <w:sz w:val="24"/>
          <w:highlight w:val="none"/>
        </w:rPr>
      </w:pPr>
    </w:p>
    <w:p w14:paraId="5A4C2659">
      <w:pPr>
        <w:tabs>
          <w:tab w:val="left" w:pos="6300"/>
        </w:tabs>
        <w:snapToGrid w:val="0"/>
        <w:spacing w:line="500" w:lineRule="exact"/>
        <w:ind w:firstLine="570"/>
        <w:rPr>
          <w:rFonts w:hint="eastAsia" w:ascii="宋体" w:hAnsi="宋体" w:eastAsia="宋体" w:cs="宋体"/>
          <w:sz w:val="24"/>
          <w:highlight w:val="none"/>
        </w:rPr>
      </w:pPr>
    </w:p>
    <w:p w14:paraId="40FE5C48">
      <w:pPr>
        <w:tabs>
          <w:tab w:val="left" w:pos="6300"/>
        </w:tabs>
        <w:snapToGrid w:val="0"/>
        <w:spacing w:line="500" w:lineRule="exact"/>
        <w:ind w:firstLine="570"/>
        <w:rPr>
          <w:rFonts w:hint="eastAsia" w:ascii="宋体" w:hAnsi="宋体" w:eastAsia="宋体" w:cs="宋体"/>
          <w:sz w:val="24"/>
          <w:highlight w:val="none"/>
        </w:rPr>
      </w:pPr>
    </w:p>
    <w:p w14:paraId="2639649A">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column"/>
      </w:r>
      <w:r>
        <w:rPr>
          <w:rFonts w:hint="eastAsia" w:ascii="宋体" w:hAnsi="宋体" w:eastAsia="宋体" w:cs="宋体"/>
          <w:sz w:val="24"/>
          <w:szCs w:val="24"/>
          <w:highlight w:val="none"/>
        </w:rPr>
        <w:t>（三）法定代表人授权委托书（格式）</w:t>
      </w:r>
    </w:p>
    <w:p w14:paraId="2BC93C0E">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2FA0ADD">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8"/>
          <w:highlight w:val="none"/>
        </w:rPr>
        <w:t>磋商项目名称</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3F568EDE">
      <w:pPr>
        <w:tabs>
          <w:tab w:val="left" w:pos="6300"/>
        </w:tabs>
        <w:snapToGrid w:val="0"/>
        <w:spacing w:line="500" w:lineRule="exact"/>
        <w:ind w:firstLine="570"/>
        <w:rPr>
          <w:rFonts w:hint="eastAsia" w:ascii="宋体" w:hAnsi="宋体" w:eastAsia="宋体" w:cs="宋体"/>
          <w:sz w:val="24"/>
          <w:highlight w:val="none"/>
        </w:rPr>
      </w:pPr>
    </w:p>
    <w:p w14:paraId="5057FB76">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230E3C91">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（供应商法定代表人名称）是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（供应商名称）的法定代表人，特授权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（被授权人姓名及身份证代码）代表我单位全权办理上述项目的磋商、签约等具体工作，并签署全部有关文件、协议及合同。</w:t>
      </w:r>
    </w:p>
    <w:p w14:paraId="30AD3724">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我单位对被授权人的</w:t>
      </w:r>
      <w:r>
        <w:rPr>
          <w:rFonts w:hint="eastAsia" w:ascii="宋体" w:hAnsi="宋体" w:eastAsia="宋体" w:cs="宋体"/>
          <w:sz w:val="24"/>
          <w:szCs w:val="28"/>
          <w:highlight w:val="none"/>
        </w:rPr>
        <w:t>签署</w:t>
      </w:r>
      <w:r>
        <w:rPr>
          <w:rFonts w:hint="eastAsia" w:ascii="宋体" w:hAnsi="宋体" w:eastAsia="宋体" w:cs="宋体"/>
          <w:sz w:val="24"/>
          <w:highlight w:val="none"/>
        </w:rPr>
        <w:t>负全部责任。</w:t>
      </w:r>
    </w:p>
    <w:p w14:paraId="2200547A">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在撤销授权的书面通知以前，本授权书一直有效。被授权人在授权书有效期内签署的所有文件不因授权的撤销而失效。</w:t>
      </w:r>
    </w:p>
    <w:p w14:paraId="31BCE4DE">
      <w:pPr>
        <w:tabs>
          <w:tab w:val="left" w:pos="6300"/>
        </w:tabs>
        <w:snapToGrid w:val="0"/>
        <w:spacing w:line="500" w:lineRule="exact"/>
        <w:ind w:firstLine="570"/>
        <w:rPr>
          <w:rFonts w:hint="eastAsia" w:ascii="宋体" w:hAnsi="宋体" w:eastAsia="宋体" w:cs="宋体"/>
          <w:sz w:val="24"/>
          <w:highlight w:val="none"/>
        </w:rPr>
      </w:pPr>
    </w:p>
    <w:p w14:paraId="085FF518">
      <w:pPr>
        <w:tabs>
          <w:tab w:val="left" w:pos="6300"/>
        </w:tabs>
        <w:snapToGrid w:val="0"/>
        <w:spacing w:line="500" w:lineRule="exact"/>
        <w:ind w:firstLine="570"/>
        <w:rPr>
          <w:rFonts w:hint="eastAsia" w:ascii="宋体" w:hAnsi="宋体" w:eastAsia="宋体" w:cs="宋体"/>
          <w:sz w:val="24"/>
          <w:highlight w:val="none"/>
        </w:rPr>
      </w:pPr>
    </w:p>
    <w:p w14:paraId="1FDC88F6">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被授权人：                                 供应商法定代表人：</w:t>
      </w:r>
    </w:p>
    <w:p w14:paraId="70AD65B8">
      <w:pPr>
        <w:tabs>
          <w:tab w:val="left" w:pos="6300"/>
        </w:tabs>
        <w:snapToGrid w:val="0"/>
        <w:spacing w:line="500" w:lineRule="exact"/>
        <w:ind w:firstLine="570"/>
        <w:rPr>
          <w:rFonts w:hint="eastAsia" w:ascii="宋体" w:hAnsi="宋体" w:eastAsia="宋体" w:cs="宋体"/>
          <w:sz w:val="24"/>
          <w:szCs w:val="28"/>
          <w:highlight w:val="none"/>
        </w:rPr>
      </w:pPr>
      <w:r>
        <w:rPr>
          <w:rFonts w:hint="eastAsia" w:ascii="宋体" w:hAnsi="宋体" w:eastAsia="宋体" w:cs="宋体"/>
          <w:sz w:val="24"/>
          <w:szCs w:val="28"/>
          <w:highlight w:val="none"/>
        </w:rPr>
        <w:t>（签署或盖章）                                （签署或盖章）</w:t>
      </w:r>
    </w:p>
    <w:p w14:paraId="0E4AAA3B">
      <w:pPr>
        <w:tabs>
          <w:tab w:val="left" w:pos="6300"/>
        </w:tabs>
        <w:snapToGrid w:val="0"/>
        <w:spacing w:line="500" w:lineRule="exact"/>
        <w:ind w:firstLine="570"/>
        <w:rPr>
          <w:rFonts w:hint="eastAsia" w:ascii="宋体" w:hAnsi="宋体" w:eastAsia="宋体" w:cs="宋体"/>
          <w:sz w:val="24"/>
          <w:szCs w:val="28"/>
          <w:highlight w:val="none"/>
        </w:rPr>
      </w:pPr>
    </w:p>
    <w:p w14:paraId="0E2905A7">
      <w:pPr>
        <w:tabs>
          <w:tab w:val="left" w:pos="6300"/>
        </w:tabs>
        <w:snapToGrid w:val="0"/>
        <w:spacing w:line="500" w:lineRule="exact"/>
        <w:ind w:firstLine="570"/>
        <w:rPr>
          <w:rFonts w:hint="eastAsia" w:ascii="宋体" w:hAnsi="宋体" w:eastAsia="宋体" w:cs="宋体"/>
          <w:sz w:val="24"/>
          <w:highlight w:val="none"/>
        </w:rPr>
      </w:pPr>
    </w:p>
    <w:p w14:paraId="00978CE1">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（附：被授权人身份证正反面复印件）</w:t>
      </w:r>
    </w:p>
    <w:p w14:paraId="5A19C91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96534CD">
      <w:pPr>
        <w:tabs>
          <w:tab w:val="left" w:pos="6300"/>
        </w:tabs>
        <w:snapToGrid w:val="0"/>
        <w:spacing w:line="500" w:lineRule="exact"/>
        <w:ind w:firstLine="570"/>
        <w:rPr>
          <w:rFonts w:hint="eastAsia" w:ascii="宋体" w:hAnsi="宋体" w:eastAsia="宋体" w:cs="宋体"/>
          <w:sz w:val="24"/>
          <w:highlight w:val="none"/>
        </w:rPr>
      </w:pPr>
    </w:p>
    <w:p w14:paraId="0976B379">
      <w:pPr>
        <w:tabs>
          <w:tab w:val="left" w:pos="6300"/>
        </w:tabs>
        <w:snapToGrid w:val="0"/>
        <w:spacing w:line="500" w:lineRule="exact"/>
        <w:ind w:firstLine="570"/>
        <w:rPr>
          <w:rFonts w:hint="eastAsia" w:ascii="宋体" w:hAnsi="宋体" w:eastAsia="宋体" w:cs="宋体"/>
          <w:sz w:val="24"/>
          <w:highlight w:val="none"/>
        </w:rPr>
      </w:pPr>
    </w:p>
    <w:p w14:paraId="2D331670">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（供应商公章）</w:t>
      </w:r>
    </w:p>
    <w:p w14:paraId="211ACAC9">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7B9DDF76">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被授权人电话：XXXXXXX     电子邮箱：XXXXXX@XXXXX（若法定代表人办理并签署响应文件的可不填写）</w:t>
      </w:r>
    </w:p>
    <w:p w14:paraId="28CEC76B">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注：</w:t>
      </w:r>
    </w:p>
    <w:p w14:paraId="51D2B187">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1.若为法定代表人办理并签署响应文件的，不提供此文件。</w:t>
      </w:r>
    </w:p>
    <w:p w14:paraId="5F57644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highlight w:val="none"/>
        </w:rPr>
        <w:br w:type="column"/>
      </w:r>
      <w:r>
        <w:rPr>
          <w:rFonts w:hint="eastAsia" w:ascii="宋体" w:hAnsi="宋体" w:eastAsia="宋体" w:cs="宋体"/>
          <w:sz w:val="24"/>
          <w:szCs w:val="24"/>
          <w:highlight w:val="none"/>
        </w:rPr>
        <w:t>（四）</w:t>
      </w:r>
      <w:r>
        <w:rPr>
          <w:rFonts w:hint="eastAsia" w:ascii="宋体" w:hAnsi="宋体" w:eastAsia="宋体" w:cs="宋体"/>
          <w:sz w:val="24"/>
          <w:szCs w:val="28"/>
          <w:highlight w:val="none"/>
        </w:rPr>
        <w:t>基本资格条件承诺函</w:t>
      </w:r>
    </w:p>
    <w:p w14:paraId="0CF56357">
      <w:pPr>
        <w:tabs>
          <w:tab w:val="left" w:pos="6300"/>
        </w:tabs>
        <w:snapToGrid w:val="0"/>
        <w:spacing w:line="500" w:lineRule="exact"/>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基本资格条件承诺函</w:t>
      </w:r>
    </w:p>
    <w:p w14:paraId="56807268">
      <w:pPr>
        <w:tabs>
          <w:tab w:val="left" w:pos="6300"/>
        </w:tabs>
        <w:snapToGrid w:val="0"/>
        <w:spacing w:line="530" w:lineRule="exact"/>
        <w:rPr>
          <w:rFonts w:hint="eastAsia" w:ascii="宋体" w:hAnsi="宋体" w:eastAsia="宋体" w:cs="宋体"/>
          <w:sz w:val="24"/>
          <w:highlight w:val="none"/>
        </w:rPr>
      </w:pPr>
    </w:p>
    <w:p w14:paraId="767F8641">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2B146F7B">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（供应商名称）郑重承诺：</w:t>
      </w:r>
    </w:p>
    <w:p w14:paraId="6ED832EC">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1.我方具有良好的商业信誉和健全的财务会计制度，具有履行合同所必需的设备和专业技术能力，具</w:t>
      </w:r>
      <w:r>
        <w:rPr>
          <w:rFonts w:hint="eastAsia" w:ascii="宋体" w:hAnsi="宋体" w:eastAsia="宋体" w:cs="宋体"/>
          <w:sz w:val="24"/>
          <w:highlight w:val="none"/>
          <w:lang w:val="zh-CN"/>
        </w:rPr>
        <w:t>有依法缴纳税收和社会保障金的良好记录</w:t>
      </w:r>
      <w:r>
        <w:rPr>
          <w:rFonts w:hint="eastAsia" w:ascii="宋体" w:hAnsi="宋体" w:eastAsia="宋体" w:cs="宋体"/>
          <w:sz w:val="24"/>
          <w:highlight w:val="none"/>
        </w:rPr>
        <w:t>，参加本项目采购活动前三年内无重大违法活动记录。</w:t>
      </w:r>
    </w:p>
    <w:p w14:paraId="27A3E9FB">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2CFA2F89">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39A9B0B9">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我方对以上承诺负全部法律责任。</w:t>
      </w:r>
    </w:p>
    <w:p w14:paraId="38C8271E">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75DD89E5">
      <w:pPr>
        <w:tabs>
          <w:tab w:val="left" w:pos="6300"/>
        </w:tabs>
        <w:snapToGrid w:val="0"/>
        <w:spacing w:line="500" w:lineRule="exact"/>
        <w:ind w:firstLine="480" w:firstLineChars="200"/>
        <w:rPr>
          <w:rFonts w:hint="eastAsia" w:ascii="宋体" w:hAnsi="宋体" w:eastAsia="宋体" w:cs="宋体"/>
          <w:sz w:val="24"/>
          <w:highlight w:val="none"/>
        </w:rPr>
      </w:pPr>
    </w:p>
    <w:p w14:paraId="3197360C">
      <w:pPr>
        <w:tabs>
          <w:tab w:val="left" w:pos="6300"/>
        </w:tabs>
        <w:snapToGrid w:val="0"/>
        <w:spacing w:line="500" w:lineRule="exact"/>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（供应商公章）</w:t>
      </w:r>
    </w:p>
    <w:p w14:paraId="74E6D392">
      <w:pPr>
        <w:tabs>
          <w:tab w:val="left" w:pos="6300"/>
        </w:tabs>
        <w:snapToGrid w:val="0"/>
        <w:spacing w:line="500" w:lineRule="exact"/>
        <w:ind w:firstLine="7920" w:firstLineChars="3300"/>
        <w:rPr>
          <w:rFonts w:hint="eastAsia" w:ascii="宋体" w:hAnsi="宋体" w:eastAsia="宋体" w:cs="宋体"/>
          <w:sz w:val="24"/>
          <w:szCs w:val="24"/>
          <w:highlight w:val="none"/>
        </w:rPr>
      </w:pPr>
      <w:r>
        <w:rPr>
          <w:rFonts w:hint="eastAsia" w:ascii="宋体" w:hAnsi="宋体" w:eastAsia="宋体" w:cs="宋体"/>
          <w:sz w:val="24"/>
          <w:highlight w:val="none"/>
        </w:rPr>
        <w:t>年   月   日</w:t>
      </w:r>
    </w:p>
    <w:p w14:paraId="092B7EA8">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（五）特定资格条件证明文件</w:t>
      </w:r>
    </w:p>
    <w:p w14:paraId="740EC997">
      <w:pPr>
        <w:tabs>
          <w:tab w:val="left" w:pos="6300"/>
        </w:tabs>
        <w:snapToGrid w:val="0"/>
        <w:spacing w:line="400" w:lineRule="exact"/>
        <w:ind w:firstLine="480" w:firstLineChars="200"/>
        <w:rPr>
          <w:rFonts w:hint="eastAsia" w:ascii="宋体" w:hAnsi="宋体" w:eastAsia="宋体" w:cs="宋体"/>
          <w:sz w:val="24"/>
          <w:szCs w:val="24"/>
          <w:highlight w:val="none"/>
        </w:rPr>
      </w:pPr>
    </w:p>
    <w:p w14:paraId="5FB4BF4F">
      <w:pPr>
        <w:pStyle w:val="4"/>
        <w:spacing w:before="0" w:after="0" w:line="360" w:lineRule="auto"/>
        <w:rPr>
          <w:rFonts w:hint="eastAsia" w:ascii="宋体" w:hAnsi="宋体" w:eastAsia="宋体" w:cs="宋体"/>
          <w:sz w:val="24"/>
          <w:highlight w:val="none"/>
        </w:rPr>
      </w:pPr>
      <w:bookmarkStart w:id="123" w:name="_Toc14422"/>
      <w:r>
        <w:rPr>
          <w:rFonts w:hint="eastAsia" w:ascii="宋体" w:hAnsi="宋体" w:eastAsia="宋体" w:cs="宋体"/>
          <w:b w:val="0"/>
          <w:sz w:val="28"/>
          <w:highlight w:val="none"/>
        </w:rPr>
        <w:br w:type="page"/>
      </w:r>
      <w:bookmarkStart w:id="124" w:name="_Toc25362"/>
      <w:bookmarkStart w:id="125" w:name="_Toc76462354"/>
      <w:bookmarkStart w:id="126" w:name="_Toc106030910"/>
      <w:r>
        <w:rPr>
          <w:rFonts w:hint="eastAsia" w:ascii="宋体" w:hAnsi="宋体" w:eastAsia="宋体" w:cs="宋体"/>
          <w:color w:val="000000"/>
          <w:sz w:val="24"/>
          <w:szCs w:val="24"/>
          <w:highlight w:val="none"/>
        </w:rPr>
        <w:t>五、其他资料</w:t>
      </w:r>
      <w:bookmarkEnd w:id="123"/>
      <w:bookmarkEnd w:id="124"/>
      <w:bookmarkEnd w:id="125"/>
      <w:bookmarkEnd w:id="126"/>
    </w:p>
    <w:p w14:paraId="0D2E1B0B">
      <w:pPr>
        <w:tabs>
          <w:tab w:val="left" w:pos="6300"/>
        </w:tabs>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（一）中小企业声明函、监狱企业证明文件、残疾人福利性单位声明函</w:t>
      </w:r>
    </w:p>
    <w:p w14:paraId="5A3E0609">
      <w:pPr>
        <w:tabs>
          <w:tab w:val="left" w:pos="6300"/>
        </w:tabs>
        <w:snapToGrid w:val="0"/>
        <w:spacing w:line="500" w:lineRule="exact"/>
        <w:ind w:firstLine="560" w:firstLineChars="200"/>
        <w:jc w:val="center"/>
        <w:rPr>
          <w:rFonts w:hint="eastAsia" w:ascii="宋体" w:hAnsi="宋体" w:eastAsia="宋体" w:cs="宋体"/>
          <w:highlight w:val="none"/>
        </w:rPr>
      </w:pPr>
      <w:r>
        <w:rPr>
          <w:rFonts w:hint="eastAsia" w:ascii="宋体" w:hAnsi="宋体" w:eastAsia="宋体" w:cs="宋体"/>
          <w:highlight w:val="none"/>
        </w:rPr>
        <w:t>中小企业声明函</w:t>
      </w:r>
    </w:p>
    <w:p w14:paraId="214AA79E">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本公司郑重声明，根据《政府采购促进中小企业发展管理办法》（</w:t>
      </w:r>
      <w:r>
        <w:rPr>
          <w:rFonts w:hint="eastAsia" w:ascii="宋体" w:hAnsi="宋体" w:eastAsia="宋体" w:cs="宋体"/>
          <w:sz w:val="24"/>
          <w:szCs w:val="24"/>
          <w:highlight w:val="none"/>
        </w:rPr>
        <w:t>财库〔2020〕46号</w:t>
      </w:r>
      <w:r>
        <w:rPr>
          <w:rFonts w:hint="eastAsia" w:ascii="宋体" w:hAnsi="宋体" w:eastAsia="宋体" w:cs="宋体"/>
          <w:sz w:val="24"/>
          <w:szCs w:val="28"/>
          <w:highlight w:val="none"/>
        </w:rPr>
        <w:t>）的规定，本公司参加</w:t>
      </w:r>
      <w:r>
        <w:rPr>
          <w:rFonts w:hint="eastAsia" w:ascii="宋体" w:hAnsi="宋体" w:eastAsia="宋体" w:cs="宋体"/>
          <w:i/>
          <w:sz w:val="24"/>
          <w:szCs w:val="28"/>
          <w:highlight w:val="none"/>
          <w:u w:val="single"/>
        </w:rPr>
        <w:t>（单位名称）</w:t>
      </w:r>
      <w:r>
        <w:rPr>
          <w:rFonts w:hint="eastAsia" w:ascii="宋体" w:hAnsi="宋体" w:eastAsia="宋体" w:cs="宋体"/>
          <w:sz w:val="24"/>
          <w:szCs w:val="28"/>
          <w:highlight w:val="none"/>
        </w:rPr>
        <w:t>的</w:t>
      </w:r>
      <w:r>
        <w:rPr>
          <w:rFonts w:hint="eastAsia" w:ascii="宋体" w:hAnsi="宋体" w:eastAsia="宋体" w:cs="宋体"/>
          <w:i/>
          <w:sz w:val="24"/>
          <w:szCs w:val="28"/>
          <w:highlight w:val="none"/>
          <w:u w:val="single"/>
        </w:rPr>
        <w:t>（项目名称）</w:t>
      </w:r>
      <w:r>
        <w:rPr>
          <w:rFonts w:hint="eastAsia" w:ascii="宋体" w:hAnsi="宋体" w:eastAsia="宋体" w:cs="宋体"/>
          <w:sz w:val="24"/>
          <w:szCs w:val="28"/>
          <w:highlight w:val="none"/>
        </w:rPr>
        <w:t>采购活动，服务全部由符合政策要求的中小企业承接。具体情况如下：</w:t>
      </w:r>
    </w:p>
    <w:p w14:paraId="05F852C1">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i/>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22DDBF40">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2F3E6747">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i/>
          <w:sz w:val="24"/>
          <w:szCs w:val="28"/>
          <w:highlight w:val="none"/>
          <w:u w:val="single"/>
        </w:rPr>
        <w:t xml:space="preserve"> （标的名称）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7EC413D5">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2877B448">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w:t>
      </w:r>
    </w:p>
    <w:p w14:paraId="22846CD3">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以上企业，不属于大企业的分支机构，不存在控股股东为大企业的情形，也不存在与大企业的负责人为同一人的情形。</w:t>
      </w:r>
    </w:p>
    <w:p w14:paraId="697DADAA">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本企业对上述声明内容的真实性负责。如有虚假，将依法承担相应责任。</w:t>
      </w:r>
    </w:p>
    <w:p w14:paraId="6BC8A4D0">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0136DBB3">
      <w:pPr>
        <w:tabs>
          <w:tab w:val="left" w:pos="6300"/>
        </w:tabs>
        <w:snapToGrid w:val="0"/>
        <w:spacing w:line="500" w:lineRule="exact"/>
        <w:ind w:firstLine="6120" w:firstLineChars="25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企业名称（盖章）： </w:t>
      </w:r>
    </w:p>
    <w:p w14:paraId="0339A742">
      <w:pPr>
        <w:tabs>
          <w:tab w:val="left" w:pos="6300"/>
        </w:tabs>
        <w:snapToGrid w:val="0"/>
        <w:spacing w:line="500" w:lineRule="exact"/>
        <w:ind w:right="784" w:firstLine="6120" w:firstLineChars="2550"/>
        <w:rPr>
          <w:rFonts w:hint="eastAsia" w:ascii="宋体" w:hAnsi="宋体" w:eastAsia="宋体" w:cs="宋体"/>
          <w:sz w:val="24"/>
          <w:highlight w:val="none"/>
        </w:rPr>
      </w:pPr>
      <w:r>
        <w:rPr>
          <w:rFonts w:hint="eastAsia" w:ascii="宋体" w:hAnsi="宋体" w:eastAsia="宋体" w:cs="宋体"/>
          <w:sz w:val="24"/>
          <w:szCs w:val="28"/>
          <w:highlight w:val="none"/>
        </w:rPr>
        <w:t>日期：</w:t>
      </w:r>
    </w:p>
    <w:p w14:paraId="6032B6A9">
      <w:pPr>
        <w:tabs>
          <w:tab w:val="left" w:pos="6300"/>
        </w:tabs>
        <w:snapToGrid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填写时应注意以下事项：</w:t>
      </w:r>
    </w:p>
    <w:p w14:paraId="2C234908">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1.从业人员、营业收入、资产总额填报上一年度数据，无上一年度数据的新成立企业可不填报。</w:t>
      </w:r>
    </w:p>
    <w:p w14:paraId="1D907162">
      <w:pPr>
        <w:tabs>
          <w:tab w:val="left" w:pos="6300"/>
        </w:tabs>
        <w:snapToGrid w:val="0"/>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2.中小企业应当按照《中小企业划型标准规定》（工信部联企业〔2011〕300号），如实填写并提交《中小企业声明函》。</w:t>
      </w:r>
    </w:p>
    <w:p w14:paraId="1BE32946">
      <w:pPr>
        <w:tabs>
          <w:tab w:val="left" w:pos="6300"/>
        </w:tabs>
        <w:snapToGrid w:val="0"/>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3.供应商填写《中小企业声明函》中所属行业时，应与采购文件第一篇“采购标的对应的中小企业划分标准所属行业”中填写的所属行业一致。</w:t>
      </w:r>
    </w:p>
    <w:p w14:paraId="6E3BFE56">
      <w:pPr>
        <w:tabs>
          <w:tab w:val="left" w:pos="6300"/>
        </w:tabs>
        <w:snapToGrid w:val="0"/>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4.本声明函“企业名称（盖章）”处为供应商盖章。</w:t>
      </w:r>
    </w:p>
    <w:p w14:paraId="60313558">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注：各行业划型标准：</w:t>
      </w:r>
    </w:p>
    <w:p w14:paraId="1CFB9ECE">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237D801">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BE0A08">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4C2BA6">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92AB77">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EF75C3">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D0136C">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73B67C">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59ADA5B">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8C444E">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2E6B88">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AB4B89">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33CE90">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8D67F6">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0E787D">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0154DD">
      <w:pPr>
        <w:tabs>
          <w:tab w:val="left" w:pos="6300"/>
        </w:tabs>
        <w:snapToGrid w:val="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62383C1">
      <w:pPr>
        <w:tabs>
          <w:tab w:val="left" w:pos="6300"/>
        </w:tabs>
        <w:snapToGrid w:val="0"/>
        <w:spacing w:line="500" w:lineRule="exact"/>
        <w:ind w:firstLine="480" w:firstLineChars="200"/>
        <w:jc w:val="center"/>
        <w:rPr>
          <w:rFonts w:hint="eastAsia" w:ascii="宋体" w:hAnsi="宋体" w:eastAsia="宋体" w:cs="宋体"/>
          <w:highlight w:val="none"/>
        </w:rPr>
      </w:pPr>
      <w:r>
        <w:rPr>
          <w:rFonts w:hint="eastAsia" w:ascii="宋体" w:hAnsi="宋体" w:eastAsia="宋体" w:cs="宋体"/>
          <w:sz w:val="24"/>
          <w:szCs w:val="24"/>
          <w:highlight w:val="none"/>
        </w:rPr>
        <w:br w:type="page"/>
      </w:r>
      <w:r>
        <w:rPr>
          <w:rFonts w:hint="eastAsia" w:ascii="宋体" w:hAnsi="宋体" w:eastAsia="宋体" w:cs="宋体"/>
          <w:highlight w:val="none"/>
        </w:rPr>
        <w:t>监狱企业证明文件</w:t>
      </w:r>
    </w:p>
    <w:p w14:paraId="56A12764">
      <w:pPr>
        <w:tabs>
          <w:tab w:val="left" w:pos="6300"/>
        </w:tabs>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以省级以上监狱管理局、戒毒管理局（含新疆生产建设兵团）出具的属于监狱企业的证明文件为准。</w:t>
      </w:r>
    </w:p>
    <w:p w14:paraId="3D3EAF79">
      <w:pPr>
        <w:tabs>
          <w:tab w:val="left" w:pos="6300"/>
        </w:tabs>
        <w:snapToGrid w:val="0"/>
        <w:spacing w:line="500" w:lineRule="exact"/>
        <w:ind w:firstLine="480" w:firstLineChars="200"/>
        <w:jc w:val="center"/>
        <w:rPr>
          <w:rFonts w:hint="eastAsia" w:ascii="宋体" w:hAnsi="宋体" w:eastAsia="宋体" w:cs="宋体"/>
          <w:highlight w:val="none"/>
        </w:rPr>
      </w:pPr>
      <w:r>
        <w:rPr>
          <w:rFonts w:hint="eastAsia" w:ascii="宋体" w:hAnsi="宋体" w:eastAsia="宋体" w:cs="宋体"/>
          <w:sz w:val="24"/>
          <w:highlight w:val="none"/>
        </w:rPr>
        <w:br w:type="page"/>
      </w:r>
      <w:r>
        <w:rPr>
          <w:rFonts w:hint="eastAsia" w:ascii="宋体" w:hAnsi="宋体" w:eastAsia="宋体" w:cs="宋体"/>
          <w:highlight w:val="none"/>
        </w:rPr>
        <w:t>残疾人福利性单位声明函</w:t>
      </w:r>
    </w:p>
    <w:p w14:paraId="7785AECA">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EE7556">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5201494">
      <w:pPr>
        <w:tabs>
          <w:tab w:val="left" w:pos="6300"/>
        </w:tabs>
        <w:snapToGrid w:val="0"/>
        <w:spacing w:line="500" w:lineRule="exact"/>
        <w:ind w:firstLine="480" w:firstLineChars="200"/>
        <w:rPr>
          <w:rFonts w:hint="eastAsia" w:ascii="宋体" w:hAnsi="宋体" w:eastAsia="宋体" w:cs="宋体"/>
          <w:sz w:val="24"/>
          <w:highlight w:val="none"/>
        </w:rPr>
      </w:pPr>
    </w:p>
    <w:p w14:paraId="74F8E94D">
      <w:pPr>
        <w:tabs>
          <w:tab w:val="left" w:pos="6300"/>
        </w:tabs>
        <w:snapToGrid w:val="0"/>
        <w:spacing w:line="500" w:lineRule="exact"/>
        <w:ind w:firstLine="480" w:firstLineChars="200"/>
        <w:rPr>
          <w:rFonts w:hint="eastAsia" w:ascii="宋体" w:hAnsi="宋体" w:eastAsia="宋体" w:cs="宋体"/>
          <w:sz w:val="24"/>
          <w:highlight w:val="none"/>
        </w:rPr>
      </w:pPr>
    </w:p>
    <w:p w14:paraId="0B896679">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供应商名称（盖章）：</w:t>
      </w:r>
    </w:p>
    <w:p w14:paraId="3E649A1C">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6B33263A">
      <w:pPr>
        <w:snapToGrid w:val="0"/>
        <w:spacing w:line="440" w:lineRule="exact"/>
        <w:ind w:firstLine="480" w:firstLineChars="200"/>
        <w:rPr>
          <w:rFonts w:hint="eastAsia" w:ascii="宋体" w:hAnsi="宋体" w:eastAsia="宋体" w:cs="宋体"/>
          <w:sz w:val="24"/>
          <w:highlight w:val="none"/>
        </w:rPr>
      </w:pPr>
    </w:p>
    <w:p w14:paraId="56B6292A">
      <w:pPr>
        <w:snapToGrid w:val="0"/>
        <w:spacing w:line="440" w:lineRule="exact"/>
        <w:ind w:firstLine="480" w:firstLineChars="200"/>
        <w:rPr>
          <w:rFonts w:hint="eastAsia" w:ascii="宋体" w:hAnsi="宋体" w:eastAsia="宋体" w:cs="宋体"/>
          <w:sz w:val="24"/>
          <w:highlight w:val="none"/>
        </w:rPr>
      </w:pPr>
    </w:p>
    <w:p w14:paraId="2EADE7E5">
      <w:pPr>
        <w:snapToGrid w:val="0"/>
        <w:spacing w:line="440" w:lineRule="exact"/>
        <w:ind w:firstLine="480" w:firstLineChars="200"/>
        <w:rPr>
          <w:rFonts w:hint="eastAsia" w:ascii="宋体" w:hAnsi="宋体" w:eastAsia="宋体" w:cs="宋体"/>
          <w:sz w:val="24"/>
          <w:highlight w:val="none"/>
        </w:rPr>
      </w:pPr>
    </w:p>
    <w:p w14:paraId="1C530EA7">
      <w:pPr>
        <w:snapToGrid w:val="0"/>
        <w:spacing w:line="440" w:lineRule="exact"/>
        <w:ind w:firstLine="480" w:firstLineChars="200"/>
        <w:rPr>
          <w:rFonts w:hint="eastAsia" w:ascii="宋体" w:hAnsi="宋体" w:eastAsia="宋体" w:cs="宋体"/>
          <w:sz w:val="24"/>
          <w:highlight w:val="none"/>
        </w:rPr>
      </w:pPr>
    </w:p>
    <w:p w14:paraId="7B175B63">
      <w:pPr>
        <w:snapToGrid w:val="0"/>
        <w:spacing w:line="440" w:lineRule="exact"/>
        <w:ind w:firstLine="480" w:firstLineChars="200"/>
        <w:rPr>
          <w:rFonts w:hint="eastAsia" w:ascii="宋体" w:hAnsi="宋体" w:eastAsia="宋体" w:cs="宋体"/>
          <w:sz w:val="24"/>
          <w:highlight w:val="none"/>
        </w:rPr>
      </w:pPr>
    </w:p>
    <w:p w14:paraId="009AE489">
      <w:pPr>
        <w:snapToGrid w:val="0"/>
        <w:spacing w:line="440" w:lineRule="exact"/>
        <w:ind w:firstLine="480" w:firstLineChars="200"/>
        <w:rPr>
          <w:rFonts w:hint="eastAsia" w:ascii="宋体" w:hAnsi="宋体" w:eastAsia="宋体" w:cs="宋体"/>
          <w:sz w:val="24"/>
          <w:highlight w:val="none"/>
        </w:rPr>
      </w:pPr>
    </w:p>
    <w:p w14:paraId="27ACE321">
      <w:pPr>
        <w:snapToGrid w:val="0"/>
        <w:spacing w:line="440" w:lineRule="exact"/>
        <w:ind w:firstLine="480" w:firstLineChars="200"/>
        <w:rPr>
          <w:rFonts w:hint="eastAsia" w:ascii="宋体" w:hAnsi="宋体" w:eastAsia="宋体" w:cs="宋体"/>
          <w:sz w:val="24"/>
          <w:highlight w:val="none"/>
        </w:rPr>
      </w:pPr>
    </w:p>
    <w:p w14:paraId="00F37CDC">
      <w:pPr>
        <w:snapToGrid w:val="0"/>
        <w:spacing w:line="440" w:lineRule="exact"/>
        <w:ind w:firstLine="480" w:firstLineChars="200"/>
        <w:rPr>
          <w:rFonts w:hint="eastAsia" w:ascii="宋体" w:hAnsi="宋体" w:eastAsia="宋体" w:cs="宋体"/>
          <w:sz w:val="24"/>
          <w:highlight w:val="none"/>
        </w:rPr>
      </w:pPr>
    </w:p>
    <w:p w14:paraId="7357BD86">
      <w:pPr>
        <w:snapToGrid w:val="0"/>
        <w:spacing w:line="440" w:lineRule="exact"/>
        <w:ind w:firstLine="480" w:firstLineChars="200"/>
        <w:rPr>
          <w:rFonts w:hint="eastAsia" w:ascii="宋体" w:hAnsi="宋体" w:eastAsia="宋体" w:cs="宋体"/>
          <w:sz w:val="24"/>
          <w:highlight w:val="none"/>
        </w:rPr>
      </w:pPr>
    </w:p>
    <w:p w14:paraId="0B5D356F">
      <w:pPr>
        <w:snapToGrid w:val="0"/>
        <w:spacing w:line="440" w:lineRule="exact"/>
        <w:ind w:firstLine="480" w:firstLineChars="200"/>
        <w:rPr>
          <w:rFonts w:hint="eastAsia" w:ascii="宋体" w:hAnsi="宋体" w:eastAsia="宋体" w:cs="宋体"/>
          <w:sz w:val="24"/>
          <w:highlight w:val="none"/>
        </w:rPr>
      </w:pPr>
    </w:p>
    <w:p w14:paraId="0EF7D60C">
      <w:pPr>
        <w:snapToGrid w:val="0"/>
        <w:spacing w:line="440" w:lineRule="exact"/>
        <w:ind w:firstLine="480" w:firstLineChars="200"/>
        <w:rPr>
          <w:rFonts w:hint="eastAsia" w:ascii="宋体" w:hAnsi="宋体" w:eastAsia="宋体" w:cs="宋体"/>
          <w:sz w:val="24"/>
          <w:highlight w:val="none"/>
        </w:rPr>
      </w:pPr>
    </w:p>
    <w:p w14:paraId="1F8DC207">
      <w:pPr>
        <w:snapToGrid w:val="0"/>
        <w:spacing w:line="440" w:lineRule="exact"/>
        <w:ind w:firstLine="480" w:firstLineChars="200"/>
        <w:rPr>
          <w:rFonts w:hint="eastAsia" w:ascii="宋体" w:hAnsi="宋体" w:eastAsia="宋体" w:cs="宋体"/>
          <w:sz w:val="24"/>
          <w:highlight w:val="none"/>
        </w:rPr>
      </w:pPr>
    </w:p>
    <w:p w14:paraId="3D9E2CC1">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若成交供应商为残疾人福利性单位的，将在结果公告时公告其《残疾人福利性单位声明函》。</w:t>
      </w:r>
    </w:p>
    <w:p w14:paraId="214D115B">
      <w:pPr>
        <w:snapToGrid w:val="0"/>
        <w:spacing w:line="440" w:lineRule="exact"/>
        <w:ind w:firstLine="480" w:firstLineChars="200"/>
        <w:rPr>
          <w:rFonts w:hint="eastAsia" w:ascii="宋体" w:hAnsi="宋体" w:eastAsia="宋体" w:cs="宋体"/>
          <w:sz w:val="24"/>
          <w:highlight w:val="none"/>
        </w:rPr>
      </w:pPr>
    </w:p>
    <w:p w14:paraId="588B128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（二）其他与项目有关的资料</w:t>
      </w:r>
    </w:p>
    <w:p w14:paraId="5479132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其他与项目有关的资料（自附）：供应商总体情况介绍、其他与本项目有关的资料等。</w:t>
      </w:r>
    </w:p>
    <w:p w14:paraId="12E19674">
      <w:pPr>
        <w:spacing w:line="360" w:lineRule="auto"/>
        <w:ind w:firstLine="480" w:firstLineChars="200"/>
        <w:rPr>
          <w:rFonts w:hint="eastAsia" w:ascii="宋体" w:hAnsi="宋体" w:eastAsia="宋体" w:cs="宋体"/>
          <w:sz w:val="24"/>
          <w:szCs w:val="24"/>
          <w:highlight w:val="none"/>
        </w:rPr>
      </w:pPr>
    </w:p>
    <w:p w14:paraId="6DF68790">
      <w:pPr>
        <w:spacing w:line="360" w:lineRule="auto"/>
        <w:ind w:firstLine="480" w:firstLineChars="200"/>
        <w:jc w:val="center"/>
        <w:rPr>
          <w:rFonts w:hint="eastAsia" w:ascii="宋体" w:hAnsi="宋体" w:eastAsia="宋体" w:cs="宋体"/>
          <w:sz w:val="24"/>
          <w:szCs w:val="24"/>
          <w:highlight w:val="none"/>
        </w:rPr>
      </w:pPr>
    </w:p>
    <w:p w14:paraId="6D3FECF2">
      <w:pPr>
        <w:spacing w:line="360" w:lineRule="auto"/>
        <w:ind w:firstLine="480" w:firstLineChars="200"/>
        <w:jc w:val="center"/>
        <w:rPr>
          <w:rFonts w:hint="eastAsia" w:ascii="宋体" w:hAnsi="宋体" w:eastAsia="宋体" w:cs="宋体"/>
          <w:sz w:val="24"/>
          <w:szCs w:val="24"/>
          <w:highlight w:val="none"/>
        </w:rPr>
      </w:pPr>
    </w:p>
    <w:p w14:paraId="5FF8834F">
      <w:pPr>
        <w:spacing w:line="360" w:lineRule="auto"/>
        <w:ind w:firstLine="480" w:firstLineChars="200"/>
        <w:jc w:val="center"/>
        <w:rPr>
          <w:rFonts w:hint="eastAsia" w:ascii="宋体" w:hAnsi="宋体" w:eastAsia="宋体" w:cs="宋体"/>
          <w:sz w:val="24"/>
          <w:szCs w:val="24"/>
          <w:highlight w:val="none"/>
        </w:rPr>
      </w:pPr>
    </w:p>
    <w:p w14:paraId="01495150">
      <w:pPr>
        <w:spacing w:line="360" w:lineRule="auto"/>
        <w:ind w:firstLine="480" w:firstLineChars="200"/>
        <w:jc w:val="center"/>
        <w:rPr>
          <w:rFonts w:hint="eastAsia" w:ascii="宋体" w:hAnsi="宋体" w:eastAsia="宋体" w:cs="宋体"/>
          <w:sz w:val="24"/>
          <w:szCs w:val="24"/>
          <w:highlight w:val="none"/>
        </w:rPr>
      </w:pPr>
    </w:p>
    <w:p w14:paraId="00C1E5CB">
      <w:pPr>
        <w:spacing w:line="360" w:lineRule="auto"/>
        <w:ind w:firstLine="480" w:firstLineChars="200"/>
        <w:jc w:val="center"/>
        <w:rPr>
          <w:rFonts w:hint="eastAsia" w:ascii="宋体" w:hAnsi="宋体" w:eastAsia="宋体" w:cs="宋体"/>
          <w:sz w:val="24"/>
          <w:szCs w:val="24"/>
          <w:highlight w:val="none"/>
        </w:rPr>
      </w:pPr>
    </w:p>
    <w:p w14:paraId="453F5FD5">
      <w:pPr>
        <w:spacing w:line="360" w:lineRule="auto"/>
        <w:ind w:firstLine="480" w:firstLineChars="200"/>
        <w:jc w:val="center"/>
        <w:rPr>
          <w:rFonts w:hint="eastAsia" w:ascii="宋体" w:hAnsi="宋体" w:eastAsia="宋体" w:cs="宋体"/>
          <w:sz w:val="24"/>
          <w:szCs w:val="24"/>
          <w:highlight w:val="none"/>
        </w:rPr>
      </w:pPr>
    </w:p>
    <w:p w14:paraId="107BADA9">
      <w:pPr>
        <w:spacing w:line="360" w:lineRule="auto"/>
        <w:ind w:firstLine="480" w:firstLineChars="200"/>
        <w:jc w:val="center"/>
        <w:rPr>
          <w:rFonts w:hint="eastAsia" w:ascii="宋体" w:hAnsi="宋体" w:eastAsia="宋体" w:cs="宋体"/>
          <w:sz w:val="24"/>
          <w:szCs w:val="24"/>
          <w:highlight w:val="none"/>
        </w:rPr>
      </w:pPr>
    </w:p>
    <w:p w14:paraId="03D49524">
      <w:pPr>
        <w:spacing w:line="360" w:lineRule="auto"/>
        <w:ind w:firstLine="480" w:firstLineChars="200"/>
        <w:jc w:val="center"/>
        <w:rPr>
          <w:rFonts w:hint="eastAsia" w:ascii="宋体" w:hAnsi="宋体" w:eastAsia="宋体" w:cs="宋体"/>
          <w:sz w:val="24"/>
          <w:szCs w:val="24"/>
          <w:highlight w:val="none"/>
        </w:rPr>
      </w:pPr>
    </w:p>
    <w:p w14:paraId="23805254">
      <w:pPr>
        <w:spacing w:line="360" w:lineRule="auto"/>
        <w:ind w:firstLine="480" w:firstLineChars="200"/>
        <w:jc w:val="center"/>
        <w:rPr>
          <w:rFonts w:hint="eastAsia" w:ascii="宋体" w:hAnsi="宋体" w:eastAsia="宋体" w:cs="宋体"/>
          <w:sz w:val="24"/>
          <w:szCs w:val="24"/>
          <w:highlight w:val="none"/>
        </w:rPr>
      </w:pPr>
    </w:p>
    <w:p w14:paraId="1528362F">
      <w:pPr>
        <w:spacing w:line="360" w:lineRule="auto"/>
        <w:ind w:firstLine="480" w:firstLineChars="200"/>
        <w:jc w:val="center"/>
        <w:rPr>
          <w:rFonts w:hint="eastAsia" w:ascii="宋体" w:hAnsi="宋体" w:eastAsia="宋体" w:cs="宋体"/>
          <w:sz w:val="24"/>
          <w:szCs w:val="24"/>
          <w:highlight w:val="none"/>
        </w:rPr>
      </w:pPr>
    </w:p>
    <w:p w14:paraId="45CAE424">
      <w:pPr>
        <w:spacing w:line="360" w:lineRule="auto"/>
        <w:ind w:firstLine="480" w:firstLineChars="200"/>
        <w:jc w:val="center"/>
        <w:rPr>
          <w:rFonts w:hint="eastAsia" w:ascii="宋体" w:hAnsi="宋体" w:eastAsia="宋体" w:cs="宋体"/>
          <w:sz w:val="24"/>
          <w:szCs w:val="24"/>
          <w:highlight w:val="none"/>
        </w:rPr>
      </w:pPr>
    </w:p>
    <w:p w14:paraId="7B835B23">
      <w:pPr>
        <w:spacing w:line="360" w:lineRule="auto"/>
        <w:ind w:firstLine="480" w:firstLineChars="200"/>
        <w:jc w:val="center"/>
        <w:rPr>
          <w:rFonts w:hint="eastAsia" w:ascii="宋体" w:hAnsi="宋体" w:eastAsia="宋体" w:cs="宋体"/>
          <w:sz w:val="24"/>
          <w:szCs w:val="24"/>
          <w:highlight w:val="none"/>
        </w:rPr>
      </w:pPr>
    </w:p>
    <w:p w14:paraId="02DBF726">
      <w:pPr>
        <w:spacing w:line="360" w:lineRule="auto"/>
        <w:ind w:firstLine="480" w:firstLineChars="200"/>
        <w:jc w:val="center"/>
        <w:rPr>
          <w:rFonts w:hint="eastAsia" w:ascii="宋体" w:hAnsi="宋体" w:eastAsia="宋体" w:cs="宋体"/>
          <w:sz w:val="24"/>
          <w:szCs w:val="24"/>
          <w:highlight w:val="none"/>
        </w:rPr>
      </w:pPr>
    </w:p>
    <w:p w14:paraId="6EEC2222">
      <w:pPr>
        <w:spacing w:line="360" w:lineRule="auto"/>
        <w:ind w:firstLine="480" w:firstLineChars="200"/>
        <w:jc w:val="center"/>
        <w:rPr>
          <w:rFonts w:hint="eastAsia" w:ascii="宋体" w:hAnsi="宋体" w:eastAsia="宋体" w:cs="宋体"/>
          <w:sz w:val="24"/>
          <w:szCs w:val="24"/>
          <w:highlight w:val="none"/>
        </w:rPr>
      </w:pPr>
    </w:p>
    <w:p w14:paraId="08111FB2">
      <w:pPr>
        <w:spacing w:line="360" w:lineRule="auto"/>
        <w:ind w:firstLine="480" w:firstLineChars="200"/>
        <w:jc w:val="center"/>
        <w:rPr>
          <w:rFonts w:hint="eastAsia" w:ascii="宋体" w:hAnsi="宋体" w:eastAsia="宋体" w:cs="宋体"/>
          <w:sz w:val="24"/>
          <w:szCs w:val="24"/>
          <w:highlight w:val="none"/>
        </w:rPr>
      </w:pPr>
    </w:p>
    <w:p w14:paraId="1AF64068">
      <w:pPr>
        <w:spacing w:line="360" w:lineRule="auto"/>
        <w:ind w:firstLine="480" w:firstLineChars="200"/>
        <w:jc w:val="center"/>
        <w:outlineLvl w:val="0"/>
        <w:rPr>
          <w:rFonts w:hint="eastAsia" w:ascii="宋体" w:hAnsi="宋体" w:eastAsia="宋体" w:cs="宋体"/>
          <w:highlight w:val="none"/>
        </w:rPr>
      </w:pPr>
      <w:r>
        <w:rPr>
          <w:rFonts w:hint="eastAsia" w:ascii="宋体" w:hAnsi="宋体" w:eastAsia="宋体" w:cs="宋体"/>
          <w:sz w:val="24"/>
          <w:szCs w:val="24"/>
          <w:highlight w:val="none"/>
        </w:rPr>
        <w:t>（结束）</w:t>
      </w:r>
    </w:p>
    <w:p w14:paraId="4C8AD8E0">
      <w:pPr>
        <w:spacing w:line="360" w:lineRule="auto"/>
        <w:ind w:firstLine="480" w:firstLineChars="200"/>
        <w:jc w:val="center"/>
        <w:rPr>
          <w:rFonts w:hint="eastAsia" w:ascii="宋体" w:hAnsi="宋体" w:eastAsia="宋体" w:cs="宋体"/>
          <w:color w:val="000000"/>
          <w:sz w:val="24"/>
          <w:szCs w:val="24"/>
          <w:highlight w:val="none"/>
        </w:rPr>
      </w:pPr>
    </w:p>
    <w:p w14:paraId="42E2F634">
      <w:pPr>
        <w:pStyle w:val="2"/>
        <w:spacing w:line="360" w:lineRule="auto"/>
        <w:jc w:val="center"/>
        <w:rPr>
          <w:rFonts w:hint="eastAsia" w:ascii="宋体" w:hAnsi="宋体" w:eastAsia="宋体" w:cs="宋体"/>
          <w:highlight w:val="none"/>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84E603F7-5CF9-437F-ACDF-36DE123614CD}"/>
  </w:font>
  <w:font w:name="仿宋">
    <w:panose1 w:val="02010609060101010101"/>
    <w:charset w:val="86"/>
    <w:family w:val="modern"/>
    <w:pitch w:val="default"/>
    <w:sig w:usb0="800002BF" w:usb1="38CF7CFA" w:usb2="00000016" w:usb3="00000000" w:csb0="00040001" w:csb1="00000000"/>
    <w:embedRegular r:id="rId2" w:fontKey="{081081FA-E627-4773-9D80-152A8685FE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84E3">
    <w:pPr>
      <w:pStyle w:val="35"/>
      <w:framePr w:wrap="around" w:vAnchor="text" w:hAnchor="margin" w:xAlign="center" w:y="1"/>
      <w:rPr>
        <w:rStyle w:val="61"/>
      </w:rPr>
    </w:pPr>
    <w:r>
      <w:fldChar w:fldCharType="begin"/>
    </w:r>
    <w:r>
      <w:rPr>
        <w:rStyle w:val="61"/>
      </w:rPr>
      <w:instrText xml:space="preserve">PAGE  </w:instrText>
    </w:r>
    <w:r>
      <w:fldChar w:fldCharType="end"/>
    </w:r>
  </w:p>
  <w:p w14:paraId="378BCE7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CEB3">
    <w:pPr>
      <w:pStyle w:val="35"/>
      <w:framePr w:wrap="around" w:vAnchor="text" w:hAnchor="margin" w:xAlign="center" w:y="1"/>
      <w:rPr>
        <w:rStyle w:val="61"/>
      </w:rPr>
    </w:pPr>
  </w:p>
  <w:p w14:paraId="1C0080F0">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482D">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ffectLst/>
                    </wps:spPr>
                    <wps:txbx>
                      <w:txbxContent>
                        <w:p w14:paraId="242F6F83">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M8d0QAAAAMBAAAPAAAAAAAAAAEAIAAAACIAAABkcnMvZG93bnJldi54bWxQ&#10;SwECFAAUAAAACACHTuJAsVRKpv4BAAAPBAAADgAAAAAAAAABACAAAAAgAQAAZHJzL2Uyb0RvYy54&#10;bWxQSwUGAAAAAAYABgBZAQAAkAUAAAAA&#10;">
              <v:fill on="f" focussize="0,0"/>
              <v:stroke on="f"/>
              <v:imagedata o:title=""/>
              <o:lock v:ext="edit" aspectratio="f"/>
              <v:textbox inset="0mm,0mm,0mm,0mm" style="mso-fit-shape-to-text:t;">
                <w:txbxContent>
                  <w:p w14:paraId="242F6F83">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D302">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9D73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92962EE">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B441">
    <w:pPr>
      <w:pStyle w:val="36"/>
      <w:jc w:val="both"/>
      <w:rPr>
        <w:rFonts w:ascii="宋体" w:hAnsi="宋体"/>
        <w:sz w:val="21"/>
        <w:szCs w:val="21"/>
      </w:rPr>
    </w:pPr>
    <w:r>
      <w:rPr>
        <w:rFonts w:hint="eastAsia" w:ascii="宋体" w:hAnsi="宋体"/>
        <w:sz w:val="21"/>
        <w:szCs w:val="21"/>
      </w:rPr>
      <w:t xml:space="preserve">重庆千广商务信息咨询有限公司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7834">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A1FB">
    <w:pPr>
      <w:pStyle w:val="36"/>
      <w:jc w:val="both"/>
      <w:rPr>
        <w:rFonts w:ascii="方正仿宋_GBK" w:eastAsia="方正仿宋_GBK"/>
        <w:sz w:val="21"/>
        <w:szCs w:val="21"/>
      </w:rPr>
    </w:pPr>
    <w:r>
      <w:rPr>
        <w:rFonts w:hint="eastAsia" w:ascii="仿宋" w:hAnsi="仿宋" w:eastAsia="仿宋"/>
        <w:sz w:val="21"/>
        <w:szCs w:val="21"/>
      </w:rPr>
      <w:t xml:space="preserve">重庆千广商务信息咨询有限公司 </w:t>
    </w: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ODUyZWUwNzhjMWE1YWQzOTBmYWQyZDMxMWRjZjYifQ=="/>
  </w:docVars>
  <w:rsids>
    <w:rsidRoot w:val="00172A27"/>
    <w:rsid w:val="00001402"/>
    <w:rsid w:val="000040DE"/>
    <w:rsid w:val="00004567"/>
    <w:rsid w:val="00004BBC"/>
    <w:rsid w:val="0000527B"/>
    <w:rsid w:val="0000548F"/>
    <w:rsid w:val="000075E8"/>
    <w:rsid w:val="0001080F"/>
    <w:rsid w:val="00011B4B"/>
    <w:rsid w:val="00011CAB"/>
    <w:rsid w:val="00015708"/>
    <w:rsid w:val="00016B79"/>
    <w:rsid w:val="00017816"/>
    <w:rsid w:val="000178D4"/>
    <w:rsid w:val="00020041"/>
    <w:rsid w:val="000209C7"/>
    <w:rsid w:val="0003632F"/>
    <w:rsid w:val="0004019C"/>
    <w:rsid w:val="00042A0A"/>
    <w:rsid w:val="00043576"/>
    <w:rsid w:val="00043B16"/>
    <w:rsid w:val="0004789B"/>
    <w:rsid w:val="000519F5"/>
    <w:rsid w:val="0005298B"/>
    <w:rsid w:val="00053D93"/>
    <w:rsid w:val="0005417C"/>
    <w:rsid w:val="000576E1"/>
    <w:rsid w:val="00061891"/>
    <w:rsid w:val="00063981"/>
    <w:rsid w:val="00065031"/>
    <w:rsid w:val="00070129"/>
    <w:rsid w:val="00071126"/>
    <w:rsid w:val="00072949"/>
    <w:rsid w:val="00072F2A"/>
    <w:rsid w:val="000740AF"/>
    <w:rsid w:val="00075CB2"/>
    <w:rsid w:val="00075DAF"/>
    <w:rsid w:val="000776A2"/>
    <w:rsid w:val="000811E5"/>
    <w:rsid w:val="00082A5C"/>
    <w:rsid w:val="00087A35"/>
    <w:rsid w:val="00087B71"/>
    <w:rsid w:val="0009071D"/>
    <w:rsid w:val="00090C5A"/>
    <w:rsid w:val="00090D77"/>
    <w:rsid w:val="00090EEE"/>
    <w:rsid w:val="0009185E"/>
    <w:rsid w:val="00091B1C"/>
    <w:rsid w:val="00091C2C"/>
    <w:rsid w:val="000942A2"/>
    <w:rsid w:val="000944B4"/>
    <w:rsid w:val="00095EF1"/>
    <w:rsid w:val="00096390"/>
    <w:rsid w:val="00097F33"/>
    <w:rsid w:val="000A1337"/>
    <w:rsid w:val="000A164E"/>
    <w:rsid w:val="000A40CD"/>
    <w:rsid w:val="000A6B85"/>
    <w:rsid w:val="000A7A1B"/>
    <w:rsid w:val="000A7B8C"/>
    <w:rsid w:val="000B42F4"/>
    <w:rsid w:val="000B474D"/>
    <w:rsid w:val="000B51B9"/>
    <w:rsid w:val="000B6A96"/>
    <w:rsid w:val="000B7377"/>
    <w:rsid w:val="000B7EB9"/>
    <w:rsid w:val="000B7F54"/>
    <w:rsid w:val="000C0E67"/>
    <w:rsid w:val="000C24C5"/>
    <w:rsid w:val="000C3F41"/>
    <w:rsid w:val="000C42F5"/>
    <w:rsid w:val="000C5BF2"/>
    <w:rsid w:val="000C6A03"/>
    <w:rsid w:val="000D032D"/>
    <w:rsid w:val="000D0864"/>
    <w:rsid w:val="000D1093"/>
    <w:rsid w:val="000D769B"/>
    <w:rsid w:val="000D7F82"/>
    <w:rsid w:val="000E01C9"/>
    <w:rsid w:val="000E15F9"/>
    <w:rsid w:val="000E2122"/>
    <w:rsid w:val="000E3259"/>
    <w:rsid w:val="000E65D9"/>
    <w:rsid w:val="000F3081"/>
    <w:rsid w:val="000F3B4E"/>
    <w:rsid w:val="000F49E0"/>
    <w:rsid w:val="000F689A"/>
    <w:rsid w:val="000F7DBF"/>
    <w:rsid w:val="0010014A"/>
    <w:rsid w:val="00100639"/>
    <w:rsid w:val="00100C7D"/>
    <w:rsid w:val="00100E2E"/>
    <w:rsid w:val="001012F1"/>
    <w:rsid w:val="00101A7B"/>
    <w:rsid w:val="00101AA9"/>
    <w:rsid w:val="00102EE1"/>
    <w:rsid w:val="00103290"/>
    <w:rsid w:val="00103E22"/>
    <w:rsid w:val="0010476E"/>
    <w:rsid w:val="00105D5A"/>
    <w:rsid w:val="00106DFB"/>
    <w:rsid w:val="0010723F"/>
    <w:rsid w:val="0010750E"/>
    <w:rsid w:val="001106A5"/>
    <w:rsid w:val="001135FE"/>
    <w:rsid w:val="00114E5F"/>
    <w:rsid w:val="00115155"/>
    <w:rsid w:val="00116856"/>
    <w:rsid w:val="00116FFC"/>
    <w:rsid w:val="00117EF6"/>
    <w:rsid w:val="00120259"/>
    <w:rsid w:val="00120EA7"/>
    <w:rsid w:val="001217E7"/>
    <w:rsid w:val="00126589"/>
    <w:rsid w:val="001266BF"/>
    <w:rsid w:val="001273A4"/>
    <w:rsid w:val="00131001"/>
    <w:rsid w:val="0013198E"/>
    <w:rsid w:val="00133D16"/>
    <w:rsid w:val="00134D29"/>
    <w:rsid w:val="00135FDB"/>
    <w:rsid w:val="00137522"/>
    <w:rsid w:val="00137709"/>
    <w:rsid w:val="00140646"/>
    <w:rsid w:val="00140FAC"/>
    <w:rsid w:val="00141195"/>
    <w:rsid w:val="00143279"/>
    <w:rsid w:val="00144004"/>
    <w:rsid w:val="001454CD"/>
    <w:rsid w:val="001477AA"/>
    <w:rsid w:val="00147EBB"/>
    <w:rsid w:val="00147FB4"/>
    <w:rsid w:val="0015011C"/>
    <w:rsid w:val="001503E5"/>
    <w:rsid w:val="00150429"/>
    <w:rsid w:val="00151690"/>
    <w:rsid w:val="0015371E"/>
    <w:rsid w:val="00153E3A"/>
    <w:rsid w:val="001542BA"/>
    <w:rsid w:val="001554D5"/>
    <w:rsid w:val="00156421"/>
    <w:rsid w:val="001569BF"/>
    <w:rsid w:val="00156C77"/>
    <w:rsid w:val="001572BD"/>
    <w:rsid w:val="00157549"/>
    <w:rsid w:val="001576E3"/>
    <w:rsid w:val="00160265"/>
    <w:rsid w:val="001618A7"/>
    <w:rsid w:val="00165F63"/>
    <w:rsid w:val="00166C93"/>
    <w:rsid w:val="00171B70"/>
    <w:rsid w:val="00172335"/>
    <w:rsid w:val="00172A27"/>
    <w:rsid w:val="00172FEE"/>
    <w:rsid w:val="00177150"/>
    <w:rsid w:val="0017778D"/>
    <w:rsid w:val="00177975"/>
    <w:rsid w:val="001779F6"/>
    <w:rsid w:val="00177EB7"/>
    <w:rsid w:val="001800E7"/>
    <w:rsid w:val="00180ACB"/>
    <w:rsid w:val="001832E3"/>
    <w:rsid w:val="00186623"/>
    <w:rsid w:val="001879FD"/>
    <w:rsid w:val="00192A46"/>
    <w:rsid w:val="0019570C"/>
    <w:rsid w:val="00196A96"/>
    <w:rsid w:val="001A2B2B"/>
    <w:rsid w:val="001A2DFA"/>
    <w:rsid w:val="001A5574"/>
    <w:rsid w:val="001A57AF"/>
    <w:rsid w:val="001A6DCC"/>
    <w:rsid w:val="001A7513"/>
    <w:rsid w:val="001A7857"/>
    <w:rsid w:val="001B02A9"/>
    <w:rsid w:val="001B117B"/>
    <w:rsid w:val="001B1B72"/>
    <w:rsid w:val="001B1D6F"/>
    <w:rsid w:val="001B3DBD"/>
    <w:rsid w:val="001B4377"/>
    <w:rsid w:val="001B4A75"/>
    <w:rsid w:val="001C0424"/>
    <w:rsid w:val="001C3DC4"/>
    <w:rsid w:val="001C5BA1"/>
    <w:rsid w:val="001C656C"/>
    <w:rsid w:val="001C726B"/>
    <w:rsid w:val="001D0F37"/>
    <w:rsid w:val="001D15E5"/>
    <w:rsid w:val="001D2321"/>
    <w:rsid w:val="001D2DCD"/>
    <w:rsid w:val="001D31D4"/>
    <w:rsid w:val="001D4716"/>
    <w:rsid w:val="001D4744"/>
    <w:rsid w:val="001D4875"/>
    <w:rsid w:val="001D5055"/>
    <w:rsid w:val="001D630C"/>
    <w:rsid w:val="001D7AFF"/>
    <w:rsid w:val="001E03CE"/>
    <w:rsid w:val="001E09A3"/>
    <w:rsid w:val="001E104D"/>
    <w:rsid w:val="001E109C"/>
    <w:rsid w:val="001E201B"/>
    <w:rsid w:val="001E2208"/>
    <w:rsid w:val="001E22D3"/>
    <w:rsid w:val="001E4AB5"/>
    <w:rsid w:val="001E5CAC"/>
    <w:rsid w:val="001E5CD3"/>
    <w:rsid w:val="001E6588"/>
    <w:rsid w:val="001E725F"/>
    <w:rsid w:val="001E740A"/>
    <w:rsid w:val="001E77DF"/>
    <w:rsid w:val="001F0AD7"/>
    <w:rsid w:val="001F1AF7"/>
    <w:rsid w:val="001F259C"/>
    <w:rsid w:val="001F4964"/>
    <w:rsid w:val="001F5137"/>
    <w:rsid w:val="001F56E3"/>
    <w:rsid w:val="001F7063"/>
    <w:rsid w:val="001F760E"/>
    <w:rsid w:val="001F7EC4"/>
    <w:rsid w:val="002017DE"/>
    <w:rsid w:val="00201BD6"/>
    <w:rsid w:val="00202B04"/>
    <w:rsid w:val="00204884"/>
    <w:rsid w:val="00204936"/>
    <w:rsid w:val="00206B2C"/>
    <w:rsid w:val="002100EE"/>
    <w:rsid w:val="00210279"/>
    <w:rsid w:val="00210AAC"/>
    <w:rsid w:val="00212F49"/>
    <w:rsid w:val="002136BA"/>
    <w:rsid w:val="00215161"/>
    <w:rsid w:val="0021704D"/>
    <w:rsid w:val="002172C0"/>
    <w:rsid w:val="00220294"/>
    <w:rsid w:val="0022040C"/>
    <w:rsid w:val="00222097"/>
    <w:rsid w:val="0022216B"/>
    <w:rsid w:val="00223548"/>
    <w:rsid w:val="00225077"/>
    <w:rsid w:val="0022525C"/>
    <w:rsid w:val="002271D8"/>
    <w:rsid w:val="00227C77"/>
    <w:rsid w:val="00227D63"/>
    <w:rsid w:val="002303FF"/>
    <w:rsid w:val="0023074B"/>
    <w:rsid w:val="00230787"/>
    <w:rsid w:val="00230A0E"/>
    <w:rsid w:val="00231A5B"/>
    <w:rsid w:val="002348E0"/>
    <w:rsid w:val="00234F09"/>
    <w:rsid w:val="00235272"/>
    <w:rsid w:val="0023692A"/>
    <w:rsid w:val="00241734"/>
    <w:rsid w:val="00243DFC"/>
    <w:rsid w:val="00244122"/>
    <w:rsid w:val="00247EBF"/>
    <w:rsid w:val="00250E69"/>
    <w:rsid w:val="00251927"/>
    <w:rsid w:val="0025368F"/>
    <w:rsid w:val="00253C24"/>
    <w:rsid w:val="00255A29"/>
    <w:rsid w:val="002573F8"/>
    <w:rsid w:val="00261629"/>
    <w:rsid w:val="002621E9"/>
    <w:rsid w:val="00264246"/>
    <w:rsid w:val="002643C1"/>
    <w:rsid w:val="00264429"/>
    <w:rsid w:val="00264FF3"/>
    <w:rsid w:val="00265203"/>
    <w:rsid w:val="002670E2"/>
    <w:rsid w:val="00267B8D"/>
    <w:rsid w:val="00267C19"/>
    <w:rsid w:val="00271D47"/>
    <w:rsid w:val="002721EA"/>
    <w:rsid w:val="00272429"/>
    <w:rsid w:val="00272C22"/>
    <w:rsid w:val="00273020"/>
    <w:rsid w:val="00273A6E"/>
    <w:rsid w:val="002766B1"/>
    <w:rsid w:val="00276BB8"/>
    <w:rsid w:val="00280E8A"/>
    <w:rsid w:val="002820FB"/>
    <w:rsid w:val="002850C8"/>
    <w:rsid w:val="00285164"/>
    <w:rsid w:val="002852E3"/>
    <w:rsid w:val="00287133"/>
    <w:rsid w:val="0028719F"/>
    <w:rsid w:val="002911F1"/>
    <w:rsid w:val="00293085"/>
    <w:rsid w:val="00293E11"/>
    <w:rsid w:val="002A4956"/>
    <w:rsid w:val="002A6710"/>
    <w:rsid w:val="002A676B"/>
    <w:rsid w:val="002A6C51"/>
    <w:rsid w:val="002B0B7E"/>
    <w:rsid w:val="002B1B88"/>
    <w:rsid w:val="002B30E6"/>
    <w:rsid w:val="002B6EB3"/>
    <w:rsid w:val="002B7904"/>
    <w:rsid w:val="002C0AAE"/>
    <w:rsid w:val="002C2507"/>
    <w:rsid w:val="002C2E6E"/>
    <w:rsid w:val="002C45CE"/>
    <w:rsid w:val="002C4751"/>
    <w:rsid w:val="002D07B4"/>
    <w:rsid w:val="002D0A51"/>
    <w:rsid w:val="002D0A9D"/>
    <w:rsid w:val="002D30D8"/>
    <w:rsid w:val="002D3A9C"/>
    <w:rsid w:val="002D5993"/>
    <w:rsid w:val="002D683E"/>
    <w:rsid w:val="002D7725"/>
    <w:rsid w:val="002E6F8D"/>
    <w:rsid w:val="002F1AF5"/>
    <w:rsid w:val="002F30F5"/>
    <w:rsid w:val="002F3137"/>
    <w:rsid w:val="002F3DE3"/>
    <w:rsid w:val="002F423C"/>
    <w:rsid w:val="002F48D1"/>
    <w:rsid w:val="002F48F9"/>
    <w:rsid w:val="002F632E"/>
    <w:rsid w:val="002F7A4A"/>
    <w:rsid w:val="002F7BFF"/>
    <w:rsid w:val="00301428"/>
    <w:rsid w:val="003021B8"/>
    <w:rsid w:val="00302845"/>
    <w:rsid w:val="00303897"/>
    <w:rsid w:val="003063EA"/>
    <w:rsid w:val="00306F02"/>
    <w:rsid w:val="00306FFA"/>
    <w:rsid w:val="0030723C"/>
    <w:rsid w:val="00307D8F"/>
    <w:rsid w:val="00307FF1"/>
    <w:rsid w:val="00310AF9"/>
    <w:rsid w:val="00312C54"/>
    <w:rsid w:val="00313570"/>
    <w:rsid w:val="0031465E"/>
    <w:rsid w:val="00314FB9"/>
    <w:rsid w:val="00315742"/>
    <w:rsid w:val="003163B3"/>
    <w:rsid w:val="00316BB4"/>
    <w:rsid w:val="00320441"/>
    <w:rsid w:val="00320C81"/>
    <w:rsid w:val="00322A7A"/>
    <w:rsid w:val="00325F6D"/>
    <w:rsid w:val="00327F7A"/>
    <w:rsid w:val="00330756"/>
    <w:rsid w:val="00335623"/>
    <w:rsid w:val="00336EE2"/>
    <w:rsid w:val="00341626"/>
    <w:rsid w:val="00341DEB"/>
    <w:rsid w:val="00342BB9"/>
    <w:rsid w:val="003434CB"/>
    <w:rsid w:val="003456AF"/>
    <w:rsid w:val="00346A3D"/>
    <w:rsid w:val="003471B4"/>
    <w:rsid w:val="00347744"/>
    <w:rsid w:val="003507EB"/>
    <w:rsid w:val="00350C20"/>
    <w:rsid w:val="0035394E"/>
    <w:rsid w:val="00353CF8"/>
    <w:rsid w:val="003548FA"/>
    <w:rsid w:val="0035580F"/>
    <w:rsid w:val="00355A74"/>
    <w:rsid w:val="00357F29"/>
    <w:rsid w:val="00361427"/>
    <w:rsid w:val="0036458B"/>
    <w:rsid w:val="00364610"/>
    <w:rsid w:val="00364EF7"/>
    <w:rsid w:val="003668B1"/>
    <w:rsid w:val="0037137B"/>
    <w:rsid w:val="00371D2F"/>
    <w:rsid w:val="00373345"/>
    <w:rsid w:val="00375439"/>
    <w:rsid w:val="00375768"/>
    <w:rsid w:val="00377528"/>
    <w:rsid w:val="0038033A"/>
    <w:rsid w:val="0038412F"/>
    <w:rsid w:val="00384161"/>
    <w:rsid w:val="00387610"/>
    <w:rsid w:val="00390B6D"/>
    <w:rsid w:val="003918DA"/>
    <w:rsid w:val="003919DA"/>
    <w:rsid w:val="003924CB"/>
    <w:rsid w:val="00393EC7"/>
    <w:rsid w:val="0039430C"/>
    <w:rsid w:val="00395C2F"/>
    <w:rsid w:val="00395CE2"/>
    <w:rsid w:val="003964A3"/>
    <w:rsid w:val="003973D3"/>
    <w:rsid w:val="003A0892"/>
    <w:rsid w:val="003A2703"/>
    <w:rsid w:val="003A3C9D"/>
    <w:rsid w:val="003A3FB6"/>
    <w:rsid w:val="003A449E"/>
    <w:rsid w:val="003A71F3"/>
    <w:rsid w:val="003B05FB"/>
    <w:rsid w:val="003B0631"/>
    <w:rsid w:val="003B1648"/>
    <w:rsid w:val="003B19F5"/>
    <w:rsid w:val="003B3D41"/>
    <w:rsid w:val="003B3DF0"/>
    <w:rsid w:val="003B5BD1"/>
    <w:rsid w:val="003B66AB"/>
    <w:rsid w:val="003C1A03"/>
    <w:rsid w:val="003C48EA"/>
    <w:rsid w:val="003C4B53"/>
    <w:rsid w:val="003C5566"/>
    <w:rsid w:val="003C6BD8"/>
    <w:rsid w:val="003C7E5A"/>
    <w:rsid w:val="003D0E0A"/>
    <w:rsid w:val="003D125B"/>
    <w:rsid w:val="003D1564"/>
    <w:rsid w:val="003D3B22"/>
    <w:rsid w:val="003D5564"/>
    <w:rsid w:val="003E0CC4"/>
    <w:rsid w:val="003E1566"/>
    <w:rsid w:val="003E1EE5"/>
    <w:rsid w:val="003E311C"/>
    <w:rsid w:val="003E328D"/>
    <w:rsid w:val="003E376A"/>
    <w:rsid w:val="003E5EC8"/>
    <w:rsid w:val="003E67A6"/>
    <w:rsid w:val="003F0213"/>
    <w:rsid w:val="003F077C"/>
    <w:rsid w:val="003F4136"/>
    <w:rsid w:val="003F50CD"/>
    <w:rsid w:val="003F72AD"/>
    <w:rsid w:val="003F7C14"/>
    <w:rsid w:val="00401C37"/>
    <w:rsid w:val="00402834"/>
    <w:rsid w:val="00402B32"/>
    <w:rsid w:val="00403617"/>
    <w:rsid w:val="004068A3"/>
    <w:rsid w:val="0041003B"/>
    <w:rsid w:val="00410C93"/>
    <w:rsid w:val="00411B4A"/>
    <w:rsid w:val="0041220C"/>
    <w:rsid w:val="00412241"/>
    <w:rsid w:val="004128B1"/>
    <w:rsid w:val="00412FA5"/>
    <w:rsid w:val="00413029"/>
    <w:rsid w:val="00413B67"/>
    <w:rsid w:val="00414732"/>
    <w:rsid w:val="00416323"/>
    <w:rsid w:val="00417E99"/>
    <w:rsid w:val="00420063"/>
    <w:rsid w:val="0042097E"/>
    <w:rsid w:val="00420A96"/>
    <w:rsid w:val="00421331"/>
    <w:rsid w:val="00421839"/>
    <w:rsid w:val="00421C98"/>
    <w:rsid w:val="00424546"/>
    <w:rsid w:val="004254FF"/>
    <w:rsid w:val="004276EB"/>
    <w:rsid w:val="00427935"/>
    <w:rsid w:val="00427D27"/>
    <w:rsid w:val="00430D9A"/>
    <w:rsid w:val="0043167C"/>
    <w:rsid w:val="00434863"/>
    <w:rsid w:val="00436C7A"/>
    <w:rsid w:val="00441108"/>
    <w:rsid w:val="00441F7A"/>
    <w:rsid w:val="004421F2"/>
    <w:rsid w:val="00442E71"/>
    <w:rsid w:val="00442FE9"/>
    <w:rsid w:val="0044602E"/>
    <w:rsid w:val="00446373"/>
    <w:rsid w:val="0044695E"/>
    <w:rsid w:val="004525D8"/>
    <w:rsid w:val="00457587"/>
    <w:rsid w:val="00460146"/>
    <w:rsid w:val="004608BC"/>
    <w:rsid w:val="00460DBE"/>
    <w:rsid w:val="00461B7F"/>
    <w:rsid w:val="00462878"/>
    <w:rsid w:val="00462F9F"/>
    <w:rsid w:val="00464545"/>
    <w:rsid w:val="00464E96"/>
    <w:rsid w:val="00465B7A"/>
    <w:rsid w:val="00466082"/>
    <w:rsid w:val="00467AB3"/>
    <w:rsid w:val="00470B8E"/>
    <w:rsid w:val="00471DEB"/>
    <w:rsid w:val="00472285"/>
    <w:rsid w:val="00472AA2"/>
    <w:rsid w:val="00472D6D"/>
    <w:rsid w:val="0047375E"/>
    <w:rsid w:val="00474DEB"/>
    <w:rsid w:val="0047550D"/>
    <w:rsid w:val="00476B6D"/>
    <w:rsid w:val="004774E8"/>
    <w:rsid w:val="00482EC1"/>
    <w:rsid w:val="00491A35"/>
    <w:rsid w:val="00492BEA"/>
    <w:rsid w:val="00492DDE"/>
    <w:rsid w:val="004953EC"/>
    <w:rsid w:val="00495813"/>
    <w:rsid w:val="00496A5E"/>
    <w:rsid w:val="004A09CD"/>
    <w:rsid w:val="004A0D29"/>
    <w:rsid w:val="004A0DE1"/>
    <w:rsid w:val="004A12E0"/>
    <w:rsid w:val="004A2009"/>
    <w:rsid w:val="004A2251"/>
    <w:rsid w:val="004A2410"/>
    <w:rsid w:val="004A27AC"/>
    <w:rsid w:val="004A32B1"/>
    <w:rsid w:val="004A4B54"/>
    <w:rsid w:val="004A6089"/>
    <w:rsid w:val="004A7401"/>
    <w:rsid w:val="004A7B2B"/>
    <w:rsid w:val="004B12E0"/>
    <w:rsid w:val="004B176E"/>
    <w:rsid w:val="004B40AA"/>
    <w:rsid w:val="004C026E"/>
    <w:rsid w:val="004C03CC"/>
    <w:rsid w:val="004C112C"/>
    <w:rsid w:val="004C1DD0"/>
    <w:rsid w:val="004C28FF"/>
    <w:rsid w:val="004C4C68"/>
    <w:rsid w:val="004C4E33"/>
    <w:rsid w:val="004C64E4"/>
    <w:rsid w:val="004C6D5A"/>
    <w:rsid w:val="004C7FD5"/>
    <w:rsid w:val="004D4CF5"/>
    <w:rsid w:val="004D5173"/>
    <w:rsid w:val="004E156F"/>
    <w:rsid w:val="004E55DB"/>
    <w:rsid w:val="004E6FEA"/>
    <w:rsid w:val="004E71A8"/>
    <w:rsid w:val="004E7646"/>
    <w:rsid w:val="004E7F1A"/>
    <w:rsid w:val="004F161C"/>
    <w:rsid w:val="004F2013"/>
    <w:rsid w:val="004F32E8"/>
    <w:rsid w:val="004F48C5"/>
    <w:rsid w:val="004F4F7F"/>
    <w:rsid w:val="004F695F"/>
    <w:rsid w:val="00500E80"/>
    <w:rsid w:val="0050107B"/>
    <w:rsid w:val="00502B2F"/>
    <w:rsid w:val="00504F46"/>
    <w:rsid w:val="00505927"/>
    <w:rsid w:val="0050630E"/>
    <w:rsid w:val="00507B62"/>
    <w:rsid w:val="00511E0C"/>
    <w:rsid w:val="005126DD"/>
    <w:rsid w:val="00512D00"/>
    <w:rsid w:val="00514179"/>
    <w:rsid w:val="00514E1B"/>
    <w:rsid w:val="0051555D"/>
    <w:rsid w:val="00515629"/>
    <w:rsid w:val="005159E7"/>
    <w:rsid w:val="00516927"/>
    <w:rsid w:val="005200B9"/>
    <w:rsid w:val="00520130"/>
    <w:rsid w:val="0052135A"/>
    <w:rsid w:val="00522410"/>
    <w:rsid w:val="00522511"/>
    <w:rsid w:val="005245A3"/>
    <w:rsid w:val="005246B4"/>
    <w:rsid w:val="00524E1B"/>
    <w:rsid w:val="00530583"/>
    <w:rsid w:val="00535002"/>
    <w:rsid w:val="005371B2"/>
    <w:rsid w:val="00537A8D"/>
    <w:rsid w:val="0054143C"/>
    <w:rsid w:val="00541B26"/>
    <w:rsid w:val="00542AF7"/>
    <w:rsid w:val="00544BEA"/>
    <w:rsid w:val="00544DCE"/>
    <w:rsid w:val="005460D5"/>
    <w:rsid w:val="0054645B"/>
    <w:rsid w:val="005464FC"/>
    <w:rsid w:val="0054729E"/>
    <w:rsid w:val="00551686"/>
    <w:rsid w:val="00553B20"/>
    <w:rsid w:val="00556654"/>
    <w:rsid w:val="00556837"/>
    <w:rsid w:val="00556953"/>
    <w:rsid w:val="00556B47"/>
    <w:rsid w:val="00557558"/>
    <w:rsid w:val="00557801"/>
    <w:rsid w:val="00561DA5"/>
    <w:rsid w:val="00562572"/>
    <w:rsid w:val="00563972"/>
    <w:rsid w:val="00565B5B"/>
    <w:rsid w:val="00566105"/>
    <w:rsid w:val="00566A85"/>
    <w:rsid w:val="00570CC2"/>
    <w:rsid w:val="00571442"/>
    <w:rsid w:val="00572E57"/>
    <w:rsid w:val="00573AE3"/>
    <w:rsid w:val="0057664F"/>
    <w:rsid w:val="00577BC6"/>
    <w:rsid w:val="00580E69"/>
    <w:rsid w:val="0058217B"/>
    <w:rsid w:val="00583CF4"/>
    <w:rsid w:val="005865A7"/>
    <w:rsid w:val="00586747"/>
    <w:rsid w:val="00586ABA"/>
    <w:rsid w:val="00586B31"/>
    <w:rsid w:val="005902D9"/>
    <w:rsid w:val="00594717"/>
    <w:rsid w:val="00594D26"/>
    <w:rsid w:val="00595953"/>
    <w:rsid w:val="00596975"/>
    <w:rsid w:val="00596AB7"/>
    <w:rsid w:val="005A07BD"/>
    <w:rsid w:val="005A1EA7"/>
    <w:rsid w:val="005A493F"/>
    <w:rsid w:val="005A4F8E"/>
    <w:rsid w:val="005A5FAF"/>
    <w:rsid w:val="005A6086"/>
    <w:rsid w:val="005A7A80"/>
    <w:rsid w:val="005B0724"/>
    <w:rsid w:val="005B1BD0"/>
    <w:rsid w:val="005B1E46"/>
    <w:rsid w:val="005B4015"/>
    <w:rsid w:val="005B7F7D"/>
    <w:rsid w:val="005C0225"/>
    <w:rsid w:val="005C1B86"/>
    <w:rsid w:val="005C3037"/>
    <w:rsid w:val="005C3798"/>
    <w:rsid w:val="005C42AC"/>
    <w:rsid w:val="005C4F84"/>
    <w:rsid w:val="005C53FC"/>
    <w:rsid w:val="005C55A6"/>
    <w:rsid w:val="005C76E9"/>
    <w:rsid w:val="005C7D84"/>
    <w:rsid w:val="005D32BC"/>
    <w:rsid w:val="005D37D0"/>
    <w:rsid w:val="005D40BD"/>
    <w:rsid w:val="005D5C40"/>
    <w:rsid w:val="005D5D60"/>
    <w:rsid w:val="005D703E"/>
    <w:rsid w:val="005E0208"/>
    <w:rsid w:val="005E2C79"/>
    <w:rsid w:val="005E3DE6"/>
    <w:rsid w:val="005E40D8"/>
    <w:rsid w:val="005E5525"/>
    <w:rsid w:val="005E55A7"/>
    <w:rsid w:val="005E7061"/>
    <w:rsid w:val="005E7215"/>
    <w:rsid w:val="005E7252"/>
    <w:rsid w:val="005F0EBC"/>
    <w:rsid w:val="005F47F6"/>
    <w:rsid w:val="005F59B7"/>
    <w:rsid w:val="005F63E7"/>
    <w:rsid w:val="00600F4A"/>
    <w:rsid w:val="00601E82"/>
    <w:rsid w:val="006022E8"/>
    <w:rsid w:val="00603157"/>
    <w:rsid w:val="00604B41"/>
    <w:rsid w:val="00604B4E"/>
    <w:rsid w:val="00606DF6"/>
    <w:rsid w:val="0061190C"/>
    <w:rsid w:val="00612136"/>
    <w:rsid w:val="00612220"/>
    <w:rsid w:val="00613410"/>
    <w:rsid w:val="00614C04"/>
    <w:rsid w:val="006171EC"/>
    <w:rsid w:val="0061738E"/>
    <w:rsid w:val="00617986"/>
    <w:rsid w:val="00620D29"/>
    <w:rsid w:val="006220F4"/>
    <w:rsid w:val="00622AA9"/>
    <w:rsid w:val="00623720"/>
    <w:rsid w:val="006242EC"/>
    <w:rsid w:val="0062578B"/>
    <w:rsid w:val="0062592E"/>
    <w:rsid w:val="00625D1E"/>
    <w:rsid w:val="0062751C"/>
    <w:rsid w:val="00627DDB"/>
    <w:rsid w:val="0063309D"/>
    <w:rsid w:val="006331C2"/>
    <w:rsid w:val="00637D4C"/>
    <w:rsid w:val="00642315"/>
    <w:rsid w:val="00642F74"/>
    <w:rsid w:val="006437AB"/>
    <w:rsid w:val="00643C16"/>
    <w:rsid w:val="00644951"/>
    <w:rsid w:val="0064583B"/>
    <w:rsid w:val="006470FC"/>
    <w:rsid w:val="0065168A"/>
    <w:rsid w:val="00652BBC"/>
    <w:rsid w:val="00654A48"/>
    <w:rsid w:val="0065651B"/>
    <w:rsid w:val="00656C42"/>
    <w:rsid w:val="00656C66"/>
    <w:rsid w:val="006578BF"/>
    <w:rsid w:val="006605E7"/>
    <w:rsid w:val="00661778"/>
    <w:rsid w:val="00661B6B"/>
    <w:rsid w:val="006623D7"/>
    <w:rsid w:val="0066363A"/>
    <w:rsid w:val="00664607"/>
    <w:rsid w:val="006654E9"/>
    <w:rsid w:val="006672A3"/>
    <w:rsid w:val="006674A8"/>
    <w:rsid w:val="00667FD2"/>
    <w:rsid w:val="00670089"/>
    <w:rsid w:val="00673093"/>
    <w:rsid w:val="006760BE"/>
    <w:rsid w:val="00677469"/>
    <w:rsid w:val="00677CD6"/>
    <w:rsid w:val="00680AE4"/>
    <w:rsid w:val="006810A0"/>
    <w:rsid w:val="00681411"/>
    <w:rsid w:val="00681A07"/>
    <w:rsid w:val="00682A6A"/>
    <w:rsid w:val="0068389A"/>
    <w:rsid w:val="00684B76"/>
    <w:rsid w:val="00684E51"/>
    <w:rsid w:val="00684FE6"/>
    <w:rsid w:val="00686506"/>
    <w:rsid w:val="00690DA0"/>
    <w:rsid w:val="00692710"/>
    <w:rsid w:val="006930F5"/>
    <w:rsid w:val="006932AC"/>
    <w:rsid w:val="00693D65"/>
    <w:rsid w:val="00694C79"/>
    <w:rsid w:val="006960D7"/>
    <w:rsid w:val="00696F3B"/>
    <w:rsid w:val="00697279"/>
    <w:rsid w:val="0069727D"/>
    <w:rsid w:val="006977EB"/>
    <w:rsid w:val="00697AE6"/>
    <w:rsid w:val="006A0FA4"/>
    <w:rsid w:val="006A100B"/>
    <w:rsid w:val="006A12E9"/>
    <w:rsid w:val="006A143A"/>
    <w:rsid w:val="006A2784"/>
    <w:rsid w:val="006A3285"/>
    <w:rsid w:val="006A3378"/>
    <w:rsid w:val="006A5479"/>
    <w:rsid w:val="006B0B19"/>
    <w:rsid w:val="006B12C5"/>
    <w:rsid w:val="006B2FBE"/>
    <w:rsid w:val="006B354A"/>
    <w:rsid w:val="006B4465"/>
    <w:rsid w:val="006B582C"/>
    <w:rsid w:val="006B5D05"/>
    <w:rsid w:val="006B72DE"/>
    <w:rsid w:val="006B78E4"/>
    <w:rsid w:val="006C1E5D"/>
    <w:rsid w:val="006C229C"/>
    <w:rsid w:val="006C2E3A"/>
    <w:rsid w:val="006C4C65"/>
    <w:rsid w:val="006C5FC1"/>
    <w:rsid w:val="006C6299"/>
    <w:rsid w:val="006D2E5E"/>
    <w:rsid w:val="006D44E1"/>
    <w:rsid w:val="006D54E6"/>
    <w:rsid w:val="006D65F7"/>
    <w:rsid w:val="006E0053"/>
    <w:rsid w:val="006E019C"/>
    <w:rsid w:val="006E0A09"/>
    <w:rsid w:val="006E0E97"/>
    <w:rsid w:val="006E0EC2"/>
    <w:rsid w:val="006E21FA"/>
    <w:rsid w:val="006E3D4C"/>
    <w:rsid w:val="006E3D5F"/>
    <w:rsid w:val="006E42DE"/>
    <w:rsid w:val="006E4910"/>
    <w:rsid w:val="006E562B"/>
    <w:rsid w:val="006E6C11"/>
    <w:rsid w:val="006E76FC"/>
    <w:rsid w:val="006F0032"/>
    <w:rsid w:val="006F0A41"/>
    <w:rsid w:val="006F0FB7"/>
    <w:rsid w:val="006F15C7"/>
    <w:rsid w:val="006F27BE"/>
    <w:rsid w:val="006F30E6"/>
    <w:rsid w:val="006F3E48"/>
    <w:rsid w:val="006F411A"/>
    <w:rsid w:val="006F4235"/>
    <w:rsid w:val="006F59C8"/>
    <w:rsid w:val="006F5E06"/>
    <w:rsid w:val="006F6896"/>
    <w:rsid w:val="006F6A10"/>
    <w:rsid w:val="006F7534"/>
    <w:rsid w:val="006F792B"/>
    <w:rsid w:val="006F7DCF"/>
    <w:rsid w:val="00701AE7"/>
    <w:rsid w:val="00702BC4"/>
    <w:rsid w:val="00704521"/>
    <w:rsid w:val="007046EB"/>
    <w:rsid w:val="00704E5D"/>
    <w:rsid w:val="00705739"/>
    <w:rsid w:val="0071306E"/>
    <w:rsid w:val="00715FB5"/>
    <w:rsid w:val="0071609A"/>
    <w:rsid w:val="007171A6"/>
    <w:rsid w:val="007174AD"/>
    <w:rsid w:val="0071799D"/>
    <w:rsid w:val="00720CF0"/>
    <w:rsid w:val="00724735"/>
    <w:rsid w:val="0072522E"/>
    <w:rsid w:val="00725AF7"/>
    <w:rsid w:val="00725E68"/>
    <w:rsid w:val="00726088"/>
    <w:rsid w:val="00727AF6"/>
    <w:rsid w:val="007307F6"/>
    <w:rsid w:val="00730A0E"/>
    <w:rsid w:val="00730B6A"/>
    <w:rsid w:val="00731F22"/>
    <w:rsid w:val="00732371"/>
    <w:rsid w:val="00732A4A"/>
    <w:rsid w:val="007334EC"/>
    <w:rsid w:val="007350C4"/>
    <w:rsid w:val="00736D88"/>
    <w:rsid w:val="00736DD2"/>
    <w:rsid w:val="00737A25"/>
    <w:rsid w:val="00737AB8"/>
    <w:rsid w:val="0074007B"/>
    <w:rsid w:val="00743E21"/>
    <w:rsid w:val="00743F18"/>
    <w:rsid w:val="0074608A"/>
    <w:rsid w:val="0074681C"/>
    <w:rsid w:val="00746EC2"/>
    <w:rsid w:val="007477DE"/>
    <w:rsid w:val="00751B5F"/>
    <w:rsid w:val="0075305F"/>
    <w:rsid w:val="00754608"/>
    <w:rsid w:val="0075581A"/>
    <w:rsid w:val="00761EC2"/>
    <w:rsid w:val="00764158"/>
    <w:rsid w:val="007654E2"/>
    <w:rsid w:val="0076555E"/>
    <w:rsid w:val="00765F4B"/>
    <w:rsid w:val="0076647D"/>
    <w:rsid w:val="0076666E"/>
    <w:rsid w:val="007670B1"/>
    <w:rsid w:val="00770B3E"/>
    <w:rsid w:val="00771D8D"/>
    <w:rsid w:val="00771E46"/>
    <w:rsid w:val="00772ACA"/>
    <w:rsid w:val="00777BF9"/>
    <w:rsid w:val="007805B3"/>
    <w:rsid w:val="007810EA"/>
    <w:rsid w:val="00781523"/>
    <w:rsid w:val="00781AB0"/>
    <w:rsid w:val="00782FEC"/>
    <w:rsid w:val="007847C2"/>
    <w:rsid w:val="00785BF8"/>
    <w:rsid w:val="00785CFB"/>
    <w:rsid w:val="00786EFE"/>
    <w:rsid w:val="00791EC4"/>
    <w:rsid w:val="00793250"/>
    <w:rsid w:val="00794302"/>
    <w:rsid w:val="007946CA"/>
    <w:rsid w:val="007959AC"/>
    <w:rsid w:val="00797920"/>
    <w:rsid w:val="007A0883"/>
    <w:rsid w:val="007A20E0"/>
    <w:rsid w:val="007A24F9"/>
    <w:rsid w:val="007A27B9"/>
    <w:rsid w:val="007A65F9"/>
    <w:rsid w:val="007B1696"/>
    <w:rsid w:val="007B201F"/>
    <w:rsid w:val="007B2204"/>
    <w:rsid w:val="007B2E7A"/>
    <w:rsid w:val="007B3C8D"/>
    <w:rsid w:val="007B4B60"/>
    <w:rsid w:val="007B58C2"/>
    <w:rsid w:val="007B69C4"/>
    <w:rsid w:val="007B7A38"/>
    <w:rsid w:val="007C203E"/>
    <w:rsid w:val="007C2502"/>
    <w:rsid w:val="007C3F57"/>
    <w:rsid w:val="007C4691"/>
    <w:rsid w:val="007C4793"/>
    <w:rsid w:val="007C7E4E"/>
    <w:rsid w:val="007D1061"/>
    <w:rsid w:val="007D4202"/>
    <w:rsid w:val="007D5C47"/>
    <w:rsid w:val="007D5F09"/>
    <w:rsid w:val="007D649A"/>
    <w:rsid w:val="007D7E65"/>
    <w:rsid w:val="007E0580"/>
    <w:rsid w:val="007E0A76"/>
    <w:rsid w:val="007E19E0"/>
    <w:rsid w:val="007E1B0C"/>
    <w:rsid w:val="007E39A0"/>
    <w:rsid w:val="007E46F4"/>
    <w:rsid w:val="007E4FF5"/>
    <w:rsid w:val="007E6344"/>
    <w:rsid w:val="007F0862"/>
    <w:rsid w:val="007F14F8"/>
    <w:rsid w:val="007F1F76"/>
    <w:rsid w:val="007F2837"/>
    <w:rsid w:val="007F4F1E"/>
    <w:rsid w:val="00800085"/>
    <w:rsid w:val="00800734"/>
    <w:rsid w:val="0080093D"/>
    <w:rsid w:val="00802117"/>
    <w:rsid w:val="0080372E"/>
    <w:rsid w:val="008041D4"/>
    <w:rsid w:val="008050F1"/>
    <w:rsid w:val="0080579B"/>
    <w:rsid w:val="00805933"/>
    <w:rsid w:val="00807DFB"/>
    <w:rsid w:val="00810721"/>
    <w:rsid w:val="0081156A"/>
    <w:rsid w:val="00811877"/>
    <w:rsid w:val="00811D97"/>
    <w:rsid w:val="008128AF"/>
    <w:rsid w:val="00812A73"/>
    <w:rsid w:val="00815F30"/>
    <w:rsid w:val="00821353"/>
    <w:rsid w:val="0082153C"/>
    <w:rsid w:val="008232D4"/>
    <w:rsid w:val="00825A48"/>
    <w:rsid w:val="00826DB4"/>
    <w:rsid w:val="00827398"/>
    <w:rsid w:val="00827916"/>
    <w:rsid w:val="00827D28"/>
    <w:rsid w:val="00830BE3"/>
    <w:rsid w:val="00832DEF"/>
    <w:rsid w:val="0083380E"/>
    <w:rsid w:val="008352AB"/>
    <w:rsid w:val="008404E1"/>
    <w:rsid w:val="0084131B"/>
    <w:rsid w:val="00842974"/>
    <w:rsid w:val="00842C1B"/>
    <w:rsid w:val="00845109"/>
    <w:rsid w:val="008455E6"/>
    <w:rsid w:val="00850D3B"/>
    <w:rsid w:val="008514A7"/>
    <w:rsid w:val="00851EF4"/>
    <w:rsid w:val="00852634"/>
    <w:rsid w:val="00853669"/>
    <w:rsid w:val="00854095"/>
    <w:rsid w:val="0085550A"/>
    <w:rsid w:val="00855EEF"/>
    <w:rsid w:val="0085609D"/>
    <w:rsid w:val="00860553"/>
    <w:rsid w:val="008616EF"/>
    <w:rsid w:val="0086192D"/>
    <w:rsid w:val="00863C25"/>
    <w:rsid w:val="008641B7"/>
    <w:rsid w:val="008648DA"/>
    <w:rsid w:val="00864ADE"/>
    <w:rsid w:val="00864DC1"/>
    <w:rsid w:val="008705BC"/>
    <w:rsid w:val="00872F7A"/>
    <w:rsid w:val="00873357"/>
    <w:rsid w:val="00873783"/>
    <w:rsid w:val="00873BB9"/>
    <w:rsid w:val="00875A42"/>
    <w:rsid w:val="00875B1A"/>
    <w:rsid w:val="00876460"/>
    <w:rsid w:val="00880445"/>
    <w:rsid w:val="008817AF"/>
    <w:rsid w:val="00881ACF"/>
    <w:rsid w:val="008839A3"/>
    <w:rsid w:val="0088400C"/>
    <w:rsid w:val="008857CC"/>
    <w:rsid w:val="0089007A"/>
    <w:rsid w:val="008904A8"/>
    <w:rsid w:val="00892BB0"/>
    <w:rsid w:val="00893A04"/>
    <w:rsid w:val="00893C64"/>
    <w:rsid w:val="00894843"/>
    <w:rsid w:val="008A47E2"/>
    <w:rsid w:val="008A581E"/>
    <w:rsid w:val="008A703A"/>
    <w:rsid w:val="008A776A"/>
    <w:rsid w:val="008B48A3"/>
    <w:rsid w:val="008B649A"/>
    <w:rsid w:val="008B6EA4"/>
    <w:rsid w:val="008C0E7A"/>
    <w:rsid w:val="008C2D60"/>
    <w:rsid w:val="008C4987"/>
    <w:rsid w:val="008C510F"/>
    <w:rsid w:val="008C697A"/>
    <w:rsid w:val="008C6AB8"/>
    <w:rsid w:val="008C6BDC"/>
    <w:rsid w:val="008C77E3"/>
    <w:rsid w:val="008D1BFD"/>
    <w:rsid w:val="008D25D7"/>
    <w:rsid w:val="008D63EC"/>
    <w:rsid w:val="008D7D77"/>
    <w:rsid w:val="008E1231"/>
    <w:rsid w:val="008E1633"/>
    <w:rsid w:val="008E379E"/>
    <w:rsid w:val="008E4EC7"/>
    <w:rsid w:val="008E66B8"/>
    <w:rsid w:val="008E6FA3"/>
    <w:rsid w:val="008F1988"/>
    <w:rsid w:val="008F2B00"/>
    <w:rsid w:val="008F2C51"/>
    <w:rsid w:val="008F2CBA"/>
    <w:rsid w:val="008F4F2C"/>
    <w:rsid w:val="008F6252"/>
    <w:rsid w:val="008F7FAA"/>
    <w:rsid w:val="009023F3"/>
    <w:rsid w:val="00902A22"/>
    <w:rsid w:val="00903540"/>
    <w:rsid w:val="0090383C"/>
    <w:rsid w:val="009039A8"/>
    <w:rsid w:val="00904A72"/>
    <w:rsid w:val="00904B2A"/>
    <w:rsid w:val="00905AA2"/>
    <w:rsid w:val="00905F77"/>
    <w:rsid w:val="00910547"/>
    <w:rsid w:val="009106B7"/>
    <w:rsid w:val="00912132"/>
    <w:rsid w:val="00912374"/>
    <w:rsid w:val="00915390"/>
    <w:rsid w:val="009169F7"/>
    <w:rsid w:val="009211CD"/>
    <w:rsid w:val="0092151D"/>
    <w:rsid w:val="00922FAD"/>
    <w:rsid w:val="00923051"/>
    <w:rsid w:val="00924F0A"/>
    <w:rsid w:val="00925525"/>
    <w:rsid w:val="0092708B"/>
    <w:rsid w:val="0093049D"/>
    <w:rsid w:val="009316E1"/>
    <w:rsid w:val="00934677"/>
    <w:rsid w:val="00934AFC"/>
    <w:rsid w:val="00937713"/>
    <w:rsid w:val="00937AD2"/>
    <w:rsid w:val="00937EAC"/>
    <w:rsid w:val="00941BC4"/>
    <w:rsid w:val="00944CC5"/>
    <w:rsid w:val="0094759E"/>
    <w:rsid w:val="00950469"/>
    <w:rsid w:val="0095125B"/>
    <w:rsid w:val="009533C0"/>
    <w:rsid w:val="009535C6"/>
    <w:rsid w:val="00953E8B"/>
    <w:rsid w:val="00954D12"/>
    <w:rsid w:val="00956EEA"/>
    <w:rsid w:val="00956F33"/>
    <w:rsid w:val="00957862"/>
    <w:rsid w:val="00957C90"/>
    <w:rsid w:val="0096035A"/>
    <w:rsid w:val="00960D72"/>
    <w:rsid w:val="0096160A"/>
    <w:rsid w:val="00962F12"/>
    <w:rsid w:val="0096419F"/>
    <w:rsid w:val="00966820"/>
    <w:rsid w:val="00966C42"/>
    <w:rsid w:val="009702E8"/>
    <w:rsid w:val="00970731"/>
    <w:rsid w:val="00971E57"/>
    <w:rsid w:val="00972205"/>
    <w:rsid w:val="009723CF"/>
    <w:rsid w:val="0097298D"/>
    <w:rsid w:val="00972F84"/>
    <w:rsid w:val="0097388B"/>
    <w:rsid w:val="009738E9"/>
    <w:rsid w:val="00974B82"/>
    <w:rsid w:val="009771A9"/>
    <w:rsid w:val="00977FE0"/>
    <w:rsid w:val="00980037"/>
    <w:rsid w:val="00983661"/>
    <w:rsid w:val="00983B43"/>
    <w:rsid w:val="00991B37"/>
    <w:rsid w:val="00991BB1"/>
    <w:rsid w:val="00993858"/>
    <w:rsid w:val="00993934"/>
    <w:rsid w:val="00993C8A"/>
    <w:rsid w:val="00993CA0"/>
    <w:rsid w:val="0099449D"/>
    <w:rsid w:val="00994912"/>
    <w:rsid w:val="00996DD5"/>
    <w:rsid w:val="009A0AB1"/>
    <w:rsid w:val="009A0C0B"/>
    <w:rsid w:val="009A1D82"/>
    <w:rsid w:val="009A46BB"/>
    <w:rsid w:val="009A4A26"/>
    <w:rsid w:val="009A4BB5"/>
    <w:rsid w:val="009A4CF6"/>
    <w:rsid w:val="009A744B"/>
    <w:rsid w:val="009B0FA4"/>
    <w:rsid w:val="009B30F1"/>
    <w:rsid w:val="009B3DCE"/>
    <w:rsid w:val="009B4AEB"/>
    <w:rsid w:val="009B6096"/>
    <w:rsid w:val="009B7C5D"/>
    <w:rsid w:val="009B7E4E"/>
    <w:rsid w:val="009C0436"/>
    <w:rsid w:val="009C15E8"/>
    <w:rsid w:val="009C1D90"/>
    <w:rsid w:val="009C21A2"/>
    <w:rsid w:val="009C3034"/>
    <w:rsid w:val="009C306C"/>
    <w:rsid w:val="009C4409"/>
    <w:rsid w:val="009C460F"/>
    <w:rsid w:val="009C4843"/>
    <w:rsid w:val="009C5B53"/>
    <w:rsid w:val="009C5FD1"/>
    <w:rsid w:val="009C70BC"/>
    <w:rsid w:val="009C7278"/>
    <w:rsid w:val="009D1875"/>
    <w:rsid w:val="009D1B3A"/>
    <w:rsid w:val="009D1B3F"/>
    <w:rsid w:val="009D1BFE"/>
    <w:rsid w:val="009D3151"/>
    <w:rsid w:val="009D3162"/>
    <w:rsid w:val="009D3181"/>
    <w:rsid w:val="009D431F"/>
    <w:rsid w:val="009E14DF"/>
    <w:rsid w:val="009E22D7"/>
    <w:rsid w:val="009E2FCE"/>
    <w:rsid w:val="009E348B"/>
    <w:rsid w:val="009E4FFB"/>
    <w:rsid w:val="009E695D"/>
    <w:rsid w:val="009E6D6A"/>
    <w:rsid w:val="009E732B"/>
    <w:rsid w:val="009E737D"/>
    <w:rsid w:val="009F08ED"/>
    <w:rsid w:val="009F1851"/>
    <w:rsid w:val="009F2C6B"/>
    <w:rsid w:val="009F4340"/>
    <w:rsid w:val="009F442B"/>
    <w:rsid w:val="009F4C1B"/>
    <w:rsid w:val="009F4ED7"/>
    <w:rsid w:val="009F5B17"/>
    <w:rsid w:val="009F6326"/>
    <w:rsid w:val="009F773B"/>
    <w:rsid w:val="00A00D9A"/>
    <w:rsid w:val="00A016C9"/>
    <w:rsid w:val="00A024EF"/>
    <w:rsid w:val="00A035DE"/>
    <w:rsid w:val="00A03977"/>
    <w:rsid w:val="00A0615B"/>
    <w:rsid w:val="00A064D9"/>
    <w:rsid w:val="00A06E4D"/>
    <w:rsid w:val="00A1030B"/>
    <w:rsid w:val="00A108DF"/>
    <w:rsid w:val="00A112AE"/>
    <w:rsid w:val="00A13EA2"/>
    <w:rsid w:val="00A147DF"/>
    <w:rsid w:val="00A210E1"/>
    <w:rsid w:val="00A235C1"/>
    <w:rsid w:val="00A26FF7"/>
    <w:rsid w:val="00A270D7"/>
    <w:rsid w:val="00A313AC"/>
    <w:rsid w:val="00A32224"/>
    <w:rsid w:val="00A341CA"/>
    <w:rsid w:val="00A36AE2"/>
    <w:rsid w:val="00A372D2"/>
    <w:rsid w:val="00A37383"/>
    <w:rsid w:val="00A37940"/>
    <w:rsid w:val="00A4306D"/>
    <w:rsid w:val="00A445DC"/>
    <w:rsid w:val="00A44BEA"/>
    <w:rsid w:val="00A46930"/>
    <w:rsid w:val="00A47655"/>
    <w:rsid w:val="00A50E30"/>
    <w:rsid w:val="00A512B5"/>
    <w:rsid w:val="00A5235B"/>
    <w:rsid w:val="00A52D1B"/>
    <w:rsid w:val="00A537AC"/>
    <w:rsid w:val="00A53ECB"/>
    <w:rsid w:val="00A542FE"/>
    <w:rsid w:val="00A54FD2"/>
    <w:rsid w:val="00A569E8"/>
    <w:rsid w:val="00A57F3B"/>
    <w:rsid w:val="00A6522B"/>
    <w:rsid w:val="00A65927"/>
    <w:rsid w:val="00A66A73"/>
    <w:rsid w:val="00A66B71"/>
    <w:rsid w:val="00A66C3D"/>
    <w:rsid w:val="00A679EE"/>
    <w:rsid w:val="00A67A1A"/>
    <w:rsid w:val="00A67A44"/>
    <w:rsid w:val="00A7118A"/>
    <w:rsid w:val="00A711C6"/>
    <w:rsid w:val="00A75A98"/>
    <w:rsid w:val="00A81327"/>
    <w:rsid w:val="00A82D60"/>
    <w:rsid w:val="00A83385"/>
    <w:rsid w:val="00A84863"/>
    <w:rsid w:val="00A852EE"/>
    <w:rsid w:val="00A862FA"/>
    <w:rsid w:val="00A863A5"/>
    <w:rsid w:val="00A86B74"/>
    <w:rsid w:val="00A90A92"/>
    <w:rsid w:val="00A91453"/>
    <w:rsid w:val="00A919B5"/>
    <w:rsid w:val="00A92180"/>
    <w:rsid w:val="00A937B8"/>
    <w:rsid w:val="00A9582F"/>
    <w:rsid w:val="00A95D95"/>
    <w:rsid w:val="00A95E1F"/>
    <w:rsid w:val="00A9758B"/>
    <w:rsid w:val="00A977EC"/>
    <w:rsid w:val="00A97A09"/>
    <w:rsid w:val="00AA03B0"/>
    <w:rsid w:val="00AA0533"/>
    <w:rsid w:val="00AA0AB7"/>
    <w:rsid w:val="00AA3FD1"/>
    <w:rsid w:val="00AB11B3"/>
    <w:rsid w:val="00AB2665"/>
    <w:rsid w:val="00AB2F41"/>
    <w:rsid w:val="00AB5A10"/>
    <w:rsid w:val="00AB5ED3"/>
    <w:rsid w:val="00AB60D2"/>
    <w:rsid w:val="00AB6B0C"/>
    <w:rsid w:val="00AB70CD"/>
    <w:rsid w:val="00AB7419"/>
    <w:rsid w:val="00AC2CDA"/>
    <w:rsid w:val="00AC30FD"/>
    <w:rsid w:val="00AC3CBC"/>
    <w:rsid w:val="00AC4833"/>
    <w:rsid w:val="00AC4898"/>
    <w:rsid w:val="00AC48B3"/>
    <w:rsid w:val="00AC48E0"/>
    <w:rsid w:val="00AC5121"/>
    <w:rsid w:val="00AC7AC9"/>
    <w:rsid w:val="00AD03EF"/>
    <w:rsid w:val="00AD1C48"/>
    <w:rsid w:val="00AD4D46"/>
    <w:rsid w:val="00AD4E8E"/>
    <w:rsid w:val="00AE1920"/>
    <w:rsid w:val="00AE1AFA"/>
    <w:rsid w:val="00AE2112"/>
    <w:rsid w:val="00AE32FB"/>
    <w:rsid w:val="00AE5586"/>
    <w:rsid w:val="00AE6113"/>
    <w:rsid w:val="00AF01B3"/>
    <w:rsid w:val="00AF02C2"/>
    <w:rsid w:val="00AF074F"/>
    <w:rsid w:val="00AF088F"/>
    <w:rsid w:val="00AF0F13"/>
    <w:rsid w:val="00AF31FF"/>
    <w:rsid w:val="00AF38C5"/>
    <w:rsid w:val="00AF4C39"/>
    <w:rsid w:val="00AF552C"/>
    <w:rsid w:val="00AF5F38"/>
    <w:rsid w:val="00AF7992"/>
    <w:rsid w:val="00B00AB3"/>
    <w:rsid w:val="00B0278C"/>
    <w:rsid w:val="00B02976"/>
    <w:rsid w:val="00B02B37"/>
    <w:rsid w:val="00B039D0"/>
    <w:rsid w:val="00B03AD1"/>
    <w:rsid w:val="00B044CE"/>
    <w:rsid w:val="00B046E6"/>
    <w:rsid w:val="00B05DF3"/>
    <w:rsid w:val="00B069F7"/>
    <w:rsid w:val="00B0776E"/>
    <w:rsid w:val="00B07EDB"/>
    <w:rsid w:val="00B10333"/>
    <w:rsid w:val="00B103CE"/>
    <w:rsid w:val="00B103E0"/>
    <w:rsid w:val="00B10FF5"/>
    <w:rsid w:val="00B14C52"/>
    <w:rsid w:val="00B16462"/>
    <w:rsid w:val="00B17214"/>
    <w:rsid w:val="00B200AA"/>
    <w:rsid w:val="00B20D4B"/>
    <w:rsid w:val="00B22B51"/>
    <w:rsid w:val="00B235EB"/>
    <w:rsid w:val="00B24B51"/>
    <w:rsid w:val="00B253FE"/>
    <w:rsid w:val="00B30645"/>
    <w:rsid w:val="00B31CA2"/>
    <w:rsid w:val="00B31F35"/>
    <w:rsid w:val="00B3401D"/>
    <w:rsid w:val="00B357C8"/>
    <w:rsid w:val="00B363BA"/>
    <w:rsid w:val="00B43CEE"/>
    <w:rsid w:val="00B46656"/>
    <w:rsid w:val="00B47010"/>
    <w:rsid w:val="00B47518"/>
    <w:rsid w:val="00B478C3"/>
    <w:rsid w:val="00B51629"/>
    <w:rsid w:val="00B51F8F"/>
    <w:rsid w:val="00B52300"/>
    <w:rsid w:val="00B52715"/>
    <w:rsid w:val="00B56C57"/>
    <w:rsid w:val="00B5713D"/>
    <w:rsid w:val="00B608AB"/>
    <w:rsid w:val="00B60E06"/>
    <w:rsid w:val="00B61070"/>
    <w:rsid w:val="00B61348"/>
    <w:rsid w:val="00B6263F"/>
    <w:rsid w:val="00B64DAB"/>
    <w:rsid w:val="00B663C3"/>
    <w:rsid w:val="00B66BF6"/>
    <w:rsid w:val="00B67114"/>
    <w:rsid w:val="00B674FE"/>
    <w:rsid w:val="00B70750"/>
    <w:rsid w:val="00B7089F"/>
    <w:rsid w:val="00B70FBE"/>
    <w:rsid w:val="00B717E7"/>
    <w:rsid w:val="00B71AD5"/>
    <w:rsid w:val="00B73636"/>
    <w:rsid w:val="00B74A65"/>
    <w:rsid w:val="00B75449"/>
    <w:rsid w:val="00B75CDD"/>
    <w:rsid w:val="00B8136B"/>
    <w:rsid w:val="00B815AF"/>
    <w:rsid w:val="00B81773"/>
    <w:rsid w:val="00B8244E"/>
    <w:rsid w:val="00B82770"/>
    <w:rsid w:val="00B84043"/>
    <w:rsid w:val="00B865E6"/>
    <w:rsid w:val="00B875C9"/>
    <w:rsid w:val="00B87A27"/>
    <w:rsid w:val="00B9198D"/>
    <w:rsid w:val="00B91B1F"/>
    <w:rsid w:val="00B95662"/>
    <w:rsid w:val="00B97EE5"/>
    <w:rsid w:val="00BA2294"/>
    <w:rsid w:val="00BA3B81"/>
    <w:rsid w:val="00BA4418"/>
    <w:rsid w:val="00BA527C"/>
    <w:rsid w:val="00BA5324"/>
    <w:rsid w:val="00BA7829"/>
    <w:rsid w:val="00BB0237"/>
    <w:rsid w:val="00BB0338"/>
    <w:rsid w:val="00BB07FD"/>
    <w:rsid w:val="00BB16EF"/>
    <w:rsid w:val="00BB1BCD"/>
    <w:rsid w:val="00BB2C5B"/>
    <w:rsid w:val="00BB3AE0"/>
    <w:rsid w:val="00BB7494"/>
    <w:rsid w:val="00BC2311"/>
    <w:rsid w:val="00BC2390"/>
    <w:rsid w:val="00BC5133"/>
    <w:rsid w:val="00BC5467"/>
    <w:rsid w:val="00BC5D59"/>
    <w:rsid w:val="00BC65FD"/>
    <w:rsid w:val="00BC7017"/>
    <w:rsid w:val="00BD3AF0"/>
    <w:rsid w:val="00BD3F45"/>
    <w:rsid w:val="00BD5155"/>
    <w:rsid w:val="00BD5249"/>
    <w:rsid w:val="00BD6368"/>
    <w:rsid w:val="00BE07A9"/>
    <w:rsid w:val="00BE114A"/>
    <w:rsid w:val="00BE195E"/>
    <w:rsid w:val="00BE3438"/>
    <w:rsid w:val="00BE52A9"/>
    <w:rsid w:val="00BE5BB5"/>
    <w:rsid w:val="00BE6B07"/>
    <w:rsid w:val="00BE72EE"/>
    <w:rsid w:val="00BF08BA"/>
    <w:rsid w:val="00BF2CF6"/>
    <w:rsid w:val="00BF352A"/>
    <w:rsid w:val="00BF46A7"/>
    <w:rsid w:val="00BF5230"/>
    <w:rsid w:val="00BF678C"/>
    <w:rsid w:val="00C02FBF"/>
    <w:rsid w:val="00C03F28"/>
    <w:rsid w:val="00C054B1"/>
    <w:rsid w:val="00C06049"/>
    <w:rsid w:val="00C06DC1"/>
    <w:rsid w:val="00C1090C"/>
    <w:rsid w:val="00C11FB2"/>
    <w:rsid w:val="00C16FD2"/>
    <w:rsid w:val="00C1724F"/>
    <w:rsid w:val="00C17510"/>
    <w:rsid w:val="00C206F2"/>
    <w:rsid w:val="00C20832"/>
    <w:rsid w:val="00C21542"/>
    <w:rsid w:val="00C2265D"/>
    <w:rsid w:val="00C231AC"/>
    <w:rsid w:val="00C23DFC"/>
    <w:rsid w:val="00C240C8"/>
    <w:rsid w:val="00C2490B"/>
    <w:rsid w:val="00C2539E"/>
    <w:rsid w:val="00C2573E"/>
    <w:rsid w:val="00C25E01"/>
    <w:rsid w:val="00C26513"/>
    <w:rsid w:val="00C328C9"/>
    <w:rsid w:val="00C34130"/>
    <w:rsid w:val="00C35591"/>
    <w:rsid w:val="00C360B2"/>
    <w:rsid w:val="00C36E38"/>
    <w:rsid w:val="00C37F72"/>
    <w:rsid w:val="00C420C1"/>
    <w:rsid w:val="00C42791"/>
    <w:rsid w:val="00C45963"/>
    <w:rsid w:val="00C468F7"/>
    <w:rsid w:val="00C472B8"/>
    <w:rsid w:val="00C5098B"/>
    <w:rsid w:val="00C53124"/>
    <w:rsid w:val="00C53B2E"/>
    <w:rsid w:val="00C547C5"/>
    <w:rsid w:val="00C56467"/>
    <w:rsid w:val="00C60299"/>
    <w:rsid w:val="00C61257"/>
    <w:rsid w:val="00C6159C"/>
    <w:rsid w:val="00C6160A"/>
    <w:rsid w:val="00C62AAC"/>
    <w:rsid w:val="00C62EEC"/>
    <w:rsid w:val="00C6353A"/>
    <w:rsid w:val="00C638FE"/>
    <w:rsid w:val="00C64ED9"/>
    <w:rsid w:val="00C65711"/>
    <w:rsid w:val="00C665B0"/>
    <w:rsid w:val="00C70213"/>
    <w:rsid w:val="00C704D5"/>
    <w:rsid w:val="00C71363"/>
    <w:rsid w:val="00C7165A"/>
    <w:rsid w:val="00C737CA"/>
    <w:rsid w:val="00C73E7E"/>
    <w:rsid w:val="00C73EA7"/>
    <w:rsid w:val="00C76BCA"/>
    <w:rsid w:val="00C76ECD"/>
    <w:rsid w:val="00C77982"/>
    <w:rsid w:val="00C8103A"/>
    <w:rsid w:val="00C82FED"/>
    <w:rsid w:val="00C83707"/>
    <w:rsid w:val="00C83D56"/>
    <w:rsid w:val="00C84E04"/>
    <w:rsid w:val="00C90840"/>
    <w:rsid w:val="00C90A4F"/>
    <w:rsid w:val="00C910BE"/>
    <w:rsid w:val="00C91840"/>
    <w:rsid w:val="00C922BE"/>
    <w:rsid w:val="00C922DF"/>
    <w:rsid w:val="00C934FA"/>
    <w:rsid w:val="00C93652"/>
    <w:rsid w:val="00C946D5"/>
    <w:rsid w:val="00C96C0B"/>
    <w:rsid w:val="00C976D7"/>
    <w:rsid w:val="00C977D3"/>
    <w:rsid w:val="00C97D57"/>
    <w:rsid w:val="00CA24AE"/>
    <w:rsid w:val="00CA32C4"/>
    <w:rsid w:val="00CA4EAC"/>
    <w:rsid w:val="00CA5844"/>
    <w:rsid w:val="00CA7415"/>
    <w:rsid w:val="00CA7B16"/>
    <w:rsid w:val="00CA7F7A"/>
    <w:rsid w:val="00CB1BC8"/>
    <w:rsid w:val="00CB1D78"/>
    <w:rsid w:val="00CB265C"/>
    <w:rsid w:val="00CB3502"/>
    <w:rsid w:val="00CB3D22"/>
    <w:rsid w:val="00CB4540"/>
    <w:rsid w:val="00CB7A07"/>
    <w:rsid w:val="00CC030E"/>
    <w:rsid w:val="00CC274F"/>
    <w:rsid w:val="00CC55C0"/>
    <w:rsid w:val="00CC59BB"/>
    <w:rsid w:val="00CC5F5F"/>
    <w:rsid w:val="00CC601E"/>
    <w:rsid w:val="00CC720B"/>
    <w:rsid w:val="00CC72FF"/>
    <w:rsid w:val="00CD0BA4"/>
    <w:rsid w:val="00CD2518"/>
    <w:rsid w:val="00CD43D8"/>
    <w:rsid w:val="00CD4F4D"/>
    <w:rsid w:val="00CD5E0C"/>
    <w:rsid w:val="00CD5F1B"/>
    <w:rsid w:val="00CD62D5"/>
    <w:rsid w:val="00CD635D"/>
    <w:rsid w:val="00CD7CED"/>
    <w:rsid w:val="00CD7D5B"/>
    <w:rsid w:val="00CE030B"/>
    <w:rsid w:val="00CE04C7"/>
    <w:rsid w:val="00CE5D87"/>
    <w:rsid w:val="00CF156B"/>
    <w:rsid w:val="00CF15EF"/>
    <w:rsid w:val="00CF1E02"/>
    <w:rsid w:val="00CF597A"/>
    <w:rsid w:val="00CF6D82"/>
    <w:rsid w:val="00CF6DBB"/>
    <w:rsid w:val="00CF70DA"/>
    <w:rsid w:val="00CF735D"/>
    <w:rsid w:val="00D010B0"/>
    <w:rsid w:val="00D05BAA"/>
    <w:rsid w:val="00D06D8F"/>
    <w:rsid w:val="00D0773C"/>
    <w:rsid w:val="00D1073F"/>
    <w:rsid w:val="00D12295"/>
    <w:rsid w:val="00D122F0"/>
    <w:rsid w:val="00D12D04"/>
    <w:rsid w:val="00D13B7A"/>
    <w:rsid w:val="00D15825"/>
    <w:rsid w:val="00D17638"/>
    <w:rsid w:val="00D22C4B"/>
    <w:rsid w:val="00D230C7"/>
    <w:rsid w:val="00D23E7D"/>
    <w:rsid w:val="00D2405F"/>
    <w:rsid w:val="00D249B2"/>
    <w:rsid w:val="00D24D4C"/>
    <w:rsid w:val="00D25977"/>
    <w:rsid w:val="00D2693C"/>
    <w:rsid w:val="00D305E9"/>
    <w:rsid w:val="00D309EC"/>
    <w:rsid w:val="00D30C7F"/>
    <w:rsid w:val="00D31CD5"/>
    <w:rsid w:val="00D325BC"/>
    <w:rsid w:val="00D33F3D"/>
    <w:rsid w:val="00D35126"/>
    <w:rsid w:val="00D35DE0"/>
    <w:rsid w:val="00D362DF"/>
    <w:rsid w:val="00D37766"/>
    <w:rsid w:val="00D41BA9"/>
    <w:rsid w:val="00D441D9"/>
    <w:rsid w:val="00D4460B"/>
    <w:rsid w:val="00D44D90"/>
    <w:rsid w:val="00D45B14"/>
    <w:rsid w:val="00D46362"/>
    <w:rsid w:val="00D52376"/>
    <w:rsid w:val="00D531AD"/>
    <w:rsid w:val="00D54FD7"/>
    <w:rsid w:val="00D56887"/>
    <w:rsid w:val="00D5706C"/>
    <w:rsid w:val="00D5724B"/>
    <w:rsid w:val="00D5791B"/>
    <w:rsid w:val="00D612C2"/>
    <w:rsid w:val="00D62919"/>
    <w:rsid w:val="00D62DD2"/>
    <w:rsid w:val="00D6330F"/>
    <w:rsid w:val="00D745E0"/>
    <w:rsid w:val="00D75D14"/>
    <w:rsid w:val="00D76AA3"/>
    <w:rsid w:val="00D777D3"/>
    <w:rsid w:val="00D80604"/>
    <w:rsid w:val="00D80A64"/>
    <w:rsid w:val="00D81DC8"/>
    <w:rsid w:val="00D81E72"/>
    <w:rsid w:val="00D84AC2"/>
    <w:rsid w:val="00D93FE9"/>
    <w:rsid w:val="00D94263"/>
    <w:rsid w:val="00D94760"/>
    <w:rsid w:val="00D94ECF"/>
    <w:rsid w:val="00D97063"/>
    <w:rsid w:val="00D97EFE"/>
    <w:rsid w:val="00DA086B"/>
    <w:rsid w:val="00DA114F"/>
    <w:rsid w:val="00DA1D7A"/>
    <w:rsid w:val="00DA23ED"/>
    <w:rsid w:val="00DA5423"/>
    <w:rsid w:val="00DA6834"/>
    <w:rsid w:val="00DA6AC4"/>
    <w:rsid w:val="00DA6F64"/>
    <w:rsid w:val="00DA7A23"/>
    <w:rsid w:val="00DA7E05"/>
    <w:rsid w:val="00DB1C9F"/>
    <w:rsid w:val="00DB23E0"/>
    <w:rsid w:val="00DB4794"/>
    <w:rsid w:val="00DB5B15"/>
    <w:rsid w:val="00DB5C3E"/>
    <w:rsid w:val="00DB6116"/>
    <w:rsid w:val="00DB628E"/>
    <w:rsid w:val="00DB7CB2"/>
    <w:rsid w:val="00DC1D5A"/>
    <w:rsid w:val="00DC2647"/>
    <w:rsid w:val="00DC3321"/>
    <w:rsid w:val="00DC3E5F"/>
    <w:rsid w:val="00DC51A8"/>
    <w:rsid w:val="00DC588F"/>
    <w:rsid w:val="00DC7076"/>
    <w:rsid w:val="00DC744F"/>
    <w:rsid w:val="00DC7882"/>
    <w:rsid w:val="00DC79B2"/>
    <w:rsid w:val="00DD55BC"/>
    <w:rsid w:val="00DD5891"/>
    <w:rsid w:val="00DD5D56"/>
    <w:rsid w:val="00DE02ED"/>
    <w:rsid w:val="00DE0A2D"/>
    <w:rsid w:val="00DE0EBE"/>
    <w:rsid w:val="00DE1E39"/>
    <w:rsid w:val="00DE5D02"/>
    <w:rsid w:val="00DE647B"/>
    <w:rsid w:val="00DE6F2E"/>
    <w:rsid w:val="00DF08EC"/>
    <w:rsid w:val="00DF1819"/>
    <w:rsid w:val="00DF30C2"/>
    <w:rsid w:val="00DF3A5E"/>
    <w:rsid w:val="00DF47D6"/>
    <w:rsid w:val="00DF4CC1"/>
    <w:rsid w:val="00DF5425"/>
    <w:rsid w:val="00DF59D1"/>
    <w:rsid w:val="00DF6E47"/>
    <w:rsid w:val="00DF782C"/>
    <w:rsid w:val="00DF7B8A"/>
    <w:rsid w:val="00E02B57"/>
    <w:rsid w:val="00E030A0"/>
    <w:rsid w:val="00E0425A"/>
    <w:rsid w:val="00E046FE"/>
    <w:rsid w:val="00E05B5A"/>
    <w:rsid w:val="00E075A1"/>
    <w:rsid w:val="00E076B4"/>
    <w:rsid w:val="00E10491"/>
    <w:rsid w:val="00E10F52"/>
    <w:rsid w:val="00E124E3"/>
    <w:rsid w:val="00E1475C"/>
    <w:rsid w:val="00E14812"/>
    <w:rsid w:val="00E15989"/>
    <w:rsid w:val="00E15DDE"/>
    <w:rsid w:val="00E16916"/>
    <w:rsid w:val="00E20118"/>
    <w:rsid w:val="00E20AFA"/>
    <w:rsid w:val="00E213E8"/>
    <w:rsid w:val="00E231E7"/>
    <w:rsid w:val="00E2339E"/>
    <w:rsid w:val="00E26ABD"/>
    <w:rsid w:val="00E26ED1"/>
    <w:rsid w:val="00E3245B"/>
    <w:rsid w:val="00E32DCD"/>
    <w:rsid w:val="00E362D2"/>
    <w:rsid w:val="00E3707B"/>
    <w:rsid w:val="00E3711C"/>
    <w:rsid w:val="00E37D21"/>
    <w:rsid w:val="00E40150"/>
    <w:rsid w:val="00E405F7"/>
    <w:rsid w:val="00E41D42"/>
    <w:rsid w:val="00E43061"/>
    <w:rsid w:val="00E4353D"/>
    <w:rsid w:val="00E43D6C"/>
    <w:rsid w:val="00E448AD"/>
    <w:rsid w:val="00E45D64"/>
    <w:rsid w:val="00E5062F"/>
    <w:rsid w:val="00E50685"/>
    <w:rsid w:val="00E50914"/>
    <w:rsid w:val="00E51F8C"/>
    <w:rsid w:val="00E52342"/>
    <w:rsid w:val="00E553EF"/>
    <w:rsid w:val="00E5563F"/>
    <w:rsid w:val="00E56DB0"/>
    <w:rsid w:val="00E57F6B"/>
    <w:rsid w:val="00E606A8"/>
    <w:rsid w:val="00E61103"/>
    <w:rsid w:val="00E6334E"/>
    <w:rsid w:val="00E6379D"/>
    <w:rsid w:val="00E701E3"/>
    <w:rsid w:val="00E7342C"/>
    <w:rsid w:val="00E7616D"/>
    <w:rsid w:val="00E76363"/>
    <w:rsid w:val="00E80C7A"/>
    <w:rsid w:val="00E81364"/>
    <w:rsid w:val="00E82557"/>
    <w:rsid w:val="00E83C0C"/>
    <w:rsid w:val="00E84618"/>
    <w:rsid w:val="00E85136"/>
    <w:rsid w:val="00E85B55"/>
    <w:rsid w:val="00E86853"/>
    <w:rsid w:val="00E873F7"/>
    <w:rsid w:val="00E87D93"/>
    <w:rsid w:val="00E90F9B"/>
    <w:rsid w:val="00E91D81"/>
    <w:rsid w:val="00E92BC2"/>
    <w:rsid w:val="00E937C5"/>
    <w:rsid w:val="00E95650"/>
    <w:rsid w:val="00E9646A"/>
    <w:rsid w:val="00EA010E"/>
    <w:rsid w:val="00EA05E3"/>
    <w:rsid w:val="00EA640C"/>
    <w:rsid w:val="00EB1A82"/>
    <w:rsid w:val="00EB1E33"/>
    <w:rsid w:val="00EB20E1"/>
    <w:rsid w:val="00EB2C4F"/>
    <w:rsid w:val="00EB2E1B"/>
    <w:rsid w:val="00EB3420"/>
    <w:rsid w:val="00EB57E2"/>
    <w:rsid w:val="00EB5FCB"/>
    <w:rsid w:val="00EB6C8B"/>
    <w:rsid w:val="00EB6F09"/>
    <w:rsid w:val="00EB7A84"/>
    <w:rsid w:val="00EB7EE7"/>
    <w:rsid w:val="00EC0881"/>
    <w:rsid w:val="00EC2B44"/>
    <w:rsid w:val="00EC2FFE"/>
    <w:rsid w:val="00EC3F58"/>
    <w:rsid w:val="00EC48C3"/>
    <w:rsid w:val="00EC5D17"/>
    <w:rsid w:val="00ED02A1"/>
    <w:rsid w:val="00ED1C1B"/>
    <w:rsid w:val="00ED45CC"/>
    <w:rsid w:val="00ED5265"/>
    <w:rsid w:val="00ED542B"/>
    <w:rsid w:val="00ED6279"/>
    <w:rsid w:val="00ED722E"/>
    <w:rsid w:val="00EE0184"/>
    <w:rsid w:val="00EE110F"/>
    <w:rsid w:val="00EE7F03"/>
    <w:rsid w:val="00EF1853"/>
    <w:rsid w:val="00EF4149"/>
    <w:rsid w:val="00EF5635"/>
    <w:rsid w:val="00EF56A7"/>
    <w:rsid w:val="00F01331"/>
    <w:rsid w:val="00F02947"/>
    <w:rsid w:val="00F041BA"/>
    <w:rsid w:val="00F06D39"/>
    <w:rsid w:val="00F0746F"/>
    <w:rsid w:val="00F07DB5"/>
    <w:rsid w:val="00F10966"/>
    <w:rsid w:val="00F10EF1"/>
    <w:rsid w:val="00F119DA"/>
    <w:rsid w:val="00F12EEE"/>
    <w:rsid w:val="00F1348E"/>
    <w:rsid w:val="00F13B72"/>
    <w:rsid w:val="00F1489E"/>
    <w:rsid w:val="00F15D02"/>
    <w:rsid w:val="00F16313"/>
    <w:rsid w:val="00F17452"/>
    <w:rsid w:val="00F20FF1"/>
    <w:rsid w:val="00F24E68"/>
    <w:rsid w:val="00F2696E"/>
    <w:rsid w:val="00F275CC"/>
    <w:rsid w:val="00F276C2"/>
    <w:rsid w:val="00F30919"/>
    <w:rsid w:val="00F30DE1"/>
    <w:rsid w:val="00F30E4C"/>
    <w:rsid w:val="00F31128"/>
    <w:rsid w:val="00F3122A"/>
    <w:rsid w:val="00F321FE"/>
    <w:rsid w:val="00F3316A"/>
    <w:rsid w:val="00F35457"/>
    <w:rsid w:val="00F3595B"/>
    <w:rsid w:val="00F36D58"/>
    <w:rsid w:val="00F37070"/>
    <w:rsid w:val="00F37AC6"/>
    <w:rsid w:val="00F37FE6"/>
    <w:rsid w:val="00F408A3"/>
    <w:rsid w:val="00F426A6"/>
    <w:rsid w:val="00F429FD"/>
    <w:rsid w:val="00F43710"/>
    <w:rsid w:val="00F4389C"/>
    <w:rsid w:val="00F44C83"/>
    <w:rsid w:val="00F4623C"/>
    <w:rsid w:val="00F46AC8"/>
    <w:rsid w:val="00F46E44"/>
    <w:rsid w:val="00F51EBC"/>
    <w:rsid w:val="00F53C72"/>
    <w:rsid w:val="00F5607F"/>
    <w:rsid w:val="00F56399"/>
    <w:rsid w:val="00F6718A"/>
    <w:rsid w:val="00F71BC4"/>
    <w:rsid w:val="00F728E8"/>
    <w:rsid w:val="00F73370"/>
    <w:rsid w:val="00F74CB1"/>
    <w:rsid w:val="00F75FC5"/>
    <w:rsid w:val="00F7750A"/>
    <w:rsid w:val="00F80006"/>
    <w:rsid w:val="00F80084"/>
    <w:rsid w:val="00F8278B"/>
    <w:rsid w:val="00F8290C"/>
    <w:rsid w:val="00F82DEB"/>
    <w:rsid w:val="00F91078"/>
    <w:rsid w:val="00F937C8"/>
    <w:rsid w:val="00F93C99"/>
    <w:rsid w:val="00F95676"/>
    <w:rsid w:val="00F97B35"/>
    <w:rsid w:val="00F97C92"/>
    <w:rsid w:val="00FA0030"/>
    <w:rsid w:val="00FA115D"/>
    <w:rsid w:val="00FA1237"/>
    <w:rsid w:val="00FA3F80"/>
    <w:rsid w:val="00FA5585"/>
    <w:rsid w:val="00FA5C8C"/>
    <w:rsid w:val="00FA69F9"/>
    <w:rsid w:val="00FB17E2"/>
    <w:rsid w:val="00FB1B2D"/>
    <w:rsid w:val="00FB28A6"/>
    <w:rsid w:val="00FB3B09"/>
    <w:rsid w:val="00FB446C"/>
    <w:rsid w:val="00FB5356"/>
    <w:rsid w:val="00FB7E38"/>
    <w:rsid w:val="00FC13BA"/>
    <w:rsid w:val="00FC17BA"/>
    <w:rsid w:val="00FC2499"/>
    <w:rsid w:val="00FC4F8D"/>
    <w:rsid w:val="00FC5022"/>
    <w:rsid w:val="00FC5CB1"/>
    <w:rsid w:val="00FC70E4"/>
    <w:rsid w:val="00FC78C4"/>
    <w:rsid w:val="00FD159B"/>
    <w:rsid w:val="00FD2470"/>
    <w:rsid w:val="00FD24A2"/>
    <w:rsid w:val="00FD3845"/>
    <w:rsid w:val="00FD4A17"/>
    <w:rsid w:val="00FD5823"/>
    <w:rsid w:val="00FD6321"/>
    <w:rsid w:val="00FD7C55"/>
    <w:rsid w:val="00FD7D02"/>
    <w:rsid w:val="00FE004E"/>
    <w:rsid w:val="00FE0310"/>
    <w:rsid w:val="00FE14D9"/>
    <w:rsid w:val="00FE1C27"/>
    <w:rsid w:val="00FE25BC"/>
    <w:rsid w:val="00FE3A3A"/>
    <w:rsid w:val="00FE4445"/>
    <w:rsid w:val="00FE4E1A"/>
    <w:rsid w:val="00FE5C31"/>
    <w:rsid w:val="00FE7815"/>
    <w:rsid w:val="00FF01B8"/>
    <w:rsid w:val="00FF1B0E"/>
    <w:rsid w:val="00FF37C6"/>
    <w:rsid w:val="00FF5E5C"/>
    <w:rsid w:val="00FF6988"/>
    <w:rsid w:val="00FF748B"/>
    <w:rsid w:val="01BC2913"/>
    <w:rsid w:val="01FE23AB"/>
    <w:rsid w:val="025C1016"/>
    <w:rsid w:val="030433C3"/>
    <w:rsid w:val="03A31381"/>
    <w:rsid w:val="04577DB2"/>
    <w:rsid w:val="04AB5F04"/>
    <w:rsid w:val="04CC26D4"/>
    <w:rsid w:val="04D72BD5"/>
    <w:rsid w:val="04D95620"/>
    <w:rsid w:val="0545226D"/>
    <w:rsid w:val="054B3D3B"/>
    <w:rsid w:val="05A33E2C"/>
    <w:rsid w:val="0644571C"/>
    <w:rsid w:val="06995200"/>
    <w:rsid w:val="06A305A3"/>
    <w:rsid w:val="06C336EA"/>
    <w:rsid w:val="07014EB4"/>
    <w:rsid w:val="07255D3F"/>
    <w:rsid w:val="07C344FB"/>
    <w:rsid w:val="08080A93"/>
    <w:rsid w:val="08171E6E"/>
    <w:rsid w:val="08401A6D"/>
    <w:rsid w:val="0A4B612B"/>
    <w:rsid w:val="0A5B1BB3"/>
    <w:rsid w:val="0ACC3647"/>
    <w:rsid w:val="0AE373D1"/>
    <w:rsid w:val="0B650CA1"/>
    <w:rsid w:val="0B816CC1"/>
    <w:rsid w:val="0B944AD1"/>
    <w:rsid w:val="0C236CCD"/>
    <w:rsid w:val="0CBE2864"/>
    <w:rsid w:val="0D944E61"/>
    <w:rsid w:val="0DE17D54"/>
    <w:rsid w:val="0E2E0512"/>
    <w:rsid w:val="0E512F55"/>
    <w:rsid w:val="0E9923D1"/>
    <w:rsid w:val="0F0E18EA"/>
    <w:rsid w:val="0F5A38DB"/>
    <w:rsid w:val="0F615EBD"/>
    <w:rsid w:val="0FB07972"/>
    <w:rsid w:val="0FBB4BC5"/>
    <w:rsid w:val="104E4F6D"/>
    <w:rsid w:val="108B40A6"/>
    <w:rsid w:val="10CC22D6"/>
    <w:rsid w:val="10E66230"/>
    <w:rsid w:val="111564DA"/>
    <w:rsid w:val="117B0D8C"/>
    <w:rsid w:val="124D6282"/>
    <w:rsid w:val="12C9796E"/>
    <w:rsid w:val="12E1211E"/>
    <w:rsid w:val="13644426"/>
    <w:rsid w:val="1399374C"/>
    <w:rsid w:val="143040B0"/>
    <w:rsid w:val="144A4DD8"/>
    <w:rsid w:val="146855F8"/>
    <w:rsid w:val="147A5E14"/>
    <w:rsid w:val="148A205D"/>
    <w:rsid w:val="149C0A85"/>
    <w:rsid w:val="14EB4279"/>
    <w:rsid w:val="15570834"/>
    <w:rsid w:val="15657C60"/>
    <w:rsid w:val="15E83673"/>
    <w:rsid w:val="15F23FF8"/>
    <w:rsid w:val="165638CD"/>
    <w:rsid w:val="174D0BC7"/>
    <w:rsid w:val="175A6092"/>
    <w:rsid w:val="17742506"/>
    <w:rsid w:val="17D22AFE"/>
    <w:rsid w:val="182C4B8E"/>
    <w:rsid w:val="183948F0"/>
    <w:rsid w:val="1870300E"/>
    <w:rsid w:val="18ED7A84"/>
    <w:rsid w:val="19555274"/>
    <w:rsid w:val="1A942BF3"/>
    <w:rsid w:val="1A981E70"/>
    <w:rsid w:val="1AA9696A"/>
    <w:rsid w:val="1AAA30B1"/>
    <w:rsid w:val="1ABB74EF"/>
    <w:rsid w:val="1B895CB7"/>
    <w:rsid w:val="1C0D0D89"/>
    <w:rsid w:val="1C413C34"/>
    <w:rsid w:val="1CD251EC"/>
    <w:rsid w:val="1DFD6C1C"/>
    <w:rsid w:val="1E290FDA"/>
    <w:rsid w:val="1E4C5F8A"/>
    <w:rsid w:val="1E664A8D"/>
    <w:rsid w:val="1EE505B2"/>
    <w:rsid w:val="1EFF7731"/>
    <w:rsid w:val="1F025663"/>
    <w:rsid w:val="1F880F5C"/>
    <w:rsid w:val="1F8A0D81"/>
    <w:rsid w:val="1F947F7A"/>
    <w:rsid w:val="1FCB1059"/>
    <w:rsid w:val="2014217A"/>
    <w:rsid w:val="202D76F6"/>
    <w:rsid w:val="206D50B0"/>
    <w:rsid w:val="20AE0E45"/>
    <w:rsid w:val="210916E2"/>
    <w:rsid w:val="21703D3E"/>
    <w:rsid w:val="22D80E71"/>
    <w:rsid w:val="23C141AC"/>
    <w:rsid w:val="2408149B"/>
    <w:rsid w:val="2427729D"/>
    <w:rsid w:val="24AC484F"/>
    <w:rsid w:val="24BA5EA6"/>
    <w:rsid w:val="258A2BAA"/>
    <w:rsid w:val="2680719B"/>
    <w:rsid w:val="269D76CE"/>
    <w:rsid w:val="26A201A6"/>
    <w:rsid w:val="26B52D75"/>
    <w:rsid w:val="26C863CA"/>
    <w:rsid w:val="26E2748C"/>
    <w:rsid w:val="273E668C"/>
    <w:rsid w:val="29143B49"/>
    <w:rsid w:val="295D055F"/>
    <w:rsid w:val="29B87432"/>
    <w:rsid w:val="29CC4423"/>
    <w:rsid w:val="29F510CA"/>
    <w:rsid w:val="2A912778"/>
    <w:rsid w:val="2AD417E1"/>
    <w:rsid w:val="2BB10633"/>
    <w:rsid w:val="2BCC033D"/>
    <w:rsid w:val="2C452F6B"/>
    <w:rsid w:val="2C5A3F68"/>
    <w:rsid w:val="2C637D41"/>
    <w:rsid w:val="2C6E34AA"/>
    <w:rsid w:val="2D4778E3"/>
    <w:rsid w:val="2D7C1CBC"/>
    <w:rsid w:val="2DF57BB6"/>
    <w:rsid w:val="2E975000"/>
    <w:rsid w:val="2EA474B1"/>
    <w:rsid w:val="2EDB3DBE"/>
    <w:rsid w:val="2F575B54"/>
    <w:rsid w:val="2F6208C5"/>
    <w:rsid w:val="2F814D8E"/>
    <w:rsid w:val="2FD53B8B"/>
    <w:rsid w:val="30102A86"/>
    <w:rsid w:val="30890C03"/>
    <w:rsid w:val="31210BB1"/>
    <w:rsid w:val="312D613E"/>
    <w:rsid w:val="31C7024A"/>
    <w:rsid w:val="32A7217E"/>
    <w:rsid w:val="3316699A"/>
    <w:rsid w:val="33974397"/>
    <w:rsid w:val="33A03C23"/>
    <w:rsid w:val="33F65C7F"/>
    <w:rsid w:val="34501A96"/>
    <w:rsid w:val="348E47AF"/>
    <w:rsid w:val="34AF77D9"/>
    <w:rsid w:val="34F34F5A"/>
    <w:rsid w:val="35157BFE"/>
    <w:rsid w:val="3574629E"/>
    <w:rsid w:val="35A26F5E"/>
    <w:rsid w:val="35AE4CE8"/>
    <w:rsid w:val="360253E4"/>
    <w:rsid w:val="361B61E5"/>
    <w:rsid w:val="373D5B21"/>
    <w:rsid w:val="37991DE9"/>
    <w:rsid w:val="37DE3C9F"/>
    <w:rsid w:val="38B332FE"/>
    <w:rsid w:val="38D37FF9"/>
    <w:rsid w:val="399D34DF"/>
    <w:rsid w:val="39FA28E7"/>
    <w:rsid w:val="3B1F0857"/>
    <w:rsid w:val="3B59761E"/>
    <w:rsid w:val="3B5D5890"/>
    <w:rsid w:val="3B6603D4"/>
    <w:rsid w:val="3C020626"/>
    <w:rsid w:val="3C2E4DF6"/>
    <w:rsid w:val="3C353DFE"/>
    <w:rsid w:val="3C6109FB"/>
    <w:rsid w:val="3D3B3666"/>
    <w:rsid w:val="3E1B72F3"/>
    <w:rsid w:val="3F31024E"/>
    <w:rsid w:val="3FAC4683"/>
    <w:rsid w:val="3FDF3B97"/>
    <w:rsid w:val="407D1F65"/>
    <w:rsid w:val="409475F1"/>
    <w:rsid w:val="41424DE6"/>
    <w:rsid w:val="41B2000D"/>
    <w:rsid w:val="421B7739"/>
    <w:rsid w:val="4281050D"/>
    <w:rsid w:val="432E7C5A"/>
    <w:rsid w:val="43512671"/>
    <w:rsid w:val="435C4F66"/>
    <w:rsid w:val="43645FF8"/>
    <w:rsid w:val="437972E9"/>
    <w:rsid w:val="438B14CF"/>
    <w:rsid w:val="438D20D6"/>
    <w:rsid w:val="43A42177"/>
    <w:rsid w:val="43CC2383"/>
    <w:rsid w:val="440271F1"/>
    <w:rsid w:val="44BC6C69"/>
    <w:rsid w:val="44DE6372"/>
    <w:rsid w:val="44F42526"/>
    <w:rsid w:val="45067A1F"/>
    <w:rsid w:val="451C00D4"/>
    <w:rsid w:val="45E918A0"/>
    <w:rsid w:val="46F37C06"/>
    <w:rsid w:val="47FF56FC"/>
    <w:rsid w:val="48055B7B"/>
    <w:rsid w:val="482C010F"/>
    <w:rsid w:val="488525A5"/>
    <w:rsid w:val="48FD0B9D"/>
    <w:rsid w:val="49184B37"/>
    <w:rsid w:val="491F6C2F"/>
    <w:rsid w:val="49531994"/>
    <w:rsid w:val="496549D0"/>
    <w:rsid w:val="49E1317B"/>
    <w:rsid w:val="49E50EBD"/>
    <w:rsid w:val="4ABB3108"/>
    <w:rsid w:val="4AF43553"/>
    <w:rsid w:val="4C0B6D51"/>
    <w:rsid w:val="4C59524B"/>
    <w:rsid w:val="4D162706"/>
    <w:rsid w:val="4F532425"/>
    <w:rsid w:val="4F7E6067"/>
    <w:rsid w:val="4F8B7E8C"/>
    <w:rsid w:val="501F75A8"/>
    <w:rsid w:val="5060304C"/>
    <w:rsid w:val="50F14EFD"/>
    <w:rsid w:val="516A3A56"/>
    <w:rsid w:val="51F2145C"/>
    <w:rsid w:val="52AB2578"/>
    <w:rsid w:val="52D92ACB"/>
    <w:rsid w:val="52F50D0C"/>
    <w:rsid w:val="53230CC4"/>
    <w:rsid w:val="532543E6"/>
    <w:rsid w:val="53761B3F"/>
    <w:rsid w:val="53DD6349"/>
    <w:rsid w:val="5409343E"/>
    <w:rsid w:val="541D0986"/>
    <w:rsid w:val="54625C1C"/>
    <w:rsid w:val="54796880"/>
    <w:rsid w:val="55901161"/>
    <w:rsid w:val="55DD6EED"/>
    <w:rsid w:val="561D378D"/>
    <w:rsid w:val="569A20BF"/>
    <w:rsid w:val="569A2FA8"/>
    <w:rsid w:val="56CA5F38"/>
    <w:rsid w:val="56E46B61"/>
    <w:rsid w:val="574478C4"/>
    <w:rsid w:val="57905DFE"/>
    <w:rsid w:val="57EA4479"/>
    <w:rsid w:val="583A08CE"/>
    <w:rsid w:val="58CB1108"/>
    <w:rsid w:val="58E367A2"/>
    <w:rsid w:val="592C6192"/>
    <w:rsid w:val="59812B34"/>
    <w:rsid w:val="59CB7604"/>
    <w:rsid w:val="59D800F7"/>
    <w:rsid w:val="59E65F92"/>
    <w:rsid w:val="5A902E50"/>
    <w:rsid w:val="5A935CB0"/>
    <w:rsid w:val="5A9E79D1"/>
    <w:rsid w:val="5AD821E7"/>
    <w:rsid w:val="5B9D100F"/>
    <w:rsid w:val="5BA06984"/>
    <w:rsid w:val="5BB3158D"/>
    <w:rsid w:val="5C89089B"/>
    <w:rsid w:val="5D301FF8"/>
    <w:rsid w:val="5DA56542"/>
    <w:rsid w:val="5DA87DE0"/>
    <w:rsid w:val="5DFF6FCA"/>
    <w:rsid w:val="5E2006A3"/>
    <w:rsid w:val="5E5910D4"/>
    <w:rsid w:val="5E8F7135"/>
    <w:rsid w:val="5EAB17D0"/>
    <w:rsid w:val="5ED1191F"/>
    <w:rsid w:val="5EDB3AE8"/>
    <w:rsid w:val="5F043E47"/>
    <w:rsid w:val="5F45026B"/>
    <w:rsid w:val="5F6570EC"/>
    <w:rsid w:val="5F844F80"/>
    <w:rsid w:val="5FD75B4E"/>
    <w:rsid w:val="60724374"/>
    <w:rsid w:val="608B7488"/>
    <w:rsid w:val="60A779AC"/>
    <w:rsid w:val="60B00FB4"/>
    <w:rsid w:val="616B0ECC"/>
    <w:rsid w:val="616C1E9E"/>
    <w:rsid w:val="61FE65B2"/>
    <w:rsid w:val="62FC13D9"/>
    <w:rsid w:val="630740F7"/>
    <w:rsid w:val="63487DB8"/>
    <w:rsid w:val="634F2112"/>
    <w:rsid w:val="63A12003"/>
    <w:rsid w:val="63B63177"/>
    <w:rsid w:val="63B81D50"/>
    <w:rsid w:val="63DD0C22"/>
    <w:rsid w:val="64492D3C"/>
    <w:rsid w:val="64895150"/>
    <w:rsid w:val="658114EF"/>
    <w:rsid w:val="6588018A"/>
    <w:rsid w:val="66415EAD"/>
    <w:rsid w:val="66DD4F88"/>
    <w:rsid w:val="66EC3434"/>
    <w:rsid w:val="66F06D5A"/>
    <w:rsid w:val="67223416"/>
    <w:rsid w:val="677E1BB2"/>
    <w:rsid w:val="678E458A"/>
    <w:rsid w:val="679F6B67"/>
    <w:rsid w:val="68097C0C"/>
    <w:rsid w:val="682E6E04"/>
    <w:rsid w:val="68FE3A00"/>
    <w:rsid w:val="691B4597"/>
    <w:rsid w:val="69217A0A"/>
    <w:rsid w:val="69451FD0"/>
    <w:rsid w:val="695979F4"/>
    <w:rsid w:val="69AC0CD1"/>
    <w:rsid w:val="69E77ACA"/>
    <w:rsid w:val="69FD3A6F"/>
    <w:rsid w:val="6A641533"/>
    <w:rsid w:val="6ABB327C"/>
    <w:rsid w:val="6B0429C9"/>
    <w:rsid w:val="6C200D51"/>
    <w:rsid w:val="6C4E379B"/>
    <w:rsid w:val="6C613C83"/>
    <w:rsid w:val="6D2B1CCA"/>
    <w:rsid w:val="6DA94D04"/>
    <w:rsid w:val="6DFC469F"/>
    <w:rsid w:val="6E2163F8"/>
    <w:rsid w:val="6E5978B6"/>
    <w:rsid w:val="6E5A2E3C"/>
    <w:rsid w:val="6EEA2BEE"/>
    <w:rsid w:val="6F0B0624"/>
    <w:rsid w:val="6F134902"/>
    <w:rsid w:val="6F22240F"/>
    <w:rsid w:val="6FE969BF"/>
    <w:rsid w:val="703D3D4D"/>
    <w:rsid w:val="704C4F43"/>
    <w:rsid w:val="705D072A"/>
    <w:rsid w:val="70A00594"/>
    <w:rsid w:val="715B3343"/>
    <w:rsid w:val="71942090"/>
    <w:rsid w:val="72042EFA"/>
    <w:rsid w:val="72600FF6"/>
    <w:rsid w:val="72D77F51"/>
    <w:rsid w:val="73260519"/>
    <w:rsid w:val="73685F3F"/>
    <w:rsid w:val="737D067E"/>
    <w:rsid w:val="73F751F4"/>
    <w:rsid w:val="74981861"/>
    <w:rsid w:val="751E4B70"/>
    <w:rsid w:val="75242579"/>
    <w:rsid w:val="754461E9"/>
    <w:rsid w:val="7578372E"/>
    <w:rsid w:val="758B57DE"/>
    <w:rsid w:val="759F475B"/>
    <w:rsid w:val="761E4F13"/>
    <w:rsid w:val="763624F3"/>
    <w:rsid w:val="77242C85"/>
    <w:rsid w:val="77253DF8"/>
    <w:rsid w:val="77A0339C"/>
    <w:rsid w:val="77BC3AF4"/>
    <w:rsid w:val="78E44E0E"/>
    <w:rsid w:val="799E2BA1"/>
    <w:rsid w:val="7A194B60"/>
    <w:rsid w:val="7A6D757F"/>
    <w:rsid w:val="7A84359A"/>
    <w:rsid w:val="7B6F5901"/>
    <w:rsid w:val="7B936FF2"/>
    <w:rsid w:val="7B9E1655"/>
    <w:rsid w:val="7BBB0AC3"/>
    <w:rsid w:val="7C314F26"/>
    <w:rsid w:val="7C584880"/>
    <w:rsid w:val="7CC96FDB"/>
    <w:rsid w:val="7CE40485"/>
    <w:rsid w:val="7D2208E0"/>
    <w:rsid w:val="7D935F5F"/>
    <w:rsid w:val="7D9B26AB"/>
    <w:rsid w:val="7E53467F"/>
    <w:rsid w:val="7E67570A"/>
    <w:rsid w:val="7E684056"/>
    <w:rsid w:val="7E720822"/>
    <w:rsid w:val="7F065B88"/>
    <w:rsid w:val="7F3E5068"/>
    <w:rsid w:val="7FBA7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5"/>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08"/>
    <w:autoRedefine/>
    <w:qFormat/>
    <w:uiPriority w:val="9"/>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tabs>
        <w:tab w:val="left" w:pos="780"/>
      </w:tabs>
      <w:spacing w:line="360" w:lineRule="auto"/>
      <w:ind w:left="425" w:hanging="425"/>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99"/>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rPr>
      <w:rFonts w:eastAsia="方正黑体_GBK"/>
      <w:sz w:val="21"/>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2"/>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105"/>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8"/>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88"/>
    <w:autoRedefine/>
    <w:qFormat/>
    <w:uiPriority w:val="0"/>
  </w:style>
  <w:style w:type="paragraph" w:styleId="33">
    <w:name w:val="Body Text Indent 2"/>
    <w:basedOn w:val="1"/>
    <w:link w:val="117"/>
    <w:autoRedefine/>
    <w:qFormat/>
    <w:uiPriority w:val="0"/>
    <w:pPr>
      <w:snapToGrid w:val="0"/>
      <w:spacing w:line="560" w:lineRule="atLeast"/>
      <w:ind w:firstLine="540"/>
    </w:pPr>
  </w:style>
  <w:style w:type="paragraph" w:styleId="34">
    <w:name w:val="Balloon Text"/>
    <w:basedOn w:val="1"/>
    <w:link w:val="90"/>
    <w:autoRedefine/>
    <w:qFormat/>
    <w:uiPriority w:val="99"/>
    <w:rPr>
      <w:sz w:val="18"/>
    </w:rPr>
  </w:style>
  <w:style w:type="paragraph" w:styleId="35">
    <w:name w:val="footer"/>
    <w:basedOn w:val="1"/>
    <w:link w:val="67"/>
    <w:autoRedefine/>
    <w:qFormat/>
    <w:uiPriority w:val="0"/>
    <w:pPr>
      <w:tabs>
        <w:tab w:val="center" w:pos="4153"/>
        <w:tab w:val="right" w:pos="8306"/>
      </w:tabs>
      <w:snapToGrid w:val="0"/>
      <w:jc w:val="left"/>
    </w:pPr>
    <w:rPr>
      <w:sz w:val="18"/>
    </w:rPr>
  </w:style>
  <w:style w:type="paragraph" w:styleId="36">
    <w:name w:val="header"/>
    <w:basedOn w:val="1"/>
    <w:link w:val="112"/>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1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81"/>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104"/>
    <w:autoRedefine/>
    <w:qFormat/>
    <w:uiPriority w:val="0"/>
    <w:pPr>
      <w:spacing w:after="120" w:line="240" w:lineRule="auto"/>
      <w:ind w:left="420" w:leftChars="200" w:firstLine="420" w:firstLineChars="200"/>
    </w:pPr>
  </w:style>
  <w:style w:type="table" w:styleId="58">
    <w:name w:val="Table Grid"/>
    <w:basedOn w:val="57"/>
    <w:autoRedefine/>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99"/>
    <w:rPr>
      <w:sz w:val="21"/>
      <w:szCs w:val="21"/>
    </w:rPr>
  </w:style>
  <w:style w:type="character" w:styleId="66">
    <w:name w:val="footnote reference"/>
    <w:autoRedefine/>
    <w:qFormat/>
    <w:uiPriority w:val="0"/>
    <w:rPr>
      <w:position w:val="6"/>
      <w:sz w:val="14"/>
      <w:vertAlign w:val="superscript"/>
    </w:rPr>
  </w:style>
  <w:style w:type="character" w:customStyle="1" w:styleId="67">
    <w:name w:val="页脚 字符"/>
    <w:link w:val="35"/>
    <w:autoRedefine/>
    <w:qFormat/>
    <w:uiPriority w:val="0"/>
    <w:rPr>
      <w:kern w:val="2"/>
      <w:sz w:val="18"/>
    </w:rPr>
  </w:style>
  <w:style w:type="character" w:customStyle="1" w:styleId="68">
    <w:name w:val="title_emph1"/>
    <w:autoRedefine/>
    <w:qFormat/>
    <w:uiPriority w:val="0"/>
    <w:rPr>
      <w:rFonts w:hint="default" w:ascii="Arial" w:hAnsi="Arial"/>
      <w:b/>
      <w:sz w:val="20"/>
    </w:rPr>
  </w:style>
  <w:style w:type="character" w:customStyle="1" w:styleId="69">
    <w:name w:val="H2 Char"/>
    <w:autoRedefine/>
    <w:qFormat/>
    <w:uiPriority w:val="0"/>
    <w:rPr>
      <w:rFonts w:ascii="Arial" w:hAnsi="Arial" w:eastAsia="宋体"/>
      <w:kern w:val="2"/>
      <w:sz w:val="28"/>
      <w:lang w:val="en-US" w:eastAsia="zh-CN"/>
    </w:rPr>
  </w:style>
  <w:style w:type="character" w:customStyle="1" w:styleId="70">
    <w:name w:val="正文文本缩进 字符"/>
    <w:autoRedefine/>
    <w:semiHidden/>
    <w:qFormat/>
    <w:uiPriority w:val="0"/>
    <w:rPr>
      <w:rFonts w:ascii="楷体_GB2312" w:hAnsi="Times New Roman" w:eastAsia="楷体_GB2312" w:cs="Times New Roman"/>
      <w:bCs/>
      <w:sz w:val="32"/>
      <w:szCs w:val="32"/>
    </w:rPr>
  </w:style>
  <w:style w:type="character" w:customStyle="1" w:styleId="71">
    <w:name w:val="批注文字 字符"/>
    <w:autoRedefine/>
    <w:semiHidden/>
    <w:qFormat/>
    <w:uiPriority w:val="99"/>
    <w:rPr>
      <w:rFonts w:ascii="Times New Roman" w:hAnsi="Times New Roman" w:eastAsia="仿宋_GB2312" w:cs="Times New Roman"/>
      <w:kern w:val="2"/>
      <w:sz w:val="30"/>
      <w:szCs w:val="24"/>
    </w:rPr>
  </w:style>
  <w:style w:type="character" w:customStyle="1" w:styleId="72">
    <w:name w:val="Char Char7"/>
    <w:autoRedefine/>
    <w:qFormat/>
    <w:uiPriority w:val="0"/>
    <w:rPr>
      <w:rFonts w:ascii="宋体" w:hAnsi="宋体" w:eastAsia="宋体"/>
      <w:kern w:val="2"/>
      <w:sz w:val="28"/>
    </w:rPr>
  </w:style>
  <w:style w:type="character" w:customStyle="1" w:styleId="73">
    <w:name w:val="标书正文:  0.74 厘米 Char1"/>
    <w:autoRedefine/>
    <w:qFormat/>
    <w:uiPriority w:val="0"/>
    <w:rPr>
      <w:rFonts w:eastAsia="宋体"/>
      <w:kern w:val="2"/>
      <w:sz w:val="24"/>
      <w:lang w:val="en-US" w:eastAsia="zh-CN"/>
    </w:rPr>
  </w:style>
  <w:style w:type="character" w:customStyle="1" w:styleId="74">
    <w:name w:val="批注框文本 字符"/>
    <w:autoRedefine/>
    <w:semiHidden/>
    <w:qFormat/>
    <w:uiPriority w:val="99"/>
    <w:rPr>
      <w:rFonts w:ascii="Times New Roman" w:hAnsi="Times New Roman" w:eastAsia="仿宋_GB2312" w:cs="Times New Roman"/>
      <w:sz w:val="18"/>
      <w:szCs w:val="18"/>
    </w:rPr>
  </w:style>
  <w:style w:type="character" w:customStyle="1" w:styleId="75">
    <w:name w:val="Table Text Char1 Char"/>
    <w:autoRedefine/>
    <w:qFormat/>
    <w:uiPriority w:val="0"/>
    <w:rPr>
      <w:rFonts w:ascii="Arial" w:hAnsi="Arial"/>
      <w:kern w:val="2"/>
      <w:sz w:val="18"/>
      <w:lang w:val="en-US" w:eastAsia="zh-CN" w:bidi="ar-SA"/>
    </w:rPr>
  </w:style>
  <w:style w:type="character" w:customStyle="1" w:styleId="76">
    <w:name w:val="Char Char2"/>
    <w:autoRedefine/>
    <w:qFormat/>
    <w:uiPriority w:val="0"/>
    <w:rPr>
      <w:rFonts w:eastAsia="宋体"/>
      <w:kern w:val="2"/>
      <w:sz w:val="18"/>
      <w:lang w:val="en-US" w:eastAsia="zh-CN"/>
    </w:rPr>
  </w:style>
  <w:style w:type="character" w:customStyle="1" w:styleId="77">
    <w:name w:val="top-det1"/>
    <w:autoRedefine/>
    <w:qFormat/>
    <w:uiPriority w:val="0"/>
    <w:rPr>
      <w:b/>
      <w:color w:val="000000"/>
    </w:rPr>
  </w:style>
  <w:style w:type="character" w:customStyle="1" w:styleId="78">
    <w:name w:val="纯文本 字符"/>
    <w:link w:val="30"/>
    <w:autoRedefine/>
    <w:qFormat/>
    <w:uiPriority w:val="0"/>
    <w:rPr>
      <w:rFonts w:ascii="宋体" w:hAnsi="Courier New"/>
      <w:kern w:val="2"/>
      <w:sz w:val="21"/>
    </w:rPr>
  </w:style>
  <w:style w:type="character" w:customStyle="1" w:styleId="79">
    <w:name w:val="Table Text Char"/>
    <w:link w:val="80"/>
    <w:autoRedefine/>
    <w:qFormat/>
    <w:uiPriority w:val="0"/>
    <w:rPr>
      <w:rFonts w:ascii="Arial" w:hAnsi="Arial"/>
      <w:kern w:val="2"/>
      <w:sz w:val="18"/>
      <w:lang w:val="en-US" w:eastAsia="zh-CN" w:bidi="ar-SA"/>
    </w:rPr>
  </w:style>
  <w:style w:type="paragraph" w:customStyle="1" w:styleId="80">
    <w:name w:val="Table Text"/>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批注主题 字符1"/>
    <w:basedOn w:val="82"/>
    <w:link w:val="54"/>
    <w:autoRedefine/>
    <w:qFormat/>
    <w:uiPriority w:val="0"/>
    <w:rPr>
      <w:sz w:val="24"/>
    </w:rPr>
  </w:style>
  <w:style w:type="character" w:customStyle="1" w:styleId="82">
    <w:name w:val="批注文字 字符1"/>
    <w:link w:val="19"/>
    <w:autoRedefine/>
    <w:qFormat/>
    <w:uiPriority w:val="0"/>
    <w:rPr>
      <w:sz w:val="24"/>
    </w:rPr>
  </w:style>
  <w:style w:type="character" w:customStyle="1" w:styleId="83">
    <w:name w:val="正文 + 三号 Char"/>
    <w:autoRedefine/>
    <w:qFormat/>
    <w:uiPriority w:val="0"/>
    <w:rPr>
      <w:rFonts w:eastAsia="宋体"/>
      <w:kern w:val="2"/>
      <w:sz w:val="21"/>
      <w:lang w:val="en-US" w:eastAsia="zh-CN"/>
    </w:rPr>
  </w:style>
  <w:style w:type="character" w:customStyle="1" w:styleId="84">
    <w:name w:val="日期 字符"/>
    <w:autoRedefine/>
    <w:qFormat/>
    <w:uiPriority w:val="0"/>
    <w:rPr>
      <w:kern w:val="2"/>
      <w:sz w:val="28"/>
    </w:rPr>
  </w:style>
  <w:style w:type="character" w:customStyle="1" w:styleId="85">
    <w:name w:val="Char Char3"/>
    <w:autoRedefine/>
    <w:qFormat/>
    <w:uiPriority w:val="0"/>
    <w:rPr>
      <w:rFonts w:eastAsia="宋体"/>
      <w:kern w:val="2"/>
      <w:sz w:val="18"/>
      <w:lang w:val="en-US" w:eastAsia="zh-CN"/>
    </w:rPr>
  </w:style>
  <w:style w:type="character" w:customStyle="1" w:styleId="86">
    <w:name w:val="Table Text Char Char Char Char"/>
    <w:link w:val="87"/>
    <w:autoRedefine/>
    <w:qFormat/>
    <w:uiPriority w:val="0"/>
    <w:rPr>
      <w:rFonts w:ascii="Arial" w:hAnsi="Arial"/>
      <w:kern w:val="2"/>
      <w:sz w:val="18"/>
      <w:lang w:val="en-US" w:eastAsia="zh-CN" w:bidi="ar-SA"/>
    </w:rPr>
  </w:style>
  <w:style w:type="paragraph" w:customStyle="1" w:styleId="87">
    <w:name w:val="Table Text Char Char Char"/>
    <w:link w:val="8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日期 字符1"/>
    <w:link w:val="32"/>
    <w:autoRedefine/>
    <w:qFormat/>
    <w:uiPriority w:val="0"/>
    <w:rPr>
      <w:kern w:val="2"/>
      <w:sz w:val="28"/>
    </w:rPr>
  </w:style>
  <w:style w:type="character" w:customStyle="1" w:styleId="89">
    <w:name w:val="font1"/>
    <w:autoRedefine/>
    <w:qFormat/>
    <w:uiPriority w:val="0"/>
    <w:rPr>
      <w:color w:val="000000"/>
      <w:sz w:val="18"/>
    </w:rPr>
  </w:style>
  <w:style w:type="character" w:customStyle="1" w:styleId="90">
    <w:name w:val="批注框文本 字符1"/>
    <w:link w:val="34"/>
    <w:autoRedefine/>
    <w:qFormat/>
    <w:uiPriority w:val="99"/>
    <w:rPr>
      <w:kern w:val="2"/>
      <w:sz w:val="18"/>
    </w:rPr>
  </w:style>
  <w:style w:type="character" w:customStyle="1" w:styleId="91">
    <w:name w:val="v151"/>
    <w:autoRedefine/>
    <w:qFormat/>
    <w:uiPriority w:val="0"/>
    <w:rPr>
      <w:sz w:val="18"/>
    </w:rPr>
  </w:style>
  <w:style w:type="character" w:customStyle="1" w:styleId="92">
    <w:name w:val="Char Char11"/>
    <w:autoRedefine/>
    <w:qFormat/>
    <w:uiPriority w:val="0"/>
    <w:rPr>
      <w:rFonts w:ascii="宋体"/>
      <w:kern w:val="2"/>
      <w:sz w:val="28"/>
    </w:rPr>
  </w:style>
  <w:style w:type="character" w:customStyle="1" w:styleId="93">
    <w:name w:val="标题 2 字符"/>
    <w:autoRedefine/>
    <w:qFormat/>
    <w:uiPriority w:val="0"/>
    <w:rPr>
      <w:rFonts w:ascii="Arial" w:hAnsi="Arial" w:eastAsia="黑体"/>
      <w:b/>
      <w:kern w:val="2"/>
      <w:sz w:val="32"/>
    </w:rPr>
  </w:style>
  <w:style w:type="character" w:customStyle="1" w:styleId="94">
    <w:name w:val="标题 3 字符"/>
    <w:autoRedefine/>
    <w:qFormat/>
    <w:uiPriority w:val="0"/>
    <w:rPr>
      <w:b/>
      <w:kern w:val="2"/>
      <w:sz w:val="32"/>
    </w:rPr>
  </w:style>
  <w:style w:type="character" w:customStyle="1" w:styleId="95">
    <w:name w:val="crowed11"/>
    <w:autoRedefine/>
    <w:qFormat/>
    <w:uiPriority w:val="0"/>
    <w:rPr>
      <w:rFonts w:hint="default"/>
      <w:sz w:val="24"/>
    </w:rPr>
  </w:style>
  <w:style w:type="character" w:customStyle="1" w:styleId="96">
    <w:name w:val="标题 5 字符"/>
    <w:autoRedefine/>
    <w:semiHidden/>
    <w:qFormat/>
    <w:uiPriority w:val="9"/>
    <w:rPr>
      <w:rFonts w:ascii="Times New Roman" w:hAnsi="Times New Roman" w:eastAsia="仿宋_GB2312" w:cs="Times New Roman"/>
      <w:b/>
      <w:bCs/>
      <w:sz w:val="28"/>
      <w:szCs w:val="28"/>
    </w:rPr>
  </w:style>
  <w:style w:type="character" w:customStyle="1" w:styleId="97">
    <w:name w:val="Table Heading Char Char"/>
    <w:autoRedefine/>
    <w:qFormat/>
    <w:uiPriority w:val="0"/>
    <w:rPr>
      <w:rFonts w:ascii="Arial" w:hAnsi="Arial" w:eastAsia="黑体"/>
      <w:kern w:val="2"/>
      <w:sz w:val="18"/>
      <w:lang w:val="en-US" w:eastAsia="zh-CN"/>
    </w:rPr>
  </w:style>
  <w:style w:type="character" w:customStyle="1" w:styleId="98">
    <w:name w:val="标题 2 字符1"/>
    <w:link w:val="3"/>
    <w:autoRedefine/>
    <w:qFormat/>
    <w:uiPriority w:val="0"/>
    <w:rPr>
      <w:rFonts w:ascii="Arial" w:hAnsi="Arial" w:eastAsia="黑体"/>
      <w:b/>
      <w:kern w:val="2"/>
      <w:sz w:val="32"/>
    </w:rPr>
  </w:style>
  <w:style w:type="character" w:customStyle="1" w:styleId="99">
    <w:name w:val="Char Char5"/>
    <w:autoRedefine/>
    <w:qFormat/>
    <w:uiPriority w:val="0"/>
    <w:rPr>
      <w:rFonts w:ascii="Arial" w:hAnsi="Arial" w:eastAsia="宋体"/>
      <w:b/>
      <w:smallCaps/>
      <w:kern w:val="28"/>
      <w:sz w:val="36"/>
      <w:lang w:val="en-US" w:eastAsia="en-US"/>
    </w:rPr>
  </w:style>
  <w:style w:type="character" w:customStyle="1" w:styleId="100">
    <w:name w:val="Char Char6"/>
    <w:autoRedefine/>
    <w:qFormat/>
    <w:uiPriority w:val="0"/>
    <w:rPr>
      <w:rFonts w:ascii="仿宋_GB2312" w:eastAsia="仿宋_GB2312"/>
      <w:kern w:val="2"/>
      <w:sz w:val="32"/>
    </w:rPr>
  </w:style>
  <w:style w:type="character" w:customStyle="1" w:styleId="101">
    <w:name w:val="文字 Char"/>
    <w:link w:val="102"/>
    <w:autoRedefine/>
    <w:qFormat/>
    <w:uiPriority w:val="0"/>
    <w:rPr>
      <w:rFonts w:ascii="宋体"/>
      <w:kern w:val="2"/>
      <w:sz w:val="28"/>
    </w:rPr>
  </w:style>
  <w:style w:type="paragraph" w:customStyle="1" w:styleId="102">
    <w:name w:val="文字"/>
    <w:basedOn w:val="1"/>
    <w:link w:val="101"/>
    <w:autoRedefine/>
    <w:qFormat/>
    <w:uiPriority w:val="0"/>
    <w:pPr>
      <w:tabs>
        <w:tab w:val="left" w:pos="8520"/>
      </w:tabs>
      <w:spacing w:line="312" w:lineRule="auto"/>
      <w:ind w:right="-210" w:firstLine="556"/>
    </w:pPr>
    <w:rPr>
      <w:rFonts w:ascii="宋体"/>
    </w:rPr>
  </w:style>
  <w:style w:type="character" w:customStyle="1" w:styleId="103">
    <w:name w:val="Char Char"/>
    <w:autoRedefine/>
    <w:qFormat/>
    <w:uiPriority w:val="0"/>
    <w:rPr>
      <w:rFonts w:ascii="宋体" w:hAnsi="宋体" w:eastAsia="宋体"/>
      <w:kern w:val="2"/>
      <w:sz w:val="24"/>
      <w:lang w:val="en-US" w:eastAsia="zh-CN" w:bidi="ar-SA"/>
    </w:rPr>
  </w:style>
  <w:style w:type="character" w:customStyle="1" w:styleId="104">
    <w:name w:val="正文文本首行缩进 2 字符"/>
    <w:basedOn w:val="105"/>
    <w:link w:val="56"/>
    <w:autoRedefine/>
    <w:qFormat/>
    <w:uiPriority w:val="0"/>
    <w:rPr>
      <w:kern w:val="2"/>
      <w:sz w:val="44"/>
    </w:rPr>
  </w:style>
  <w:style w:type="character" w:customStyle="1" w:styleId="105">
    <w:name w:val="正文文本缩进 字符1"/>
    <w:link w:val="23"/>
    <w:autoRedefine/>
    <w:qFormat/>
    <w:uiPriority w:val="0"/>
    <w:rPr>
      <w:kern w:val="2"/>
      <w:sz w:val="44"/>
    </w:rPr>
  </w:style>
  <w:style w:type="character" w:customStyle="1" w:styleId="106">
    <w:name w:val="无间隔 Char"/>
    <w:link w:val="107"/>
    <w:autoRedefine/>
    <w:qFormat/>
    <w:locked/>
    <w:uiPriority w:val="99"/>
    <w:rPr>
      <w:rFonts w:ascii="Calibri" w:hAnsi="Calibri"/>
      <w:kern w:val="2"/>
      <w:sz w:val="21"/>
      <w:szCs w:val="22"/>
      <w:lang w:val="en-US" w:eastAsia="zh-CN" w:bidi="ar-SA"/>
    </w:rPr>
  </w:style>
  <w:style w:type="paragraph" w:customStyle="1" w:styleId="107">
    <w:name w:val="无间隔1"/>
    <w:link w:val="106"/>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8">
    <w:name w:val="标题 5 字符1"/>
    <w:link w:val="6"/>
    <w:autoRedefine/>
    <w:qFormat/>
    <w:uiPriority w:val="9"/>
    <w:rPr>
      <w:b/>
      <w:kern w:val="2"/>
      <w:sz w:val="28"/>
    </w:rPr>
  </w:style>
  <w:style w:type="character" w:customStyle="1" w:styleId="109">
    <w:name w:val="页眉 字符"/>
    <w:autoRedefine/>
    <w:semiHidden/>
    <w:qFormat/>
    <w:uiPriority w:val="99"/>
    <w:rPr>
      <w:rFonts w:ascii="Times New Roman" w:hAnsi="Times New Roman" w:eastAsia="仿宋_GB2312" w:cs="Times New Roman"/>
      <w:sz w:val="18"/>
      <w:szCs w:val="18"/>
    </w:rPr>
  </w:style>
  <w:style w:type="character" w:customStyle="1" w:styleId="110">
    <w:name w:val="Char Char4"/>
    <w:autoRedefine/>
    <w:qFormat/>
    <w:uiPriority w:val="0"/>
    <w:rPr>
      <w:rFonts w:eastAsia="宋体"/>
      <w:b/>
      <w:kern w:val="2"/>
      <w:sz w:val="21"/>
      <w:lang w:val="en-US" w:eastAsia="zh-CN"/>
    </w:rPr>
  </w:style>
  <w:style w:type="character" w:customStyle="1" w:styleId="111">
    <w:name w:val="样式 宋体"/>
    <w:autoRedefine/>
    <w:qFormat/>
    <w:uiPriority w:val="0"/>
    <w:rPr>
      <w:rFonts w:ascii="宋体" w:hAnsi="宋体" w:eastAsia="宋体"/>
      <w:sz w:val="28"/>
    </w:rPr>
  </w:style>
  <w:style w:type="character" w:customStyle="1" w:styleId="112">
    <w:name w:val="页眉 字符1"/>
    <w:link w:val="36"/>
    <w:autoRedefine/>
    <w:qFormat/>
    <w:uiPriority w:val="99"/>
    <w:rPr>
      <w:kern w:val="2"/>
      <w:sz w:val="18"/>
    </w:rPr>
  </w:style>
  <w:style w:type="character" w:customStyle="1" w:styleId="113">
    <w:name w:val="content-white1"/>
    <w:autoRedefine/>
    <w:qFormat/>
    <w:uiPriority w:val="0"/>
    <w:rPr>
      <w:color w:val="auto"/>
      <w:sz w:val="18"/>
      <w:u w:val="none"/>
    </w:rPr>
  </w:style>
  <w:style w:type="character" w:customStyle="1" w:styleId="114">
    <w:name w:val="批注主题 字符"/>
    <w:autoRedefine/>
    <w:semiHidden/>
    <w:qFormat/>
    <w:uiPriority w:val="99"/>
    <w:rPr>
      <w:rFonts w:ascii="Times New Roman" w:hAnsi="Times New Roman" w:eastAsia="仿宋_GB2312" w:cs="Times New Roman"/>
      <w:b/>
      <w:bCs/>
      <w:kern w:val="2"/>
      <w:sz w:val="30"/>
      <w:szCs w:val="24"/>
    </w:rPr>
  </w:style>
  <w:style w:type="character" w:customStyle="1" w:styleId="115">
    <w:name w:val="标题 3 字符1"/>
    <w:link w:val="4"/>
    <w:autoRedefine/>
    <w:qFormat/>
    <w:uiPriority w:val="0"/>
    <w:rPr>
      <w:rFonts w:eastAsia="宋体"/>
      <w:b/>
      <w:kern w:val="2"/>
      <w:sz w:val="32"/>
      <w:lang w:val="en-US" w:eastAsia="zh-CN"/>
    </w:rPr>
  </w:style>
  <w:style w:type="character" w:customStyle="1" w:styleId="116">
    <w:name w:val="脚注文本 字符"/>
    <w:link w:val="40"/>
    <w:autoRedefine/>
    <w:qFormat/>
    <w:uiPriority w:val="0"/>
    <w:rPr>
      <w:kern w:val="2"/>
      <w:sz w:val="18"/>
    </w:rPr>
  </w:style>
  <w:style w:type="character" w:customStyle="1" w:styleId="117">
    <w:name w:val="正文文本缩进 2 字符"/>
    <w:link w:val="33"/>
    <w:autoRedefine/>
    <w:qFormat/>
    <w:uiPriority w:val="0"/>
    <w:rPr>
      <w:kern w:val="2"/>
      <w:sz w:val="28"/>
    </w:rPr>
  </w:style>
  <w:style w:type="character" w:customStyle="1" w:styleId="118">
    <w:name w:val="未命名11"/>
    <w:autoRedefine/>
    <w:qFormat/>
    <w:uiPriority w:val="0"/>
    <w:rPr>
      <w:color w:val="77FFFF"/>
      <w:sz w:val="24"/>
    </w:rPr>
  </w:style>
  <w:style w:type="character" w:customStyle="1" w:styleId="119">
    <w:name w:val="小 Char"/>
    <w:autoRedefine/>
    <w:qFormat/>
    <w:uiPriority w:val="0"/>
    <w:rPr>
      <w:rFonts w:ascii="宋体" w:hAnsi="Courier New" w:eastAsia="宋体"/>
      <w:kern w:val="2"/>
      <w:sz w:val="21"/>
      <w:lang w:val="en-US" w:eastAsia="zh-CN" w:bidi="ar-SA"/>
    </w:rPr>
  </w:style>
  <w:style w:type="paragraph" w:customStyle="1" w:styleId="120">
    <w:name w:val="Char Char Char Char Char Char Char Char Char Char Char Char Char Char Char Char"/>
    <w:basedOn w:val="1"/>
    <w:autoRedefine/>
    <w:qFormat/>
    <w:uiPriority w:val="0"/>
    <w:pPr>
      <w:tabs>
        <w:tab w:val="left" w:pos="360"/>
      </w:tabs>
    </w:pPr>
    <w:rPr>
      <w:sz w:val="24"/>
    </w:rPr>
  </w:style>
  <w:style w:type="paragraph" w:customStyle="1" w:styleId="12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1.正文"/>
    <w:basedOn w:val="1"/>
    <w:autoRedefine/>
    <w:qFormat/>
    <w:uiPriority w:val="0"/>
    <w:pPr>
      <w:spacing w:line="360" w:lineRule="auto"/>
      <w:ind w:left="540" w:leftChars="225" w:firstLine="540" w:firstLineChars="225"/>
    </w:pPr>
    <w:rPr>
      <w:sz w:val="24"/>
    </w:rPr>
  </w:style>
  <w:style w:type="paragraph" w:customStyle="1" w:styleId="123">
    <w:name w:val="表头文本"/>
    <w:autoRedefine/>
    <w:qFormat/>
    <w:uiPriority w:val="0"/>
    <w:pPr>
      <w:jc w:val="center"/>
    </w:pPr>
    <w:rPr>
      <w:rFonts w:ascii="Arial" w:hAnsi="Arial" w:eastAsia="宋体" w:cs="Times New Roman"/>
      <w:b/>
      <w:sz w:val="21"/>
      <w:lang w:val="en-US" w:eastAsia="zh-CN" w:bidi="ar-SA"/>
    </w:rPr>
  </w:style>
  <w:style w:type="paragraph" w:customStyle="1" w:styleId="124">
    <w:name w:val="00"/>
    <w:basedOn w:val="1"/>
    <w:autoRedefine/>
    <w:qFormat/>
    <w:uiPriority w:val="0"/>
    <w:pPr>
      <w:autoSpaceDE w:val="0"/>
      <w:autoSpaceDN w:val="0"/>
      <w:adjustRightInd w:val="0"/>
      <w:jc w:val="left"/>
    </w:pPr>
    <w:rPr>
      <w:rFonts w:ascii="黑体" w:eastAsia="黑体"/>
      <w:b/>
      <w:kern w:val="0"/>
      <w:sz w:val="20"/>
    </w:rPr>
  </w:style>
  <w:style w:type="paragraph" w:customStyle="1" w:styleId="125">
    <w:name w:val="图例"/>
    <w:basedOn w:val="1"/>
    <w:autoRedefine/>
    <w:qFormat/>
    <w:uiPriority w:val="0"/>
    <w:pPr>
      <w:spacing w:before="120" w:after="120" w:line="360" w:lineRule="auto"/>
      <w:jc w:val="center"/>
    </w:pPr>
    <w:rPr>
      <w:rFonts w:eastAsia="仿宋_GB2312"/>
      <w:b/>
      <w:sz w:val="24"/>
    </w:rPr>
  </w:style>
  <w:style w:type="paragraph" w:customStyle="1" w:styleId="12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28">
    <w:name w:val="Char Char 字元 字元 字元 Char Char Char Char"/>
    <w:basedOn w:val="1"/>
    <w:autoRedefine/>
    <w:qFormat/>
    <w:uiPriority w:val="0"/>
    <w:pPr>
      <w:adjustRightInd w:val="0"/>
      <w:spacing w:line="360" w:lineRule="auto"/>
    </w:pPr>
    <w:rPr>
      <w:kern w:val="0"/>
      <w:sz w:val="24"/>
    </w:rPr>
  </w:style>
  <w:style w:type="paragraph" w:customStyle="1" w:styleId="1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Title - Date"/>
    <w:basedOn w:val="53"/>
    <w:next w:val="1"/>
    <w:autoRedefine/>
    <w:qFormat/>
    <w:uiPriority w:val="0"/>
    <w:pPr>
      <w:spacing w:before="240" w:after="720"/>
    </w:pPr>
    <w:rPr>
      <w:sz w:val="28"/>
    </w:rPr>
  </w:style>
  <w:style w:type="paragraph" w:customStyle="1" w:styleId="131">
    <w:name w:val="文章正文"/>
    <w:basedOn w:val="1"/>
    <w:autoRedefine/>
    <w:qFormat/>
    <w:uiPriority w:val="0"/>
    <w:pPr>
      <w:ind w:firstLine="560" w:firstLineChars="200"/>
    </w:pPr>
    <w:rPr>
      <w:rFonts w:ascii="仿宋_GB2312" w:hAnsi="宋体" w:eastAsia="仿宋_GB2312"/>
      <w:color w:val="000000"/>
    </w:rPr>
  </w:style>
  <w:style w:type="paragraph" w:customStyle="1" w:styleId="132">
    <w:name w:val="彩色列表 - 强调文字颜色 11"/>
    <w:basedOn w:val="1"/>
    <w:autoRedefine/>
    <w:qFormat/>
    <w:uiPriority w:val="99"/>
    <w:pPr>
      <w:ind w:firstLine="420" w:firstLineChars="200"/>
    </w:pPr>
    <w:rPr>
      <w:rFonts w:eastAsia="仿宋_GB2312"/>
      <w:sz w:val="30"/>
      <w:szCs w:val="24"/>
    </w:rPr>
  </w:style>
  <w:style w:type="paragraph" w:customStyle="1" w:styleId="13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4">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样式1"/>
    <w:basedOn w:val="5"/>
    <w:autoRedefine/>
    <w:qFormat/>
    <w:uiPriority w:val="0"/>
    <w:pPr>
      <w:tabs>
        <w:tab w:val="left" w:pos="720"/>
      </w:tabs>
      <w:spacing w:before="500" w:after="260" w:line="560" w:lineRule="atLeast"/>
      <w:ind w:left="420" w:hanging="420"/>
    </w:pPr>
  </w:style>
  <w:style w:type="paragraph" w:customStyle="1" w:styleId="13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w:basedOn w:val="1"/>
    <w:autoRedefine/>
    <w:qFormat/>
    <w:uiPriority w:val="0"/>
    <w:rPr>
      <w:rFonts w:ascii="Tahoma" w:hAnsi="Tahoma"/>
      <w:sz w:val="24"/>
    </w:rPr>
  </w:style>
  <w:style w:type="paragraph" w:customStyle="1" w:styleId="139">
    <w:name w:val="Char Char Char Char Char Char Char"/>
    <w:basedOn w:val="17"/>
    <w:autoRedefine/>
    <w:qFormat/>
    <w:uiPriority w:val="0"/>
    <w:rPr>
      <w:rFonts w:ascii="宋体" w:hAnsi="Tahoma"/>
    </w:rPr>
  </w:style>
  <w:style w:type="paragraph" w:customStyle="1" w:styleId="140">
    <w:name w:val="Char Char1 Char"/>
    <w:basedOn w:val="1"/>
    <w:autoRedefine/>
    <w:qFormat/>
    <w:uiPriority w:val="0"/>
    <w:rPr>
      <w:rFonts w:ascii="Tahoma" w:hAnsi="Tahoma"/>
      <w:sz w:val="24"/>
      <w:szCs w:val="24"/>
    </w:rPr>
  </w:style>
  <w:style w:type="paragraph" w:customStyle="1" w:styleId="141">
    <w:name w:val="二级列表"/>
    <w:basedOn w:val="142"/>
    <w:next w:val="142"/>
    <w:autoRedefine/>
    <w:qFormat/>
    <w:uiPriority w:val="0"/>
    <w:pPr>
      <w:tabs>
        <w:tab w:val="left" w:pos="2120"/>
      </w:tabs>
      <w:ind w:firstLine="0" w:firstLineChars="0"/>
    </w:pPr>
    <w:rPr>
      <w:b/>
    </w:rPr>
  </w:style>
  <w:style w:type="paragraph" w:customStyle="1" w:styleId="142">
    <w:name w:val="段落正文"/>
    <w:basedOn w:val="1"/>
    <w:autoRedefine/>
    <w:qFormat/>
    <w:uiPriority w:val="0"/>
    <w:pPr>
      <w:spacing w:beforeLines="50" w:line="360" w:lineRule="auto"/>
      <w:ind w:firstLine="200" w:firstLineChars="200"/>
    </w:pPr>
    <w:rPr>
      <w:spacing w:val="2"/>
      <w:sz w:val="24"/>
    </w:rPr>
  </w:style>
  <w:style w:type="paragraph" w:customStyle="1" w:styleId="143">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4">
    <w:name w:val="彩色底纹 - 强调文字颜色 11"/>
    <w:autoRedefine/>
    <w:qFormat/>
    <w:uiPriority w:val="99"/>
    <w:rPr>
      <w:rFonts w:ascii="Times New Roman" w:hAnsi="Times New Roman" w:eastAsia="仿宋_GB2312" w:cs="Times New Roman"/>
      <w:kern w:val="2"/>
      <w:sz w:val="30"/>
      <w:szCs w:val="24"/>
      <w:lang w:val="en-US" w:eastAsia="zh-CN" w:bidi="ar-SA"/>
    </w:rPr>
  </w:style>
  <w:style w:type="paragraph" w:customStyle="1" w:styleId="145">
    <w:name w:val="Char Char Char Char Char"/>
    <w:basedOn w:val="1"/>
    <w:autoRedefine/>
    <w:qFormat/>
    <w:uiPriority w:val="0"/>
    <w:pPr>
      <w:tabs>
        <w:tab w:val="left" w:pos="425"/>
      </w:tabs>
      <w:ind w:left="1620" w:hanging="360"/>
    </w:pPr>
    <w:rPr>
      <w:rFonts w:ascii="Tahoma" w:hAnsi="Tahoma"/>
      <w:sz w:val="24"/>
    </w:rPr>
  </w:style>
  <w:style w:type="paragraph" w:customStyle="1" w:styleId="146">
    <w:name w:val="浅色网格 - 强调文字颜色 31"/>
    <w:basedOn w:val="1"/>
    <w:autoRedefine/>
    <w:qFormat/>
    <w:uiPriority w:val="34"/>
    <w:pPr>
      <w:ind w:firstLine="420" w:firstLineChars="200"/>
    </w:pPr>
    <w:rPr>
      <w:sz w:val="21"/>
      <w:szCs w:val="24"/>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可研正文"/>
    <w:basedOn w:val="22"/>
    <w:autoRedefine/>
    <w:qFormat/>
    <w:uiPriority w:val="0"/>
    <w:pPr>
      <w:adjustRightInd w:val="0"/>
      <w:snapToGrid w:val="0"/>
      <w:spacing w:line="440" w:lineRule="exact"/>
      <w:ind w:firstLine="567"/>
    </w:pPr>
    <w:rPr>
      <w:sz w:val="28"/>
    </w:rPr>
  </w:style>
  <w:style w:type="paragraph" w:customStyle="1" w:styleId="14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0">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1">
    <w:name w:val="正文文本 21"/>
    <w:basedOn w:val="1"/>
    <w:autoRedefine/>
    <w:qFormat/>
    <w:uiPriority w:val="0"/>
    <w:pPr>
      <w:adjustRightInd w:val="0"/>
      <w:spacing w:before="120" w:line="360" w:lineRule="auto"/>
      <w:ind w:firstLine="480"/>
      <w:textAlignment w:val="baseline"/>
    </w:pPr>
    <w:rPr>
      <w:sz w:val="24"/>
    </w:rPr>
  </w:style>
  <w:style w:type="paragraph" w:customStyle="1" w:styleId="15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5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5">
    <w:name w:val="Table Contents"/>
    <w:basedOn w:val="22"/>
    <w:autoRedefine/>
    <w:qFormat/>
    <w:uiPriority w:val="0"/>
    <w:pPr>
      <w:suppressAutoHyphens/>
      <w:jc w:val="left"/>
    </w:pPr>
    <w:rPr>
      <w:rFonts w:ascii="Times New Roman" w:eastAsia="Times New Roman"/>
      <w:kern w:val="0"/>
      <w:sz w:val="24"/>
    </w:rPr>
  </w:style>
  <w:style w:type="paragraph" w:customStyle="1" w:styleId="156">
    <w:name w:val="正文1"/>
    <w:basedOn w:val="1"/>
    <w:autoRedefine/>
    <w:qFormat/>
    <w:uiPriority w:val="0"/>
    <w:pPr>
      <w:spacing w:line="300" w:lineRule="auto"/>
      <w:ind w:firstLine="200" w:firstLineChars="200"/>
    </w:pPr>
    <w:rPr>
      <w:sz w:val="24"/>
    </w:rPr>
  </w:style>
  <w:style w:type="paragraph" w:customStyle="1" w:styleId="157">
    <w:name w:val="首行缩进"/>
    <w:basedOn w:val="1"/>
    <w:autoRedefine/>
    <w:qFormat/>
    <w:uiPriority w:val="0"/>
    <w:pPr>
      <w:tabs>
        <w:tab w:val="left" w:pos="540"/>
      </w:tabs>
      <w:spacing w:line="360" w:lineRule="auto"/>
      <w:ind w:left="540"/>
    </w:pPr>
    <w:rPr>
      <w:rFonts w:eastAsia="仿宋_GB2312"/>
    </w:rPr>
  </w:style>
  <w:style w:type="paragraph" w:customStyle="1" w:styleId="158">
    <w:name w:val="Style Heading 3h3Heading 3 - oldLevel 3 HeadH3level_3PIM 3se..."/>
    <w:basedOn w:val="4"/>
    <w:autoRedefine/>
    <w:qFormat/>
    <w:uiPriority w:val="0"/>
    <w:pPr>
      <w:tabs>
        <w:tab w:val="left" w:pos="709"/>
        <w:tab w:val="left" w:pos="1620"/>
      </w:tabs>
      <w:ind w:left="1620" w:hanging="360"/>
    </w:pPr>
  </w:style>
  <w:style w:type="paragraph" w:customStyle="1" w:styleId="15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标题无"/>
    <w:basedOn w:val="1"/>
    <w:autoRedefine/>
    <w:qFormat/>
    <w:uiPriority w:val="0"/>
    <w:pPr>
      <w:spacing w:line="360" w:lineRule="auto"/>
    </w:pPr>
    <w:rPr>
      <w:sz w:val="24"/>
    </w:rPr>
  </w:style>
  <w:style w:type="paragraph" w:customStyle="1" w:styleId="165">
    <w:name w:val="正文表格"/>
    <w:basedOn w:val="1"/>
    <w:autoRedefine/>
    <w:qFormat/>
    <w:uiPriority w:val="0"/>
    <w:pPr>
      <w:adjustRightInd w:val="0"/>
      <w:spacing w:before="40" w:after="40"/>
    </w:pPr>
    <w:rPr>
      <w:sz w:val="24"/>
    </w:rPr>
  </w:style>
  <w:style w:type="paragraph" w:customStyle="1" w:styleId="166">
    <w:name w:val="Char1"/>
    <w:basedOn w:val="1"/>
    <w:autoRedefine/>
    <w:qFormat/>
    <w:uiPriority w:val="0"/>
    <w:rPr>
      <w:sz w:val="21"/>
    </w:rPr>
  </w:style>
  <w:style w:type="paragraph" w:customStyle="1" w:styleId="16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没有缩进（为图形使用）"/>
    <w:basedOn w:val="1"/>
    <w:autoRedefine/>
    <w:qFormat/>
    <w:uiPriority w:val="0"/>
    <w:pPr>
      <w:spacing w:before="120" w:after="120" w:line="360" w:lineRule="auto"/>
    </w:pPr>
    <w:rPr>
      <w:sz w:val="24"/>
    </w:rPr>
  </w:style>
  <w:style w:type="paragraph" w:customStyle="1" w:styleId="170">
    <w:name w:val="内容标题"/>
    <w:basedOn w:val="17"/>
    <w:autoRedefine/>
    <w:qFormat/>
    <w:uiPriority w:val="0"/>
    <w:rPr>
      <w:rFonts w:ascii="Tahoma" w:hAnsi="Tahoma"/>
      <w:sz w:val="24"/>
    </w:rPr>
  </w:style>
  <w:style w:type="paragraph" w:customStyle="1" w:styleId="17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附录3"/>
    <w:basedOn w:val="1"/>
    <w:next w:val="1"/>
    <w:autoRedefine/>
    <w:qFormat/>
    <w:uiPriority w:val="0"/>
    <w:pPr>
      <w:tabs>
        <w:tab w:val="left" w:pos="851"/>
      </w:tabs>
      <w:ind w:left="425" w:hanging="425"/>
      <w:outlineLvl w:val="2"/>
    </w:pPr>
    <w:rPr>
      <w:rFonts w:eastAsia="黑体"/>
      <w:b/>
      <w:sz w:val="32"/>
    </w:rPr>
  </w:style>
  <w:style w:type="paragraph" w:customStyle="1" w:styleId="174">
    <w:name w:val="样式 首行缩进:  0.74 厘米"/>
    <w:basedOn w:val="1"/>
    <w:autoRedefine/>
    <w:qFormat/>
    <w:uiPriority w:val="0"/>
    <w:pPr>
      <w:spacing w:line="360" w:lineRule="auto"/>
      <w:ind w:firstLine="420"/>
    </w:pPr>
    <w:rPr>
      <w:sz w:val="24"/>
    </w:rPr>
  </w:style>
  <w:style w:type="paragraph" w:customStyle="1" w:styleId="17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 正文缩进正文（首行缩进两字）表正文正文非缩进特点标题4段1 + 首行缩进:  2 字符"/>
    <w:basedOn w:val="15"/>
    <w:autoRedefine/>
    <w:qFormat/>
    <w:uiPriority w:val="0"/>
    <w:pPr>
      <w:ind w:firstLine="480" w:firstLineChars="200"/>
    </w:pPr>
  </w:style>
  <w:style w:type="paragraph" w:customStyle="1" w:styleId="178">
    <w:name w:val="样式4"/>
    <w:basedOn w:val="5"/>
    <w:autoRedefine/>
    <w:qFormat/>
    <w:uiPriority w:val="0"/>
    <w:pPr>
      <w:adjustRightInd w:val="0"/>
      <w:snapToGrid w:val="0"/>
    </w:pPr>
  </w:style>
  <w:style w:type="paragraph" w:customStyle="1" w:styleId="179">
    <w:name w:val="关键词"/>
    <w:basedOn w:val="1"/>
    <w:next w:val="1"/>
    <w:autoRedefine/>
    <w:qFormat/>
    <w:uiPriority w:val="0"/>
    <w:pPr>
      <w:spacing w:line="360" w:lineRule="auto"/>
    </w:pPr>
    <w:rPr>
      <w:rFonts w:eastAsia="黑体"/>
      <w:sz w:val="20"/>
    </w:rPr>
  </w:style>
  <w:style w:type="paragraph" w:customStyle="1" w:styleId="18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82">
    <w:name w:val="1"/>
    <w:basedOn w:val="1"/>
    <w:next w:val="30"/>
    <w:autoRedefine/>
    <w:qFormat/>
    <w:uiPriority w:val="0"/>
    <w:rPr>
      <w:rFonts w:ascii="宋体" w:hAnsi="Courier New"/>
      <w:sz w:val="21"/>
    </w:rPr>
  </w:style>
  <w:style w:type="paragraph" w:customStyle="1" w:styleId="183">
    <w:name w:val="表文字"/>
    <w:autoRedefine/>
    <w:qFormat/>
    <w:uiPriority w:val="0"/>
    <w:rPr>
      <w:rFonts w:ascii="宋体" w:hAnsi="Times New Roman" w:eastAsia="宋体" w:cs="Times New Roman"/>
      <w:kern w:val="2"/>
      <w:lang w:val="en-US" w:eastAsia="zh-CN" w:bidi="ar-SA"/>
    </w:rPr>
  </w:style>
  <w:style w:type="paragraph" w:customStyle="1" w:styleId="18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图片文字"/>
    <w:basedOn w:val="1"/>
    <w:autoRedefine/>
    <w:qFormat/>
    <w:uiPriority w:val="0"/>
    <w:pPr>
      <w:spacing w:line="240" w:lineRule="atLeast"/>
      <w:jc w:val="center"/>
    </w:pPr>
    <w:rPr>
      <w:sz w:val="21"/>
    </w:rPr>
  </w:style>
  <w:style w:type="paragraph" w:customStyle="1" w:styleId="186">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8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Char1 Char Char Char"/>
    <w:basedOn w:val="1"/>
    <w:autoRedefine/>
    <w:qFormat/>
    <w:uiPriority w:val="0"/>
    <w:rPr>
      <w:rFonts w:ascii="Tahoma" w:hAnsi="Tahoma"/>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Char"/>
    <w:basedOn w:val="1"/>
    <w:autoRedefine/>
    <w:qFormat/>
    <w:uiPriority w:val="0"/>
    <w:pPr>
      <w:spacing w:line="240" w:lineRule="atLeast"/>
      <w:ind w:left="420" w:firstLine="420"/>
    </w:pPr>
    <w:rPr>
      <w:kern w:val="0"/>
      <w:sz w:val="21"/>
    </w:rPr>
  </w:style>
  <w:style w:type="paragraph" w:customStyle="1" w:styleId="19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9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首行缩进 1"/>
    <w:basedOn w:val="1"/>
    <w:autoRedefine/>
    <w:qFormat/>
    <w:uiPriority w:val="0"/>
    <w:pPr>
      <w:spacing w:after="120" w:line="360" w:lineRule="auto"/>
      <w:ind w:firstLine="200" w:firstLineChars="200"/>
    </w:pPr>
    <w:rPr>
      <w:sz w:val="24"/>
    </w:rPr>
  </w:style>
  <w:style w:type="paragraph" w:customStyle="1" w:styleId="19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5">
    <w:name w:val="Char Char Char1 Char Char Char1 Char Char Char Char"/>
    <w:basedOn w:val="1"/>
    <w:autoRedefine/>
    <w:semiHidden/>
    <w:qFormat/>
    <w:uiPriority w:val="0"/>
    <w:rPr>
      <w:sz w:val="21"/>
      <w:szCs w:val="24"/>
    </w:rPr>
  </w:style>
  <w:style w:type="paragraph" w:customStyle="1" w:styleId="196">
    <w:name w:val="表格内文字"/>
    <w:basedOn w:val="30"/>
    <w:autoRedefine/>
    <w:qFormat/>
    <w:uiPriority w:val="0"/>
    <w:pPr>
      <w:adjustRightInd w:val="0"/>
    </w:pPr>
    <w:rPr>
      <w:color w:val="000000"/>
      <w:lang w:val="en-GB"/>
    </w:rPr>
  </w:style>
  <w:style w:type="paragraph" w:customStyle="1" w:styleId="197">
    <w:name w:val="文本1"/>
    <w:basedOn w:val="1"/>
    <w:autoRedefine/>
    <w:qFormat/>
    <w:uiPriority w:val="0"/>
    <w:pPr>
      <w:adjustRightInd w:val="0"/>
      <w:spacing w:line="312" w:lineRule="atLeast"/>
      <w:jc w:val="center"/>
      <w:textAlignment w:val="baseline"/>
    </w:pPr>
    <w:rPr>
      <w:kern w:val="0"/>
      <w:sz w:val="18"/>
    </w:rPr>
  </w:style>
  <w:style w:type="paragraph" w:customStyle="1" w:styleId="198">
    <w:name w:val="样式 行距: 1.5 倍行距1"/>
    <w:basedOn w:val="1"/>
    <w:autoRedefine/>
    <w:qFormat/>
    <w:uiPriority w:val="0"/>
    <w:pPr>
      <w:snapToGrid w:val="0"/>
    </w:pPr>
    <w:rPr>
      <w:sz w:val="21"/>
    </w:rPr>
  </w:style>
  <w:style w:type="paragraph" w:customStyle="1" w:styleId="199">
    <w:name w:val="Char Char Char Char Char Char Char1"/>
    <w:basedOn w:val="1"/>
    <w:autoRedefine/>
    <w:qFormat/>
    <w:uiPriority w:val="0"/>
    <w:rPr>
      <w:rFonts w:ascii="Tahoma" w:hAnsi="Tahoma"/>
      <w:sz w:val="24"/>
    </w:rPr>
  </w:style>
  <w:style w:type="paragraph" w:customStyle="1" w:styleId="200">
    <w:name w:val="图片标注格式"/>
    <w:next w:val="1"/>
    <w:autoRedefine/>
    <w:qFormat/>
    <w:uiPriority w:val="0"/>
    <w:pPr>
      <w:spacing w:line="400" w:lineRule="exact"/>
      <w:jc w:val="center"/>
    </w:pPr>
    <w:rPr>
      <w:rFonts w:ascii="Times New Roman" w:hAnsi="Times New Roman" w:eastAsia="宋体" w:cs="Times New Roman"/>
      <w:kern w:val="2"/>
      <w:sz w:val="21"/>
      <w:szCs w:val="21"/>
      <w:lang w:val="en-US" w:eastAsia="zh-CN" w:bidi="ar-SA"/>
    </w:rPr>
  </w:style>
  <w:style w:type="paragraph" w:customStyle="1" w:styleId="201">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06">
    <w:name w:val="修订1"/>
    <w:autoRedefine/>
    <w:semiHidden/>
    <w:qFormat/>
    <w:uiPriority w:val="99"/>
    <w:rPr>
      <w:rFonts w:ascii="Times New Roman" w:hAnsi="Times New Roman" w:eastAsia="仿宋_GB2312" w:cs="Times New Roman"/>
      <w:kern w:val="2"/>
      <w:sz w:val="30"/>
      <w:szCs w:val="24"/>
      <w:lang w:val="en-US" w:eastAsia="zh-CN" w:bidi="ar-SA"/>
    </w:rPr>
  </w:style>
  <w:style w:type="paragraph" w:customStyle="1" w:styleId="20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中等深浅列表 2 - 强调文字颜色 21"/>
    <w:autoRedefine/>
    <w:qFormat/>
    <w:uiPriority w:val="0"/>
    <w:rPr>
      <w:rFonts w:ascii="Times New Roman" w:hAnsi="Times New Roman" w:eastAsia="宋体" w:cs="Times New Roman"/>
      <w:kern w:val="2"/>
      <w:sz w:val="21"/>
      <w:lang w:val="en-US" w:eastAsia="zh-CN" w:bidi="ar-SA"/>
    </w:rPr>
  </w:style>
  <w:style w:type="paragraph" w:customStyle="1" w:styleId="210">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IN Feature"/>
    <w:next w:val="134"/>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2">
    <w:name w:val="摘要"/>
    <w:basedOn w:val="1"/>
    <w:next w:val="3"/>
    <w:autoRedefine/>
    <w:qFormat/>
    <w:uiPriority w:val="0"/>
    <w:pPr>
      <w:spacing w:line="360" w:lineRule="auto"/>
    </w:pPr>
    <w:rPr>
      <w:rFonts w:eastAsia="黑体"/>
      <w:sz w:val="20"/>
    </w:rPr>
  </w:style>
  <w:style w:type="paragraph" w:customStyle="1" w:styleId="213">
    <w:name w:val="文本框样式1"/>
    <w:basedOn w:val="1"/>
    <w:autoRedefine/>
    <w:qFormat/>
    <w:uiPriority w:val="0"/>
    <w:pPr>
      <w:adjustRightInd w:val="0"/>
      <w:snapToGrid w:val="0"/>
      <w:spacing w:before="60" w:line="180" w:lineRule="exact"/>
      <w:jc w:val="center"/>
    </w:pPr>
    <w:rPr>
      <w:sz w:val="21"/>
    </w:rPr>
  </w:style>
  <w:style w:type="paragraph" w:customStyle="1" w:styleId="21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_Style 25"/>
    <w:basedOn w:val="1"/>
    <w:autoRedefine/>
    <w:qFormat/>
    <w:uiPriority w:val="0"/>
    <w:pPr>
      <w:spacing w:line="360" w:lineRule="auto"/>
      <w:ind w:firstLine="200" w:firstLineChars="200"/>
    </w:pPr>
    <w:rPr>
      <w:rFonts w:ascii="宋体" w:hAnsi="宋体" w:cs="宋体"/>
      <w:sz w:val="24"/>
      <w:szCs w:val="24"/>
    </w:rPr>
  </w:style>
  <w:style w:type="paragraph" w:customStyle="1" w:styleId="217">
    <w:name w:val="编号正文"/>
    <w:basedOn w:val="184"/>
    <w:autoRedefine/>
    <w:qFormat/>
    <w:uiPriority w:val="0"/>
    <w:pPr>
      <w:snapToGrid/>
      <w:spacing w:line="360" w:lineRule="auto"/>
      <w:ind w:left="1407" w:hanging="1047"/>
      <w:jc w:val="left"/>
    </w:pPr>
    <w:rPr>
      <w:rFonts w:eastAsia="仿宋_GB2312"/>
    </w:rPr>
  </w:style>
  <w:style w:type="paragraph" w:customStyle="1" w:styleId="218">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9">
    <w:name w:val="正文字缩2字"/>
    <w:basedOn w:val="1"/>
    <w:autoRedefine/>
    <w:qFormat/>
    <w:uiPriority w:val="0"/>
    <w:pPr>
      <w:spacing w:before="60" w:after="60" w:line="360" w:lineRule="auto"/>
      <w:ind w:left="200" w:leftChars="200" w:firstLine="200" w:firstLineChars="200"/>
    </w:pPr>
    <w:rPr>
      <w:sz w:val="24"/>
    </w:rPr>
  </w:style>
  <w:style w:type="paragraph" w:customStyle="1" w:styleId="220">
    <w:name w:val="二级条标题"/>
    <w:basedOn w:val="221"/>
    <w:next w:val="222"/>
    <w:autoRedefine/>
    <w:qFormat/>
    <w:uiPriority w:val="0"/>
    <w:pPr>
      <w:ind w:left="840"/>
      <w:outlineLvl w:val="3"/>
    </w:pPr>
  </w:style>
  <w:style w:type="paragraph" w:customStyle="1" w:styleId="221">
    <w:name w:val="一级条标题"/>
    <w:basedOn w:val="161"/>
    <w:next w:val="222"/>
    <w:autoRedefine/>
    <w:qFormat/>
    <w:uiPriority w:val="0"/>
    <w:pPr>
      <w:spacing w:beforeLines="0" w:afterLines="0"/>
      <w:ind w:left="525"/>
      <w:outlineLvl w:val="2"/>
    </w:pPr>
    <w:rPr>
      <w:sz w:val="21"/>
    </w:rPr>
  </w:style>
  <w:style w:type="paragraph" w:customStyle="1" w:styleId="2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Char Char14 Char Char"/>
    <w:basedOn w:val="1"/>
    <w:autoRedefine/>
    <w:qFormat/>
    <w:uiPriority w:val="0"/>
    <w:rPr>
      <w:sz w:val="21"/>
      <w:szCs w:val="24"/>
    </w:rPr>
  </w:style>
  <w:style w:type="paragraph" w:customStyle="1" w:styleId="22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5">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2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Char2 Char Char Char Char Char Char"/>
    <w:basedOn w:val="1"/>
    <w:autoRedefine/>
    <w:qFormat/>
    <w:uiPriority w:val="0"/>
    <w:rPr>
      <w:rFonts w:ascii="仿宋_GB2312"/>
      <w:b/>
      <w:sz w:val="30"/>
    </w:rPr>
  </w:style>
  <w:style w:type="paragraph" w:customStyle="1" w:styleId="229">
    <w:name w:val="默认段落字体 Para Char Char Char Char Char Char Char"/>
    <w:basedOn w:val="1"/>
    <w:autoRedefine/>
    <w:qFormat/>
    <w:uiPriority w:val="0"/>
    <w:rPr>
      <w:rFonts w:ascii="Tahoma" w:hAnsi="Tahoma"/>
      <w:sz w:val="24"/>
    </w:rPr>
  </w:style>
  <w:style w:type="paragraph" w:customStyle="1" w:styleId="230">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23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3">
    <w:name w:val="样式 宋体 五号 行距: 单倍行距"/>
    <w:basedOn w:val="1"/>
    <w:autoRedefine/>
    <w:qFormat/>
    <w:uiPriority w:val="0"/>
    <w:pPr>
      <w:adjustRightInd w:val="0"/>
      <w:jc w:val="left"/>
    </w:pPr>
    <w:rPr>
      <w:rFonts w:ascii="宋体" w:hAnsi="宋体"/>
      <w:kern w:val="0"/>
      <w:sz w:val="21"/>
    </w:rPr>
  </w:style>
  <w:style w:type="paragraph" w:customStyle="1" w:styleId="234">
    <w:name w:val="正文文本缩进 21"/>
    <w:basedOn w:val="1"/>
    <w:autoRedefine/>
    <w:qFormat/>
    <w:uiPriority w:val="0"/>
    <w:pPr>
      <w:adjustRightInd w:val="0"/>
      <w:spacing w:before="120"/>
      <w:ind w:firstLine="420"/>
      <w:textAlignment w:val="baseline"/>
    </w:pPr>
    <w:rPr>
      <w:sz w:val="24"/>
    </w:rPr>
  </w:style>
  <w:style w:type="paragraph" w:customStyle="1" w:styleId="23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7">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标准正文"/>
    <w:basedOn w:val="23"/>
    <w:autoRedefine/>
    <w:qFormat/>
    <w:uiPriority w:val="0"/>
    <w:pPr>
      <w:spacing w:before="60" w:after="60" w:line="360" w:lineRule="auto"/>
      <w:ind w:left="0" w:firstLine="482"/>
    </w:pPr>
    <w:rPr>
      <w:rFonts w:ascii="Arial" w:hAnsi="Arial"/>
      <w:sz w:val="24"/>
    </w:rPr>
  </w:style>
  <w:style w:type="paragraph" w:customStyle="1" w:styleId="23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2">
    <w:name w:val="正文 + 三号"/>
    <w:basedOn w:val="1"/>
    <w:autoRedefine/>
    <w:qFormat/>
    <w:uiPriority w:val="0"/>
    <w:rPr>
      <w:sz w:val="21"/>
    </w:rPr>
  </w:style>
  <w:style w:type="paragraph" w:customStyle="1" w:styleId="243">
    <w:name w:val="Char2"/>
    <w:basedOn w:val="1"/>
    <w:autoRedefine/>
    <w:qFormat/>
    <w:uiPriority w:val="0"/>
    <w:pPr>
      <w:spacing w:line="240" w:lineRule="atLeast"/>
      <w:ind w:left="420" w:firstLine="420"/>
    </w:pPr>
    <w:rPr>
      <w:kern w:val="0"/>
      <w:sz w:val="21"/>
    </w:rPr>
  </w:style>
  <w:style w:type="paragraph" w:customStyle="1" w:styleId="244">
    <w:name w:val="af"/>
    <w:basedOn w:val="1"/>
    <w:autoRedefine/>
    <w:qFormat/>
    <w:uiPriority w:val="0"/>
    <w:pPr>
      <w:widowControl/>
      <w:spacing w:line="300" w:lineRule="atLeast"/>
      <w:jc w:val="left"/>
    </w:pPr>
    <w:rPr>
      <w:rFonts w:ascii="宋体" w:hAnsi="宋体"/>
      <w:kern w:val="0"/>
      <w:sz w:val="18"/>
    </w:rPr>
  </w:style>
  <w:style w:type="paragraph" w:customStyle="1" w:styleId="24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4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5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5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标书正文:  0.74 厘米"/>
    <w:basedOn w:val="1"/>
    <w:autoRedefine/>
    <w:qFormat/>
    <w:uiPriority w:val="0"/>
    <w:pPr>
      <w:snapToGrid w:val="0"/>
      <w:spacing w:line="360" w:lineRule="auto"/>
      <w:ind w:firstLine="420"/>
    </w:pPr>
    <w:rPr>
      <w:sz w:val="24"/>
    </w:rPr>
  </w:style>
  <w:style w:type="paragraph" w:customStyle="1" w:styleId="255">
    <w:name w:val="Char1 Char Char Char1"/>
    <w:basedOn w:val="1"/>
    <w:autoRedefine/>
    <w:qFormat/>
    <w:uiPriority w:val="0"/>
    <w:rPr>
      <w:rFonts w:ascii="Tahoma" w:hAnsi="Tahoma"/>
      <w:sz w:val="30"/>
    </w:rPr>
  </w:style>
  <w:style w:type="paragraph" w:customStyle="1" w:styleId="256">
    <w:name w:val="Title - Revision"/>
    <w:basedOn w:val="53"/>
    <w:autoRedefine/>
    <w:qFormat/>
    <w:uiPriority w:val="0"/>
    <w:pPr>
      <w:spacing w:before="720"/>
    </w:pPr>
  </w:style>
  <w:style w:type="paragraph" w:customStyle="1" w:styleId="257">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58">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character" w:customStyle="1" w:styleId="259">
    <w:name w:val="标题 3 Char1"/>
    <w:autoRedefine/>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77066-DBB6-4BA7-BA30-251A5F404A0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6738</Words>
  <Characters>7021</Characters>
  <Lines>153</Lines>
  <Paragraphs>43</Paragraphs>
  <TotalTime>28</TotalTime>
  <ScaleCrop>false</ScaleCrop>
  <LinksUpToDate>false</LinksUpToDate>
  <CharactersWithSpaces>7210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2025-05-20T02:03:00Z</dcterms:created>
  <dc:creator>qxt</dc:creator>
  <cp:lastModifiedBy>^_^</cp:lastModifiedBy>
  <cp:lastPrinted>2019-12-23T07:07:00Z</cp:lastPrinted>
  <dcterms:modified xsi:type="dcterms:W3CDTF">2025-09-08T12:53:55Z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57CCBCB72C8341CCA6672FD54144E1EA_13</vt:lpwstr>
  </property>
  <property fmtid="{D5CDD505-2E9C-101B-9397-08002B2CF9AE}" pid="4" name="KSOTemplateDocerSaveRecord">
    <vt:lpwstr>eyJoZGlkIjoiNTg5YzQ2MGMyOGY4YjA5MzM1ZmJmM2RlZjk1MTA2OGQiLCJ1c2VySWQiOiI4MDI2ODYwNzMifQ==</vt:lpwstr>
  </property>
</Properties>
</file>