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07737">
      <w:pPr>
        <w:tabs>
          <w:tab w:val="left" w:pos="4174"/>
        </w:tabs>
        <w:jc w:val="left"/>
        <w:rPr>
          <w:rFonts w:hint="eastAsia" w:ascii="宋体" w:hAnsi="宋体" w:eastAsia="宋体" w:cs="宋体"/>
          <w:color w:val="auto"/>
          <w:highlight w:val="none"/>
        </w:rPr>
      </w:pPr>
      <w:bookmarkStart w:id="181" w:name="_GoBack"/>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p>
    <w:p w14:paraId="25DDA579">
      <w:pPr>
        <w:ind w:firstLine="1000" w:firstLineChars="100"/>
        <w:outlineLvl w:val="0"/>
        <w:rPr>
          <w:rFonts w:hint="eastAsia" w:ascii="宋体" w:hAnsi="宋体" w:eastAsia="宋体" w:cs="宋体"/>
          <w:color w:val="auto"/>
          <w:spacing w:val="80"/>
          <w:sz w:val="84"/>
          <w:szCs w:val="84"/>
          <w:highlight w:val="none"/>
        </w:rPr>
      </w:pPr>
      <w:r>
        <w:rPr>
          <w:rFonts w:hint="eastAsia" w:ascii="宋体" w:hAnsi="宋体" w:eastAsia="宋体" w:cs="宋体"/>
          <w:color w:val="auto"/>
          <w:spacing w:val="80"/>
          <w:sz w:val="84"/>
          <w:szCs w:val="84"/>
          <w:highlight w:val="none"/>
        </w:rPr>
        <w:t xml:space="preserve">竞争性磋商文件    </w:t>
      </w:r>
    </w:p>
    <w:p w14:paraId="438E4F5F">
      <w:pPr>
        <w:spacing w:line="700" w:lineRule="exact"/>
        <w:ind w:firstLine="643"/>
        <w:jc w:val="center"/>
        <w:rPr>
          <w:rFonts w:hint="eastAsia" w:ascii="宋体" w:hAnsi="宋体" w:eastAsia="宋体" w:cs="宋体"/>
          <w:color w:val="auto"/>
          <w:sz w:val="32"/>
          <w:highlight w:val="none"/>
        </w:rPr>
      </w:pPr>
    </w:p>
    <w:p w14:paraId="6CF6DBF3">
      <w:pPr>
        <w:spacing w:line="700" w:lineRule="exact"/>
        <w:jc w:val="both"/>
        <w:rPr>
          <w:rFonts w:hint="eastAsia" w:ascii="宋体" w:hAnsi="宋体" w:eastAsia="宋体" w:cs="宋体"/>
          <w:color w:val="auto"/>
          <w:sz w:val="32"/>
          <w:highlight w:val="none"/>
        </w:rPr>
      </w:pPr>
    </w:p>
    <w:p w14:paraId="735CECB4">
      <w:pPr>
        <w:tabs>
          <w:tab w:val="center" w:pos="4766"/>
          <w:tab w:val="right" w:pos="9412"/>
        </w:tabs>
        <w:ind w:firstLine="643"/>
        <w:jc w:val="left"/>
        <w:rPr>
          <w:rFonts w:hint="eastAsia" w:ascii="宋体" w:hAnsi="宋体" w:eastAsia="宋体" w:cs="宋体"/>
          <w:color w:val="auto"/>
          <w:sz w:val="32"/>
          <w:highlight w:val="none"/>
        </w:rPr>
      </w:pPr>
      <w:r>
        <w:rPr>
          <w:rFonts w:hint="eastAsia" w:ascii="宋体" w:hAnsi="宋体" w:eastAsia="宋体" w:cs="宋体"/>
          <w:color w:val="auto"/>
          <w:sz w:val="32"/>
          <w:highlight w:val="none"/>
        </w:rPr>
        <w:tab/>
      </w:r>
      <w:r>
        <w:rPr>
          <w:rFonts w:hint="eastAsia" w:ascii="宋体" w:hAnsi="宋体" w:eastAsia="宋体" w:cs="宋体"/>
          <w:color w:val="auto"/>
          <w:sz w:val="32"/>
          <w:highlight w:val="none"/>
        </w:rPr>
        <w:drawing>
          <wp:inline distT="0" distB="0" distL="114300" distR="114300">
            <wp:extent cx="2654300" cy="2455545"/>
            <wp:effectExtent l="0" t="0" r="12700" b="13335"/>
            <wp:docPr id="1" name="图片 1" descr="fbe40ee4982cf200ef9ed2230b20b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be40ee4982cf200ef9ed2230b20b83"/>
                    <pic:cNvPicPr>
                      <a:picLocks noChangeAspect="1"/>
                    </pic:cNvPicPr>
                  </pic:nvPicPr>
                  <pic:blipFill>
                    <a:blip r:embed="rId18"/>
                    <a:stretch>
                      <a:fillRect/>
                    </a:stretch>
                  </pic:blipFill>
                  <pic:spPr>
                    <a:xfrm>
                      <a:off x="0" y="0"/>
                      <a:ext cx="2654300" cy="2455545"/>
                    </a:xfrm>
                    <a:prstGeom prst="rect">
                      <a:avLst/>
                    </a:prstGeom>
                  </pic:spPr>
                </pic:pic>
              </a:graphicData>
            </a:graphic>
          </wp:inline>
        </w:drawing>
      </w:r>
      <w:r>
        <w:rPr>
          <w:rFonts w:hint="eastAsia" w:ascii="宋体" w:hAnsi="宋体" w:eastAsia="宋体" w:cs="宋体"/>
          <w:color w:val="auto"/>
          <w:sz w:val="32"/>
          <w:highlight w:val="none"/>
        </w:rPr>
        <w:tab/>
      </w:r>
    </w:p>
    <w:p w14:paraId="127EC33E">
      <w:pPr>
        <w:spacing w:line="700" w:lineRule="exact"/>
        <w:rPr>
          <w:rFonts w:hint="eastAsia" w:ascii="宋体" w:hAnsi="宋体" w:eastAsia="宋体" w:cs="宋体"/>
          <w:color w:val="auto"/>
          <w:sz w:val="32"/>
          <w:highlight w:val="none"/>
        </w:rPr>
      </w:pPr>
    </w:p>
    <w:p w14:paraId="5DA3A0B1">
      <w:pPr>
        <w:spacing w:line="700" w:lineRule="exact"/>
        <w:ind w:firstLine="960" w:firstLineChars="300"/>
        <w:rPr>
          <w:rFonts w:hint="eastAsia" w:ascii="宋体" w:hAnsi="宋体" w:eastAsia="宋体" w:cs="宋体"/>
          <w:color w:val="auto"/>
          <w:sz w:val="32"/>
          <w:szCs w:val="32"/>
          <w:highlight w:val="none"/>
        </w:rPr>
      </w:pPr>
    </w:p>
    <w:p w14:paraId="2A06138D">
      <w:pPr>
        <w:spacing w:line="700" w:lineRule="exact"/>
        <w:ind w:firstLine="1280" w:firstLineChars="400"/>
        <w:rPr>
          <w:rFonts w:hint="default" w:ascii="宋体" w:hAnsi="宋体" w:eastAsia="宋体" w:cs="宋体"/>
          <w:color w:val="auto"/>
          <w:sz w:val="32"/>
          <w:szCs w:val="32"/>
          <w:highlight w:val="none"/>
          <w:lang w:val="en-US" w:eastAsia="zh-CN"/>
        </w:rPr>
      </w:pPr>
    </w:p>
    <w:p w14:paraId="721B3B17">
      <w:pPr>
        <w:spacing w:line="700" w:lineRule="exact"/>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采购执行编号：DCZB-CQ-</w:t>
      </w:r>
      <w:r>
        <w:rPr>
          <w:rFonts w:hint="eastAsia" w:ascii="宋体" w:hAnsi="宋体" w:cs="宋体"/>
          <w:color w:val="auto"/>
          <w:sz w:val="32"/>
          <w:szCs w:val="32"/>
          <w:highlight w:val="none"/>
          <w:lang w:val="en-US" w:eastAsia="zh-CN"/>
        </w:rPr>
        <w:t>1490</w:t>
      </w:r>
      <w:r>
        <w:rPr>
          <w:rFonts w:hint="eastAsia" w:ascii="宋体" w:hAnsi="宋体" w:eastAsia="宋体" w:cs="宋体"/>
          <w:color w:val="auto"/>
          <w:sz w:val="32"/>
          <w:szCs w:val="32"/>
          <w:highlight w:val="none"/>
        </w:rPr>
        <w:t xml:space="preserve"> </w:t>
      </w:r>
    </w:p>
    <w:p w14:paraId="65757370">
      <w:pPr>
        <w:spacing w:line="700" w:lineRule="exact"/>
        <w:ind w:left="2934" w:leftChars="457" w:hanging="1654" w:hangingChars="517"/>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项目名称：</w:t>
      </w:r>
      <w:r>
        <w:rPr>
          <w:rFonts w:hint="eastAsia" w:ascii="宋体" w:hAnsi="宋体" w:cs="宋体"/>
          <w:color w:val="auto"/>
          <w:sz w:val="32"/>
          <w:szCs w:val="32"/>
          <w:highlight w:val="none"/>
          <w:lang w:eastAsia="zh-CN"/>
        </w:rPr>
        <w:t>大渡口区2025年度国土变更调查工作技术服务</w:t>
      </w:r>
    </w:p>
    <w:p w14:paraId="3E7EB355">
      <w:pPr>
        <w:spacing w:line="700" w:lineRule="exact"/>
        <w:rPr>
          <w:rFonts w:hint="eastAsia" w:ascii="宋体" w:hAnsi="宋体" w:eastAsia="宋体" w:cs="宋体"/>
          <w:color w:val="auto"/>
          <w:sz w:val="32"/>
          <w:szCs w:val="32"/>
          <w:highlight w:val="none"/>
        </w:rPr>
      </w:pPr>
    </w:p>
    <w:p w14:paraId="0810A681">
      <w:pPr>
        <w:spacing w:line="700" w:lineRule="exact"/>
        <w:ind w:firstLine="960" w:firstLineChars="300"/>
        <w:rPr>
          <w:rFonts w:hint="eastAsia" w:ascii="宋体" w:hAnsi="宋体" w:eastAsia="宋体" w:cs="宋体"/>
          <w:color w:val="auto"/>
          <w:sz w:val="32"/>
          <w:szCs w:val="32"/>
          <w:highlight w:val="none"/>
        </w:rPr>
      </w:pPr>
    </w:p>
    <w:p w14:paraId="42E78F51">
      <w:pPr>
        <w:spacing w:line="700" w:lineRule="exact"/>
        <w:ind w:firstLine="1280" w:firstLineChars="4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   购   人：</w:t>
      </w:r>
      <w:r>
        <w:rPr>
          <w:rFonts w:hint="eastAsia" w:ascii="宋体" w:hAnsi="宋体" w:cs="宋体"/>
          <w:color w:val="auto"/>
          <w:sz w:val="32"/>
          <w:szCs w:val="32"/>
          <w:highlight w:val="none"/>
          <w:lang w:eastAsia="zh-CN"/>
        </w:rPr>
        <w:t>重庆市大渡口区规划和自然资源局</w:t>
      </w:r>
    </w:p>
    <w:p w14:paraId="2BC142A5">
      <w:pPr>
        <w:spacing w:line="700" w:lineRule="exact"/>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采购代理机构：重庆鼎创招标代理有限公司</w:t>
      </w:r>
    </w:p>
    <w:p w14:paraId="001A2D12">
      <w:pPr>
        <w:spacing w:line="720" w:lineRule="exact"/>
        <w:ind w:firstLine="643"/>
        <w:jc w:val="center"/>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二〇二五年</w:t>
      </w:r>
      <w:r>
        <w:rPr>
          <w:rFonts w:hint="eastAsia" w:ascii="宋体" w:hAnsi="宋体" w:cs="宋体"/>
          <w:color w:val="auto"/>
          <w:sz w:val="32"/>
          <w:szCs w:val="32"/>
          <w:highlight w:val="none"/>
          <w:lang w:val="en-US" w:eastAsia="zh-CN"/>
        </w:rPr>
        <w:t>十一</w:t>
      </w:r>
      <w:r>
        <w:rPr>
          <w:rFonts w:hint="eastAsia" w:ascii="宋体" w:hAnsi="宋体" w:eastAsia="宋体" w:cs="宋体"/>
          <w:color w:val="auto"/>
          <w:sz w:val="32"/>
          <w:szCs w:val="32"/>
          <w:highlight w:val="none"/>
        </w:rPr>
        <w:t>月</w:t>
      </w:r>
    </w:p>
    <w:p w14:paraId="0A9DB09D">
      <w:pPr>
        <w:spacing w:line="720" w:lineRule="exact"/>
        <w:ind w:firstLine="883"/>
        <w:jc w:val="center"/>
        <w:outlineLvl w:val="0"/>
        <w:rPr>
          <w:rFonts w:hint="eastAsia" w:ascii="宋体" w:hAnsi="宋体" w:eastAsia="宋体" w:cs="宋体"/>
          <w:color w:val="auto"/>
          <w:sz w:val="44"/>
          <w:szCs w:val="28"/>
          <w:highlight w:val="none"/>
        </w:rPr>
        <w:sectPr>
          <w:headerReference r:id="rId4" w:type="first"/>
          <w:footerReference r:id="rId6" w:type="first"/>
          <w:headerReference r:id="rId3" w:type="default"/>
          <w:footerReference r:id="rId5" w:type="even"/>
          <w:pgSz w:w="11907" w:h="16840"/>
          <w:pgMar w:top="1134" w:right="1191" w:bottom="1134" w:left="1304" w:header="851" w:footer="992" w:gutter="0"/>
          <w:pgNumType w:start="1"/>
          <w:cols w:space="720" w:num="1"/>
          <w:rtlGutter w:val="1"/>
          <w:docGrid w:linePitch="380" w:charSpace="-5735"/>
        </w:sectPr>
      </w:pPr>
    </w:p>
    <w:p w14:paraId="3B5CFD55">
      <w:pPr>
        <w:spacing w:line="720" w:lineRule="exact"/>
        <w:ind w:firstLine="883"/>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657F95FB">
      <w:pPr>
        <w:pStyle w:val="45"/>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_Toc25133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第一篇  采购邀请书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_Toc25133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6F60FB51">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_Toc6927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一、竞争性磋商内容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_Toc6927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520143B5">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_Toc20758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二、资金来源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_Toc20758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756C398E">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_Toc22314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三、供应商资格要求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_Toc22314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1079C091">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_Toc11747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四、磋商有关说明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_Toc11747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C739473">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_Toc2702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五、保证金（本项目无）</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_Toc2702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4DA40881">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_Toc16120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六、采购项目需落实的政府采购政策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_Toc16120 \h </w:instrText>
      </w:r>
      <w:r>
        <w:rPr>
          <w:rFonts w:hint="eastAsia" w:ascii="宋体" w:hAnsi="宋体" w:eastAsia="宋体" w:cs="宋体"/>
          <w:color w:val="auto"/>
        </w:rPr>
        <w:fldChar w:fldCharType="separate"/>
      </w:r>
      <w:r>
        <w:rPr>
          <w:rFonts w:hint="eastAsia" w:ascii="宋体" w:hAnsi="宋体" w:eastAsia="宋体" w:cs="宋体"/>
          <w:color w:val="auto"/>
        </w:rPr>
        <w:t>5</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318EE3C1">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_Toc15270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七、其它有关规定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_Toc15270 \h </w:instrText>
      </w:r>
      <w:r>
        <w:rPr>
          <w:rFonts w:hint="eastAsia" w:ascii="宋体" w:hAnsi="宋体" w:eastAsia="宋体" w:cs="宋体"/>
          <w:color w:val="auto"/>
        </w:rPr>
        <w:fldChar w:fldCharType="separate"/>
      </w:r>
      <w:r>
        <w:rPr>
          <w:rFonts w:hint="eastAsia" w:ascii="宋体" w:hAnsi="宋体" w:eastAsia="宋体" w:cs="宋体"/>
          <w:color w:val="auto"/>
        </w:rPr>
        <w:t>5</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D04BADD">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_Toc19532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八、联系方式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_Toc19532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73E375FE">
      <w:pPr>
        <w:pStyle w:val="45"/>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_Toc18679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第二篇 采购服务需求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_Toc18679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2BAAAACF">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_Toc16143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一、采购项目一览表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_Toc16143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F0F9B2D">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_Toc28846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w:t>
      </w:r>
      <w:r>
        <w:rPr>
          <w:rFonts w:hint="eastAsia" w:ascii="宋体" w:hAnsi="宋体" w:eastAsia="宋体" w:cs="宋体"/>
          <w:color w:val="auto"/>
          <w:szCs w:val="24"/>
          <w:highlight w:val="none"/>
        </w:rPr>
        <w:t>二、服务范围、要求及标准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_Toc28846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DA7A4E9">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_Toc22413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三</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主要技术指标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_Toc22413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77E602F4">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_Toc18799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16"/>
          <w:lang w:val="en-US" w:eastAsia="zh-CN"/>
        </w:rPr>
        <w:t>※四、成果要求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_Toc18799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2156003F">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_Toc29497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16"/>
          <w:lang w:val="en-US" w:eastAsia="zh-CN"/>
        </w:rPr>
        <w:t>※五、涉密信息管理及要求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_Toc29497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30AB10B4">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_Toc24252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16"/>
          <w:lang w:val="en-US" w:eastAsia="zh-CN"/>
        </w:rPr>
        <w:t>※六、安全生产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_Toc24252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6A225811">
      <w:pPr>
        <w:pStyle w:val="45"/>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_Toc27651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第三篇  采购商务需求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_Toc27651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6EF469C4">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_Toc30060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※一、服务期、地点及验收方式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_Toc30060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EBD1B14">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_Toc9062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rPr>
        <w:t>※</w:t>
      </w:r>
      <w:r>
        <w:rPr>
          <w:rFonts w:hint="eastAsia" w:ascii="宋体" w:hAnsi="宋体" w:eastAsia="宋体" w:cs="宋体"/>
          <w:color w:val="auto"/>
          <w:szCs w:val="24"/>
          <w:highlight w:val="none"/>
        </w:rPr>
        <w:t>二、报价要求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_Toc9062 \h </w:instrText>
      </w:r>
      <w:r>
        <w:rPr>
          <w:rFonts w:hint="eastAsia" w:ascii="宋体" w:hAnsi="宋体" w:eastAsia="宋体" w:cs="宋体"/>
          <w:color w:val="auto"/>
        </w:rPr>
        <w:fldChar w:fldCharType="separate"/>
      </w:r>
      <w:r>
        <w:rPr>
          <w:rFonts w:hint="eastAsia" w:ascii="宋体" w:hAnsi="宋体" w:eastAsia="宋体" w:cs="宋体"/>
          <w:color w:val="auto"/>
        </w:rPr>
        <w:t>10</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29766DED">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_Toc24844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rPr>
        <w:t>※</w:t>
      </w:r>
      <w:r>
        <w:rPr>
          <w:rFonts w:hint="eastAsia" w:ascii="宋体" w:hAnsi="宋体" w:eastAsia="宋体" w:cs="宋体"/>
          <w:color w:val="auto"/>
          <w:szCs w:val="24"/>
          <w:highlight w:val="none"/>
        </w:rPr>
        <w:t>三、付款方式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_Toc24844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5FC6D081">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_Toc7884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rPr>
        <w:t>※</w:t>
      </w:r>
      <w:r>
        <w:rPr>
          <w:rFonts w:hint="eastAsia" w:ascii="宋体" w:hAnsi="宋体" w:eastAsia="宋体" w:cs="宋体"/>
          <w:color w:val="auto"/>
          <w:szCs w:val="24"/>
          <w:highlight w:val="none"/>
        </w:rPr>
        <w:t>四</w:t>
      </w:r>
      <w:r>
        <w:rPr>
          <w:rFonts w:hint="eastAsia" w:ascii="宋体" w:hAnsi="宋体" w:eastAsia="宋体" w:cs="宋体"/>
          <w:color w:val="auto"/>
          <w:szCs w:val="24"/>
          <w:highlight w:val="none"/>
          <w:lang w:eastAsia="zh-CN"/>
        </w:rPr>
        <w:t>、知识产权及保密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_Toc7884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23386752">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_Toc22820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rPr>
        <w:t>※</w:t>
      </w:r>
      <w:r>
        <w:rPr>
          <w:rFonts w:hint="eastAsia" w:ascii="宋体" w:hAnsi="宋体" w:eastAsia="宋体" w:cs="宋体"/>
          <w:color w:val="auto"/>
          <w:szCs w:val="24"/>
          <w:highlight w:val="none"/>
          <w:lang w:val="en-US" w:eastAsia="zh-CN"/>
        </w:rPr>
        <w:t>五</w:t>
      </w:r>
      <w:r>
        <w:rPr>
          <w:rFonts w:hint="eastAsia" w:ascii="宋体" w:hAnsi="宋体" w:eastAsia="宋体" w:cs="宋体"/>
          <w:color w:val="auto"/>
          <w:szCs w:val="24"/>
          <w:highlight w:val="none"/>
        </w:rPr>
        <w:t>、违约责任</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_Toc22820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25686C59">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_Toc2114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rPr>
        <w:t>※</w:t>
      </w:r>
      <w:r>
        <w:rPr>
          <w:rFonts w:hint="eastAsia" w:ascii="宋体" w:hAnsi="宋体" w:eastAsia="宋体" w:cs="宋体"/>
          <w:color w:val="auto"/>
          <w:szCs w:val="24"/>
          <w:highlight w:val="none"/>
          <w:lang w:val="en-US" w:eastAsia="zh-CN"/>
        </w:rPr>
        <w:t>六</w:t>
      </w:r>
      <w:r>
        <w:rPr>
          <w:rFonts w:hint="eastAsia" w:ascii="宋体" w:hAnsi="宋体" w:eastAsia="宋体" w:cs="宋体"/>
          <w:color w:val="auto"/>
          <w:szCs w:val="24"/>
          <w:highlight w:val="none"/>
        </w:rPr>
        <w:t>、其他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_Toc2114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66C23417">
      <w:pPr>
        <w:pStyle w:val="45"/>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_Toc30125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第四篇  磋商程序及方法、评审标准、无效响应和</w:t>
      </w:r>
      <w:r>
        <w:rPr>
          <w:rFonts w:hint="eastAsia" w:ascii="宋体" w:hAnsi="宋体" w:eastAsia="宋体" w:cs="宋体"/>
          <w:bCs/>
          <w:color w:val="auto"/>
          <w:szCs w:val="36"/>
          <w:highlight w:val="none"/>
        </w:rPr>
        <w:t>采购终止</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_Toc30125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7316C57A">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_Toc15754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一、磋商程序及方法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_Toc15754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997A58F">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_Toc29765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二、评审标准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_Toc29765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52DB914B">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_Toc10516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三、无效响应</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_Toc10516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7F82D6A2">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_Toc13273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四、采购终止</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_Toc13273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678C4DE9">
      <w:pPr>
        <w:pStyle w:val="45"/>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_Toc15203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0"/>
          <w:highlight w:val="none"/>
        </w:rPr>
        <w:t>第五篇  供应商须知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_Toc15203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2A0AC9F6">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_Toc742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一、磋商费用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_Toc742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B8E57BA">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_Toc20709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二、竞争性磋商文件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_Toc20709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288E5189">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_Toc31874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三、磋商要求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_Toc31874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3BE5F71">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_Toc28493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四、成交供应商的确认和变更</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_Toc28493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2161FAF6">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_Toc21181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五、成交通知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_Toc21181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33878F09">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_Toc24294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六、关于质疑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_Toc24294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5F27DB68">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_Toc6445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七、采购代理服务费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_Toc6445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335BE3DB">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_Toc1928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八、签订合同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_Toc1928 \h </w:instrText>
      </w:r>
      <w:r>
        <w:rPr>
          <w:rFonts w:hint="eastAsia" w:ascii="宋体" w:hAnsi="宋体" w:eastAsia="宋体" w:cs="宋体"/>
          <w:color w:val="auto"/>
        </w:rPr>
        <w:fldChar w:fldCharType="separate"/>
      </w:r>
      <w:r>
        <w:rPr>
          <w:rFonts w:hint="eastAsia" w:ascii="宋体" w:hAnsi="宋体" w:eastAsia="宋体" w:cs="宋体"/>
          <w:color w:val="auto"/>
        </w:rPr>
        <w:t>20</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1BDB3C68">
      <w:pPr>
        <w:pStyle w:val="45"/>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_Toc30867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0"/>
          <w:highlight w:val="none"/>
        </w:rPr>
        <w:t>第六篇  合同草案条款(参考样本)</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_Toc30867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37E7565B">
      <w:pPr>
        <w:pStyle w:val="45"/>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_Toc30220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0"/>
          <w:highlight w:val="none"/>
        </w:rPr>
        <w:t>第七篇  响应文件编制要求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_Toc30220 \h </w:instrText>
      </w:r>
      <w:r>
        <w:rPr>
          <w:rFonts w:hint="eastAsia" w:ascii="宋体" w:hAnsi="宋体" w:eastAsia="宋体" w:cs="宋体"/>
          <w:color w:val="auto"/>
        </w:rPr>
        <w:fldChar w:fldCharType="separate"/>
      </w:r>
      <w:r>
        <w:rPr>
          <w:rFonts w:hint="eastAsia" w:ascii="宋体" w:hAnsi="宋体" w:eastAsia="宋体" w:cs="宋体"/>
          <w:color w:val="auto"/>
        </w:rPr>
        <w:t>27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1801BC6">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_Toc15619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一、经济部分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_Toc15619 \h </w:instrText>
      </w:r>
      <w:r>
        <w:rPr>
          <w:rFonts w:hint="eastAsia" w:ascii="宋体" w:hAnsi="宋体" w:eastAsia="宋体" w:cs="宋体"/>
          <w:color w:val="auto"/>
        </w:rPr>
        <w:fldChar w:fldCharType="separate"/>
      </w:r>
      <w:r>
        <w:rPr>
          <w:rFonts w:hint="eastAsia" w:ascii="宋体" w:hAnsi="宋体" w:eastAsia="宋体" w:cs="宋体"/>
          <w:color w:val="auto"/>
        </w:rPr>
        <w:t>28</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442DC941">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_Toc22123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二、服务部分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_Toc22123 \h </w:instrText>
      </w:r>
      <w:r>
        <w:rPr>
          <w:rFonts w:hint="eastAsia" w:ascii="宋体" w:hAnsi="宋体" w:eastAsia="宋体" w:cs="宋体"/>
          <w:color w:val="auto"/>
        </w:rPr>
        <w:fldChar w:fldCharType="separate"/>
      </w:r>
      <w:r>
        <w:rPr>
          <w:rFonts w:hint="eastAsia" w:ascii="宋体" w:hAnsi="宋体" w:eastAsia="宋体" w:cs="宋体"/>
          <w:color w:val="auto"/>
        </w:rPr>
        <w:t>30</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24E2AB17">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_Toc31222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三、商务部分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_Toc31222 \h </w:instrText>
      </w:r>
      <w:r>
        <w:rPr>
          <w:rFonts w:hint="eastAsia" w:ascii="宋体" w:hAnsi="宋体" w:eastAsia="宋体" w:cs="宋体"/>
          <w:color w:val="auto"/>
        </w:rPr>
        <w:fldChar w:fldCharType="separate"/>
      </w:r>
      <w:r>
        <w:rPr>
          <w:rFonts w:hint="eastAsia" w:ascii="宋体" w:hAnsi="宋体" w:eastAsia="宋体" w:cs="宋体"/>
          <w:color w:val="auto"/>
        </w:rPr>
        <w:t>31</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40CE7254">
      <w:pPr>
        <w:pStyle w:val="29"/>
        <w:tabs>
          <w:tab w:val="right" w:leader="dot" w:pos="9412"/>
        </w:tabs>
        <w:spacing w:line="240" w:lineRule="auto"/>
        <w:rPr>
          <w:rFonts w:hint="eastAsia" w:ascii="宋体" w:hAnsi="宋体" w:eastAsia="宋体" w:cs="宋体"/>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_Toc20477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四、资格条件及其他</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_Toc20477 \h </w:instrText>
      </w:r>
      <w:r>
        <w:rPr>
          <w:rFonts w:hint="eastAsia" w:ascii="宋体" w:hAnsi="宋体" w:eastAsia="宋体" w:cs="宋体"/>
          <w:color w:val="auto"/>
        </w:rPr>
        <w:fldChar w:fldCharType="separate"/>
      </w:r>
      <w:r>
        <w:rPr>
          <w:rFonts w:hint="eastAsia" w:ascii="宋体" w:hAnsi="宋体" w:eastAsia="宋体" w:cs="宋体"/>
          <w:color w:val="auto"/>
        </w:rPr>
        <w:t>32</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A72B044">
      <w:pPr>
        <w:pStyle w:val="29"/>
        <w:tabs>
          <w:tab w:val="right" w:leader="dot" w:pos="9412"/>
        </w:tabs>
        <w:spacing w:line="240" w:lineRule="auto"/>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_Toc7205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五、其他应提供的资料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_Toc7205 \h </w:instrText>
      </w:r>
      <w:r>
        <w:rPr>
          <w:rFonts w:hint="eastAsia" w:ascii="宋体" w:hAnsi="宋体" w:eastAsia="宋体" w:cs="宋体"/>
          <w:color w:val="auto"/>
        </w:rPr>
        <w:fldChar w:fldCharType="separate"/>
      </w:r>
      <w:r>
        <w:rPr>
          <w:rFonts w:hint="eastAsia" w:ascii="宋体" w:hAnsi="宋体" w:eastAsia="宋体" w:cs="宋体"/>
          <w:color w:val="auto"/>
        </w:rPr>
        <w:t>37</w:t>
      </w:r>
      <w:r>
        <w:rPr>
          <w:rFonts w:hint="eastAsia" w:ascii="宋体" w:hAnsi="宋体" w:eastAsia="宋体" w:cs="宋体"/>
          <w:color w:val="auto"/>
        </w:rPr>
        <w:fldChar w:fldCharType="end"/>
      </w:r>
      <w:r>
        <w:rPr>
          <w:rFonts w:hint="eastAsia" w:ascii="宋体" w:hAnsi="宋体" w:eastAsia="宋体" w:cs="宋体"/>
          <w:color w:val="auto"/>
          <w:szCs w:val="24"/>
          <w:highlight w:val="none"/>
        </w:rPr>
        <w:fldChar w:fldCharType="end"/>
      </w:r>
    </w:p>
    <w:p w14:paraId="022A02D4">
      <w:pPr>
        <w:pStyle w:val="45"/>
        <w:tabs>
          <w:tab w:val="right" w:leader="dot" w:pos="9402"/>
        </w:tabs>
        <w:spacing w:line="480" w:lineRule="exact"/>
        <w:ind w:left="0" w:leftChars="0"/>
        <w:rPr>
          <w:rFonts w:hint="eastAsia" w:ascii="宋体" w:hAnsi="宋体" w:eastAsia="宋体" w:cs="宋体"/>
          <w:color w:val="auto"/>
          <w:highlight w:val="none"/>
        </w:rPr>
        <w:sectPr>
          <w:footerReference r:id="rId7" w:type="default"/>
          <w:pgSz w:w="11907" w:h="16840"/>
          <w:pgMar w:top="1134" w:right="1191" w:bottom="1134" w:left="1304" w:header="851" w:footer="992" w:gutter="0"/>
          <w:pgNumType w:start="1"/>
          <w:cols w:space="720" w:num="1"/>
          <w:rtlGutter w:val="1"/>
          <w:docGrid w:linePitch="380" w:charSpace="-5735"/>
        </w:sectPr>
      </w:pPr>
      <w:r>
        <w:rPr>
          <w:rFonts w:hint="eastAsia" w:ascii="宋体" w:hAnsi="宋体" w:eastAsia="宋体" w:cs="宋体"/>
          <w:color w:val="auto"/>
          <w:szCs w:val="24"/>
          <w:highlight w:val="none"/>
        </w:rPr>
        <w:fldChar w:fldCharType="end"/>
      </w:r>
    </w:p>
    <w:p w14:paraId="61154E15">
      <w:pPr>
        <w:pStyle w:val="3"/>
        <w:spacing w:after="100" w:line="360" w:lineRule="auto"/>
        <w:ind w:firstLine="720"/>
        <w:jc w:val="center"/>
        <w:rPr>
          <w:rFonts w:hint="eastAsia" w:ascii="宋体" w:hAnsi="宋体" w:eastAsia="宋体" w:cs="宋体"/>
          <w:bCs/>
          <w:color w:val="auto"/>
          <w:szCs w:val="30"/>
          <w:highlight w:val="none"/>
        </w:rPr>
      </w:pPr>
      <w:bookmarkStart w:id="0" w:name="_Toc11641050"/>
      <w:bookmarkStart w:id="1" w:name="_Toc25133"/>
      <w:bookmarkStart w:id="2" w:name="_Toc12789052"/>
      <w:r>
        <w:rPr>
          <w:rFonts w:hint="eastAsia" w:ascii="宋体" w:hAnsi="宋体" w:eastAsia="宋体" w:cs="宋体"/>
          <w:bCs/>
          <w:color w:val="auto"/>
          <w:sz w:val="36"/>
          <w:szCs w:val="30"/>
          <w:highlight w:val="none"/>
        </w:rPr>
        <w:t>第一篇  采购邀请书</w:t>
      </w:r>
      <w:bookmarkEnd w:id="0"/>
      <w:bookmarkEnd w:id="1"/>
      <w:bookmarkEnd w:id="2"/>
    </w:p>
    <w:p w14:paraId="3BE10C40">
      <w:pPr>
        <w:snapToGrid w:val="0"/>
        <w:spacing w:line="360" w:lineRule="auto"/>
        <w:ind w:firstLine="480" w:firstLineChars="200"/>
        <w:rPr>
          <w:rFonts w:hint="eastAsia" w:ascii="宋体" w:hAnsi="宋体" w:eastAsia="宋体" w:cs="宋体"/>
          <w:color w:val="auto"/>
          <w:sz w:val="24"/>
          <w:szCs w:val="24"/>
          <w:highlight w:val="none"/>
        </w:rPr>
      </w:pPr>
      <w:bookmarkStart w:id="3" w:name="_Toc317775175"/>
      <w:bookmarkStart w:id="4" w:name="_Toc313893526"/>
      <w:r>
        <w:rPr>
          <w:rFonts w:hint="eastAsia" w:ascii="宋体" w:hAnsi="宋体" w:eastAsia="宋体" w:cs="宋体"/>
          <w:color w:val="auto"/>
          <w:sz w:val="24"/>
          <w:szCs w:val="24"/>
          <w:highlight w:val="none"/>
          <w:u w:val="single"/>
        </w:rPr>
        <w:t>重庆鼎创招标代理有限公司</w:t>
      </w:r>
      <w:r>
        <w:rPr>
          <w:rFonts w:hint="eastAsia" w:ascii="宋体" w:hAnsi="宋体" w:eastAsia="宋体" w:cs="宋体"/>
          <w:color w:val="auto"/>
          <w:sz w:val="24"/>
          <w:szCs w:val="24"/>
          <w:highlight w:val="none"/>
        </w:rPr>
        <w:t>（以下简称：采购代理机构）受</w:t>
      </w:r>
      <w:r>
        <w:rPr>
          <w:rFonts w:hint="eastAsia" w:ascii="宋体" w:hAnsi="宋体" w:eastAsia="宋体" w:cs="宋体"/>
          <w:color w:val="auto"/>
          <w:sz w:val="24"/>
          <w:szCs w:val="24"/>
          <w:highlight w:val="none"/>
          <w:u w:val="single"/>
          <w:lang w:val="en-US" w:eastAsia="zh-CN"/>
        </w:rPr>
        <w:t>重庆市大渡口区规划和自然资源局</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大渡口区2025年度国土变更调查工作技术服务</w:t>
      </w:r>
      <w:r>
        <w:rPr>
          <w:rFonts w:hint="eastAsia" w:ascii="宋体" w:hAnsi="宋体" w:eastAsia="宋体" w:cs="宋体"/>
          <w:color w:val="auto"/>
          <w:sz w:val="24"/>
          <w:szCs w:val="24"/>
          <w:highlight w:val="none"/>
        </w:rPr>
        <w:t>项目进行竞争性磋商采购。欢迎有资格的供应商前来参加磋商。</w:t>
      </w:r>
    </w:p>
    <w:p w14:paraId="32D4EF17">
      <w:pPr>
        <w:pStyle w:val="4"/>
        <w:spacing w:before="0" w:after="0" w:line="360" w:lineRule="auto"/>
        <w:ind w:firstLine="480"/>
        <w:rPr>
          <w:rFonts w:hint="eastAsia" w:ascii="宋体" w:hAnsi="宋体" w:eastAsia="宋体" w:cs="宋体"/>
          <w:color w:val="auto"/>
          <w:sz w:val="24"/>
          <w:szCs w:val="24"/>
          <w:highlight w:val="none"/>
        </w:rPr>
      </w:pPr>
      <w:bookmarkStart w:id="5" w:name="_Toc6927"/>
      <w:r>
        <w:rPr>
          <w:rFonts w:hint="eastAsia" w:ascii="宋体" w:hAnsi="宋体" w:eastAsia="宋体" w:cs="宋体"/>
          <w:color w:val="auto"/>
          <w:sz w:val="24"/>
          <w:szCs w:val="24"/>
          <w:highlight w:val="none"/>
        </w:rPr>
        <w:t>一、竞争性磋商内容</w:t>
      </w:r>
      <w:bookmarkEnd w:id="3"/>
      <w:bookmarkEnd w:id="4"/>
      <w:bookmarkEnd w:id="5"/>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1"/>
        <w:gridCol w:w="1310"/>
        <w:gridCol w:w="1912"/>
        <w:gridCol w:w="2804"/>
      </w:tblGrid>
      <w:tr w14:paraId="525B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755" w:type="pct"/>
            <w:tcBorders>
              <w:top w:val="single" w:color="auto" w:sz="4" w:space="0"/>
              <w:left w:val="single" w:color="auto" w:sz="4" w:space="0"/>
              <w:right w:val="single" w:color="auto" w:sz="4" w:space="0"/>
            </w:tcBorders>
            <w:vAlign w:val="center"/>
          </w:tcPr>
          <w:p w14:paraId="3E2624BF">
            <w:pPr>
              <w:widowControl/>
              <w:jc w:val="center"/>
              <w:rPr>
                <w:rFonts w:hint="eastAsia" w:ascii="宋体" w:hAnsi="宋体" w:eastAsia="宋体" w:cs="宋体"/>
                <w:b/>
                <w:bCs/>
                <w:color w:val="auto"/>
                <w:kern w:val="0"/>
                <w:sz w:val="24"/>
                <w:szCs w:val="24"/>
                <w:highlight w:val="none"/>
              </w:rPr>
            </w:pPr>
            <w:bookmarkStart w:id="6" w:name="_Toc373860293"/>
            <w:bookmarkStart w:id="7" w:name="_Toc317775178"/>
            <w:r>
              <w:rPr>
                <w:rFonts w:hint="eastAsia" w:ascii="宋体" w:hAnsi="宋体" w:eastAsia="宋体" w:cs="宋体"/>
                <w:b/>
                <w:bCs/>
                <w:color w:val="auto"/>
                <w:kern w:val="0"/>
                <w:sz w:val="24"/>
                <w:szCs w:val="24"/>
                <w:highlight w:val="none"/>
              </w:rPr>
              <w:t>项目名称</w:t>
            </w:r>
          </w:p>
        </w:tc>
        <w:tc>
          <w:tcPr>
            <w:tcW w:w="705" w:type="pct"/>
            <w:tcBorders>
              <w:top w:val="single" w:color="auto" w:sz="4" w:space="0"/>
              <w:left w:val="single" w:color="auto" w:sz="4" w:space="0"/>
              <w:right w:val="single" w:color="auto" w:sz="4" w:space="0"/>
            </w:tcBorders>
            <w:vAlign w:val="center"/>
          </w:tcPr>
          <w:p w14:paraId="5768E3C1">
            <w:pP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最高限价（万元）</w:t>
            </w:r>
          </w:p>
        </w:tc>
        <w:tc>
          <w:tcPr>
            <w:tcW w:w="1029" w:type="pct"/>
            <w:tcBorders>
              <w:top w:val="single" w:color="auto" w:sz="4" w:space="0"/>
              <w:left w:val="single" w:color="auto" w:sz="4" w:space="0"/>
              <w:right w:val="single" w:color="auto" w:sz="4" w:space="0"/>
            </w:tcBorders>
            <w:vAlign w:val="center"/>
          </w:tcPr>
          <w:p w14:paraId="37C941CA">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成交供应商数量（名）</w:t>
            </w:r>
          </w:p>
        </w:tc>
        <w:tc>
          <w:tcPr>
            <w:tcW w:w="1509" w:type="pct"/>
            <w:tcBorders>
              <w:top w:val="single" w:color="auto" w:sz="4" w:space="0"/>
              <w:left w:val="single" w:color="auto" w:sz="4" w:space="0"/>
              <w:right w:val="single" w:color="auto" w:sz="4" w:space="0"/>
            </w:tcBorders>
            <w:vAlign w:val="center"/>
          </w:tcPr>
          <w:p w14:paraId="01EBE584">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采购标的对应的中小企业划分标准所属行业</w:t>
            </w:r>
          </w:p>
        </w:tc>
      </w:tr>
      <w:tr w14:paraId="3523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755" w:type="pct"/>
            <w:tcBorders>
              <w:top w:val="single" w:color="auto" w:sz="4" w:space="0"/>
              <w:left w:val="single" w:color="auto" w:sz="4" w:space="0"/>
              <w:right w:val="single" w:color="auto" w:sz="4" w:space="0"/>
            </w:tcBorders>
            <w:vAlign w:val="center"/>
          </w:tcPr>
          <w:p w14:paraId="6BA93FAD">
            <w:pPr>
              <w:widowControl/>
              <w:jc w:val="center"/>
              <w:rPr>
                <w:rFonts w:hint="eastAsia" w:ascii="宋体" w:hAnsi="宋体" w:eastAsia="宋体" w:cs="宋体"/>
                <w:color w:val="auto"/>
                <w:highlight w:val="none"/>
                <w:lang w:eastAsia="zh-CN"/>
              </w:rPr>
            </w:pPr>
            <w:bookmarkStart w:id="8" w:name="_Hlk344477914"/>
            <w:r>
              <w:rPr>
                <w:rFonts w:hint="eastAsia" w:ascii="宋体" w:hAnsi="宋体" w:cs="宋体"/>
                <w:color w:val="auto"/>
                <w:sz w:val="24"/>
                <w:szCs w:val="24"/>
                <w:highlight w:val="none"/>
                <w:u w:val="none"/>
                <w:lang w:eastAsia="zh-CN"/>
              </w:rPr>
              <w:t>大渡口区2025年度国土变更调查工作技术服务</w:t>
            </w:r>
          </w:p>
        </w:tc>
        <w:tc>
          <w:tcPr>
            <w:tcW w:w="705" w:type="pct"/>
            <w:tcBorders>
              <w:top w:val="single" w:color="auto" w:sz="4" w:space="0"/>
              <w:left w:val="single" w:color="auto" w:sz="4" w:space="0"/>
              <w:right w:val="single" w:color="auto" w:sz="4" w:space="0"/>
            </w:tcBorders>
            <w:vAlign w:val="center"/>
          </w:tcPr>
          <w:p w14:paraId="133745CE">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39</w:t>
            </w:r>
          </w:p>
        </w:tc>
        <w:tc>
          <w:tcPr>
            <w:tcW w:w="1029" w:type="pct"/>
            <w:tcBorders>
              <w:top w:val="single" w:color="auto" w:sz="4" w:space="0"/>
              <w:left w:val="single" w:color="auto" w:sz="4" w:space="0"/>
              <w:right w:val="single" w:color="auto" w:sz="4" w:space="0"/>
            </w:tcBorders>
            <w:vAlign w:val="center"/>
          </w:tcPr>
          <w:p w14:paraId="3DC3B69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09" w:type="pct"/>
            <w:tcBorders>
              <w:top w:val="single" w:color="auto" w:sz="4" w:space="0"/>
              <w:left w:val="single" w:color="auto" w:sz="4" w:space="0"/>
              <w:right w:val="single" w:color="auto" w:sz="4" w:space="0"/>
            </w:tcBorders>
            <w:vAlign w:val="center"/>
          </w:tcPr>
          <w:p w14:paraId="169FFB9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其他未列明行业</w:t>
            </w:r>
          </w:p>
        </w:tc>
      </w:tr>
      <w:bookmarkEnd w:id="8"/>
    </w:tbl>
    <w:p w14:paraId="7077AFB0">
      <w:pPr>
        <w:pStyle w:val="4"/>
        <w:spacing w:before="0" w:after="0" w:line="360" w:lineRule="auto"/>
        <w:ind w:firstLine="480"/>
        <w:rPr>
          <w:rFonts w:hint="eastAsia" w:ascii="宋体" w:hAnsi="宋体" w:eastAsia="宋体" w:cs="宋体"/>
          <w:color w:val="auto"/>
          <w:sz w:val="24"/>
          <w:szCs w:val="24"/>
          <w:highlight w:val="none"/>
        </w:rPr>
      </w:pPr>
      <w:bookmarkStart w:id="9" w:name="_Toc20758"/>
      <w:r>
        <w:rPr>
          <w:rFonts w:hint="eastAsia" w:ascii="宋体" w:hAnsi="宋体" w:eastAsia="宋体" w:cs="宋体"/>
          <w:color w:val="auto"/>
          <w:sz w:val="24"/>
          <w:szCs w:val="24"/>
          <w:highlight w:val="none"/>
        </w:rPr>
        <w:t>二、资金来源</w:t>
      </w:r>
      <w:bookmarkEnd w:id="9"/>
    </w:p>
    <w:p w14:paraId="0B4061B6">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财政预算资金，预算金额为</w:t>
      </w:r>
      <w:r>
        <w:rPr>
          <w:rFonts w:hint="eastAsia" w:ascii="宋体" w:hAnsi="宋体" w:cs="宋体"/>
          <w:color w:val="auto"/>
          <w:sz w:val="24"/>
          <w:szCs w:val="24"/>
          <w:highlight w:val="none"/>
          <w:lang w:val="en-US" w:eastAsia="zh-CN"/>
        </w:rPr>
        <w:t>39</w:t>
      </w:r>
      <w:r>
        <w:rPr>
          <w:rFonts w:hint="eastAsia" w:ascii="宋体" w:hAnsi="宋体" w:eastAsia="宋体" w:cs="宋体"/>
          <w:color w:val="auto"/>
          <w:sz w:val="24"/>
          <w:szCs w:val="24"/>
          <w:highlight w:val="none"/>
        </w:rPr>
        <w:t>万元</w:t>
      </w:r>
      <w:r>
        <w:rPr>
          <w:rFonts w:hint="eastAsia" w:ascii="宋体" w:hAnsi="宋体" w:cs="宋体"/>
          <w:color w:val="auto"/>
          <w:sz w:val="24"/>
          <w:szCs w:val="24"/>
          <w:highlight w:val="none"/>
          <w:lang w:eastAsia="zh-CN"/>
        </w:rPr>
        <w:t>。</w:t>
      </w:r>
    </w:p>
    <w:p w14:paraId="7F13F2E4">
      <w:pPr>
        <w:pStyle w:val="4"/>
        <w:spacing w:before="0" w:after="0" w:line="360" w:lineRule="auto"/>
        <w:ind w:firstLine="480"/>
        <w:rPr>
          <w:rFonts w:hint="eastAsia" w:ascii="宋体" w:hAnsi="宋体" w:eastAsia="宋体" w:cs="宋体"/>
          <w:color w:val="auto"/>
          <w:sz w:val="24"/>
          <w:szCs w:val="24"/>
          <w:highlight w:val="none"/>
        </w:rPr>
      </w:pPr>
      <w:bookmarkStart w:id="10" w:name="_Toc22314"/>
      <w:r>
        <w:rPr>
          <w:rFonts w:hint="eastAsia" w:ascii="宋体" w:hAnsi="宋体" w:eastAsia="宋体" w:cs="宋体"/>
          <w:color w:val="auto"/>
          <w:sz w:val="24"/>
          <w:szCs w:val="24"/>
          <w:highlight w:val="none"/>
        </w:rPr>
        <w:t>三、供应商资格要求</w:t>
      </w:r>
      <w:bookmarkEnd w:id="10"/>
    </w:p>
    <w:p w14:paraId="64AA1A9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1EE772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（二）落实政府采购政策需满足的资格要求：无。</w:t>
      </w:r>
    </w:p>
    <w:p w14:paraId="71840E50">
      <w:pPr>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（三）本项目的特定资格要求：</w:t>
      </w: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rPr>
        <w:t>具备测绘地理信息主管部门颁发的</w:t>
      </w:r>
      <w:r>
        <w:rPr>
          <w:rFonts w:hint="eastAsia" w:ascii="宋体" w:hAnsi="宋体" w:cs="宋体"/>
          <w:b/>
          <w:bCs/>
          <w:color w:val="auto"/>
          <w:sz w:val="24"/>
          <w:szCs w:val="24"/>
          <w:highlight w:val="none"/>
          <w:lang w:val="en-US" w:eastAsia="zh-CN"/>
        </w:rPr>
        <w:t>有效的</w:t>
      </w:r>
      <w:r>
        <w:rPr>
          <w:rFonts w:hint="eastAsia" w:ascii="宋体" w:hAnsi="宋体" w:eastAsia="宋体" w:cs="宋体"/>
          <w:b/>
          <w:bCs/>
          <w:color w:val="auto"/>
          <w:sz w:val="24"/>
          <w:szCs w:val="24"/>
          <w:highlight w:val="none"/>
        </w:rPr>
        <w:t>乙级及以上测绘资质（专业包含：地理信息系统工程），提供证书复印件并加盖供应商公章。</w:t>
      </w:r>
    </w:p>
    <w:p w14:paraId="71592704">
      <w:pPr>
        <w:pStyle w:val="4"/>
        <w:spacing w:before="0" w:after="0" w:line="360" w:lineRule="auto"/>
        <w:ind w:firstLine="480"/>
        <w:rPr>
          <w:rFonts w:hint="eastAsia" w:ascii="宋体" w:hAnsi="宋体" w:eastAsia="宋体" w:cs="宋体"/>
          <w:color w:val="auto"/>
          <w:sz w:val="24"/>
          <w:szCs w:val="24"/>
          <w:highlight w:val="none"/>
        </w:rPr>
      </w:pPr>
      <w:bookmarkStart w:id="11" w:name="_Toc11747"/>
      <w:r>
        <w:rPr>
          <w:rFonts w:hint="eastAsia" w:ascii="宋体" w:hAnsi="宋体" w:eastAsia="宋体" w:cs="宋体"/>
          <w:color w:val="auto"/>
          <w:sz w:val="24"/>
          <w:szCs w:val="24"/>
          <w:highlight w:val="none"/>
        </w:rPr>
        <w:t>四、磋商有关说明</w:t>
      </w:r>
      <w:bookmarkEnd w:id="6"/>
      <w:bookmarkEnd w:id="11"/>
      <w:bookmarkStart w:id="12" w:name="_Toc373860294"/>
    </w:p>
    <w:p w14:paraId="7112BAC7">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（一）供应商应按要求进行注册，通过“行采家”平台（http://www.gec123.com），登记加入“行采家供应商库”。咨询电话023-</w:t>
      </w:r>
      <w:r>
        <w:rPr>
          <w:rFonts w:hint="eastAsia" w:ascii="宋体" w:hAnsi="宋体" w:cs="宋体"/>
          <w:color w:val="auto"/>
          <w:sz w:val="24"/>
          <w:szCs w:val="24"/>
          <w:highlight w:val="none"/>
          <w:lang w:val="en-US" w:eastAsia="zh-CN"/>
        </w:rPr>
        <w:t>81045037</w:t>
      </w:r>
      <w:r>
        <w:rPr>
          <w:rFonts w:hint="eastAsia" w:ascii="宋体" w:hAnsi="宋体" w:eastAsia="宋体" w:cs="宋体"/>
          <w:color w:val="auto"/>
          <w:sz w:val="24"/>
          <w:szCs w:val="24"/>
          <w:highlight w:val="none"/>
        </w:rPr>
        <w:t>。（供应商注册与否不影响投标文件的有效性）。</w:t>
      </w:r>
    </w:p>
    <w:p w14:paraId="3C2FCED4">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磋商采购的供应商，请于公告发布之日起至提交首次响应文件截止时间之前，在“行采家”平台（www.gec123.com）上下载本项目磋商文件、补遗等磋商前公布的所有项目资料，无论供应商下载与否，均视为已知晓所有磋商实质性要求内容。</w:t>
      </w:r>
    </w:p>
    <w:p w14:paraId="49D2868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（三）竞争性磋商公告期限：自采购公告发布之日（</w:t>
      </w:r>
      <w:r>
        <w:rPr>
          <w:rFonts w:hint="eastAsia" w:ascii="宋体" w:hAnsi="宋体" w:eastAsia="宋体" w:cs="宋体"/>
          <w:color w:val="auto"/>
          <w:sz w:val="24"/>
          <w:szCs w:val="24"/>
          <w:highlight w:val="none"/>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）起三个工作日。</w:t>
      </w:r>
    </w:p>
    <w:p w14:paraId="476479F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（四）报名及磋商文件发售</w:t>
      </w:r>
    </w:p>
    <w:p w14:paraId="3F97DF8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1.报名和磋商文件发售期：</w:t>
      </w:r>
      <w:r>
        <w:rPr>
          <w:rFonts w:hint="eastAsia" w:ascii="宋体" w:hAnsi="宋体" w:eastAsia="宋体" w:cs="宋体"/>
          <w:color w:val="auto"/>
          <w:sz w:val="24"/>
          <w:szCs w:val="24"/>
          <w:highlight w:val="none"/>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19</w:t>
      </w:r>
      <w:r>
        <w:rPr>
          <w:rFonts w:hint="eastAsia" w:ascii="宋体" w:hAnsi="宋体" w:eastAsia="宋体" w:cs="宋体"/>
          <w:color w:val="auto"/>
          <w:sz w:val="24"/>
          <w:szCs w:val="24"/>
          <w:highlight w:val="none"/>
        </w:rPr>
        <w:t>日17:00</w:t>
      </w:r>
    </w:p>
    <w:p w14:paraId="2FCFDC4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2.磋商文件售价：人</w:t>
      </w:r>
      <w:r>
        <w:rPr>
          <w:rFonts w:hint="eastAsia" w:ascii="宋体" w:hAnsi="宋体" w:eastAsia="宋体" w:cs="宋体"/>
          <w:color w:val="auto"/>
          <w:sz w:val="24"/>
          <w:szCs w:val="24"/>
          <w:highlight w:val="none"/>
        </w:rPr>
        <w:t>民币</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00元/份（</w:t>
      </w:r>
      <w:r>
        <w:rPr>
          <w:rFonts w:hint="eastAsia" w:ascii="宋体" w:hAnsi="宋体" w:eastAsia="宋体" w:cs="宋体"/>
          <w:bCs/>
          <w:color w:val="auto"/>
          <w:sz w:val="24"/>
          <w:szCs w:val="24"/>
          <w:highlight w:val="none"/>
        </w:rPr>
        <w:t>售后不退）</w:t>
      </w:r>
    </w:p>
    <w:p w14:paraId="2C4E859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2.1磋商文件购买方式</w:t>
      </w:r>
    </w:p>
    <w:p w14:paraId="482CDF87">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2.1.1</w:t>
      </w:r>
      <w:r>
        <w:rPr>
          <w:rFonts w:hint="eastAsia" w:ascii="宋体" w:hAnsi="宋体" w:eastAsia="宋体" w:cs="宋体"/>
          <w:b/>
          <w:color w:val="auto"/>
          <w:sz w:val="24"/>
          <w:szCs w:val="24"/>
          <w:highlight w:val="none"/>
        </w:rPr>
        <w:t>现金购买</w:t>
      </w:r>
    </w:p>
    <w:p w14:paraId="4376051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在磋商文件发售期内，供应商到</w:t>
      </w:r>
      <w:r>
        <w:rPr>
          <w:rFonts w:hint="eastAsia" w:ascii="宋体" w:hAnsi="宋体" w:eastAsia="宋体" w:cs="宋体"/>
          <w:color w:val="auto"/>
          <w:sz w:val="24"/>
          <w:szCs w:val="24"/>
          <w:highlight w:val="none"/>
        </w:rPr>
        <w:t>重庆市渝北区创意公园18栋2单元3-2（重庆市渝北区食品城大道18号）</w:t>
      </w:r>
      <w:r>
        <w:rPr>
          <w:rFonts w:hint="eastAsia" w:ascii="宋体" w:hAnsi="宋体" w:eastAsia="宋体" w:cs="宋体"/>
          <w:bCs/>
          <w:color w:val="auto"/>
          <w:sz w:val="24"/>
          <w:szCs w:val="24"/>
          <w:highlight w:val="none"/>
        </w:rPr>
        <w:t xml:space="preserve">登记递交《重庆鼎创招标代理有限公司采购文件发售登记表》（加盖供应商公章）并购买磋商文件。 </w:t>
      </w:r>
    </w:p>
    <w:p w14:paraId="126C349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2.1.2</w:t>
      </w:r>
      <w:r>
        <w:rPr>
          <w:rFonts w:hint="eastAsia" w:ascii="宋体" w:hAnsi="宋体" w:eastAsia="宋体" w:cs="宋体"/>
          <w:b/>
          <w:color w:val="auto"/>
          <w:sz w:val="24"/>
          <w:szCs w:val="24"/>
          <w:highlight w:val="none"/>
        </w:rPr>
        <w:t>汇款购买</w:t>
      </w:r>
    </w:p>
    <w:p w14:paraId="74727575">
      <w:pPr>
        <w:wordWrap w:val="0"/>
        <w:spacing w:line="360" w:lineRule="auto"/>
        <w:ind w:firstLine="560" w:firstLineChars="200"/>
        <w:rPr>
          <w:rFonts w:hint="eastAsia" w:ascii="宋体" w:hAnsi="宋体" w:eastAsia="宋体" w:cs="宋体"/>
          <w:bCs/>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在磋商文件发售期内，供应商将磋商文件购买费用汇至以下账户内进行购买。通过汇款方式购买磋商文件的，将磋商文件汇款凭证（注明项目号）、《重庆鼎创招标代理有限公司采购文件发售登记表》（加盖供应商公章）扫描后发送至920067666@qq.com（邮箱）。报名成功时间以代理机构收到以上资料邮箱的显示时间为准。" </w:instrText>
      </w:r>
      <w:r>
        <w:rPr>
          <w:rFonts w:hint="eastAsia" w:ascii="宋体" w:hAnsi="宋体" w:eastAsia="宋体" w:cs="宋体"/>
          <w:color w:val="auto"/>
          <w:highlight w:val="none"/>
        </w:rPr>
        <w:fldChar w:fldCharType="separate"/>
      </w:r>
      <w:r>
        <w:rPr>
          <w:rStyle w:val="65"/>
          <w:rFonts w:hint="eastAsia" w:ascii="宋体" w:hAnsi="宋体" w:eastAsia="宋体" w:cs="宋体"/>
          <w:bCs/>
          <w:color w:val="auto"/>
          <w:sz w:val="24"/>
          <w:szCs w:val="24"/>
          <w:highlight w:val="none"/>
        </w:rPr>
        <w:t>在磋商文件发售期内，供应商将磋商文件购买费用汇至以下账户内进行购买。通过汇款方式购买磋商文件的，将磋商文件汇款凭证（注明</w:t>
      </w:r>
      <w:r>
        <w:rPr>
          <w:rFonts w:hint="eastAsia" w:ascii="宋体" w:hAnsi="宋体" w:eastAsia="宋体" w:cs="宋体"/>
          <w:color w:val="auto"/>
          <w:sz w:val="24"/>
          <w:szCs w:val="24"/>
          <w:highlight w:val="none"/>
        </w:rPr>
        <w:t>采购执行编号</w:t>
      </w:r>
      <w:r>
        <w:rPr>
          <w:rStyle w:val="65"/>
          <w:rFonts w:hint="eastAsia" w:ascii="宋体" w:hAnsi="宋体" w:eastAsia="宋体" w:cs="宋体"/>
          <w:bCs/>
          <w:color w:val="auto"/>
          <w:sz w:val="24"/>
          <w:szCs w:val="24"/>
          <w:highlight w:val="none"/>
        </w:rPr>
        <w:t>）、《重庆鼎创招标代理有限公司采购文件发售登记表》（加盖供应商公章）扫描后发送至</w:t>
      </w:r>
      <w:r>
        <w:rPr>
          <w:rStyle w:val="65"/>
          <w:rFonts w:hint="eastAsia" w:ascii="宋体" w:hAnsi="宋体" w:eastAsia="宋体" w:cs="宋体"/>
          <w:b/>
          <w:color w:val="auto"/>
          <w:sz w:val="24"/>
          <w:szCs w:val="24"/>
          <w:highlight w:val="none"/>
          <w:lang w:val="en-US" w:eastAsia="zh-CN"/>
        </w:rPr>
        <w:t>2783701601</w:t>
      </w:r>
      <w:r>
        <w:rPr>
          <w:rStyle w:val="65"/>
          <w:rFonts w:hint="eastAsia" w:ascii="宋体" w:hAnsi="宋体" w:eastAsia="宋体" w:cs="宋体"/>
          <w:b/>
          <w:color w:val="auto"/>
          <w:sz w:val="24"/>
          <w:szCs w:val="24"/>
          <w:highlight w:val="none"/>
        </w:rPr>
        <w:t>@qq.com</w:t>
      </w:r>
      <w:r>
        <w:rPr>
          <w:rStyle w:val="65"/>
          <w:rFonts w:hint="eastAsia" w:ascii="宋体" w:hAnsi="宋体" w:eastAsia="宋体" w:cs="宋体"/>
          <w:bCs/>
          <w:color w:val="auto"/>
          <w:sz w:val="24"/>
          <w:szCs w:val="24"/>
          <w:highlight w:val="none"/>
        </w:rPr>
        <w:t>（邮箱）。报名成功时间以代理机构收到以上资料邮箱的显示时间为准。</w:t>
      </w:r>
      <w:r>
        <w:rPr>
          <w:rStyle w:val="65"/>
          <w:rFonts w:hint="eastAsia" w:ascii="宋体" w:hAnsi="宋体" w:eastAsia="宋体" w:cs="宋体"/>
          <w:bCs/>
          <w:color w:val="auto"/>
          <w:sz w:val="24"/>
          <w:szCs w:val="24"/>
          <w:highlight w:val="none"/>
        </w:rPr>
        <w:fldChar w:fldCharType="end"/>
      </w:r>
    </w:p>
    <w:p w14:paraId="3610744F">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户  名：重庆鼎创招标代理有限公司</w:t>
      </w:r>
    </w:p>
    <w:p w14:paraId="4E43FFC8">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开户行：招商银行股份有限公司重庆观音桥支行</w:t>
      </w:r>
    </w:p>
    <w:p w14:paraId="15AC9846">
      <w:pPr>
        <w:spacing w:line="360" w:lineRule="auto"/>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账  号：123911157910105</w:t>
      </w:r>
    </w:p>
    <w:p w14:paraId="3357032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在报名和磋商文件发售期内购买了磋商文件并按以上要求提交了相应资料的供应商，其现场报名才被接收，否则当场退还响应文件。</w:t>
      </w:r>
    </w:p>
    <w:p w14:paraId="51A547F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（五）供应商须满足以下二种条件，其响应文件才被接受：</w:t>
      </w:r>
    </w:p>
    <w:p w14:paraId="02EAFC84">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1、按时递交了响应文件；</w:t>
      </w:r>
    </w:p>
    <w:p w14:paraId="61BD15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2、按时报名签到。</w:t>
      </w:r>
    </w:p>
    <w:p w14:paraId="59F1D2E4">
      <w:pPr>
        <w:spacing w:line="360" w:lineRule="auto"/>
        <w:ind w:firstLine="480" w:firstLineChars="200"/>
        <w:rPr>
          <w:rFonts w:hint="default" w:ascii="宋体" w:hAnsi="宋体" w:eastAsia="宋体" w:cs="宋体"/>
          <w:bCs/>
          <w:color w:val="auto"/>
          <w:sz w:val="24"/>
          <w:szCs w:val="24"/>
          <w:highlight w:val="none"/>
          <w:lang w:val="en-US" w:eastAsia="zh-CN"/>
        </w:rPr>
      </w:pPr>
      <w:bookmarkStart w:id="13" w:name="_Toc8970"/>
      <w:r>
        <w:rPr>
          <w:rFonts w:hint="eastAsia" w:ascii="宋体" w:hAnsi="宋体" w:eastAsia="宋体" w:cs="宋体"/>
          <w:bCs/>
          <w:color w:val="auto"/>
          <w:sz w:val="24"/>
          <w:szCs w:val="24"/>
          <w:highlight w:val="none"/>
        </w:rPr>
        <w:t>（六）磋商地点：</w:t>
      </w:r>
      <w:r>
        <w:rPr>
          <w:rFonts w:hint="eastAsia" w:ascii="宋体" w:hAnsi="宋体" w:eastAsia="宋体" w:cs="宋体"/>
          <w:color w:val="auto"/>
          <w:sz w:val="24"/>
          <w:szCs w:val="24"/>
          <w:highlight w:val="none"/>
        </w:rPr>
        <w:t>重庆市渝北区创意公园18栋2单元3-2（重庆市渝北区食品城大道18号）</w:t>
      </w:r>
    </w:p>
    <w:p w14:paraId="7E359C0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（七）提交响应文件开始时间：</w:t>
      </w:r>
      <w:r>
        <w:rPr>
          <w:rFonts w:hint="eastAsia" w:ascii="宋体" w:hAnsi="宋体" w:eastAsia="宋体" w:cs="宋体"/>
          <w:color w:val="auto"/>
          <w:sz w:val="24"/>
          <w:szCs w:val="24"/>
          <w:highlight w:val="none"/>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北京时间</w:t>
      </w:r>
      <w:r>
        <w:rPr>
          <w:rFonts w:hint="eastAsia" w:ascii="宋体" w:hAnsi="宋体" w:cs="宋体"/>
          <w:color w:val="auto"/>
          <w:sz w:val="24"/>
          <w:szCs w:val="24"/>
          <w:highlight w:val="none"/>
          <w:lang w:val="en-US" w:eastAsia="zh-CN"/>
        </w:rPr>
        <w:t>14</w:t>
      </w:r>
      <w:r>
        <w:rPr>
          <w:rFonts w:hint="eastAsia" w:ascii="宋体" w:hAnsi="宋体" w:eastAsia="宋体" w:cs="宋体"/>
          <w:bCs/>
          <w:color w:val="auto"/>
          <w:sz w:val="24"/>
          <w:szCs w:val="24"/>
          <w:highlight w:val="none"/>
        </w:rPr>
        <w:t>时</w:t>
      </w:r>
      <w:r>
        <w:rPr>
          <w:rFonts w:hint="eastAsia" w:ascii="宋体" w:hAnsi="宋体" w:cs="宋体"/>
          <w:color w:val="auto"/>
          <w:sz w:val="24"/>
          <w:szCs w:val="24"/>
          <w:highlight w:val="none"/>
          <w:lang w:val="en-US" w:eastAsia="zh-CN"/>
        </w:rPr>
        <w:t>00</w:t>
      </w:r>
      <w:r>
        <w:rPr>
          <w:rFonts w:hint="eastAsia" w:ascii="宋体" w:hAnsi="宋体" w:eastAsia="宋体" w:cs="宋体"/>
          <w:bCs/>
          <w:color w:val="auto"/>
          <w:sz w:val="24"/>
          <w:szCs w:val="24"/>
          <w:highlight w:val="none"/>
        </w:rPr>
        <w:t>分。</w:t>
      </w:r>
    </w:p>
    <w:p w14:paraId="63757FB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（八）提交响应文件截止时间：</w:t>
      </w:r>
      <w:r>
        <w:rPr>
          <w:rFonts w:hint="eastAsia" w:ascii="宋体" w:hAnsi="宋体" w:eastAsia="宋体" w:cs="宋体"/>
          <w:color w:val="auto"/>
          <w:sz w:val="24"/>
          <w:szCs w:val="24"/>
          <w:highlight w:val="none"/>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bCs/>
          <w:color w:val="auto"/>
          <w:sz w:val="24"/>
          <w:szCs w:val="24"/>
          <w:highlight w:val="none"/>
        </w:rPr>
        <w:t>。</w:t>
      </w:r>
    </w:p>
    <w:p w14:paraId="1245DD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（九）磋商开始时间：</w:t>
      </w:r>
      <w:r>
        <w:rPr>
          <w:rFonts w:hint="eastAsia" w:ascii="宋体" w:hAnsi="宋体" w:eastAsia="宋体" w:cs="宋体"/>
          <w:color w:val="auto"/>
          <w:sz w:val="24"/>
          <w:szCs w:val="24"/>
          <w:highlight w:val="none"/>
        </w:rPr>
        <w:t>2025年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24</w:t>
      </w:r>
      <w:r>
        <w:rPr>
          <w:rFonts w:hint="eastAsia" w:ascii="宋体" w:hAnsi="宋体" w:eastAsia="宋体" w:cs="宋体"/>
          <w:color w:val="auto"/>
          <w:sz w:val="24"/>
          <w:szCs w:val="24"/>
          <w:highlight w:val="none"/>
        </w:rPr>
        <w:t>日北京时间</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时</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r>
        <w:rPr>
          <w:rFonts w:hint="eastAsia" w:ascii="宋体" w:hAnsi="宋体" w:eastAsia="宋体" w:cs="宋体"/>
          <w:bCs/>
          <w:color w:val="auto"/>
          <w:sz w:val="24"/>
          <w:szCs w:val="24"/>
          <w:highlight w:val="none"/>
        </w:rPr>
        <w:t>。</w:t>
      </w:r>
      <w:bookmarkEnd w:id="7"/>
      <w:bookmarkEnd w:id="12"/>
      <w:bookmarkEnd w:id="13"/>
      <w:bookmarkStart w:id="14" w:name="_Toc479668114"/>
      <w:bookmarkStart w:id="15" w:name="_Toc499576199"/>
      <w:bookmarkStart w:id="16" w:name="_Toc480466698"/>
    </w:p>
    <w:p w14:paraId="75465D8C">
      <w:pPr>
        <w:pStyle w:val="4"/>
        <w:spacing w:before="0" w:after="0" w:line="360" w:lineRule="auto"/>
        <w:ind w:firstLine="480"/>
        <w:rPr>
          <w:rFonts w:hint="eastAsia" w:ascii="宋体" w:hAnsi="宋体" w:eastAsia="宋体" w:cs="宋体"/>
          <w:color w:val="auto"/>
          <w:sz w:val="24"/>
          <w:szCs w:val="24"/>
          <w:highlight w:val="none"/>
        </w:rPr>
      </w:pPr>
      <w:bookmarkStart w:id="17" w:name="_Toc13746"/>
      <w:bookmarkStart w:id="18" w:name="_Toc2702"/>
      <w:r>
        <w:rPr>
          <w:rFonts w:hint="eastAsia" w:ascii="宋体" w:hAnsi="宋体" w:eastAsia="宋体" w:cs="宋体"/>
          <w:color w:val="auto"/>
          <w:sz w:val="24"/>
          <w:szCs w:val="24"/>
          <w:highlight w:val="none"/>
        </w:rPr>
        <w:t>五、保证金</w:t>
      </w:r>
      <w:bookmarkEnd w:id="17"/>
      <w:r>
        <w:rPr>
          <w:rFonts w:hint="eastAsia" w:ascii="宋体" w:hAnsi="宋体" w:eastAsia="宋体" w:cs="宋体"/>
          <w:color w:val="auto"/>
          <w:sz w:val="24"/>
          <w:szCs w:val="24"/>
          <w:highlight w:val="none"/>
        </w:rPr>
        <w:t>（本项目无）</w:t>
      </w:r>
      <w:bookmarkEnd w:id="18"/>
    </w:p>
    <w:p w14:paraId="5A0F2F2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（一）保证金递交</w:t>
      </w:r>
    </w:p>
    <w:p w14:paraId="4C91911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供应商须按本项目规定的保证金金额进行缴纳（保证金金额详见本篇，一、竞争性磋商文件内容），由供应商从其基本账户将保证金汇至以下账户，保证金的到账截止时间同提交响应文件截止时间。</w:t>
      </w:r>
    </w:p>
    <w:p w14:paraId="7D56AEFF">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保证金专用账户</w:t>
      </w:r>
    </w:p>
    <w:p w14:paraId="3923CF4F">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户  名：重庆鼎创招标代理有限公司</w:t>
      </w:r>
    </w:p>
    <w:p w14:paraId="45E68A8B">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开户行：招商银行重庆分行江北支行 </w:t>
      </w:r>
    </w:p>
    <w:p w14:paraId="4DC7FE11">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号：123911157910901</w:t>
      </w:r>
    </w:p>
    <w:p w14:paraId="21EF058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1、各供应商在银行转账（电汇）时，须充分考虑银行转账（电汇）的时间差风险，如同城转账、异地转账或汇款、跨行转账或电汇的时间要求。</w:t>
      </w:r>
    </w:p>
    <w:p w14:paraId="728B9FF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2、各供应商在递交保证金时，到款账户为上述指定的保证金专用账户，来款账户必须为本公司基本账户。</w:t>
      </w:r>
    </w:p>
    <w:p w14:paraId="6BC992FC">
      <w:pPr>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各供应商在通过银行转账（电汇）递交保证金时，须在包含但不限于“汇款备注、用途、摘要”栏说明该款项为“磋商保证金”若供应商未按以上要求说明款项用途的，在保证金退还时造成的后果由供应商自行承担。</w:t>
      </w:r>
    </w:p>
    <w:p w14:paraId="7D037E2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（二）保证金退还方式</w:t>
      </w:r>
    </w:p>
    <w:p w14:paraId="40033A0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1、未成交供应商的磋商保证金，在成交通知书发放后，由采购代理机构在五个工作日内按来款渠道直接退还。</w:t>
      </w:r>
    </w:p>
    <w:p w14:paraId="5667197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2、成交供应商的磋商保证金，在成交供应商与采购人签订合同后，由采购代理机构在五个工作日内按资金来款渠道直接退还。</w:t>
      </w:r>
    </w:p>
    <w:p w14:paraId="7557976F">
      <w:pPr>
        <w:pStyle w:val="4"/>
        <w:spacing w:before="0" w:after="0" w:line="360" w:lineRule="auto"/>
        <w:ind w:firstLine="480"/>
        <w:rPr>
          <w:rFonts w:hint="eastAsia" w:ascii="宋体" w:hAnsi="宋体" w:eastAsia="宋体" w:cs="宋体"/>
          <w:color w:val="auto"/>
          <w:sz w:val="24"/>
          <w:szCs w:val="24"/>
          <w:highlight w:val="none"/>
        </w:rPr>
      </w:pPr>
      <w:bookmarkStart w:id="19" w:name="_Toc16120"/>
      <w:r>
        <w:rPr>
          <w:rFonts w:hint="eastAsia" w:ascii="宋体" w:hAnsi="宋体" w:eastAsia="宋体" w:cs="宋体"/>
          <w:color w:val="auto"/>
          <w:sz w:val="24"/>
          <w:szCs w:val="24"/>
          <w:highlight w:val="none"/>
        </w:rPr>
        <w:t>六、采购项目需落实的政府采购政策</w:t>
      </w:r>
      <w:bookmarkEnd w:id="14"/>
      <w:bookmarkEnd w:id="15"/>
      <w:bookmarkEnd w:id="16"/>
      <w:bookmarkEnd w:id="19"/>
    </w:p>
    <w:p w14:paraId="244AC5C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1F156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（二）按照《财政部 工业和信息化部关于印发&lt;政府采购促进中小企业发展管理办法&gt;的通知》（财库〔2020〕46号）的规定，落实促进中小企业发展政策。</w:t>
      </w:r>
    </w:p>
    <w:p w14:paraId="4B4CF59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（三）按照《财政部、司法部关于政府采购支持监狱企业发展有关问题的通知》（财库〔2014〕68号）的规定，落实支持监狱企业发展政策。</w:t>
      </w:r>
    </w:p>
    <w:p w14:paraId="4B586A72">
      <w:pPr>
        <w:snapToGrid w:val="0"/>
        <w:spacing w:line="360" w:lineRule="auto"/>
        <w:ind w:firstLine="480" w:firstLineChars="200"/>
        <w:rPr>
          <w:rFonts w:hint="eastAsia" w:ascii="宋体" w:hAnsi="宋体" w:eastAsia="宋体" w:cs="宋体"/>
          <w:color w:val="auto"/>
          <w:sz w:val="24"/>
          <w:szCs w:val="24"/>
          <w:highlight w:val="none"/>
        </w:rPr>
      </w:pPr>
      <w:bookmarkStart w:id="20" w:name="_Toc6620"/>
      <w:bookmarkStart w:id="21" w:name="_Toc15260"/>
      <w:bookmarkStart w:id="22" w:name="_Toc16319"/>
      <w:r>
        <w:rPr>
          <w:rFonts w:hint="eastAsia" w:ascii="宋体" w:hAnsi="宋体" w:eastAsia="宋体" w:cs="宋体"/>
          <w:color w:val="auto"/>
          <w:sz w:val="24"/>
          <w:szCs w:val="24"/>
          <w:highlight w:val="none"/>
        </w:rPr>
        <w:t>（四）按照《三部门联合发布关于促进残疾人就业政府采购政策的通知》（财库〔2017〕 141号）的规定，落实支持残疾人福利性单位发展政策。</w:t>
      </w:r>
      <w:bookmarkEnd w:id="20"/>
      <w:bookmarkEnd w:id="21"/>
      <w:bookmarkEnd w:id="22"/>
    </w:p>
    <w:p w14:paraId="11349FF2">
      <w:pPr>
        <w:pStyle w:val="4"/>
        <w:spacing w:before="0" w:after="0" w:line="360" w:lineRule="auto"/>
        <w:ind w:firstLine="480"/>
        <w:rPr>
          <w:rFonts w:hint="eastAsia" w:ascii="宋体" w:hAnsi="宋体" w:eastAsia="宋体" w:cs="宋体"/>
          <w:color w:val="auto"/>
          <w:sz w:val="24"/>
          <w:szCs w:val="24"/>
          <w:highlight w:val="none"/>
        </w:rPr>
      </w:pPr>
      <w:bookmarkStart w:id="23" w:name="_Toc15270"/>
      <w:r>
        <w:rPr>
          <w:rFonts w:hint="eastAsia" w:ascii="宋体" w:hAnsi="宋体" w:eastAsia="宋体" w:cs="宋体"/>
          <w:color w:val="auto"/>
          <w:sz w:val="24"/>
          <w:szCs w:val="24"/>
          <w:highlight w:val="none"/>
        </w:rPr>
        <w:t>七、其它有关规定</w:t>
      </w:r>
      <w:bookmarkEnd w:id="23"/>
    </w:p>
    <w:p w14:paraId="1A01FBB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（一）单位负责人为同一人或者存在直接控股、管理关系的不同供应商，不得参加同一合同项下的政府采购活动，否则均为无效响应。</w:t>
      </w:r>
    </w:p>
    <w:p w14:paraId="7A49D6D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（二）为采购项目提供整体设计、规范编制或者项目管理、监理、检测等服务的供应商，不得再参加该采购项目的其他采购活动，否则均为无效响应。</w:t>
      </w:r>
    </w:p>
    <w:p w14:paraId="639644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（三）本项目的补遗文件（如果有）一律在“行采家”上发布，请各供应商注意下载；无论供应商下载与否，均视同供应商已知晓本项目补遗文件（如果有）的内容。</w:t>
      </w:r>
    </w:p>
    <w:p w14:paraId="3B3869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3DD8C0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（五）磋商费用：无论磋商结果如何，供应商参与本项目磋商的所有费用均应由供应商自行承担。</w:t>
      </w:r>
    </w:p>
    <w:p w14:paraId="2B7C79A2">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（六）本项目不接受分包，否则按无效处理。</w:t>
      </w:r>
    </w:p>
    <w:p w14:paraId="193B24E1">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（七）本项目不接受联合体参与磋商，否则按无效处理。</w:t>
      </w:r>
    </w:p>
    <w:p w14:paraId="155FF4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EBF1138">
      <w:pPr>
        <w:pStyle w:val="4"/>
        <w:spacing w:before="0" w:after="0" w:line="360" w:lineRule="auto"/>
        <w:ind w:firstLine="480"/>
        <w:rPr>
          <w:rFonts w:hint="eastAsia" w:ascii="宋体" w:hAnsi="宋体" w:eastAsia="宋体" w:cs="宋体"/>
          <w:color w:val="auto"/>
          <w:sz w:val="24"/>
          <w:szCs w:val="24"/>
          <w:highlight w:val="none"/>
        </w:rPr>
      </w:pPr>
      <w:bookmarkStart w:id="24" w:name="_Toc19532"/>
      <w:r>
        <w:rPr>
          <w:rFonts w:hint="eastAsia" w:ascii="宋体" w:hAnsi="宋体" w:eastAsia="宋体" w:cs="宋体"/>
          <w:color w:val="auto"/>
          <w:sz w:val="24"/>
          <w:szCs w:val="24"/>
          <w:highlight w:val="none"/>
        </w:rPr>
        <w:t>八、联系方式</w:t>
      </w:r>
      <w:bookmarkEnd w:id="24"/>
    </w:p>
    <w:p w14:paraId="2F42B8C3">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重庆市大渡口区规划和自然资源局</w:t>
      </w:r>
      <w:r>
        <w:rPr>
          <w:rFonts w:hint="eastAsia" w:ascii="宋体" w:hAnsi="宋体" w:eastAsia="宋体" w:cs="宋体"/>
          <w:color w:val="auto"/>
          <w:sz w:val="24"/>
          <w:szCs w:val="24"/>
          <w:highlight w:val="none"/>
        </w:rPr>
        <w:t xml:space="preserve"> </w:t>
      </w:r>
    </w:p>
    <w:p w14:paraId="2A081C9C">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李</w:t>
      </w:r>
      <w:r>
        <w:rPr>
          <w:rFonts w:hint="eastAsia" w:ascii="宋体" w:hAnsi="宋体" w:cs="宋体"/>
          <w:color w:val="auto"/>
          <w:sz w:val="24"/>
          <w:szCs w:val="24"/>
          <w:highlight w:val="none"/>
          <w:lang w:eastAsia="zh-CN"/>
        </w:rPr>
        <w:t>老师</w:t>
      </w:r>
    </w:p>
    <w:p w14:paraId="4BEC1375">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电  话：</w:t>
      </w:r>
      <w:r>
        <w:rPr>
          <w:rFonts w:hint="eastAsia" w:ascii="宋体" w:hAnsi="宋体" w:cs="宋体"/>
          <w:color w:val="auto"/>
          <w:sz w:val="24"/>
          <w:szCs w:val="24"/>
          <w:highlight w:val="none"/>
          <w:lang w:val="en-US" w:eastAsia="zh-CN"/>
        </w:rPr>
        <w:t>023-68083205</w:t>
      </w:r>
    </w:p>
    <w:p w14:paraId="70D6EFE7">
      <w:pPr>
        <w:keepNext w:val="0"/>
        <w:keepLines w:val="0"/>
        <w:pageBreakBefore w:val="0"/>
        <w:widowControl w:val="0"/>
        <w:kinsoku/>
        <w:wordWrap/>
        <w:overflowPunct/>
        <w:topLinePunct w:val="0"/>
        <w:autoSpaceDE/>
        <w:autoSpaceDN/>
        <w:bidi w:val="0"/>
        <w:adjustRightInd/>
        <w:snapToGrid w:val="0"/>
        <w:spacing w:line="360" w:lineRule="auto"/>
        <w:ind w:firstLine="960" w:firstLineChars="4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地  址：重庆市大渡口区翠柏路104号天安数码城二期1栋14楼</w:t>
      </w:r>
      <w:r>
        <w:rPr>
          <w:rFonts w:hint="eastAsia" w:ascii="宋体" w:hAnsi="宋体" w:cs="宋体"/>
          <w:color w:val="auto"/>
          <w:sz w:val="24"/>
          <w:szCs w:val="24"/>
          <w:highlight w:val="none"/>
          <w:lang w:val="en-US" w:eastAsia="zh-CN"/>
        </w:rPr>
        <w:t>1413</w:t>
      </w:r>
      <w:r>
        <w:rPr>
          <w:rFonts w:hint="eastAsia" w:ascii="宋体" w:hAnsi="宋体" w:cs="宋体"/>
          <w:color w:val="auto"/>
          <w:sz w:val="24"/>
          <w:szCs w:val="24"/>
          <w:highlight w:val="none"/>
          <w:lang w:eastAsia="zh-CN"/>
        </w:rPr>
        <w:t xml:space="preserve">室 </w:t>
      </w:r>
    </w:p>
    <w:p w14:paraId="43E855FE">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（二）采购代理机构：重庆鼎创招标代理有限公司</w:t>
      </w:r>
    </w:p>
    <w:p w14:paraId="7E1029AD">
      <w:pPr>
        <w:snapToGrid w:val="0"/>
        <w:spacing w:line="360" w:lineRule="auto"/>
        <w:ind w:firstLine="960" w:firstLineChars="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范</w:t>
      </w:r>
      <w:r>
        <w:rPr>
          <w:rFonts w:hint="eastAsia" w:ascii="宋体" w:hAnsi="宋体" w:eastAsia="宋体" w:cs="宋体"/>
          <w:color w:val="auto"/>
          <w:sz w:val="24"/>
          <w:szCs w:val="24"/>
          <w:highlight w:val="none"/>
        </w:rPr>
        <w:t>老师</w:t>
      </w:r>
    </w:p>
    <w:p w14:paraId="430B7B89">
      <w:pPr>
        <w:spacing w:line="360" w:lineRule="auto"/>
        <w:ind w:left="1672" w:leftChars="340" w:hanging="720" w:hanging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电  话：023-67865997 </w:t>
      </w:r>
      <w:r>
        <w:rPr>
          <w:rFonts w:hint="eastAsia" w:ascii="宋体" w:hAnsi="宋体" w:eastAsia="宋体" w:cs="宋体"/>
          <w:color w:val="auto"/>
          <w:sz w:val="24"/>
          <w:szCs w:val="24"/>
          <w:highlight w:val="none"/>
          <w:lang w:val="en-US" w:eastAsia="zh-CN"/>
        </w:rPr>
        <w:t>17384098647</w:t>
      </w:r>
    </w:p>
    <w:p w14:paraId="5488A9BB">
      <w:pPr>
        <w:spacing w:line="360" w:lineRule="auto"/>
        <w:ind w:left="1912" w:leftChars="34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址：重庆市渝北区创意公园18栋2单元3-2（重庆市渝北区食品城大道18号）</w:t>
      </w:r>
    </w:p>
    <w:p w14:paraId="4BEBDB04">
      <w:pPr>
        <w:spacing w:line="460" w:lineRule="exact"/>
        <w:ind w:firstLine="480" w:firstLineChars="200"/>
        <w:rPr>
          <w:rFonts w:hint="eastAsia" w:ascii="宋体" w:hAnsi="宋体" w:eastAsia="宋体" w:cs="宋体"/>
          <w:color w:val="auto"/>
          <w:sz w:val="24"/>
          <w:szCs w:val="24"/>
          <w:highlight w:val="none"/>
        </w:rPr>
      </w:pPr>
    </w:p>
    <w:p w14:paraId="1CA21BB1">
      <w:pPr>
        <w:rPr>
          <w:rFonts w:hint="eastAsia" w:ascii="宋体" w:hAnsi="宋体" w:eastAsia="宋体" w:cs="宋体"/>
          <w:color w:val="auto"/>
          <w:highlight w:val="none"/>
        </w:rPr>
        <w:sectPr>
          <w:pgSz w:w="11907" w:h="16840"/>
          <w:pgMar w:top="1134" w:right="1418" w:bottom="1134" w:left="1418" w:header="964" w:footer="992" w:gutter="0"/>
          <w:cols w:space="720" w:num="1"/>
          <w:rtlGutter w:val="1"/>
          <w:docGrid w:linePitch="312" w:charSpace="0"/>
        </w:sectPr>
      </w:pPr>
    </w:p>
    <w:p w14:paraId="679221D9">
      <w:pPr>
        <w:pStyle w:val="3"/>
        <w:spacing w:before="0" w:after="0" w:line="360" w:lineRule="auto"/>
        <w:ind w:firstLine="720"/>
        <w:jc w:val="center"/>
        <w:rPr>
          <w:rFonts w:hint="eastAsia" w:ascii="宋体" w:hAnsi="宋体" w:eastAsia="宋体" w:cs="宋体"/>
          <w:bCs/>
          <w:color w:val="auto"/>
          <w:sz w:val="36"/>
          <w:szCs w:val="30"/>
          <w:highlight w:val="none"/>
        </w:rPr>
      </w:pPr>
      <w:bookmarkStart w:id="25" w:name="_Toc18679"/>
      <w:r>
        <w:rPr>
          <w:rFonts w:hint="eastAsia" w:ascii="宋体" w:hAnsi="宋体" w:eastAsia="宋体" w:cs="宋体"/>
          <w:bCs/>
          <w:color w:val="auto"/>
          <w:sz w:val="36"/>
          <w:szCs w:val="30"/>
          <w:highlight w:val="none"/>
        </w:rPr>
        <w:t>第二篇 采购服务需求</w:t>
      </w:r>
      <w:bookmarkEnd w:id="25"/>
      <w:bookmarkStart w:id="26" w:name="_Toc12789058"/>
    </w:p>
    <w:p w14:paraId="3051D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“※”标注的服务需求为符合性审查中的实质性要求，响应文件若不满足按无效响应处理。</w:t>
      </w:r>
    </w:p>
    <w:p w14:paraId="20163CC8">
      <w:pPr>
        <w:pStyle w:val="4"/>
        <w:spacing w:before="0" w:after="0" w:line="360" w:lineRule="auto"/>
        <w:ind w:firstLine="480"/>
        <w:rPr>
          <w:rFonts w:hint="eastAsia" w:ascii="宋体" w:hAnsi="宋体" w:eastAsia="宋体" w:cs="宋体"/>
          <w:color w:val="auto"/>
          <w:sz w:val="24"/>
          <w:szCs w:val="24"/>
          <w:highlight w:val="none"/>
        </w:rPr>
      </w:pPr>
      <w:bookmarkStart w:id="27" w:name="_Toc6432"/>
      <w:bookmarkStart w:id="28" w:name="_Toc14624"/>
      <w:bookmarkStart w:id="29" w:name="_Toc6966"/>
      <w:bookmarkStart w:id="30" w:name="_Toc16143"/>
      <w:r>
        <w:rPr>
          <w:rFonts w:hint="eastAsia" w:ascii="宋体" w:hAnsi="宋体" w:eastAsia="宋体" w:cs="宋体"/>
          <w:color w:val="auto"/>
          <w:sz w:val="24"/>
          <w:szCs w:val="24"/>
          <w:highlight w:val="none"/>
        </w:rPr>
        <w:t>一、</w:t>
      </w:r>
      <w:bookmarkEnd w:id="27"/>
      <w:bookmarkEnd w:id="28"/>
      <w:bookmarkEnd w:id="29"/>
      <w:r>
        <w:rPr>
          <w:rFonts w:hint="eastAsia" w:ascii="宋体" w:hAnsi="宋体" w:eastAsia="宋体" w:cs="宋体"/>
          <w:color w:val="auto"/>
          <w:sz w:val="24"/>
          <w:szCs w:val="24"/>
          <w:highlight w:val="none"/>
        </w:rPr>
        <w:t>采购项目一览表</w:t>
      </w:r>
      <w:bookmarkEnd w:id="30"/>
    </w:p>
    <w:tbl>
      <w:tblPr>
        <w:tblStyle w:val="57"/>
        <w:tblW w:w="96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5396"/>
        <w:gridCol w:w="1405"/>
        <w:gridCol w:w="1826"/>
      </w:tblGrid>
      <w:tr w14:paraId="658EA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B9A00B8">
            <w:pPr>
              <w:pStyle w:val="126"/>
              <w:spacing w:line="360" w:lineRule="auto"/>
              <w:ind w:left="0" w:leftChars="0" w:firstLine="0" w:firstLineChars="0"/>
              <w:jc w:val="center"/>
              <w:rPr>
                <w:rFonts w:hint="eastAsia" w:ascii="宋体" w:hAnsi="宋体" w:eastAsia="宋体" w:cs="宋体"/>
                <w:bCs/>
                <w:color w:val="auto"/>
                <w:highlight w:val="none"/>
              </w:rPr>
            </w:pPr>
            <w:bookmarkStart w:id="31" w:name="_Toc7034"/>
            <w:bookmarkStart w:id="32" w:name="_Toc32261"/>
            <w:bookmarkStart w:id="33" w:name="_Toc8134"/>
            <w:r>
              <w:rPr>
                <w:rFonts w:hint="eastAsia" w:ascii="宋体" w:hAnsi="宋体" w:eastAsia="宋体" w:cs="宋体"/>
                <w:bCs/>
                <w:color w:val="auto"/>
                <w:highlight w:val="none"/>
              </w:rPr>
              <w:t>序号</w:t>
            </w:r>
          </w:p>
        </w:tc>
        <w:tc>
          <w:tcPr>
            <w:tcW w:w="5396" w:type="dxa"/>
            <w:tcBorders>
              <w:top w:val="single" w:color="000000" w:sz="4" w:space="0"/>
              <w:left w:val="single" w:color="000000" w:sz="4" w:space="0"/>
              <w:bottom w:val="single" w:color="000000" w:sz="4" w:space="0"/>
              <w:right w:val="single" w:color="000000" w:sz="4" w:space="0"/>
            </w:tcBorders>
            <w:vAlign w:val="center"/>
          </w:tcPr>
          <w:p w14:paraId="65D43238">
            <w:pPr>
              <w:pStyle w:val="126"/>
              <w:spacing w:line="360" w:lineRule="auto"/>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工作内容</w:t>
            </w:r>
          </w:p>
        </w:tc>
        <w:tc>
          <w:tcPr>
            <w:tcW w:w="1405" w:type="dxa"/>
            <w:tcBorders>
              <w:top w:val="single" w:color="000000" w:sz="4" w:space="0"/>
              <w:left w:val="single" w:color="000000" w:sz="4" w:space="0"/>
              <w:bottom w:val="single" w:color="000000" w:sz="4" w:space="0"/>
              <w:right w:val="single" w:color="000000" w:sz="4" w:space="0"/>
            </w:tcBorders>
            <w:vAlign w:val="center"/>
          </w:tcPr>
          <w:p w14:paraId="5050E863">
            <w:pPr>
              <w:pStyle w:val="126"/>
              <w:spacing w:line="360" w:lineRule="auto"/>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数量</w:t>
            </w:r>
          </w:p>
        </w:tc>
        <w:tc>
          <w:tcPr>
            <w:tcW w:w="1826" w:type="dxa"/>
            <w:tcBorders>
              <w:top w:val="single" w:color="000000" w:sz="4" w:space="0"/>
              <w:left w:val="single" w:color="000000" w:sz="4" w:space="0"/>
              <w:bottom w:val="single" w:color="000000" w:sz="4" w:space="0"/>
              <w:right w:val="single" w:color="000000" w:sz="4" w:space="0"/>
            </w:tcBorders>
            <w:vAlign w:val="center"/>
          </w:tcPr>
          <w:p w14:paraId="085676FE">
            <w:pPr>
              <w:pStyle w:val="126"/>
              <w:spacing w:line="360" w:lineRule="auto"/>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备注</w:t>
            </w:r>
          </w:p>
        </w:tc>
      </w:tr>
      <w:tr w14:paraId="1F54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507344F">
            <w:pPr>
              <w:pStyle w:val="126"/>
              <w:spacing w:line="360" w:lineRule="auto"/>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1</w:t>
            </w:r>
          </w:p>
        </w:tc>
        <w:tc>
          <w:tcPr>
            <w:tcW w:w="5396" w:type="dxa"/>
            <w:tcBorders>
              <w:top w:val="single" w:color="000000" w:sz="4" w:space="0"/>
              <w:left w:val="single" w:color="000000" w:sz="4" w:space="0"/>
              <w:bottom w:val="single" w:color="000000" w:sz="4" w:space="0"/>
              <w:right w:val="single" w:color="000000" w:sz="4" w:space="0"/>
            </w:tcBorders>
            <w:vAlign w:val="center"/>
          </w:tcPr>
          <w:p w14:paraId="0A1C087C">
            <w:pPr>
              <w:pStyle w:val="126"/>
              <w:spacing w:line="360" w:lineRule="auto"/>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lang w:eastAsia="zh-CN"/>
              </w:rPr>
              <w:t>大渡口区</w:t>
            </w:r>
            <w:r>
              <w:rPr>
                <w:rFonts w:hint="eastAsia" w:ascii="宋体" w:hAnsi="宋体" w:eastAsia="宋体" w:cs="宋体"/>
                <w:bCs/>
                <w:color w:val="auto"/>
                <w:highlight w:val="none"/>
              </w:rPr>
              <w:t>2025年度国土变更调查工作技术服务</w:t>
            </w:r>
          </w:p>
        </w:tc>
        <w:tc>
          <w:tcPr>
            <w:tcW w:w="1405" w:type="dxa"/>
            <w:tcBorders>
              <w:top w:val="single" w:color="000000" w:sz="4" w:space="0"/>
              <w:left w:val="single" w:color="000000" w:sz="4" w:space="0"/>
              <w:bottom w:val="single" w:color="000000" w:sz="4" w:space="0"/>
              <w:right w:val="single" w:color="000000" w:sz="4" w:space="0"/>
            </w:tcBorders>
            <w:vAlign w:val="center"/>
          </w:tcPr>
          <w:p w14:paraId="51AAD330">
            <w:pPr>
              <w:pStyle w:val="126"/>
              <w:spacing w:line="360" w:lineRule="auto"/>
              <w:ind w:left="0" w:leftChars="0" w:firstLine="0" w:firstLineChars="0"/>
              <w:jc w:val="center"/>
              <w:rPr>
                <w:rFonts w:hint="eastAsia" w:ascii="宋体" w:hAnsi="宋体" w:eastAsia="宋体" w:cs="宋体"/>
                <w:bCs/>
                <w:color w:val="auto"/>
                <w:highlight w:val="none"/>
              </w:rPr>
            </w:pPr>
            <w:r>
              <w:rPr>
                <w:rFonts w:hint="eastAsia" w:ascii="宋体" w:hAnsi="宋体" w:eastAsia="宋体" w:cs="宋体"/>
                <w:bCs/>
                <w:color w:val="auto"/>
                <w:highlight w:val="none"/>
              </w:rPr>
              <w:t>1项</w:t>
            </w:r>
          </w:p>
        </w:tc>
        <w:tc>
          <w:tcPr>
            <w:tcW w:w="1826" w:type="dxa"/>
            <w:tcBorders>
              <w:top w:val="single" w:color="000000" w:sz="4" w:space="0"/>
              <w:left w:val="single" w:color="000000" w:sz="4" w:space="0"/>
              <w:right w:val="single" w:color="000000" w:sz="4" w:space="0"/>
            </w:tcBorders>
            <w:vAlign w:val="center"/>
          </w:tcPr>
          <w:p w14:paraId="41988AFD">
            <w:pPr>
              <w:pStyle w:val="126"/>
              <w:spacing w:line="360" w:lineRule="auto"/>
              <w:ind w:left="0" w:leftChars="0" w:firstLine="480" w:firstLineChars="200"/>
              <w:jc w:val="center"/>
              <w:rPr>
                <w:rFonts w:hint="eastAsia" w:ascii="宋体" w:hAnsi="宋体" w:eastAsia="宋体" w:cs="宋体"/>
                <w:bCs/>
                <w:color w:val="auto"/>
                <w:highlight w:val="none"/>
              </w:rPr>
            </w:pPr>
          </w:p>
        </w:tc>
      </w:tr>
    </w:tbl>
    <w:p w14:paraId="2964EB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2"/>
          <w:sz w:val="24"/>
          <w:highlight w:val="none"/>
          <w:lang w:val="en-US" w:eastAsia="zh-CN" w:bidi="ar-SA"/>
        </w:rPr>
      </w:pPr>
      <w:bookmarkStart w:id="34" w:name="_Toc19293"/>
      <w:r>
        <w:rPr>
          <w:rFonts w:hint="eastAsia" w:ascii="宋体" w:hAnsi="宋体" w:eastAsia="宋体" w:cs="宋体"/>
          <w:b/>
          <w:bCs w:val="0"/>
          <w:color w:val="auto"/>
          <w:kern w:val="2"/>
          <w:sz w:val="24"/>
          <w:highlight w:val="none"/>
          <w:lang w:val="en-US" w:eastAsia="zh-CN" w:bidi="ar-SA"/>
        </w:rPr>
        <w:t>注:本表无需在《服务响应偏离表》中响应。</w:t>
      </w:r>
    </w:p>
    <w:p w14:paraId="1AD8BD36">
      <w:pPr>
        <w:pStyle w:val="4"/>
        <w:spacing w:before="0" w:after="0" w:line="360" w:lineRule="auto"/>
        <w:ind w:firstLine="480"/>
        <w:rPr>
          <w:rFonts w:hint="eastAsia" w:ascii="宋体" w:hAnsi="宋体" w:eastAsia="宋体" w:cs="宋体"/>
          <w:color w:val="auto"/>
          <w:sz w:val="24"/>
          <w:szCs w:val="24"/>
          <w:highlight w:val="none"/>
        </w:rPr>
      </w:pPr>
      <w:bookmarkStart w:id="35" w:name="_Toc28846"/>
      <w:r>
        <w:rPr>
          <w:rFonts w:hint="eastAsia" w:ascii="宋体" w:hAnsi="宋体" w:eastAsia="宋体" w:cs="宋体"/>
          <w:b/>
          <w:bCs w:val="0"/>
          <w:color w:val="auto"/>
          <w:highlight w:val="none"/>
        </w:rPr>
        <w:t>※</w:t>
      </w:r>
      <w:r>
        <w:rPr>
          <w:rFonts w:hint="eastAsia" w:ascii="宋体" w:hAnsi="宋体" w:eastAsia="宋体" w:cs="宋体"/>
          <w:color w:val="auto"/>
          <w:sz w:val="24"/>
          <w:szCs w:val="24"/>
          <w:highlight w:val="none"/>
        </w:rPr>
        <w:t>二、</w:t>
      </w:r>
      <w:bookmarkEnd w:id="31"/>
      <w:bookmarkEnd w:id="32"/>
      <w:bookmarkEnd w:id="33"/>
      <w:bookmarkEnd w:id="34"/>
      <w:r>
        <w:rPr>
          <w:rFonts w:hint="eastAsia" w:ascii="宋体" w:hAnsi="宋体" w:eastAsia="宋体" w:cs="宋体"/>
          <w:color w:val="auto"/>
          <w:sz w:val="24"/>
          <w:szCs w:val="24"/>
          <w:highlight w:val="none"/>
        </w:rPr>
        <w:t>服务范围、要求及标准</w:t>
      </w:r>
      <w:bookmarkEnd w:id="35"/>
    </w:p>
    <w:p w14:paraId="2E0DA54E">
      <w:pPr>
        <w:pStyle w:val="126"/>
        <w:spacing w:line="360" w:lineRule="auto"/>
        <w:ind w:left="0" w:leftChars="0" w:firstLine="566" w:firstLineChars="236"/>
        <w:rPr>
          <w:rFonts w:hint="eastAsia" w:ascii="宋体" w:hAnsi="宋体" w:eastAsia="宋体" w:cs="宋体"/>
          <w:bCs/>
          <w:color w:val="auto"/>
          <w:highlight w:val="none"/>
        </w:rPr>
      </w:pPr>
      <w:r>
        <w:rPr>
          <w:rFonts w:hint="eastAsia" w:ascii="宋体" w:hAnsi="宋体" w:eastAsia="宋体" w:cs="宋体"/>
          <w:bCs/>
          <w:color w:val="auto"/>
          <w:highlight w:val="none"/>
        </w:rPr>
        <w:t>(一)项目概况</w:t>
      </w:r>
    </w:p>
    <w:p w14:paraId="3CE32C7A">
      <w:pPr>
        <w:pStyle w:val="126"/>
        <w:spacing w:line="360" w:lineRule="auto"/>
        <w:ind w:left="0" w:leftChars="0" w:firstLine="566" w:firstLineChars="236"/>
        <w:rPr>
          <w:rFonts w:hint="eastAsia" w:ascii="宋体" w:hAnsi="宋体" w:eastAsia="宋体" w:cs="宋体"/>
          <w:bCs/>
          <w:color w:val="auto"/>
          <w:highlight w:val="none"/>
        </w:rPr>
      </w:pPr>
      <w:r>
        <w:rPr>
          <w:rFonts w:hint="eastAsia" w:ascii="宋体" w:hAnsi="宋体" w:eastAsia="宋体" w:cs="宋体"/>
          <w:bCs/>
          <w:color w:val="auto"/>
          <w:highlight w:val="none"/>
        </w:rPr>
        <w:t>根据《重庆市规划和自然资源局关于进一步提高国土变更调查成果质量切实保证数据真实性的通知》（渝规资办〔2024〕24号）</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《自然资源部 国家林业和草原局关于优化年度国土变更调查规范调查成果应用的通知》（自然资发〔2025〕128号）</w:t>
      </w:r>
      <w:r>
        <w:rPr>
          <w:rFonts w:hint="eastAsia" w:ascii="宋体" w:hAnsi="宋体" w:eastAsia="宋体" w:cs="宋体"/>
          <w:bCs/>
          <w:color w:val="auto"/>
          <w:highlight w:val="none"/>
          <w:lang w:eastAsia="zh-CN"/>
        </w:rPr>
        <w:t>以及《自然资源部办公厅</w:t>
      </w:r>
      <w:r>
        <w:rPr>
          <w:rFonts w:hint="eastAsia" w:ascii="宋体" w:hAnsi="宋体" w:eastAsia="宋体" w:cs="宋体"/>
          <w:bCs/>
          <w:color w:val="auto"/>
          <w:highlight w:val="none"/>
          <w:lang w:val="en-US" w:eastAsia="zh-CN"/>
        </w:rPr>
        <w:t xml:space="preserve"> 国家林业和草原局关于开展2025年全国国土变更调查及森林草原湿地荒漠调查监测工作的通知</w:t>
      </w:r>
      <w:r>
        <w:rPr>
          <w:rFonts w:hint="eastAsia" w:ascii="宋体" w:hAnsi="宋体" w:eastAsia="宋体" w:cs="宋体"/>
          <w:bCs/>
          <w:color w:val="auto"/>
          <w:highlight w:val="none"/>
          <w:lang w:eastAsia="zh-CN"/>
        </w:rPr>
        <w:t>》（自然资办发</w:t>
      </w:r>
      <w:r>
        <w:rPr>
          <w:rFonts w:hint="eastAsia" w:ascii="宋体" w:hAnsi="宋体" w:eastAsia="宋体" w:cs="宋体"/>
          <w:bCs/>
          <w:color w:val="auto"/>
          <w:highlight w:val="none"/>
          <w:lang w:val="en-US" w:eastAsia="zh-CN"/>
        </w:rPr>
        <w:t>[2025]33号</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文件要求，组织开展</w:t>
      </w:r>
      <w:r>
        <w:rPr>
          <w:rFonts w:hint="eastAsia" w:ascii="宋体" w:hAnsi="宋体" w:eastAsia="宋体" w:cs="宋体"/>
          <w:bCs/>
          <w:color w:val="auto"/>
          <w:highlight w:val="none"/>
          <w:lang w:eastAsia="zh-CN"/>
        </w:rPr>
        <w:t>大渡口区</w:t>
      </w:r>
      <w:r>
        <w:rPr>
          <w:rFonts w:hint="eastAsia" w:ascii="宋体" w:hAnsi="宋体" w:eastAsia="宋体" w:cs="宋体"/>
          <w:bCs/>
          <w:color w:val="auto"/>
          <w:highlight w:val="none"/>
        </w:rPr>
        <w:t>2025年度国土变更调查工作。</w:t>
      </w:r>
    </w:p>
    <w:p w14:paraId="66C48591">
      <w:pPr>
        <w:pStyle w:val="126"/>
        <w:spacing w:line="360" w:lineRule="auto"/>
        <w:ind w:left="0" w:leftChars="0" w:firstLine="566" w:firstLineChars="236"/>
        <w:rPr>
          <w:rFonts w:hint="eastAsia" w:ascii="宋体" w:hAnsi="宋体" w:eastAsia="宋体" w:cs="宋体"/>
          <w:bCs/>
          <w:color w:val="auto"/>
          <w:highlight w:val="none"/>
        </w:rPr>
      </w:pPr>
      <w:r>
        <w:rPr>
          <w:rFonts w:hint="eastAsia" w:ascii="宋体" w:hAnsi="宋体" w:eastAsia="宋体" w:cs="宋体"/>
          <w:bCs/>
          <w:color w:val="auto"/>
          <w:highlight w:val="none"/>
        </w:rPr>
        <w:t>(二)服务内容及要求</w:t>
      </w:r>
    </w:p>
    <w:p w14:paraId="253AB77E">
      <w:pPr>
        <w:pStyle w:val="126"/>
        <w:spacing w:line="360" w:lineRule="auto"/>
        <w:ind w:left="0" w:leftChars="0" w:firstLine="566" w:firstLineChars="236"/>
        <w:rPr>
          <w:rFonts w:hint="eastAsia" w:ascii="宋体" w:hAnsi="宋体" w:eastAsia="宋体" w:cs="宋体"/>
          <w:bCs/>
          <w:color w:val="auto"/>
          <w:highlight w:val="none"/>
        </w:rPr>
      </w:pPr>
      <w:r>
        <w:rPr>
          <w:rFonts w:hint="eastAsia" w:ascii="宋体" w:hAnsi="宋体" w:eastAsia="宋体" w:cs="宋体"/>
          <w:bCs/>
          <w:color w:val="auto"/>
          <w:highlight w:val="none"/>
        </w:rPr>
        <w:t>1</w:t>
      </w:r>
      <w:r>
        <w:rPr>
          <w:rFonts w:hint="eastAsia" w:ascii="宋体" w:hAnsi="宋体" w:cs="宋体"/>
          <w:bCs/>
          <w:color w:val="auto"/>
          <w:highlight w:val="none"/>
          <w:lang w:eastAsia="zh-CN"/>
        </w:rPr>
        <w:t>、</w:t>
      </w:r>
      <w:r>
        <w:rPr>
          <w:rFonts w:hint="eastAsia" w:ascii="宋体" w:hAnsi="宋体" w:eastAsia="宋体" w:cs="宋体"/>
          <w:bCs/>
          <w:color w:val="auto"/>
          <w:highlight w:val="none"/>
        </w:rPr>
        <w:t>开展全域全要素变更</w:t>
      </w:r>
    </w:p>
    <w:p w14:paraId="3FC81D65">
      <w:pPr>
        <w:pStyle w:val="126"/>
        <w:spacing w:line="360" w:lineRule="auto"/>
        <w:ind w:left="0" w:leftChars="0" w:firstLine="566" w:firstLineChars="236"/>
        <w:rPr>
          <w:rFonts w:hint="eastAsia" w:ascii="宋体" w:hAnsi="宋体" w:cs="宋体"/>
          <w:bCs/>
          <w:color w:val="auto"/>
          <w:highlight w:val="none"/>
          <w:lang w:eastAsia="zh-CN"/>
        </w:rPr>
      </w:pPr>
      <w:r>
        <w:rPr>
          <w:rFonts w:hint="eastAsia" w:ascii="宋体" w:hAnsi="宋体" w:cs="宋体"/>
          <w:bCs/>
          <w:color w:val="auto"/>
          <w:highlight w:val="none"/>
          <w:lang w:val="en-US" w:eastAsia="zh-CN"/>
        </w:rPr>
        <w:t>1.1</w:t>
      </w:r>
      <w:r>
        <w:rPr>
          <w:rFonts w:hint="eastAsia" w:ascii="宋体" w:hAnsi="宋体" w:eastAsia="宋体" w:cs="宋体"/>
          <w:bCs/>
          <w:color w:val="auto"/>
          <w:highlight w:val="none"/>
        </w:rPr>
        <w:t>制作调查工作</w:t>
      </w:r>
      <w:r>
        <w:rPr>
          <w:rFonts w:hint="eastAsia" w:ascii="宋体" w:hAnsi="宋体" w:eastAsia="宋体" w:cs="宋体"/>
          <w:bCs/>
          <w:color w:val="auto"/>
          <w:highlight w:val="none"/>
          <w:lang w:eastAsia="zh-CN"/>
        </w:rPr>
        <w:t>底</w:t>
      </w:r>
      <w:r>
        <w:rPr>
          <w:rFonts w:hint="eastAsia" w:ascii="宋体" w:hAnsi="宋体" w:eastAsia="宋体" w:cs="宋体"/>
          <w:bCs/>
          <w:color w:val="auto"/>
          <w:highlight w:val="none"/>
        </w:rPr>
        <w:t>图。以自然资源部统一下发的正射影像图为基础，比对上年度国土变更调查数据库地类，结合2025年度日常变更，耕林空间改革试点，各类用地管理信息及各类自然资源监测监管等成果，分类型提取的年度国土利用疑似变化图斑等，制作变更调查工作底图</w:t>
      </w:r>
      <w:r>
        <w:rPr>
          <w:rFonts w:hint="eastAsia" w:ascii="宋体" w:hAnsi="宋体" w:cs="宋体"/>
          <w:bCs/>
          <w:color w:val="auto"/>
          <w:highlight w:val="none"/>
          <w:lang w:eastAsia="zh-CN"/>
        </w:rPr>
        <w:t>；</w:t>
      </w:r>
    </w:p>
    <w:p w14:paraId="7B3DB195">
      <w:pPr>
        <w:pStyle w:val="126"/>
        <w:spacing w:line="360" w:lineRule="auto"/>
        <w:ind w:left="0" w:leftChars="0" w:firstLine="566" w:firstLineChars="236"/>
        <w:rPr>
          <w:rFonts w:hint="eastAsia" w:ascii="宋体" w:hAnsi="宋体" w:eastAsia="宋体" w:cs="宋体"/>
          <w:bCs/>
          <w:color w:val="auto"/>
          <w:highlight w:val="none"/>
        </w:rPr>
      </w:pPr>
      <w:r>
        <w:rPr>
          <w:rFonts w:hint="eastAsia" w:ascii="宋体" w:hAnsi="宋体" w:cs="宋体"/>
          <w:bCs/>
          <w:color w:val="auto"/>
          <w:highlight w:val="none"/>
          <w:lang w:val="en-US" w:eastAsia="zh-CN"/>
        </w:rPr>
        <w:t>1.2</w:t>
      </w:r>
      <w:r>
        <w:rPr>
          <w:rFonts w:hint="eastAsia" w:ascii="宋体" w:hAnsi="宋体" w:eastAsia="宋体" w:cs="宋体"/>
          <w:bCs/>
          <w:color w:val="auto"/>
          <w:highlight w:val="none"/>
        </w:rPr>
        <w:t>开展实地调查举证。按照地类认定标准，逐图斑核查图斑信息，全面掌握图斑地类、面积、属性及相关单独图层信息等变化情况；</w:t>
      </w:r>
    </w:p>
    <w:p w14:paraId="6FBBBBE6">
      <w:pPr>
        <w:pStyle w:val="126"/>
        <w:spacing w:line="360" w:lineRule="auto"/>
        <w:ind w:left="0" w:leftChars="0" w:firstLine="566" w:firstLineChars="236"/>
        <w:rPr>
          <w:rFonts w:hint="eastAsia" w:ascii="宋体" w:hAnsi="宋体" w:eastAsia="宋体" w:cs="宋体"/>
          <w:bCs/>
          <w:color w:val="auto"/>
          <w:highlight w:val="none"/>
        </w:rPr>
      </w:pPr>
      <w:r>
        <w:rPr>
          <w:rFonts w:hint="eastAsia" w:ascii="宋体" w:hAnsi="宋体" w:cs="宋体"/>
          <w:bCs/>
          <w:color w:val="auto"/>
          <w:highlight w:val="none"/>
          <w:lang w:val="en-US" w:eastAsia="zh-CN"/>
        </w:rPr>
        <w:t>1.3</w:t>
      </w:r>
      <w:r>
        <w:rPr>
          <w:rFonts w:hint="eastAsia" w:ascii="宋体" w:hAnsi="宋体" w:eastAsia="宋体" w:cs="宋体"/>
          <w:bCs/>
          <w:color w:val="auto"/>
          <w:highlight w:val="none"/>
        </w:rPr>
        <w:t>数据库更新。在部下发的2024年度国土调查数据库基础上，基于地类核查成果、日常变更成果以及耕林改革试点等工作成果，按照数据库更新技术要求，形成年度国土变更调查成果。</w:t>
      </w:r>
    </w:p>
    <w:p w14:paraId="1554AF06">
      <w:pPr>
        <w:pStyle w:val="126"/>
        <w:numPr>
          <w:ilvl w:val="0"/>
          <w:numId w:val="0"/>
        </w:numPr>
        <w:spacing w:line="360" w:lineRule="auto"/>
        <w:ind w:left="0" w:leftChars="0" w:firstLine="566" w:firstLineChars="236"/>
        <w:rPr>
          <w:rFonts w:hint="eastAsia" w:ascii="宋体" w:hAnsi="宋体" w:cs="宋体"/>
          <w:bCs/>
          <w:color w:val="auto"/>
          <w:highlight w:val="none"/>
          <w:lang w:eastAsia="zh-CN"/>
        </w:rPr>
      </w:pPr>
      <w:r>
        <w:rPr>
          <w:rFonts w:hint="eastAsia" w:ascii="宋体" w:hAnsi="宋体" w:eastAsia="宋体" w:cs="宋体"/>
          <w:bCs/>
          <w:color w:val="auto"/>
          <w:kern w:val="2"/>
          <w:sz w:val="24"/>
          <w:lang w:val="en-US" w:eastAsia="zh-CN" w:bidi="ar-SA"/>
        </w:rPr>
        <w:t>2</w:t>
      </w:r>
      <w:r>
        <w:rPr>
          <w:rFonts w:hint="eastAsia" w:ascii="宋体" w:hAnsi="宋体" w:cs="宋体"/>
          <w:bCs/>
          <w:color w:val="auto"/>
          <w:kern w:val="2"/>
          <w:sz w:val="24"/>
          <w:lang w:val="en-US" w:eastAsia="zh-CN" w:bidi="ar-SA"/>
        </w:rPr>
        <w:t>、</w:t>
      </w:r>
      <w:r>
        <w:rPr>
          <w:rFonts w:hint="eastAsia" w:ascii="宋体" w:hAnsi="宋体" w:eastAsia="宋体" w:cs="宋体"/>
          <w:bCs/>
          <w:color w:val="auto"/>
          <w:highlight w:val="none"/>
        </w:rPr>
        <w:t>衔接耕林空间改革试点成果</w:t>
      </w:r>
    </w:p>
    <w:p w14:paraId="54B7EE9A">
      <w:pPr>
        <w:pStyle w:val="126"/>
        <w:numPr>
          <w:ilvl w:val="0"/>
          <w:numId w:val="0"/>
        </w:numPr>
        <w:spacing w:line="360" w:lineRule="auto"/>
        <w:ind w:left="0" w:leftChars="0" w:firstLine="566" w:firstLineChars="236"/>
        <w:rPr>
          <w:rFonts w:hint="eastAsia" w:ascii="宋体" w:hAnsi="宋体" w:cs="宋体"/>
          <w:bCs/>
          <w:color w:val="auto"/>
          <w:highlight w:val="none"/>
          <w:lang w:eastAsia="zh-CN"/>
        </w:rPr>
      </w:pPr>
      <w:r>
        <w:rPr>
          <w:rFonts w:hint="eastAsia" w:ascii="宋体" w:hAnsi="宋体" w:cs="宋体"/>
          <w:bCs/>
          <w:color w:val="auto"/>
          <w:kern w:val="2"/>
          <w:sz w:val="24"/>
          <w:lang w:val="en-US" w:eastAsia="zh-CN" w:bidi="ar-SA"/>
        </w:rPr>
        <w:t>2.1</w:t>
      </w:r>
      <w:r>
        <w:rPr>
          <w:rFonts w:hint="eastAsia" w:ascii="宋体" w:hAnsi="宋体" w:eastAsia="宋体" w:cs="宋体"/>
          <w:bCs/>
          <w:color w:val="auto"/>
          <w:highlight w:val="none"/>
        </w:rPr>
        <w:t>收集耕林空间改革试点中锁定的存量农业结构调整、耕地保护红线内退耕还林还草、自然撂荒成林，“三个一批”等成果数据的数量、类型、位置</w:t>
      </w:r>
      <w:r>
        <w:rPr>
          <w:rFonts w:hint="eastAsia" w:ascii="宋体" w:hAnsi="宋体" w:cs="宋体"/>
          <w:bCs/>
          <w:color w:val="auto"/>
          <w:highlight w:val="none"/>
          <w:lang w:eastAsia="zh-CN"/>
        </w:rPr>
        <w:t>；</w:t>
      </w:r>
    </w:p>
    <w:p w14:paraId="2CE34AB3">
      <w:pPr>
        <w:pStyle w:val="126"/>
        <w:numPr>
          <w:ilvl w:val="0"/>
          <w:numId w:val="0"/>
        </w:numPr>
        <w:spacing w:line="360" w:lineRule="auto"/>
        <w:ind w:left="0" w:leftChars="0" w:firstLine="566" w:firstLineChars="236"/>
        <w:rPr>
          <w:rFonts w:hint="eastAsia" w:ascii="宋体" w:hAnsi="宋体" w:eastAsia="宋体" w:cs="宋体"/>
          <w:bCs/>
          <w:color w:val="auto"/>
          <w:highlight w:val="none"/>
        </w:rPr>
      </w:pPr>
      <w:r>
        <w:rPr>
          <w:rFonts w:hint="eastAsia" w:ascii="宋体" w:hAnsi="宋体" w:cs="宋体"/>
          <w:bCs/>
          <w:color w:val="auto"/>
          <w:highlight w:val="none"/>
          <w:lang w:val="en-US" w:eastAsia="zh-CN"/>
        </w:rPr>
        <w:t>2.2</w:t>
      </w:r>
      <w:r>
        <w:rPr>
          <w:rFonts w:hint="eastAsia" w:ascii="宋体" w:hAnsi="宋体" w:eastAsia="宋体" w:cs="宋体"/>
          <w:bCs/>
          <w:color w:val="auto"/>
          <w:highlight w:val="none"/>
        </w:rPr>
        <w:t>将收集成果在年度数据库中进行上图，并按照建库要求标注“202X种植用途临时调整”、“未耕种”、“生态林置换调入地块”、“退耕还经济林”等。</w:t>
      </w:r>
    </w:p>
    <w:p w14:paraId="63877A0C">
      <w:pPr>
        <w:pStyle w:val="126"/>
        <w:spacing w:line="360" w:lineRule="auto"/>
        <w:ind w:left="0" w:leftChars="0" w:firstLine="566" w:firstLineChars="236"/>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w:t>
      </w:r>
      <w:r>
        <w:rPr>
          <w:rFonts w:hint="eastAsia" w:ascii="宋体" w:hAnsi="宋体" w:eastAsia="宋体" w:cs="宋体"/>
          <w:bCs/>
          <w:color w:val="auto"/>
          <w:highlight w:val="none"/>
        </w:rPr>
        <w:t>其他相关工作。以上工作内容若有遗漏部分及最新要求，按照自然资源部、市规划和自然资源局最新要求及采购人的要求为准。</w:t>
      </w:r>
    </w:p>
    <w:p w14:paraId="1A0C573E">
      <w:pPr>
        <w:pStyle w:val="4"/>
        <w:spacing w:before="0" w:after="0" w:line="360" w:lineRule="auto"/>
        <w:ind w:firstLine="480"/>
        <w:rPr>
          <w:rFonts w:hint="eastAsia" w:ascii="宋体" w:hAnsi="宋体" w:eastAsia="宋体" w:cs="宋体"/>
          <w:color w:val="auto"/>
          <w:sz w:val="24"/>
          <w:szCs w:val="24"/>
          <w:highlight w:val="none"/>
          <w:lang w:val="en-US" w:eastAsia="zh-CN"/>
        </w:rPr>
      </w:pPr>
      <w:bookmarkStart w:id="36" w:name="_Toc2241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主要技术指标</w:t>
      </w:r>
      <w:bookmarkEnd w:id="36"/>
    </w:p>
    <w:p w14:paraId="223CF4DB">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（一）数学基础：采用2000国家大地坐标系、1985国家高程基准、高斯-克吕格投影；</w:t>
      </w:r>
    </w:p>
    <w:p w14:paraId="178A4CA1">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 xml:space="preserve">（二）分类标准：《第三次全国国土调查工作分类》及相关实施方案要求； </w:t>
      </w:r>
    </w:p>
    <w:p w14:paraId="2FAA7283">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（三）技术标准：</w:t>
      </w:r>
    </w:p>
    <w:p w14:paraId="38F7E402">
      <w:pPr>
        <w:spacing w:line="360" w:lineRule="auto"/>
        <w:ind w:firstLine="480" w:firstLineChars="200"/>
        <w:rPr>
          <w:rFonts w:hint="eastAsia" w:ascii="宋体" w:hAnsi="宋体" w:eastAsia="宋体" w:cs="宋体"/>
          <w:bCs/>
          <w:color w:val="auto"/>
          <w:kern w:val="2"/>
          <w:sz w:val="24"/>
          <w:highlight w:val="none"/>
          <w:lang w:val="en-US" w:eastAsia="zh-CN" w:bidi="ar-SA"/>
        </w:rPr>
      </w:pPr>
      <w:bookmarkStart w:id="37" w:name="_Hlk153717704"/>
      <w:r>
        <w:rPr>
          <w:rFonts w:hint="eastAsia" w:ascii="宋体" w:hAnsi="宋体" w:eastAsia="宋体" w:cs="宋体"/>
          <w:bCs/>
          <w:color w:val="auto"/>
          <w:kern w:val="2"/>
          <w:sz w:val="24"/>
          <w:highlight w:val="none"/>
          <w:lang w:val="en-US" w:eastAsia="zh-CN" w:bidi="ar-SA"/>
        </w:rPr>
        <w:t>（1）国土变更调查技术规程；</w:t>
      </w:r>
    </w:p>
    <w:p w14:paraId="18F2E118">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（2）TD/T 1057-2020 国土调查数据库标准；</w:t>
      </w:r>
    </w:p>
    <w:p w14:paraId="38B20A52">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 xml:space="preserve">（3）TD/T 1058-2020 第三次全国国土调查县级数据库建设技术规范；  </w:t>
      </w:r>
    </w:p>
    <w:p w14:paraId="2142B2E6">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 xml:space="preserve">（4）自然资办发[2020]5号 国土空间调查、规划、用途管制用地用海分类指南（试行）；  </w:t>
      </w:r>
    </w:p>
    <w:p w14:paraId="16D5E37F">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（5）GB/T 13989-2012  国家基本比例尺地形图分幅和编号；</w:t>
      </w:r>
    </w:p>
    <w:p w14:paraId="26852C9F">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（6）GB 35650-2017  国家基本比例尺地图测绘基本技术规定；</w:t>
      </w:r>
    </w:p>
    <w:p w14:paraId="5E0D8D0D">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（7）CH/T 9009.2-2010  基础地理信息数字成果1：5 000、1：10 000、1：25 000、1：50 000、1：100 000 数字高程模型；</w:t>
      </w:r>
    </w:p>
    <w:p w14:paraId="6EA88F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（8）该项目相关的最新实施方案和技术规定</w:t>
      </w:r>
      <w:bookmarkEnd w:id="37"/>
      <w:r>
        <w:rPr>
          <w:rFonts w:hint="eastAsia" w:ascii="宋体" w:hAnsi="宋体" w:eastAsia="宋体" w:cs="宋体"/>
          <w:bCs/>
          <w:color w:val="auto"/>
          <w:kern w:val="2"/>
          <w:sz w:val="24"/>
          <w:highlight w:val="none"/>
          <w:lang w:val="en-US" w:eastAsia="zh-CN" w:bidi="ar-SA"/>
        </w:rPr>
        <w:t>。</w:t>
      </w:r>
    </w:p>
    <w:p w14:paraId="67C9F974">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color w:val="auto"/>
          <w:sz w:val="24"/>
          <w:szCs w:val="16"/>
          <w:lang w:val="en-US" w:eastAsia="zh-CN"/>
        </w:rPr>
      </w:pPr>
      <w:bookmarkStart w:id="38" w:name="_Toc18799"/>
      <w:r>
        <w:rPr>
          <w:rFonts w:hint="eastAsia"/>
          <w:color w:val="auto"/>
          <w:sz w:val="24"/>
          <w:szCs w:val="16"/>
          <w:lang w:val="en-US" w:eastAsia="zh-CN"/>
        </w:rPr>
        <w:t>※四、成果要求</w:t>
      </w:r>
      <w:bookmarkEnd w:id="38"/>
    </w:p>
    <w:p w14:paraId="3AB4AF3A">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（一）成果资料，应包括矢量、举证资料、汇总统计数据、文字报告等。</w:t>
      </w:r>
    </w:p>
    <w:p w14:paraId="189817F7">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（二）变更数据库应通过国家软件质检，变更成果通过市级核查和国家核查。</w:t>
      </w:r>
    </w:p>
    <w:p w14:paraId="4281867E">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color w:val="auto"/>
          <w:sz w:val="24"/>
          <w:szCs w:val="16"/>
          <w:lang w:val="en-US" w:eastAsia="zh-CN"/>
        </w:rPr>
      </w:pPr>
      <w:bookmarkStart w:id="39" w:name="_Toc29497"/>
      <w:bookmarkStart w:id="40" w:name="_Toc18762"/>
      <w:r>
        <w:rPr>
          <w:rFonts w:hint="eastAsia"/>
          <w:color w:val="auto"/>
          <w:sz w:val="24"/>
          <w:szCs w:val="16"/>
          <w:lang w:val="en-US" w:eastAsia="zh-CN"/>
        </w:rPr>
        <w:t>※五、涉密信息管理及要求</w:t>
      </w:r>
      <w:bookmarkEnd w:id="39"/>
    </w:p>
    <w:p w14:paraId="18C3D0E4">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本项目涉及的地理信息资料、数据库等成果，应当严格按照国家测绘、保密法律法规规定，加强安全保密管理工作，建立完善的保密管理制度。</w:t>
      </w:r>
    </w:p>
    <w:p w14:paraId="730EA6DA">
      <w:pPr>
        <w:pStyle w:val="4"/>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color w:val="auto"/>
          <w:sz w:val="24"/>
          <w:szCs w:val="16"/>
          <w:lang w:val="en-US" w:eastAsia="zh-CN"/>
        </w:rPr>
      </w:pPr>
      <w:bookmarkStart w:id="41" w:name="_Toc24252"/>
      <w:r>
        <w:rPr>
          <w:rFonts w:hint="eastAsia"/>
          <w:color w:val="auto"/>
          <w:sz w:val="24"/>
          <w:szCs w:val="16"/>
          <w:lang w:val="en-US" w:eastAsia="zh-CN"/>
        </w:rPr>
        <w:t>※六、</w:t>
      </w:r>
      <w:bookmarkEnd w:id="40"/>
      <w:bookmarkStart w:id="42" w:name="_Toc31102"/>
      <w:bookmarkStart w:id="43" w:name="_Toc23055"/>
      <w:r>
        <w:rPr>
          <w:rFonts w:hint="eastAsia"/>
          <w:color w:val="auto"/>
          <w:sz w:val="24"/>
          <w:szCs w:val="16"/>
          <w:lang w:val="en-US" w:eastAsia="zh-CN"/>
        </w:rPr>
        <w:t>安全生产</w:t>
      </w:r>
      <w:bookmarkEnd w:id="41"/>
      <w:bookmarkEnd w:id="42"/>
      <w:bookmarkEnd w:id="43"/>
    </w:p>
    <w:p w14:paraId="5C1536B7">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（一）开展本项工作时，必须严格执行国家相关安全生产规定，切实加强安全生产制度建设和安全管理，做好安全教育培训，防止发生安全事故。</w:t>
      </w:r>
    </w:p>
    <w:p w14:paraId="715CA476">
      <w:pPr>
        <w:spacing w:line="360" w:lineRule="auto"/>
        <w:ind w:firstLine="480" w:firstLineChars="200"/>
        <w:rPr>
          <w:rFonts w:hint="eastAsia" w:ascii="宋体" w:hAnsi="宋体" w:eastAsia="宋体" w:cs="宋体"/>
          <w:bCs/>
          <w:color w:val="auto"/>
          <w:kern w:val="2"/>
          <w:sz w:val="24"/>
          <w:highlight w:val="none"/>
          <w:lang w:val="en-US" w:eastAsia="zh-CN" w:bidi="ar-SA"/>
        </w:rPr>
        <w:sectPr>
          <w:footerReference r:id="rId8" w:type="default"/>
          <w:pgSz w:w="11907" w:h="16840"/>
          <w:pgMar w:top="1134" w:right="1191" w:bottom="1134" w:left="1304" w:header="850" w:footer="992" w:gutter="0"/>
          <w:cols w:space="720" w:num="1"/>
          <w:rtlGutter w:val="1"/>
          <w:docGrid w:linePitch="312" w:charSpace="0"/>
        </w:sectPr>
      </w:pPr>
      <w:r>
        <w:rPr>
          <w:rFonts w:hint="eastAsia" w:ascii="宋体" w:hAnsi="宋体" w:eastAsia="宋体" w:cs="宋体"/>
          <w:bCs/>
          <w:color w:val="auto"/>
          <w:kern w:val="2"/>
          <w:sz w:val="24"/>
          <w:highlight w:val="none"/>
          <w:lang w:val="en-US" w:eastAsia="zh-CN" w:bidi="ar-SA"/>
        </w:rPr>
        <w:t>（二）工作人员开展外业调查前，要认真做好各项准备工作，充分了解调查区域环境、工作条件等情况，制定严格的安全防范措施，对交通、饮食等可能出现的安全问题提前进行预防。工作人员进入调查区域后，要遵守道路交通、森林防火、水域管理等安全管理规定，并听从当地干部群众对涉及人身安全保护方面的建议。对地形复杂、环境恶劣的特殊地区进行调查作业时，要采取有效的防护措施，确保人身、财产的安全。</w:t>
      </w:r>
    </w:p>
    <w:bookmarkEnd w:id="26"/>
    <w:p w14:paraId="68442FFF">
      <w:pPr>
        <w:pStyle w:val="3"/>
        <w:spacing w:before="0" w:after="0" w:line="360" w:lineRule="auto"/>
        <w:ind w:firstLine="2530" w:firstLineChars="700"/>
        <w:rPr>
          <w:rFonts w:hint="eastAsia" w:ascii="宋体" w:hAnsi="宋体" w:eastAsia="宋体" w:cs="宋体"/>
          <w:bCs/>
          <w:color w:val="auto"/>
          <w:sz w:val="36"/>
          <w:szCs w:val="30"/>
          <w:highlight w:val="none"/>
        </w:rPr>
      </w:pPr>
      <w:bookmarkStart w:id="44" w:name="_Toc27651"/>
      <w:bookmarkStart w:id="45" w:name="_Toc13985"/>
      <w:r>
        <w:rPr>
          <w:rFonts w:hint="eastAsia" w:ascii="宋体" w:hAnsi="宋体" w:eastAsia="宋体" w:cs="宋体"/>
          <w:bCs/>
          <w:color w:val="auto"/>
          <w:sz w:val="36"/>
          <w:szCs w:val="30"/>
          <w:highlight w:val="none"/>
        </w:rPr>
        <w:t>第三篇  采购商务需求</w:t>
      </w:r>
      <w:bookmarkEnd w:id="44"/>
      <w:bookmarkEnd w:id="45"/>
    </w:p>
    <w:p w14:paraId="46BB36E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“※”标注的商务需求为符合性审查中的实质性要求，响应文件若不满足按无效响应处理。</w:t>
      </w:r>
    </w:p>
    <w:p w14:paraId="71BBB3DE">
      <w:pPr>
        <w:pStyle w:val="4"/>
        <w:spacing w:before="0" w:after="0" w:line="360" w:lineRule="auto"/>
        <w:ind w:firstLine="480"/>
        <w:rPr>
          <w:rFonts w:hint="eastAsia" w:ascii="宋体" w:hAnsi="宋体" w:eastAsia="宋体" w:cs="宋体"/>
          <w:color w:val="auto"/>
          <w:sz w:val="24"/>
          <w:szCs w:val="24"/>
          <w:highlight w:val="none"/>
        </w:rPr>
      </w:pPr>
      <w:bookmarkStart w:id="46" w:name="_Toc30060"/>
      <w:bookmarkStart w:id="47" w:name="_Toc156"/>
      <w:bookmarkStart w:id="48" w:name="_Toc65660342"/>
      <w:bookmarkStart w:id="49" w:name="_Toc106034782"/>
      <w:bookmarkStart w:id="50" w:name="_Toc12935"/>
      <w:bookmarkStart w:id="51" w:name="_Toc22271"/>
      <w:bookmarkStart w:id="52" w:name="_Toc17750"/>
      <w:bookmarkStart w:id="53" w:name="_Toc13555"/>
      <w:bookmarkStart w:id="54" w:name="_Toc1152"/>
      <w:r>
        <w:rPr>
          <w:rFonts w:hint="eastAsia" w:ascii="宋体" w:hAnsi="宋体" w:eastAsia="宋体" w:cs="宋体"/>
          <w:color w:val="auto"/>
          <w:sz w:val="24"/>
          <w:szCs w:val="24"/>
          <w:highlight w:val="none"/>
        </w:rPr>
        <w:t>※一、服务期、地点及验收方式</w:t>
      </w:r>
      <w:bookmarkEnd w:id="46"/>
      <w:bookmarkEnd w:id="47"/>
      <w:bookmarkEnd w:id="48"/>
      <w:bookmarkEnd w:id="49"/>
      <w:bookmarkEnd w:id="50"/>
      <w:bookmarkEnd w:id="51"/>
      <w:bookmarkEnd w:id="52"/>
      <w:bookmarkEnd w:id="53"/>
      <w:bookmarkEnd w:id="54"/>
    </w:p>
    <w:p w14:paraId="4B45083C">
      <w:pPr>
        <w:snapToGrid w:val="0"/>
        <w:spacing w:line="360" w:lineRule="auto"/>
        <w:ind w:firstLine="480" w:firstLineChars="200"/>
        <w:rPr>
          <w:rFonts w:hint="eastAsia" w:ascii="宋体" w:hAnsi="宋体" w:eastAsia="宋体" w:cs="宋体"/>
          <w:color w:val="auto"/>
          <w:sz w:val="24"/>
          <w:szCs w:val="24"/>
          <w:highlight w:val="none"/>
        </w:rPr>
      </w:pPr>
      <w:bookmarkStart w:id="55" w:name="_Toc3786"/>
      <w:bookmarkStart w:id="56" w:name="_Toc65660346"/>
      <w:bookmarkStart w:id="57" w:name="_Toc24751"/>
      <w:bookmarkStart w:id="58" w:name="_Toc7228"/>
      <w:bookmarkStart w:id="59" w:name="_Toc106034786"/>
      <w:r>
        <w:rPr>
          <w:rFonts w:hint="eastAsia" w:ascii="宋体" w:hAnsi="宋体" w:eastAsia="宋体" w:cs="宋体"/>
          <w:color w:val="auto"/>
          <w:sz w:val="24"/>
          <w:szCs w:val="24"/>
          <w:highlight w:val="none"/>
        </w:rPr>
        <w:t>（一）服务期：合同签订之日起至2026年2月</w:t>
      </w:r>
      <w:r>
        <w:rPr>
          <w:rFonts w:hint="eastAsia" w:ascii="宋体" w:hAnsi="宋体" w:cs="宋体"/>
          <w:strike w:val="0"/>
          <w:dstrike w:val="0"/>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前</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具体时间安排按国家及</w:t>
      </w:r>
      <w:r>
        <w:rPr>
          <w:rFonts w:hint="eastAsia" w:ascii="宋体" w:hAnsi="宋体" w:eastAsia="宋体" w:cs="宋体"/>
          <w:color w:val="auto"/>
          <w:sz w:val="24"/>
          <w:szCs w:val="24"/>
          <w:highlight w:val="none"/>
          <w:lang w:val="en-US" w:eastAsia="zh-CN"/>
        </w:rPr>
        <w:t>重庆市规划和自然资源局</w:t>
      </w:r>
      <w:r>
        <w:rPr>
          <w:rFonts w:hint="eastAsia" w:ascii="宋体" w:hAnsi="宋体" w:eastAsia="宋体" w:cs="宋体"/>
          <w:color w:val="auto"/>
          <w:sz w:val="24"/>
          <w:szCs w:val="24"/>
          <w:highlight w:val="none"/>
        </w:rPr>
        <w:t>通知为准。</w:t>
      </w:r>
    </w:p>
    <w:p w14:paraId="006C9F0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（二）服务地点：重庆市</w:t>
      </w:r>
      <w:r>
        <w:rPr>
          <w:rFonts w:hint="eastAsia" w:ascii="宋体" w:hAnsi="宋体" w:eastAsia="宋体" w:cs="宋体"/>
          <w:color w:val="auto"/>
          <w:sz w:val="24"/>
          <w:szCs w:val="24"/>
          <w:highlight w:val="none"/>
          <w:lang w:eastAsia="zh-CN"/>
        </w:rPr>
        <w:t>大渡口区，</w:t>
      </w:r>
      <w:r>
        <w:rPr>
          <w:rFonts w:hint="eastAsia" w:ascii="宋体" w:hAnsi="宋体" w:eastAsia="宋体" w:cs="宋体"/>
          <w:color w:val="auto"/>
          <w:sz w:val="24"/>
          <w:szCs w:val="24"/>
          <w:highlight w:val="none"/>
        </w:rPr>
        <w:t>采购人指定地点。</w:t>
      </w:r>
    </w:p>
    <w:p w14:paraId="6E94855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53F512F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履约验收主体</w:t>
      </w:r>
    </w:p>
    <w:p w14:paraId="5F81ABD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重庆市大渡口区规划和自然资源局</w:t>
      </w:r>
      <w:r>
        <w:rPr>
          <w:rFonts w:hint="eastAsia" w:ascii="宋体" w:hAnsi="宋体" w:eastAsia="宋体" w:cs="宋体"/>
          <w:color w:val="auto"/>
          <w:sz w:val="24"/>
          <w:szCs w:val="24"/>
          <w:highlight w:val="none"/>
        </w:rPr>
        <w:t>。</w:t>
      </w:r>
    </w:p>
    <w:p w14:paraId="573D0DA2">
      <w:pPr>
        <w:snapToGrid w:val="0"/>
        <w:spacing w:line="360" w:lineRule="auto"/>
        <w:ind w:firstLine="480" w:firstLineChars="200"/>
        <w:rPr>
          <w:rFonts w:hint="eastAsia" w:ascii="宋体" w:hAnsi="宋体" w:eastAsia="宋体" w:cs="宋体"/>
          <w:color w:val="auto"/>
          <w:sz w:val="24"/>
          <w:szCs w:val="24"/>
          <w:highlight w:val="none"/>
        </w:rPr>
      </w:pPr>
      <w:bookmarkStart w:id="60" w:name="_Toc5463"/>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履约验收时间</w:t>
      </w:r>
      <w:bookmarkEnd w:id="60"/>
    </w:p>
    <w:p w14:paraId="58AEB77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项目相关文档内容完整、规范，所有服务工作内容完成，成交供应商向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提出验收申请</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同意后启动验收程序。</w:t>
      </w:r>
    </w:p>
    <w:p w14:paraId="7FBD0378">
      <w:pPr>
        <w:snapToGrid w:val="0"/>
        <w:spacing w:line="360" w:lineRule="auto"/>
        <w:ind w:firstLine="480" w:firstLineChars="200"/>
        <w:rPr>
          <w:rFonts w:hint="eastAsia" w:ascii="宋体" w:hAnsi="宋体" w:eastAsia="宋体" w:cs="宋体"/>
          <w:color w:val="auto"/>
          <w:sz w:val="24"/>
          <w:szCs w:val="24"/>
          <w:highlight w:val="none"/>
        </w:rPr>
      </w:pPr>
      <w:bookmarkStart w:id="61" w:name="_Toc11697"/>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履约验收方式</w:t>
      </w:r>
      <w:bookmarkEnd w:id="61"/>
    </w:p>
    <w:p w14:paraId="60B03C5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由采购人向重庆市规划和自然资源局移交项目工作内容，并</w:t>
      </w:r>
      <w:r>
        <w:rPr>
          <w:rFonts w:hint="eastAsia" w:ascii="宋体" w:hAnsi="宋体" w:eastAsia="宋体" w:cs="宋体"/>
          <w:color w:val="auto"/>
          <w:sz w:val="24"/>
          <w:szCs w:val="24"/>
          <w:highlight w:val="none"/>
          <w:lang w:eastAsia="zh-CN"/>
        </w:rPr>
        <w:t>通过</w:t>
      </w:r>
      <w:r>
        <w:rPr>
          <w:rFonts w:hint="eastAsia" w:ascii="宋体" w:hAnsi="宋体" w:eastAsia="宋体" w:cs="宋体"/>
          <w:color w:val="auto"/>
          <w:sz w:val="24"/>
          <w:szCs w:val="24"/>
          <w:highlight w:val="none"/>
          <w:lang w:val="en-US" w:eastAsia="zh-CN"/>
        </w:rPr>
        <w:t>重庆市规划和自然资源局和国家核查，最终以通过国家核查下发的成果进行验收</w:t>
      </w:r>
      <w:r>
        <w:rPr>
          <w:rFonts w:hint="eastAsia" w:ascii="宋体" w:hAnsi="宋体" w:eastAsia="宋体" w:cs="宋体"/>
          <w:color w:val="auto"/>
          <w:sz w:val="24"/>
          <w:szCs w:val="24"/>
          <w:highlight w:val="none"/>
        </w:rPr>
        <w:t>。</w:t>
      </w:r>
    </w:p>
    <w:p w14:paraId="2F20494C">
      <w:pPr>
        <w:snapToGrid w:val="0"/>
        <w:spacing w:line="360" w:lineRule="auto"/>
        <w:ind w:firstLine="480" w:firstLineChars="200"/>
        <w:rPr>
          <w:rFonts w:hint="eastAsia" w:ascii="宋体" w:hAnsi="宋体" w:eastAsia="宋体" w:cs="宋体"/>
          <w:color w:val="auto"/>
          <w:sz w:val="24"/>
          <w:szCs w:val="24"/>
          <w:highlight w:val="none"/>
        </w:rPr>
      </w:pPr>
      <w:bookmarkStart w:id="62" w:name="_Toc32738"/>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履约验收程序</w:t>
      </w:r>
      <w:bookmarkEnd w:id="62"/>
    </w:p>
    <w:p w14:paraId="004A7F9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根据项目完成情况进行验收。</w:t>
      </w:r>
    </w:p>
    <w:p w14:paraId="0E0EE067">
      <w:pPr>
        <w:snapToGrid w:val="0"/>
        <w:spacing w:line="360" w:lineRule="auto"/>
        <w:ind w:firstLine="480" w:firstLineChars="200"/>
        <w:rPr>
          <w:rFonts w:hint="eastAsia" w:ascii="宋体" w:hAnsi="宋体" w:eastAsia="宋体" w:cs="宋体"/>
          <w:color w:val="auto"/>
          <w:sz w:val="24"/>
          <w:szCs w:val="24"/>
          <w:highlight w:val="none"/>
        </w:rPr>
      </w:pPr>
      <w:bookmarkStart w:id="63" w:name="_Toc5507"/>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履约验收内容</w:t>
      </w:r>
      <w:bookmarkEnd w:id="63"/>
    </w:p>
    <w:p w14:paraId="4A72009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按照本项目竞争性磋商文件的服务要求、成交供应商的响应文件及服务承诺与合同约定标准进行验收。</w:t>
      </w:r>
    </w:p>
    <w:p w14:paraId="183CC43E">
      <w:pPr>
        <w:snapToGrid w:val="0"/>
        <w:spacing w:line="360" w:lineRule="auto"/>
        <w:ind w:firstLine="480" w:firstLineChars="200"/>
        <w:rPr>
          <w:rFonts w:hint="eastAsia" w:ascii="宋体" w:hAnsi="宋体" w:eastAsia="宋体" w:cs="宋体"/>
          <w:color w:val="auto"/>
          <w:sz w:val="24"/>
          <w:szCs w:val="24"/>
          <w:highlight w:val="none"/>
        </w:rPr>
      </w:pPr>
      <w:bookmarkStart w:id="64" w:name="_Toc22069"/>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履约验收标准</w:t>
      </w:r>
      <w:bookmarkEnd w:id="64"/>
    </w:p>
    <w:p w14:paraId="2E3F941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按竞争性磋商文件的</w:t>
      </w:r>
      <w:r>
        <w:rPr>
          <w:rFonts w:hint="eastAsia" w:ascii="宋体" w:hAnsi="宋体" w:cs="宋体"/>
          <w:strike w:val="0"/>
          <w:dstrike w:val="0"/>
          <w:color w:val="auto"/>
          <w:sz w:val="24"/>
          <w:szCs w:val="24"/>
          <w:highlight w:val="none"/>
          <w:lang w:val="en-US" w:eastAsia="zh-CN"/>
        </w:rPr>
        <w:t>服务</w:t>
      </w:r>
      <w:r>
        <w:rPr>
          <w:rFonts w:hint="eastAsia" w:ascii="宋体" w:hAnsi="宋体" w:eastAsia="宋体" w:cs="宋体"/>
          <w:color w:val="auto"/>
          <w:sz w:val="24"/>
          <w:szCs w:val="24"/>
          <w:highlight w:val="none"/>
        </w:rPr>
        <w:t>要求、成交供应商的响应文件及服务承诺与合同约定标准进行验收；验收时如发现不符合合同约定之情形，做出现场记录，此现场记录用作后期责任追溯有效证据，由此产生的时间延误与有关费用由成交供应商承担，验收期限相应顺延；其他未尽事宜应严格按照《财政部关于进一步加强政府采购需求和履约验收管理的指导意见》（财库[2016]205号）的要求进行。</w:t>
      </w:r>
    </w:p>
    <w:p w14:paraId="76623D8F">
      <w:pPr>
        <w:pStyle w:val="4"/>
        <w:spacing w:before="0" w:after="0" w:line="360" w:lineRule="auto"/>
        <w:ind w:firstLine="480"/>
        <w:rPr>
          <w:rFonts w:hint="eastAsia" w:ascii="宋体" w:hAnsi="宋体" w:eastAsia="宋体" w:cs="宋体"/>
          <w:color w:val="auto"/>
          <w:sz w:val="24"/>
          <w:szCs w:val="24"/>
          <w:highlight w:val="none"/>
        </w:rPr>
      </w:pPr>
      <w:bookmarkStart w:id="65" w:name="_Toc344475121"/>
      <w:bookmarkStart w:id="66" w:name="_Toc11557"/>
      <w:bookmarkStart w:id="67" w:name="_Toc535311834"/>
      <w:bookmarkStart w:id="68" w:name="_Toc27682"/>
      <w:bookmarkStart w:id="69" w:name="_Toc31343"/>
      <w:bookmarkStart w:id="70" w:name="_Toc435"/>
      <w:bookmarkStart w:id="71" w:name="_Toc10243"/>
      <w:bookmarkStart w:id="72" w:name="_Toc9062"/>
      <w:bookmarkStart w:id="73" w:name="_Toc14209"/>
      <w:r>
        <w:rPr>
          <w:rFonts w:hint="eastAsia" w:ascii="方正仿宋_GBK" w:hAnsi="宋体" w:eastAsia="方正仿宋_GBK"/>
          <w:color w:val="auto"/>
          <w:sz w:val="24"/>
          <w:szCs w:val="24"/>
        </w:rPr>
        <w:t>※</w:t>
      </w:r>
      <w:r>
        <w:rPr>
          <w:rFonts w:hint="eastAsia" w:ascii="宋体" w:hAnsi="宋体" w:eastAsia="宋体" w:cs="宋体"/>
          <w:color w:val="auto"/>
          <w:sz w:val="24"/>
          <w:szCs w:val="24"/>
          <w:highlight w:val="none"/>
        </w:rPr>
        <w:t>二、</w:t>
      </w:r>
      <w:bookmarkEnd w:id="65"/>
      <w:r>
        <w:rPr>
          <w:rFonts w:hint="eastAsia" w:ascii="宋体" w:hAnsi="宋体" w:eastAsia="宋体" w:cs="宋体"/>
          <w:color w:val="auto"/>
          <w:sz w:val="24"/>
          <w:szCs w:val="24"/>
          <w:highlight w:val="none"/>
        </w:rPr>
        <w:t>报价要求</w:t>
      </w:r>
      <w:bookmarkEnd w:id="66"/>
      <w:bookmarkEnd w:id="67"/>
      <w:bookmarkEnd w:id="68"/>
      <w:bookmarkEnd w:id="69"/>
      <w:bookmarkEnd w:id="70"/>
      <w:bookmarkEnd w:id="71"/>
      <w:bookmarkEnd w:id="72"/>
      <w:bookmarkEnd w:id="73"/>
    </w:p>
    <w:p w14:paraId="29152955">
      <w:pPr>
        <w:snapToGrid w:val="0"/>
        <w:spacing w:line="360" w:lineRule="auto"/>
        <w:ind w:firstLine="480" w:firstLineChars="200"/>
        <w:rPr>
          <w:rFonts w:hint="eastAsia" w:ascii="宋体" w:hAnsi="宋体" w:eastAsia="宋体" w:cs="宋体"/>
          <w:color w:val="auto"/>
          <w:sz w:val="24"/>
          <w:szCs w:val="24"/>
          <w:highlight w:val="none"/>
          <w:lang w:eastAsia="zh-CN"/>
        </w:rPr>
      </w:pPr>
      <w:bookmarkStart w:id="74" w:name="_Toc19338"/>
      <w:bookmarkStart w:id="75" w:name="_Toc16323"/>
      <w:bookmarkStart w:id="76" w:name="_Toc4336"/>
      <w:bookmarkStart w:id="77" w:name="_Toc15188"/>
      <w:bookmarkStart w:id="78" w:name="_Toc535311836"/>
      <w:bookmarkStart w:id="79" w:name="_Toc344475122"/>
      <w:bookmarkStart w:id="80" w:name="_Toc13883"/>
      <w:bookmarkStart w:id="81" w:name="_Toc30259"/>
      <w:bookmarkStart w:id="82" w:name="_Toc6368"/>
      <w:bookmarkStart w:id="83" w:name="_Toc19916"/>
      <w:bookmarkStart w:id="84" w:name="_Toc16767"/>
      <w:bookmarkStart w:id="85" w:name="_Toc2400"/>
      <w:bookmarkStart w:id="86" w:name="_Toc505330293"/>
      <w:bookmarkStart w:id="87" w:name="_Toc19519"/>
      <w:r>
        <w:rPr>
          <w:rFonts w:hint="eastAsia" w:ascii="宋体" w:hAnsi="宋体" w:eastAsia="宋体" w:cs="宋体"/>
          <w:color w:val="auto"/>
          <w:sz w:val="24"/>
          <w:szCs w:val="24"/>
          <w:highlight w:val="none"/>
        </w:rPr>
        <w:t>本次报价为人民币报价，报价包括完成本项目所需的服务费、人工费、差旅费及各种应纳的税费等全部费用。因成交供应商自身原因造成漏报、少报皆由其自行承担责任，采购人不再补偿。</w:t>
      </w:r>
    </w:p>
    <w:bookmarkEnd w:id="55"/>
    <w:bookmarkEnd w:id="56"/>
    <w:bookmarkEnd w:id="57"/>
    <w:bookmarkEnd w:id="58"/>
    <w:bookmarkEnd w:id="59"/>
    <w:bookmarkEnd w:id="74"/>
    <w:bookmarkEnd w:id="75"/>
    <w:bookmarkEnd w:id="76"/>
    <w:bookmarkEnd w:id="77"/>
    <w:bookmarkEnd w:id="78"/>
    <w:bookmarkEnd w:id="79"/>
    <w:bookmarkEnd w:id="80"/>
    <w:bookmarkEnd w:id="81"/>
    <w:bookmarkEnd w:id="82"/>
    <w:bookmarkEnd w:id="83"/>
    <w:bookmarkEnd w:id="84"/>
    <w:bookmarkEnd w:id="85"/>
    <w:bookmarkEnd w:id="86"/>
    <w:bookmarkEnd w:id="87"/>
    <w:p w14:paraId="7CBB6EE2">
      <w:pPr>
        <w:pStyle w:val="4"/>
        <w:spacing w:before="0" w:after="0" w:line="360" w:lineRule="auto"/>
        <w:ind w:firstLine="480"/>
        <w:rPr>
          <w:rFonts w:hint="eastAsia" w:ascii="宋体" w:hAnsi="宋体" w:eastAsia="宋体" w:cs="宋体"/>
          <w:color w:val="auto"/>
          <w:sz w:val="24"/>
          <w:szCs w:val="24"/>
          <w:highlight w:val="none"/>
        </w:rPr>
      </w:pPr>
      <w:bookmarkStart w:id="88" w:name="_Toc28226"/>
      <w:bookmarkStart w:id="89" w:name="_Toc13902"/>
      <w:bookmarkStart w:id="90" w:name="_Toc25282"/>
      <w:bookmarkStart w:id="91" w:name="_Toc24844"/>
      <w:r>
        <w:rPr>
          <w:rFonts w:hint="eastAsia" w:ascii="方正仿宋_GBK" w:hAnsi="宋体" w:eastAsia="方正仿宋_GBK"/>
          <w:color w:val="auto"/>
          <w:sz w:val="24"/>
          <w:szCs w:val="24"/>
        </w:rPr>
        <w:t>※</w:t>
      </w:r>
      <w:r>
        <w:rPr>
          <w:rFonts w:hint="eastAsia" w:ascii="宋体" w:hAnsi="宋体" w:eastAsia="宋体" w:cs="宋体"/>
          <w:color w:val="auto"/>
          <w:sz w:val="24"/>
          <w:szCs w:val="24"/>
          <w:highlight w:val="none"/>
        </w:rPr>
        <w:t>三、付款方式</w:t>
      </w:r>
      <w:bookmarkEnd w:id="88"/>
      <w:bookmarkEnd w:id="89"/>
      <w:bookmarkEnd w:id="90"/>
      <w:bookmarkEnd w:id="91"/>
    </w:p>
    <w:p w14:paraId="23D34E59">
      <w:pPr>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92" w:name="_Toc3901"/>
      <w:bookmarkStart w:id="93" w:name="_Toc11778"/>
      <w:bookmarkStart w:id="94" w:name="_Toc30832"/>
      <w:r>
        <w:rPr>
          <w:rFonts w:hint="eastAsia" w:ascii="宋体" w:hAnsi="宋体" w:eastAsia="宋体" w:cs="宋体"/>
          <w:color w:val="auto"/>
          <w:sz w:val="24"/>
          <w:szCs w:val="24"/>
          <w:highlight w:val="none"/>
          <w:lang w:val="en-US" w:eastAsia="zh-CN"/>
        </w:rPr>
        <w:t>（一）成交供应商与采购人签订项目技术服务合同后，成交供应商向采购人开具合法发票，采购人10个工作日内向成交供应商支付合同总额的50%；</w:t>
      </w:r>
    </w:p>
    <w:p w14:paraId="17C9456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（二）所有成果通过验收后，成交供应商向采购人开具合法发票，采购人10个工作日内向成交供应商支付合同总额的50%。</w:t>
      </w:r>
    </w:p>
    <w:p w14:paraId="052AED7B">
      <w:pPr>
        <w:pStyle w:val="4"/>
        <w:spacing w:before="0" w:after="0" w:line="360" w:lineRule="auto"/>
        <w:ind w:firstLine="480"/>
        <w:rPr>
          <w:rFonts w:hint="eastAsia" w:ascii="宋体" w:hAnsi="宋体" w:eastAsia="宋体" w:cs="宋体"/>
          <w:color w:val="auto"/>
          <w:sz w:val="24"/>
          <w:szCs w:val="24"/>
          <w:highlight w:val="none"/>
        </w:rPr>
      </w:pPr>
      <w:bookmarkStart w:id="95" w:name="_Toc11404"/>
      <w:bookmarkStart w:id="96" w:name="_Toc26981"/>
      <w:bookmarkStart w:id="97" w:name="_Toc7884"/>
      <w:r>
        <w:rPr>
          <w:rFonts w:hint="eastAsia" w:ascii="方正仿宋_GBK" w:hAnsi="宋体" w:eastAsia="方正仿宋_GBK"/>
          <w:color w:val="auto"/>
          <w:sz w:val="24"/>
          <w:szCs w:val="24"/>
        </w:rPr>
        <w:t>※</w:t>
      </w:r>
      <w:r>
        <w:rPr>
          <w:rFonts w:hint="eastAsia" w:ascii="宋体" w:hAnsi="宋体" w:eastAsia="宋体" w:cs="宋体"/>
          <w:color w:val="auto"/>
          <w:sz w:val="24"/>
          <w:szCs w:val="24"/>
          <w:highlight w:val="none"/>
        </w:rPr>
        <w:t>四</w:t>
      </w:r>
      <w:bookmarkEnd w:id="92"/>
      <w:bookmarkEnd w:id="93"/>
      <w:bookmarkEnd w:id="95"/>
      <w:bookmarkEnd w:id="96"/>
      <w:bookmarkStart w:id="98" w:name="_Toc7386"/>
      <w:bookmarkStart w:id="99" w:name="_Toc26558"/>
      <w:bookmarkStart w:id="100" w:name="_Toc3975"/>
      <w:r>
        <w:rPr>
          <w:rFonts w:hint="eastAsia" w:ascii="宋体" w:hAnsi="宋体" w:eastAsia="宋体" w:cs="宋体"/>
          <w:color w:val="auto"/>
          <w:sz w:val="24"/>
          <w:szCs w:val="24"/>
          <w:highlight w:val="none"/>
          <w:lang w:eastAsia="zh-CN"/>
        </w:rPr>
        <w:t>、</w:t>
      </w:r>
      <w:bookmarkEnd w:id="94"/>
      <w:bookmarkEnd w:id="98"/>
      <w:bookmarkEnd w:id="99"/>
      <w:bookmarkEnd w:id="100"/>
      <w:r>
        <w:rPr>
          <w:rFonts w:hint="eastAsia" w:ascii="宋体" w:hAnsi="宋体" w:eastAsia="宋体" w:cs="宋体"/>
          <w:color w:val="auto"/>
          <w:sz w:val="24"/>
          <w:szCs w:val="24"/>
          <w:highlight w:val="none"/>
          <w:lang w:eastAsia="zh-CN"/>
        </w:rPr>
        <w:t>知识产权及保密</w:t>
      </w:r>
      <w:bookmarkEnd w:id="97"/>
    </w:p>
    <w:p w14:paraId="188E07F1">
      <w:pPr>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101" w:name="_Toc267320054"/>
      <w:bookmarkStart w:id="102" w:name="_Toc4760"/>
      <w:bookmarkStart w:id="103" w:name="_Toc17970"/>
      <w:bookmarkStart w:id="104" w:name="_Toc25447"/>
      <w:bookmarkStart w:id="105" w:name="_Toc19137"/>
      <w:bookmarkStart w:id="106" w:name="_Toc7717"/>
      <w:bookmarkStart w:id="107" w:name="_Toc505330298"/>
      <w:r>
        <w:rPr>
          <w:rFonts w:hint="eastAsia" w:ascii="宋体" w:hAnsi="宋体" w:eastAsia="宋体" w:cs="宋体"/>
          <w:color w:val="auto"/>
          <w:sz w:val="24"/>
          <w:szCs w:val="24"/>
          <w:highlight w:val="none"/>
          <w:lang w:val="en-US" w:eastAsia="zh-CN"/>
        </w:rPr>
        <w:t>1、知识产权：采购人在中华人民共和国境内使用供应商提供的货物及服务时免受第三方提出的侵犯其专利权或其它知识产权的起诉。如果第三方提出侵权指控，成交供应商应承担由此而引起的一切法律责任和费用。</w:t>
      </w:r>
    </w:p>
    <w:p w14:paraId="53B2925C">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2、保密：成交供应商应按相关保密制度要求，加强成果保密工作，承担因资料泄密造成的一切责任。</w:t>
      </w:r>
    </w:p>
    <w:p w14:paraId="6804458A">
      <w:pPr>
        <w:pStyle w:val="4"/>
        <w:spacing w:before="0" w:after="0" w:line="360" w:lineRule="auto"/>
        <w:ind w:firstLine="480"/>
        <w:rPr>
          <w:rFonts w:hint="eastAsia" w:ascii="宋体" w:hAnsi="宋体" w:eastAsia="宋体" w:cs="宋体"/>
          <w:color w:val="auto"/>
          <w:sz w:val="24"/>
          <w:szCs w:val="24"/>
          <w:highlight w:val="none"/>
        </w:rPr>
      </w:pPr>
      <w:bookmarkStart w:id="108" w:name="_Toc22820"/>
      <w:r>
        <w:rPr>
          <w:rFonts w:hint="eastAsia" w:ascii="方正仿宋_GBK" w:hAnsi="宋体" w:eastAsia="方正仿宋_GBK"/>
          <w:color w:val="auto"/>
          <w:sz w:val="24"/>
          <w:szCs w:val="24"/>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、违约责任</w:t>
      </w:r>
      <w:bookmarkEnd w:id="108"/>
    </w:p>
    <w:p w14:paraId="60D861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资或劳务报酬拖欠违约责任：成交供应商应确保足额发放员工工资或劳务报酬。若成交供应商出现拖欠员工工资或劳务报酬的情况，采购人有权要求成交供应商在规定的期限内足额支付所拖欠的员工工资或劳务报酬。同时，成交供应商应按照拖欠费用总额的 10% 向采购人支付违约金。若因拖欠工资或劳务报酬导致员工投诉、劳动仲裁或诉讼等情况，给采购人造成损失的（包括但不限于声誉损失、法律费用、经济赔偿等），成交供应商应承担全部赔偿责任。如成交供应商未能在规定期限内解决工资拖欠问题，采购人有权视情节严重程度，单方面解除合同，由此产生的一切费用和损失由成交供应商承担。此外，成交供应商应积极配合采购人及相关部门的调查工作，提供员工工资发放记录、劳动合同、劳务合同等相关资料。</w:t>
      </w:r>
    </w:p>
    <w:p w14:paraId="5ED200EA">
      <w:pPr>
        <w:pStyle w:val="4"/>
        <w:spacing w:before="0" w:after="0" w:line="360" w:lineRule="auto"/>
        <w:ind w:firstLine="480"/>
        <w:rPr>
          <w:rFonts w:hint="eastAsia" w:ascii="宋体" w:hAnsi="宋体" w:eastAsia="宋体" w:cs="宋体"/>
          <w:color w:val="auto"/>
          <w:sz w:val="24"/>
          <w:szCs w:val="24"/>
          <w:highlight w:val="none"/>
        </w:rPr>
      </w:pPr>
      <w:bookmarkStart w:id="109" w:name="_Toc2114"/>
      <w:r>
        <w:rPr>
          <w:rFonts w:hint="eastAsia" w:ascii="方正仿宋_GBK" w:hAnsi="宋体" w:eastAsia="方正仿宋_GBK"/>
          <w:color w:val="auto"/>
          <w:sz w:val="24"/>
          <w:szCs w:val="24"/>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bookmarkEnd w:id="101"/>
      <w:r>
        <w:rPr>
          <w:rFonts w:hint="eastAsia" w:ascii="宋体" w:hAnsi="宋体" w:eastAsia="宋体" w:cs="宋体"/>
          <w:color w:val="auto"/>
          <w:sz w:val="24"/>
          <w:szCs w:val="24"/>
          <w:highlight w:val="none"/>
        </w:rPr>
        <w:t>其他</w:t>
      </w:r>
      <w:bookmarkEnd w:id="102"/>
      <w:bookmarkEnd w:id="103"/>
      <w:bookmarkEnd w:id="104"/>
      <w:bookmarkEnd w:id="105"/>
      <w:bookmarkEnd w:id="106"/>
      <w:bookmarkEnd w:id="107"/>
      <w:bookmarkEnd w:id="109"/>
    </w:p>
    <w:p w14:paraId="7A39BB5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（一）供应商必须在响应文件中对以上条款和服务承诺明确列出，承诺内容必须达到本篇及竞争性磋商文件其他条款的要求。</w:t>
      </w:r>
    </w:p>
    <w:p w14:paraId="474DF05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（二）其他未尽事宜由供需双方在采购合同中详细约定。</w:t>
      </w:r>
    </w:p>
    <w:p w14:paraId="0FE500AF">
      <w:pPr>
        <w:spacing w:line="360" w:lineRule="auto"/>
        <w:ind w:firstLine="723"/>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br w:type="page"/>
      </w:r>
    </w:p>
    <w:p w14:paraId="4119CD81">
      <w:pPr>
        <w:pStyle w:val="3"/>
        <w:spacing w:before="0" w:after="0" w:line="360" w:lineRule="auto"/>
        <w:jc w:val="both"/>
        <w:rPr>
          <w:rFonts w:hint="eastAsia" w:ascii="宋体" w:hAnsi="宋体" w:eastAsia="宋体" w:cs="宋体"/>
          <w:bCs/>
          <w:color w:val="auto"/>
          <w:sz w:val="36"/>
          <w:szCs w:val="30"/>
          <w:highlight w:val="none"/>
        </w:rPr>
      </w:pPr>
      <w:bookmarkStart w:id="110" w:name="_Toc30125"/>
      <w:r>
        <w:rPr>
          <w:rFonts w:hint="eastAsia" w:ascii="宋体" w:hAnsi="宋体" w:eastAsia="宋体" w:cs="宋体"/>
          <w:bCs/>
          <w:color w:val="auto"/>
          <w:sz w:val="36"/>
          <w:szCs w:val="30"/>
          <w:highlight w:val="none"/>
        </w:rPr>
        <w:t>第四篇  磋商程序及方法、评审标准、无效响应和</w:t>
      </w:r>
      <w:r>
        <w:rPr>
          <w:rFonts w:hint="eastAsia" w:ascii="宋体" w:hAnsi="宋体" w:eastAsia="宋体" w:cs="宋体"/>
          <w:bCs/>
          <w:color w:val="auto"/>
          <w:sz w:val="36"/>
          <w:szCs w:val="36"/>
          <w:highlight w:val="none"/>
        </w:rPr>
        <w:t>采购终止</w:t>
      </w:r>
      <w:bookmarkEnd w:id="110"/>
    </w:p>
    <w:p w14:paraId="08909A6C">
      <w:pPr>
        <w:pStyle w:val="4"/>
        <w:spacing w:before="0" w:after="0" w:line="360" w:lineRule="auto"/>
        <w:ind w:firstLine="480"/>
        <w:rPr>
          <w:rFonts w:hint="eastAsia" w:ascii="宋体" w:hAnsi="宋体" w:eastAsia="宋体" w:cs="宋体"/>
          <w:color w:val="auto"/>
          <w:sz w:val="24"/>
          <w:szCs w:val="24"/>
          <w:highlight w:val="none"/>
        </w:rPr>
      </w:pPr>
      <w:bookmarkStart w:id="111" w:name="_Toc13160"/>
      <w:bookmarkStart w:id="112" w:name="_Toc15754"/>
      <w:bookmarkStart w:id="113" w:name="_Toc24398"/>
      <w:bookmarkStart w:id="114" w:name="_Toc342913394"/>
      <w:bookmarkStart w:id="115" w:name="_Toc102227320"/>
      <w:r>
        <w:rPr>
          <w:rFonts w:hint="eastAsia" w:ascii="宋体" w:hAnsi="宋体" w:eastAsia="宋体" w:cs="宋体"/>
          <w:color w:val="auto"/>
          <w:sz w:val="24"/>
          <w:szCs w:val="24"/>
          <w:highlight w:val="none"/>
        </w:rPr>
        <w:t>一、磋商程序及方法</w:t>
      </w:r>
      <w:bookmarkEnd w:id="111"/>
      <w:bookmarkEnd w:id="112"/>
    </w:p>
    <w:p w14:paraId="461F9C3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1751BF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2F01667F">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资格性审查。依据法律法规和竞争性磋商文件的规定，对响应文件中的资格证明、磋商保证金等进行审查，以确定供应商是否具备磋商资格。资格性审查资料表如下：</w:t>
      </w:r>
    </w:p>
    <w:tbl>
      <w:tblPr>
        <w:tblStyle w:val="57"/>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811"/>
        <w:gridCol w:w="3792"/>
        <w:gridCol w:w="4735"/>
      </w:tblGrid>
      <w:tr w14:paraId="2AEE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940" w:type="dxa"/>
            <w:vAlign w:val="center"/>
          </w:tcPr>
          <w:p w14:paraId="023F0028">
            <w:pP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603" w:type="dxa"/>
            <w:gridSpan w:val="2"/>
            <w:vAlign w:val="center"/>
          </w:tcPr>
          <w:p w14:paraId="19403FD6">
            <w:pPr>
              <w:ind w:firstLine="482"/>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735" w:type="dxa"/>
            <w:vAlign w:val="center"/>
          </w:tcPr>
          <w:p w14:paraId="54C582D4">
            <w:pPr>
              <w:ind w:firstLine="482"/>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4F3D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 w:type="dxa"/>
            <w:vMerge w:val="restart"/>
            <w:vAlign w:val="center"/>
          </w:tcPr>
          <w:p w14:paraId="0622C51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811" w:type="dxa"/>
            <w:vMerge w:val="restart"/>
            <w:vAlign w:val="center"/>
          </w:tcPr>
          <w:p w14:paraId="39376F7F">
            <w:pPr>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《中华人民共和国政府采购法》第二十二条规定</w:t>
            </w:r>
          </w:p>
        </w:tc>
        <w:tc>
          <w:tcPr>
            <w:tcW w:w="3792" w:type="dxa"/>
            <w:vAlign w:val="center"/>
          </w:tcPr>
          <w:p w14:paraId="0E4A173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735" w:type="dxa"/>
            <w:vAlign w:val="center"/>
          </w:tcPr>
          <w:p w14:paraId="1ACAE9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5D06D5C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2.供应商法定代表人身份证明和法定代表人授权代表委托书。</w:t>
            </w:r>
          </w:p>
        </w:tc>
      </w:tr>
      <w:tr w14:paraId="79E8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40" w:type="dxa"/>
            <w:vMerge w:val="continue"/>
            <w:vAlign w:val="center"/>
          </w:tcPr>
          <w:p w14:paraId="619D864E">
            <w:pPr>
              <w:jc w:val="center"/>
              <w:rPr>
                <w:rFonts w:hint="eastAsia" w:ascii="宋体" w:hAnsi="宋体" w:eastAsia="宋体" w:cs="宋体"/>
                <w:color w:val="auto"/>
                <w:sz w:val="24"/>
                <w:szCs w:val="24"/>
                <w:highlight w:val="none"/>
              </w:rPr>
            </w:pPr>
          </w:p>
        </w:tc>
        <w:tc>
          <w:tcPr>
            <w:tcW w:w="811" w:type="dxa"/>
            <w:vMerge w:val="continue"/>
            <w:vAlign w:val="center"/>
          </w:tcPr>
          <w:p w14:paraId="0F74D114">
            <w:pPr>
              <w:rPr>
                <w:rFonts w:hint="eastAsia" w:ascii="宋体" w:hAnsi="宋体" w:eastAsia="宋体" w:cs="宋体"/>
                <w:color w:val="auto"/>
                <w:sz w:val="24"/>
                <w:szCs w:val="24"/>
                <w:highlight w:val="none"/>
              </w:rPr>
            </w:pPr>
          </w:p>
        </w:tc>
        <w:tc>
          <w:tcPr>
            <w:tcW w:w="3792" w:type="dxa"/>
            <w:vAlign w:val="center"/>
          </w:tcPr>
          <w:p w14:paraId="6CD6BEF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具有良好的商业信誉和健全的财务会计制度</w:t>
            </w:r>
          </w:p>
        </w:tc>
        <w:tc>
          <w:tcPr>
            <w:tcW w:w="4735" w:type="dxa"/>
            <w:vMerge w:val="restart"/>
            <w:vAlign w:val="center"/>
          </w:tcPr>
          <w:p w14:paraId="420D339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供应商提供基本资格条件承诺函（见第七篇格式文件）</w:t>
            </w:r>
          </w:p>
        </w:tc>
      </w:tr>
      <w:tr w14:paraId="0491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40" w:type="dxa"/>
            <w:vMerge w:val="continue"/>
            <w:vAlign w:val="center"/>
          </w:tcPr>
          <w:p w14:paraId="0A4937CB">
            <w:pPr>
              <w:jc w:val="center"/>
              <w:rPr>
                <w:rFonts w:hint="eastAsia" w:ascii="宋体" w:hAnsi="宋体" w:eastAsia="宋体" w:cs="宋体"/>
                <w:color w:val="auto"/>
                <w:sz w:val="24"/>
                <w:szCs w:val="24"/>
                <w:highlight w:val="none"/>
              </w:rPr>
            </w:pPr>
          </w:p>
        </w:tc>
        <w:tc>
          <w:tcPr>
            <w:tcW w:w="811" w:type="dxa"/>
            <w:vMerge w:val="continue"/>
            <w:vAlign w:val="center"/>
          </w:tcPr>
          <w:p w14:paraId="58F347AB">
            <w:pPr>
              <w:rPr>
                <w:rFonts w:hint="eastAsia" w:ascii="宋体" w:hAnsi="宋体" w:eastAsia="宋体" w:cs="宋体"/>
                <w:color w:val="auto"/>
                <w:sz w:val="24"/>
                <w:szCs w:val="24"/>
                <w:highlight w:val="none"/>
                <w:lang w:val="zh-CN"/>
              </w:rPr>
            </w:pPr>
          </w:p>
        </w:tc>
        <w:tc>
          <w:tcPr>
            <w:tcW w:w="3792" w:type="dxa"/>
            <w:vAlign w:val="center"/>
          </w:tcPr>
          <w:p w14:paraId="0BABC1AD">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735" w:type="dxa"/>
            <w:vMerge w:val="continue"/>
            <w:vAlign w:val="center"/>
          </w:tcPr>
          <w:p w14:paraId="4F7804E9">
            <w:pPr>
              <w:rPr>
                <w:rFonts w:hint="eastAsia" w:ascii="宋体" w:hAnsi="宋体" w:eastAsia="宋体" w:cs="宋体"/>
                <w:color w:val="auto"/>
                <w:sz w:val="24"/>
                <w:szCs w:val="24"/>
                <w:highlight w:val="none"/>
              </w:rPr>
            </w:pPr>
          </w:p>
        </w:tc>
      </w:tr>
      <w:tr w14:paraId="635D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40" w:type="dxa"/>
            <w:vMerge w:val="continue"/>
            <w:vAlign w:val="center"/>
          </w:tcPr>
          <w:p w14:paraId="08F96FA7">
            <w:pPr>
              <w:jc w:val="center"/>
              <w:rPr>
                <w:rFonts w:hint="eastAsia" w:ascii="宋体" w:hAnsi="宋体" w:eastAsia="宋体" w:cs="宋体"/>
                <w:color w:val="auto"/>
                <w:sz w:val="24"/>
                <w:szCs w:val="24"/>
                <w:highlight w:val="none"/>
              </w:rPr>
            </w:pPr>
          </w:p>
        </w:tc>
        <w:tc>
          <w:tcPr>
            <w:tcW w:w="811" w:type="dxa"/>
            <w:vMerge w:val="continue"/>
            <w:vAlign w:val="center"/>
          </w:tcPr>
          <w:p w14:paraId="36DF7591">
            <w:pPr>
              <w:rPr>
                <w:rFonts w:hint="eastAsia" w:ascii="宋体" w:hAnsi="宋体" w:eastAsia="宋体" w:cs="宋体"/>
                <w:color w:val="auto"/>
                <w:sz w:val="24"/>
                <w:szCs w:val="24"/>
                <w:highlight w:val="none"/>
                <w:lang w:val="zh-CN"/>
              </w:rPr>
            </w:pPr>
          </w:p>
        </w:tc>
        <w:tc>
          <w:tcPr>
            <w:tcW w:w="3792" w:type="dxa"/>
            <w:vAlign w:val="center"/>
          </w:tcPr>
          <w:p w14:paraId="688E3694">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735" w:type="dxa"/>
            <w:vMerge w:val="continue"/>
            <w:vAlign w:val="center"/>
          </w:tcPr>
          <w:p w14:paraId="08664715">
            <w:pPr>
              <w:rPr>
                <w:rFonts w:hint="eastAsia" w:ascii="宋体" w:hAnsi="宋体" w:eastAsia="宋体" w:cs="宋体"/>
                <w:color w:val="auto"/>
                <w:sz w:val="24"/>
                <w:szCs w:val="24"/>
                <w:highlight w:val="none"/>
              </w:rPr>
            </w:pPr>
          </w:p>
        </w:tc>
      </w:tr>
      <w:tr w14:paraId="1568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40" w:type="dxa"/>
            <w:vMerge w:val="continue"/>
            <w:vAlign w:val="center"/>
          </w:tcPr>
          <w:p w14:paraId="701C56BB">
            <w:pPr>
              <w:jc w:val="center"/>
              <w:rPr>
                <w:rFonts w:hint="eastAsia" w:ascii="宋体" w:hAnsi="宋体" w:eastAsia="宋体" w:cs="宋体"/>
                <w:color w:val="auto"/>
                <w:sz w:val="24"/>
                <w:szCs w:val="24"/>
                <w:highlight w:val="none"/>
              </w:rPr>
            </w:pPr>
          </w:p>
        </w:tc>
        <w:tc>
          <w:tcPr>
            <w:tcW w:w="811" w:type="dxa"/>
            <w:vMerge w:val="continue"/>
            <w:vAlign w:val="center"/>
          </w:tcPr>
          <w:p w14:paraId="53A9DE6A">
            <w:pPr>
              <w:rPr>
                <w:rFonts w:hint="eastAsia" w:ascii="宋体" w:hAnsi="宋体" w:eastAsia="宋体" w:cs="宋体"/>
                <w:color w:val="auto"/>
                <w:sz w:val="24"/>
                <w:szCs w:val="24"/>
                <w:highlight w:val="none"/>
                <w:lang w:val="zh-CN"/>
              </w:rPr>
            </w:pPr>
          </w:p>
        </w:tc>
        <w:tc>
          <w:tcPr>
            <w:tcW w:w="3792" w:type="dxa"/>
            <w:vAlign w:val="center"/>
          </w:tcPr>
          <w:p w14:paraId="6371FB55">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w:t>
            </w:r>
          </w:p>
        </w:tc>
        <w:tc>
          <w:tcPr>
            <w:tcW w:w="4735" w:type="dxa"/>
            <w:vMerge w:val="continue"/>
            <w:vAlign w:val="center"/>
          </w:tcPr>
          <w:p w14:paraId="68B46F2C">
            <w:pPr>
              <w:rPr>
                <w:rFonts w:hint="eastAsia" w:ascii="宋体" w:hAnsi="宋体" w:eastAsia="宋体" w:cs="宋体"/>
                <w:color w:val="auto"/>
                <w:sz w:val="24"/>
                <w:szCs w:val="24"/>
                <w:highlight w:val="none"/>
              </w:rPr>
            </w:pPr>
          </w:p>
        </w:tc>
      </w:tr>
      <w:tr w14:paraId="0DFD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0" w:type="dxa"/>
            <w:vMerge w:val="continue"/>
            <w:vAlign w:val="center"/>
          </w:tcPr>
          <w:p w14:paraId="7543257A">
            <w:pPr>
              <w:jc w:val="center"/>
              <w:rPr>
                <w:rFonts w:hint="eastAsia" w:ascii="宋体" w:hAnsi="宋体" w:eastAsia="宋体" w:cs="宋体"/>
                <w:color w:val="auto"/>
                <w:sz w:val="24"/>
                <w:szCs w:val="24"/>
                <w:highlight w:val="none"/>
              </w:rPr>
            </w:pPr>
          </w:p>
        </w:tc>
        <w:tc>
          <w:tcPr>
            <w:tcW w:w="811" w:type="dxa"/>
            <w:vMerge w:val="continue"/>
            <w:vAlign w:val="center"/>
          </w:tcPr>
          <w:p w14:paraId="4141D528">
            <w:pPr>
              <w:rPr>
                <w:rFonts w:hint="eastAsia" w:ascii="宋体" w:hAnsi="宋体" w:eastAsia="宋体" w:cs="宋体"/>
                <w:color w:val="auto"/>
                <w:sz w:val="24"/>
                <w:szCs w:val="24"/>
                <w:highlight w:val="none"/>
              </w:rPr>
            </w:pPr>
          </w:p>
        </w:tc>
        <w:tc>
          <w:tcPr>
            <w:tcW w:w="3792" w:type="dxa"/>
            <w:vAlign w:val="center"/>
          </w:tcPr>
          <w:p w14:paraId="53C097B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735" w:type="dxa"/>
            <w:vAlign w:val="center"/>
          </w:tcPr>
          <w:p w14:paraId="5F9E4305">
            <w:pPr>
              <w:rPr>
                <w:rFonts w:hint="eastAsia" w:ascii="宋体" w:hAnsi="宋体" w:eastAsia="宋体" w:cs="宋体"/>
                <w:color w:val="auto"/>
                <w:sz w:val="24"/>
                <w:szCs w:val="24"/>
                <w:highlight w:val="none"/>
              </w:rPr>
            </w:pPr>
          </w:p>
        </w:tc>
      </w:tr>
      <w:tr w14:paraId="6589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40" w:type="dxa"/>
            <w:vMerge w:val="continue"/>
            <w:vAlign w:val="center"/>
          </w:tcPr>
          <w:p w14:paraId="4AEE7D66">
            <w:pPr>
              <w:jc w:val="center"/>
              <w:rPr>
                <w:rFonts w:hint="eastAsia" w:ascii="宋体" w:hAnsi="宋体" w:eastAsia="宋体" w:cs="宋体"/>
                <w:color w:val="auto"/>
                <w:sz w:val="24"/>
                <w:szCs w:val="24"/>
                <w:highlight w:val="none"/>
              </w:rPr>
            </w:pPr>
          </w:p>
        </w:tc>
        <w:tc>
          <w:tcPr>
            <w:tcW w:w="811" w:type="dxa"/>
            <w:vMerge w:val="continue"/>
            <w:vAlign w:val="center"/>
          </w:tcPr>
          <w:p w14:paraId="45843689">
            <w:pPr>
              <w:rPr>
                <w:rFonts w:hint="eastAsia" w:ascii="宋体" w:hAnsi="宋体" w:eastAsia="宋体" w:cs="宋体"/>
                <w:color w:val="auto"/>
                <w:sz w:val="24"/>
                <w:szCs w:val="24"/>
                <w:highlight w:val="none"/>
                <w:u w:val="single"/>
              </w:rPr>
            </w:pPr>
          </w:p>
        </w:tc>
        <w:tc>
          <w:tcPr>
            <w:tcW w:w="3792" w:type="dxa"/>
            <w:vAlign w:val="center"/>
          </w:tcPr>
          <w:p w14:paraId="0C1F1FA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（7）本项目的特定资格要求</w:t>
            </w:r>
          </w:p>
        </w:tc>
        <w:tc>
          <w:tcPr>
            <w:tcW w:w="4735" w:type="dxa"/>
            <w:vAlign w:val="center"/>
          </w:tcPr>
          <w:p w14:paraId="554DEB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按“第一篇三、供应商资格要求（三）本项目的特定资格要求”的要求提交。(如果有)</w:t>
            </w:r>
          </w:p>
        </w:tc>
      </w:tr>
      <w:tr w14:paraId="6777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40" w:type="dxa"/>
            <w:vAlign w:val="center"/>
          </w:tcPr>
          <w:p w14:paraId="5C9A7C2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4603" w:type="dxa"/>
            <w:gridSpan w:val="2"/>
            <w:vAlign w:val="center"/>
          </w:tcPr>
          <w:p w14:paraId="0DAF9C4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落实政府采购政策需满足的资格要求</w:t>
            </w:r>
          </w:p>
        </w:tc>
        <w:tc>
          <w:tcPr>
            <w:tcW w:w="4735" w:type="dxa"/>
            <w:vAlign w:val="center"/>
          </w:tcPr>
          <w:p w14:paraId="542F6F3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按“第一篇三、供应商资格要求（二）落实政府采购政策需满足的资格要求”的要求提交（如果有）。</w:t>
            </w:r>
          </w:p>
        </w:tc>
      </w:tr>
      <w:tr w14:paraId="34E3E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40" w:type="dxa"/>
            <w:vAlign w:val="center"/>
          </w:tcPr>
          <w:p w14:paraId="59C4E4A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4603" w:type="dxa"/>
            <w:gridSpan w:val="2"/>
            <w:vAlign w:val="center"/>
          </w:tcPr>
          <w:p w14:paraId="119552A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4735" w:type="dxa"/>
            <w:vAlign w:val="center"/>
          </w:tcPr>
          <w:p w14:paraId="79E7D16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按照竞争性磋商文件的规定提交保证金(如果有)</w:t>
            </w:r>
          </w:p>
        </w:tc>
      </w:tr>
    </w:tbl>
    <w:p w14:paraId="138EE255">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F811131">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CB5ACDC">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22"/>
        <w:gridCol w:w="2186"/>
        <w:gridCol w:w="5245"/>
      </w:tblGrid>
      <w:tr w14:paraId="70B5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0D3639DE">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708" w:type="dxa"/>
            <w:gridSpan w:val="2"/>
            <w:vAlign w:val="center"/>
          </w:tcPr>
          <w:p w14:paraId="56687558">
            <w:pPr>
              <w:ind w:firstLine="482"/>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245" w:type="dxa"/>
            <w:vAlign w:val="center"/>
          </w:tcPr>
          <w:p w14:paraId="762483D5">
            <w:pPr>
              <w:ind w:firstLine="482"/>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2716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CCDDB70">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22" w:type="dxa"/>
            <w:vMerge w:val="restart"/>
            <w:vAlign w:val="center"/>
          </w:tcPr>
          <w:p w14:paraId="6E185A78">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2186" w:type="dxa"/>
            <w:vAlign w:val="center"/>
          </w:tcPr>
          <w:p w14:paraId="273DD331">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响应文件签署或盖章</w:t>
            </w:r>
          </w:p>
        </w:tc>
        <w:tc>
          <w:tcPr>
            <w:tcW w:w="5245" w:type="dxa"/>
            <w:vAlign w:val="center"/>
          </w:tcPr>
          <w:p w14:paraId="16EC798D">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按竞争性磋商文件“第七篇响应文件编制要求”要求签署或盖章。</w:t>
            </w:r>
          </w:p>
        </w:tc>
      </w:tr>
      <w:tr w14:paraId="7633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Merge w:val="continue"/>
            <w:vAlign w:val="center"/>
          </w:tcPr>
          <w:p w14:paraId="19CFF588">
            <w:pPr>
              <w:jc w:val="center"/>
              <w:rPr>
                <w:rFonts w:hint="eastAsia" w:ascii="宋体" w:hAnsi="宋体" w:eastAsia="宋体" w:cs="宋体"/>
                <w:color w:val="auto"/>
                <w:kern w:val="0"/>
                <w:sz w:val="24"/>
                <w:szCs w:val="24"/>
                <w:highlight w:val="none"/>
              </w:rPr>
            </w:pPr>
          </w:p>
        </w:tc>
        <w:tc>
          <w:tcPr>
            <w:tcW w:w="1522" w:type="dxa"/>
            <w:vMerge w:val="continue"/>
            <w:vAlign w:val="center"/>
          </w:tcPr>
          <w:p w14:paraId="04E1B626">
            <w:pPr>
              <w:rPr>
                <w:rFonts w:hint="eastAsia" w:ascii="宋体" w:hAnsi="宋体" w:eastAsia="宋体" w:cs="宋体"/>
                <w:color w:val="auto"/>
                <w:kern w:val="0"/>
                <w:sz w:val="24"/>
                <w:szCs w:val="24"/>
                <w:highlight w:val="none"/>
              </w:rPr>
            </w:pPr>
          </w:p>
        </w:tc>
        <w:tc>
          <w:tcPr>
            <w:tcW w:w="2186" w:type="dxa"/>
            <w:vAlign w:val="center"/>
          </w:tcPr>
          <w:p w14:paraId="383CDB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245" w:type="dxa"/>
            <w:vAlign w:val="center"/>
          </w:tcPr>
          <w:p w14:paraId="4CDD8AC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法定代表人身份证明及授权委托书有效，符合竞争性磋商文件规定的格式，签署或盖章齐全。</w:t>
            </w:r>
          </w:p>
        </w:tc>
      </w:tr>
      <w:tr w14:paraId="172F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B708DC7">
            <w:pPr>
              <w:jc w:val="center"/>
              <w:rPr>
                <w:rFonts w:hint="eastAsia" w:ascii="宋体" w:hAnsi="宋体" w:eastAsia="宋体" w:cs="宋体"/>
                <w:color w:val="auto"/>
                <w:kern w:val="0"/>
                <w:sz w:val="24"/>
                <w:szCs w:val="24"/>
                <w:highlight w:val="none"/>
              </w:rPr>
            </w:pPr>
          </w:p>
        </w:tc>
        <w:tc>
          <w:tcPr>
            <w:tcW w:w="1522" w:type="dxa"/>
            <w:vMerge w:val="continue"/>
            <w:vAlign w:val="center"/>
          </w:tcPr>
          <w:p w14:paraId="2BF43A9A">
            <w:pPr>
              <w:rPr>
                <w:rFonts w:hint="eastAsia" w:ascii="宋体" w:hAnsi="宋体" w:eastAsia="宋体" w:cs="宋体"/>
                <w:color w:val="auto"/>
                <w:kern w:val="0"/>
                <w:sz w:val="24"/>
                <w:szCs w:val="24"/>
                <w:highlight w:val="none"/>
              </w:rPr>
            </w:pPr>
          </w:p>
        </w:tc>
        <w:tc>
          <w:tcPr>
            <w:tcW w:w="2186" w:type="dxa"/>
            <w:vAlign w:val="center"/>
          </w:tcPr>
          <w:p w14:paraId="4F513ACD">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245" w:type="dxa"/>
            <w:vAlign w:val="center"/>
          </w:tcPr>
          <w:p w14:paraId="71B1E384">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每个包只能有一个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109B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Merge w:val="continue"/>
            <w:vAlign w:val="center"/>
          </w:tcPr>
          <w:p w14:paraId="011E4306">
            <w:pPr>
              <w:jc w:val="center"/>
              <w:rPr>
                <w:rFonts w:hint="eastAsia" w:ascii="宋体" w:hAnsi="宋体" w:eastAsia="宋体" w:cs="宋体"/>
                <w:color w:val="auto"/>
                <w:kern w:val="0"/>
                <w:sz w:val="24"/>
                <w:szCs w:val="24"/>
                <w:highlight w:val="none"/>
              </w:rPr>
            </w:pPr>
          </w:p>
        </w:tc>
        <w:tc>
          <w:tcPr>
            <w:tcW w:w="1522" w:type="dxa"/>
            <w:vMerge w:val="continue"/>
            <w:vAlign w:val="center"/>
          </w:tcPr>
          <w:p w14:paraId="79F8066D">
            <w:pPr>
              <w:rPr>
                <w:rFonts w:hint="eastAsia" w:ascii="宋体" w:hAnsi="宋体" w:eastAsia="宋体" w:cs="宋体"/>
                <w:color w:val="auto"/>
                <w:kern w:val="0"/>
                <w:sz w:val="24"/>
                <w:szCs w:val="24"/>
                <w:highlight w:val="none"/>
              </w:rPr>
            </w:pPr>
          </w:p>
        </w:tc>
        <w:tc>
          <w:tcPr>
            <w:tcW w:w="2186" w:type="dxa"/>
            <w:vAlign w:val="center"/>
          </w:tcPr>
          <w:p w14:paraId="65D040E6">
            <w:pP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245" w:type="dxa"/>
            <w:vAlign w:val="center"/>
          </w:tcPr>
          <w:p w14:paraId="4C43F702">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只能有一个有效报价，不得提交选择性报价。</w:t>
            </w:r>
          </w:p>
        </w:tc>
      </w:tr>
      <w:tr w14:paraId="1DF2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75" w:type="dxa"/>
            <w:vAlign w:val="center"/>
          </w:tcPr>
          <w:p w14:paraId="28343CD5">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22" w:type="dxa"/>
            <w:vAlign w:val="center"/>
          </w:tcPr>
          <w:p w14:paraId="0480165F">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2186" w:type="dxa"/>
            <w:vAlign w:val="center"/>
          </w:tcPr>
          <w:p w14:paraId="51C87108">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245" w:type="dxa"/>
            <w:vAlign w:val="center"/>
          </w:tcPr>
          <w:p w14:paraId="1842B4B9">
            <w:pP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文件正、副本数量（含电子文档）符合</w:t>
            </w:r>
            <w:r>
              <w:rPr>
                <w:rFonts w:hint="eastAsia" w:ascii="宋体" w:hAnsi="宋体" w:eastAsia="宋体" w:cs="宋体"/>
                <w:color w:val="auto"/>
                <w:sz w:val="24"/>
                <w:szCs w:val="24"/>
                <w:highlight w:val="none"/>
              </w:rPr>
              <w:t>竞争性磋商</w:t>
            </w:r>
            <w:r>
              <w:rPr>
                <w:rFonts w:hint="eastAsia" w:ascii="宋体" w:hAnsi="宋体" w:eastAsia="宋体" w:cs="宋体"/>
                <w:color w:val="auto"/>
                <w:sz w:val="24"/>
                <w:szCs w:val="24"/>
                <w:highlight w:val="none"/>
                <w:lang w:val="zh-CN"/>
              </w:rPr>
              <w:t>文件要求。</w:t>
            </w:r>
          </w:p>
        </w:tc>
      </w:tr>
      <w:tr w14:paraId="10BA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B51F46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22" w:type="dxa"/>
            <w:vMerge w:val="restart"/>
            <w:vAlign w:val="center"/>
          </w:tcPr>
          <w:p w14:paraId="1A16BB0A">
            <w:pPr>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响应程度审查</w:t>
            </w:r>
          </w:p>
        </w:tc>
        <w:tc>
          <w:tcPr>
            <w:tcW w:w="2186" w:type="dxa"/>
            <w:vAlign w:val="center"/>
          </w:tcPr>
          <w:p w14:paraId="0E4FA51F">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实质性响应</w:t>
            </w:r>
          </w:p>
        </w:tc>
        <w:tc>
          <w:tcPr>
            <w:tcW w:w="5245" w:type="dxa"/>
            <w:vAlign w:val="center"/>
          </w:tcPr>
          <w:p w14:paraId="5E6825D5">
            <w:pPr>
              <w:pStyle w:val="3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竞争性磋商文件第二篇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第三篇以</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号标注的部分</w:t>
            </w:r>
            <w:r>
              <w:rPr>
                <w:rFonts w:hint="eastAsia" w:ascii="宋体" w:hAnsi="宋体" w:eastAsia="宋体" w:cs="宋体"/>
                <w:color w:val="auto"/>
                <w:kern w:val="0"/>
                <w:sz w:val="24"/>
                <w:szCs w:val="24"/>
                <w:highlight w:val="none"/>
              </w:rPr>
              <w:t>规定的</w:t>
            </w:r>
            <w:r>
              <w:rPr>
                <w:rFonts w:hint="eastAsia" w:ascii="宋体" w:hAnsi="宋体" w:eastAsia="宋体" w:cs="宋体"/>
                <w:color w:val="auto"/>
                <w:sz w:val="24"/>
                <w:szCs w:val="24"/>
                <w:highlight w:val="none"/>
              </w:rPr>
              <w:t>内容作出实质性响应</w:t>
            </w:r>
            <w:r>
              <w:rPr>
                <w:rFonts w:hint="eastAsia" w:ascii="宋体" w:hAnsi="宋体" w:eastAsia="宋体" w:cs="宋体"/>
                <w:color w:val="auto"/>
                <w:kern w:val="0"/>
                <w:sz w:val="24"/>
                <w:szCs w:val="24"/>
                <w:highlight w:val="none"/>
              </w:rPr>
              <w:t>。</w:t>
            </w:r>
          </w:p>
        </w:tc>
      </w:tr>
      <w:tr w14:paraId="16E8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62D3BA2A">
            <w:pPr>
              <w:jc w:val="center"/>
              <w:rPr>
                <w:rFonts w:hint="eastAsia" w:ascii="宋体" w:hAnsi="宋体" w:eastAsia="宋体" w:cs="宋体"/>
                <w:color w:val="auto"/>
                <w:kern w:val="0"/>
                <w:sz w:val="24"/>
                <w:szCs w:val="24"/>
                <w:highlight w:val="none"/>
              </w:rPr>
            </w:pPr>
          </w:p>
        </w:tc>
        <w:tc>
          <w:tcPr>
            <w:tcW w:w="1522" w:type="dxa"/>
            <w:vMerge w:val="continue"/>
            <w:vAlign w:val="center"/>
          </w:tcPr>
          <w:p w14:paraId="46F52AC8">
            <w:pPr>
              <w:rPr>
                <w:rFonts w:hint="eastAsia" w:ascii="宋体" w:hAnsi="宋体" w:eastAsia="宋体" w:cs="宋体"/>
                <w:color w:val="auto"/>
                <w:sz w:val="24"/>
                <w:szCs w:val="24"/>
                <w:highlight w:val="none"/>
                <w:lang w:val="zh-CN"/>
              </w:rPr>
            </w:pPr>
          </w:p>
        </w:tc>
        <w:tc>
          <w:tcPr>
            <w:tcW w:w="2186" w:type="dxa"/>
            <w:vAlign w:val="center"/>
          </w:tcPr>
          <w:p w14:paraId="295E1F50">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磋商有效期</w:t>
            </w:r>
          </w:p>
        </w:tc>
        <w:tc>
          <w:tcPr>
            <w:tcW w:w="5245" w:type="dxa"/>
            <w:vAlign w:val="center"/>
          </w:tcPr>
          <w:p w14:paraId="379F8E53">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响应文件及有关承诺文件有效期为提交响应文件截止时间起90天。</w:t>
            </w:r>
          </w:p>
        </w:tc>
      </w:tr>
    </w:tbl>
    <w:p w14:paraId="076242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5C59421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299E7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0CA2E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（五）在磋商过程中磋商的任何一方不得向他人透露与磋商有关的</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资料、价格或其他信息。</w:t>
      </w:r>
    </w:p>
    <w:p w14:paraId="62EE67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2A4017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（七）供应商在磋商时作出的所有书面承诺须由法定代表人（或其授权代表）或自然人（供应商为自然人）签署。</w:t>
      </w:r>
    </w:p>
    <w:p w14:paraId="083AA6AC">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w:t>
      </w:r>
      <w:r>
        <w:rPr>
          <w:rFonts w:hint="eastAsia" w:ascii="宋体" w:hAnsi="宋体" w:eastAsia="宋体" w:cs="宋体"/>
          <w:b/>
          <w:bCs/>
          <w:color w:val="auto"/>
          <w:sz w:val="24"/>
          <w:szCs w:val="24"/>
          <w:highlight w:val="none"/>
        </w:rPr>
        <w:t>已提交响应文件但未在规定时间内进行最后报价的供应商，或最后报价高于初始报价的（在未实质性变动竞争性磋商文件的情况下），或最后报价有歧义的，均视为放弃最后报价，以供应商响应文件中的报价为准。</w:t>
      </w:r>
    </w:p>
    <w:p w14:paraId="5615CC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eastAsia="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磋商报价、服务部分、商务部分等评定因素分别按照相应权重值计算分项得分后相加，满分为100分</w:t>
      </w:r>
      <w:r>
        <w:rPr>
          <w:rFonts w:hint="eastAsia" w:ascii="宋体" w:hAnsi="宋体" w:eastAsia="宋体" w:cs="宋体"/>
          <w:color w:val="auto"/>
          <w:sz w:val="24"/>
          <w:szCs w:val="24"/>
          <w:highlight w:val="none"/>
        </w:rPr>
        <w:t>。</w:t>
      </w:r>
    </w:p>
    <w:p w14:paraId="42CF624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十）磋商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人的资格。</w:t>
      </w:r>
    </w:p>
    <w:p w14:paraId="0B3EF825">
      <w:pPr>
        <w:pStyle w:val="4"/>
        <w:spacing w:before="0" w:after="0" w:line="360" w:lineRule="auto"/>
        <w:ind w:firstLine="480"/>
        <w:rPr>
          <w:rFonts w:hint="eastAsia" w:ascii="宋体" w:hAnsi="宋体" w:eastAsia="宋体" w:cs="宋体"/>
          <w:color w:val="auto"/>
          <w:highlight w:val="none"/>
        </w:rPr>
      </w:pPr>
      <w:bookmarkStart w:id="116" w:name="_Toc29765"/>
      <w:r>
        <w:rPr>
          <w:rFonts w:hint="eastAsia" w:ascii="宋体" w:hAnsi="宋体" w:eastAsia="宋体" w:cs="宋体"/>
          <w:color w:val="auto"/>
          <w:sz w:val="24"/>
          <w:szCs w:val="24"/>
          <w:highlight w:val="none"/>
        </w:rPr>
        <w:t>二、评审标准</w:t>
      </w:r>
      <w:bookmarkEnd w:id="113"/>
      <w:bookmarkEnd w:id="116"/>
    </w:p>
    <w:tbl>
      <w:tblPr>
        <w:tblStyle w:val="57"/>
        <w:tblW w:w="53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08"/>
        <w:gridCol w:w="1167"/>
        <w:gridCol w:w="5044"/>
        <w:gridCol w:w="2157"/>
      </w:tblGrid>
      <w:tr w14:paraId="1B66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40" w:type="pct"/>
            <w:vAlign w:val="center"/>
          </w:tcPr>
          <w:p w14:paraId="57E3DF20">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87" w:type="pct"/>
            <w:vAlign w:val="center"/>
          </w:tcPr>
          <w:p w14:paraId="5316CCD6">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567" w:type="pct"/>
            <w:vAlign w:val="center"/>
          </w:tcPr>
          <w:p w14:paraId="4021D356">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2454" w:type="pct"/>
            <w:vAlign w:val="center"/>
          </w:tcPr>
          <w:p w14:paraId="60EDC590">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049" w:type="pct"/>
            <w:vAlign w:val="center"/>
          </w:tcPr>
          <w:p w14:paraId="2242DBD7">
            <w:pPr>
              <w:pStyle w:val="258"/>
              <w:adjustRightInd w:val="0"/>
              <w:snapToGrid w:val="0"/>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4D02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340" w:type="pct"/>
            <w:vAlign w:val="center"/>
          </w:tcPr>
          <w:p w14:paraId="5D11002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7" w:type="pct"/>
            <w:vAlign w:val="center"/>
          </w:tcPr>
          <w:p w14:paraId="75902C20">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w:t>
            </w:r>
          </w:p>
          <w:p w14:paraId="1DFCB75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23417984">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567" w:type="pct"/>
            <w:vAlign w:val="center"/>
          </w:tcPr>
          <w:p w14:paraId="592E7E00">
            <w:pPr>
              <w:adjustRightInd w:val="0"/>
              <w:snapToGrid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p>
        </w:tc>
        <w:tc>
          <w:tcPr>
            <w:tcW w:w="2454" w:type="pct"/>
            <w:vAlign w:val="center"/>
          </w:tcPr>
          <w:p w14:paraId="0B38CC93">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满足资格性、符合性要求且最后报价最低的供应商的价格为磋商基准价，按照下列公式计算每个供应商的磋商报价得分。</w:t>
            </w:r>
          </w:p>
          <w:p w14:paraId="28BFE6A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磋商报价得分=（磋商基准价/最后磋商报价）×价格权值×100。</w:t>
            </w:r>
          </w:p>
        </w:tc>
        <w:tc>
          <w:tcPr>
            <w:tcW w:w="1049" w:type="pct"/>
            <w:vAlign w:val="center"/>
          </w:tcPr>
          <w:p w14:paraId="61A592D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1、计算结果保留小数点后两位，第三位四舍五入。</w:t>
            </w:r>
          </w:p>
          <w:p w14:paraId="5102B9F1">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2、对小型和微型企业的价格给予10%的扣除，用扣除后的价格参与评审。</w:t>
            </w:r>
          </w:p>
        </w:tc>
      </w:tr>
      <w:tr w14:paraId="7C3F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340" w:type="pct"/>
            <w:vMerge w:val="restart"/>
            <w:vAlign w:val="center"/>
          </w:tcPr>
          <w:p w14:paraId="145E49B1">
            <w:pPr>
              <w:adjustRightInd w:val="0"/>
              <w:snapToGrid w:val="0"/>
              <w:jc w:val="center"/>
              <w:rPr>
                <w:rFonts w:hint="eastAsia" w:ascii="宋体" w:hAnsi="宋体" w:eastAsia="宋体" w:cs="宋体"/>
                <w:color w:val="auto"/>
                <w:sz w:val="21"/>
                <w:szCs w:val="21"/>
                <w:highlight w:val="none"/>
              </w:rPr>
            </w:pPr>
          </w:p>
          <w:p w14:paraId="55BB6824">
            <w:pPr>
              <w:adjustRightInd w:val="0"/>
              <w:snapToGrid w:val="0"/>
              <w:jc w:val="center"/>
              <w:rPr>
                <w:rFonts w:hint="eastAsia" w:ascii="宋体" w:hAnsi="宋体" w:eastAsia="宋体" w:cs="宋体"/>
                <w:color w:val="auto"/>
                <w:sz w:val="21"/>
                <w:szCs w:val="21"/>
                <w:highlight w:val="none"/>
              </w:rPr>
            </w:pPr>
          </w:p>
          <w:p w14:paraId="4B8D0B84">
            <w:pPr>
              <w:adjustRightInd w:val="0"/>
              <w:snapToGrid w:val="0"/>
              <w:jc w:val="center"/>
              <w:rPr>
                <w:rFonts w:hint="eastAsia" w:ascii="宋体" w:hAnsi="宋体" w:eastAsia="宋体" w:cs="宋体"/>
                <w:color w:val="auto"/>
                <w:sz w:val="21"/>
                <w:szCs w:val="21"/>
                <w:highlight w:val="none"/>
              </w:rPr>
            </w:pPr>
          </w:p>
          <w:p w14:paraId="76548D86">
            <w:pPr>
              <w:adjustRightInd w:val="0"/>
              <w:snapToGrid w:val="0"/>
              <w:jc w:val="center"/>
              <w:rPr>
                <w:rFonts w:hint="eastAsia" w:ascii="宋体" w:hAnsi="宋体" w:eastAsia="宋体" w:cs="宋体"/>
                <w:color w:val="auto"/>
                <w:sz w:val="21"/>
                <w:szCs w:val="21"/>
                <w:highlight w:val="none"/>
              </w:rPr>
            </w:pPr>
          </w:p>
          <w:p w14:paraId="5E0AB4E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87" w:type="pct"/>
            <w:vMerge w:val="restart"/>
            <w:vAlign w:val="center"/>
          </w:tcPr>
          <w:p w14:paraId="01038176">
            <w:pPr>
              <w:adjustRightInd w:val="0"/>
              <w:snapToGrid w:val="0"/>
              <w:jc w:val="center"/>
              <w:rPr>
                <w:rFonts w:hint="eastAsia" w:ascii="宋体" w:hAnsi="宋体" w:eastAsia="宋体" w:cs="宋体"/>
                <w:color w:val="auto"/>
                <w:sz w:val="21"/>
                <w:szCs w:val="21"/>
                <w:highlight w:val="none"/>
              </w:rPr>
            </w:pPr>
          </w:p>
          <w:p w14:paraId="03E710AF">
            <w:pPr>
              <w:adjustRightInd w:val="0"/>
              <w:snapToGrid w:val="0"/>
              <w:jc w:val="center"/>
              <w:rPr>
                <w:rFonts w:hint="eastAsia" w:ascii="宋体" w:hAnsi="宋体" w:eastAsia="宋体" w:cs="宋体"/>
                <w:color w:val="auto"/>
                <w:sz w:val="21"/>
                <w:szCs w:val="21"/>
                <w:highlight w:val="none"/>
              </w:rPr>
            </w:pPr>
          </w:p>
          <w:p w14:paraId="0A0249C3">
            <w:pPr>
              <w:adjustRightInd w:val="0"/>
              <w:snapToGrid w:val="0"/>
              <w:jc w:val="center"/>
              <w:rPr>
                <w:rFonts w:hint="eastAsia" w:ascii="宋体" w:hAnsi="宋体" w:eastAsia="宋体" w:cs="宋体"/>
                <w:color w:val="auto"/>
                <w:sz w:val="21"/>
                <w:szCs w:val="21"/>
                <w:highlight w:val="none"/>
              </w:rPr>
            </w:pPr>
          </w:p>
          <w:p w14:paraId="36A6D283">
            <w:pPr>
              <w:adjustRightInd w:val="0"/>
              <w:snapToGrid w:val="0"/>
              <w:jc w:val="center"/>
              <w:rPr>
                <w:rFonts w:hint="eastAsia" w:ascii="宋体" w:hAnsi="宋体" w:eastAsia="宋体" w:cs="宋体"/>
                <w:color w:val="auto"/>
                <w:sz w:val="21"/>
                <w:szCs w:val="21"/>
                <w:highlight w:val="none"/>
              </w:rPr>
            </w:pPr>
          </w:p>
          <w:p w14:paraId="1913FCC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p w14:paraId="513D8FCE">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3638528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c>
          <w:tcPr>
            <w:tcW w:w="567" w:type="pct"/>
            <w:vAlign w:val="center"/>
          </w:tcPr>
          <w:p w14:paraId="6697A41C">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项目的理解</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454" w:type="pct"/>
            <w:vAlign w:val="center"/>
          </w:tcPr>
          <w:p w14:paraId="12DB5E57">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供应商根据磋商文件要求</w:t>
            </w:r>
            <w:r>
              <w:rPr>
                <w:rFonts w:hint="eastAsia" w:ascii="宋体" w:hAnsi="宋体" w:eastAsia="宋体" w:cs="宋体"/>
                <w:color w:val="auto"/>
                <w:sz w:val="21"/>
                <w:szCs w:val="21"/>
                <w:highlight w:val="none"/>
                <w:lang w:val="zh-CN"/>
              </w:rPr>
              <w:t>对本项目的理解进行论述，包括工作背景、工作目标、工作范围、工作内容、技术标准、区域概况、主要技术指标的理解</w:t>
            </w:r>
            <w:r>
              <w:rPr>
                <w:rFonts w:hint="eastAsia" w:ascii="宋体" w:hAnsi="宋体" w:eastAsia="宋体" w:cs="宋体"/>
                <w:color w:val="auto"/>
                <w:sz w:val="21"/>
                <w:szCs w:val="21"/>
                <w:highlight w:val="none"/>
              </w:rPr>
              <w:t>。</w:t>
            </w:r>
          </w:p>
          <w:p w14:paraId="738A6F95">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方案内容不存在瑕疵，得</w:t>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zh-CN"/>
              </w:rPr>
              <w:t>分；</w:t>
            </w:r>
          </w:p>
          <w:p w14:paraId="3A930978">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方案内容存在1处瑕疵，得</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zh-CN"/>
              </w:rPr>
              <w:t>分；</w:t>
            </w:r>
          </w:p>
          <w:p w14:paraId="6F5A69FC">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方案内容存在2处瑕疵得</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分；</w:t>
            </w:r>
          </w:p>
          <w:p w14:paraId="133243BE">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处瑕疵得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14:paraId="7122F8ED">
            <w:pPr>
              <w:widowControl/>
              <w:adjustRightInd w:val="0"/>
              <w:snapToGrid w:val="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方案内容存在</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处及以上瑕疵或未提供方案得0分。</w:t>
            </w:r>
          </w:p>
        </w:tc>
        <w:tc>
          <w:tcPr>
            <w:tcW w:w="1049" w:type="pct"/>
            <w:vMerge w:val="restart"/>
            <w:vAlign w:val="center"/>
          </w:tcPr>
          <w:p w14:paraId="385E82AE">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供应商提供方案，格式自拟。</w:t>
            </w:r>
          </w:p>
          <w:p w14:paraId="5AE22AE7">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注：本项内容中所称的“瑕疵”：</w:t>
            </w:r>
          </w:p>
          <w:p w14:paraId="42DA41AA">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①指方案内容</w:t>
            </w:r>
            <w:r>
              <w:rPr>
                <w:rFonts w:hint="eastAsia" w:ascii="宋体" w:hAnsi="宋体" w:eastAsia="宋体" w:cs="宋体"/>
                <w:color w:val="auto"/>
                <w:sz w:val="21"/>
                <w:szCs w:val="21"/>
                <w:highlight w:val="none"/>
                <w:lang w:val="en-US" w:eastAsia="zh-CN"/>
              </w:rPr>
              <w:t>缺项或</w:t>
            </w:r>
            <w:r>
              <w:rPr>
                <w:rFonts w:hint="eastAsia" w:ascii="宋体" w:hAnsi="宋体" w:eastAsia="宋体" w:cs="宋体"/>
                <w:color w:val="auto"/>
                <w:sz w:val="21"/>
                <w:szCs w:val="21"/>
                <w:highlight w:val="none"/>
              </w:rPr>
              <w:t>内容表述不完整或缺少情况措施介绍说明；</w:t>
            </w:r>
          </w:p>
          <w:p w14:paraId="483145BF">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②计划及措施无科学合理性、无可行性或先进性、安排的流程不够高效专业；</w:t>
            </w:r>
          </w:p>
          <w:p w14:paraId="16AA11B7">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③内容表述前后矛盾、无连贯性、内容存在逻辑漏洞；</w:t>
            </w:r>
          </w:p>
          <w:p w14:paraId="779A6C97">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④常识性错误；</w:t>
            </w:r>
          </w:p>
          <w:p w14:paraId="7E7FB9D9">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⑤计划措施保障安排并不适用本项目特性；</w:t>
            </w:r>
          </w:p>
          <w:p w14:paraId="10E49FB5">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⑥方案中提出的措施举措不利于本项目目标的实现，不适用于采购人单位现有情况；</w:t>
            </w:r>
          </w:p>
          <w:p w14:paraId="2DBA9040">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⑦现有技术条件下不可能实现采购目标；</w:t>
            </w:r>
          </w:p>
          <w:p w14:paraId="0D3463A5">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上述任意一种情形为1处瑕疵。</w:t>
            </w:r>
          </w:p>
        </w:tc>
      </w:tr>
      <w:tr w14:paraId="48CA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340" w:type="pct"/>
            <w:vMerge w:val="continue"/>
            <w:vAlign w:val="center"/>
          </w:tcPr>
          <w:p w14:paraId="4FEDEE2E">
            <w:pPr>
              <w:widowControl/>
              <w:adjustRightInd w:val="0"/>
              <w:snapToGrid w:val="0"/>
              <w:jc w:val="center"/>
              <w:textAlignment w:val="center"/>
              <w:rPr>
                <w:rFonts w:hint="eastAsia" w:ascii="宋体" w:hAnsi="宋体" w:eastAsia="宋体" w:cs="宋体"/>
                <w:color w:val="auto"/>
                <w:sz w:val="21"/>
                <w:szCs w:val="21"/>
                <w:highlight w:val="none"/>
              </w:rPr>
            </w:pPr>
          </w:p>
        </w:tc>
        <w:tc>
          <w:tcPr>
            <w:tcW w:w="587" w:type="pct"/>
            <w:vMerge w:val="continue"/>
            <w:vAlign w:val="center"/>
          </w:tcPr>
          <w:p w14:paraId="13AB1758">
            <w:pPr>
              <w:widowControl/>
              <w:adjustRightInd w:val="0"/>
              <w:snapToGrid w:val="0"/>
              <w:jc w:val="center"/>
              <w:textAlignment w:val="center"/>
              <w:rPr>
                <w:rFonts w:hint="eastAsia" w:ascii="宋体" w:hAnsi="宋体" w:eastAsia="宋体" w:cs="宋体"/>
                <w:color w:val="auto"/>
                <w:sz w:val="21"/>
                <w:szCs w:val="21"/>
                <w:highlight w:val="none"/>
              </w:rPr>
            </w:pPr>
          </w:p>
        </w:tc>
        <w:tc>
          <w:tcPr>
            <w:tcW w:w="567" w:type="pct"/>
            <w:vAlign w:val="center"/>
          </w:tcPr>
          <w:p w14:paraId="17F1AB7D">
            <w:pPr>
              <w:widowControl/>
              <w:adjustRightInd w:val="0"/>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技术方案（</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454" w:type="pct"/>
            <w:vAlign w:val="center"/>
          </w:tcPr>
          <w:p w14:paraId="5BCEA0E4">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供应商根据磋商文件要求提供技术方案，包括总体技术路线、工作准备、工作实施、质量控制。</w:t>
            </w:r>
          </w:p>
          <w:p w14:paraId="00C676C6">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方案内容不存在瑕疵，得15分；</w:t>
            </w:r>
          </w:p>
          <w:p w14:paraId="31ED9892">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方案内容存在1处瑕疵，得10分；</w:t>
            </w:r>
          </w:p>
          <w:p w14:paraId="59B06B07">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方案内容存在2处瑕疵得5分；</w:t>
            </w:r>
          </w:p>
          <w:p w14:paraId="11F13A0D">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方案内容存在3处瑕疵得1分；</w:t>
            </w:r>
          </w:p>
          <w:p w14:paraId="48017918">
            <w:pPr>
              <w:widowControl/>
              <w:adjustRightInd w:val="0"/>
              <w:snapToGrid w:val="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方案内容存在4处及以上瑕疵或未提供方案得0分。</w:t>
            </w:r>
          </w:p>
        </w:tc>
        <w:tc>
          <w:tcPr>
            <w:tcW w:w="1049" w:type="pct"/>
            <w:vMerge w:val="continue"/>
            <w:vAlign w:val="center"/>
          </w:tcPr>
          <w:p w14:paraId="39F489C7">
            <w:pPr>
              <w:widowControl/>
              <w:adjustRightInd w:val="0"/>
              <w:snapToGrid w:val="0"/>
              <w:jc w:val="center"/>
              <w:textAlignment w:val="center"/>
              <w:rPr>
                <w:rFonts w:hint="eastAsia" w:ascii="宋体" w:hAnsi="宋体" w:eastAsia="宋体" w:cs="宋体"/>
                <w:color w:val="auto"/>
                <w:kern w:val="0"/>
                <w:sz w:val="21"/>
                <w:szCs w:val="21"/>
                <w:highlight w:val="none"/>
                <w:lang w:bidi="ar"/>
              </w:rPr>
            </w:pPr>
          </w:p>
        </w:tc>
      </w:tr>
      <w:tr w14:paraId="57CA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340" w:type="pct"/>
            <w:vMerge w:val="continue"/>
            <w:vAlign w:val="center"/>
          </w:tcPr>
          <w:p w14:paraId="149FC498">
            <w:pPr>
              <w:widowControl/>
              <w:adjustRightInd w:val="0"/>
              <w:snapToGrid w:val="0"/>
              <w:jc w:val="center"/>
              <w:textAlignment w:val="center"/>
              <w:rPr>
                <w:rFonts w:hint="eastAsia" w:ascii="宋体" w:hAnsi="宋体" w:eastAsia="宋体" w:cs="宋体"/>
                <w:color w:val="auto"/>
                <w:sz w:val="21"/>
                <w:szCs w:val="21"/>
                <w:highlight w:val="none"/>
              </w:rPr>
            </w:pPr>
          </w:p>
        </w:tc>
        <w:tc>
          <w:tcPr>
            <w:tcW w:w="587" w:type="pct"/>
            <w:vMerge w:val="continue"/>
            <w:vAlign w:val="center"/>
          </w:tcPr>
          <w:p w14:paraId="7F273D2D">
            <w:pPr>
              <w:widowControl/>
              <w:adjustRightInd w:val="0"/>
              <w:snapToGrid w:val="0"/>
              <w:jc w:val="center"/>
              <w:textAlignment w:val="center"/>
              <w:rPr>
                <w:rFonts w:hint="eastAsia" w:ascii="宋体" w:hAnsi="宋体" w:eastAsia="宋体" w:cs="宋体"/>
                <w:color w:val="auto"/>
                <w:sz w:val="21"/>
                <w:szCs w:val="21"/>
                <w:highlight w:val="none"/>
              </w:rPr>
            </w:pPr>
          </w:p>
        </w:tc>
        <w:tc>
          <w:tcPr>
            <w:tcW w:w="567" w:type="pct"/>
            <w:vAlign w:val="center"/>
          </w:tcPr>
          <w:p w14:paraId="49C21D85">
            <w:pPr>
              <w:widowControl/>
              <w:adjustRightInd w:val="0"/>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进度</w:t>
            </w:r>
            <w:r>
              <w:rPr>
                <w:rFonts w:hint="eastAsia" w:ascii="宋体" w:hAnsi="宋体" w:cs="宋体"/>
                <w:color w:val="auto"/>
                <w:sz w:val="21"/>
                <w:szCs w:val="21"/>
                <w:highlight w:val="none"/>
                <w:lang w:val="en-US" w:eastAsia="zh-CN"/>
              </w:rPr>
              <w:t>安排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454" w:type="pct"/>
            <w:vAlign w:val="center"/>
          </w:tcPr>
          <w:p w14:paraId="68403893">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供应商根据磋商文件要求提供</w:t>
            </w:r>
            <w:r>
              <w:rPr>
                <w:rFonts w:hint="eastAsia" w:ascii="宋体" w:hAnsi="宋体" w:eastAsia="宋体" w:cs="宋体"/>
                <w:color w:val="auto"/>
                <w:sz w:val="21"/>
                <w:szCs w:val="21"/>
                <w:highlight w:val="none"/>
                <w:lang w:val="zh-CN"/>
              </w:rPr>
              <w:t>项目</w:t>
            </w:r>
            <w:r>
              <w:rPr>
                <w:rFonts w:hint="eastAsia" w:ascii="宋体" w:hAnsi="宋体" w:eastAsia="宋体" w:cs="宋体"/>
                <w:color w:val="auto"/>
                <w:sz w:val="21"/>
                <w:szCs w:val="21"/>
                <w:highlight w:val="none"/>
                <w:lang w:val="en-US" w:eastAsia="zh-CN"/>
              </w:rPr>
              <w:t>进度</w:t>
            </w:r>
            <w:r>
              <w:rPr>
                <w:rFonts w:hint="eastAsia" w:ascii="宋体" w:hAnsi="宋体" w:cs="宋体"/>
                <w:color w:val="auto"/>
                <w:sz w:val="21"/>
                <w:szCs w:val="21"/>
                <w:highlight w:val="none"/>
                <w:lang w:val="en-US" w:eastAsia="zh-CN"/>
              </w:rPr>
              <w:t>安排</w:t>
            </w:r>
            <w:r>
              <w:rPr>
                <w:rFonts w:hint="eastAsia" w:ascii="宋体" w:hAnsi="宋体" w:eastAsia="宋体" w:cs="宋体"/>
                <w:color w:val="auto"/>
                <w:sz w:val="21"/>
                <w:szCs w:val="21"/>
                <w:highlight w:val="none"/>
                <w:lang w:val="zh-CN"/>
              </w:rPr>
              <w:t>方案，包括具体项目总体进度计划、具体工作时间安排、进度保障和补救措施</w:t>
            </w:r>
            <w:r>
              <w:rPr>
                <w:rFonts w:hint="eastAsia" w:ascii="宋体" w:hAnsi="宋体" w:eastAsia="宋体" w:cs="宋体"/>
                <w:color w:val="auto"/>
                <w:sz w:val="21"/>
                <w:szCs w:val="21"/>
                <w:highlight w:val="none"/>
              </w:rPr>
              <w:t>。</w:t>
            </w:r>
          </w:p>
          <w:p w14:paraId="25857ED8">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方案内容不存在瑕疵，得15分；</w:t>
            </w:r>
          </w:p>
          <w:p w14:paraId="7AE73FF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方案内容存在1处瑕疵，得10分；</w:t>
            </w:r>
          </w:p>
          <w:p w14:paraId="5E5B9A54">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方案内容存在2处瑕疵得5分；</w:t>
            </w:r>
          </w:p>
          <w:p w14:paraId="3D0E0BBF">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方案内容存在3处瑕疵得1分；</w:t>
            </w:r>
          </w:p>
          <w:p w14:paraId="5F16DBA2">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049" w:type="pct"/>
            <w:vMerge w:val="continue"/>
            <w:vAlign w:val="center"/>
          </w:tcPr>
          <w:p w14:paraId="6773363C">
            <w:pPr>
              <w:widowControl/>
              <w:adjustRightInd w:val="0"/>
              <w:snapToGrid w:val="0"/>
              <w:jc w:val="center"/>
              <w:textAlignment w:val="center"/>
              <w:rPr>
                <w:rFonts w:hint="eastAsia" w:ascii="宋体" w:hAnsi="宋体" w:eastAsia="宋体" w:cs="宋体"/>
                <w:color w:val="auto"/>
                <w:kern w:val="0"/>
                <w:sz w:val="21"/>
                <w:szCs w:val="21"/>
                <w:highlight w:val="none"/>
                <w:lang w:bidi="ar"/>
              </w:rPr>
            </w:pPr>
          </w:p>
        </w:tc>
      </w:tr>
      <w:tr w14:paraId="53023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40" w:type="pct"/>
            <w:vMerge w:val="continue"/>
            <w:vAlign w:val="center"/>
          </w:tcPr>
          <w:p w14:paraId="04145AD6">
            <w:pPr>
              <w:adjustRightInd w:val="0"/>
              <w:snapToGrid w:val="0"/>
              <w:jc w:val="center"/>
              <w:rPr>
                <w:rFonts w:hint="eastAsia" w:ascii="宋体" w:hAnsi="宋体" w:eastAsia="宋体" w:cs="宋体"/>
                <w:color w:val="auto"/>
                <w:sz w:val="21"/>
                <w:szCs w:val="21"/>
                <w:highlight w:val="none"/>
              </w:rPr>
            </w:pPr>
          </w:p>
        </w:tc>
        <w:tc>
          <w:tcPr>
            <w:tcW w:w="587" w:type="pct"/>
            <w:vMerge w:val="continue"/>
            <w:vAlign w:val="center"/>
          </w:tcPr>
          <w:p w14:paraId="0A093C4D">
            <w:pPr>
              <w:adjustRightInd w:val="0"/>
              <w:snapToGrid w:val="0"/>
              <w:jc w:val="center"/>
              <w:rPr>
                <w:rFonts w:hint="eastAsia" w:ascii="宋体" w:hAnsi="宋体" w:eastAsia="宋体" w:cs="宋体"/>
                <w:color w:val="auto"/>
                <w:sz w:val="21"/>
                <w:szCs w:val="21"/>
                <w:highlight w:val="none"/>
              </w:rPr>
            </w:pPr>
          </w:p>
        </w:tc>
        <w:tc>
          <w:tcPr>
            <w:tcW w:w="567" w:type="pct"/>
            <w:vAlign w:val="center"/>
          </w:tcPr>
          <w:p w14:paraId="70B3E5F6">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安全及保密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2454" w:type="pct"/>
            <w:vAlign w:val="center"/>
          </w:tcPr>
          <w:p w14:paraId="49364C3C">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供应商根据磋商文件要求提供</w:t>
            </w:r>
            <w:r>
              <w:rPr>
                <w:rFonts w:hint="eastAsia" w:ascii="宋体" w:hAnsi="宋体" w:eastAsia="宋体" w:cs="宋体"/>
                <w:color w:val="auto"/>
                <w:sz w:val="21"/>
                <w:szCs w:val="21"/>
                <w:highlight w:val="none"/>
                <w:lang w:val="zh-CN"/>
              </w:rPr>
              <w:t>项目安全及保密方案，包括安全生产、保密管理</w:t>
            </w:r>
            <w:r>
              <w:rPr>
                <w:rFonts w:hint="eastAsia" w:ascii="宋体" w:hAnsi="宋体" w:eastAsia="宋体" w:cs="宋体"/>
                <w:color w:val="auto"/>
                <w:sz w:val="21"/>
                <w:szCs w:val="21"/>
                <w:highlight w:val="none"/>
              </w:rPr>
              <w:t>。</w:t>
            </w:r>
          </w:p>
          <w:p w14:paraId="5B7F602C">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方案内容不存在瑕疵，得10分；</w:t>
            </w:r>
          </w:p>
          <w:p w14:paraId="5FA3C753">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方案内容存在1处瑕疵，得7分；</w:t>
            </w:r>
          </w:p>
          <w:p w14:paraId="4A6F8888">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方案内容存在2处瑕疵得4分；</w:t>
            </w:r>
          </w:p>
          <w:p w14:paraId="1A0351DC">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方案内容存在3处瑕疵得1分；</w:t>
            </w:r>
          </w:p>
          <w:p w14:paraId="5AD6590B">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049" w:type="pct"/>
            <w:vMerge w:val="continue"/>
            <w:vAlign w:val="center"/>
          </w:tcPr>
          <w:p w14:paraId="1D8F9AAF">
            <w:pPr>
              <w:adjustRightInd w:val="0"/>
              <w:snapToGrid w:val="0"/>
              <w:jc w:val="center"/>
              <w:rPr>
                <w:rFonts w:hint="eastAsia" w:ascii="宋体" w:hAnsi="宋体" w:eastAsia="宋体" w:cs="宋体"/>
                <w:color w:val="auto"/>
                <w:sz w:val="21"/>
                <w:szCs w:val="21"/>
                <w:highlight w:val="none"/>
              </w:rPr>
            </w:pPr>
          </w:p>
        </w:tc>
      </w:tr>
      <w:tr w14:paraId="7B31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40" w:type="pct"/>
            <w:vMerge w:val="restart"/>
            <w:shd w:val="clear" w:color="auto" w:fill="auto"/>
            <w:vAlign w:val="center"/>
          </w:tcPr>
          <w:p w14:paraId="540D47A0">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87" w:type="pct"/>
            <w:vMerge w:val="restart"/>
            <w:shd w:val="clear" w:color="auto" w:fill="auto"/>
            <w:vAlign w:val="center"/>
          </w:tcPr>
          <w:p w14:paraId="6F26A38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p w14:paraId="10F7BB12">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6B1D1B8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rPr>
              <w:t>%）</w:t>
            </w:r>
          </w:p>
        </w:tc>
        <w:tc>
          <w:tcPr>
            <w:tcW w:w="567" w:type="pct"/>
            <w:shd w:val="clear" w:color="auto" w:fill="auto"/>
            <w:vAlign w:val="center"/>
          </w:tcPr>
          <w:p w14:paraId="4496470D">
            <w:pPr>
              <w:adjustRightInd w:val="0"/>
              <w:snapToGrid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业绩</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2454" w:type="pct"/>
            <w:shd w:val="clear" w:color="auto" w:fill="auto"/>
            <w:vAlign w:val="center"/>
          </w:tcPr>
          <w:p w14:paraId="509DF753">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供应商从2022年1月1日（以合同签订时间为准）至响应文件递交截止时间承担过自然资源、国土变更相关“调查”类项目的，每提供1个得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本小项</w:t>
            </w:r>
            <w:r>
              <w:rPr>
                <w:rFonts w:hint="eastAsia" w:ascii="宋体" w:hAnsi="宋体" w:eastAsia="宋体" w:cs="宋体"/>
                <w:color w:val="auto"/>
                <w:sz w:val="21"/>
                <w:szCs w:val="21"/>
                <w:highlight w:val="none"/>
              </w:rPr>
              <w:t>最多得15分。</w:t>
            </w:r>
          </w:p>
        </w:tc>
        <w:tc>
          <w:tcPr>
            <w:tcW w:w="1049" w:type="pct"/>
            <w:vAlign w:val="center"/>
          </w:tcPr>
          <w:p w14:paraId="288E9887">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提供合同的复印件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p w14:paraId="0675A481">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w:t>
            </w:r>
            <w:r>
              <w:rPr>
                <w:rFonts w:hint="eastAsia" w:ascii="宋体" w:hAnsi="宋体" w:eastAsia="宋体" w:cs="宋体"/>
                <w:color w:val="auto"/>
                <w:sz w:val="21"/>
                <w:szCs w:val="21"/>
                <w:highlight w:val="none"/>
              </w:rPr>
              <w:t>业绩不重复计分。</w:t>
            </w:r>
          </w:p>
        </w:tc>
      </w:tr>
      <w:tr w14:paraId="4FF4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40" w:type="pct"/>
            <w:vMerge w:val="continue"/>
            <w:shd w:val="clear" w:color="auto" w:fill="auto"/>
            <w:vAlign w:val="center"/>
          </w:tcPr>
          <w:p w14:paraId="17B01F35">
            <w:pPr>
              <w:adjustRightInd w:val="0"/>
              <w:snapToGrid w:val="0"/>
              <w:jc w:val="center"/>
              <w:rPr>
                <w:rFonts w:hint="eastAsia" w:ascii="宋体" w:hAnsi="宋体" w:eastAsia="宋体" w:cs="宋体"/>
                <w:color w:val="auto"/>
                <w:sz w:val="21"/>
                <w:szCs w:val="21"/>
                <w:highlight w:val="none"/>
              </w:rPr>
            </w:pPr>
          </w:p>
        </w:tc>
        <w:tc>
          <w:tcPr>
            <w:tcW w:w="587" w:type="pct"/>
            <w:vMerge w:val="continue"/>
            <w:shd w:val="clear" w:color="auto" w:fill="auto"/>
            <w:vAlign w:val="center"/>
          </w:tcPr>
          <w:p w14:paraId="3F0818E7">
            <w:pPr>
              <w:adjustRightInd w:val="0"/>
              <w:snapToGrid w:val="0"/>
              <w:jc w:val="center"/>
              <w:rPr>
                <w:rFonts w:hint="eastAsia" w:ascii="宋体" w:hAnsi="宋体" w:eastAsia="宋体" w:cs="宋体"/>
                <w:color w:val="auto"/>
                <w:sz w:val="21"/>
                <w:szCs w:val="21"/>
                <w:highlight w:val="none"/>
              </w:rPr>
            </w:pPr>
          </w:p>
        </w:tc>
        <w:tc>
          <w:tcPr>
            <w:tcW w:w="567" w:type="pct"/>
            <w:vMerge w:val="restart"/>
            <w:shd w:val="clear" w:color="auto" w:fill="auto"/>
            <w:vAlign w:val="center"/>
          </w:tcPr>
          <w:p w14:paraId="1F1967CC">
            <w:pPr>
              <w:adjustRightInd w:val="0"/>
              <w:snapToGrid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团队人员</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2454" w:type="pct"/>
            <w:shd w:val="clear" w:color="auto" w:fill="auto"/>
            <w:vAlign w:val="center"/>
          </w:tcPr>
          <w:p w14:paraId="7F6078D7">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拟投入本项目的项目负责人具备自然资源（</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测绘）专业高级工程师及以上职称且具备注册测绘师证书的得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分，仅具备一项得2分。</w:t>
            </w:r>
          </w:p>
        </w:tc>
        <w:tc>
          <w:tcPr>
            <w:tcW w:w="1049" w:type="pct"/>
            <w:vMerge w:val="restart"/>
            <w:vAlign w:val="center"/>
          </w:tcPr>
          <w:p w14:paraId="5CF13A31">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提供人员有效证书的复印件、拟投入团队人员清单、供应商在2025年任意一个月为其缴纳的社保证明或劳动合同复印件，加盖供应商公章。</w:t>
            </w:r>
          </w:p>
        </w:tc>
      </w:tr>
      <w:tr w14:paraId="67E6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40" w:type="pct"/>
            <w:vMerge w:val="continue"/>
            <w:shd w:val="clear" w:color="auto" w:fill="auto"/>
            <w:vAlign w:val="center"/>
          </w:tcPr>
          <w:p w14:paraId="27A6D2C7">
            <w:pPr>
              <w:adjustRightInd w:val="0"/>
              <w:snapToGrid w:val="0"/>
              <w:jc w:val="center"/>
              <w:rPr>
                <w:rFonts w:hint="eastAsia" w:ascii="宋体" w:hAnsi="宋体" w:eastAsia="宋体" w:cs="宋体"/>
                <w:color w:val="auto"/>
                <w:sz w:val="21"/>
                <w:szCs w:val="21"/>
                <w:highlight w:val="none"/>
              </w:rPr>
            </w:pPr>
          </w:p>
        </w:tc>
        <w:tc>
          <w:tcPr>
            <w:tcW w:w="587" w:type="pct"/>
            <w:vMerge w:val="continue"/>
            <w:shd w:val="clear" w:color="auto" w:fill="auto"/>
            <w:vAlign w:val="center"/>
          </w:tcPr>
          <w:p w14:paraId="4B1EBD30">
            <w:pPr>
              <w:adjustRightInd w:val="0"/>
              <w:snapToGrid w:val="0"/>
              <w:jc w:val="center"/>
              <w:rPr>
                <w:rFonts w:hint="eastAsia" w:ascii="宋体" w:hAnsi="宋体" w:eastAsia="宋体" w:cs="宋体"/>
                <w:color w:val="auto"/>
                <w:sz w:val="21"/>
                <w:szCs w:val="21"/>
                <w:highlight w:val="none"/>
              </w:rPr>
            </w:pPr>
          </w:p>
        </w:tc>
        <w:tc>
          <w:tcPr>
            <w:tcW w:w="567" w:type="pct"/>
            <w:vMerge w:val="continue"/>
            <w:shd w:val="clear" w:color="auto" w:fill="auto"/>
            <w:vAlign w:val="center"/>
          </w:tcPr>
          <w:p w14:paraId="55EA1E9B">
            <w:pPr>
              <w:adjustRightInd w:val="0"/>
              <w:snapToGrid w:val="0"/>
              <w:jc w:val="center"/>
              <w:rPr>
                <w:rFonts w:hint="eastAsia" w:ascii="宋体" w:hAnsi="宋体" w:eastAsia="宋体" w:cs="宋体"/>
                <w:color w:val="auto"/>
                <w:sz w:val="21"/>
                <w:szCs w:val="21"/>
                <w:highlight w:val="none"/>
              </w:rPr>
            </w:pPr>
          </w:p>
        </w:tc>
        <w:tc>
          <w:tcPr>
            <w:tcW w:w="2454" w:type="pct"/>
            <w:shd w:val="clear" w:color="auto" w:fill="auto"/>
            <w:vAlign w:val="center"/>
          </w:tcPr>
          <w:p w14:paraId="5700B562">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拟投入本项目的技术负责人具备自然资源（</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测绘）专业高级工程师及以上职称且具备注册测绘师证书的得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分，仅具备一项得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049" w:type="pct"/>
            <w:vMerge w:val="continue"/>
            <w:vAlign w:val="center"/>
          </w:tcPr>
          <w:p w14:paraId="7852ABAC">
            <w:pPr>
              <w:adjustRightInd w:val="0"/>
              <w:snapToGrid w:val="0"/>
              <w:rPr>
                <w:rFonts w:hint="eastAsia" w:ascii="宋体" w:hAnsi="宋体" w:eastAsia="宋体" w:cs="宋体"/>
                <w:color w:val="auto"/>
                <w:sz w:val="21"/>
                <w:szCs w:val="21"/>
                <w:highlight w:val="none"/>
              </w:rPr>
            </w:pPr>
          </w:p>
        </w:tc>
      </w:tr>
      <w:tr w14:paraId="024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40" w:type="pct"/>
            <w:vMerge w:val="continue"/>
            <w:shd w:val="clear" w:color="auto" w:fill="auto"/>
            <w:vAlign w:val="center"/>
          </w:tcPr>
          <w:p w14:paraId="51E3FF5D">
            <w:pPr>
              <w:adjustRightInd w:val="0"/>
              <w:snapToGrid w:val="0"/>
              <w:jc w:val="center"/>
              <w:rPr>
                <w:rFonts w:hint="eastAsia" w:ascii="宋体" w:hAnsi="宋体" w:eastAsia="宋体" w:cs="宋体"/>
                <w:color w:val="auto"/>
                <w:sz w:val="21"/>
                <w:szCs w:val="21"/>
                <w:highlight w:val="none"/>
              </w:rPr>
            </w:pPr>
          </w:p>
        </w:tc>
        <w:tc>
          <w:tcPr>
            <w:tcW w:w="587" w:type="pct"/>
            <w:vMerge w:val="continue"/>
            <w:shd w:val="clear" w:color="auto" w:fill="auto"/>
            <w:vAlign w:val="center"/>
          </w:tcPr>
          <w:p w14:paraId="2FFCB67D">
            <w:pPr>
              <w:adjustRightInd w:val="0"/>
              <w:snapToGrid w:val="0"/>
              <w:jc w:val="center"/>
              <w:rPr>
                <w:rFonts w:hint="eastAsia" w:ascii="宋体" w:hAnsi="宋体" w:eastAsia="宋体" w:cs="宋体"/>
                <w:color w:val="auto"/>
                <w:sz w:val="21"/>
                <w:szCs w:val="21"/>
                <w:highlight w:val="none"/>
              </w:rPr>
            </w:pPr>
          </w:p>
        </w:tc>
        <w:tc>
          <w:tcPr>
            <w:tcW w:w="567" w:type="pct"/>
            <w:vMerge w:val="continue"/>
            <w:shd w:val="clear" w:color="auto" w:fill="auto"/>
            <w:vAlign w:val="center"/>
          </w:tcPr>
          <w:p w14:paraId="1F9B2047">
            <w:pPr>
              <w:adjustRightInd w:val="0"/>
              <w:snapToGrid w:val="0"/>
              <w:jc w:val="center"/>
              <w:rPr>
                <w:rFonts w:hint="eastAsia" w:ascii="宋体" w:hAnsi="宋体" w:eastAsia="宋体" w:cs="宋体"/>
                <w:color w:val="auto"/>
                <w:sz w:val="21"/>
                <w:szCs w:val="21"/>
                <w:highlight w:val="none"/>
              </w:rPr>
            </w:pPr>
          </w:p>
        </w:tc>
        <w:tc>
          <w:tcPr>
            <w:tcW w:w="2454" w:type="pct"/>
            <w:shd w:val="clear" w:color="auto" w:fill="auto"/>
            <w:vAlign w:val="center"/>
          </w:tcPr>
          <w:p w14:paraId="74618060">
            <w:pPr>
              <w:adjustRightInd w:val="0"/>
              <w:snapToGrid w:val="0"/>
              <w:rPr>
                <w:rFonts w:hint="eastAsia" w:ascii="宋体" w:hAnsi="宋体" w:eastAsia="宋体" w:cs="宋体"/>
                <w:color w:val="auto"/>
                <w:sz w:val="21"/>
                <w:szCs w:val="21"/>
                <w:highlight w:val="none"/>
                <w:lang w:val="en-US" w:eastAsia="zh-TW"/>
              </w:rPr>
            </w:pPr>
            <w:r>
              <w:rPr>
                <w:rFonts w:hint="eastAsia" w:ascii="宋体" w:hAnsi="宋体" w:eastAsia="宋体" w:cs="宋体"/>
                <w:color w:val="auto"/>
                <w:sz w:val="21"/>
                <w:szCs w:val="21"/>
                <w:highlight w:val="none"/>
              </w:rPr>
              <w:t>3.拟投入本项目的质量负责人具备自然资源（</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测绘）专业高级工程师及以上职称且具备注册测绘师证书的得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分，仅具备一项得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049" w:type="pct"/>
            <w:vMerge w:val="continue"/>
            <w:shd w:val="clear" w:color="auto" w:fill="auto"/>
            <w:vAlign w:val="center"/>
          </w:tcPr>
          <w:p w14:paraId="5970DBCC">
            <w:pPr>
              <w:adjustRightInd w:val="0"/>
              <w:snapToGrid w:val="0"/>
              <w:rPr>
                <w:rFonts w:hint="eastAsia" w:ascii="宋体" w:hAnsi="宋体" w:eastAsia="宋体" w:cs="宋体"/>
                <w:color w:val="auto"/>
                <w:sz w:val="21"/>
                <w:szCs w:val="21"/>
                <w:highlight w:val="none"/>
                <w:lang w:val="en-US" w:eastAsia="zh-CN"/>
              </w:rPr>
            </w:pPr>
          </w:p>
        </w:tc>
      </w:tr>
      <w:tr w14:paraId="364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340" w:type="pct"/>
            <w:vMerge w:val="continue"/>
            <w:shd w:val="clear" w:color="auto" w:fill="auto"/>
            <w:vAlign w:val="center"/>
          </w:tcPr>
          <w:p w14:paraId="619B42E3">
            <w:pPr>
              <w:adjustRightInd w:val="0"/>
              <w:snapToGrid w:val="0"/>
              <w:jc w:val="center"/>
              <w:rPr>
                <w:rFonts w:hint="eastAsia" w:ascii="宋体" w:hAnsi="宋体" w:eastAsia="宋体" w:cs="宋体"/>
                <w:color w:val="auto"/>
                <w:sz w:val="21"/>
                <w:szCs w:val="21"/>
                <w:highlight w:val="none"/>
              </w:rPr>
            </w:pPr>
          </w:p>
        </w:tc>
        <w:tc>
          <w:tcPr>
            <w:tcW w:w="587" w:type="pct"/>
            <w:vMerge w:val="continue"/>
            <w:shd w:val="clear" w:color="auto" w:fill="auto"/>
            <w:vAlign w:val="center"/>
          </w:tcPr>
          <w:p w14:paraId="19503FA0">
            <w:pPr>
              <w:adjustRightInd w:val="0"/>
              <w:snapToGrid w:val="0"/>
              <w:jc w:val="center"/>
              <w:rPr>
                <w:rFonts w:hint="eastAsia" w:ascii="宋体" w:hAnsi="宋体" w:eastAsia="宋体" w:cs="宋体"/>
                <w:color w:val="auto"/>
                <w:sz w:val="21"/>
                <w:szCs w:val="21"/>
                <w:highlight w:val="none"/>
              </w:rPr>
            </w:pPr>
          </w:p>
        </w:tc>
        <w:tc>
          <w:tcPr>
            <w:tcW w:w="567" w:type="pct"/>
            <w:vMerge w:val="continue"/>
            <w:shd w:val="clear" w:color="auto" w:fill="auto"/>
            <w:vAlign w:val="center"/>
          </w:tcPr>
          <w:p w14:paraId="00FC3B69">
            <w:pPr>
              <w:adjustRightInd w:val="0"/>
              <w:snapToGrid w:val="0"/>
              <w:jc w:val="center"/>
              <w:rPr>
                <w:rFonts w:hint="eastAsia" w:ascii="宋体" w:hAnsi="宋体" w:eastAsia="宋体" w:cs="宋体"/>
                <w:color w:val="auto"/>
                <w:sz w:val="21"/>
                <w:szCs w:val="21"/>
                <w:highlight w:val="none"/>
              </w:rPr>
            </w:pPr>
          </w:p>
        </w:tc>
        <w:tc>
          <w:tcPr>
            <w:tcW w:w="2454" w:type="pct"/>
            <w:shd w:val="clear" w:color="auto" w:fill="auto"/>
            <w:vAlign w:val="center"/>
          </w:tcPr>
          <w:p w14:paraId="47D5CE60">
            <w:pPr>
              <w:adjustRightInd w:val="0"/>
              <w:snapToGrid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拟投入本项目的人员（不含项目负责人、技术负责人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质量负责人）具备自然资源（</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测绘）专业高级</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rPr>
              <w:t>职称的，每投入1人得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分，具备自然资源（</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测绘）专业工程师（中级）职称的，每投入1人得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可累加，</w:t>
            </w:r>
            <w:r>
              <w:rPr>
                <w:rFonts w:hint="eastAsia" w:ascii="宋体" w:hAnsi="宋体" w:eastAsia="宋体" w:cs="宋体"/>
                <w:color w:val="auto"/>
                <w:sz w:val="21"/>
                <w:szCs w:val="21"/>
                <w:highlight w:val="none"/>
              </w:rPr>
              <w:t>本项最高得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1049" w:type="pct"/>
            <w:vMerge w:val="continue"/>
            <w:shd w:val="clear" w:color="auto" w:fill="auto"/>
            <w:vAlign w:val="center"/>
          </w:tcPr>
          <w:p w14:paraId="0CAE8B1E">
            <w:pPr>
              <w:adjustRightInd w:val="0"/>
              <w:snapToGrid w:val="0"/>
              <w:rPr>
                <w:rFonts w:hint="eastAsia" w:ascii="宋体" w:hAnsi="宋体" w:eastAsia="宋体" w:cs="宋体"/>
                <w:color w:val="auto"/>
                <w:sz w:val="21"/>
                <w:szCs w:val="21"/>
                <w:highlight w:val="none"/>
                <w:lang w:val="en-US" w:eastAsia="zh-CN"/>
              </w:rPr>
            </w:pPr>
          </w:p>
        </w:tc>
      </w:tr>
    </w:tbl>
    <w:p w14:paraId="10905D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注：关于小微企业报价扣除比例说明</w:t>
      </w:r>
    </w:p>
    <w:p w14:paraId="46BADCA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1、对小微型企业给予</w:t>
      </w:r>
      <w:r>
        <w:rPr>
          <w:rFonts w:hint="eastAsia" w:ascii="宋体" w:hAnsi="宋体" w:eastAsia="宋体" w:cs="宋体"/>
          <w:b/>
          <w:bCs/>
          <w:color w:val="auto"/>
          <w:sz w:val="24"/>
          <w:szCs w:val="24"/>
          <w:highlight w:val="none"/>
          <w:u w:val="single"/>
        </w:rPr>
        <w:t>10%</w:t>
      </w:r>
      <w:r>
        <w:rPr>
          <w:rFonts w:hint="eastAsia" w:ascii="宋体" w:hAnsi="宋体" w:eastAsia="宋体" w:cs="宋体"/>
          <w:color w:val="auto"/>
          <w:sz w:val="24"/>
          <w:szCs w:val="24"/>
          <w:highlight w:val="none"/>
        </w:rPr>
        <w:t>的扣除，以扣除后的报价参与评审。</w:t>
      </w:r>
    </w:p>
    <w:p w14:paraId="6E0D276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2、监狱企业、残疾人福利性单位视同小型、微型企业。 </w:t>
      </w:r>
    </w:p>
    <w:p w14:paraId="506E7318">
      <w:pPr>
        <w:pStyle w:val="4"/>
        <w:spacing w:before="0" w:after="0" w:line="360" w:lineRule="auto"/>
        <w:ind w:firstLine="480"/>
        <w:rPr>
          <w:rFonts w:hint="eastAsia" w:ascii="宋体" w:hAnsi="宋体" w:eastAsia="宋体" w:cs="宋体"/>
          <w:color w:val="auto"/>
          <w:sz w:val="24"/>
          <w:szCs w:val="24"/>
          <w:highlight w:val="none"/>
        </w:rPr>
      </w:pPr>
      <w:bookmarkStart w:id="117" w:name="_Toc10516"/>
      <w:r>
        <w:rPr>
          <w:rFonts w:hint="eastAsia" w:ascii="宋体" w:hAnsi="宋体" w:eastAsia="宋体" w:cs="宋体"/>
          <w:color w:val="auto"/>
          <w:sz w:val="24"/>
          <w:szCs w:val="24"/>
          <w:highlight w:val="none"/>
        </w:rPr>
        <w:t>三、无效响应</w:t>
      </w:r>
      <w:bookmarkEnd w:id="117"/>
    </w:p>
    <w:p w14:paraId="72A4BFEC">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6C1DAB3D">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4C28F055">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（二）供应商的法定代表人（或其授权代表）或自然人未参加磋商；</w:t>
      </w:r>
    </w:p>
    <w:p w14:paraId="02EB6180">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405E37FB">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（四）供应商的最后报价超过采购预算或最高限价的；</w:t>
      </w:r>
    </w:p>
    <w:p w14:paraId="3E5AC107">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（五）法定代表人为同一个人的两个及两个以上法人，母公司、全资子公司及其控股公司，在同一包采购中同时参与磋商；</w:t>
      </w:r>
    </w:p>
    <w:p w14:paraId="566BE270">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77C73171">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（七）为采购项目提供整体设计、规范编制或者项目管理、监理、检测等服务的供应商，再参加该采购项目的其他采购活动；</w:t>
      </w:r>
    </w:p>
    <w:p w14:paraId="256D915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（八）供应商磋商有效期不满足竞争性磋商文件要求的；</w:t>
      </w:r>
    </w:p>
    <w:p w14:paraId="06664BA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（九）供应商响应文件内容有与国家现行法律法规相违背的内容，或附有采购人无法接受的条件；</w:t>
      </w:r>
    </w:p>
    <w:p w14:paraId="02DDB736">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（十）供应商以联合体形式参与磋商的；</w:t>
      </w:r>
    </w:p>
    <w:p w14:paraId="2EDF67D2">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5059D535">
      <w:pPr>
        <w:pStyle w:val="4"/>
        <w:spacing w:before="0" w:after="0" w:line="360" w:lineRule="auto"/>
        <w:ind w:firstLine="480"/>
        <w:rPr>
          <w:rFonts w:hint="eastAsia" w:ascii="宋体" w:hAnsi="宋体" w:eastAsia="宋体" w:cs="宋体"/>
          <w:color w:val="auto"/>
          <w:sz w:val="24"/>
          <w:szCs w:val="24"/>
          <w:highlight w:val="none"/>
        </w:rPr>
      </w:pPr>
      <w:bookmarkStart w:id="118" w:name="_Toc13273"/>
      <w:r>
        <w:rPr>
          <w:rFonts w:hint="eastAsia" w:ascii="宋体" w:hAnsi="宋体" w:eastAsia="宋体" w:cs="宋体"/>
          <w:color w:val="auto"/>
          <w:sz w:val="24"/>
          <w:szCs w:val="24"/>
          <w:highlight w:val="none"/>
        </w:rPr>
        <w:t>四、</w:t>
      </w:r>
      <w:bookmarkEnd w:id="114"/>
      <w:bookmarkEnd w:id="115"/>
      <w:r>
        <w:rPr>
          <w:rFonts w:hint="eastAsia" w:ascii="宋体" w:hAnsi="宋体" w:eastAsia="宋体" w:cs="宋体"/>
          <w:color w:val="auto"/>
          <w:sz w:val="24"/>
          <w:szCs w:val="24"/>
          <w:highlight w:val="none"/>
        </w:rPr>
        <w:t>采购终止</w:t>
      </w:r>
      <w:bookmarkEnd w:id="118"/>
    </w:p>
    <w:p w14:paraId="52D21DB9">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出现下列情形之一的，采购人或者采购代理机构应当终止竞争性磋商采购活动，发布项目终止公告并说明原因，重新开展采购活动：</w:t>
      </w:r>
    </w:p>
    <w:p w14:paraId="35019AA4">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（一）因情况变化，不再符合规定的竞争性磋商采购方式适用情形的；</w:t>
      </w:r>
    </w:p>
    <w:p w14:paraId="6E18EBE9">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55011F2F">
      <w:pPr>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以及财政部财库[2015]124号文件规定的情形除外。</w:t>
      </w:r>
    </w:p>
    <w:p w14:paraId="3A130679">
      <w:pPr>
        <w:spacing w:line="360" w:lineRule="auto"/>
        <w:ind w:firstLine="480" w:firstLineChars="200"/>
        <w:rPr>
          <w:rFonts w:hint="eastAsia" w:ascii="宋体" w:hAnsi="宋体" w:eastAsia="宋体" w:cs="宋体"/>
          <w:color w:val="auto"/>
          <w:sz w:val="24"/>
          <w:szCs w:val="24"/>
          <w:highlight w:val="none"/>
        </w:rPr>
        <w:sectPr>
          <w:footerReference r:id="rId9" w:type="default"/>
          <w:pgSz w:w="11907" w:h="16840"/>
          <w:pgMar w:top="1134" w:right="1191" w:bottom="1134" w:left="1304" w:header="850" w:footer="992" w:gutter="0"/>
          <w:cols w:space="720" w:num="1"/>
          <w:rtlGutter w:val="1"/>
          <w:docGrid w:linePitch="312" w:charSpace="0"/>
        </w:sectPr>
      </w:pPr>
    </w:p>
    <w:p w14:paraId="13942475">
      <w:pPr>
        <w:pStyle w:val="3"/>
        <w:spacing w:before="0" w:after="0" w:line="360" w:lineRule="auto"/>
        <w:ind w:firstLine="720"/>
        <w:jc w:val="center"/>
        <w:rPr>
          <w:rFonts w:hint="eastAsia" w:ascii="宋体" w:hAnsi="宋体" w:eastAsia="宋体" w:cs="宋体"/>
          <w:bCs/>
          <w:color w:val="auto"/>
          <w:szCs w:val="30"/>
          <w:highlight w:val="none"/>
        </w:rPr>
      </w:pPr>
      <w:bookmarkStart w:id="119" w:name="_Toc15203"/>
      <w:bookmarkStart w:id="120" w:name="_Toc102227313"/>
      <w:r>
        <w:rPr>
          <w:rFonts w:hint="eastAsia" w:ascii="宋体" w:hAnsi="宋体" w:eastAsia="宋体" w:cs="宋体"/>
          <w:bCs/>
          <w:color w:val="auto"/>
          <w:sz w:val="36"/>
          <w:szCs w:val="30"/>
          <w:highlight w:val="none"/>
        </w:rPr>
        <w:t>第五篇  供应商须知</w:t>
      </w:r>
      <w:bookmarkEnd w:id="119"/>
      <w:bookmarkEnd w:id="120"/>
    </w:p>
    <w:p w14:paraId="26CC1F28">
      <w:pPr>
        <w:pStyle w:val="4"/>
        <w:spacing w:before="0" w:after="0" w:line="360" w:lineRule="auto"/>
        <w:ind w:firstLine="480"/>
        <w:rPr>
          <w:rFonts w:hint="eastAsia" w:ascii="宋体" w:hAnsi="宋体" w:eastAsia="宋体" w:cs="宋体"/>
          <w:color w:val="auto"/>
          <w:sz w:val="24"/>
          <w:szCs w:val="24"/>
          <w:highlight w:val="none"/>
        </w:rPr>
      </w:pPr>
      <w:bookmarkStart w:id="121" w:name="_Toc742"/>
      <w:bookmarkStart w:id="122" w:name="_Toc342913389"/>
      <w:r>
        <w:rPr>
          <w:rFonts w:hint="eastAsia" w:ascii="宋体" w:hAnsi="宋体" w:eastAsia="宋体" w:cs="宋体"/>
          <w:color w:val="auto"/>
          <w:sz w:val="24"/>
          <w:szCs w:val="24"/>
          <w:highlight w:val="none"/>
        </w:rPr>
        <w:t>一、磋商费用</w:t>
      </w:r>
      <w:bookmarkEnd w:id="121"/>
      <w:bookmarkEnd w:id="122"/>
    </w:p>
    <w:p w14:paraId="00ADEF3E">
      <w:pPr>
        <w:pStyle w:val="2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2E1943D2">
      <w:pPr>
        <w:pStyle w:val="4"/>
        <w:tabs>
          <w:tab w:val="left" w:pos="2640"/>
        </w:tabs>
        <w:spacing w:before="0" w:after="0" w:line="360" w:lineRule="auto"/>
        <w:ind w:firstLine="480"/>
        <w:rPr>
          <w:rFonts w:hint="eastAsia" w:ascii="宋体" w:hAnsi="宋体" w:eastAsia="宋体" w:cs="宋体"/>
          <w:color w:val="auto"/>
          <w:sz w:val="24"/>
          <w:szCs w:val="24"/>
          <w:highlight w:val="none"/>
        </w:rPr>
      </w:pPr>
      <w:bookmarkStart w:id="123" w:name="_Toc342913391"/>
      <w:bookmarkStart w:id="124" w:name="_Toc20709"/>
      <w:r>
        <w:rPr>
          <w:rFonts w:hint="eastAsia" w:ascii="宋体" w:hAnsi="宋体" w:eastAsia="宋体" w:cs="宋体"/>
          <w:color w:val="auto"/>
          <w:sz w:val="24"/>
          <w:szCs w:val="24"/>
          <w:highlight w:val="none"/>
        </w:rPr>
        <w:t>二、竞争性磋商文件</w:t>
      </w:r>
      <w:bookmarkEnd w:id="123"/>
      <w:bookmarkEnd w:id="124"/>
    </w:p>
    <w:p w14:paraId="2850E97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（一）竞争性磋商文件由采购邀请书、采购服务需求、采购商务需求、磋商程序及方法、评审标准、无效响应和采购终止、供应商须知、合同草案条款(参考样本)、响应文件编制要求七部分组成。</w:t>
      </w:r>
    </w:p>
    <w:p w14:paraId="6DAB877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（二）采购人（或采购代理机构）所作的一切有效的书面通知、修改及补充，都是竞争性磋商文件不可分割的部分。</w:t>
      </w:r>
    </w:p>
    <w:p w14:paraId="426845BB">
      <w:pPr>
        <w:spacing w:line="360" w:lineRule="auto"/>
        <w:rPr>
          <w:rFonts w:hint="eastAsia" w:ascii="宋体" w:hAnsi="宋体" w:eastAsia="宋体" w:cs="宋体"/>
          <w:color w:val="auto"/>
          <w:sz w:val="24"/>
          <w:szCs w:val="24"/>
          <w:highlight w:val="none"/>
        </w:rPr>
      </w:pPr>
      <w:bookmarkStart w:id="125" w:name="_Toc342913392"/>
      <w:bookmarkStart w:id="126" w:name="_Toc102227318"/>
      <w:bookmarkStart w:id="127" w:name="_Toc179714297"/>
      <w:r>
        <w:rPr>
          <w:rFonts w:hint="eastAsia" w:ascii="宋体" w:hAnsi="宋体" w:eastAsia="宋体" w:cs="宋体"/>
          <w:color w:val="auto"/>
          <w:sz w:val="24"/>
          <w:szCs w:val="24"/>
          <w:highlight w:val="none"/>
        </w:rPr>
        <w:t xml:space="preserve">    （三）竞争性磋商文件的解释</w:t>
      </w:r>
    </w:p>
    <w:p w14:paraId="10ADE5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451E5C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（四）本竞争性磋商文件中，磋商小组根据与供应商进行磋商可能实质性变动的内容为竞争性磋商文件第二、三、六篇全部内容。</w:t>
      </w:r>
    </w:p>
    <w:p w14:paraId="4C1C9B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（五）评审的依据为竞争性磋商文件和响应文件（含有效的书面承诺）。磋商小组判断响应文件对竞争性磋商文件的响应，仅基于响应文件本身而不靠外部证据。</w:t>
      </w:r>
    </w:p>
    <w:p w14:paraId="430E5ABC">
      <w:pPr>
        <w:pStyle w:val="4"/>
        <w:spacing w:before="0" w:after="0" w:line="360" w:lineRule="auto"/>
        <w:ind w:firstLine="480"/>
        <w:rPr>
          <w:rFonts w:hint="eastAsia" w:ascii="宋体" w:hAnsi="宋体" w:eastAsia="宋体" w:cs="宋体"/>
          <w:color w:val="auto"/>
          <w:sz w:val="24"/>
          <w:szCs w:val="24"/>
          <w:highlight w:val="none"/>
        </w:rPr>
      </w:pPr>
      <w:bookmarkStart w:id="128" w:name="_Toc31874"/>
      <w:r>
        <w:rPr>
          <w:rFonts w:hint="eastAsia" w:ascii="宋体" w:hAnsi="宋体" w:eastAsia="宋体" w:cs="宋体"/>
          <w:color w:val="auto"/>
          <w:sz w:val="24"/>
          <w:szCs w:val="24"/>
          <w:highlight w:val="none"/>
        </w:rPr>
        <w:t>三、磋商要求</w:t>
      </w:r>
      <w:bookmarkEnd w:id="125"/>
      <w:bookmarkEnd w:id="126"/>
      <w:bookmarkEnd w:id="127"/>
      <w:bookmarkEnd w:id="128"/>
    </w:p>
    <w:p w14:paraId="1AF158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232F02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3A4D376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301B4EC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99D4D1A">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（一）本项目不接受以联合体形式参与磋商。</w:t>
      </w:r>
    </w:p>
    <w:p w14:paraId="370C10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（二）磋商有效期：响应文件及有关承诺文件有效期为提交响应文件截止时间起90天。</w:t>
      </w:r>
    </w:p>
    <w:p w14:paraId="7C2A3A5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（三）修正错误</w:t>
      </w:r>
    </w:p>
    <w:p w14:paraId="4993F7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1、若供应商所递交的响应文件或最后报价中的价格出现大写金额和小写金额不一致的错误，以大写金额修正为准。</w:t>
      </w:r>
    </w:p>
    <w:p w14:paraId="23DFD5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5DDF30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330D648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1、响应文件一式三份，其中正本一份，副本一份；</w:t>
      </w:r>
      <w:r>
        <w:rPr>
          <w:rFonts w:hint="eastAsia" w:ascii="宋体" w:hAnsi="宋体" w:eastAsia="宋体" w:cs="宋体"/>
          <w:b/>
          <w:bCs/>
          <w:color w:val="auto"/>
          <w:sz w:val="24"/>
          <w:szCs w:val="24"/>
          <w:highlight w:val="none"/>
        </w:rPr>
        <w:t>电子文档一份（正本签字盖章扫描件）</w:t>
      </w:r>
      <w:r>
        <w:rPr>
          <w:rFonts w:hint="eastAsia" w:ascii="宋体" w:hAnsi="宋体" w:eastAsia="宋体" w:cs="宋体"/>
          <w:color w:val="auto"/>
          <w:sz w:val="24"/>
          <w:szCs w:val="24"/>
          <w:highlight w:val="none"/>
        </w:rPr>
        <w:t>（电子文档内容应与纸质文件正本一致，如不一致以纸质文件正本为准。</w:t>
      </w:r>
      <w:r>
        <w:rPr>
          <w:rFonts w:hint="eastAsia" w:ascii="宋体" w:hAnsi="宋体" w:eastAsia="宋体" w:cs="宋体"/>
          <w:b/>
          <w:bCs/>
          <w:color w:val="auto"/>
          <w:sz w:val="24"/>
          <w:szCs w:val="24"/>
          <w:highlight w:val="none"/>
        </w:rPr>
        <w:t>推荐采用U盘为电子文档载体</w:t>
      </w:r>
      <w:r>
        <w:rPr>
          <w:rFonts w:hint="eastAsia" w:ascii="宋体" w:hAnsi="宋体" w:eastAsia="宋体" w:cs="宋体"/>
          <w:color w:val="auto"/>
          <w:sz w:val="24"/>
          <w:szCs w:val="24"/>
          <w:highlight w:val="none"/>
        </w:rPr>
        <w:t>）；副本可为正本的复印件，应与正本一致，如出现不一致情况以正本为准。</w:t>
      </w:r>
    </w:p>
    <w:p w14:paraId="03398CF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2、响应文件按竞争性磋商文件“第七篇响应文件编制要求”要求签署或盖章。</w:t>
      </w:r>
    </w:p>
    <w:p w14:paraId="0EA8DBA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22A717A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rPr>
        <w:t>响应文件</w:t>
      </w:r>
      <w:r>
        <w:rPr>
          <w:rFonts w:hint="eastAsia" w:ascii="宋体" w:hAnsi="宋体" w:eastAsia="宋体" w:cs="宋体"/>
          <w:color w:val="auto"/>
          <w:sz w:val="24"/>
          <w:highlight w:val="none"/>
        </w:rPr>
        <w:t>的正本、副本、电子文档均应密封送达</w:t>
      </w:r>
      <w:r>
        <w:rPr>
          <w:rFonts w:hint="eastAsia" w:ascii="宋体" w:hAnsi="宋体" w:eastAsia="宋体" w:cs="宋体"/>
          <w:color w:val="auto"/>
          <w:sz w:val="24"/>
          <w:szCs w:val="24"/>
          <w:highlight w:val="none"/>
        </w:rPr>
        <w:t>递交响应文件地点</w:t>
      </w:r>
      <w:r>
        <w:rPr>
          <w:rFonts w:hint="eastAsia" w:ascii="宋体" w:hAnsi="宋体" w:eastAsia="宋体" w:cs="宋体"/>
          <w:color w:val="auto"/>
          <w:sz w:val="24"/>
          <w:highlight w:val="none"/>
        </w:rPr>
        <w:t>，应在封套上注明项目名称、供应商名称。若正本、副本以及电子文档分别进行密封的，还应在封套上注明“正本”、“副本”、“电子文档”字样。</w:t>
      </w:r>
    </w:p>
    <w:p w14:paraId="3FB8431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2、封套的封口处应加盖供应商公章或由法定代表人授权代表签字。</w:t>
      </w:r>
    </w:p>
    <w:p w14:paraId="59D9AD0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3、如果未按上述规定进行密封，采购代理机构对响应文件误投、丢失或提前拆封不负责任。</w:t>
      </w:r>
    </w:p>
    <w:p w14:paraId="4B6F73E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（六）供应商参与人员</w:t>
      </w:r>
    </w:p>
    <w:p w14:paraId="07135D6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各个供应商应当派1-2名代表参与磋商，至少1人应为法定代表人（或其授权代表）或自然人（供应商为自然人）。</w:t>
      </w:r>
    </w:p>
    <w:p w14:paraId="0D59870B">
      <w:pPr>
        <w:pStyle w:val="4"/>
        <w:spacing w:before="0" w:after="0" w:line="360" w:lineRule="auto"/>
        <w:ind w:firstLine="480"/>
        <w:rPr>
          <w:rFonts w:hint="eastAsia" w:ascii="宋体" w:hAnsi="宋体" w:eastAsia="宋体" w:cs="宋体"/>
          <w:color w:val="auto"/>
          <w:sz w:val="24"/>
          <w:szCs w:val="24"/>
          <w:highlight w:val="none"/>
        </w:rPr>
      </w:pPr>
      <w:bookmarkStart w:id="129" w:name="_Toc28493"/>
      <w:r>
        <w:rPr>
          <w:rFonts w:hint="eastAsia" w:ascii="宋体" w:hAnsi="宋体" w:eastAsia="宋体" w:cs="宋体"/>
          <w:color w:val="auto"/>
          <w:sz w:val="24"/>
          <w:szCs w:val="24"/>
          <w:highlight w:val="none"/>
        </w:rPr>
        <w:t>四、成交供应商的确认和变更</w:t>
      </w:r>
      <w:bookmarkEnd w:id="129"/>
    </w:p>
    <w:p w14:paraId="475FAA2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371D7A6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AE6CE9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2BFCAA4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506D00C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2.成交供应商无充分理由放弃成交的，采购人将会同采购代理机构把相关情况报财政部门，财政部门将根据相关法律法规的规定对违规供应商进行处罚。</w:t>
      </w:r>
    </w:p>
    <w:p w14:paraId="6144FBE8">
      <w:pPr>
        <w:pStyle w:val="4"/>
        <w:spacing w:before="0" w:after="0" w:line="360" w:lineRule="auto"/>
        <w:ind w:firstLine="480"/>
        <w:rPr>
          <w:rFonts w:hint="eastAsia" w:ascii="宋体" w:hAnsi="宋体" w:eastAsia="宋体" w:cs="宋体"/>
          <w:color w:val="auto"/>
          <w:sz w:val="24"/>
          <w:szCs w:val="24"/>
          <w:highlight w:val="none"/>
        </w:rPr>
      </w:pPr>
      <w:bookmarkStart w:id="130" w:name="_Toc342913395"/>
      <w:bookmarkStart w:id="131" w:name="_Toc21181"/>
      <w:bookmarkStart w:id="132" w:name="_Toc102227321"/>
      <w:r>
        <w:rPr>
          <w:rFonts w:hint="eastAsia" w:ascii="宋体" w:hAnsi="宋体" w:eastAsia="宋体" w:cs="宋体"/>
          <w:color w:val="auto"/>
          <w:sz w:val="24"/>
          <w:szCs w:val="24"/>
          <w:highlight w:val="none"/>
        </w:rPr>
        <w:t>五、成交通知</w:t>
      </w:r>
      <w:bookmarkEnd w:id="130"/>
      <w:bookmarkEnd w:id="131"/>
      <w:bookmarkEnd w:id="132"/>
    </w:p>
    <w:p w14:paraId="4AECED9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（一）成交供应商确定后，采购代理机构将在“行采家”平台（http://www.gec123.com）”上发布成交结果公告。</w:t>
      </w:r>
    </w:p>
    <w:p w14:paraId="4CD8F8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638DDC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50D0A228">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（四）如有供应商对成交结果提出质疑的，在质疑处理完毕后发出成交通知书。</w:t>
      </w:r>
    </w:p>
    <w:p w14:paraId="0F226C91">
      <w:pPr>
        <w:pStyle w:val="4"/>
        <w:spacing w:before="0" w:after="0" w:line="360" w:lineRule="auto"/>
        <w:ind w:firstLine="480"/>
        <w:rPr>
          <w:rFonts w:hint="eastAsia" w:ascii="宋体" w:hAnsi="宋体" w:eastAsia="宋体" w:cs="宋体"/>
          <w:color w:val="auto"/>
          <w:sz w:val="24"/>
          <w:szCs w:val="24"/>
          <w:highlight w:val="none"/>
        </w:rPr>
      </w:pPr>
      <w:bookmarkStart w:id="133" w:name="_Toc24294"/>
      <w:r>
        <w:rPr>
          <w:rFonts w:hint="eastAsia" w:ascii="宋体" w:hAnsi="宋体" w:eastAsia="宋体" w:cs="宋体"/>
          <w:color w:val="auto"/>
          <w:sz w:val="24"/>
          <w:szCs w:val="24"/>
          <w:highlight w:val="none"/>
        </w:rPr>
        <w:t>六、关于质疑</w:t>
      </w:r>
      <w:bookmarkEnd w:id="133"/>
    </w:p>
    <w:p w14:paraId="5546BC0E">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w:t>
      </w:r>
      <w:r>
        <w:rPr>
          <w:rFonts w:hint="eastAsia" w:ascii="宋体" w:hAnsi="宋体" w:cs="宋体"/>
          <w:color w:val="auto"/>
          <w:sz w:val="24"/>
          <w:highlight w:val="none"/>
          <w:lang w:val="en-US" w:eastAsia="zh-CN"/>
        </w:rPr>
        <w:t>受</w:t>
      </w:r>
      <w:r>
        <w:rPr>
          <w:rFonts w:hint="eastAsia" w:ascii="宋体" w:hAnsi="宋体" w:eastAsia="宋体" w:cs="宋体"/>
          <w:color w:val="auto"/>
          <w:sz w:val="24"/>
          <w:highlight w:val="none"/>
        </w:rPr>
        <w:t>到伤害的，可向采购人或采购代理机构以书面形式提出质疑。</w:t>
      </w:r>
    </w:p>
    <w:p w14:paraId="2015B361">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0B6A825F">
      <w:pPr>
        <w:spacing w:line="360" w:lineRule="auto"/>
        <w:ind w:right="12"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（一）质疑时限、内容</w:t>
      </w:r>
    </w:p>
    <w:p w14:paraId="7C989F77">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1.供应商认为采购文件、采购过程、成交结果使自己的权益受到损害的，可以在知道或者应知其权益受到损害之日起7个工作日内，以书面形式向采购人、采购代理机构提出质疑。</w:t>
      </w:r>
    </w:p>
    <w:p w14:paraId="1BB427CE">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2.供应商提出质疑应当提交质疑函和必要的证明材料，质疑函应当包括下列内容：</w:t>
      </w:r>
    </w:p>
    <w:p w14:paraId="4732DA10">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3.供应商的姓名或者名称、地址、邮编、联系人及联系电话；</w:t>
      </w:r>
    </w:p>
    <w:p w14:paraId="099F1972">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4.质疑项目的名称、</w:t>
      </w:r>
      <w:r>
        <w:rPr>
          <w:rFonts w:hint="eastAsia" w:ascii="宋体" w:hAnsi="宋体" w:cs="宋体"/>
          <w:color w:val="auto"/>
          <w:sz w:val="24"/>
          <w:highlight w:val="none"/>
          <w:lang w:val="en-US" w:eastAsia="zh-CN"/>
        </w:rPr>
        <w:t>采购执行</w:t>
      </w:r>
      <w:r>
        <w:rPr>
          <w:rFonts w:hint="eastAsia" w:ascii="宋体" w:hAnsi="宋体" w:eastAsia="宋体" w:cs="宋体"/>
          <w:color w:val="auto"/>
          <w:sz w:val="24"/>
          <w:highlight w:val="none"/>
        </w:rPr>
        <w:t>编号以及项目编号；</w:t>
      </w:r>
    </w:p>
    <w:p w14:paraId="4360A620">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5.具体、明确的质疑事项和与质疑事项相关的请求；</w:t>
      </w:r>
    </w:p>
    <w:p w14:paraId="7A29F242">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6.事实依据；</w:t>
      </w:r>
    </w:p>
    <w:p w14:paraId="0B9DD627">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7.必要的法律依据；</w:t>
      </w:r>
    </w:p>
    <w:p w14:paraId="68FE65F9">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8.提出质疑的日期；</w:t>
      </w:r>
    </w:p>
    <w:p w14:paraId="0D7E5822">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9.营业执照（或事业单位法人证书，或个体工商户营业执照或有效的自然人身份证明）复印件；</w:t>
      </w:r>
    </w:p>
    <w:p w14:paraId="11FB6F1F">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10.法定代表人授权委托书原件、法定代表人身份证复印件和其授权代表的身份证复印件（供应商为自然人的提供自然人身份证复印件）；</w:t>
      </w:r>
    </w:p>
    <w:p w14:paraId="28E1088A">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11.供应商为自然人的，质疑函应当由本人签字；供应商为法人或者其他组织的，质疑函应当由法定代表人、主要负责人，或者其授权代表签字或者盖章，并加盖公章。</w:t>
      </w:r>
    </w:p>
    <w:p w14:paraId="097A936C">
      <w:pPr>
        <w:spacing w:line="360" w:lineRule="auto"/>
        <w:ind w:right="12"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（二）质疑答复</w:t>
      </w:r>
    </w:p>
    <w:p w14:paraId="72D738B7">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094CD19C">
      <w:pPr>
        <w:spacing w:line="360" w:lineRule="auto"/>
        <w:ind w:right="12"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（三）其他</w:t>
      </w:r>
    </w:p>
    <w:p w14:paraId="29ECFACE">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1.供应商应按照《政府采购质疑和投诉办法》（财政部令第94号）及相关法律法规要求，在法定质疑期内一次性提出针对同一采购程序环节的质疑。</w:t>
      </w:r>
    </w:p>
    <w:p w14:paraId="3349C6C3">
      <w:pPr>
        <w:spacing w:line="360" w:lineRule="auto"/>
        <w:ind w:right="12"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2.质疑函范本可在财政部门户网站和中国政府采购网下载。</w:t>
      </w:r>
    </w:p>
    <w:p w14:paraId="004104B9">
      <w:pPr>
        <w:pStyle w:val="4"/>
        <w:spacing w:before="0" w:after="0" w:line="360" w:lineRule="auto"/>
        <w:ind w:firstLine="480"/>
        <w:rPr>
          <w:rFonts w:hint="eastAsia" w:ascii="宋体" w:hAnsi="宋体" w:eastAsia="宋体" w:cs="宋体"/>
          <w:color w:val="auto"/>
          <w:sz w:val="24"/>
          <w:szCs w:val="24"/>
          <w:highlight w:val="none"/>
        </w:rPr>
      </w:pPr>
      <w:bookmarkStart w:id="134" w:name="_Toc6445"/>
      <w:r>
        <w:rPr>
          <w:rFonts w:hint="eastAsia" w:ascii="宋体" w:hAnsi="宋体" w:eastAsia="宋体" w:cs="宋体"/>
          <w:color w:val="auto"/>
          <w:sz w:val="24"/>
          <w:szCs w:val="24"/>
          <w:highlight w:val="none"/>
        </w:rPr>
        <w:t>七、采购代理服务费</w:t>
      </w:r>
      <w:bookmarkEnd w:id="134"/>
    </w:p>
    <w:p w14:paraId="5C3C642B">
      <w:pPr>
        <w:spacing w:line="360" w:lineRule="auto"/>
        <w:ind w:firstLine="480" w:firstLineChars="200"/>
        <w:rPr>
          <w:rFonts w:hint="eastAsia" w:ascii="宋体" w:hAnsi="宋体" w:eastAsia="宋体" w:cs="宋体"/>
          <w:color w:val="auto"/>
          <w:highlight w:val="none"/>
        </w:rPr>
      </w:pPr>
      <w:bookmarkStart w:id="135" w:name="_Toc102227322"/>
      <w:bookmarkStart w:id="136" w:name="_Toc342913396"/>
      <w:bookmarkStart w:id="137" w:name="_Toc11641055"/>
      <w:bookmarkStart w:id="138" w:name="_Toc12789059"/>
      <w:r>
        <w:rPr>
          <w:rFonts w:hint="eastAsia" w:ascii="宋体" w:hAnsi="宋体" w:eastAsia="宋体" w:cs="宋体"/>
          <w:color w:val="auto"/>
          <w:sz w:val="24"/>
          <w:szCs w:val="24"/>
          <w:highlight w:val="none"/>
        </w:rPr>
        <w:t>1.供应商成交</w:t>
      </w:r>
      <w:r>
        <w:rPr>
          <w:rFonts w:hint="eastAsia" w:ascii="宋体" w:hAnsi="宋体" w:eastAsia="宋体" w:cs="宋体"/>
          <w:color w:val="auto"/>
          <w:sz w:val="24"/>
          <w:highlight w:val="none"/>
        </w:rPr>
        <w:t>后向采购代理机构缴纳采购代理服务费，本项目采购代理服务费按</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固定</w:t>
      </w:r>
      <w:r>
        <w:rPr>
          <w:rFonts w:hint="eastAsia" w:ascii="宋体" w:hAnsi="宋体" w:eastAsia="宋体" w:cs="宋体"/>
          <w:color w:val="auto"/>
          <w:sz w:val="24"/>
          <w:highlight w:val="none"/>
        </w:rPr>
        <w:t>收取。</w:t>
      </w:r>
    </w:p>
    <w:p w14:paraId="3DD061EA">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2.采购代理服务费以转账、电汇等形式支付。</w:t>
      </w:r>
    </w:p>
    <w:p w14:paraId="3DC5758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3.采购代理服务费缴纳账户信息：</w:t>
      </w:r>
    </w:p>
    <w:p w14:paraId="60A975E2">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户  名：重庆鼎创招标代理有限公司</w:t>
      </w:r>
    </w:p>
    <w:p w14:paraId="60EA9549">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开户行：招商银行股份有限公司重庆观音桥支行</w:t>
      </w:r>
    </w:p>
    <w:p w14:paraId="47D4209F">
      <w:pPr>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号：123911157910105</w:t>
      </w:r>
    </w:p>
    <w:p w14:paraId="3ECDBFD0">
      <w:pPr>
        <w:pStyle w:val="4"/>
        <w:spacing w:before="0" w:after="0" w:line="360" w:lineRule="auto"/>
        <w:ind w:firstLine="480"/>
        <w:rPr>
          <w:rFonts w:hint="eastAsia" w:ascii="宋体" w:hAnsi="宋体" w:eastAsia="宋体" w:cs="宋体"/>
          <w:color w:val="auto"/>
          <w:sz w:val="24"/>
          <w:szCs w:val="24"/>
          <w:highlight w:val="none"/>
        </w:rPr>
      </w:pPr>
      <w:bookmarkStart w:id="139" w:name="_Toc1928"/>
      <w:r>
        <w:rPr>
          <w:rFonts w:hint="eastAsia" w:ascii="宋体" w:hAnsi="宋体" w:eastAsia="宋体" w:cs="宋体"/>
          <w:color w:val="auto"/>
          <w:sz w:val="24"/>
          <w:szCs w:val="24"/>
          <w:highlight w:val="none"/>
        </w:rPr>
        <w:t>八、签订</w:t>
      </w:r>
      <w:bookmarkEnd w:id="135"/>
      <w:r>
        <w:rPr>
          <w:rFonts w:hint="eastAsia" w:ascii="宋体" w:hAnsi="宋体" w:eastAsia="宋体" w:cs="宋体"/>
          <w:color w:val="auto"/>
          <w:sz w:val="24"/>
          <w:szCs w:val="24"/>
          <w:highlight w:val="none"/>
        </w:rPr>
        <w:t>合同</w:t>
      </w:r>
      <w:bookmarkEnd w:id="136"/>
      <w:bookmarkEnd w:id="139"/>
    </w:p>
    <w:p w14:paraId="335D9F6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3E808409">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（二）竞争性磋商文件、供应商的响应文件及澄清文件等，均为签订政府采购合同的依据。</w:t>
      </w:r>
    </w:p>
    <w:p w14:paraId="60B2197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F266E10">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（四）合同原则上应按照《重庆市政府采购合同》签订，相关单位要求适用合同通用格式版本的，应按其要求另行签订其他合同。</w:t>
      </w:r>
    </w:p>
    <w:p w14:paraId="3B5F6573">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（五）采购人要求成交供应商提供履约保证金的，应当在竞争性磋商文件中予以约定。成交供应商履约完毕后，采购人</w:t>
      </w:r>
      <w:r>
        <w:rPr>
          <w:rFonts w:hint="eastAsia" w:ascii="宋体" w:hAnsi="宋体" w:eastAsia="宋体" w:cs="宋体"/>
          <w:color w:val="auto"/>
          <w:sz w:val="24"/>
          <w:highlight w:val="none"/>
        </w:rPr>
        <w:t>应按磋商文件及合同的约定无息退还其履约保证金。</w:t>
      </w:r>
    </w:p>
    <w:bookmarkEnd w:id="137"/>
    <w:bookmarkEnd w:id="138"/>
    <w:p w14:paraId="3A6663C6">
      <w:pPr>
        <w:spacing w:line="360" w:lineRule="auto"/>
        <w:rPr>
          <w:rFonts w:hint="eastAsia" w:ascii="宋体" w:hAnsi="宋体" w:eastAsia="宋体" w:cs="宋体"/>
          <w:color w:val="auto"/>
          <w:highlight w:val="none"/>
        </w:rPr>
        <w:sectPr>
          <w:footerReference r:id="rId10" w:type="default"/>
          <w:footerReference r:id="rId11" w:type="even"/>
          <w:pgSz w:w="11907" w:h="16840"/>
          <w:pgMar w:top="1134" w:right="1191" w:bottom="1134" w:left="1304" w:header="964" w:footer="992" w:gutter="0"/>
          <w:cols w:space="720" w:num="1"/>
          <w:rtlGutter w:val="1"/>
          <w:docGrid w:linePitch="312" w:charSpace="0"/>
        </w:sectPr>
      </w:pPr>
    </w:p>
    <w:p w14:paraId="475EBB73">
      <w:pPr>
        <w:pStyle w:val="3"/>
        <w:spacing w:before="0" w:after="0" w:line="360" w:lineRule="auto"/>
        <w:ind w:firstLine="720"/>
        <w:jc w:val="center"/>
        <w:rPr>
          <w:rFonts w:hint="eastAsia" w:ascii="宋体" w:hAnsi="宋体" w:eastAsia="宋体" w:cs="宋体"/>
          <w:color w:val="auto"/>
          <w:sz w:val="36"/>
          <w:szCs w:val="30"/>
          <w:highlight w:val="none"/>
        </w:rPr>
      </w:pPr>
      <w:bookmarkStart w:id="140" w:name="_Toc6917"/>
      <w:bookmarkStart w:id="141" w:name="_Toc30867"/>
      <w:bookmarkStart w:id="142" w:name="_Toc303945820"/>
      <w:bookmarkStart w:id="143" w:name="_Toc148265480"/>
      <w:bookmarkStart w:id="144" w:name="_Toc12789072"/>
      <w:r>
        <w:rPr>
          <w:rFonts w:hint="eastAsia" w:ascii="宋体" w:hAnsi="宋体" w:eastAsia="宋体" w:cs="宋体"/>
          <w:color w:val="auto"/>
          <w:sz w:val="36"/>
          <w:szCs w:val="30"/>
          <w:highlight w:val="none"/>
        </w:rPr>
        <w:t>第六篇  合同草案条款</w:t>
      </w:r>
      <w:bookmarkEnd w:id="140"/>
      <w:r>
        <w:rPr>
          <w:rFonts w:hint="eastAsia" w:ascii="宋体" w:hAnsi="宋体" w:eastAsia="宋体" w:cs="宋体"/>
          <w:color w:val="auto"/>
          <w:sz w:val="36"/>
          <w:szCs w:val="30"/>
          <w:highlight w:val="none"/>
        </w:rPr>
        <w:t>(参考样本)</w:t>
      </w:r>
      <w:bookmarkEnd w:id="141"/>
    </w:p>
    <w:p w14:paraId="2FE12C42">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1、定义</w:t>
      </w:r>
    </w:p>
    <w:p w14:paraId="313D00A2">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1.1甲方（需方）即采购人，是指通过竞争性磋商采购，接受合同货物及服务的各级国家机关、事业单位和团体组织。</w:t>
      </w:r>
    </w:p>
    <w:p w14:paraId="00615174">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1.2乙方（供方）即成交供应商，是指成交后提供合同货物和服务的自然人、法人及其他组织。</w:t>
      </w:r>
    </w:p>
    <w:p w14:paraId="5F9CD87F">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1.3合同是指由甲乙双方按照竞争性磋商文件和响应文件的实质性内容，通过协商一致达成的书面协议。</w:t>
      </w:r>
    </w:p>
    <w:p w14:paraId="32A25965">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1.4合同价格指以成交价格为依据，在供方全面履行合同义务后，需方（或财政部门）应支付给供方的金额。</w:t>
      </w:r>
    </w:p>
    <w:p w14:paraId="45ED6FE4">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1.5技术资料是指合同货物及其相关的设计、制造、监造、检验、验收等文件（包括图纸、各种文字说明、标准）。</w:t>
      </w:r>
    </w:p>
    <w:p w14:paraId="1CFF6BA0">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2、货物内容（合同内容）</w:t>
      </w:r>
    </w:p>
    <w:p w14:paraId="7D2D49EE">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合同包括以下内容：货物名称、型号规格、技术参数、数量（单位）等内容。</w:t>
      </w:r>
    </w:p>
    <w:p w14:paraId="622DC560">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3、合同价格</w:t>
      </w:r>
    </w:p>
    <w:p w14:paraId="6B5264B6">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3.1合同价格即合同总价。</w:t>
      </w:r>
    </w:p>
    <w:p w14:paraId="7AA3B517">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3.2合同价格包括合同货物、技术资料、合同货物的税费、运杂费、保险费、包装费、装卸费及与货物有关的供方应纳的税费，所有税费由乙方负担。</w:t>
      </w:r>
    </w:p>
    <w:p w14:paraId="3CB3F0F6">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3.3合同货物单价为不变价。</w:t>
      </w:r>
    </w:p>
    <w:p w14:paraId="14E780CE">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4、转包或分包</w:t>
      </w:r>
    </w:p>
    <w:p w14:paraId="7837C940">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4.1本合同范围的货物，应由乙方直接供应，不得转让他人供应；</w:t>
      </w:r>
    </w:p>
    <w:p w14:paraId="417BFC1F">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4.2非经甲方书面同意，乙方不得将本合同范围的货物全部或部分分包给他人供应；</w:t>
      </w:r>
    </w:p>
    <w:p w14:paraId="0F0B04E4">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4.3如有转让和未经甲方同意的分包行为，甲方有权解除合同，没收履约保证金并追究乙方的违约责任。</w:t>
      </w:r>
    </w:p>
    <w:p w14:paraId="43004DC3">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5、质量保证及售后服务</w:t>
      </w:r>
    </w:p>
    <w:p w14:paraId="5FEFF170">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5.1乙方应按竞争性磋商文件规定的货物性能、技术要求、质量标准向甲方提供未经使用的全新产品。</w:t>
      </w:r>
    </w:p>
    <w:p w14:paraId="3BE6C58B">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5.2乙方提供的货物在质保期内因货物本身的质量问题发生故障，乙方应负责免费更换。对达不到技术要求者，根据实际情况，经双方协商，可按以下办法处理：</w:t>
      </w:r>
    </w:p>
    <w:p w14:paraId="4864A670">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5.2.1更换：由乙方承担所发生的全部费用。</w:t>
      </w:r>
    </w:p>
    <w:p w14:paraId="599D03E0">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5.2.2贬值处理：由甲乙双方合议定价。</w:t>
      </w:r>
    </w:p>
    <w:p w14:paraId="276FAE2C">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5.2.3退货处理：乙方应退还甲方支付的合同款，同时应承担该货物的直接费用（运输、保险、检验、货款利息及银行手续费等）。</w:t>
      </w:r>
    </w:p>
    <w:p w14:paraId="262D1225">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5.3 如在使用过程中发生质量问题，乙方应同本项目“第三篇  采购商务需求”对质量保证及售后服务内容的约定。</w:t>
      </w:r>
    </w:p>
    <w:p w14:paraId="1E4D4E3A">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5.4在质保期内，乙方应对货物出现的质量及安全问题负责处理解决并承担一切费用。</w:t>
      </w:r>
    </w:p>
    <w:p w14:paraId="0BEAB783">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6、付款</w:t>
      </w:r>
    </w:p>
    <w:p w14:paraId="4D85A567">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6.1本合同使用货币币制如未作特别说明均为人民币。</w:t>
      </w:r>
    </w:p>
    <w:p w14:paraId="3F92D596">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6.2付款方式：银行转账、现金支票。</w:t>
      </w:r>
    </w:p>
    <w:p w14:paraId="3E7DB5E4">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6.3付款方法：同本项目“第三篇  采购商务需求”中关于付款方式的约定。</w:t>
      </w:r>
    </w:p>
    <w:p w14:paraId="6F675C4C">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7、检查验收</w:t>
      </w:r>
    </w:p>
    <w:p w14:paraId="68810C5F">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7.1供方应随货物提供合格证和质量证明文件，如是国外进口的货物还须提供入关证明。</w:t>
      </w:r>
    </w:p>
    <w:p w14:paraId="46C27C07">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7.2货物验收</w:t>
      </w:r>
    </w:p>
    <w:p w14:paraId="1B517D4A">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14:paraId="6F61A37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7.3货物验收报告应由需方、供方经办人签字，并加盖双方公章，以此作为支付凭据。</w:t>
      </w:r>
    </w:p>
    <w:p w14:paraId="10A4B5C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8、索赔</w:t>
      </w:r>
    </w:p>
    <w:p w14:paraId="79EADCD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供方对货物与合同要求不符负有责任，并且需方已于规定交货内和质量保证期内提出索赔，供方应按需方同意的下述一种或多种方法解决索赔事宜。</w:t>
      </w:r>
    </w:p>
    <w:p w14:paraId="3BB2779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3C5993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8.2根据货物的疵劣和受损程度以及需方遭受损失的金额，经双方同意降低货物价格。</w:t>
      </w:r>
    </w:p>
    <w:p w14:paraId="39D825C7">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9、知识产权</w:t>
      </w:r>
    </w:p>
    <w:p w14:paraId="3AD1342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w:t>
      </w:r>
      <w:r>
        <w:rPr>
          <w:rFonts w:hint="eastAsia" w:ascii="宋体" w:hAnsi="宋体" w:eastAsia="宋体" w:cs="宋体"/>
          <w:color w:val="auto"/>
          <w:sz w:val="24"/>
          <w:szCs w:val="24"/>
          <w:highlight w:val="none"/>
        </w:rPr>
        <w:t>甲方在中华人民共和国境内使用乙方提供的货物及服务时免受第三方提出的侵犯其专利权或其它知识产权的起诉。如果第三方提出侵权指控，乙方承担由此而引起的一切法律责任和费用。</w:t>
      </w:r>
    </w:p>
    <w:p w14:paraId="6E04914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w:t>
      </w:r>
      <w:r>
        <w:rPr>
          <w:rFonts w:hint="eastAsia" w:ascii="宋体" w:hAnsi="宋体" w:eastAsia="宋体" w:cs="宋体"/>
          <w:color w:val="auto"/>
          <w:sz w:val="24"/>
          <w:szCs w:val="24"/>
          <w:highlight w:val="none"/>
        </w:rPr>
        <w:t>若涉及软件开发等服务类项目知识产权的，知识产权归采购人所有。</w:t>
      </w:r>
    </w:p>
    <w:p w14:paraId="0D7FB956">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10、合同争议的解决</w:t>
      </w:r>
    </w:p>
    <w:p w14:paraId="0451EF9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10.1当事人友好协商达成一致</w:t>
      </w:r>
    </w:p>
    <w:p w14:paraId="2B07171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10.2在60天内当事人协商不能达成协议的，可向重庆市大渡口区人民法院提起诉讼。</w:t>
      </w:r>
    </w:p>
    <w:p w14:paraId="218DF1D4">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11、违约责任</w:t>
      </w:r>
    </w:p>
    <w:p w14:paraId="7CEAC52C">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按《中华人民共和国民法典》《中华人民共和国政府采购法》有关条款，或由供需双方</w:t>
      </w:r>
      <w:r>
        <w:rPr>
          <w:rFonts w:hint="eastAsia" w:ascii="宋体" w:hAnsi="宋体" w:eastAsia="宋体" w:cs="宋体"/>
          <w:bCs/>
          <w:color w:val="auto"/>
          <w:sz w:val="24"/>
          <w:highlight w:val="none"/>
          <w:lang w:val="en-US" w:eastAsia="zh-CN"/>
        </w:rPr>
        <w:t>另行</w:t>
      </w:r>
      <w:r>
        <w:rPr>
          <w:rFonts w:hint="eastAsia" w:ascii="宋体" w:hAnsi="宋体" w:eastAsia="宋体" w:cs="宋体"/>
          <w:bCs/>
          <w:color w:val="auto"/>
          <w:sz w:val="24"/>
          <w:highlight w:val="none"/>
        </w:rPr>
        <w:t>约定。</w:t>
      </w:r>
    </w:p>
    <w:p w14:paraId="1D368E9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12、合同生效及其它</w:t>
      </w:r>
    </w:p>
    <w:p w14:paraId="50D86D98">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12.1合同生效及其效力应符合《中华人民共和国民法典》有关规定。</w:t>
      </w:r>
    </w:p>
    <w:p w14:paraId="6730A960">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12.2合同应经当事人法定代表人或委托代理人签字</w:t>
      </w:r>
      <w:r>
        <w:rPr>
          <w:rFonts w:hint="eastAsia" w:ascii="宋体" w:hAnsi="宋体" w:cs="宋体"/>
          <w:bCs/>
          <w:color w:val="auto"/>
          <w:sz w:val="24"/>
          <w:highlight w:val="none"/>
          <w:lang w:val="en-US" w:eastAsia="zh-CN"/>
        </w:rPr>
        <w:t>或</w:t>
      </w:r>
      <w:r>
        <w:rPr>
          <w:rFonts w:hint="eastAsia" w:ascii="宋体" w:hAnsi="宋体" w:eastAsia="宋体" w:cs="宋体"/>
          <w:bCs/>
          <w:color w:val="auto"/>
          <w:sz w:val="24"/>
          <w:highlight w:val="none"/>
        </w:rPr>
        <w:t>加盖双方合同专用章或公章</w:t>
      </w:r>
      <w:r>
        <w:rPr>
          <w:rFonts w:hint="eastAsia" w:ascii="宋体" w:hAnsi="宋体" w:cs="宋体"/>
          <w:bCs/>
          <w:color w:val="auto"/>
          <w:sz w:val="24"/>
          <w:highlight w:val="none"/>
          <w:lang w:val="en-US" w:eastAsia="zh-CN"/>
        </w:rPr>
        <w:t>后生效</w:t>
      </w:r>
      <w:r>
        <w:rPr>
          <w:rFonts w:hint="eastAsia" w:ascii="宋体" w:hAnsi="宋体" w:eastAsia="宋体" w:cs="宋体"/>
          <w:bCs/>
          <w:color w:val="auto"/>
          <w:sz w:val="24"/>
          <w:highlight w:val="none"/>
        </w:rPr>
        <w:t>。</w:t>
      </w:r>
    </w:p>
    <w:p w14:paraId="1076C167">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12.3合同所包括附件，是合同不可分割的一部分，具有同等法律效力。</w:t>
      </w:r>
    </w:p>
    <w:p w14:paraId="593A8C4B">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12.4合同需提供担保的，按《中华人民共和国民法典》规定执行。</w:t>
      </w:r>
    </w:p>
    <w:p w14:paraId="7A7DA9F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12.5本合同条件未尽事宜依照《中华人民共和国民法典》，由供需双方共同协商确定。</w:t>
      </w:r>
    </w:p>
    <w:p w14:paraId="6D81EDCA">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合同格式</w:t>
      </w:r>
      <w:bookmarkEnd w:id="142"/>
      <w:bookmarkEnd w:id="143"/>
      <w:r>
        <w:rPr>
          <w:rFonts w:hint="eastAsia" w:ascii="宋体" w:hAnsi="宋体" w:eastAsia="宋体" w:cs="宋体"/>
          <w:color w:val="auto"/>
          <w:sz w:val="24"/>
          <w:highlight w:val="none"/>
        </w:rPr>
        <w:t>（根据项目情况自拟）。</w:t>
      </w:r>
    </w:p>
    <w:p w14:paraId="656B289F">
      <w:pPr>
        <w:ind w:firstLine="883"/>
        <w:rPr>
          <w:rFonts w:hint="eastAsia" w:ascii="宋体" w:hAnsi="宋体" w:eastAsia="宋体" w:cs="宋体"/>
          <w:b/>
          <w:color w:val="auto"/>
          <w:sz w:val="44"/>
          <w:highlight w:val="none"/>
        </w:rPr>
      </w:pPr>
      <w:r>
        <w:rPr>
          <w:rFonts w:hint="eastAsia" w:ascii="宋体" w:hAnsi="宋体" w:eastAsia="宋体" w:cs="宋体"/>
          <w:b/>
          <w:color w:val="auto"/>
          <w:sz w:val="44"/>
          <w:highlight w:val="none"/>
        </w:rPr>
        <w:br w:type="page"/>
      </w:r>
    </w:p>
    <w:p w14:paraId="706A076D">
      <w:pPr>
        <w:spacing w:line="500" w:lineRule="exact"/>
        <w:ind w:firstLine="883"/>
        <w:jc w:val="center"/>
        <w:rPr>
          <w:rFonts w:hint="eastAsia" w:ascii="宋体" w:hAnsi="宋体" w:eastAsia="宋体" w:cs="宋体"/>
          <w:b/>
          <w:color w:val="auto"/>
          <w:sz w:val="44"/>
          <w:highlight w:val="none"/>
        </w:rPr>
      </w:pPr>
      <w:r>
        <w:rPr>
          <w:rFonts w:hint="eastAsia" w:ascii="宋体" w:hAnsi="宋体" w:eastAsia="宋体" w:cs="宋体"/>
          <w:b/>
          <w:color w:val="auto"/>
          <w:sz w:val="44"/>
          <w:highlight w:val="none"/>
        </w:rPr>
        <w:t>重庆市政府采购合同（参考样本）</w:t>
      </w:r>
    </w:p>
    <w:p w14:paraId="4402206A">
      <w:pPr>
        <w:snapToGrid w:val="0"/>
        <w:spacing w:line="400" w:lineRule="exact"/>
        <w:ind w:firstLine="482"/>
        <w:rPr>
          <w:rFonts w:hint="eastAsia" w:ascii="宋体" w:hAnsi="宋体" w:eastAsia="宋体" w:cs="宋体"/>
          <w:color w:val="auto"/>
          <w:sz w:val="24"/>
          <w:szCs w:val="24"/>
          <w:highlight w:val="none"/>
        </w:rPr>
      </w:pPr>
      <w:bookmarkStart w:id="145" w:name="_Hlt41879464"/>
      <w:bookmarkEnd w:id="145"/>
      <w:r>
        <w:rPr>
          <w:rFonts w:hint="eastAsia" w:ascii="宋体" w:hAnsi="宋体" w:eastAsia="宋体" w:cs="宋体"/>
          <w:color w:val="auto"/>
          <w:sz w:val="24"/>
          <w:szCs w:val="24"/>
          <w:highlight w:val="none"/>
        </w:rPr>
        <w:t>（项目编号：     ）</w:t>
      </w:r>
    </w:p>
    <w:p w14:paraId="2AC88726">
      <w:pPr>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甲方（需方）：___________________________      计价单位：____________</w:t>
      </w:r>
    </w:p>
    <w:p w14:paraId="02ADF430">
      <w:pPr>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乙方（供方）：___________________________      计量单位：_____________</w:t>
      </w:r>
    </w:p>
    <w:p w14:paraId="52B5F847">
      <w:pPr>
        <w:snapToGrid w:val="0"/>
        <w:spacing w:line="400" w:lineRule="exact"/>
        <w:ind w:firstLine="482"/>
        <w:rPr>
          <w:rFonts w:hint="eastAsia" w:ascii="宋体" w:hAnsi="宋体" w:eastAsia="宋体" w:cs="宋体"/>
          <w:color w:val="auto"/>
          <w:sz w:val="24"/>
          <w:szCs w:val="24"/>
          <w:highlight w:val="none"/>
        </w:rPr>
      </w:pPr>
    </w:p>
    <w:p w14:paraId="3A4F536A">
      <w:pPr>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E46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C20D9B1">
            <w:pPr>
              <w:spacing w:line="240" w:lineRule="atLeast"/>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84" w:type="dxa"/>
            <w:vAlign w:val="center"/>
          </w:tcPr>
          <w:p w14:paraId="01EA26EB">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459CB610">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vAlign w:val="center"/>
          </w:tcPr>
          <w:p w14:paraId="6EBF985A">
            <w:pPr>
              <w:spacing w:line="240" w:lineRule="atLeast"/>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vAlign w:val="center"/>
          </w:tcPr>
          <w:p w14:paraId="553A450F">
            <w:pPr>
              <w:spacing w:line="240" w:lineRule="atLeast"/>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1567" w:type="dxa"/>
            <w:vAlign w:val="center"/>
          </w:tcPr>
          <w:p w14:paraId="301AB8E9">
            <w:pPr>
              <w:spacing w:line="240" w:lineRule="atLeast"/>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656E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FE019AA">
            <w:pPr>
              <w:spacing w:line="240" w:lineRule="atLeast"/>
              <w:ind w:firstLine="422"/>
              <w:jc w:val="center"/>
              <w:rPr>
                <w:rFonts w:hint="eastAsia" w:ascii="宋体" w:hAnsi="宋体" w:eastAsia="宋体" w:cs="宋体"/>
                <w:color w:val="auto"/>
                <w:sz w:val="21"/>
                <w:szCs w:val="21"/>
                <w:highlight w:val="none"/>
              </w:rPr>
            </w:pPr>
          </w:p>
        </w:tc>
        <w:tc>
          <w:tcPr>
            <w:tcW w:w="984" w:type="dxa"/>
            <w:vAlign w:val="center"/>
          </w:tcPr>
          <w:p w14:paraId="3E33D24B">
            <w:pPr>
              <w:spacing w:line="240" w:lineRule="atLeast"/>
              <w:ind w:firstLine="422"/>
              <w:jc w:val="center"/>
              <w:rPr>
                <w:rFonts w:hint="eastAsia" w:ascii="宋体" w:hAnsi="宋体" w:eastAsia="宋体" w:cs="宋体"/>
                <w:color w:val="auto"/>
                <w:sz w:val="21"/>
                <w:szCs w:val="21"/>
                <w:highlight w:val="none"/>
              </w:rPr>
            </w:pPr>
          </w:p>
        </w:tc>
        <w:tc>
          <w:tcPr>
            <w:tcW w:w="1298" w:type="dxa"/>
            <w:gridSpan w:val="2"/>
            <w:vAlign w:val="center"/>
          </w:tcPr>
          <w:p w14:paraId="64CE2E60">
            <w:pPr>
              <w:spacing w:line="240" w:lineRule="atLeast"/>
              <w:ind w:firstLine="422"/>
              <w:jc w:val="center"/>
              <w:rPr>
                <w:rFonts w:hint="eastAsia" w:ascii="宋体" w:hAnsi="宋体" w:eastAsia="宋体" w:cs="宋体"/>
                <w:color w:val="auto"/>
                <w:sz w:val="21"/>
                <w:szCs w:val="21"/>
                <w:highlight w:val="none"/>
              </w:rPr>
            </w:pPr>
          </w:p>
        </w:tc>
        <w:tc>
          <w:tcPr>
            <w:tcW w:w="1134" w:type="dxa"/>
            <w:vAlign w:val="center"/>
          </w:tcPr>
          <w:p w14:paraId="3D5A90A4">
            <w:pPr>
              <w:spacing w:line="240" w:lineRule="atLeast"/>
              <w:ind w:firstLine="422"/>
              <w:jc w:val="center"/>
              <w:rPr>
                <w:rFonts w:hint="eastAsia" w:ascii="宋体" w:hAnsi="宋体" w:eastAsia="宋体" w:cs="宋体"/>
                <w:color w:val="auto"/>
                <w:sz w:val="21"/>
                <w:szCs w:val="21"/>
                <w:highlight w:val="none"/>
              </w:rPr>
            </w:pPr>
          </w:p>
        </w:tc>
        <w:tc>
          <w:tcPr>
            <w:tcW w:w="1559" w:type="dxa"/>
            <w:vAlign w:val="center"/>
          </w:tcPr>
          <w:p w14:paraId="41CFF4B1">
            <w:pPr>
              <w:spacing w:line="240" w:lineRule="atLeast"/>
              <w:ind w:firstLine="422"/>
              <w:jc w:val="center"/>
              <w:rPr>
                <w:rFonts w:hint="eastAsia" w:ascii="宋体" w:hAnsi="宋体" w:eastAsia="宋体" w:cs="宋体"/>
                <w:color w:val="auto"/>
                <w:sz w:val="21"/>
                <w:szCs w:val="21"/>
                <w:highlight w:val="none"/>
              </w:rPr>
            </w:pPr>
          </w:p>
        </w:tc>
        <w:tc>
          <w:tcPr>
            <w:tcW w:w="1567" w:type="dxa"/>
            <w:vAlign w:val="center"/>
          </w:tcPr>
          <w:p w14:paraId="1D00F063">
            <w:pPr>
              <w:spacing w:line="240" w:lineRule="atLeast"/>
              <w:ind w:firstLine="422"/>
              <w:jc w:val="center"/>
              <w:rPr>
                <w:rFonts w:hint="eastAsia" w:ascii="宋体" w:hAnsi="宋体" w:eastAsia="宋体" w:cs="宋体"/>
                <w:color w:val="auto"/>
                <w:sz w:val="21"/>
                <w:szCs w:val="21"/>
                <w:highlight w:val="none"/>
              </w:rPr>
            </w:pPr>
          </w:p>
        </w:tc>
      </w:tr>
      <w:tr w14:paraId="1F0A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7E16E83">
            <w:pPr>
              <w:spacing w:line="240" w:lineRule="atLeast"/>
              <w:ind w:firstLine="422"/>
              <w:jc w:val="center"/>
              <w:rPr>
                <w:rFonts w:hint="eastAsia" w:ascii="宋体" w:hAnsi="宋体" w:eastAsia="宋体" w:cs="宋体"/>
                <w:color w:val="auto"/>
                <w:sz w:val="21"/>
                <w:szCs w:val="21"/>
                <w:highlight w:val="none"/>
              </w:rPr>
            </w:pPr>
          </w:p>
        </w:tc>
        <w:tc>
          <w:tcPr>
            <w:tcW w:w="984" w:type="dxa"/>
            <w:vAlign w:val="center"/>
          </w:tcPr>
          <w:p w14:paraId="447E3F9B">
            <w:pPr>
              <w:spacing w:line="240" w:lineRule="atLeast"/>
              <w:ind w:firstLine="422"/>
              <w:jc w:val="center"/>
              <w:rPr>
                <w:rFonts w:hint="eastAsia" w:ascii="宋体" w:hAnsi="宋体" w:eastAsia="宋体" w:cs="宋体"/>
                <w:color w:val="auto"/>
                <w:sz w:val="21"/>
                <w:szCs w:val="21"/>
                <w:highlight w:val="none"/>
              </w:rPr>
            </w:pPr>
          </w:p>
        </w:tc>
        <w:tc>
          <w:tcPr>
            <w:tcW w:w="1298" w:type="dxa"/>
            <w:gridSpan w:val="2"/>
            <w:vAlign w:val="center"/>
          </w:tcPr>
          <w:p w14:paraId="272717AE">
            <w:pPr>
              <w:spacing w:line="240" w:lineRule="atLeast"/>
              <w:ind w:firstLine="422"/>
              <w:jc w:val="center"/>
              <w:rPr>
                <w:rFonts w:hint="eastAsia" w:ascii="宋体" w:hAnsi="宋体" w:eastAsia="宋体" w:cs="宋体"/>
                <w:color w:val="auto"/>
                <w:sz w:val="21"/>
                <w:szCs w:val="21"/>
                <w:highlight w:val="none"/>
              </w:rPr>
            </w:pPr>
          </w:p>
        </w:tc>
        <w:tc>
          <w:tcPr>
            <w:tcW w:w="1134" w:type="dxa"/>
            <w:vAlign w:val="center"/>
          </w:tcPr>
          <w:p w14:paraId="513D51C1">
            <w:pPr>
              <w:spacing w:line="240" w:lineRule="atLeast"/>
              <w:ind w:firstLine="422"/>
              <w:jc w:val="center"/>
              <w:rPr>
                <w:rFonts w:hint="eastAsia" w:ascii="宋体" w:hAnsi="宋体" w:eastAsia="宋体" w:cs="宋体"/>
                <w:color w:val="auto"/>
                <w:sz w:val="21"/>
                <w:szCs w:val="21"/>
                <w:highlight w:val="none"/>
              </w:rPr>
            </w:pPr>
          </w:p>
        </w:tc>
        <w:tc>
          <w:tcPr>
            <w:tcW w:w="1559" w:type="dxa"/>
            <w:vAlign w:val="center"/>
          </w:tcPr>
          <w:p w14:paraId="192DA1DD">
            <w:pPr>
              <w:spacing w:line="240" w:lineRule="atLeast"/>
              <w:ind w:firstLine="422"/>
              <w:jc w:val="center"/>
              <w:rPr>
                <w:rFonts w:hint="eastAsia" w:ascii="宋体" w:hAnsi="宋体" w:eastAsia="宋体" w:cs="宋体"/>
                <w:color w:val="auto"/>
                <w:sz w:val="21"/>
                <w:szCs w:val="21"/>
                <w:highlight w:val="none"/>
              </w:rPr>
            </w:pPr>
          </w:p>
        </w:tc>
        <w:tc>
          <w:tcPr>
            <w:tcW w:w="1567" w:type="dxa"/>
            <w:vAlign w:val="center"/>
          </w:tcPr>
          <w:p w14:paraId="1DAEE041">
            <w:pPr>
              <w:spacing w:line="240" w:lineRule="atLeast"/>
              <w:ind w:firstLine="422"/>
              <w:jc w:val="center"/>
              <w:rPr>
                <w:rFonts w:hint="eastAsia" w:ascii="宋体" w:hAnsi="宋体" w:eastAsia="宋体" w:cs="宋体"/>
                <w:color w:val="auto"/>
                <w:sz w:val="21"/>
                <w:szCs w:val="21"/>
                <w:highlight w:val="none"/>
              </w:rPr>
            </w:pPr>
          </w:p>
        </w:tc>
      </w:tr>
      <w:tr w14:paraId="6506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90773C8">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rPr>
              <w:t>（小写）：</w:t>
            </w:r>
          </w:p>
        </w:tc>
      </w:tr>
      <w:tr w14:paraId="26C2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6B81D02">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rPr>
              <w:t>（大写）：</w:t>
            </w:r>
          </w:p>
        </w:tc>
      </w:tr>
      <w:tr w14:paraId="51F1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6E8E077A">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5671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3E9BA62C">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二、验收方式</w:t>
            </w:r>
          </w:p>
        </w:tc>
      </w:tr>
      <w:tr w14:paraId="43DF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5583A49">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0FB1F10A">
            <w:pPr>
              <w:numPr>
                <w:ilvl w:val="0"/>
                <w:numId w:val="0"/>
              </w:numPr>
              <w:spacing w:line="240" w:lineRule="atLeas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甲方付款前，乙方需先行提交合法、等额、有效的发票，否则甲方有权暂缓付款</w:t>
            </w:r>
            <w:r>
              <w:rPr>
                <w:rFonts w:hint="eastAsia" w:ascii="宋体" w:hAnsi="宋体" w:eastAsia="宋体" w:cs="宋体"/>
                <w:color w:val="auto"/>
                <w:sz w:val="21"/>
                <w:szCs w:val="21"/>
                <w:lang w:eastAsia="zh-CN"/>
              </w:rPr>
              <w:t>。</w:t>
            </w:r>
          </w:p>
          <w:p w14:paraId="333F2386">
            <w:pPr>
              <w:numPr>
                <w:ilvl w:val="0"/>
                <w:numId w:val="0"/>
              </w:numPr>
              <w:spacing w:line="24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服务金额包括人工工资、加班费、奖金、福利、社保、人身意外险、雇主责任险、工具等费用，实施服务必须的材料、器材、作业水费，以及供应商管理、交通、运输、利润、税金、交易服务费、各种风险等在内的一切费用。本金额不因物价上涨、通货膨胀等原因而变化。</w:t>
            </w:r>
          </w:p>
          <w:p w14:paraId="478398CB">
            <w:pPr>
              <w:numPr>
                <w:ilvl w:val="0"/>
                <w:numId w:val="0"/>
              </w:numPr>
              <w:spacing w:line="2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乙方收款账户信息：</w:t>
            </w:r>
          </w:p>
        </w:tc>
      </w:tr>
      <w:tr w14:paraId="6FBA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52BD2A1">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09364B35">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乙方未能按合同规定的日期、份数、规格提交成果时，每延误一天，应减收该项目应收费的千分之五，逾期超过10天的，甲方有权解除本合同并要求乙方承担合同总价的【20】%作为违约金。</w:t>
            </w:r>
          </w:p>
          <w:p w14:paraId="0A8DE512">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乙方提交的报告等相关成果资料未通过甲方验收合格的，甲方有权解除本合同并要求乙方承担合同总价的【30】%作为违约金，且返还已经支付的所有费用。</w:t>
            </w:r>
          </w:p>
          <w:p w14:paraId="6A7E4F95">
            <w:pPr>
              <w:numPr>
                <w:ilvl w:val="0"/>
                <w:numId w:val="0"/>
              </w:numPr>
              <w:spacing w:line="240" w:lineRule="atLeas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rPr>
              <w:t>若乙方提供虚假成果或不真实的数据，甲方有权解除本合同并要求乙方承担合同总价的【30】%作为违约金，且返还已经支付的所有费用。</w:t>
            </w:r>
          </w:p>
          <w:p w14:paraId="7EF613D5">
            <w:pPr>
              <w:numPr>
                <w:ilvl w:val="0"/>
                <w:numId w:val="0"/>
              </w:numPr>
              <w:spacing w:line="240" w:lineRule="atLeas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对于甲方提供的图纸和技术资料以及属于甲方的</w:t>
            </w:r>
            <w:r>
              <w:rPr>
                <w:rFonts w:hint="eastAsia" w:ascii="宋体" w:hAnsi="宋体" w:cs="宋体"/>
                <w:color w:val="auto"/>
                <w:sz w:val="21"/>
                <w:szCs w:val="21"/>
                <w:lang w:val="en-US" w:eastAsia="zh-CN"/>
              </w:rPr>
              <w:t>服务</w:t>
            </w:r>
            <w:r>
              <w:rPr>
                <w:rFonts w:hint="eastAsia" w:ascii="宋体" w:hAnsi="宋体" w:cs="宋体"/>
                <w:color w:val="auto"/>
                <w:sz w:val="21"/>
                <w:szCs w:val="21"/>
              </w:rPr>
              <w:t>成果，乙方有保密义务，未经许可不得使用、泄露、转让，否则，甲方有权要求乙方按合同总额的【30】%作为违约金，该违约金不足以赔偿损失的，还应继续承担相应责任，且返还已经支付的所有费用。</w:t>
            </w:r>
          </w:p>
          <w:p w14:paraId="1F0DA201">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乙方擅自转包</w:t>
            </w:r>
            <w:r>
              <w:rPr>
                <w:rFonts w:hint="eastAsia" w:ascii="宋体" w:hAnsi="宋体" w:cs="宋体"/>
                <w:color w:val="auto"/>
                <w:sz w:val="21"/>
                <w:szCs w:val="21"/>
                <w:lang w:val="en-US" w:eastAsia="zh-CN"/>
              </w:rPr>
              <w:t>或分包</w:t>
            </w:r>
            <w:r>
              <w:rPr>
                <w:rFonts w:hint="eastAsia" w:ascii="宋体" w:hAnsi="宋体" w:cs="宋体"/>
                <w:color w:val="auto"/>
                <w:sz w:val="21"/>
                <w:szCs w:val="21"/>
              </w:rPr>
              <w:t>本合同标的，甲方有权解除本合同并要求乙方承担合同总价的【30】%作为违约金，该违约金不足以赔偿损失的，还应继续承担相应责任，且返还已经支付的所有费用。</w:t>
            </w:r>
          </w:p>
          <w:p w14:paraId="475F0534">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乙方应履行并承担</w:t>
            </w:r>
            <w:r>
              <w:rPr>
                <w:rFonts w:hint="eastAsia" w:ascii="宋体" w:hAnsi="宋体" w:cs="宋体"/>
                <w:color w:val="auto"/>
                <w:sz w:val="21"/>
                <w:szCs w:val="21"/>
                <w:lang w:val="en-US" w:eastAsia="zh-CN"/>
              </w:rPr>
              <w:t>服务</w:t>
            </w:r>
            <w:r>
              <w:rPr>
                <w:rFonts w:hint="eastAsia" w:ascii="宋体" w:hAnsi="宋体" w:cs="宋体"/>
                <w:color w:val="auto"/>
                <w:sz w:val="21"/>
                <w:szCs w:val="21"/>
              </w:rPr>
              <w:t>过程中的安全责任，采取一切必要的防护措施避免安全事故、人身伤亡事故和财产安全事故的发生。对于</w:t>
            </w:r>
            <w:r>
              <w:rPr>
                <w:rFonts w:hint="eastAsia" w:ascii="宋体" w:hAnsi="宋体" w:cs="宋体"/>
                <w:color w:val="auto"/>
                <w:sz w:val="21"/>
                <w:szCs w:val="21"/>
                <w:lang w:val="en-US" w:eastAsia="zh-CN"/>
              </w:rPr>
              <w:t>服务</w:t>
            </w:r>
            <w:r>
              <w:rPr>
                <w:rFonts w:hint="eastAsia" w:ascii="宋体" w:hAnsi="宋体" w:cs="宋体"/>
                <w:color w:val="auto"/>
                <w:sz w:val="21"/>
                <w:szCs w:val="21"/>
              </w:rPr>
              <w:t>过程中发生的所有安全事故，包括但不限于对甲方、乙方及任意第三方造成人身伤害、财产损失及相关的法律责任由乙方承担，与甲方无关。乙方在没有妥善处理完事故所有后续事宜前，甲方有权暂停支付本合同款项，待事故处理完毕后再支付给乙方。给甲方造成损失的，直接在合同款项中予以扣除，不足部分有权继续向乙方进行追索。</w:t>
            </w:r>
          </w:p>
          <w:p w14:paraId="318222B7">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乙方</w:t>
            </w:r>
            <w:r>
              <w:rPr>
                <w:rFonts w:hint="eastAsia" w:ascii="宋体" w:hAnsi="宋体" w:cs="宋体"/>
                <w:color w:val="auto"/>
                <w:sz w:val="21"/>
                <w:szCs w:val="21"/>
                <w:lang w:val="en-US" w:eastAsia="zh-CN"/>
              </w:rPr>
              <w:t>应</w:t>
            </w:r>
            <w:r>
              <w:rPr>
                <w:rFonts w:hint="eastAsia" w:ascii="宋体" w:hAnsi="宋体" w:cs="宋体"/>
                <w:color w:val="auto"/>
                <w:sz w:val="21"/>
                <w:szCs w:val="21"/>
              </w:rPr>
              <w:t>切实保障其雇请人员工资、报酬按时发放到位，乙方不能以任何原因、理由拖欠工资、报酬等。否则甲方有权暂停付款或直接将款项支付给乙方雇请的人员，乙方同意该款项与未付的</w:t>
            </w:r>
            <w:r>
              <w:rPr>
                <w:rFonts w:hint="eastAsia" w:ascii="宋体" w:hAnsi="宋体" w:cs="宋体"/>
                <w:color w:val="auto"/>
                <w:sz w:val="21"/>
                <w:szCs w:val="21"/>
                <w:lang w:val="en-US" w:eastAsia="zh-CN"/>
              </w:rPr>
              <w:t>费用</w:t>
            </w:r>
            <w:r>
              <w:rPr>
                <w:rFonts w:hint="eastAsia" w:ascii="宋体" w:hAnsi="宋体" w:cs="宋体"/>
                <w:color w:val="auto"/>
                <w:sz w:val="21"/>
                <w:szCs w:val="21"/>
              </w:rPr>
              <w:t>进行抵扣。</w:t>
            </w:r>
          </w:p>
          <w:p w14:paraId="5AD41C48">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8.</w:t>
            </w:r>
            <w:r>
              <w:rPr>
                <w:rFonts w:hint="eastAsia" w:ascii="宋体" w:hAnsi="宋体" w:cs="宋体"/>
                <w:color w:val="auto"/>
                <w:sz w:val="21"/>
                <w:szCs w:val="21"/>
              </w:rPr>
              <w:t>采购文件、</w:t>
            </w:r>
            <w:r>
              <w:rPr>
                <w:rFonts w:hint="eastAsia" w:ascii="宋体" w:hAnsi="宋体" w:eastAsia="宋体" w:cs="宋体"/>
                <w:color w:val="auto"/>
                <w:sz w:val="21"/>
                <w:szCs w:val="21"/>
              </w:rPr>
              <w:t>响应文件</w:t>
            </w:r>
            <w:r>
              <w:rPr>
                <w:rFonts w:hint="eastAsia" w:ascii="宋体" w:hAnsi="宋体" w:cs="宋体"/>
                <w:color w:val="auto"/>
                <w:sz w:val="21"/>
                <w:szCs w:val="21"/>
              </w:rPr>
              <w:t>及本合同规定的所有事项，乙方达不到要求的，均视为乙方违约，甲方有权解除合同，并要求乙方承担合同总价的【30】%作为违约金。</w:t>
            </w:r>
          </w:p>
          <w:p w14:paraId="3E2DE468">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lang w:val="en-US" w:eastAsia="zh-CN"/>
              </w:rPr>
              <w:t>9.若乙方违反本合同的任何约定，或因乙方原因（包括作为或不作为）导致甲方遭受任何损失（包括但不限于直接经济损失、商誉、名誉损失等），甲方均有权解除本合同，并要求乙方承担合同总价的【30】%作为违约金，若违约金不足以弥补甲方遭受的全部损失（包括直接损失与间接损失），乙方应就差额部分继续承担赔偿责任。同时由乙方承担甲方为维权所支付的律师费、诉讼费、保全费、保全保险费、鉴定费、评估费、差旅费等全部合理开支。</w:t>
            </w:r>
          </w:p>
        </w:tc>
      </w:tr>
      <w:tr w14:paraId="16CE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DB8E87D">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6CCED915">
            <w:pPr>
              <w:spacing w:line="240" w:lineRule="atLeas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1.双方约定的其他事项：</w:t>
            </w:r>
          </w:p>
          <w:p w14:paraId="4E866CEF">
            <w:pPr>
              <w:spacing w:line="240" w:lineRule="atLeast"/>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合同未尽事宜，甲、乙双方另行签订补充协议，补充协议与本合同具有同等法律效力，补充协议与本合同不一致的，以补充协议为准。</w:t>
            </w:r>
          </w:p>
          <w:p w14:paraId="46914829">
            <w:p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本合同相关文件：有关本次采购项目的商务谈判文件以及相关的函件，如采购文件、</w:t>
            </w:r>
            <w:r>
              <w:rPr>
                <w:rFonts w:hint="eastAsia" w:ascii="宋体" w:hAnsi="宋体" w:eastAsia="宋体" w:cs="宋体"/>
                <w:color w:val="auto"/>
                <w:sz w:val="21"/>
                <w:szCs w:val="21"/>
              </w:rPr>
              <w:t>响应文件</w:t>
            </w:r>
            <w:r>
              <w:rPr>
                <w:rFonts w:hint="eastAsia" w:ascii="宋体" w:hAnsi="宋体" w:eastAsia="宋体" w:cs="宋体"/>
                <w:color w:val="auto"/>
                <w:sz w:val="21"/>
                <w:szCs w:val="21"/>
                <w:lang w:eastAsia="zh-CN"/>
              </w:rPr>
              <w:t>、</w:t>
            </w:r>
            <w:r>
              <w:rPr>
                <w:rFonts w:hint="eastAsia" w:ascii="宋体" w:hAnsi="宋体" w:cs="宋体"/>
                <w:color w:val="auto"/>
                <w:sz w:val="21"/>
                <w:szCs w:val="21"/>
              </w:rPr>
              <w:t>报价文件、澄清</w:t>
            </w:r>
            <w:r>
              <w:rPr>
                <w:rFonts w:hint="eastAsia" w:ascii="宋体" w:hAnsi="宋体" w:cs="宋体"/>
                <w:color w:val="auto"/>
                <w:sz w:val="21"/>
                <w:szCs w:val="21"/>
                <w:lang w:val="en-US" w:eastAsia="zh-CN"/>
              </w:rPr>
              <w:t>文件</w:t>
            </w:r>
            <w:r>
              <w:rPr>
                <w:rFonts w:hint="eastAsia" w:ascii="宋体" w:hAnsi="宋体" w:cs="宋体"/>
                <w:color w:val="auto"/>
                <w:sz w:val="21"/>
                <w:szCs w:val="21"/>
              </w:rPr>
              <w:t>、技术资料、乙方提供的</w:t>
            </w:r>
            <w:r>
              <w:rPr>
                <w:rFonts w:hint="eastAsia" w:ascii="宋体" w:hAnsi="宋体" w:cs="宋体"/>
                <w:color w:val="auto"/>
                <w:sz w:val="21"/>
                <w:szCs w:val="21"/>
                <w:lang w:val="en-US" w:eastAsia="zh-CN"/>
              </w:rPr>
              <w:t>承诺、</w:t>
            </w:r>
            <w:r>
              <w:rPr>
                <w:rFonts w:hint="eastAsia" w:ascii="宋体" w:hAnsi="宋体" w:cs="宋体"/>
                <w:color w:val="auto"/>
                <w:sz w:val="21"/>
                <w:szCs w:val="21"/>
              </w:rPr>
              <w:t>售后质保方案以及各项与本采购项目相关，均为本合同不可分割的一部分，与本合同具有同等法律效力。</w:t>
            </w:r>
          </w:p>
          <w:p w14:paraId="5F0DC0B3">
            <w:pPr>
              <w:spacing w:line="240" w:lineRule="atLeas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双方确认，因履行本合同之需要，一方向对方发送有关通知或者其他文件，送达一方可以按本合同载明的地址、联系方式等相关信息，以邮政、快递等方式送达，并且自发出之第三日起视为已经送达；如邮件被退回的，退回之日即视为已送达。如果一方需变更地址或者相关信息的，应提前五个工作日书面通知对方，在变更通知到达对方之前，视为没有变更。本条送达的约定适用于人民法院、仲裁机构、公证处等机构出具的各类法律文书的送达。</w:t>
            </w:r>
          </w:p>
          <w:p w14:paraId="4BB12193">
            <w:pPr>
              <w:spacing w:line="240" w:lineRule="atLeast"/>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rPr>
              <w:t>本合同在履行过程中如发生争议，由甲、乙双方共同协商解决；协商不成的，可向重庆市大渡口区人民法院提起诉讼。</w:t>
            </w:r>
          </w:p>
          <w:p w14:paraId="7F0E3F1E">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cs="宋体"/>
                <w:color w:val="auto"/>
                <w:sz w:val="21"/>
                <w:szCs w:val="21"/>
              </w:rPr>
              <w:t>本合同一式</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份，甲方执</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份，乙方执</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份，均具有同等法律效力，自甲、乙双方法定代表人（或委托代理人）签字或盖章后生效。</w:t>
            </w:r>
          </w:p>
        </w:tc>
      </w:tr>
      <w:tr w14:paraId="7AED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5B389047">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需方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BA3E0C2">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51EF2D6B">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4BCAB43F">
            <w:pPr>
              <w:spacing w:line="24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法定代表人（负责人）</w:t>
            </w:r>
          </w:p>
          <w:p w14:paraId="31B406C9">
            <w:pPr>
              <w:spacing w:line="240" w:lineRule="atLeast"/>
              <w:ind w:firstLine="420" w:firstLineChars="200"/>
              <w:rPr>
                <w:rFonts w:hint="eastAsia" w:ascii="宋体" w:hAnsi="宋体" w:eastAsia="宋体" w:cs="宋体"/>
                <w:color w:val="auto"/>
                <w:sz w:val="21"/>
                <w:szCs w:val="21"/>
              </w:rPr>
            </w:pPr>
            <w:r>
              <w:rPr>
                <w:rFonts w:hint="eastAsia" w:ascii="宋体" w:hAnsi="宋体" w:cs="宋体"/>
                <w:color w:val="auto"/>
                <w:sz w:val="21"/>
                <w:szCs w:val="21"/>
              </w:rPr>
              <w:t>或委托代理人：</w:t>
            </w:r>
          </w:p>
          <w:p w14:paraId="4535B019">
            <w:pPr>
              <w:spacing w:line="240" w:lineRule="atLeast"/>
              <w:ind w:firstLine="422" w:firstLineChars="0"/>
              <w:rPr>
                <w:rFonts w:hint="eastAsia" w:ascii="宋体" w:hAnsi="宋体" w:eastAsia="宋体" w:cs="宋体"/>
                <w:color w:val="auto"/>
                <w:sz w:val="21"/>
                <w:szCs w:val="21"/>
                <w:highlight w:val="none"/>
              </w:rPr>
            </w:pPr>
          </w:p>
        </w:tc>
        <w:tc>
          <w:tcPr>
            <w:tcW w:w="4984" w:type="dxa"/>
            <w:gridSpan w:val="5"/>
            <w:vAlign w:val="top"/>
          </w:tcPr>
          <w:p w14:paraId="14022078">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供方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1006734B">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615E4400">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79DDEFB7">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4AFA5F18">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49051D50">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616A94BE">
            <w:pPr>
              <w:spacing w:line="24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法定代表人（负责人）</w:t>
            </w:r>
          </w:p>
          <w:p w14:paraId="79AAA194">
            <w:pPr>
              <w:spacing w:line="240" w:lineRule="atLeast"/>
              <w:ind w:firstLine="420" w:firstLineChars="200"/>
              <w:rPr>
                <w:rFonts w:hint="eastAsia" w:ascii="宋体" w:hAnsi="宋体" w:eastAsia="宋体" w:cs="宋体"/>
                <w:color w:val="auto"/>
                <w:sz w:val="21"/>
                <w:szCs w:val="21"/>
              </w:rPr>
            </w:pPr>
            <w:r>
              <w:rPr>
                <w:rFonts w:hint="eastAsia" w:ascii="宋体" w:hAnsi="宋体" w:cs="宋体"/>
                <w:color w:val="auto"/>
                <w:sz w:val="21"/>
                <w:szCs w:val="21"/>
              </w:rPr>
              <w:t>或委托代理人：</w:t>
            </w:r>
          </w:p>
          <w:p w14:paraId="1E1E3925">
            <w:pPr>
              <w:spacing w:line="240" w:lineRule="atLeast"/>
              <w:ind w:firstLine="422"/>
              <w:rPr>
                <w:rFonts w:hint="eastAsia" w:ascii="宋体" w:hAnsi="宋体" w:eastAsia="宋体" w:cs="宋体"/>
                <w:color w:val="auto"/>
                <w:sz w:val="21"/>
                <w:szCs w:val="21"/>
                <w:highlight w:val="none"/>
              </w:rPr>
            </w:pPr>
          </w:p>
          <w:p w14:paraId="413AEF0E">
            <w:pPr>
              <w:widowControl/>
              <w:spacing w:line="240" w:lineRule="atLeast"/>
              <w:ind w:firstLine="422"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584A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AD71325">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0064F4D">
            <w:pPr>
              <w:spacing w:line="240" w:lineRule="atLeast"/>
              <w:ind w:firstLine="422"/>
              <w:rPr>
                <w:rFonts w:hint="eastAsia" w:ascii="宋体" w:hAnsi="宋体" w:eastAsia="宋体" w:cs="宋体"/>
                <w:color w:val="auto"/>
                <w:sz w:val="21"/>
                <w:szCs w:val="21"/>
                <w:highlight w:val="none"/>
              </w:rPr>
            </w:pPr>
          </w:p>
          <w:p w14:paraId="17D3D06A">
            <w:pPr>
              <w:spacing w:line="240" w:lineRule="atLeast"/>
              <w:ind w:firstLine="422"/>
              <w:rPr>
                <w:rFonts w:hint="eastAsia" w:ascii="宋体" w:hAnsi="宋体" w:eastAsia="宋体" w:cs="宋体"/>
                <w:color w:val="auto"/>
                <w:sz w:val="21"/>
                <w:szCs w:val="21"/>
                <w:highlight w:val="none"/>
              </w:rPr>
            </w:pPr>
          </w:p>
        </w:tc>
      </w:tr>
    </w:tbl>
    <w:p w14:paraId="220139F9">
      <w:pPr>
        <w:snapToGrid w:val="0"/>
        <w:spacing w:line="400" w:lineRule="exact"/>
        <w:rPr>
          <w:rFonts w:hint="eastAsia" w:ascii="宋体" w:hAnsi="宋体" w:eastAsia="宋体" w:cs="宋体"/>
          <w:color w:val="auto"/>
          <w:sz w:val="24"/>
          <w:szCs w:val="24"/>
          <w:highlight w:val="none"/>
        </w:rPr>
      </w:pPr>
    </w:p>
    <w:p w14:paraId="2AD77734">
      <w:pPr>
        <w:snapToGrid w:val="0"/>
        <w:spacing w:line="400" w:lineRule="exact"/>
        <w:ind w:firstLine="482"/>
        <w:rPr>
          <w:rFonts w:hint="eastAsia" w:ascii="宋体" w:hAnsi="宋体" w:eastAsia="宋体" w:cs="宋体"/>
          <w:color w:val="auto"/>
          <w:sz w:val="24"/>
          <w:szCs w:val="24"/>
          <w:highlight w:val="none"/>
        </w:rPr>
      </w:pPr>
    </w:p>
    <w:p w14:paraId="22B8656B">
      <w:pPr>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签约时间：  年   月   日                        签约地点：</w:t>
      </w:r>
    </w:p>
    <w:p w14:paraId="65E108EE">
      <w:pPr>
        <w:spacing w:line="500" w:lineRule="exact"/>
        <w:ind w:firstLine="880"/>
        <w:rPr>
          <w:rFonts w:hint="eastAsia" w:ascii="宋体" w:hAnsi="宋体" w:eastAsia="宋体" w:cs="宋体"/>
          <w:b/>
          <w:color w:val="auto"/>
          <w:sz w:val="44"/>
          <w:highlight w:val="none"/>
        </w:rPr>
      </w:pPr>
    </w:p>
    <w:p w14:paraId="4E69530E">
      <w:pPr>
        <w:pStyle w:val="22"/>
        <w:ind w:firstLine="880"/>
        <w:rPr>
          <w:rFonts w:hint="eastAsia" w:ascii="宋体" w:hAnsi="宋体" w:eastAsia="宋体" w:cs="宋体"/>
          <w:b/>
          <w:color w:val="auto"/>
          <w:sz w:val="44"/>
          <w:highlight w:val="none"/>
        </w:rPr>
      </w:pPr>
    </w:p>
    <w:p w14:paraId="3BA1BCA8">
      <w:pPr>
        <w:ind w:firstLine="880"/>
        <w:rPr>
          <w:rFonts w:hint="eastAsia" w:ascii="宋体" w:hAnsi="宋体" w:eastAsia="宋体" w:cs="宋体"/>
          <w:b/>
          <w:color w:val="auto"/>
          <w:sz w:val="44"/>
          <w:highlight w:val="none"/>
        </w:rPr>
      </w:pPr>
    </w:p>
    <w:bookmarkEnd w:id="144"/>
    <w:p w14:paraId="637426E8">
      <w:pPr>
        <w:ind w:firstLine="723"/>
        <w:rPr>
          <w:rFonts w:hint="eastAsia" w:ascii="宋体" w:hAnsi="宋体" w:eastAsia="宋体" w:cs="宋体"/>
          <w:color w:val="auto"/>
          <w:sz w:val="36"/>
          <w:szCs w:val="30"/>
          <w:highlight w:val="none"/>
        </w:rPr>
      </w:pPr>
      <w:bookmarkStart w:id="146" w:name="_Toc1780"/>
      <w:r>
        <w:rPr>
          <w:rFonts w:hint="eastAsia" w:ascii="宋体" w:hAnsi="宋体" w:eastAsia="宋体" w:cs="宋体"/>
          <w:color w:val="auto"/>
          <w:sz w:val="36"/>
          <w:szCs w:val="30"/>
          <w:highlight w:val="none"/>
        </w:rPr>
        <w:br w:type="page"/>
      </w:r>
    </w:p>
    <w:p w14:paraId="2656DF1D">
      <w:pPr>
        <w:pStyle w:val="3"/>
        <w:spacing w:before="0" w:after="0" w:line="360" w:lineRule="auto"/>
        <w:ind w:firstLine="720"/>
        <w:jc w:val="center"/>
        <w:rPr>
          <w:rFonts w:hint="eastAsia" w:ascii="宋体" w:hAnsi="宋体" w:eastAsia="宋体" w:cs="宋体"/>
          <w:color w:val="auto"/>
          <w:sz w:val="36"/>
          <w:szCs w:val="30"/>
          <w:highlight w:val="none"/>
        </w:rPr>
      </w:pPr>
      <w:bookmarkStart w:id="147" w:name="_Toc30220"/>
      <w:r>
        <w:rPr>
          <w:rFonts w:hint="eastAsia" w:ascii="宋体" w:hAnsi="宋体" w:eastAsia="宋体" w:cs="宋体"/>
          <w:color w:val="auto"/>
          <w:sz w:val="36"/>
          <w:szCs w:val="30"/>
          <w:highlight w:val="none"/>
        </w:rPr>
        <w:t>第七篇  响应文件编制要求</w:t>
      </w:r>
      <w:bookmarkEnd w:id="146"/>
      <w:bookmarkEnd w:id="147"/>
    </w:p>
    <w:p w14:paraId="7DBCAC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437B696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5AB1D3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（二）分项报价明细表</w:t>
      </w:r>
    </w:p>
    <w:p w14:paraId="66D384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二、服务部分</w:t>
      </w:r>
    </w:p>
    <w:p w14:paraId="79C04E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（一）服务方案</w:t>
      </w:r>
    </w:p>
    <w:p w14:paraId="54E955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（二）服务响应偏离表</w:t>
      </w:r>
    </w:p>
    <w:p w14:paraId="489E9CA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17ECB58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（一）商务要求响应情况：服务期、服务地点及验收方式等</w:t>
      </w:r>
    </w:p>
    <w:p w14:paraId="236910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（二）商务响应偏离表</w:t>
      </w:r>
    </w:p>
    <w:p w14:paraId="30355F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（三）其它优惠服务承诺</w:t>
      </w:r>
    </w:p>
    <w:p w14:paraId="4B835A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64367F4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EEDBA6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293BC29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597E30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1EE8EA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w:t>
      </w:r>
    </w:p>
    <w:p w14:paraId="6ACA22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417B97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（一）供应商中小微企业声明函、监狱企业证明文件、残疾人福利性单位声明函</w:t>
      </w:r>
    </w:p>
    <w:p w14:paraId="317705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w:t>
      </w:r>
    </w:p>
    <w:p w14:paraId="7881235A">
      <w:pPr>
        <w:spacing w:line="360" w:lineRule="auto"/>
        <w:rPr>
          <w:rFonts w:hint="eastAsia" w:ascii="宋体" w:hAnsi="宋体" w:eastAsia="宋体" w:cs="宋体"/>
          <w:color w:val="auto"/>
          <w:highlight w:val="none"/>
        </w:rPr>
      </w:pPr>
      <w:bookmarkStart w:id="148" w:name="_Toc499576264"/>
      <w:bookmarkStart w:id="149" w:name="_Toc313888360"/>
      <w:bookmarkStart w:id="150" w:name="_Toc342913419"/>
      <w:bookmarkStart w:id="151" w:name="_Toc313008356"/>
      <w:bookmarkStart w:id="152" w:name="_Toc10238"/>
      <w:bookmarkStart w:id="153" w:name="_Toc283382454"/>
      <w:bookmarkStart w:id="154" w:name="_Toc12789073"/>
    </w:p>
    <w:p w14:paraId="45F78E23">
      <w:pPr>
        <w:rPr>
          <w:rFonts w:hint="eastAsia" w:ascii="宋体" w:hAnsi="宋体" w:eastAsia="宋体" w:cs="宋体"/>
          <w:color w:val="auto"/>
          <w:highlight w:val="none"/>
        </w:rPr>
      </w:pPr>
    </w:p>
    <w:p w14:paraId="4F8FD39F">
      <w:pPr>
        <w:rPr>
          <w:rFonts w:hint="eastAsia" w:ascii="宋体" w:hAnsi="宋体" w:eastAsia="宋体" w:cs="宋体"/>
          <w:color w:val="auto"/>
          <w:sz w:val="24"/>
          <w:szCs w:val="24"/>
          <w:highlight w:val="none"/>
        </w:rPr>
      </w:pPr>
    </w:p>
    <w:p w14:paraId="798932C1">
      <w:pPr>
        <w:rPr>
          <w:rFonts w:hint="eastAsia" w:ascii="宋体" w:hAnsi="宋体" w:eastAsia="宋体" w:cs="宋体"/>
          <w:color w:val="auto"/>
          <w:highlight w:val="none"/>
        </w:rPr>
      </w:pPr>
    </w:p>
    <w:p w14:paraId="02C6F6A8">
      <w:pPr>
        <w:rPr>
          <w:rFonts w:hint="eastAsia" w:ascii="宋体" w:hAnsi="宋体" w:eastAsia="宋体" w:cs="宋体"/>
          <w:color w:val="auto"/>
          <w:highlight w:val="none"/>
        </w:rPr>
      </w:pPr>
    </w:p>
    <w:p w14:paraId="2BF31F10">
      <w:pPr>
        <w:rPr>
          <w:rFonts w:hint="eastAsia" w:ascii="宋体" w:hAnsi="宋体" w:eastAsia="宋体" w:cs="宋体"/>
          <w:color w:val="auto"/>
          <w:highlight w:val="none"/>
        </w:rPr>
      </w:pPr>
    </w:p>
    <w:p w14:paraId="0DEC5B68">
      <w:pPr>
        <w:pStyle w:val="22"/>
        <w:rPr>
          <w:rFonts w:hint="eastAsia" w:ascii="宋体" w:hAnsi="宋体" w:eastAsia="宋体" w:cs="宋体"/>
          <w:color w:val="auto"/>
          <w:highlight w:val="none"/>
        </w:rPr>
      </w:pPr>
    </w:p>
    <w:p w14:paraId="7D502CB0">
      <w:pPr>
        <w:pStyle w:val="28"/>
        <w:ind w:left="2240"/>
        <w:rPr>
          <w:rFonts w:hint="eastAsia" w:ascii="宋体" w:hAnsi="宋体" w:eastAsia="宋体" w:cs="宋体"/>
          <w:color w:val="auto"/>
          <w:highlight w:val="none"/>
        </w:rPr>
      </w:pPr>
    </w:p>
    <w:p w14:paraId="48D41354">
      <w:pPr>
        <w:rPr>
          <w:rFonts w:hint="eastAsia" w:ascii="宋体" w:hAnsi="宋体" w:eastAsia="宋体" w:cs="宋体"/>
          <w:color w:val="auto"/>
          <w:highlight w:val="none"/>
        </w:rPr>
      </w:pPr>
    </w:p>
    <w:p w14:paraId="3D41EDE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44E188B">
      <w:pPr>
        <w:pStyle w:val="4"/>
        <w:spacing w:before="0" w:after="0" w:line="360" w:lineRule="auto"/>
        <w:ind w:firstLine="480"/>
        <w:rPr>
          <w:rFonts w:hint="eastAsia" w:ascii="宋体" w:hAnsi="宋体" w:eastAsia="宋体" w:cs="宋体"/>
          <w:color w:val="auto"/>
          <w:sz w:val="24"/>
          <w:szCs w:val="24"/>
          <w:highlight w:val="none"/>
        </w:rPr>
      </w:pPr>
      <w:bookmarkStart w:id="155" w:name="_Toc15619"/>
      <w:r>
        <w:rPr>
          <w:rFonts w:hint="eastAsia" w:ascii="宋体" w:hAnsi="宋体" w:eastAsia="宋体" w:cs="宋体"/>
          <w:color w:val="auto"/>
          <w:sz w:val="24"/>
          <w:szCs w:val="24"/>
          <w:highlight w:val="none"/>
        </w:rPr>
        <w:t>一、经济部分</w:t>
      </w:r>
      <w:bookmarkEnd w:id="148"/>
      <w:bookmarkEnd w:id="149"/>
      <w:bookmarkEnd w:id="150"/>
      <w:bookmarkEnd w:id="151"/>
      <w:bookmarkEnd w:id="152"/>
      <w:bookmarkEnd w:id="155"/>
    </w:p>
    <w:bookmarkEnd w:id="153"/>
    <w:bookmarkEnd w:id="154"/>
    <w:p w14:paraId="6960A52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（一）竞争性磋商报价函</w:t>
      </w:r>
    </w:p>
    <w:p w14:paraId="5833466A">
      <w:pPr>
        <w:tabs>
          <w:tab w:val="left" w:pos="6300"/>
        </w:tabs>
        <w:snapToGrid w:val="0"/>
        <w:spacing w:line="360" w:lineRule="auto"/>
        <w:ind w:firstLine="482"/>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竞争性磋商报价函</w:t>
      </w:r>
    </w:p>
    <w:p w14:paraId="2F046134">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70511F94">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我方收到____________________________（项目名称）的竞争性磋商文件，经详细研究，决定参加该项目的磋商。</w:t>
      </w:r>
    </w:p>
    <w:p w14:paraId="253134BE">
      <w:pPr>
        <w:tabs>
          <w:tab w:val="left" w:pos="6300"/>
        </w:tabs>
        <w:snapToGrid w:val="0"/>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1、愿意按照竞争性磋商文件中的一切要求，提供本项目所需的技术和服务，初始报价为人民币大写：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。以我公司最后报价为准。</w:t>
      </w:r>
    </w:p>
    <w:p w14:paraId="0BB6ECF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份，电子文档</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67407B1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3、我方承诺：本次磋商的有效期为提交响应文件截止时间起90天。</w:t>
      </w:r>
    </w:p>
    <w:p w14:paraId="76E7D66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4、我方完全理解和接受贵方竞争性磋商文件的一切规定和要求及评审办法。</w:t>
      </w:r>
    </w:p>
    <w:p w14:paraId="758F3FD4">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5、在整个竞争性磋商过程中，我方若有违规行为，接受按照《中华人民共和国政府采购法》和《竞争性磋商文件》之规定给予惩罚。</w:t>
      </w:r>
    </w:p>
    <w:p w14:paraId="4C257604">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1F9F1B6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7、如果我方成为成交供应商，保证在接到成交通知书后，向采购代理机构缴纳竞争性磋商文件规定的采购代理服务费。</w:t>
      </w:r>
    </w:p>
    <w:p w14:paraId="113803CB">
      <w:pPr>
        <w:tabs>
          <w:tab w:val="left" w:pos="6300"/>
        </w:tabs>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8"/>
          <w:highlight w:val="none"/>
        </w:rPr>
        <w:t>我方未</w:t>
      </w:r>
      <w:r>
        <w:rPr>
          <w:rFonts w:hint="eastAsia" w:ascii="宋体" w:hAnsi="宋体" w:eastAsia="宋体" w:cs="宋体"/>
          <w:b/>
          <w:bCs/>
          <w:color w:val="auto"/>
          <w:sz w:val="24"/>
          <w:szCs w:val="24"/>
          <w:highlight w:val="none"/>
        </w:rPr>
        <w:t>为采购项目提供整体设计、规范编制或者项目管理、监理、检测等服务。</w:t>
      </w:r>
    </w:p>
    <w:p w14:paraId="0C0B1E81">
      <w:pPr>
        <w:tabs>
          <w:tab w:val="left" w:pos="6300"/>
        </w:tabs>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4CCC1C2A">
      <w:pPr>
        <w:tabs>
          <w:tab w:val="left" w:pos="6300"/>
        </w:tabs>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593C0EC5">
      <w:pPr>
        <w:tabs>
          <w:tab w:val="left" w:pos="6300"/>
        </w:tabs>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43DB42E2">
      <w:pPr>
        <w:tabs>
          <w:tab w:val="left" w:pos="6300"/>
        </w:tabs>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1575464B">
      <w:pPr>
        <w:tabs>
          <w:tab w:val="left" w:pos="6300"/>
        </w:tabs>
        <w:snapToGrid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6F2BE045">
      <w:pPr>
        <w:snapToGrid w:val="0"/>
        <w:spacing w:line="360" w:lineRule="auto"/>
        <w:ind w:firstLine="480" w:firstLineChars="200"/>
        <w:rPr>
          <w:rFonts w:hint="eastAsia" w:ascii="宋体" w:hAnsi="宋体" w:eastAsia="宋体" w:cs="宋体"/>
          <w:color w:val="auto"/>
          <w:sz w:val="24"/>
          <w:szCs w:val="24"/>
          <w:highlight w:val="none"/>
        </w:rPr>
        <w:sectPr>
          <w:headerReference r:id="rId12" w:type="default"/>
          <w:footerReference r:id="rId13" w:type="default"/>
          <w:pgSz w:w="11907" w:h="16840"/>
          <w:pgMar w:top="1134" w:right="1191" w:bottom="1134" w:left="1304" w:header="851" w:footer="992" w:gutter="0"/>
          <w:cols w:space="425" w:num="1"/>
          <w:rtlGutter w:val="1"/>
          <w:docGrid w:linePitch="380" w:charSpace="-5735"/>
        </w:sectPr>
      </w:pPr>
      <w:r>
        <w:rPr>
          <w:rFonts w:hint="eastAsia" w:ascii="宋体" w:hAnsi="宋体" w:eastAsia="宋体" w:cs="宋体"/>
          <w:color w:val="auto"/>
          <w:sz w:val="24"/>
          <w:szCs w:val="24"/>
          <w:highlight w:val="none"/>
        </w:rPr>
        <w:t xml:space="preserve">                                                  年   月   日</w:t>
      </w:r>
    </w:p>
    <w:p w14:paraId="0FCF2F10">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（二）分项报价明细表</w:t>
      </w:r>
    </w:p>
    <w:p w14:paraId="27FA5304">
      <w:pPr>
        <w:tabs>
          <w:tab w:val="left" w:pos="6300"/>
        </w:tabs>
        <w:snapToGrid w:val="0"/>
        <w:spacing w:line="480" w:lineRule="exact"/>
        <w:ind w:firstLine="482"/>
        <w:jc w:val="center"/>
        <w:rPr>
          <w:rFonts w:hint="eastAsia" w:ascii="宋体" w:hAnsi="宋体" w:eastAsia="宋体" w:cs="宋体"/>
          <w:b/>
          <w:bCs/>
          <w:color w:val="auto"/>
          <w:szCs w:val="28"/>
          <w:highlight w:val="none"/>
        </w:rPr>
      </w:pPr>
      <w:r>
        <w:rPr>
          <w:rFonts w:hint="eastAsia" w:ascii="宋体" w:hAnsi="宋体" w:eastAsia="宋体" w:cs="宋体"/>
          <w:b/>
          <w:bCs/>
          <w:color w:val="auto"/>
          <w:sz w:val="24"/>
          <w:szCs w:val="24"/>
          <w:highlight w:val="none"/>
        </w:rPr>
        <w:t>分项报价明细表</w:t>
      </w:r>
    </w:p>
    <w:p w14:paraId="7ED8DFEB">
      <w:pPr>
        <w:tabs>
          <w:tab w:val="left" w:pos="6300"/>
        </w:tabs>
        <w:snapToGrid w:val="0"/>
        <w:spacing w:line="312"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采购执行编号： </w:t>
      </w:r>
      <w:r>
        <w:rPr>
          <w:rFonts w:hint="eastAsia" w:ascii="宋体" w:hAnsi="宋体" w:cs="宋体"/>
          <w:color w:val="auto"/>
          <w:sz w:val="24"/>
          <w:szCs w:val="24"/>
          <w:highlight w:val="none"/>
          <w:lang w:val="en-US" w:eastAsia="zh-CN"/>
        </w:rPr>
        <w:t xml:space="preserve">     </w:t>
      </w:r>
    </w:p>
    <w:p w14:paraId="3622C5A3">
      <w:pPr>
        <w:tabs>
          <w:tab w:val="left" w:pos="6300"/>
        </w:tabs>
        <w:snapToGrid w:val="0"/>
        <w:spacing w:line="312"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磋商项目名称：                                          </w:t>
      </w:r>
      <w:r>
        <w:rPr>
          <w:rFonts w:hint="eastAsia" w:ascii="宋体" w:hAnsi="宋体" w:cs="宋体"/>
          <w:color w:val="auto"/>
          <w:sz w:val="24"/>
          <w:szCs w:val="24"/>
          <w:highlight w:val="none"/>
          <w:lang w:val="en-US" w:eastAsia="zh-CN"/>
        </w:rPr>
        <w:t xml:space="preserve">       单位：元</w:t>
      </w:r>
    </w:p>
    <w:tbl>
      <w:tblPr>
        <w:tblStyle w:val="57"/>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761"/>
        <w:gridCol w:w="2747"/>
        <w:gridCol w:w="1480"/>
        <w:gridCol w:w="1480"/>
        <w:gridCol w:w="1480"/>
      </w:tblGrid>
      <w:tr w14:paraId="3FE0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9" w:type="dxa"/>
            <w:vAlign w:val="center"/>
          </w:tcPr>
          <w:p w14:paraId="20F71E0B">
            <w:pPr>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761" w:type="dxa"/>
            <w:vAlign w:val="center"/>
          </w:tcPr>
          <w:p w14:paraId="367DA172">
            <w:pPr>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2747" w:type="dxa"/>
            <w:vAlign w:val="center"/>
          </w:tcPr>
          <w:p w14:paraId="2550A20B">
            <w:pPr>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相关信息</w:t>
            </w:r>
          </w:p>
        </w:tc>
        <w:tc>
          <w:tcPr>
            <w:tcW w:w="1480" w:type="dxa"/>
            <w:vAlign w:val="center"/>
          </w:tcPr>
          <w:p w14:paraId="22F2C1F4">
            <w:pPr>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480" w:type="dxa"/>
            <w:vAlign w:val="center"/>
          </w:tcPr>
          <w:p w14:paraId="08D71049">
            <w:pPr>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1480" w:type="dxa"/>
            <w:vAlign w:val="center"/>
          </w:tcPr>
          <w:p w14:paraId="3C3DE315">
            <w:pPr>
              <w:ind w:firstLine="42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4BE19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1B66CDF6">
            <w:pPr>
              <w:pStyle w:val="23"/>
              <w:spacing w:line="240" w:lineRule="atLeast"/>
              <w:ind w:left="0" w:leftChars="0"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61" w:type="dxa"/>
            <w:vAlign w:val="center"/>
          </w:tcPr>
          <w:p w14:paraId="6ED94F9F">
            <w:pPr>
              <w:ind w:firstLine="422"/>
              <w:jc w:val="center"/>
              <w:rPr>
                <w:rFonts w:hint="eastAsia" w:ascii="宋体" w:hAnsi="宋体" w:eastAsia="宋体" w:cs="宋体"/>
                <w:color w:val="auto"/>
                <w:sz w:val="21"/>
                <w:szCs w:val="21"/>
                <w:highlight w:val="none"/>
              </w:rPr>
            </w:pPr>
          </w:p>
        </w:tc>
        <w:tc>
          <w:tcPr>
            <w:tcW w:w="2747" w:type="dxa"/>
          </w:tcPr>
          <w:p w14:paraId="6A7102C2">
            <w:pPr>
              <w:ind w:firstLine="422"/>
              <w:jc w:val="center"/>
              <w:rPr>
                <w:rFonts w:hint="eastAsia" w:ascii="宋体" w:hAnsi="宋体" w:eastAsia="宋体" w:cs="宋体"/>
                <w:color w:val="auto"/>
                <w:sz w:val="21"/>
                <w:szCs w:val="21"/>
                <w:highlight w:val="none"/>
              </w:rPr>
            </w:pPr>
          </w:p>
        </w:tc>
        <w:tc>
          <w:tcPr>
            <w:tcW w:w="1480" w:type="dxa"/>
            <w:vAlign w:val="center"/>
          </w:tcPr>
          <w:p w14:paraId="2E3C824A">
            <w:pPr>
              <w:ind w:firstLine="422"/>
              <w:jc w:val="center"/>
              <w:rPr>
                <w:rFonts w:hint="eastAsia" w:ascii="宋体" w:hAnsi="宋体" w:eastAsia="宋体" w:cs="宋体"/>
                <w:color w:val="auto"/>
                <w:sz w:val="21"/>
                <w:szCs w:val="21"/>
                <w:highlight w:val="none"/>
              </w:rPr>
            </w:pPr>
          </w:p>
        </w:tc>
        <w:tc>
          <w:tcPr>
            <w:tcW w:w="1480" w:type="dxa"/>
            <w:vAlign w:val="center"/>
          </w:tcPr>
          <w:p w14:paraId="204E3283">
            <w:pPr>
              <w:ind w:firstLine="422"/>
              <w:jc w:val="center"/>
              <w:rPr>
                <w:rFonts w:hint="eastAsia" w:ascii="宋体" w:hAnsi="宋体" w:eastAsia="宋体" w:cs="宋体"/>
                <w:color w:val="auto"/>
                <w:sz w:val="21"/>
                <w:szCs w:val="21"/>
                <w:highlight w:val="none"/>
              </w:rPr>
            </w:pPr>
          </w:p>
        </w:tc>
        <w:tc>
          <w:tcPr>
            <w:tcW w:w="1480" w:type="dxa"/>
            <w:vAlign w:val="center"/>
          </w:tcPr>
          <w:p w14:paraId="04209234">
            <w:pPr>
              <w:ind w:firstLine="422"/>
              <w:jc w:val="center"/>
              <w:rPr>
                <w:rFonts w:hint="eastAsia" w:ascii="宋体" w:hAnsi="宋体" w:eastAsia="宋体" w:cs="宋体"/>
                <w:color w:val="auto"/>
                <w:sz w:val="21"/>
                <w:szCs w:val="21"/>
                <w:highlight w:val="none"/>
              </w:rPr>
            </w:pPr>
          </w:p>
        </w:tc>
      </w:tr>
      <w:tr w14:paraId="6216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269D83D4">
            <w:pPr>
              <w:pStyle w:val="23"/>
              <w:spacing w:line="240" w:lineRule="atLeast"/>
              <w:ind w:left="0" w:leftChars="0"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61" w:type="dxa"/>
            <w:vAlign w:val="center"/>
          </w:tcPr>
          <w:p w14:paraId="585BCC53">
            <w:pPr>
              <w:ind w:firstLine="422"/>
              <w:jc w:val="center"/>
              <w:rPr>
                <w:rFonts w:hint="eastAsia" w:ascii="宋体" w:hAnsi="宋体" w:eastAsia="宋体" w:cs="宋体"/>
                <w:color w:val="auto"/>
                <w:sz w:val="21"/>
                <w:szCs w:val="21"/>
                <w:highlight w:val="none"/>
              </w:rPr>
            </w:pPr>
          </w:p>
        </w:tc>
        <w:tc>
          <w:tcPr>
            <w:tcW w:w="2747" w:type="dxa"/>
          </w:tcPr>
          <w:p w14:paraId="5B2EBC16">
            <w:pPr>
              <w:ind w:firstLine="422"/>
              <w:jc w:val="center"/>
              <w:rPr>
                <w:rFonts w:hint="eastAsia" w:ascii="宋体" w:hAnsi="宋体" w:eastAsia="宋体" w:cs="宋体"/>
                <w:color w:val="auto"/>
                <w:sz w:val="21"/>
                <w:szCs w:val="21"/>
                <w:highlight w:val="none"/>
              </w:rPr>
            </w:pPr>
          </w:p>
        </w:tc>
        <w:tc>
          <w:tcPr>
            <w:tcW w:w="1480" w:type="dxa"/>
            <w:vAlign w:val="center"/>
          </w:tcPr>
          <w:p w14:paraId="5E8D137A">
            <w:pPr>
              <w:ind w:firstLine="422"/>
              <w:jc w:val="center"/>
              <w:rPr>
                <w:rFonts w:hint="eastAsia" w:ascii="宋体" w:hAnsi="宋体" w:eastAsia="宋体" w:cs="宋体"/>
                <w:color w:val="auto"/>
                <w:sz w:val="21"/>
                <w:szCs w:val="21"/>
                <w:highlight w:val="none"/>
              </w:rPr>
            </w:pPr>
          </w:p>
        </w:tc>
        <w:tc>
          <w:tcPr>
            <w:tcW w:w="1480" w:type="dxa"/>
            <w:vAlign w:val="center"/>
          </w:tcPr>
          <w:p w14:paraId="020977DE">
            <w:pPr>
              <w:ind w:firstLine="422"/>
              <w:jc w:val="center"/>
              <w:rPr>
                <w:rFonts w:hint="eastAsia" w:ascii="宋体" w:hAnsi="宋体" w:eastAsia="宋体" w:cs="宋体"/>
                <w:color w:val="auto"/>
                <w:sz w:val="21"/>
                <w:szCs w:val="21"/>
                <w:highlight w:val="none"/>
              </w:rPr>
            </w:pPr>
          </w:p>
        </w:tc>
        <w:tc>
          <w:tcPr>
            <w:tcW w:w="1480" w:type="dxa"/>
            <w:vAlign w:val="center"/>
          </w:tcPr>
          <w:p w14:paraId="66161CFF">
            <w:pPr>
              <w:ind w:firstLine="422"/>
              <w:jc w:val="center"/>
              <w:rPr>
                <w:rFonts w:hint="eastAsia" w:ascii="宋体" w:hAnsi="宋体" w:eastAsia="宋体" w:cs="宋体"/>
                <w:color w:val="auto"/>
                <w:sz w:val="21"/>
                <w:szCs w:val="21"/>
                <w:highlight w:val="none"/>
              </w:rPr>
            </w:pPr>
          </w:p>
        </w:tc>
      </w:tr>
      <w:tr w14:paraId="7EEE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775A627A">
            <w:pPr>
              <w:pStyle w:val="23"/>
              <w:spacing w:line="240" w:lineRule="atLeast"/>
              <w:ind w:left="0" w:leftChars="0"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761" w:type="dxa"/>
            <w:vAlign w:val="center"/>
          </w:tcPr>
          <w:p w14:paraId="36C10E32">
            <w:pPr>
              <w:ind w:firstLine="422"/>
              <w:jc w:val="center"/>
              <w:rPr>
                <w:rFonts w:hint="eastAsia" w:ascii="宋体" w:hAnsi="宋体" w:eastAsia="宋体" w:cs="宋体"/>
                <w:color w:val="auto"/>
                <w:sz w:val="21"/>
                <w:szCs w:val="21"/>
                <w:highlight w:val="none"/>
              </w:rPr>
            </w:pPr>
          </w:p>
        </w:tc>
        <w:tc>
          <w:tcPr>
            <w:tcW w:w="2747" w:type="dxa"/>
          </w:tcPr>
          <w:p w14:paraId="5D618958">
            <w:pPr>
              <w:ind w:firstLine="422"/>
              <w:jc w:val="center"/>
              <w:rPr>
                <w:rFonts w:hint="eastAsia" w:ascii="宋体" w:hAnsi="宋体" w:eastAsia="宋体" w:cs="宋体"/>
                <w:color w:val="auto"/>
                <w:sz w:val="21"/>
                <w:szCs w:val="21"/>
                <w:highlight w:val="none"/>
              </w:rPr>
            </w:pPr>
          </w:p>
        </w:tc>
        <w:tc>
          <w:tcPr>
            <w:tcW w:w="1480" w:type="dxa"/>
            <w:vAlign w:val="center"/>
          </w:tcPr>
          <w:p w14:paraId="12E5EA9A">
            <w:pPr>
              <w:ind w:firstLine="422"/>
              <w:jc w:val="center"/>
              <w:rPr>
                <w:rFonts w:hint="eastAsia" w:ascii="宋体" w:hAnsi="宋体" w:eastAsia="宋体" w:cs="宋体"/>
                <w:color w:val="auto"/>
                <w:sz w:val="21"/>
                <w:szCs w:val="21"/>
                <w:highlight w:val="none"/>
              </w:rPr>
            </w:pPr>
          </w:p>
        </w:tc>
        <w:tc>
          <w:tcPr>
            <w:tcW w:w="1480" w:type="dxa"/>
            <w:vAlign w:val="center"/>
          </w:tcPr>
          <w:p w14:paraId="55ABA6AA">
            <w:pPr>
              <w:ind w:firstLine="422"/>
              <w:jc w:val="center"/>
              <w:rPr>
                <w:rFonts w:hint="eastAsia" w:ascii="宋体" w:hAnsi="宋体" w:eastAsia="宋体" w:cs="宋体"/>
                <w:color w:val="auto"/>
                <w:sz w:val="21"/>
                <w:szCs w:val="21"/>
                <w:highlight w:val="none"/>
              </w:rPr>
            </w:pPr>
          </w:p>
        </w:tc>
        <w:tc>
          <w:tcPr>
            <w:tcW w:w="1480" w:type="dxa"/>
            <w:vAlign w:val="center"/>
          </w:tcPr>
          <w:p w14:paraId="4EFE32AA">
            <w:pPr>
              <w:ind w:firstLine="422"/>
              <w:jc w:val="center"/>
              <w:rPr>
                <w:rFonts w:hint="eastAsia" w:ascii="宋体" w:hAnsi="宋体" w:eastAsia="宋体" w:cs="宋体"/>
                <w:color w:val="auto"/>
                <w:sz w:val="21"/>
                <w:szCs w:val="21"/>
                <w:highlight w:val="none"/>
              </w:rPr>
            </w:pPr>
          </w:p>
        </w:tc>
      </w:tr>
      <w:tr w14:paraId="4D9E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7EAE0656">
            <w:pPr>
              <w:pStyle w:val="23"/>
              <w:spacing w:line="240" w:lineRule="atLeast"/>
              <w:ind w:left="0" w:leftChars="0"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761" w:type="dxa"/>
            <w:vAlign w:val="center"/>
          </w:tcPr>
          <w:p w14:paraId="54E4740D">
            <w:pPr>
              <w:ind w:firstLine="422"/>
              <w:jc w:val="center"/>
              <w:rPr>
                <w:rFonts w:hint="eastAsia" w:ascii="宋体" w:hAnsi="宋体" w:eastAsia="宋体" w:cs="宋体"/>
                <w:color w:val="auto"/>
                <w:sz w:val="21"/>
                <w:szCs w:val="21"/>
                <w:highlight w:val="none"/>
              </w:rPr>
            </w:pPr>
          </w:p>
        </w:tc>
        <w:tc>
          <w:tcPr>
            <w:tcW w:w="2747" w:type="dxa"/>
          </w:tcPr>
          <w:p w14:paraId="558A6ACF">
            <w:pPr>
              <w:ind w:firstLine="422"/>
              <w:jc w:val="center"/>
              <w:rPr>
                <w:rFonts w:hint="eastAsia" w:ascii="宋体" w:hAnsi="宋体" w:eastAsia="宋体" w:cs="宋体"/>
                <w:color w:val="auto"/>
                <w:sz w:val="21"/>
                <w:szCs w:val="21"/>
                <w:highlight w:val="none"/>
              </w:rPr>
            </w:pPr>
          </w:p>
        </w:tc>
        <w:tc>
          <w:tcPr>
            <w:tcW w:w="1480" w:type="dxa"/>
            <w:vAlign w:val="center"/>
          </w:tcPr>
          <w:p w14:paraId="7664AB10">
            <w:pPr>
              <w:ind w:firstLine="422"/>
              <w:jc w:val="center"/>
              <w:rPr>
                <w:rFonts w:hint="eastAsia" w:ascii="宋体" w:hAnsi="宋体" w:eastAsia="宋体" w:cs="宋体"/>
                <w:color w:val="auto"/>
                <w:sz w:val="21"/>
                <w:szCs w:val="21"/>
                <w:highlight w:val="none"/>
              </w:rPr>
            </w:pPr>
          </w:p>
        </w:tc>
        <w:tc>
          <w:tcPr>
            <w:tcW w:w="1480" w:type="dxa"/>
            <w:vAlign w:val="center"/>
          </w:tcPr>
          <w:p w14:paraId="3461AEC2">
            <w:pPr>
              <w:ind w:firstLine="422"/>
              <w:jc w:val="center"/>
              <w:rPr>
                <w:rFonts w:hint="eastAsia" w:ascii="宋体" w:hAnsi="宋体" w:eastAsia="宋体" w:cs="宋体"/>
                <w:color w:val="auto"/>
                <w:sz w:val="21"/>
                <w:szCs w:val="21"/>
                <w:highlight w:val="none"/>
              </w:rPr>
            </w:pPr>
          </w:p>
        </w:tc>
        <w:tc>
          <w:tcPr>
            <w:tcW w:w="1480" w:type="dxa"/>
            <w:vAlign w:val="center"/>
          </w:tcPr>
          <w:p w14:paraId="2CB28201">
            <w:pPr>
              <w:ind w:firstLine="422"/>
              <w:jc w:val="center"/>
              <w:rPr>
                <w:rFonts w:hint="eastAsia" w:ascii="宋体" w:hAnsi="宋体" w:eastAsia="宋体" w:cs="宋体"/>
                <w:color w:val="auto"/>
                <w:sz w:val="21"/>
                <w:szCs w:val="21"/>
                <w:highlight w:val="none"/>
              </w:rPr>
            </w:pPr>
          </w:p>
        </w:tc>
      </w:tr>
      <w:tr w14:paraId="0BBA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7F48DB0B">
            <w:pPr>
              <w:pStyle w:val="23"/>
              <w:spacing w:line="240" w:lineRule="atLeast"/>
              <w:ind w:left="0" w:leftChars="0"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761" w:type="dxa"/>
            <w:vAlign w:val="center"/>
          </w:tcPr>
          <w:p w14:paraId="3FC61F6A">
            <w:pPr>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2747" w:type="dxa"/>
          </w:tcPr>
          <w:p w14:paraId="2DCA6EDE">
            <w:pPr>
              <w:ind w:firstLine="422"/>
              <w:jc w:val="center"/>
              <w:rPr>
                <w:rFonts w:hint="eastAsia" w:ascii="宋体" w:hAnsi="宋体" w:eastAsia="宋体" w:cs="宋体"/>
                <w:color w:val="auto"/>
                <w:sz w:val="21"/>
                <w:szCs w:val="21"/>
                <w:highlight w:val="none"/>
              </w:rPr>
            </w:pPr>
          </w:p>
        </w:tc>
        <w:tc>
          <w:tcPr>
            <w:tcW w:w="1480" w:type="dxa"/>
            <w:vAlign w:val="center"/>
          </w:tcPr>
          <w:p w14:paraId="2CAAB285">
            <w:pPr>
              <w:ind w:firstLine="422"/>
              <w:jc w:val="center"/>
              <w:rPr>
                <w:rFonts w:hint="eastAsia" w:ascii="宋体" w:hAnsi="宋体" w:eastAsia="宋体" w:cs="宋体"/>
                <w:color w:val="auto"/>
                <w:sz w:val="21"/>
                <w:szCs w:val="21"/>
                <w:highlight w:val="none"/>
              </w:rPr>
            </w:pPr>
          </w:p>
        </w:tc>
        <w:tc>
          <w:tcPr>
            <w:tcW w:w="1480" w:type="dxa"/>
            <w:vAlign w:val="center"/>
          </w:tcPr>
          <w:p w14:paraId="3149B5D0">
            <w:pPr>
              <w:ind w:firstLine="422"/>
              <w:jc w:val="center"/>
              <w:rPr>
                <w:rFonts w:hint="eastAsia" w:ascii="宋体" w:hAnsi="宋体" w:eastAsia="宋体" w:cs="宋体"/>
                <w:color w:val="auto"/>
                <w:sz w:val="21"/>
                <w:szCs w:val="21"/>
                <w:highlight w:val="none"/>
              </w:rPr>
            </w:pPr>
          </w:p>
        </w:tc>
        <w:tc>
          <w:tcPr>
            <w:tcW w:w="1480" w:type="dxa"/>
            <w:vAlign w:val="center"/>
          </w:tcPr>
          <w:p w14:paraId="2CE75DA6">
            <w:pPr>
              <w:ind w:firstLine="422"/>
              <w:jc w:val="center"/>
              <w:rPr>
                <w:rFonts w:hint="eastAsia" w:ascii="宋体" w:hAnsi="宋体" w:eastAsia="宋体" w:cs="宋体"/>
                <w:color w:val="auto"/>
                <w:sz w:val="21"/>
                <w:szCs w:val="21"/>
                <w:highlight w:val="none"/>
              </w:rPr>
            </w:pPr>
          </w:p>
        </w:tc>
      </w:tr>
      <w:tr w14:paraId="57C3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2EBD2827">
            <w:pPr>
              <w:pStyle w:val="23"/>
              <w:spacing w:line="240" w:lineRule="atLeast"/>
              <w:ind w:left="0" w:leftChars="0" w:firstLine="420" w:firstLineChars="200"/>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761" w:type="dxa"/>
            <w:vAlign w:val="center"/>
          </w:tcPr>
          <w:p w14:paraId="1419529D">
            <w:pPr>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747" w:type="dxa"/>
          </w:tcPr>
          <w:p w14:paraId="320DCA45">
            <w:pPr>
              <w:ind w:firstLine="422"/>
              <w:jc w:val="center"/>
              <w:rPr>
                <w:rFonts w:hint="eastAsia" w:ascii="宋体" w:hAnsi="宋体" w:eastAsia="宋体" w:cs="宋体"/>
                <w:color w:val="auto"/>
                <w:sz w:val="21"/>
                <w:szCs w:val="21"/>
                <w:highlight w:val="none"/>
              </w:rPr>
            </w:pPr>
          </w:p>
        </w:tc>
        <w:tc>
          <w:tcPr>
            <w:tcW w:w="1480" w:type="dxa"/>
            <w:vAlign w:val="center"/>
          </w:tcPr>
          <w:p w14:paraId="3AB66D9C">
            <w:pPr>
              <w:ind w:firstLine="422"/>
              <w:jc w:val="center"/>
              <w:rPr>
                <w:rFonts w:hint="eastAsia" w:ascii="宋体" w:hAnsi="宋体" w:eastAsia="宋体" w:cs="宋体"/>
                <w:color w:val="auto"/>
                <w:sz w:val="21"/>
                <w:szCs w:val="21"/>
                <w:highlight w:val="none"/>
              </w:rPr>
            </w:pPr>
          </w:p>
        </w:tc>
        <w:tc>
          <w:tcPr>
            <w:tcW w:w="1480" w:type="dxa"/>
            <w:vAlign w:val="center"/>
          </w:tcPr>
          <w:p w14:paraId="60FAB6AA">
            <w:pPr>
              <w:ind w:firstLine="422"/>
              <w:jc w:val="center"/>
              <w:rPr>
                <w:rFonts w:hint="eastAsia" w:ascii="宋体" w:hAnsi="宋体" w:eastAsia="宋体" w:cs="宋体"/>
                <w:color w:val="auto"/>
                <w:sz w:val="21"/>
                <w:szCs w:val="21"/>
                <w:highlight w:val="none"/>
              </w:rPr>
            </w:pPr>
          </w:p>
        </w:tc>
        <w:tc>
          <w:tcPr>
            <w:tcW w:w="1480" w:type="dxa"/>
            <w:vAlign w:val="center"/>
          </w:tcPr>
          <w:p w14:paraId="6512D94F">
            <w:pPr>
              <w:ind w:firstLine="422"/>
              <w:jc w:val="center"/>
              <w:rPr>
                <w:rFonts w:hint="eastAsia" w:ascii="宋体" w:hAnsi="宋体" w:eastAsia="宋体" w:cs="宋体"/>
                <w:color w:val="auto"/>
                <w:sz w:val="21"/>
                <w:szCs w:val="21"/>
                <w:highlight w:val="none"/>
              </w:rPr>
            </w:pPr>
          </w:p>
        </w:tc>
      </w:tr>
      <w:tr w14:paraId="7094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2F1E63FF">
            <w:pPr>
              <w:pStyle w:val="23"/>
              <w:spacing w:line="240" w:lineRule="atLeast"/>
              <w:ind w:left="560" w:firstLine="422"/>
              <w:outlineLvl w:val="0"/>
              <w:rPr>
                <w:rFonts w:hint="eastAsia" w:ascii="宋体" w:hAnsi="宋体" w:eastAsia="宋体" w:cs="宋体"/>
                <w:color w:val="auto"/>
                <w:sz w:val="21"/>
                <w:szCs w:val="21"/>
                <w:highlight w:val="none"/>
              </w:rPr>
            </w:pPr>
          </w:p>
        </w:tc>
        <w:tc>
          <w:tcPr>
            <w:tcW w:w="1761" w:type="dxa"/>
            <w:vAlign w:val="center"/>
          </w:tcPr>
          <w:p w14:paraId="0FDBA15B">
            <w:pPr>
              <w:ind w:firstLine="422"/>
              <w:jc w:val="center"/>
              <w:rPr>
                <w:rFonts w:hint="eastAsia" w:ascii="宋体" w:hAnsi="宋体" w:eastAsia="宋体" w:cs="宋体"/>
                <w:color w:val="auto"/>
                <w:sz w:val="21"/>
                <w:szCs w:val="21"/>
                <w:highlight w:val="none"/>
              </w:rPr>
            </w:pPr>
          </w:p>
        </w:tc>
        <w:tc>
          <w:tcPr>
            <w:tcW w:w="2747" w:type="dxa"/>
          </w:tcPr>
          <w:p w14:paraId="09AEDFA7">
            <w:pPr>
              <w:ind w:firstLine="422"/>
              <w:jc w:val="center"/>
              <w:rPr>
                <w:rFonts w:hint="eastAsia" w:ascii="宋体" w:hAnsi="宋体" w:eastAsia="宋体" w:cs="宋体"/>
                <w:color w:val="auto"/>
                <w:sz w:val="21"/>
                <w:szCs w:val="21"/>
                <w:highlight w:val="none"/>
              </w:rPr>
            </w:pPr>
          </w:p>
        </w:tc>
        <w:tc>
          <w:tcPr>
            <w:tcW w:w="1480" w:type="dxa"/>
            <w:vAlign w:val="center"/>
          </w:tcPr>
          <w:p w14:paraId="7549A1F8">
            <w:pPr>
              <w:ind w:firstLine="422"/>
              <w:jc w:val="center"/>
              <w:rPr>
                <w:rFonts w:hint="eastAsia" w:ascii="宋体" w:hAnsi="宋体" w:eastAsia="宋体" w:cs="宋体"/>
                <w:color w:val="auto"/>
                <w:sz w:val="21"/>
                <w:szCs w:val="21"/>
                <w:highlight w:val="none"/>
              </w:rPr>
            </w:pPr>
          </w:p>
        </w:tc>
        <w:tc>
          <w:tcPr>
            <w:tcW w:w="1480" w:type="dxa"/>
            <w:vAlign w:val="center"/>
          </w:tcPr>
          <w:p w14:paraId="3D0AAF4C">
            <w:pPr>
              <w:ind w:firstLine="422"/>
              <w:jc w:val="center"/>
              <w:rPr>
                <w:rFonts w:hint="eastAsia" w:ascii="宋体" w:hAnsi="宋体" w:eastAsia="宋体" w:cs="宋体"/>
                <w:color w:val="auto"/>
                <w:sz w:val="21"/>
                <w:szCs w:val="21"/>
                <w:highlight w:val="none"/>
              </w:rPr>
            </w:pPr>
          </w:p>
        </w:tc>
        <w:tc>
          <w:tcPr>
            <w:tcW w:w="1480" w:type="dxa"/>
            <w:vAlign w:val="center"/>
          </w:tcPr>
          <w:p w14:paraId="00F3CE4A">
            <w:pPr>
              <w:ind w:firstLine="422"/>
              <w:jc w:val="center"/>
              <w:rPr>
                <w:rFonts w:hint="eastAsia" w:ascii="宋体" w:hAnsi="宋体" w:eastAsia="宋体" w:cs="宋体"/>
                <w:color w:val="auto"/>
                <w:sz w:val="21"/>
                <w:szCs w:val="21"/>
                <w:highlight w:val="none"/>
              </w:rPr>
            </w:pPr>
          </w:p>
        </w:tc>
      </w:tr>
      <w:tr w14:paraId="1EB6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1119" w:type="dxa"/>
            <w:vAlign w:val="center"/>
          </w:tcPr>
          <w:p w14:paraId="5BC184FD">
            <w:pPr>
              <w:pStyle w:val="23"/>
              <w:spacing w:line="240" w:lineRule="atLeast"/>
              <w:ind w:left="560" w:firstLine="422"/>
              <w:outlineLvl w:val="0"/>
              <w:rPr>
                <w:rFonts w:hint="eastAsia" w:ascii="宋体" w:hAnsi="宋体" w:eastAsia="宋体" w:cs="宋体"/>
                <w:color w:val="auto"/>
                <w:sz w:val="21"/>
                <w:szCs w:val="21"/>
                <w:highlight w:val="none"/>
              </w:rPr>
            </w:pPr>
          </w:p>
        </w:tc>
        <w:tc>
          <w:tcPr>
            <w:tcW w:w="1761" w:type="dxa"/>
            <w:vAlign w:val="center"/>
          </w:tcPr>
          <w:p w14:paraId="2AF15907">
            <w:pPr>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7187" w:type="dxa"/>
            <w:gridSpan w:val="4"/>
          </w:tcPr>
          <w:p w14:paraId="0E261AB4">
            <w:pPr>
              <w:ind w:firstLine="422"/>
              <w:jc w:val="center"/>
              <w:rPr>
                <w:rFonts w:hint="eastAsia" w:ascii="宋体" w:hAnsi="宋体" w:eastAsia="宋体" w:cs="宋体"/>
                <w:color w:val="auto"/>
                <w:sz w:val="21"/>
                <w:szCs w:val="21"/>
                <w:highlight w:val="none"/>
              </w:rPr>
            </w:pPr>
          </w:p>
        </w:tc>
      </w:tr>
    </w:tbl>
    <w:p w14:paraId="222A913F">
      <w:pPr>
        <w:pStyle w:val="37"/>
        <w:spacing w:line="360" w:lineRule="auto"/>
        <w:rPr>
          <w:rFonts w:hint="eastAsia" w:ascii="宋体" w:hAnsi="宋体" w:eastAsia="宋体" w:cs="宋体"/>
          <w:color w:val="auto"/>
          <w:sz w:val="24"/>
          <w:szCs w:val="24"/>
          <w:highlight w:val="none"/>
        </w:rPr>
      </w:pPr>
    </w:p>
    <w:p w14:paraId="1412E849">
      <w:pPr>
        <w:pStyle w:val="3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注：1.供应商应完整填写本表。</w:t>
      </w:r>
    </w:p>
    <w:p w14:paraId="6AA8A7DB">
      <w:pPr>
        <w:pStyle w:val="37"/>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2.该表可扩展</w:t>
      </w:r>
      <w:bookmarkStart w:id="156" w:name="OLE_LINK1"/>
      <w:bookmarkStart w:id="157" w:name="OLE_LINK2"/>
      <w:r>
        <w:rPr>
          <w:rFonts w:hint="eastAsia" w:ascii="宋体" w:hAnsi="宋体" w:eastAsia="宋体" w:cs="宋体"/>
          <w:color w:val="auto"/>
          <w:sz w:val="24"/>
          <w:szCs w:val="24"/>
          <w:highlight w:val="none"/>
        </w:rPr>
        <w:t>。</w:t>
      </w:r>
      <w:bookmarkEnd w:id="156"/>
      <w:bookmarkEnd w:id="157"/>
    </w:p>
    <w:p w14:paraId="196F9756">
      <w:pPr>
        <w:pStyle w:val="37"/>
        <w:spacing w:line="360" w:lineRule="auto"/>
        <w:rPr>
          <w:rFonts w:hint="eastAsia" w:ascii="宋体" w:hAnsi="宋体" w:eastAsia="宋体" w:cs="宋体"/>
          <w:color w:val="auto"/>
          <w:sz w:val="24"/>
          <w:szCs w:val="24"/>
          <w:highlight w:val="none"/>
        </w:rPr>
      </w:pPr>
    </w:p>
    <w:p w14:paraId="560DF3C5">
      <w:pPr>
        <w:rPr>
          <w:rFonts w:hint="eastAsia" w:ascii="宋体" w:hAnsi="宋体" w:eastAsia="宋体" w:cs="宋体"/>
          <w:color w:val="auto"/>
          <w:highlight w:val="none"/>
        </w:rPr>
      </w:pPr>
    </w:p>
    <w:p w14:paraId="2081D3A9">
      <w:pPr>
        <w:rPr>
          <w:rFonts w:hint="eastAsia" w:ascii="宋体" w:hAnsi="宋体" w:eastAsia="宋体" w:cs="宋体"/>
          <w:color w:val="auto"/>
          <w:highlight w:val="none"/>
        </w:rPr>
      </w:pPr>
    </w:p>
    <w:p w14:paraId="5AA2F5A2">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供应商名称（公章）或自然人签署：</w:t>
      </w:r>
    </w:p>
    <w:p w14:paraId="1F2AA7F4">
      <w:pPr>
        <w:spacing w:line="360" w:lineRule="auto"/>
        <w:ind w:right="48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CFF402D">
      <w:pPr>
        <w:snapToGrid w:val="0"/>
        <w:spacing w:line="360" w:lineRule="auto"/>
        <w:ind w:firstLine="480" w:firstLineChars="200"/>
        <w:rPr>
          <w:rFonts w:hint="eastAsia" w:ascii="宋体" w:hAnsi="宋体" w:eastAsia="宋体" w:cs="宋体"/>
          <w:color w:val="auto"/>
          <w:sz w:val="24"/>
          <w:szCs w:val="24"/>
          <w:highlight w:val="none"/>
          <w:bdr w:val="single" w:color="auto" w:sz="4" w:space="0"/>
        </w:rPr>
        <w:sectPr>
          <w:headerReference r:id="rId14" w:type="default"/>
          <w:pgSz w:w="11907" w:h="16840"/>
          <w:pgMar w:top="1134" w:right="1191" w:bottom="1134" w:left="1304" w:header="851" w:footer="992" w:gutter="0"/>
          <w:cols w:space="720" w:num="1"/>
          <w:rtlGutter w:val="1"/>
          <w:docGrid w:linePitch="380" w:charSpace="-5735"/>
        </w:sectPr>
      </w:pPr>
    </w:p>
    <w:p w14:paraId="772D41CB">
      <w:pPr>
        <w:pStyle w:val="4"/>
        <w:spacing w:before="0" w:after="0" w:line="440" w:lineRule="exact"/>
        <w:ind w:firstLine="480"/>
        <w:rPr>
          <w:rFonts w:hint="eastAsia" w:ascii="宋体" w:hAnsi="宋体" w:eastAsia="宋体" w:cs="宋体"/>
          <w:color w:val="auto"/>
          <w:sz w:val="24"/>
          <w:szCs w:val="24"/>
          <w:highlight w:val="none"/>
        </w:rPr>
      </w:pPr>
      <w:bookmarkStart w:id="158" w:name="_Toc342913420"/>
      <w:bookmarkStart w:id="159" w:name="_Toc313008357"/>
      <w:bookmarkStart w:id="160" w:name="_Toc313888361"/>
      <w:bookmarkStart w:id="161" w:name="_Toc499576265"/>
      <w:bookmarkStart w:id="162" w:name="_Toc22123"/>
      <w:bookmarkStart w:id="163" w:name="_Toc28589"/>
      <w:r>
        <w:rPr>
          <w:rFonts w:hint="eastAsia" w:ascii="宋体" w:hAnsi="宋体" w:eastAsia="宋体" w:cs="宋体"/>
          <w:color w:val="auto"/>
          <w:sz w:val="24"/>
          <w:szCs w:val="24"/>
          <w:highlight w:val="none"/>
        </w:rPr>
        <w:t>二、服务部分</w:t>
      </w:r>
      <w:bookmarkEnd w:id="158"/>
      <w:bookmarkEnd w:id="159"/>
      <w:bookmarkEnd w:id="160"/>
      <w:bookmarkEnd w:id="161"/>
      <w:bookmarkEnd w:id="162"/>
      <w:bookmarkEnd w:id="163"/>
    </w:p>
    <w:p w14:paraId="221779B1">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（一）服务方案</w:t>
      </w:r>
    </w:p>
    <w:p w14:paraId="56308B5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（二）服务响应偏离表</w:t>
      </w:r>
    </w:p>
    <w:p w14:paraId="50E52998">
      <w:pPr>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采购执行编号：</w:t>
      </w:r>
      <w:r>
        <w:rPr>
          <w:rFonts w:hint="eastAsia" w:ascii="宋体" w:hAnsi="宋体" w:eastAsia="宋体" w:cs="宋体"/>
          <w:color w:val="auto"/>
          <w:sz w:val="24"/>
          <w:szCs w:val="28"/>
          <w:highlight w:val="none"/>
        </w:rPr>
        <w:t xml:space="preserve">                                </w:t>
      </w:r>
    </w:p>
    <w:p w14:paraId="557B694A">
      <w:pPr>
        <w:tabs>
          <w:tab w:val="left" w:pos="6300"/>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8"/>
          <w:highlight w:val="none"/>
        </w:rPr>
        <w:t>项目名称：</w:t>
      </w:r>
    </w:p>
    <w:tbl>
      <w:tblPr>
        <w:tblStyle w:val="57"/>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6A2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9919C98">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58" w:type="dxa"/>
            <w:vAlign w:val="center"/>
          </w:tcPr>
          <w:p w14:paraId="6DA7EA36">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w:t>
            </w:r>
          </w:p>
        </w:tc>
        <w:tc>
          <w:tcPr>
            <w:tcW w:w="2759" w:type="dxa"/>
            <w:vAlign w:val="center"/>
          </w:tcPr>
          <w:p w14:paraId="26DB0DA7">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067" w:type="dxa"/>
            <w:vAlign w:val="center"/>
          </w:tcPr>
          <w:p w14:paraId="6E82D55D">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6449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9FEB05E">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658" w:type="dxa"/>
            <w:vAlign w:val="center"/>
          </w:tcPr>
          <w:p w14:paraId="5E9F16A4">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759" w:type="dxa"/>
            <w:vAlign w:val="center"/>
          </w:tcPr>
          <w:p w14:paraId="2F1CA4E5">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067" w:type="dxa"/>
            <w:vAlign w:val="center"/>
          </w:tcPr>
          <w:p w14:paraId="747B0B00">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r>
      <w:tr w14:paraId="34D0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7D88D7">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658" w:type="dxa"/>
            <w:vAlign w:val="center"/>
          </w:tcPr>
          <w:p w14:paraId="70A46039">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759" w:type="dxa"/>
            <w:vAlign w:val="center"/>
          </w:tcPr>
          <w:p w14:paraId="1627CDE2">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067" w:type="dxa"/>
            <w:vAlign w:val="center"/>
          </w:tcPr>
          <w:p w14:paraId="036DE08B">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r>
      <w:tr w14:paraId="62F35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8E51C78">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658" w:type="dxa"/>
            <w:vAlign w:val="center"/>
          </w:tcPr>
          <w:p w14:paraId="3E4BB6CF">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759" w:type="dxa"/>
            <w:vAlign w:val="center"/>
          </w:tcPr>
          <w:p w14:paraId="76D74F27">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067" w:type="dxa"/>
            <w:vAlign w:val="center"/>
          </w:tcPr>
          <w:p w14:paraId="1DBD7958">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r>
      <w:tr w14:paraId="7D2B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4AA908">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658" w:type="dxa"/>
            <w:vAlign w:val="center"/>
          </w:tcPr>
          <w:p w14:paraId="60FFCA90">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759" w:type="dxa"/>
            <w:vAlign w:val="center"/>
          </w:tcPr>
          <w:p w14:paraId="52BA2015">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067" w:type="dxa"/>
            <w:vAlign w:val="center"/>
          </w:tcPr>
          <w:p w14:paraId="181F8A24">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r>
      <w:tr w14:paraId="3395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0CB8BFD">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658" w:type="dxa"/>
            <w:vAlign w:val="center"/>
          </w:tcPr>
          <w:p w14:paraId="70EB2C12">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759" w:type="dxa"/>
            <w:vAlign w:val="center"/>
          </w:tcPr>
          <w:p w14:paraId="65A3D43B">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067" w:type="dxa"/>
            <w:vAlign w:val="center"/>
          </w:tcPr>
          <w:p w14:paraId="144CA7FB">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r>
      <w:tr w14:paraId="5A4FC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D84CFA7">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658" w:type="dxa"/>
            <w:vAlign w:val="center"/>
          </w:tcPr>
          <w:p w14:paraId="16F851D5">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759" w:type="dxa"/>
            <w:vAlign w:val="center"/>
          </w:tcPr>
          <w:p w14:paraId="32C2776F">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067" w:type="dxa"/>
            <w:vAlign w:val="center"/>
          </w:tcPr>
          <w:p w14:paraId="093308E7">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r>
      <w:tr w14:paraId="727B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87E48CD">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658" w:type="dxa"/>
            <w:vAlign w:val="center"/>
          </w:tcPr>
          <w:p w14:paraId="04E41F78">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759" w:type="dxa"/>
            <w:vAlign w:val="center"/>
          </w:tcPr>
          <w:p w14:paraId="22B9CBB6">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c>
          <w:tcPr>
            <w:tcW w:w="2067" w:type="dxa"/>
            <w:vAlign w:val="center"/>
          </w:tcPr>
          <w:p w14:paraId="5EEB7915">
            <w:pPr>
              <w:tabs>
                <w:tab w:val="left" w:pos="6300"/>
              </w:tabs>
              <w:snapToGrid w:val="0"/>
              <w:spacing w:line="500" w:lineRule="exact"/>
              <w:ind w:firstLine="422"/>
              <w:jc w:val="center"/>
              <w:outlineLvl w:val="0"/>
              <w:rPr>
                <w:rFonts w:hint="eastAsia" w:ascii="宋体" w:hAnsi="宋体" w:eastAsia="宋体" w:cs="宋体"/>
                <w:color w:val="auto"/>
                <w:sz w:val="21"/>
                <w:szCs w:val="21"/>
                <w:highlight w:val="none"/>
              </w:rPr>
            </w:pPr>
          </w:p>
        </w:tc>
      </w:tr>
    </w:tbl>
    <w:p w14:paraId="2A5F683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F57D8A4">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、本表即为对本项目“第二篇  采购服务需求”进行比较和响应；</w:t>
      </w:r>
    </w:p>
    <w:p w14:paraId="22D429B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必须按照竞争性磋商要求逐条如实填写，根据响应情况在“差异说明”项填写正偏离或负偏离及原因，完全符合的填写“无差异”，如未逐条填写或未填写差异说明，但在响应文件其余地方能体现响应本磋商文件服务需求，视同“无差异”，不作为废标条款，完全响应的也可以在本页所在处自拟承诺或声明完全响应采购文件的服务需求。</w:t>
      </w:r>
    </w:p>
    <w:p w14:paraId="0C10210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3、本表可扩展。</w:t>
      </w:r>
    </w:p>
    <w:p w14:paraId="12D6D76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4、可附相关支撑材料。（格式自定）</w:t>
      </w:r>
    </w:p>
    <w:p w14:paraId="7725FB2A">
      <w:pPr>
        <w:pStyle w:val="4"/>
        <w:spacing w:before="0" w:after="0" w:line="360" w:lineRule="auto"/>
        <w:ind w:firstLine="640"/>
        <w:rPr>
          <w:rFonts w:hint="eastAsia" w:ascii="宋体" w:hAnsi="宋体" w:eastAsia="宋体" w:cs="宋体"/>
          <w:color w:val="auto"/>
          <w:sz w:val="24"/>
          <w:szCs w:val="24"/>
          <w:highlight w:val="none"/>
        </w:rPr>
      </w:pPr>
      <w:r>
        <w:rPr>
          <w:rFonts w:hint="eastAsia" w:ascii="宋体" w:hAnsi="宋体" w:eastAsia="宋体" w:cs="宋体"/>
          <w:b w:val="0"/>
          <w:color w:val="auto"/>
          <w:highlight w:val="none"/>
        </w:rPr>
        <w:br w:type="page"/>
      </w:r>
      <w:bookmarkStart w:id="164" w:name="_Toc313008358"/>
      <w:bookmarkStart w:id="165" w:name="_Toc499576266"/>
      <w:bookmarkStart w:id="166" w:name="_Toc17833"/>
      <w:bookmarkStart w:id="167" w:name="_Toc31222"/>
      <w:bookmarkStart w:id="168" w:name="_Toc342913421"/>
      <w:bookmarkStart w:id="169" w:name="_Toc313888362"/>
      <w:r>
        <w:rPr>
          <w:rFonts w:hint="eastAsia" w:ascii="宋体" w:hAnsi="宋体" w:eastAsia="宋体" w:cs="宋体"/>
          <w:color w:val="auto"/>
          <w:sz w:val="24"/>
          <w:szCs w:val="24"/>
          <w:highlight w:val="none"/>
        </w:rPr>
        <w:t>三、商务部分</w:t>
      </w:r>
      <w:bookmarkEnd w:id="164"/>
      <w:bookmarkEnd w:id="165"/>
      <w:bookmarkEnd w:id="166"/>
      <w:bookmarkEnd w:id="167"/>
      <w:bookmarkEnd w:id="168"/>
      <w:bookmarkEnd w:id="169"/>
    </w:p>
    <w:p w14:paraId="4428C4C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（一）商务要求响应情况：</w:t>
      </w:r>
      <w:bookmarkStart w:id="170" w:name="_Toc283382459"/>
      <w:r>
        <w:rPr>
          <w:rFonts w:hint="eastAsia" w:ascii="宋体" w:hAnsi="宋体" w:eastAsia="宋体" w:cs="宋体"/>
          <w:color w:val="auto"/>
          <w:sz w:val="24"/>
          <w:szCs w:val="24"/>
          <w:highlight w:val="none"/>
        </w:rPr>
        <w:t>服务期、服务地点及验收方式等</w:t>
      </w:r>
    </w:p>
    <w:p w14:paraId="100BAD7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（二）商务响应偏离表</w:t>
      </w:r>
    </w:p>
    <w:p w14:paraId="7122BD57">
      <w:pPr>
        <w:spacing w:line="400" w:lineRule="exact"/>
        <w:ind w:firstLine="3935" w:firstLineChars="1400"/>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1E9BFCBE">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采购执行编号：</w:t>
      </w:r>
      <w:r>
        <w:rPr>
          <w:rFonts w:hint="eastAsia" w:ascii="宋体" w:hAnsi="宋体" w:eastAsia="宋体" w:cs="宋体"/>
          <w:color w:val="auto"/>
          <w:sz w:val="24"/>
          <w:szCs w:val="28"/>
          <w:highlight w:val="none"/>
        </w:rPr>
        <w:t xml:space="preserve">                                </w:t>
      </w:r>
    </w:p>
    <w:p w14:paraId="1F1772F0">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项目名称： </w:t>
      </w:r>
    </w:p>
    <w:tbl>
      <w:tblPr>
        <w:tblStyle w:val="5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E77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B2FA70B">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序号</w:t>
            </w:r>
          </w:p>
        </w:tc>
        <w:tc>
          <w:tcPr>
            <w:tcW w:w="3179" w:type="dxa"/>
            <w:vAlign w:val="center"/>
          </w:tcPr>
          <w:p w14:paraId="79BC595E">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磋商项目商务需求</w:t>
            </w:r>
          </w:p>
        </w:tc>
        <w:tc>
          <w:tcPr>
            <w:tcW w:w="2434" w:type="dxa"/>
            <w:vAlign w:val="center"/>
          </w:tcPr>
          <w:p w14:paraId="67F5F1AF">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响应情况</w:t>
            </w:r>
          </w:p>
        </w:tc>
        <w:tc>
          <w:tcPr>
            <w:tcW w:w="2355" w:type="dxa"/>
            <w:vAlign w:val="center"/>
          </w:tcPr>
          <w:p w14:paraId="420A1091">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差异说明</w:t>
            </w:r>
          </w:p>
        </w:tc>
      </w:tr>
      <w:tr w14:paraId="3FBA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4C1209">
            <w:pPr>
              <w:spacing w:line="500" w:lineRule="exact"/>
              <w:ind w:firstLine="600" w:firstLineChars="250"/>
              <w:rPr>
                <w:rFonts w:hint="eastAsia" w:ascii="宋体" w:hAnsi="宋体" w:eastAsia="宋体" w:cs="宋体"/>
                <w:color w:val="auto"/>
                <w:sz w:val="24"/>
                <w:szCs w:val="28"/>
                <w:highlight w:val="none"/>
              </w:rPr>
            </w:pPr>
          </w:p>
        </w:tc>
        <w:tc>
          <w:tcPr>
            <w:tcW w:w="3179" w:type="dxa"/>
            <w:vAlign w:val="center"/>
          </w:tcPr>
          <w:p w14:paraId="091A2279">
            <w:pPr>
              <w:spacing w:line="500" w:lineRule="exact"/>
              <w:ind w:firstLine="600" w:firstLineChars="250"/>
              <w:rPr>
                <w:rFonts w:hint="eastAsia" w:ascii="宋体" w:hAnsi="宋体" w:eastAsia="宋体" w:cs="宋体"/>
                <w:color w:val="auto"/>
                <w:sz w:val="24"/>
                <w:szCs w:val="28"/>
                <w:highlight w:val="none"/>
              </w:rPr>
            </w:pPr>
          </w:p>
        </w:tc>
        <w:tc>
          <w:tcPr>
            <w:tcW w:w="2434" w:type="dxa"/>
            <w:vAlign w:val="center"/>
          </w:tcPr>
          <w:p w14:paraId="271176F3">
            <w:pPr>
              <w:spacing w:line="500" w:lineRule="exact"/>
              <w:ind w:firstLine="600" w:firstLineChars="250"/>
              <w:rPr>
                <w:rFonts w:hint="eastAsia" w:ascii="宋体" w:hAnsi="宋体" w:eastAsia="宋体" w:cs="宋体"/>
                <w:color w:val="auto"/>
                <w:sz w:val="24"/>
                <w:szCs w:val="28"/>
                <w:highlight w:val="none"/>
              </w:rPr>
            </w:pPr>
          </w:p>
        </w:tc>
        <w:tc>
          <w:tcPr>
            <w:tcW w:w="2355" w:type="dxa"/>
            <w:vAlign w:val="center"/>
          </w:tcPr>
          <w:p w14:paraId="429C6CB5">
            <w:pPr>
              <w:spacing w:line="500" w:lineRule="exact"/>
              <w:ind w:firstLine="600" w:firstLineChars="250"/>
              <w:rPr>
                <w:rFonts w:hint="eastAsia" w:ascii="宋体" w:hAnsi="宋体" w:eastAsia="宋体" w:cs="宋体"/>
                <w:color w:val="auto"/>
                <w:sz w:val="24"/>
                <w:szCs w:val="28"/>
                <w:highlight w:val="none"/>
              </w:rPr>
            </w:pPr>
          </w:p>
        </w:tc>
      </w:tr>
      <w:tr w14:paraId="3385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1FE9D2">
            <w:pPr>
              <w:spacing w:line="500" w:lineRule="exact"/>
              <w:ind w:firstLine="600" w:firstLineChars="250"/>
              <w:rPr>
                <w:rFonts w:hint="eastAsia" w:ascii="宋体" w:hAnsi="宋体" w:eastAsia="宋体" w:cs="宋体"/>
                <w:color w:val="auto"/>
                <w:sz w:val="24"/>
                <w:szCs w:val="28"/>
                <w:highlight w:val="none"/>
              </w:rPr>
            </w:pPr>
          </w:p>
        </w:tc>
        <w:tc>
          <w:tcPr>
            <w:tcW w:w="3179" w:type="dxa"/>
            <w:vAlign w:val="center"/>
          </w:tcPr>
          <w:p w14:paraId="12FC91FF">
            <w:pPr>
              <w:spacing w:line="500" w:lineRule="exact"/>
              <w:ind w:firstLine="600" w:firstLineChars="250"/>
              <w:rPr>
                <w:rFonts w:hint="eastAsia" w:ascii="宋体" w:hAnsi="宋体" w:eastAsia="宋体" w:cs="宋体"/>
                <w:color w:val="auto"/>
                <w:sz w:val="24"/>
                <w:szCs w:val="28"/>
                <w:highlight w:val="none"/>
              </w:rPr>
            </w:pPr>
          </w:p>
        </w:tc>
        <w:tc>
          <w:tcPr>
            <w:tcW w:w="2434" w:type="dxa"/>
            <w:vAlign w:val="center"/>
          </w:tcPr>
          <w:p w14:paraId="3DB04A24">
            <w:pPr>
              <w:spacing w:line="500" w:lineRule="exact"/>
              <w:ind w:firstLine="600" w:firstLineChars="250"/>
              <w:rPr>
                <w:rFonts w:hint="eastAsia" w:ascii="宋体" w:hAnsi="宋体" w:eastAsia="宋体" w:cs="宋体"/>
                <w:color w:val="auto"/>
                <w:sz w:val="24"/>
                <w:szCs w:val="28"/>
                <w:highlight w:val="none"/>
              </w:rPr>
            </w:pPr>
          </w:p>
        </w:tc>
        <w:tc>
          <w:tcPr>
            <w:tcW w:w="2355" w:type="dxa"/>
            <w:vAlign w:val="center"/>
          </w:tcPr>
          <w:p w14:paraId="2352431D">
            <w:pPr>
              <w:spacing w:line="500" w:lineRule="exact"/>
              <w:ind w:firstLine="600" w:firstLineChars="250"/>
              <w:rPr>
                <w:rFonts w:hint="eastAsia" w:ascii="宋体" w:hAnsi="宋体" w:eastAsia="宋体" w:cs="宋体"/>
                <w:color w:val="auto"/>
                <w:sz w:val="24"/>
                <w:szCs w:val="28"/>
                <w:highlight w:val="none"/>
              </w:rPr>
            </w:pPr>
          </w:p>
        </w:tc>
      </w:tr>
      <w:tr w14:paraId="13A3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F92AB4E">
            <w:pPr>
              <w:spacing w:line="500" w:lineRule="exact"/>
              <w:ind w:firstLine="600" w:firstLineChars="250"/>
              <w:rPr>
                <w:rFonts w:hint="eastAsia" w:ascii="宋体" w:hAnsi="宋体" w:eastAsia="宋体" w:cs="宋体"/>
                <w:color w:val="auto"/>
                <w:sz w:val="24"/>
                <w:szCs w:val="28"/>
                <w:highlight w:val="none"/>
              </w:rPr>
            </w:pPr>
          </w:p>
        </w:tc>
        <w:tc>
          <w:tcPr>
            <w:tcW w:w="3179" w:type="dxa"/>
            <w:vAlign w:val="center"/>
          </w:tcPr>
          <w:p w14:paraId="71E7EF57">
            <w:pPr>
              <w:spacing w:line="500" w:lineRule="exact"/>
              <w:ind w:firstLine="600" w:firstLineChars="250"/>
              <w:rPr>
                <w:rFonts w:hint="eastAsia" w:ascii="宋体" w:hAnsi="宋体" w:eastAsia="宋体" w:cs="宋体"/>
                <w:color w:val="auto"/>
                <w:sz w:val="24"/>
                <w:szCs w:val="28"/>
                <w:highlight w:val="none"/>
              </w:rPr>
            </w:pPr>
          </w:p>
        </w:tc>
        <w:tc>
          <w:tcPr>
            <w:tcW w:w="2434" w:type="dxa"/>
            <w:vAlign w:val="center"/>
          </w:tcPr>
          <w:p w14:paraId="64393DE9">
            <w:pPr>
              <w:spacing w:line="500" w:lineRule="exact"/>
              <w:ind w:firstLine="600" w:firstLineChars="250"/>
              <w:rPr>
                <w:rFonts w:hint="eastAsia" w:ascii="宋体" w:hAnsi="宋体" w:eastAsia="宋体" w:cs="宋体"/>
                <w:color w:val="auto"/>
                <w:sz w:val="24"/>
                <w:szCs w:val="28"/>
                <w:highlight w:val="none"/>
              </w:rPr>
            </w:pPr>
          </w:p>
        </w:tc>
        <w:tc>
          <w:tcPr>
            <w:tcW w:w="2355" w:type="dxa"/>
            <w:vAlign w:val="center"/>
          </w:tcPr>
          <w:p w14:paraId="0DB668BC">
            <w:pPr>
              <w:spacing w:line="500" w:lineRule="exact"/>
              <w:ind w:firstLine="600" w:firstLineChars="250"/>
              <w:rPr>
                <w:rFonts w:hint="eastAsia" w:ascii="宋体" w:hAnsi="宋体" w:eastAsia="宋体" w:cs="宋体"/>
                <w:color w:val="auto"/>
                <w:sz w:val="24"/>
                <w:szCs w:val="28"/>
                <w:highlight w:val="none"/>
              </w:rPr>
            </w:pPr>
          </w:p>
        </w:tc>
      </w:tr>
      <w:tr w14:paraId="6B37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99D2E0">
            <w:pPr>
              <w:spacing w:line="500" w:lineRule="exact"/>
              <w:ind w:firstLine="600" w:firstLineChars="250"/>
              <w:rPr>
                <w:rFonts w:hint="eastAsia" w:ascii="宋体" w:hAnsi="宋体" w:eastAsia="宋体" w:cs="宋体"/>
                <w:color w:val="auto"/>
                <w:sz w:val="24"/>
                <w:szCs w:val="28"/>
                <w:highlight w:val="none"/>
              </w:rPr>
            </w:pPr>
          </w:p>
        </w:tc>
        <w:tc>
          <w:tcPr>
            <w:tcW w:w="3179" w:type="dxa"/>
            <w:vAlign w:val="center"/>
          </w:tcPr>
          <w:p w14:paraId="09AC641C">
            <w:pPr>
              <w:spacing w:line="500" w:lineRule="exact"/>
              <w:ind w:firstLine="600" w:firstLineChars="250"/>
              <w:rPr>
                <w:rFonts w:hint="eastAsia" w:ascii="宋体" w:hAnsi="宋体" w:eastAsia="宋体" w:cs="宋体"/>
                <w:color w:val="auto"/>
                <w:sz w:val="24"/>
                <w:szCs w:val="28"/>
                <w:highlight w:val="none"/>
              </w:rPr>
            </w:pPr>
          </w:p>
        </w:tc>
        <w:tc>
          <w:tcPr>
            <w:tcW w:w="2434" w:type="dxa"/>
            <w:vAlign w:val="center"/>
          </w:tcPr>
          <w:p w14:paraId="66AE67CB">
            <w:pPr>
              <w:spacing w:line="500" w:lineRule="exact"/>
              <w:ind w:firstLine="600" w:firstLineChars="250"/>
              <w:rPr>
                <w:rFonts w:hint="eastAsia" w:ascii="宋体" w:hAnsi="宋体" w:eastAsia="宋体" w:cs="宋体"/>
                <w:color w:val="auto"/>
                <w:sz w:val="24"/>
                <w:szCs w:val="28"/>
                <w:highlight w:val="none"/>
              </w:rPr>
            </w:pPr>
          </w:p>
        </w:tc>
        <w:tc>
          <w:tcPr>
            <w:tcW w:w="2355" w:type="dxa"/>
            <w:vAlign w:val="center"/>
          </w:tcPr>
          <w:p w14:paraId="4673DD30">
            <w:pPr>
              <w:spacing w:line="500" w:lineRule="exact"/>
              <w:ind w:firstLine="600" w:firstLineChars="250"/>
              <w:rPr>
                <w:rFonts w:hint="eastAsia" w:ascii="宋体" w:hAnsi="宋体" w:eastAsia="宋体" w:cs="宋体"/>
                <w:color w:val="auto"/>
                <w:sz w:val="24"/>
                <w:szCs w:val="28"/>
                <w:highlight w:val="none"/>
              </w:rPr>
            </w:pPr>
          </w:p>
        </w:tc>
      </w:tr>
      <w:tr w14:paraId="6BD5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F0A3BB">
            <w:pPr>
              <w:spacing w:line="500" w:lineRule="exact"/>
              <w:ind w:firstLine="600" w:firstLineChars="250"/>
              <w:rPr>
                <w:rFonts w:hint="eastAsia" w:ascii="宋体" w:hAnsi="宋体" w:eastAsia="宋体" w:cs="宋体"/>
                <w:color w:val="auto"/>
                <w:sz w:val="24"/>
                <w:szCs w:val="28"/>
                <w:highlight w:val="none"/>
              </w:rPr>
            </w:pPr>
          </w:p>
        </w:tc>
        <w:tc>
          <w:tcPr>
            <w:tcW w:w="3179" w:type="dxa"/>
            <w:vAlign w:val="center"/>
          </w:tcPr>
          <w:p w14:paraId="6C49E1FE">
            <w:pPr>
              <w:spacing w:line="500" w:lineRule="exact"/>
              <w:ind w:firstLine="600" w:firstLineChars="250"/>
              <w:rPr>
                <w:rFonts w:hint="eastAsia" w:ascii="宋体" w:hAnsi="宋体" w:eastAsia="宋体" w:cs="宋体"/>
                <w:color w:val="auto"/>
                <w:sz w:val="24"/>
                <w:szCs w:val="28"/>
                <w:highlight w:val="none"/>
              </w:rPr>
            </w:pPr>
          </w:p>
        </w:tc>
        <w:tc>
          <w:tcPr>
            <w:tcW w:w="2434" w:type="dxa"/>
            <w:vAlign w:val="center"/>
          </w:tcPr>
          <w:p w14:paraId="25AA68A7">
            <w:pPr>
              <w:spacing w:line="500" w:lineRule="exact"/>
              <w:ind w:firstLine="600" w:firstLineChars="250"/>
              <w:rPr>
                <w:rFonts w:hint="eastAsia" w:ascii="宋体" w:hAnsi="宋体" w:eastAsia="宋体" w:cs="宋体"/>
                <w:color w:val="auto"/>
                <w:sz w:val="24"/>
                <w:szCs w:val="28"/>
                <w:highlight w:val="none"/>
              </w:rPr>
            </w:pPr>
          </w:p>
        </w:tc>
        <w:tc>
          <w:tcPr>
            <w:tcW w:w="2355" w:type="dxa"/>
            <w:vAlign w:val="center"/>
          </w:tcPr>
          <w:p w14:paraId="4C8FB484">
            <w:pPr>
              <w:spacing w:line="500" w:lineRule="exact"/>
              <w:ind w:firstLine="600" w:firstLineChars="250"/>
              <w:rPr>
                <w:rFonts w:hint="eastAsia" w:ascii="宋体" w:hAnsi="宋体" w:eastAsia="宋体" w:cs="宋体"/>
                <w:color w:val="auto"/>
                <w:sz w:val="24"/>
                <w:szCs w:val="28"/>
                <w:highlight w:val="none"/>
              </w:rPr>
            </w:pPr>
          </w:p>
        </w:tc>
      </w:tr>
    </w:tbl>
    <w:p w14:paraId="747485FD">
      <w:pPr>
        <w:spacing w:line="500" w:lineRule="exact"/>
        <w:ind w:firstLine="600" w:firstLineChars="250"/>
        <w:rPr>
          <w:rFonts w:hint="eastAsia" w:ascii="宋体" w:hAnsi="宋体" w:eastAsia="宋体" w:cs="宋体"/>
          <w:color w:val="auto"/>
          <w:sz w:val="24"/>
          <w:szCs w:val="28"/>
          <w:highlight w:val="none"/>
        </w:rPr>
      </w:pPr>
    </w:p>
    <w:p w14:paraId="09F3335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E9D63D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、本表即为对本项目“第三篇 采购商务需求”进行比较和响应；</w:t>
      </w:r>
    </w:p>
    <w:p w14:paraId="1999478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必须按照竞争性磋商要求逐条如实填写，根据响应情况在“差异说明”项填写正偏离或负偏离及原因，完全符合的填写“无差异”，如未逐条填写或未填写差异说明，但在响应文件其余地方能体现响应本磋商文件商务需求，视同“无差异”，不作为废标条款，完全响应的也可以在本页所在处自拟承诺或声明完全响应采购文件的商务需求。</w:t>
      </w:r>
    </w:p>
    <w:p w14:paraId="7D83913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3、本表可扩展。</w:t>
      </w:r>
    </w:p>
    <w:p w14:paraId="4FEA22A3">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29F64EEA">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（三）其它优惠服务承诺</w:t>
      </w:r>
    </w:p>
    <w:p w14:paraId="1BDA4929">
      <w:pPr>
        <w:pStyle w:val="4"/>
        <w:spacing w:before="0" w:after="0" w:line="360" w:lineRule="auto"/>
        <w:ind w:firstLine="480"/>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End w:id="170"/>
      <w:bookmarkStart w:id="171" w:name="_Toc499576267"/>
      <w:bookmarkStart w:id="172" w:name="_Toc29768"/>
      <w:bookmarkStart w:id="173" w:name="_Toc313008359"/>
      <w:bookmarkStart w:id="174" w:name="_Toc342913422"/>
      <w:bookmarkStart w:id="175" w:name="_Toc313888363"/>
      <w:bookmarkStart w:id="176" w:name="_Toc20477"/>
      <w:r>
        <w:rPr>
          <w:rFonts w:hint="eastAsia" w:ascii="宋体" w:hAnsi="宋体" w:eastAsia="宋体" w:cs="宋体"/>
          <w:color w:val="auto"/>
          <w:sz w:val="24"/>
          <w:szCs w:val="24"/>
          <w:highlight w:val="none"/>
        </w:rPr>
        <w:t>四、资格条件及其他</w:t>
      </w:r>
      <w:bookmarkEnd w:id="171"/>
      <w:bookmarkEnd w:id="172"/>
      <w:bookmarkEnd w:id="173"/>
      <w:bookmarkEnd w:id="174"/>
      <w:bookmarkEnd w:id="175"/>
      <w:bookmarkEnd w:id="176"/>
    </w:p>
    <w:p w14:paraId="68D49211">
      <w:pPr>
        <w:tabs>
          <w:tab w:val="left" w:pos="6300"/>
        </w:tabs>
        <w:snapToGrid w:val="0"/>
        <w:spacing w:line="500" w:lineRule="exact"/>
        <w:ind w:firstLine="482"/>
        <w:rPr>
          <w:rFonts w:hint="eastAsia" w:ascii="宋体" w:hAnsi="宋体" w:eastAsia="宋体" w:cs="宋体"/>
          <w:color w:val="auto"/>
          <w:szCs w:val="28"/>
          <w:highlight w:val="none"/>
        </w:rPr>
      </w:pPr>
      <w:r>
        <w:rPr>
          <w:rFonts w:hint="eastAsia" w:ascii="宋体" w:hAnsi="宋体" w:eastAsia="宋体" w:cs="宋体"/>
          <w:color w:val="auto"/>
          <w:szCs w:val="28"/>
          <w:highlight w:val="none"/>
        </w:rPr>
        <w:t>（一）法人营业执照（副本）或事业单位法人证书（副本）或个体工商户营业执照或有效的自然人身份证明或社会团体法人登记证书复印件</w:t>
      </w:r>
    </w:p>
    <w:p w14:paraId="7C261E3A">
      <w:pPr>
        <w:tabs>
          <w:tab w:val="left" w:pos="6300"/>
        </w:tabs>
        <w:snapToGrid w:val="0"/>
        <w:spacing w:line="500" w:lineRule="exact"/>
        <w:rPr>
          <w:rFonts w:hint="eastAsia" w:ascii="宋体" w:hAnsi="宋体" w:eastAsia="宋体" w:cs="宋体"/>
          <w:color w:val="auto"/>
          <w:highlight w:val="none"/>
        </w:rPr>
      </w:pPr>
    </w:p>
    <w:p w14:paraId="3B36F85C">
      <w:pPr>
        <w:tabs>
          <w:tab w:val="left" w:pos="6300"/>
        </w:tabs>
        <w:snapToGrid w:val="0"/>
        <w:spacing w:line="500" w:lineRule="exact"/>
        <w:ind w:firstLine="482"/>
        <w:rPr>
          <w:rFonts w:hint="eastAsia" w:ascii="宋体" w:hAnsi="宋体" w:eastAsia="宋体" w:cs="宋体"/>
          <w:color w:val="auto"/>
          <w:highlight w:val="none"/>
        </w:rPr>
      </w:pPr>
    </w:p>
    <w:p w14:paraId="6B6DEDEB">
      <w:pPr>
        <w:tabs>
          <w:tab w:val="left" w:pos="6300"/>
        </w:tabs>
        <w:snapToGrid w:val="0"/>
        <w:spacing w:line="500" w:lineRule="exact"/>
        <w:ind w:firstLine="482"/>
        <w:rPr>
          <w:rFonts w:hint="eastAsia" w:ascii="宋体" w:hAnsi="宋体" w:eastAsia="宋体" w:cs="宋体"/>
          <w:color w:val="auto"/>
          <w:highlight w:val="none"/>
        </w:rPr>
      </w:pPr>
    </w:p>
    <w:p w14:paraId="2F7F421E">
      <w:pPr>
        <w:widowControl/>
        <w:ind w:firstLine="560" w:firstLineChars="200"/>
        <w:jc w:val="left"/>
        <w:rPr>
          <w:rFonts w:hint="eastAsia" w:ascii="宋体" w:hAnsi="宋体" w:eastAsia="宋体" w:cs="宋体"/>
          <w:color w:val="auto"/>
          <w:highlight w:val="none"/>
        </w:rPr>
      </w:pPr>
    </w:p>
    <w:p w14:paraId="7BA9EDD3">
      <w:pPr>
        <w:widowControl/>
        <w:ind w:firstLine="560" w:firstLineChars="200"/>
        <w:jc w:val="left"/>
        <w:rPr>
          <w:rFonts w:hint="eastAsia" w:ascii="宋体" w:hAnsi="宋体" w:eastAsia="宋体" w:cs="宋体"/>
          <w:color w:val="auto"/>
          <w:highlight w:val="none"/>
        </w:rPr>
      </w:pPr>
    </w:p>
    <w:p w14:paraId="0D5DE5B9">
      <w:pPr>
        <w:widowControl/>
        <w:ind w:firstLine="560" w:firstLineChars="200"/>
        <w:jc w:val="left"/>
        <w:rPr>
          <w:rFonts w:hint="eastAsia" w:ascii="宋体" w:hAnsi="宋体" w:eastAsia="宋体" w:cs="宋体"/>
          <w:color w:val="auto"/>
          <w:highlight w:val="none"/>
        </w:rPr>
      </w:pPr>
    </w:p>
    <w:p w14:paraId="192F4739">
      <w:pPr>
        <w:widowControl/>
        <w:ind w:firstLine="560" w:firstLineChars="200"/>
        <w:jc w:val="left"/>
        <w:rPr>
          <w:rFonts w:hint="eastAsia" w:ascii="宋体" w:hAnsi="宋体" w:eastAsia="宋体" w:cs="宋体"/>
          <w:color w:val="auto"/>
          <w:highlight w:val="none"/>
        </w:rPr>
      </w:pPr>
    </w:p>
    <w:p w14:paraId="1623EFE5">
      <w:pPr>
        <w:widowControl/>
        <w:ind w:firstLine="560" w:firstLineChars="200"/>
        <w:jc w:val="left"/>
        <w:rPr>
          <w:rFonts w:hint="eastAsia" w:ascii="宋体" w:hAnsi="宋体" w:eastAsia="宋体" w:cs="宋体"/>
          <w:color w:val="auto"/>
          <w:highlight w:val="none"/>
        </w:rPr>
      </w:pPr>
    </w:p>
    <w:p w14:paraId="43CAE624">
      <w:pPr>
        <w:widowControl/>
        <w:ind w:firstLine="560" w:firstLineChars="200"/>
        <w:jc w:val="left"/>
        <w:rPr>
          <w:rFonts w:hint="eastAsia" w:ascii="宋体" w:hAnsi="宋体" w:eastAsia="宋体" w:cs="宋体"/>
          <w:color w:val="auto"/>
          <w:highlight w:val="none"/>
        </w:rPr>
      </w:pPr>
    </w:p>
    <w:p w14:paraId="2144F6B5">
      <w:pPr>
        <w:widowControl/>
        <w:ind w:firstLine="560" w:firstLineChars="200"/>
        <w:jc w:val="left"/>
        <w:rPr>
          <w:rFonts w:hint="eastAsia" w:ascii="宋体" w:hAnsi="宋体" w:eastAsia="宋体" w:cs="宋体"/>
          <w:color w:val="auto"/>
          <w:highlight w:val="none"/>
        </w:rPr>
      </w:pPr>
    </w:p>
    <w:p w14:paraId="6CF45744">
      <w:pPr>
        <w:widowControl/>
        <w:ind w:firstLine="560" w:firstLineChars="200"/>
        <w:jc w:val="left"/>
        <w:rPr>
          <w:rFonts w:hint="eastAsia" w:ascii="宋体" w:hAnsi="宋体" w:eastAsia="宋体" w:cs="宋体"/>
          <w:color w:val="auto"/>
          <w:highlight w:val="none"/>
        </w:rPr>
      </w:pPr>
    </w:p>
    <w:p w14:paraId="40B890D7">
      <w:pPr>
        <w:widowControl/>
        <w:ind w:firstLine="560" w:firstLineChars="200"/>
        <w:jc w:val="left"/>
        <w:rPr>
          <w:rFonts w:hint="eastAsia" w:ascii="宋体" w:hAnsi="宋体" w:eastAsia="宋体" w:cs="宋体"/>
          <w:color w:val="auto"/>
          <w:highlight w:val="none"/>
        </w:rPr>
      </w:pPr>
    </w:p>
    <w:p w14:paraId="60A4602F">
      <w:pPr>
        <w:widowControl/>
        <w:ind w:firstLine="560" w:firstLineChars="200"/>
        <w:jc w:val="left"/>
        <w:rPr>
          <w:rFonts w:hint="eastAsia" w:ascii="宋体" w:hAnsi="宋体" w:eastAsia="宋体" w:cs="宋体"/>
          <w:color w:val="auto"/>
          <w:highlight w:val="none"/>
        </w:rPr>
      </w:pPr>
    </w:p>
    <w:p w14:paraId="479C7858">
      <w:pPr>
        <w:pStyle w:val="55"/>
        <w:ind w:firstLine="482"/>
        <w:rPr>
          <w:rFonts w:hint="eastAsia" w:ascii="宋体" w:hAnsi="宋体" w:eastAsia="宋体" w:cs="宋体"/>
          <w:color w:val="auto"/>
          <w:highlight w:val="none"/>
        </w:rPr>
      </w:pPr>
    </w:p>
    <w:p w14:paraId="74F89339">
      <w:pPr>
        <w:pStyle w:val="55"/>
        <w:ind w:firstLine="482"/>
        <w:rPr>
          <w:rFonts w:hint="eastAsia" w:ascii="宋体" w:hAnsi="宋体" w:eastAsia="宋体" w:cs="宋体"/>
          <w:color w:val="auto"/>
          <w:highlight w:val="none"/>
        </w:rPr>
      </w:pPr>
    </w:p>
    <w:p w14:paraId="01D2CE67">
      <w:pPr>
        <w:pStyle w:val="55"/>
        <w:ind w:firstLine="482"/>
        <w:rPr>
          <w:rFonts w:hint="eastAsia" w:ascii="宋体" w:hAnsi="宋体" w:eastAsia="宋体" w:cs="宋体"/>
          <w:color w:val="auto"/>
          <w:highlight w:val="none"/>
        </w:rPr>
      </w:pPr>
    </w:p>
    <w:p w14:paraId="2D14B31F">
      <w:pPr>
        <w:pStyle w:val="55"/>
        <w:ind w:firstLine="482"/>
        <w:rPr>
          <w:rFonts w:hint="eastAsia" w:ascii="宋体" w:hAnsi="宋体" w:eastAsia="宋体" w:cs="宋体"/>
          <w:color w:val="auto"/>
          <w:highlight w:val="none"/>
        </w:rPr>
      </w:pPr>
    </w:p>
    <w:p w14:paraId="214DB105">
      <w:pPr>
        <w:pStyle w:val="55"/>
        <w:ind w:firstLine="482"/>
        <w:rPr>
          <w:rFonts w:hint="eastAsia" w:ascii="宋体" w:hAnsi="宋体" w:eastAsia="宋体" w:cs="宋体"/>
          <w:color w:val="auto"/>
          <w:highlight w:val="none"/>
        </w:rPr>
      </w:pPr>
    </w:p>
    <w:p w14:paraId="16ED86B4">
      <w:pPr>
        <w:pStyle w:val="55"/>
        <w:ind w:firstLine="482"/>
        <w:rPr>
          <w:rFonts w:hint="eastAsia" w:ascii="宋体" w:hAnsi="宋体" w:eastAsia="宋体" w:cs="宋体"/>
          <w:color w:val="auto"/>
          <w:highlight w:val="none"/>
        </w:rPr>
      </w:pPr>
    </w:p>
    <w:p w14:paraId="331FC1CB">
      <w:pPr>
        <w:pStyle w:val="55"/>
        <w:ind w:firstLine="482"/>
        <w:rPr>
          <w:rFonts w:hint="eastAsia" w:ascii="宋体" w:hAnsi="宋体" w:eastAsia="宋体" w:cs="宋体"/>
          <w:color w:val="auto"/>
          <w:highlight w:val="none"/>
        </w:rPr>
      </w:pPr>
    </w:p>
    <w:p w14:paraId="50513B5B">
      <w:pPr>
        <w:pStyle w:val="55"/>
        <w:ind w:firstLine="482"/>
        <w:rPr>
          <w:rFonts w:hint="eastAsia" w:ascii="宋体" w:hAnsi="宋体" w:eastAsia="宋体" w:cs="宋体"/>
          <w:color w:val="auto"/>
          <w:highlight w:val="none"/>
        </w:rPr>
      </w:pPr>
    </w:p>
    <w:p w14:paraId="410C8569">
      <w:pPr>
        <w:pStyle w:val="55"/>
        <w:ind w:firstLine="482"/>
        <w:rPr>
          <w:rFonts w:hint="eastAsia" w:ascii="宋体" w:hAnsi="宋体" w:eastAsia="宋体" w:cs="宋体"/>
          <w:color w:val="auto"/>
          <w:highlight w:val="none"/>
        </w:rPr>
      </w:pPr>
    </w:p>
    <w:p w14:paraId="75B2E4AF">
      <w:pPr>
        <w:pStyle w:val="55"/>
        <w:ind w:firstLine="482"/>
        <w:rPr>
          <w:rFonts w:hint="eastAsia" w:ascii="宋体" w:hAnsi="宋体" w:eastAsia="宋体" w:cs="宋体"/>
          <w:color w:val="auto"/>
          <w:highlight w:val="none"/>
        </w:rPr>
      </w:pPr>
    </w:p>
    <w:p w14:paraId="0A5ED2B5">
      <w:pPr>
        <w:widowControl/>
        <w:jc w:val="left"/>
        <w:rPr>
          <w:rFonts w:hint="eastAsia" w:ascii="宋体" w:hAnsi="宋体" w:eastAsia="宋体" w:cs="宋体"/>
          <w:color w:val="auto"/>
          <w:highlight w:val="none"/>
        </w:rPr>
      </w:pPr>
    </w:p>
    <w:p w14:paraId="39B41A5C">
      <w:pPr>
        <w:widowControl/>
        <w:ind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（二）法定代表人身份证明书（格式）</w:t>
      </w:r>
    </w:p>
    <w:p w14:paraId="25F5147D">
      <w:pPr>
        <w:tabs>
          <w:tab w:val="left" w:pos="6300"/>
        </w:tabs>
        <w:snapToGrid w:val="0"/>
        <w:spacing w:line="500" w:lineRule="exact"/>
        <w:ind w:firstLine="482"/>
        <w:rPr>
          <w:rFonts w:hint="eastAsia" w:ascii="宋体" w:hAnsi="宋体" w:eastAsia="宋体" w:cs="宋体"/>
          <w:color w:val="auto"/>
          <w:sz w:val="24"/>
          <w:highlight w:val="none"/>
        </w:rPr>
      </w:pPr>
    </w:p>
    <w:p w14:paraId="5E3C5D3E">
      <w:pPr>
        <w:tabs>
          <w:tab w:val="left" w:pos="6300"/>
        </w:tabs>
        <w:snapToGrid w:val="0"/>
        <w:spacing w:line="500" w:lineRule="exact"/>
        <w:ind w:firstLine="48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49CD4569">
      <w:pPr>
        <w:rPr>
          <w:rFonts w:hint="eastAsia" w:ascii="宋体" w:hAnsi="宋体" w:eastAsia="宋体" w:cs="宋体"/>
          <w:color w:val="auto"/>
          <w:highlight w:val="none"/>
        </w:rPr>
      </w:pPr>
    </w:p>
    <w:p w14:paraId="5C7CBCAE">
      <w:pPr>
        <w:pStyle w:val="55"/>
        <w:ind w:firstLine="482"/>
        <w:rPr>
          <w:rFonts w:hint="eastAsia" w:ascii="宋体" w:hAnsi="宋体" w:eastAsia="宋体" w:cs="宋体"/>
          <w:color w:val="auto"/>
          <w:highlight w:val="none"/>
        </w:rPr>
      </w:pPr>
    </w:p>
    <w:p w14:paraId="256F3BAF">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（采购代理机构名称）：</w:t>
      </w:r>
    </w:p>
    <w:p w14:paraId="45531487">
      <w:pPr>
        <w:tabs>
          <w:tab w:val="left" w:pos="6300"/>
        </w:tabs>
        <w:snapToGrid w:val="0"/>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（职务名称）</w:t>
      </w:r>
      <w:r>
        <w:rPr>
          <w:rFonts w:hint="eastAsia" w:ascii="宋体" w:hAnsi="宋体" w:eastAsia="宋体" w:cs="宋体"/>
          <w:color w:val="auto"/>
          <w:sz w:val="24"/>
          <w:highlight w:val="none"/>
        </w:rPr>
        <w:t>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7749256C">
      <w:pPr>
        <w:tabs>
          <w:tab w:val="left" w:pos="6300"/>
        </w:tabs>
        <w:snapToGrid w:val="0"/>
        <w:spacing w:line="500" w:lineRule="exact"/>
        <w:ind w:firstLine="482"/>
        <w:rPr>
          <w:rFonts w:hint="eastAsia" w:ascii="宋体" w:hAnsi="宋体" w:eastAsia="宋体" w:cs="宋体"/>
          <w:color w:val="auto"/>
          <w:sz w:val="24"/>
          <w:highlight w:val="none"/>
        </w:rPr>
      </w:pPr>
    </w:p>
    <w:p w14:paraId="7FA73EC7">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488BD7F7">
      <w:pPr>
        <w:tabs>
          <w:tab w:val="left" w:pos="6300"/>
        </w:tabs>
        <w:snapToGrid w:val="0"/>
        <w:spacing w:line="500" w:lineRule="exact"/>
        <w:ind w:firstLine="482"/>
        <w:rPr>
          <w:rFonts w:hint="eastAsia" w:ascii="宋体" w:hAnsi="宋体" w:eastAsia="宋体" w:cs="宋体"/>
          <w:color w:val="auto"/>
          <w:sz w:val="24"/>
          <w:highlight w:val="none"/>
        </w:rPr>
      </w:pPr>
    </w:p>
    <w:p w14:paraId="1D945F87">
      <w:pPr>
        <w:tabs>
          <w:tab w:val="left" w:pos="6300"/>
        </w:tabs>
        <w:snapToGrid w:val="0"/>
        <w:spacing w:line="500" w:lineRule="exact"/>
        <w:ind w:firstLine="482"/>
        <w:rPr>
          <w:rFonts w:hint="eastAsia" w:ascii="宋体" w:hAnsi="宋体" w:eastAsia="宋体" w:cs="宋体"/>
          <w:color w:val="auto"/>
          <w:sz w:val="24"/>
          <w:highlight w:val="none"/>
        </w:rPr>
      </w:pPr>
    </w:p>
    <w:p w14:paraId="429D6EDE">
      <w:pPr>
        <w:tabs>
          <w:tab w:val="left" w:pos="6300"/>
        </w:tabs>
        <w:snapToGrid w:val="0"/>
        <w:spacing w:line="500" w:lineRule="exact"/>
        <w:ind w:firstLine="482"/>
        <w:rPr>
          <w:rFonts w:hint="eastAsia" w:ascii="宋体" w:hAnsi="宋体" w:eastAsia="宋体" w:cs="宋体"/>
          <w:color w:val="auto"/>
          <w:sz w:val="24"/>
          <w:highlight w:val="none"/>
        </w:rPr>
      </w:pPr>
    </w:p>
    <w:p w14:paraId="6AB763D6">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29234593">
      <w:pPr>
        <w:tabs>
          <w:tab w:val="left" w:pos="6300"/>
        </w:tabs>
        <w:snapToGrid w:val="0"/>
        <w:spacing w:line="500" w:lineRule="exact"/>
        <w:ind w:firstLine="482"/>
        <w:rPr>
          <w:rFonts w:hint="eastAsia" w:ascii="宋体" w:hAnsi="宋体" w:eastAsia="宋体" w:cs="宋体"/>
          <w:color w:val="auto"/>
          <w:sz w:val="24"/>
          <w:highlight w:val="none"/>
        </w:rPr>
      </w:pPr>
    </w:p>
    <w:p w14:paraId="56BA7A40">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5CA5D70">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540F95F7">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08D252D6">
      <w:pPr>
        <w:tabs>
          <w:tab w:val="left" w:pos="6300"/>
        </w:tabs>
        <w:snapToGrid w:val="0"/>
        <w:spacing w:line="500" w:lineRule="exact"/>
        <w:ind w:firstLine="482"/>
        <w:rPr>
          <w:rFonts w:hint="eastAsia" w:ascii="宋体" w:hAnsi="宋体" w:eastAsia="宋体" w:cs="宋体"/>
          <w:color w:val="auto"/>
          <w:sz w:val="24"/>
          <w:highlight w:val="none"/>
        </w:rPr>
      </w:pPr>
    </w:p>
    <w:p w14:paraId="6CE2AD1E">
      <w:pPr>
        <w:tabs>
          <w:tab w:val="left" w:pos="6300"/>
        </w:tabs>
        <w:snapToGrid w:val="0"/>
        <w:spacing w:line="500" w:lineRule="exact"/>
        <w:ind w:firstLine="482"/>
        <w:rPr>
          <w:rFonts w:hint="eastAsia" w:ascii="宋体" w:hAnsi="宋体" w:eastAsia="宋体" w:cs="宋体"/>
          <w:color w:val="auto"/>
          <w:sz w:val="24"/>
          <w:highlight w:val="none"/>
        </w:rPr>
      </w:pPr>
    </w:p>
    <w:p w14:paraId="67271D51">
      <w:pPr>
        <w:tabs>
          <w:tab w:val="left" w:pos="6300"/>
        </w:tabs>
        <w:snapToGrid w:val="0"/>
        <w:spacing w:line="500" w:lineRule="exact"/>
        <w:ind w:firstLine="482"/>
        <w:rPr>
          <w:rFonts w:hint="eastAsia" w:ascii="宋体" w:hAnsi="宋体" w:eastAsia="宋体" w:cs="宋体"/>
          <w:color w:val="auto"/>
          <w:sz w:val="24"/>
          <w:highlight w:val="none"/>
        </w:rPr>
      </w:pPr>
    </w:p>
    <w:p w14:paraId="0FF9796D">
      <w:pPr>
        <w:tabs>
          <w:tab w:val="left" w:pos="6300"/>
        </w:tabs>
        <w:snapToGrid w:val="0"/>
        <w:spacing w:line="500" w:lineRule="exact"/>
        <w:ind w:firstLine="482"/>
        <w:rPr>
          <w:rFonts w:hint="eastAsia" w:ascii="宋体" w:hAnsi="宋体" w:eastAsia="宋体" w:cs="宋体"/>
          <w:color w:val="auto"/>
          <w:sz w:val="24"/>
          <w:highlight w:val="none"/>
        </w:rPr>
      </w:pPr>
    </w:p>
    <w:p w14:paraId="6BE98228">
      <w:pPr>
        <w:tabs>
          <w:tab w:val="left" w:pos="6300"/>
        </w:tabs>
        <w:snapToGrid w:val="0"/>
        <w:spacing w:line="500" w:lineRule="exact"/>
        <w:ind w:firstLine="482"/>
        <w:rPr>
          <w:rFonts w:hint="eastAsia" w:ascii="宋体" w:hAnsi="宋体" w:eastAsia="宋体" w:cs="宋体"/>
          <w:color w:val="auto"/>
          <w:sz w:val="24"/>
          <w:highlight w:val="none"/>
        </w:rPr>
      </w:pPr>
    </w:p>
    <w:p w14:paraId="1D39F24C">
      <w:pPr>
        <w:tabs>
          <w:tab w:val="left" w:pos="6300"/>
        </w:tabs>
        <w:snapToGrid w:val="0"/>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5B662CD2">
      <w:pPr>
        <w:tabs>
          <w:tab w:val="left" w:pos="6300"/>
        </w:tabs>
        <w:snapToGrid w:val="0"/>
        <w:spacing w:line="500" w:lineRule="exact"/>
        <w:ind w:firstLine="482"/>
        <w:rPr>
          <w:rFonts w:hint="eastAsia" w:ascii="宋体" w:hAnsi="宋体" w:eastAsia="宋体" w:cs="宋体"/>
          <w:color w:val="auto"/>
          <w:sz w:val="24"/>
          <w:highlight w:val="none"/>
        </w:rPr>
      </w:pPr>
    </w:p>
    <w:p w14:paraId="203D182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1C22077">
      <w:pPr>
        <w:tabs>
          <w:tab w:val="left" w:pos="6300"/>
        </w:tabs>
        <w:snapToGrid w:val="0"/>
        <w:spacing w:line="500" w:lineRule="exact"/>
        <w:rPr>
          <w:rFonts w:hint="eastAsia" w:ascii="宋体" w:hAnsi="宋体" w:eastAsia="宋体" w:cs="宋体"/>
          <w:color w:val="auto"/>
          <w:sz w:val="24"/>
          <w:highlight w:val="none"/>
        </w:rPr>
      </w:pPr>
    </w:p>
    <w:p w14:paraId="7E2699DE">
      <w:pPr>
        <w:tabs>
          <w:tab w:val="left" w:pos="6300"/>
        </w:tabs>
        <w:snapToGrid w:val="0"/>
        <w:spacing w:line="500" w:lineRule="exact"/>
        <w:ind w:firstLine="482"/>
        <w:rPr>
          <w:rFonts w:hint="eastAsia" w:ascii="宋体" w:hAnsi="宋体" w:eastAsia="宋体" w:cs="宋体"/>
          <w:color w:val="auto"/>
          <w:sz w:val="24"/>
          <w:highlight w:val="none"/>
        </w:rPr>
      </w:pPr>
    </w:p>
    <w:p w14:paraId="5A662BAB">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340B16EF">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（被授权人姓名及身份证号码）代表我单位全权办理上述项目的磋商、签约等具体工作，并签署全部有关文件、协议及合同。</w:t>
      </w:r>
    </w:p>
    <w:p w14:paraId="0446EAD5">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616CDBC6">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在</w:t>
      </w:r>
      <w:r>
        <w:rPr>
          <w:rFonts w:hint="eastAsia" w:ascii="宋体" w:hAnsi="宋体" w:cs="宋体"/>
          <w:color w:val="auto"/>
          <w:sz w:val="24"/>
          <w:highlight w:val="none"/>
          <w:lang w:val="en-US" w:eastAsia="zh-CN"/>
        </w:rPr>
        <w:t>撤销</w:t>
      </w:r>
      <w:r>
        <w:rPr>
          <w:rFonts w:hint="eastAsia" w:ascii="宋体" w:hAnsi="宋体" w:eastAsia="宋体" w:cs="宋体"/>
          <w:color w:val="auto"/>
          <w:sz w:val="24"/>
          <w:highlight w:val="none"/>
        </w:rPr>
        <w:t>授权的书面通知以前，本授权书一直有效。被授权人在授权书有效期内签署的所有文件不因授权的</w:t>
      </w:r>
      <w:r>
        <w:rPr>
          <w:rFonts w:hint="eastAsia" w:ascii="宋体" w:hAnsi="宋体" w:cs="宋体"/>
          <w:color w:val="auto"/>
          <w:sz w:val="24"/>
          <w:highlight w:val="none"/>
          <w:lang w:val="en-US" w:eastAsia="zh-CN"/>
        </w:rPr>
        <w:t>撤销</w:t>
      </w:r>
      <w:r>
        <w:rPr>
          <w:rFonts w:hint="eastAsia" w:ascii="宋体" w:hAnsi="宋体" w:eastAsia="宋体" w:cs="宋体"/>
          <w:color w:val="auto"/>
          <w:sz w:val="24"/>
          <w:highlight w:val="none"/>
        </w:rPr>
        <w:t>而失效。</w:t>
      </w:r>
    </w:p>
    <w:p w14:paraId="6E447E71">
      <w:pPr>
        <w:tabs>
          <w:tab w:val="left" w:pos="6300"/>
        </w:tabs>
        <w:snapToGrid w:val="0"/>
        <w:spacing w:line="500" w:lineRule="exact"/>
        <w:ind w:firstLine="482"/>
        <w:rPr>
          <w:rFonts w:hint="eastAsia" w:ascii="宋体" w:hAnsi="宋体" w:eastAsia="宋体" w:cs="宋体"/>
          <w:color w:val="auto"/>
          <w:sz w:val="24"/>
          <w:highlight w:val="none"/>
        </w:rPr>
      </w:pPr>
    </w:p>
    <w:p w14:paraId="508680D4">
      <w:pPr>
        <w:tabs>
          <w:tab w:val="left" w:pos="6300"/>
        </w:tabs>
        <w:snapToGrid w:val="0"/>
        <w:spacing w:line="500" w:lineRule="exact"/>
        <w:ind w:firstLine="482"/>
        <w:rPr>
          <w:rFonts w:hint="eastAsia" w:ascii="宋体" w:hAnsi="宋体" w:eastAsia="宋体" w:cs="宋体"/>
          <w:color w:val="auto"/>
          <w:sz w:val="24"/>
          <w:highlight w:val="none"/>
        </w:rPr>
      </w:pPr>
    </w:p>
    <w:p w14:paraId="6F2A2B8C">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3127FA0C">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（签署或盖章）                                （签署或盖章）</w:t>
      </w:r>
    </w:p>
    <w:p w14:paraId="2F3BC512">
      <w:pPr>
        <w:tabs>
          <w:tab w:val="left" w:pos="6300"/>
        </w:tabs>
        <w:snapToGrid w:val="0"/>
        <w:spacing w:line="500" w:lineRule="exact"/>
        <w:ind w:firstLine="482"/>
        <w:rPr>
          <w:rFonts w:hint="eastAsia" w:ascii="宋体" w:hAnsi="宋体" w:eastAsia="宋体" w:cs="宋体"/>
          <w:color w:val="auto"/>
          <w:sz w:val="24"/>
          <w:highlight w:val="none"/>
        </w:rPr>
      </w:pPr>
    </w:p>
    <w:p w14:paraId="4482D8D3">
      <w:pPr>
        <w:tabs>
          <w:tab w:val="left" w:pos="6300"/>
        </w:tabs>
        <w:snapToGrid w:val="0"/>
        <w:spacing w:line="500" w:lineRule="exact"/>
        <w:ind w:firstLine="482"/>
        <w:rPr>
          <w:rFonts w:hint="eastAsia" w:ascii="宋体" w:hAnsi="宋体" w:eastAsia="宋体" w:cs="宋体"/>
          <w:color w:val="auto"/>
          <w:sz w:val="24"/>
          <w:highlight w:val="none"/>
        </w:rPr>
      </w:pPr>
    </w:p>
    <w:p w14:paraId="2EE44EB9">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0A332D80">
      <w:pPr>
        <w:tabs>
          <w:tab w:val="left" w:pos="6300"/>
        </w:tabs>
        <w:snapToGrid w:val="0"/>
        <w:spacing w:line="50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83F3E64">
      <w:pPr>
        <w:tabs>
          <w:tab w:val="left" w:pos="6300"/>
        </w:tabs>
        <w:snapToGrid w:val="0"/>
        <w:spacing w:line="500" w:lineRule="exact"/>
        <w:rPr>
          <w:rFonts w:hint="eastAsia" w:ascii="宋体" w:hAnsi="宋体" w:eastAsia="宋体" w:cs="宋体"/>
          <w:color w:val="auto"/>
          <w:sz w:val="24"/>
          <w:highlight w:val="none"/>
        </w:rPr>
      </w:pPr>
    </w:p>
    <w:p w14:paraId="7D13E8A1">
      <w:pPr>
        <w:tabs>
          <w:tab w:val="left" w:pos="6300"/>
        </w:tabs>
        <w:snapToGrid w:val="0"/>
        <w:spacing w:line="500" w:lineRule="exact"/>
        <w:ind w:right="480" w:firstLine="48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C04F80F">
      <w:pPr>
        <w:tabs>
          <w:tab w:val="left" w:pos="6300"/>
        </w:tabs>
        <w:snapToGrid w:val="0"/>
        <w:spacing w:line="500" w:lineRule="exact"/>
        <w:ind w:right="480" w:firstLine="482"/>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4A1CF20D">
      <w:pPr>
        <w:tabs>
          <w:tab w:val="left" w:pos="6300"/>
        </w:tabs>
        <w:snapToGrid w:val="0"/>
        <w:spacing w:line="500" w:lineRule="exact"/>
        <w:ind w:right="480" w:firstLine="48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6D328939">
      <w:pPr>
        <w:tabs>
          <w:tab w:val="left" w:pos="6300"/>
        </w:tabs>
        <w:snapToGrid w:val="0"/>
        <w:spacing w:line="500" w:lineRule="exact"/>
        <w:ind w:right="480" w:firstLine="482"/>
        <w:jc w:val="left"/>
        <w:rPr>
          <w:rFonts w:hint="eastAsia" w:ascii="宋体" w:hAnsi="宋体" w:eastAsia="宋体" w:cs="宋体"/>
          <w:color w:val="auto"/>
          <w:sz w:val="24"/>
          <w:highlight w:val="none"/>
        </w:rPr>
      </w:pPr>
    </w:p>
    <w:p w14:paraId="68506A50">
      <w:pPr>
        <w:tabs>
          <w:tab w:val="left" w:pos="6300"/>
        </w:tabs>
        <w:snapToGrid w:val="0"/>
        <w:spacing w:line="500" w:lineRule="exact"/>
        <w:ind w:right="480" w:firstLine="48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注：若为法定代表人办理并签署响应文件的，不提供此文件。</w:t>
      </w:r>
    </w:p>
    <w:p w14:paraId="4B4749C0">
      <w:pPr>
        <w:tabs>
          <w:tab w:val="left" w:pos="6300"/>
        </w:tabs>
        <w:snapToGrid w:val="0"/>
        <w:spacing w:line="5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（四）基本资格条件承诺函（格式）</w:t>
      </w:r>
    </w:p>
    <w:p w14:paraId="4037DD9D">
      <w:pPr>
        <w:tabs>
          <w:tab w:val="left" w:pos="6300"/>
        </w:tabs>
        <w:snapToGrid w:val="0"/>
        <w:spacing w:line="500" w:lineRule="exact"/>
        <w:ind w:firstLine="482"/>
        <w:jc w:val="left"/>
        <w:rPr>
          <w:rFonts w:hint="eastAsia" w:ascii="宋体" w:hAnsi="宋体" w:eastAsia="宋体" w:cs="宋体"/>
          <w:color w:val="auto"/>
          <w:szCs w:val="21"/>
          <w:highlight w:val="none"/>
        </w:rPr>
      </w:pPr>
    </w:p>
    <w:p w14:paraId="3C048133">
      <w:pPr>
        <w:tabs>
          <w:tab w:val="left" w:pos="6300"/>
        </w:tabs>
        <w:snapToGrid w:val="0"/>
        <w:spacing w:line="500" w:lineRule="exact"/>
        <w:ind w:firstLine="643"/>
        <w:rPr>
          <w:rFonts w:hint="eastAsia" w:ascii="宋体" w:hAnsi="宋体" w:eastAsia="宋体" w:cs="宋体"/>
          <w:color w:val="auto"/>
          <w:sz w:val="32"/>
          <w:szCs w:val="22"/>
          <w:highlight w:val="none"/>
        </w:rPr>
      </w:pPr>
    </w:p>
    <w:p w14:paraId="2A44D91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51C07F2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33859152">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1.我方具有良好的商业信誉和健全的财务会计制度，具有履行合同所必需的设备和专业技术能力，具</w:t>
      </w:r>
      <w:r>
        <w:rPr>
          <w:rFonts w:hint="eastAsia" w:ascii="宋体" w:hAnsi="宋体" w:eastAsia="宋体" w:cs="宋体"/>
          <w:color w:val="auto"/>
          <w:sz w:val="24"/>
          <w:szCs w:val="24"/>
          <w:highlight w:val="none"/>
          <w:lang w:val="zh-CN"/>
        </w:rPr>
        <w:t>有依法缴纳税收和社会保障金的良好记录</w:t>
      </w:r>
      <w:r>
        <w:rPr>
          <w:rFonts w:hint="eastAsia" w:ascii="宋体" w:hAnsi="宋体" w:eastAsia="宋体" w:cs="宋体"/>
          <w:color w:val="auto"/>
          <w:sz w:val="24"/>
          <w:szCs w:val="24"/>
          <w:highlight w:val="none"/>
        </w:rPr>
        <w:t>，参加本项目采购活动前三年内无重大违法活动记录。</w:t>
      </w:r>
    </w:p>
    <w:p w14:paraId="65279FD7">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E695067">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3.我方在采购项目评审（评标）环节结束后，随时接受采购人、采购代理机构的检查验证，配合提供相关证明材料，证明符合《中华人民共和国政府采购法》规定的投标人基本资格条件。</w:t>
      </w:r>
    </w:p>
    <w:p w14:paraId="77029F35">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我方对以上承诺负全部法律责任。</w:t>
      </w:r>
    </w:p>
    <w:p w14:paraId="69850D8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65B9C49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p>
    <w:p w14:paraId="2D035E45">
      <w:pPr>
        <w:tabs>
          <w:tab w:val="left" w:pos="6300"/>
        </w:tabs>
        <w:snapToGrid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75E47D10">
      <w:pPr>
        <w:tabs>
          <w:tab w:val="left" w:pos="6300"/>
        </w:tabs>
        <w:snapToGrid w:val="0"/>
        <w:spacing w:line="380" w:lineRule="exact"/>
        <w:ind w:firstLine="2760" w:firstLineChars="11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736A7A4">
      <w:pPr>
        <w:tabs>
          <w:tab w:val="left" w:pos="6300"/>
        </w:tabs>
        <w:snapToGrid w:val="0"/>
        <w:spacing w:line="380" w:lineRule="exact"/>
        <w:ind w:firstLine="3680" w:firstLineChars="1150"/>
        <w:rPr>
          <w:rFonts w:hint="eastAsia" w:ascii="宋体" w:hAnsi="宋体" w:eastAsia="宋体" w:cs="宋体"/>
          <w:color w:val="auto"/>
          <w:sz w:val="32"/>
          <w:szCs w:val="32"/>
          <w:highlight w:val="none"/>
        </w:rPr>
      </w:pPr>
    </w:p>
    <w:p w14:paraId="2B771110">
      <w:pPr>
        <w:tabs>
          <w:tab w:val="left" w:pos="6300"/>
        </w:tabs>
        <w:snapToGrid w:val="0"/>
        <w:spacing w:line="380" w:lineRule="exact"/>
        <w:ind w:firstLine="3680" w:firstLineChars="1150"/>
        <w:rPr>
          <w:rFonts w:hint="eastAsia" w:ascii="宋体" w:hAnsi="宋体" w:eastAsia="宋体" w:cs="宋体"/>
          <w:color w:val="auto"/>
          <w:sz w:val="32"/>
          <w:szCs w:val="32"/>
          <w:highlight w:val="none"/>
        </w:rPr>
      </w:pPr>
    </w:p>
    <w:p w14:paraId="4EDFA62F">
      <w:pPr>
        <w:tabs>
          <w:tab w:val="left" w:pos="6300"/>
        </w:tabs>
        <w:snapToGrid w:val="0"/>
        <w:spacing w:line="380" w:lineRule="exact"/>
        <w:ind w:firstLine="3680" w:firstLineChars="1150"/>
        <w:rPr>
          <w:rFonts w:hint="eastAsia" w:ascii="宋体" w:hAnsi="宋体" w:eastAsia="宋体" w:cs="宋体"/>
          <w:color w:val="auto"/>
          <w:sz w:val="32"/>
          <w:szCs w:val="32"/>
          <w:highlight w:val="none"/>
        </w:rPr>
      </w:pPr>
    </w:p>
    <w:p w14:paraId="76B252F9">
      <w:pPr>
        <w:tabs>
          <w:tab w:val="left" w:pos="6300"/>
        </w:tabs>
        <w:snapToGrid w:val="0"/>
        <w:spacing w:line="380" w:lineRule="exact"/>
        <w:ind w:firstLine="3680" w:firstLineChars="1150"/>
        <w:rPr>
          <w:rFonts w:hint="eastAsia" w:ascii="宋体" w:hAnsi="宋体" w:eastAsia="宋体" w:cs="宋体"/>
          <w:color w:val="auto"/>
          <w:sz w:val="32"/>
          <w:szCs w:val="32"/>
          <w:highlight w:val="none"/>
        </w:rPr>
      </w:pPr>
    </w:p>
    <w:p w14:paraId="05F6536F">
      <w:pPr>
        <w:tabs>
          <w:tab w:val="left" w:pos="6300"/>
        </w:tabs>
        <w:snapToGrid w:val="0"/>
        <w:spacing w:line="380" w:lineRule="exact"/>
        <w:ind w:firstLine="3680" w:firstLineChars="1150"/>
        <w:rPr>
          <w:rFonts w:hint="eastAsia" w:ascii="宋体" w:hAnsi="宋体" w:eastAsia="宋体" w:cs="宋体"/>
          <w:color w:val="auto"/>
          <w:sz w:val="32"/>
          <w:szCs w:val="32"/>
          <w:highlight w:val="none"/>
        </w:rPr>
      </w:pPr>
    </w:p>
    <w:p w14:paraId="7AC87DF5">
      <w:pPr>
        <w:pStyle w:val="22"/>
        <w:ind w:firstLine="803"/>
        <w:rPr>
          <w:rFonts w:hint="eastAsia" w:ascii="宋体" w:hAnsi="宋体" w:eastAsia="宋体" w:cs="宋体"/>
          <w:color w:val="auto"/>
          <w:sz w:val="40"/>
          <w:szCs w:val="22"/>
          <w:highlight w:val="none"/>
        </w:rPr>
      </w:pPr>
    </w:p>
    <w:p w14:paraId="2CD331B4">
      <w:pPr>
        <w:rPr>
          <w:rFonts w:hint="eastAsia" w:ascii="宋体" w:hAnsi="宋体" w:eastAsia="宋体" w:cs="宋体"/>
          <w:color w:val="auto"/>
          <w:highlight w:val="none"/>
        </w:rPr>
      </w:pPr>
    </w:p>
    <w:p w14:paraId="56BEB8EE">
      <w:pPr>
        <w:pStyle w:val="55"/>
        <w:ind w:firstLine="482"/>
        <w:rPr>
          <w:rFonts w:hint="eastAsia" w:ascii="宋体" w:hAnsi="宋体" w:eastAsia="宋体" w:cs="宋体"/>
          <w:color w:val="auto"/>
          <w:highlight w:val="none"/>
        </w:rPr>
      </w:pPr>
    </w:p>
    <w:p w14:paraId="34138E52">
      <w:pPr>
        <w:pStyle w:val="55"/>
        <w:ind w:firstLine="482"/>
        <w:rPr>
          <w:rFonts w:hint="eastAsia" w:ascii="宋体" w:hAnsi="宋体" w:eastAsia="宋体" w:cs="宋体"/>
          <w:color w:val="auto"/>
          <w:highlight w:val="none"/>
        </w:rPr>
      </w:pPr>
    </w:p>
    <w:p w14:paraId="0BF451B6">
      <w:pPr>
        <w:pStyle w:val="55"/>
        <w:ind w:firstLine="482"/>
        <w:rPr>
          <w:rFonts w:hint="eastAsia" w:ascii="宋体" w:hAnsi="宋体" w:eastAsia="宋体" w:cs="宋体"/>
          <w:color w:val="auto"/>
          <w:highlight w:val="none"/>
        </w:rPr>
      </w:pPr>
    </w:p>
    <w:p w14:paraId="0553DD76">
      <w:pPr>
        <w:tabs>
          <w:tab w:val="left" w:pos="6300"/>
        </w:tabs>
        <w:snapToGrid w:val="0"/>
        <w:spacing w:line="5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1"/>
          <w:highlight w:val="none"/>
        </w:rPr>
        <w:t>（五）特定资格条件证明文件</w:t>
      </w:r>
    </w:p>
    <w:p w14:paraId="4F7B998D">
      <w:pPr>
        <w:tabs>
          <w:tab w:val="left" w:pos="6300"/>
        </w:tabs>
        <w:snapToGrid w:val="0"/>
        <w:spacing w:line="500" w:lineRule="exact"/>
        <w:ind w:firstLine="560" w:firstLineChars="200"/>
        <w:rPr>
          <w:rFonts w:hint="eastAsia" w:ascii="宋体" w:hAnsi="宋体" w:eastAsia="宋体" w:cs="宋体"/>
          <w:color w:val="auto"/>
          <w:highlight w:val="none"/>
        </w:rPr>
      </w:pPr>
    </w:p>
    <w:p w14:paraId="10CDCC70">
      <w:pPr>
        <w:pStyle w:val="22"/>
        <w:rPr>
          <w:rFonts w:hint="eastAsia" w:ascii="宋体" w:hAnsi="宋体" w:eastAsia="宋体" w:cs="宋体"/>
          <w:color w:val="auto"/>
          <w:highlight w:val="none"/>
        </w:rPr>
      </w:pPr>
    </w:p>
    <w:p w14:paraId="29836527">
      <w:pPr>
        <w:tabs>
          <w:tab w:val="left" w:pos="6300"/>
        </w:tabs>
        <w:snapToGrid w:val="0"/>
        <w:spacing w:line="500" w:lineRule="exact"/>
        <w:ind w:firstLine="560" w:firstLineChars="200"/>
        <w:rPr>
          <w:rFonts w:hint="eastAsia" w:ascii="宋体" w:hAnsi="宋体" w:eastAsia="宋体" w:cs="宋体"/>
          <w:color w:val="auto"/>
          <w:highlight w:val="none"/>
        </w:rPr>
      </w:pPr>
    </w:p>
    <w:p w14:paraId="3FC1DABA">
      <w:pPr>
        <w:tabs>
          <w:tab w:val="left" w:pos="6300"/>
        </w:tabs>
        <w:snapToGrid w:val="0"/>
        <w:spacing w:line="500" w:lineRule="exact"/>
        <w:ind w:firstLine="560" w:firstLineChars="200"/>
        <w:rPr>
          <w:rFonts w:hint="eastAsia" w:ascii="宋体" w:hAnsi="宋体" w:eastAsia="宋体" w:cs="宋体"/>
          <w:color w:val="auto"/>
          <w:highlight w:val="none"/>
        </w:rPr>
      </w:pPr>
    </w:p>
    <w:p w14:paraId="4315382C">
      <w:pPr>
        <w:tabs>
          <w:tab w:val="left" w:pos="6300"/>
        </w:tabs>
        <w:snapToGrid w:val="0"/>
        <w:spacing w:line="500" w:lineRule="exact"/>
        <w:ind w:firstLine="560" w:firstLineChars="200"/>
        <w:rPr>
          <w:rFonts w:hint="eastAsia" w:ascii="宋体" w:hAnsi="宋体" w:eastAsia="宋体" w:cs="宋体"/>
          <w:color w:val="auto"/>
          <w:highlight w:val="none"/>
        </w:rPr>
      </w:pPr>
    </w:p>
    <w:p w14:paraId="6D692720">
      <w:pPr>
        <w:tabs>
          <w:tab w:val="left" w:pos="6300"/>
        </w:tabs>
        <w:snapToGrid w:val="0"/>
        <w:spacing w:line="500" w:lineRule="exact"/>
        <w:ind w:firstLine="560" w:firstLineChars="200"/>
        <w:rPr>
          <w:rFonts w:hint="eastAsia" w:ascii="宋体" w:hAnsi="宋体" w:eastAsia="宋体" w:cs="宋体"/>
          <w:color w:val="auto"/>
          <w:highlight w:val="none"/>
        </w:rPr>
      </w:pPr>
    </w:p>
    <w:p w14:paraId="2D937E39">
      <w:pPr>
        <w:tabs>
          <w:tab w:val="left" w:pos="6300"/>
        </w:tabs>
        <w:snapToGrid w:val="0"/>
        <w:spacing w:line="500" w:lineRule="exact"/>
        <w:ind w:firstLine="560" w:firstLineChars="200"/>
        <w:rPr>
          <w:rFonts w:hint="eastAsia" w:ascii="宋体" w:hAnsi="宋体" w:eastAsia="宋体" w:cs="宋体"/>
          <w:color w:val="auto"/>
          <w:highlight w:val="none"/>
        </w:rPr>
      </w:pPr>
    </w:p>
    <w:p w14:paraId="153C184C">
      <w:pPr>
        <w:tabs>
          <w:tab w:val="left" w:pos="6300"/>
        </w:tabs>
        <w:snapToGrid w:val="0"/>
        <w:spacing w:line="500" w:lineRule="exact"/>
        <w:ind w:firstLine="560" w:firstLineChars="200"/>
        <w:rPr>
          <w:rFonts w:hint="eastAsia" w:ascii="宋体" w:hAnsi="宋体" w:eastAsia="宋体" w:cs="宋体"/>
          <w:color w:val="auto"/>
          <w:highlight w:val="none"/>
        </w:rPr>
      </w:pPr>
    </w:p>
    <w:p w14:paraId="75A890B4">
      <w:pPr>
        <w:tabs>
          <w:tab w:val="left" w:pos="6300"/>
        </w:tabs>
        <w:snapToGrid w:val="0"/>
        <w:spacing w:line="500" w:lineRule="exact"/>
        <w:ind w:firstLine="560" w:firstLineChars="200"/>
        <w:rPr>
          <w:rFonts w:hint="eastAsia" w:ascii="宋体" w:hAnsi="宋体" w:eastAsia="宋体" w:cs="宋体"/>
          <w:color w:val="auto"/>
          <w:highlight w:val="none"/>
        </w:rPr>
      </w:pPr>
    </w:p>
    <w:p w14:paraId="2CAB9FF7">
      <w:pPr>
        <w:tabs>
          <w:tab w:val="left" w:pos="6300"/>
        </w:tabs>
        <w:snapToGrid w:val="0"/>
        <w:spacing w:line="500" w:lineRule="exact"/>
        <w:ind w:firstLine="560" w:firstLineChars="200"/>
        <w:rPr>
          <w:rFonts w:hint="eastAsia" w:ascii="宋体" w:hAnsi="宋体" w:eastAsia="宋体" w:cs="宋体"/>
          <w:color w:val="auto"/>
          <w:highlight w:val="none"/>
        </w:rPr>
      </w:pPr>
    </w:p>
    <w:p w14:paraId="2C9B3031">
      <w:pPr>
        <w:tabs>
          <w:tab w:val="left" w:pos="6300"/>
        </w:tabs>
        <w:snapToGrid w:val="0"/>
        <w:spacing w:line="500" w:lineRule="exact"/>
        <w:ind w:firstLine="560" w:firstLineChars="200"/>
        <w:rPr>
          <w:rFonts w:hint="eastAsia" w:ascii="宋体" w:hAnsi="宋体" w:eastAsia="宋体" w:cs="宋体"/>
          <w:color w:val="auto"/>
          <w:highlight w:val="none"/>
        </w:rPr>
      </w:pPr>
    </w:p>
    <w:p w14:paraId="1699A21F">
      <w:pPr>
        <w:tabs>
          <w:tab w:val="left" w:pos="6300"/>
        </w:tabs>
        <w:snapToGrid w:val="0"/>
        <w:spacing w:line="500" w:lineRule="exact"/>
        <w:ind w:firstLine="560" w:firstLineChars="200"/>
        <w:rPr>
          <w:rFonts w:hint="eastAsia" w:ascii="宋体" w:hAnsi="宋体" w:eastAsia="宋体" w:cs="宋体"/>
          <w:color w:val="auto"/>
          <w:highlight w:val="none"/>
        </w:rPr>
      </w:pPr>
    </w:p>
    <w:p w14:paraId="199427CE">
      <w:pPr>
        <w:tabs>
          <w:tab w:val="left" w:pos="6300"/>
        </w:tabs>
        <w:snapToGrid w:val="0"/>
        <w:spacing w:line="500" w:lineRule="exact"/>
        <w:ind w:firstLine="560" w:firstLineChars="200"/>
        <w:rPr>
          <w:rFonts w:hint="eastAsia" w:ascii="宋体" w:hAnsi="宋体" w:eastAsia="宋体" w:cs="宋体"/>
          <w:color w:val="auto"/>
          <w:highlight w:val="none"/>
        </w:rPr>
      </w:pPr>
    </w:p>
    <w:p w14:paraId="503FDD68">
      <w:pPr>
        <w:tabs>
          <w:tab w:val="left" w:pos="6300"/>
        </w:tabs>
        <w:snapToGrid w:val="0"/>
        <w:spacing w:line="500" w:lineRule="exact"/>
        <w:ind w:firstLine="560" w:firstLineChars="200"/>
        <w:rPr>
          <w:rFonts w:hint="eastAsia" w:ascii="宋体" w:hAnsi="宋体" w:eastAsia="宋体" w:cs="宋体"/>
          <w:color w:val="auto"/>
          <w:highlight w:val="none"/>
        </w:rPr>
      </w:pPr>
    </w:p>
    <w:p w14:paraId="5A961E6D">
      <w:pPr>
        <w:tabs>
          <w:tab w:val="left" w:pos="6300"/>
        </w:tabs>
        <w:snapToGrid w:val="0"/>
        <w:spacing w:line="500" w:lineRule="exact"/>
        <w:ind w:firstLine="560" w:firstLineChars="200"/>
        <w:rPr>
          <w:rFonts w:hint="eastAsia" w:ascii="宋体" w:hAnsi="宋体" w:eastAsia="宋体" w:cs="宋体"/>
          <w:color w:val="auto"/>
          <w:highlight w:val="none"/>
        </w:rPr>
      </w:pPr>
    </w:p>
    <w:p w14:paraId="05EDCF13">
      <w:pPr>
        <w:tabs>
          <w:tab w:val="left" w:pos="6300"/>
        </w:tabs>
        <w:snapToGrid w:val="0"/>
        <w:spacing w:line="500" w:lineRule="exact"/>
        <w:ind w:firstLine="560" w:firstLineChars="200"/>
        <w:rPr>
          <w:rFonts w:hint="eastAsia" w:ascii="宋体" w:hAnsi="宋体" w:eastAsia="宋体" w:cs="宋体"/>
          <w:color w:val="auto"/>
          <w:highlight w:val="none"/>
        </w:rPr>
      </w:pPr>
    </w:p>
    <w:p w14:paraId="5B15F133">
      <w:pPr>
        <w:tabs>
          <w:tab w:val="left" w:pos="6300"/>
        </w:tabs>
        <w:snapToGrid w:val="0"/>
        <w:spacing w:line="500" w:lineRule="exact"/>
        <w:ind w:firstLine="560" w:firstLineChars="200"/>
        <w:rPr>
          <w:rFonts w:hint="eastAsia" w:ascii="宋体" w:hAnsi="宋体" w:eastAsia="宋体" w:cs="宋体"/>
          <w:color w:val="auto"/>
          <w:highlight w:val="none"/>
        </w:rPr>
      </w:pPr>
    </w:p>
    <w:p w14:paraId="23423FC7">
      <w:pPr>
        <w:tabs>
          <w:tab w:val="left" w:pos="6300"/>
        </w:tabs>
        <w:snapToGrid w:val="0"/>
        <w:spacing w:line="500" w:lineRule="exact"/>
        <w:ind w:firstLine="560" w:firstLineChars="200"/>
        <w:rPr>
          <w:rFonts w:hint="eastAsia" w:ascii="宋体" w:hAnsi="宋体" w:eastAsia="宋体" w:cs="宋体"/>
          <w:color w:val="auto"/>
          <w:highlight w:val="none"/>
        </w:rPr>
      </w:pPr>
    </w:p>
    <w:p w14:paraId="2F5B10C9">
      <w:pPr>
        <w:tabs>
          <w:tab w:val="left" w:pos="6300"/>
        </w:tabs>
        <w:snapToGrid w:val="0"/>
        <w:spacing w:line="500" w:lineRule="exact"/>
        <w:ind w:firstLine="560" w:firstLineChars="200"/>
        <w:rPr>
          <w:rFonts w:hint="eastAsia" w:ascii="宋体" w:hAnsi="宋体" w:eastAsia="宋体" w:cs="宋体"/>
          <w:color w:val="auto"/>
          <w:highlight w:val="none"/>
        </w:rPr>
      </w:pPr>
    </w:p>
    <w:p w14:paraId="69D57399">
      <w:pPr>
        <w:tabs>
          <w:tab w:val="left" w:pos="6300"/>
        </w:tabs>
        <w:snapToGrid w:val="0"/>
        <w:spacing w:line="500" w:lineRule="exact"/>
        <w:ind w:firstLine="560" w:firstLineChars="200"/>
        <w:rPr>
          <w:rFonts w:hint="eastAsia" w:ascii="宋体" w:hAnsi="宋体" w:eastAsia="宋体" w:cs="宋体"/>
          <w:color w:val="auto"/>
          <w:highlight w:val="none"/>
        </w:rPr>
      </w:pPr>
    </w:p>
    <w:p w14:paraId="3A522371">
      <w:pPr>
        <w:tabs>
          <w:tab w:val="left" w:pos="6300"/>
        </w:tabs>
        <w:snapToGrid w:val="0"/>
        <w:spacing w:line="500" w:lineRule="exact"/>
        <w:ind w:firstLine="560" w:firstLineChars="200"/>
        <w:rPr>
          <w:rFonts w:hint="eastAsia" w:ascii="宋体" w:hAnsi="宋体" w:eastAsia="宋体" w:cs="宋体"/>
          <w:color w:val="auto"/>
          <w:highlight w:val="none"/>
        </w:rPr>
      </w:pPr>
    </w:p>
    <w:p w14:paraId="54253F7C">
      <w:pPr>
        <w:tabs>
          <w:tab w:val="left" w:pos="6300"/>
        </w:tabs>
        <w:snapToGrid w:val="0"/>
        <w:spacing w:line="500" w:lineRule="exact"/>
        <w:ind w:firstLine="560" w:firstLineChars="200"/>
        <w:rPr>
          <w:rFonts w:hint="eastAsia" w:ascii="宋体" w:hAnsi="宋体" w:eastAsia="宋体" w:cs="宋体"/>
          <w:color w:val="auto"/>
          <w:highlight w:val="none"/>
        </w:rPr>
      </w:pPr>
    </w:p>
    <w:p w14:paraId="679250E8">
      <w:pPr>
        <w:tabs>
          <w:tab w:val="left" w:pos="6300"/>
        </w:tabs>
        <w:snapToGrid w:val="0"/>
        <w:spacing w:line="500" w:lineRule="exact"/>
        <w:ind w:firstLine="560" w:firstLineChars="200"/>
        <w:rPr>
          <w:rFonts w:hint="eastAsia" w:ascii="宋体" w:hAnsi="宋体" w:eastAsia="宋体" w:cs="宋体"/>
          <w:color w:val="auto"/>
          <w:highlight w:val="none"/>
        </w:rPr>
      </w:pPr>
    </w:p>
    <w:p w14:paraId="6E53371C">
      <w:pPr>
        <w:tabs>
          <w:tab w:val="left" w:pos="6300"/>
        </w:tabs>
        <w:snapToGrid w:val="0"/>
        <w:spacing w:line="500" w:lineRule="exact"/>
        <w:ind w:firstLine="560" w:firstLineChars="200"/>
        <w:rPr>
          <w:rFonts w:hint="eastAsia" w:ascii="宋体" w:hAnsi="宋体" w:eastAsia="宋体" w:cs="宋体"/>
          <w:color w:val="auto"/>
          <w:highlight w:val="none"/>
        </w:rPr>
      </w:pPr>
    </w:p>
    <w:p w14:paraId="0A6479EE">
      <w:pPr>
        <w:tabs>
          <w:tab w:val="left" w:pos="6300"/>
        </w:tabs>
        <w:snapToGrid w:val="0"/>
        <w:spacing w:line="500" w:lineRule="exact"/>
        <w:ind w:firstLine="560" w:firstLineChars="200"/>
        <w:rPr>
          <w:rFonts w:hint="eastAsia" w:ascii="宋体" w:hAnsi="宋体" w:eastAsia="宋体" w:cs="宋体"/>
          <w:color w:val="auto"/>
          <w:highlight w:val="none"/>
        </w:rPr>
      </w:pPr>
    </w:p>
    <w:p w14:paraId="58C49940">
      <w:pPr>
        <w:rPr>
          <w:rFonts w:hint="eastAsia" w:ascii="宋体" w:hAnsi="宋体" w:eastAsia="宋体" w:cs="宋体"/>
          <w:color w:val="auto"/>
          <w:sz w:val="24"/>
          <w:szCs w:val="24"/>
          <w:highlight w:val="none"/>
        </w:rPr>
      </w:pPr>
      <w:bookmarkStart w:id="177" w:name="_Toc14422"/>
      <w:bookmarkStart w:id="178" w:name="_Toc499576268"/>
    </w:p>
    <w:p w14:paraId="079531C6">
      <w:pPr>
        <w:pStyle w:val="4"/>
        <w:spacing w:before="0" w:after="0" w:line="360" w:lineRule="auto"/>
        <w:ind w:firstLine="480"/>
        <w:rPr>
          <w:rFonts w:hint="eastAsia" w:ascii="宋体" w:hAnsi="宋体" w:eastAsia="宋体" w:cs="宋体"/>
          <w:color w:val="auto"/>
          <w:sz w:val="24"/>
          <w:szCs w:val="24"/>
          <w:highlight w:val="none"/>
        </w:rPr>
      </w:pPr>
      <w:bookmarkStart w:id="179" w:name="_Toc28583"/>
      <w:bookmarkStart w:id="180" w:name="_Toc7205"/>
      <w:r>
        <w:rPr>
          <w:rFonts w:hint="eastAsia" w:ascii="宋体" w:hAnsi="宋体" w:eastAsia="宋体" w:cs="宋体"/>
          <w:color w:val="auto"/>
          <w:sz w:val="24"/>
          <w:szCs w:val="24"/>
          <w:highlight w:val="none"/>
        </w:rPr>
        <w:t>五、其他应提供的资料</w:t>
      </w:r>
      <w:bookmarkEnd w:id="177"/>
      <w:bookmarkEnd w:id="178"/>
      <w:bookmarkEnd w:id="179"/>
      <w:bookmarkEnd w:id="180"/>
    </w:p>
    <w:p w14:paraId="46599019">
      <w:pPr>
        <w:tabs>
          <w:tab w:val="left" w:pos="6300"/>
        </w:tabs>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（一）中小企业声明函、监狱企业证明文件、残疾人福利性单位声明函</w:t>
      </w:r>
    </w:p>
    <w:p w14:paraId="6D6B5896">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1.中小企业声明函</w:t>
      </w:r>
    </w:p>
    <w:p w14:paraId="6BB0C9E5">
      <w:pPr>
        <w:spacing w:line="480" w:lineRule="exact"/>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中小企业声明函（服务）</w:t>
      </w:r>
    </w:p>
    <w:p w14:paraId="744150E7">
      <w:pPr>
        <w:spacing w:line="400" w:lineRule="exact"/>
        <w:ind w:firstLine="640" w:firstLineChars="200"/>
        <w:rPr>
          <w:rFonts w:hint="eastAsia" w:ascii="宋体" w:hAnsi="宋体" w:eastAsia="宋体" w:cs="宋体"/>
          <w:color w:val="auto"/>
          <w:sz w:val="32"/>
          <w:szCs w:val="32"/>
          <w:highlight w:val="none"/>
        </w:rPr>
      </w:pPr>
    </w:p>
    <w:p w14:paraId="04E6C0D4">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 6号）的规定，本公司参加</w:t>
      </w:r>
      <w:r>
        <w:rPr>
          <w:rFonts w:hint="eastAsia" w:ascii="宋体" w:hAnsi="宋体" w:eastAsia="宋体" w:cs="宋体"/>
          <w:color w:val="auto"/>
          <w:sz w:val="24"/>
          <w:szCs w:val="24"/>
          <w:highlight w:val="none"/>
          <w:u w:val="single" w:color="000000"/>
        </w:rPr>
        <w:t>(单位名称)</w:t>
      </w:r>
      <w:r>
        <w:rPr>
          <w:rFonts w:hint="eastAsia" w:ascii="宋体" w:hAnsi="宋体" w:cs="宋体"/>
          <w:color w:val="auto"/>
          <w:sz w:val="24"/>
          <w:szCs w:val="24"/>
          <w:highlight w:val="none"/>
          <w:u w:val="none" w:color="auto"/>
          <w:lang w:eastAsia="zh-CN"/>
        </w:rPr>
        <w:t>的</w:t>
      </w:r>
      <w:r>
        <w:rPr>
          <w:rFonts w:hint="eastAsia" w:ascii="宋体" w:hAnsi="宋体" w:cs="宋体"/>
          <w:color w:val="auto"/>
          <w:sz w:val="24"/>
          <w:szCs w:val="24"/>
          <w:highlight w:val="none"/>
          <w:u w:val="single" w:color="auto"/>
          <w:lang w:eastAsia="zh-CN"/>
        </w:rPr>
        <w:t>（</w:t>
      </w:r>
      <w:r>
        <w:rPr>
          <w:rFonts w:hint="eastAsia" w:ascii="宋体" w:hAnsi="宋体" w:cs="宋体"/>
          <w:color w:val="auto"/>
          <w:sz w:val="24"/>
          <w:szCs w:val="24"/>
          <w:highlight w:val="none"/>
          <w:u w:val="single" w:color="auto"/>
          <w:lang w:val="en-US" w:eastAsia="zh-CN"/>
        </w:rPr>
        <w:t>项目名称）</w:t>
      </w:r>
      <w:r>
        <w:rPr>
          <w:rFonts w:hint="eastAsia" w:ascii="宋体" w:hAnsi="宋体" w:eastAsia="宋体" w:cs="宋体"/>
          <w:color w:val="auto"/>
          <w:sz w:val="24"/>
          <w:szCs w:val="24"/>
          <w:highlight w:val="none"/>
        </w:rPr>
        <w:t>采购活动，服务全部由符合政策要求的中小企业承接。相关企业的具体情况如下：</w:t>
      </w:r>
    </w:p>
    <w:p w14:paraId="4D925DE2">
      <w:pPr>
        <w:spacing w:line="400" w:lineRule="exact"/>
        <w:ind w:firstLine="480" w:firstLineChars="200"/>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color="000000"/>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color="000000"/>
        </w:rPr>
        <w:t>（中型企业、小型企业、微型企业）。</w:t>
      </w:r>
    </w:p>
    <w:p w14:paraId="43896342">
      <w:pPr>
        <w:wordWrap w:val="0"/>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为本标的提供的服务人员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人，其中与本企业签订劳动合同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人，其他人员</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w:t>
      </w:r>
      <w:r>
        <w:rPr>
          <w:rFonts w:hint="eastAsia" w:ascii="宋体" w:hAnsi="宋体" w:eastAsia="宋体" w:cs="宋体"/>
          <w:b/>
          <w:color w:val="auto"/>
          <w:sz w:val="24"/>
          <w:szCs w:val="24"/>
          <w:highlight w:val="none"/>
        </w:rPr>
        <w:t>有其他人员的不符合中小企业扶持政策;</w:t>
      </w:r>
    </w:p>
    <w:p w14:paraId="53547378">
      <w:pPr>
        <w:spacing w:line="400" w:lineRule="exact"/>
        <w:ind w:firstLine="480" w:firstLineChars="200"/>
        <w:rPr>
          <w:rFonts w:hint="eastAsia" w:ascii="宋体" w:hAnsi="宋体" w:eastAsia="宋体" w:cs="宋体"/>
          <w:color w:val="auto"/>
          <w:sz w:val="24"/>
          <w:szCs w:val="24"/>
          <w:highlight w:val="none"/>
          <w:u w:val="single" w:color="000000"/>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万元，属于 </w:t>
      </w:r>
      <w:r>
        <w:rPr>
          <w:rFonts w:hint="eastAsia" w:ascii="宋体" w:hAnsi="宋体" w:eastAsia="宋体" w:cs="宋体"/>
          <w:color w:val="auto"/>
          <w:sz w:val="24"/>
          <w:szCs w:val="24"/>
          <w:highlight w:val="none"/>
          <w:u w:val="single" w:color="000000"/>
        </w:rPr>
        <w:t>（中型企业、小型企业、微型企业）。</w:t>
      </w:r>
    </w:p>
    <w:p w14:paraId="07420E21">
      <w:pPr>
        <w:wordWrap w:val="0"/>
        <w:spacing w:line="4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为本标的提供的服务人员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人，其中与本企业签订劳动合同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人，其他人员</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w:t>
      </w:r>
      <w:r>
        <w:rPr>
          <w:rFonts w:hint="eastAsia" w:ascii="宋体" w:hAnsi="宋体" w:eastAsia="宋体" w:cs="宋体"/>
          <w:b/>
          <w:color w:val="auto"/>
          <w:sz w:val="24"/>
          <w:szCs w:val="24"/>
          <w:highlight w:val="none"/>
        </w:rPr>
        <w:t>有其他人员的不符合中小企业扶持政策;</w:t>
      </w:r>
    </w:p>
    <w:p w14:paraId="19114CF1">
      <w:pPr>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01E40AC">
      <w:pPr>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C2E4FB6">
      <w:pPr>
        <w:spacing w:line="40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本企业对上述声明内容的真实性负责。如有虚假，将依法承担相应责任。</w:t>
      </w:r>
      <w:r>
        <w:rPr>
          <w:rFonts w:hint="eastAsia" w:ascii="宋体" w:hAnsi="宋体" w:eastAsia="宋体" w:cs="宋体"/>
          <w:color w:val="auto"/>
          <w:sz w:val="21"/>
          <w:szCs w:val="21"/>
          <w:highlight w:val="none"/>
        </w:rPr>
        <w:t xml:space="preserve">                                              </w:t>
      </w:r>
    </w:p>
    <w:p w14:paraId="666642C4">
      <w:pPr>
        <w:tabs>
          <w:tab w:val="left" w:pos="6300"/>
        </w:tabs>
        <w:snapToGrid w:val="0"/>
        <w:spacing w:line="500" w:lineRule="exact"/>
        <w:ind w:firstLine="5355" w:firstLineChars="25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企业名称（盖章）： </w:t>
      </w:r>
    </w:p>
    <w:p w14:paraId="37D85BF2">
      <w:pPr>
        <w:tabs>
          <w:tab w:val="left" w:pos="6300"/>
        </w:tabs>
        <w:snapToGrid w:val="0"/>
        <w:spacing w:line="500" w:lineRule="exact"/>
        <w:ind w:firstLine="5460" w:firstLineChars="2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p>
    <w:p w14:paraId="73935671">
      <w:pPr>
        <w:spacing w:line="400" w:lineRule="exact"/>
        <w:ind w:firstLine="422"/>
        <w:rPr>
          <w:rFonts w:hint="eastAsia" w:ascii="宋体" w:hAnsi="宋体" w:eastAsia="宋体" w:cs="宋体"/>
          <w:color w:val="auto"/>
          <w:sz w:val="21"/>
          <w:szCs w:val="21"/>
          <w:highlight w:val="none"/>
        </w:rPr>
      </w:pPr>
    </w:p>
    <w:p w14:paraId="19731759">
      <w:pPr>
        <w:tabs>
          <w:tab w:val="left" w:pos="6300"/>
        </w:tabs>
        <w:snapToGrid w:val="0"/>
        <w:ind w:firstLine="442"/>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填写时应注意以下事项：</w:t>
      </w:r>
    </w:p>
    <w:p w14:paraId="7236849F">
      <w:pPr>
        <w:tabs>
          <w:tab w:val="left" w:pos="6300"/>
        </w:tabs>
        <w:snapToGrid w:val="0"/>
        <w:ind w:firstLine="442" w:firstLineChars="20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1.从业人员、营业收入、资产总额填报上一年度数据，无上一年度数据的新成立企业可不填报。</w:t>
      </w:r>
    </w:p>
    <w:p w14:paraId="310F5F9D">
      <w:pPr>
        <w:tabs>
          <w:tab w:val="left" w:pos="6300"/>
        </w:tabs>
        <w:snapToGrid w:val="0"/>
        <w:ind w:firstLine="442" w:firstLineChars="200"/>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2.中小企业应当按照《中小企业划型标准规定》（工信部联企业〔2011〕300号），如实填写并提交《中小企业声明函》。</w:t>
      </w:r>
    </w:p>
    <w:p w14:paraId="3E210CA7">
      <w:pPr>
        <w:tabs>
          <w:tab w:val="left" w:pos="6300"/>
        </w:tabs>
        <w:snapToGrid w:val="0"/>
        <w:ind w:firstLine="442" w:firstLineChars="200"/>
        <w:rPr>
          <w:rFonts w:hint="eastAsia" w:ascii="宋体" w:hAnsi="宋体" w:eastAsia="宋体" w:cs="宋体"/>
          <w:b/>
          <w:bCs/>
          <w:color w:val="auto"/>
          <w:sz w:val="32"/>
          <w:szCs w:val="21"/>
          <w:highlight w:val="none"/>
        </w:rPr>
      </w:pPr>
      <w:r>
        <w:rPr>
          <w:rFonts w:hint="eastAsia" w:ascii="宋体" w:hAnsi="宋体" w:eastAsia="宋体" w:cs="宋体"/>
          <w:b/>
          <w:bCs/>
          <w:color w:val="auto"/>
          <w:kern w:val="0"/>
          <w:sz w:val="22"/>
          <w:szCs w:val="22"/>
          <w:highlight w:val="none"/>
        </w:rPr>
        <w:t>3.供应商填写《中小企业声明函》中所属行业时，应与采购文件第一篇“采购标的对应的中小企业划分标准所属行业”中填写的所属行业一致。</w:t>
      </w:r>
    </w:p>
    <w:p w14:paraId="12438450">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注：各行业划型标准：</w:t>
      </w:r>
    </w:p>
    <w:p w14:paraId="585C9910">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（一）农、林、牧、渔业。营业收入20000万元以下的为中小微型企业。其中，营业收入500万元及以上的为中型企业，营业收入50万元及以上的为小型企业，营业收入50万元以下的为微型企业。</w:t>
      </w:r>
    </w:p>
    <w:p w14:paraId="03D540DF">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6ADEEF">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BC3E5ED">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AAB97A2">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84D45C0">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F2A9ABB">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8749CFB">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8AAE74">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52492A">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EA58ED8">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B3B568C">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EBB720C">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F09830D">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EF969F">
      <w:pPr>
        <w:tabs>
          <w:tab w:val="left" w:pos="6300"/>
        </w:tabs>
        <w:snapToGrid w:val="0"/>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C58041E">
      <w:pPr>
        <w:tabs>
          <w:tab w:val="left" w:pos="6300"/>
        </w:tabs>
        <w:snapToGrid w:val="0"/>
        <w:ind w:firstLine="440" w:firstLineChars="200"/>
        <w:rPr>
          <w:rFonts w:hint="eastAsia" w:ascii="宋体" w:hAnsi="宋体" w:eastAsia="宋体" w:cs="宋体"/>
          <w:color w:val="auto"/>
          <w:highlight w:val="none"/>
        </w:rPr>
      </w:pPr>
      <w:r>
        <w:rPr>
          <w:rFonts w:hint="eastAsia" w:ascii="宋体" w:hAnsi="宋体" w:eastAsia="宋体" w:cs="宋体"/>
          <w:color w:val="auto"/>
          <w:kern w:val="0"/>
          <w:sz w:val="22"/>
          <w:szCs w:val="22"/>
          <w:highlight w:val="none"/>
        </w:rPr>
        <w:t>（十六）其他未列明行业。从业人员300人以下的为中小微型企业。其中，从业人员100人及以上的为中型企业；从业人员10人及以上的为小型企业；从业人员10人以下的为微型企业。</w:t>
      </w:r>
    </w:p>
    <w:p w14:paraId="5128E68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21AD738">
      <w:pPr>
        <w:tabs>
          <w:tab w:val="left" w:pos="6300"/>
        </w:tabs>
        <w:snapToGrid w:val="0"/>
        <w:spacing w:line="500" w:lineRule="exact"/>
        <w:ind w:firstLine="56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sz w:val="29"/>
          <w:szCs w:val="29"/>
          <w:highlight w:val="none"/>
        </w:rPr>
        <w:t>监狱企业证明文件</w:t>
      </w:r>
    </w:p>
    <w:p w14:paraId="793B2CC9">
      <w:pPr>
        <w:tabs>
          <w:tab w:val="left" w:pos="6300"/>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以省级以上监狱管理局、戒毒管理局（含新疆生产建设兵团）出具的属于监狱企业的证明文件为准。</w:t>
      </w:r>
      <w:r>
        <w:rPr>
          <w:rFonts w:hint="eastAsia" w:ascii="宋体" w:hAnsi="宋体" w:eastAsia="宋体" w:cs="宋体"/>
          <w:color w:val="auto"/>
          <w:sz w:val="21"/>
          <w:szCs w:val="21"/>
          <w:highlight w:val="none"/>
        </w:rPr>
        <w:br w:type="page"/>
      </w:r>
      <w:r>
        <w:rPr>
          <w:rFonts w:hint="eastAsia" w:ascii="宋体" w:hAnsi="宋体" w:eastAsia="宋体" w:cs="宋体"/>
          <w:color w:val="auto"/>
          <w:highlight w:val="none"/>
        </w:rPr>
        <w:t>3.残疾人福利性单位声明函</w:t>
      </w:r>
    </w:p>
    <w:p w14:paraId="2E9D5BE8">
      <w:pPr>
        <w:tabs>
          <w:tab w:val="left" w:pos="6300"/>
        </w:tabs>
        <w:snapToGrid w:val="0"/>
        <w:spacing w:line="500" w:lineRule="exact"/>
        <w:ind w:firstLine="560" w:firstLineChars="200"/>
        <w:jc w:val="center"/>
        <w:rPr>
          <w:rFonts w:hint="eastAsia" w:ascii="宋体" w:hAnsi="宋体" w:eastAsia="宋体" w:cs="宋体"/>
          <w:color w:val="auto"/>
          <w:highlight w:val="none"/>
        </w:rPr>
      </w:pPr>
      <w:r>
        <w:rPr>
          <w:rFonts w:hint="eastAsia" w:ascii="宋体" w:hAnsi="宋体" w:eastAsia="宋体" w:cs="宋体"/>
          <w:color w:val="auto"/>
          <w:highlight w:val="none"/>
        </w:rPr>
        <w:t>残疾人福利性单位声明函</w:t>
      </w:r>
    </w:p>
    <w:p w14:paraId="6FB55A6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9D71D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7AB3D34">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494FDFA5">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73874D4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供应商名称（盖章）：</w:t>
      </w:r>
    </w:p>
    <w:p w14:paraId="21770213">
      <w:pPr>
        <w:tabs>
          <w:tab w:val="left" w:pos="6300"/>
        </w:tabs>
        <w:snapToGrid w:val="0"/>
        <w:spacing w:line="500" w:lineRule="exact"/>
        <w:ind w:firstLine="482"/>
        <w:jc w:val="lef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                                                  日  期：</w:t>
      </w:r>
    </w:p>
    <w:p w14:paraId="6BA61E33">
      <w:pPr>
        <w:spacing w:line="360" w:lineRule="auto"/>
        <w:rPr>
          <w:rFonts w:hint="eastAsia" w:ascii="宋体" w:hAnsi="宋体" w:eastAsia="宋体" w:cs="宋体"/>
          <w:color w:val="auto"/>
          <w:sz w:val="24"/>
          <w:szCs w:val="24"/>
          <w:highlight w:val="none"/>
        </w:rPr>
      </w:pPr>
    </w:p>
    <w:p w14:paraId="7382E31E">
      <w:pPr>
        <w:pStyle w:val="18"/>
        <w:rPr>
          <w:rFonts w:hint="eastAsia" w:ascii="宋体" w:hAnsi="宋体" w:eastAsia="宋体" w:cs="宋体"/>
          <w:color w:val="auto"/>
          <w:szCs w:val="24"/>
          <w:highlight w:val="none"/>
        </w:rPr>
      </w:pPr>
    </w:p>
    <w:p w14:paraId="37609616">
      <w:pPr>
        <w:rPr>
          <w:rFonts w:hint="eastAsia" w:ascii="宋体" w:hAnsi="宋体" w:eastAsia="宋体" w:cs="宋体"/>
          <w:color w:val="auto"/>
          <w:sz w:val="24"/>
          <w:szCs w:val="24"/>
          <w:highlight w:val="none"/>
        </w:rPr>
      </w:pPr>
    </w:p>
    <w:p w14:paraId="20C29E54">
      <w:pPr>
        <w:pStyle w:val="18"/>
        <w:rPr>
          <w:rFonts w:hint="eastAsia" w:ascii="宋体" w:hAnsi="宋体" w:eastAsia="宋体" w:cs="宋体"/>
          <w:color w:val="auto"/>
          <w:szCs w:val="24"/>
          <w:highlight w:val="none"/>
        </w:rPr>
      </w:pPr>
    </w:p>
    <w:p w14:paraId="037BD48F">
      <w:pPr>
        <w:rPr>
          <w:rFonts w:hint="eastAsia" w:ascii="宋体" w:hAnsi="宋体" w:eastAsia="宋体" w:cs="宋体"/>
          <w:color w:val="auto"/>
          <w:sz w:val="24"/>
          <w:szCs w:val="24"/>
          <w:highlight w:val="none"/>
        </w:rPr>
      </w:pPr>
    </w:p>
    <w:p w14:paraId="6462FA16">
      <w:pPr>
        <w:pStyle w:val="18"/>
        <w:rPr>
          <w:rFonts w:hint="eastAsia" w:ascii="宋体" w:hAnsi="宋体" w:eastAsia="宋体" w:cs="宋体"/>
          <w:color w:val="auto"/>
          <w:szCs w:val="24"/>
          <w:highlight w:val="none"/>
        </w:rPr>
      </w:pPr>
    </w:p>
    <w:p w14:paraId="6DDE19DE">
      <w:pPr>
        <w:rPr>
          <w:rFonts w:hint="eastAsia" w:ascii="宋体" w:hAnsi="宋体" w:eastAsia="宋体" w:cs="宋体"/>
          <w:color w:val="auto"/>
          <w:sz w:val="24"/>
          <w:szCs w:val="24"/>
          <w:highlight w:val="none"/>
        </w:rPr>
      </w:pPr>
    </w:p>
    <w:p w14:paraId="7FC4A23C">
      <w:pPr>
        <w:pStyle w:val="55"/>
        <w:ind w:firstLine="482"/>
        <w:rPr>
          <w:rFonts w:hint="eastAsia" w:ascii="宋体" w:hAnsi="宋体" w:eastAsia="宋体" w:cs="宋体"/>
          <w:color w:val="auto"/>
          <w:szCs w:val="24"/>
          <w:highlight w:val="none"/>
        </w:rPr>
      </w:pPr>
    </w:p>
    <w:p w14:paraId="52B36D8C">
      <w:pPr>
        <w:pStyle w:val="55"/>
        <w:ind w:firstLine="482"/>
        <w:rPr>
          <w:rFonts w:hint="eastAsia" w:ascii="宋体" w:hAnsi="宋体" w:eastAsia="宋体" w:cs="宋体"/>
          <w:color w:val="auto"/>
          <w:szCs w:val="24"/>
          <w:highlight w:val="none"/>
        </w:rPr>
      </w:pPr>
    </w:p>
    <w:p w14:paraId="0F51FE32">
      <w:pPr>
        <w:pStyle w:val="55"/>
        <w:ind w:firstLine="482"/>
        <w:rPr>
          <w:rFonts w:hint="eastAsia" w:ascii="宋体" w:hAnsi="宋体" w:eastAsia="宋体" w:cs="宋体"/>
          <w:color w:val="auto"/>
          <w:szCs w:val="24"/>
          <w:highlight w:val="none"/>
        </w:rPr>
      </w:pPr>
    </w:p>
    <w:p w14:paraId="5415FF81">
      <w:pPr>
        <w:pStyle w:val="55"/>
        <w:ind w:firstLine="482"/>
        <w:rPr>
          <w:rFonts w:hint="eastAsia" w:ascii="宋体" w:hAnsi="宋体" w:eastAsia="宋体" w:cs="宋体"/>
          <w:color w:val="auto"/>
          <w:szCs w:val="24"/>
          <w:highlight w:val="none"/>
        </w:rPr>
      </w:pPr>
    </w:p>
    <w:p w14:paraId="4C23E43C">
      <w:pPr>
        <w:pStyle w:val="55"/>
        <w:ind w:firstLine="482"/>
        <w:rPr>
          <w:rFonts w:hint="eastAsia" w:ascii="宋体" w:hAnsi="宋体" w:eastAsia="宋体" w:cs="宋体"/>
          <w:color w:val="auto"/>
          <w:szCs w:val="24"/>
          <w:highlight w:val="none"/>
        </w:rPr>
      </w:pPr>
    </w:p>
    <w:p w14:paraId="60F023C7">
      <w:pPr>
        <w:pStyle w:val="18"/>
        <w:rPr>
          <w:rFonts w:hint="eastAsia" w:ascii="宋体" w:hAnsi="宋体" w:eastAsia="宋体" w:cs="宋体"/>
          <w:color w:val="auto"/>
          <w:szCs w:val="24"/>
          <w:highlight w:val="none"/>
        </w:rPr>
      </w:pPr>
    </w:p>
    <w:p w14:paraId="31D64115">
      <w:pPr>
        <w:rPr>
          <w:rFonts w:hint="eastAsia" w:ascii="宋体" w:hAnsi="宋体" w:eastAsia="宋体" w:cs="宋体"/>
          <w:color w:val="auto"/>
          <w:sz w:val="24"/>
          <w:szCs w:val="24"/>
          <w:highlight w:val="none"/>
        </w:rPr>
      </w:pPr>
    </w:p>
    <w:p w14:paraId="631B34B4">
      <w:pPr>
        <w:spacing w:line="360" w:lineRule="auto"/>
        <w:rPr>
          <w:rFonts w:hint="eastAsia" w:ascii="宋体" w:hAnsi="宋体" w:eastAsia="宋体" w:cs="宋体"/>
          <w:color w:val="auto"/>
          <w:sz w:val="24"/>
          <w:szCs w:val="24"/>
          <w:highlight w:val="none"/>
        </w:rPr>
      </w:pPr>
    </w:p>
    <w:p w14:paraId="2AAA350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w:t>
      </w:r>
    </w:p>
    <w:p w14:paraId="2124150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1、其他与</w:t>
      </w:r>
      <w:r>
        <w:rPr>
          <w:rFonts w:hint="eastAsia" w:ascii="宋体" w:hAnsi="宋体" w:cs="宋体"/>
          <w:color w:val="auto"/>
          <w:sz w:val="24"/>
          <w:szCs w:val="24"/>
          <w:highlight w:val="none"/>
          <w:lang w:val="en-US" w:eastAsia="zh-CN"/>
        </w:rPr>
        <w:t>本</w:t>
      </w:r>
      <w:r>
        <w:rPr>
          <w:rFonts w:hint="eastAsia" w:ascii="宋体" w:hAnsi="宋体" w:eastAsia="宋体" w:cs="宋体"/>
          <w:color w:val="auto"/>
          <w:sz w:val="24"/>
          <w:szCs w:val="24"/>
          <w:highlight w:val="none"/>
        </w:rPr>
        <w:t>项目有关的资料（自附）：供应商总体情况介绍、其他与本项目有关的资料</w:t>
      </w:r>
    </w:p>
    <w:p w14:paraId="550D36F6">
      <w:pPr>
        <w:spacing w:line="360" w:lineRule="auto"/>
        <w:jc w:val="center"/>
        <w:rPr>
          <w:rFonts w:hint="eastAsia" w:ascii="宋体" w:hAnsi="宋体" w:eastAsia="宋体" w:cs="宋体"/>
          <w:color w:val="auto"/>
          <w:sz w:val="24"/>
          <w:szCs w:val="24"/>
          <w:highlight w:val="none"/>
        </w:rPr>
      </w:pPr>
    </w:p>
    <w:p w14:paraId="53379A0B">
      <w:pPr>
        <w:spacing w:line="360" w:lineRule="auto"/>
        <w:jc w:val="center"/>
        <w:rPr>
          <w:rFonts w:hint="eastAsia" w:ascii="宋体" w:hAnsi="宋体" w:eastAsia="宋体" w:cs="宋体"/>
          <w:color w:val="auto"/>
          <w:sz w:val="24"/>
          <w:szCs w:val="24"/>
          <w:highlight w:val="none"/>
        </w:rPr>
      </w:pPr>
    </w:p>
    <w:p w14:paraId="3826CC16">
      <w:pPr>
        <w:spacing w:line="360" w:lineRule="auto"/>
        <w:jc w:val="center"/>
        <w:rPr>
          <w:rFonts w:hint="eastAsia" w:ascii="宋体" w:hAnsi="宋体" w:eastAsia="宋体" w:cs="宋体"/>
          <w:color w:val="auto"/>
          <w:sz w:val="24"/>
          <w:szCs w:val="24"/>
          <w:highlight w:val="none"/>
        </w:rPr>
      </w:pPr>
    </w:p>
    <w:p w14:paraId="33953B42">
      <w:pPr>
        <w:spacing w:line="360" w:lineRule="auto"/>
        <w:jc w:val="center"/>
        <w:rPr>
          <w:rFonts w:hint="eastAsia" w:ascii="宋体" w:hAnsi="宋体" w:eastAsia="宋体" w:cs="宋体"/>
          <w:color w:val="auto"/>
          <w:sz w:val="24"/>
          <w:szCs w:val="24"/>
          <w:highlight w:val="none"/>
        </w:rPr>
      </w:pPr>
    </w:p>
    <w:p w14:paraId="782AC1BE">
      <w:pPr>
        <w:spacing w:line="360" w:lineRule="auto"/>
        <w:jc w:val="center"/>
        <w:rPr>
          <w:rFonts w:hint="eastAsia" w:ascii="宋体" w:hAnsi="宋体" w:eastAsia="宋体" w:cs="宋体"/>
          <w:color w:val="auto"/>
          <w:sz w:val="24"/>
          <w:szCs w:val="24"/>
          <w:highlight w:val="none"/>
        </w:rPr>
      </w:pPr>
    </w:p>
    <w:p w14:paraId="40423BC5">
      <w:pPr>
        <w:spacing w:line="360" w:lineRule="auto"/>
        <w:jc w:val="center"/>
        <w:rPr>
          <w:rFonts w:hint="eastAsia" w:ascii="宋体" w:hAnsi="宋体" w:eastAsia="宋体" w:cs="宋体"/>
          <w:color w:val="auto"/>
          <w:sz w:val="24"/>
          <w:szCs w:val="24"/>
          <w:highlight w:val="none"/>
        </w:rPr>
      </w:pPr>
    </w:p>
    <w:p w14:paraId="43CD4146">
      <w:pPr>
        <w:spacing w:line="360" w:lineRule="auto"/>
        <w:jc w:val="center"/>
        <w:rPr>
          <w:rFonts w:hint="eastAsia" w:ascii="宋体" w:hAnsi="宋体" w:eastAsia="宋体" w:cs="宋体"/>
          <w:color w:val="auto"/>
          <w:sz w:val="24"/>
          <w:szCs w:val="24"/>
          <w:highlight w:val="none"/>
        </w:rPr>
      </w:pPr>
    </w:p>
    <w:p w14:paraId="613D1F7E">
      <w:pPr>
        <w:spacing w:line="360" w:lineRule="auto"/>
        <w:jc w:val="center"/>
        <w:rPr>
          <w:rFonts w:hint="eastAsia" w:ascii="宋体" w:hAnsi="宋体" w:eastAsia="宋体" w:cs="宋体"/>
          <w:color w:val="auto"/>
          <w:sz w:val="24"/>
          <w:szCs w:val="24"/>
          <w:highlight w:val="none"/>
        </w:rPr>
      </w:pPr>
    </w:p>
    <w:p w14:paraId="6C9B095E">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p w14:paraId="59ED4100">
      <w:pPr>
        <w:spacing w:line="360" w:lineRule="auto"/>
        <w:jc w:val="center"/>
        <w:rPr>
          <w:rFonts w:hint="eastAsia" w:ascii="宋体" w:hAnsi="宋体" w:eastAsia="宋体" w:cs="宋体"/>
          <w:color w:val="auto"/>
          <w:highlight w:val="none"/>
        </w:rPr>
      </w:pPr>
    </w:p>
    <w:bookmarkEnd w:id="181"/>
    <w:sectPr>
      <w:headerReference r:id="rId15" w:type="default"/>
      <w:footerReference r:id="rId16" w:type="default"/>
      <w:pgSz w:w="11907" w:h="16840"/>
      <w:pgMar w:top="1134" w:right="1191" w:bottom="1134" w:left="1304" w:header="851" w:footer="992" w:gutter="0"/>
      <w:cols w:space="720" w:num="1"/>
      <w:rtlGutter w:val="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57F93F7D-B3A7-45CC-8466-67E02791FC95}"/>
  </w:font>
  <w:font w:name="Verdana">
    <w:panose1 w:val="020B0604030504040204"/>
    <w:charset w:val="00"/>
    <w:family w:val="swiss"/>
    <w:pitch w:val="default"/>
    <w:sig w:usb0="A00006FF" w:usb1="4000205B" w:usb2="0000001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2" w:fontKey="{5BD5FB0D-2B84-4280-A596-4472EFC9135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E555D">
    <w:pPr>
      <w:pStyle w:val="35"/>
      <w:framePr w:wrap="around" w:vAnchor="text" w:hAnchor="margin" w:xAlign="center" w:y="1"/>
      <w:rPr>
        <w:rStyle w:val="61"/>
      </w:rPr>
    </w:pPr>
    <w:r>
      <w:fldChar w:fldCharType="begin"/>
    </w:r>
    <w:r>
      <w:rPr>
        <w:rStyle w:val="61"/>
      </w:rPr>
      <w:instrText xml:space="preserve">PAGE  </w:instrText>
    </w:r>
    <w:r>
      <w:fldChar w:fldCharType="end"/>
    </w:r>
  </w:p>
  <w:p w14:paraId="58EEFE48">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385D">
    <w:pPr>
      <w:pStyle w:val="35"/>
      <w:framePr w:wrap="around" w:vAnchor="text" w:hAnchor="margin" w:xAlign="center" w:y="1"/>
      <w:rPr>
        <w:rStyle w:val="61"/>
      </w:rPr>
    </w:pPr>
  </w:p>
  <w:p w14:paraId="7E543844">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A101">
    <w:pPr>
      <w:pStyle w:val="3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6DECC">
                          <w:pPr>
                            <w:pStyle w:val="35"/>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6</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6D6DECC">
                    <w:pPr>
                      <w:pStyle w:val="35"/>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6</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8D4C">
    <w:pPr>
      <w:pStyle w:val="35"/>
      <w:jc w:val="center"/>
      <w:rPr>
        <w:rFonts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B75F1">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8</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1B75F1">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8</w:t>
                    </w:r>
                    <w:r>
                      <w:rPr>
                        <w:rFonts w:ascii="宋体" w:hAns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A27E1">
    <w:pPr>
      <w:pStyle w:val="35"/>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F6004">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11</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EDF6004">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11</w:t>
                    </w:r>
                    <w:r>
                      <w:rPr>
                        <w:rFonts w:ascii="宋体" w:hAns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A045">
    <w:pPr>
      <w:pStyle w:val="35"/>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65F4E">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21</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A365F4E">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21</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F4D5A">
    <w:pPr>
      <w:pStyle w:val="35"/>
      <w:framePr w:wrap="around" w:vAnchor="text" w:hAnchor="margin" w:xAlign="center" w:y="1"/>
      <w:rPr>
        <w:rStyle w:val="61"/>
      </w:rPr>
    </w:pPr>
    <w:r>
      <w:fldChar w:fldCharType="begin"/>
    </w:r>
    <w:r>
      <w:rPr>
        <w:rStyle w:val="61"/>
      </w:rPr>
      <w:instrText xml:space="preserve">PAGE  </w:instrText>
    </w:r>
    <w:r>
      <w:fldChar w:fldCharType="end"/>
    </w:r>
  </w:p>
  <w:p w14:paraId="502E178B">
    <w:pPr>
      <w:pStyle w:val="3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6CCAE">
    <w:pPr>
      <w:pStyle w:val="35"/>
      <w:jc w:val="center"/>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B8F6D">
                          <w:pPr>
                            <w:pStyle w:val="3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21EB8F6D">
                    <w:pPr>
                      <w:pStyle w:val="3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D58B">
    <w:pPr>
      <w:pStyle w:val="35"/>
      <w:ind w:firstLine="422"/>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820BC">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41</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9D820BC">
                    <w:pPr>
                      <w:pStyle w:val="35"/>
                      <w:jc w:val="cente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41</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49DB4">
    <w:pPr>
      <w:pStyle w:val="36"/>
      <w:jc w:val="both"/>
      <w:rPr>
        <w:rFonts w:ascii="仿宋" w:hAnsi="仿宋" w:eastAsia="仿宋"/>
        <w:sz w:val="21"/>
        <w:szCs w:val="21"/>
      </w:rPr>
    </w:pPr>
    <w:r>
      <w:rPr>
        <w:rFonts w:hint="eastAsia" w:ascii="仿宋" w:hAnsi="仿宋" w:eastAsia="仿宋"/>
        <w:sz w:val="21"/>
        <w:szCs w:val="21"/>
      </w:rPr>
      <w:t>重庆鼎创招标代理有限公司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D9633">
    <w:pPr>
      <w:pStyle w:val="36"/>
      <w:jc w:val="both"/>
    </w:pPr>
    <w:r>
      <w:rPr>
        <w:rFonts w:hint="eastAsia" w:ascii="仿宋" w:hAnsi="仿宋" w:eastAsia="仿宋"/>
        <w:sz w:val="21"/>
        <w:szCs w:val="21"/>
      </w:rPr>
      <w:t>重庆鼎创招标代理有限公司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39122">
    <w:pPr>
      <w:pStyle w:val="36"/>
      <w:jc w:val="both"/>
      <w:rPr>
        <w:rFonts w:hint="eastAsia" w:ascii="仿宋" w:hAnsi="仿宋" w:eastAsia="仿宋" w:cs="仿宋"/>
        <w:sz w:val="21"/>
        <w:szCs w:val="21"/>
      </w:rPr>
    </w:pPr>
    <w:r>
      <w:rPr>
        <w:rFonts w:hint="eastAsia" w:ascii="仿宋" w:hAnsi="仿宋" w:eastAsia="仿宋" w:cs="仿宋"/>
        <w:sz w:val="21"/>
        <w:szCs w:val="21"/>
      </w:rPr>
      <w:t>重庆鼎创招标代理有限公司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C964">
    <w:pPr>
      <w:pStyle w:val="36"/>
      <w:jc w:val="both"/>
      <w:rPr>
        <w:rFonts w:ascii="宋体" w:hAnsi="宋体" w:cs="宋体"/>
        <w:sz w:val="21"/>
        <w:szCs w:val="21"/>
      </w:rPr>
    </w:pPr>
    <w:r>
      <w:rPr>
        <w:rFonts w:hint="eastAsia" w:ascii="宋体" w:hAnsi="宋体" w:cs="宋体"/>
        <w:sz w:val="21"/>
        <w:szCs w:val="21"/>
      </w:rPr>
      <w:t>重庆鼎创招标代理有限公司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D47C7">
    <w:pPr>
      <w:pStyle w:val="36"/>
      <w:ind w:firstLine="422"/>
      <w:jc w:val="both"/>
      <w:rPr>
        <w:rFonts w:ascii="仿宋" w:hAnsi="仿宋" w:eastAsia="仿宋"/>
        <w:sz w:val="21"/>
        <w:szCs w:val="21"/>
      </w:rPr>
    </w:pPr>
    <w:r>
      <w:rPr>
        <w:rFonts w:hint="eastAsia" w:ascii="仿宋" w:hAnsi="仿宋" w:eastAsia="仿宋"/>
        <w:sz w:val="21"/>
        <w:szCs w:val="21"/>
      </w:rPr>
      <w:t>重庆鼎创招标代理有限公司                                              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2YmFkOGM2YWMzZWY0M2E3YTg0YjcxMWFhZDBmNTgifQ=="/>
  </w:docVars>
  <w:rsids>
    <w:rsidRoot w:val="00172A27"/>
    <w:rsid w:val="000120A2"/>
    <w:rsid w:val="000143EA"/>
    <w:rsid w:val="0002549C"/>
    <w:rsid w:val="00030C5A"/>
    <w:rsid w:val="00043BC2"/>
    <w:rsid w:val="000566A1"/>
    <w:rsid w:val="000739C8"/>
    <w:rsid w:val="0008423B"/>
    <w:rsid w:val="0008708B"/>
    <w:rsid w:val="000B68AA"/>
    <w:rsid w:val="000D3C74"/>
    <w:rsid w:val="000D500B"/>
    <w:rsid w:val="000E3245"/>
    <w:rsid w:val="000F126B"/>
    <w:rsid w:val="000F1F13"/>
    <w:rsid w:val="0011260F"/>
    <w:rsid w:val="00117082"/>
    <w:rsid w:val="0013562B"/>
    <w:rsid w:val="00137850"/>
    <w:rsid w:val="00150CAE"/>
    <w:rsid w:val="00172A27"/>
    <w:rsid w:val="0018056A"/>
    <w:rsid w:val="00180FED"/>
    <w:rsid w:val="00193BB3"/>
    <w:rsid w:val="00197F85"/>
    <w:rsid w:val="001A0223"/>
    <w:rsid w:val="001A30C7"/>
    <w:rsid w:val="001A6BD6"/>
    <w:rsid w:val="001A7944"/>
    <w:rsid w:val="001B56BE"/>
    <w:rsid w:val="001E2E51"/>
    <w:rsid w:val="001E7D04"/>
    <w:rsid w:val="001F2225"/>
    <w:rsid w:val="00217DDB"/>
    <w:rsid w:val="002274CC"/>
    <w:rsid w:val="00236038"/>
    <w:rsid w:val="00237493"/>
    <w:rsid w:val="002460FA"/>
    <w:rsid w:val="00252953"/>
    <w:rsid w:val="00256C73"/>
    <w:rsid w:val="00295CDD"/>
    <w:rsid w:val="002A0931"/>
    <w:rsid w:val="002A4EED"/>
    <w:rsid w:val="002A646B"/>
    <w:rsid w:val="002B4A33"/>
    <w:rsid w:val="002B6CA9"/>
    <w:rsid w:val="002C369E"/>
    <w:rsid w:val="002C5DB9"/>
    <w:rsid w:val="002E56FB"/>
    <w:rsid w:val="002E6C3D"/>
    <w:rsid w:val="00304137"/>
    <w:rsid w:val="003048B6"/>
    <w:rsid w:val="0031365B"/>
    <w:rsid w:val="00320C39"/>
    <w:rsid w:val="00324D13"/>
    <w:rsid w:val="00330D6D"/>
    <w:rsid w:val="00333FEB"/>
    <w:rsid w:val="00346667"/>
    <w:rsid w:val="00346BD3"/>
    <w:rsid w:val="003645E4"/>
    <w:rsid w:val="00367FC2"/>
    <w:rsid w:val="00376217"/>
    <w:rsid w:val="00377076"/>
    <w:rsid w:val="00382A07"/>
    <w:rsid w:val="003867F1"/>
    <w:rsid w:val="003E2F3B"/>
    <w:rsid w:val="0040020E"/>
    <w:rsid w:val="00422B5B"/>
    <w:rsid w:val="00442827"/>
    <w:rsid w:val="00443537"/>
    <w:rsid w:val="0044529C"/>
    <w:rsid w:val="004458F2"/>
    <w:rsid w:val="004463EA"/>
    <w:rsid w:val="00450D61"/>
    <w:rsid w:val="0045268E"/>
    <w:rsid w:val="0045743C"/>
    <w:rsid w:val="0046590E"/>
    <w:rsid w:val="00470508"/>
    <w:rsid w:val="00475065"/>
    <w:rsid w:val="00481305"/>
    <w:rsid w:val="0048429A"/>
    <w:rsid w:val="004904ED"/>
    <w:rsid w:val="004947A0"/>
    <w:rsid w:val="004B7187"/>
    <w:rsid w:val="004C1DA1"/>
    <w:rsid w:val="004C1EC4"/>
    <w:rsid w:val="004C3C57"/>
    <w:rsid w:val="004D149C"/>
    <w:rsid w:val="004D1A39"/>
    <w:rsid w:val="004D556F"/>
    <w:rsid w:val="004E266F"/>
    <w:rsid w:val="004E2D0A"/>
    <w:rsid w:val="004E6223"/>
    <w:rsid w:val="004E747D"/>
    <w:rsid w:val="00513E65"/>
    <w:rsid w:val="0051411D"/>
    <w:rsid w:val="0052023B"/>
    <w:rsid w:val="00522814"/>
    <w:rsid w:val="00524C33"/>
    <w:rsid w:val="005452D4"/>
    <w:rsid w:val="00550B4B"/>
    <w:rsid w:val="005519F2"/>
    <w:rsid w:val="0055272A"/>
    <w:rsid w:val="00560B68"/>
    <w:rsid w:val="0056303B"/>
    <w:rsid w:val="00563E4E"/>
    <w:rsid w:val="00564C86"/>
    <w:rsid w:val="00567DAA"/>
    <w:rsid w:val="00573AF1"/>
    <w:rsid w:val="00582582"/>
    <w:rsid w:val="005838E6"/>
    <w:rsid w:val="005A14C0"/>
    <w:rsid w:val="005C566A"/>
    <w:rsid w:val="005C771B"/>
    <w:rsid w:val="005D2734"/>
    <w:rsid w:val="005F1ABB"/>
    <w:rsid w:val="006051BD"/>
    <w:rsid w:val="0060641D"/>
    <w:rsid w:val="006064F0"/>
    <w:rsid w:val="00606741"/>
    <w:rsid w:val="00620CB8"/>
    <w:rsid w:val="0062707F"/>
    <w:rsid w:val="00630CB4"/>
    <w:rsid w:val="0064424F"/>
    <w:rsid w:val="00650358"/>
    <w:rsid w:val="00673E34"/>
    <w:rsid w:val="0068600F"/>
    <w:rsid w:val="00690DF6"/>
    <w:rsid w:val="0069545E"/>
    <w:rsid w:val="00696729"/>
    <w:rsid w:val="006A2D6E"/>
    <w:rsid w:val="006E0898"/>
    <w:rsid w:val="006E5BAF"/>
    <w:rsid w:val="006F3086"/>
    <w:rsid w:val="006F65D2"/>
    <w:rsid w:val="00734493"/>
    <w:rsid w:val="00746AF2"/>
    <w:rsid w:val="0075367C"/>
    <w:rsid w:val="00774665"/>
    <w:rsid w:val="00781C91"/>
    <w:rsid w:val="00782C2F"/>
    <w:rsid w:val="00792144"/>
    <w:rsid w:val="007A27EE"/>
    <w:rsid w:val="007C5704"/>
    <w:rsid w:val="007D21A6"/>
    <w:rsid w:val="007D333F"/>
    <w:rsid w:val="007E7097"/>
    <w:rsid w:val="00802DF4"/>
    <w:rsid w:val="00803149"/>
    <w:rsid w:val="00823DE6"/>
    <w:rsid w:val="00827D5B"/>
    <w:rsid w:val="00846E9E"/>
    <w:rsid w:val="00871DF8"/>
    <w:rsid w:val="0087444B"/>
    <w:rsid w:val="00877B8A"/>
    <w:rsid w:val="00880C46"/>
    <w:rsid w:val="00896A7A"/>
    <w:rsid w:val="008B02F2"/>
    <w:rsid w:val="008B0DC5"/>
    <w:rsid w:val="008B3868"/>
    <w:rsid w:val="008B5614"/>
    <w:rsid w:val="008B65F0"/>
    <w:rsid w:val="008C152F"/>
    <w:rsid w:val="008D1E0F"/>
    <w:rsid w:val="008D352F"/>
    <w:rsid w:val="008E05BF"/>
    <w:rsid w:val="008E478C"/>
    <w:rsid w:val="008E6793"/>
    <w:rsid w:val="008F09EC"/>
    <w:rsid w:val="00904482"/>
    <w:rsid w:val="009076CC"/>
    <w:rsid w:val="00921EAA"/>
    <w:rsid w:val="0093127E"/>
    <w:rsid w:val="00940A9B"/>
    <w:rsid w:val="00946006"/>
    <w:rsid w:val="00960C8B"/>
    <w:rsid w:val="009659D9"/>
    <w:rsid w:val="009A3451"/>
    <w:rsid w:val="009A7342"/>
    <w:rsid w:val="009C3100"/>
    <w:rsid w:val="009C47B6"/>
    <w:rsid w:val="009C58E4"/>
    <w:rsid w:val="009E54F0"/>
    <w:rsid w:val="00A057D3"/>
    <w:rsid w:val="00A10993"/>
    <w:rsid w:val="00A1489C"/>
    <w:rsid w:val="00A151F5"/>
    <w:rsid w:val="00A160E3"/>
    <w:rsid w:val="00A203D7"/>
    <w:rsid w:val="00A24653"/>
    <w:rsid w:val="00A251E8"/>
    <w:rsid w:val="00A419CB"/>
    <w:rsid w:val="00A41AC2"/>
    <w:rsid w:val="00A432BC"/>
    <w:rsid w:val="00A5142C"/>
    <w:rsid w:val="00A62046"/>
    <w:rsid w:val="00A641FB"/>
    <w:rsid w:val="00A64F7E"/>
    <w:rsid w:val="00A65F7E"/>
    <w:rsid w:val="00A86CB2"/>
    <w:rsid w:val="00A9386F"/>
    <w:rsid w:val="00AA33D9"/>
    <w:rsid w:val="00AA44DE"/>
    <w:rsid w:val="00AC3B97"/>
    <w:rsid w:val="00AC6B69"/>
    <w:rsid w:val="00AC6DE1"/>
    <w:rsid w:val="00AD0130"/>
    <w:rsid w:val="00AE4F44"/>
    <w:rsid w:val="00AE6CE8"/>
    <w:rsid w:val="00AF10C6"/>
    <w:rsid w:val="00B13ED0"/>
    <w:rsid w:val="00B15D8E"/>
    <w:rsid w:val="00B169FB"/>
    <w:rsid w:val="00B314CC"/>
    <w:rsid w:val="00B435D7"/>
    <w:rsid w:val="00B75DD7"/>
    <w:rsid w:val="00B76948"/>
    <w:rsid w:val="00B81AE9"/>
    <w:rsid w:val="00B868B3"/>
    <w:rsid w:val="00B93997"/>
    <w:rsid w:val="00BB6450"/>
    <w:rsid w:val="00BB7457"/>
    <w:rsid w:val="00BC23B1"/>
    <w:rsid w:val="00BE60C2"/>
    <w:rsid w:val="00BF0051"/>
    <w:rsid w:val="00BF4EB5"/>
    <w:rsid w:val="00C002B8"/>
    <w:rsid w:val="00C13205"/>
    <w:rsid w:val="00C26D86"/>
    <w:rsid w:val="00C45D7A"/>
    <w:rsid w:val="00C5283B"/>
    <w:rsid w:val="00C8036A"/>
    <w:rsid w:val="00C8129F"/>
    <w:rsid w:val="00C952A2"/>
    <w:rsid w:val="00CB6EDB"/>
    <w:rsid w:val="00CC4113"/>
    <w:rsid w:val="00CC5699"/>
    <w:rsid w:val="00CD45CC"/>
    <w:rsid w:val="00CD4EB7"/>
    <w:rsid w:val="00CE166B"/>
    <w:rsid w:val="00D07C13"/>
    <w:rsid w:val="00D10EED"/>
    <w:rsid w:val="00D2538D"/>
    <w:rsid w:val="00D37649"/>
    <w:rsid w:val="00D4258A"/>
    <w:rsid w:val="00D437B3"/>
    <w:rsid w:val="00D457EC"/>
    <w:rsid w:val="00D7453C"/>
    <w:rsid w:val="00D76A3C"/>
    <w:rsid w:val="00D84EAC"/>
    <w:rsid w:val="00DA7B98"/>
    <w:rsid w:val="00DB167F"/>
    <w:rsid w:val="00DB4B49"/>
    <w:rsid w:val="00DB6218"/>
    <w:rsid w:val="00DB6B3A"/>
    <w:rsid w:val="00DC531E"/>
    <w:rsid w:val="00DC5B17"/>
    <w:rsid w:val="00DE42C1"/>
    <w:rsid w:val="00DE46DF"/>
    <w:rsid w:val="00DF55F1"/>
    <w:rsid w:val="00DF7B2D"/>
    <w:rsid w:val="00E01061"/>
    <w:rsid w:val="00E01299"/>
    <w:rsid w:val="00E0279E"/>
    <w:rsid w:val="00E07730"/>
    <w:rsid w:val="00E14AAC"/>
    <w:rsid w:val="00E223C0"/>
    <w:rsid w:val="00E22D8F"/>
    <w:rsid w:val="00E30E26"/>
    <w:rsid w:val="00E452E8"/>
    <w:rsid w:val="00E5183C"/>
    <w:rsid w:val="00E76CBA"/>
    <w:rsid w:val="00E815AF"/>
    <w:rsid w:val="00E85C1F"/>
    <w:rsid w:val="00E959FC"/>
    <w:rsid w:val="00EA31BE"/>
    <w:rsid w:val="00EB2496"/>
    <w:rsid w:val="00EC190D"/>
    <w:rsid w:val="00ED1913"/>
    <w:rsid w:val="00EE0A91"/>
    <w:rsid w:val="00EE6EC1"/>
    <w:rsid w:val="00EF30ED"/>
    <w:rsid w:val="00F06EAA"/>
    <w:rsid w:val="00F17B83"/>
    <w:rsid w:val="00F17D96"/>
    <w:rsid w:val="00F17EE8"/>
    <w:rsid w:val="00F30869"/>
    <w:rsid w:val="00F43C62"/>
    <w:rsid w:val="00F44428"/>
    <w:rsid w:val="00F44D1F"/>
    <w:rsid w:val="00F512D2"/>
    <w:rsid w:val="00F543B8"/>
    <w:rsid w:val="00F616BA"/>
    <w:rsid w:val="00F72067"/>
    <w:rsid w:val="00F74EBD"/>
    <w:rsid w:val="00F77B61"/>
    <w:rsid w:val="00FB0BBC"/>
    <w:rsid w:val="00FC1DD3"/>
    <w:rsid w:val="00FD07CD"/>
    <w:rsid w:val="00FD181D"/>
    <w:rsid w:val="00FD2920"/>
    <w:rsid w:val="00FE3B26"/>
    <w:rsid w:val="00FE403F"/>
    <w:rsid w:val="00FE6195"/>
    <w:rsid w:val="00FF3CDE"/>
    <w:rsid w:val="00FF7173"/>
    <w:rsid w:val="01122D3A"/>
    <w:rsid w:val="012515C4"/>
    <w:rsid w:val="012A7464"/>
    <w:rsid w:val="01662093"/>
    <w:rsid w:val="016F7E96"/>
    <w:rsid w:val="017037C3"/>
    <w:rsid w:val="017B5688"/>
    <w:rsid w:val="019014C0"/>
    <w:rsid w:val="019B55D1"/>
    <w:rsid w:val="019D1959"/>
    <w:rsid w:val="019F03BC"/>
    <w:rsid w:val="01BA0C56"/>
    <w:rsid w:val="01CC7C92"/>
    <w:rsid w:val="01CF1530"/>
    <w:rsid w:val="01D63375"/>
    <w:rsid w:val="01E46D89"/>
    <w:rsid w:val="01ED4746"/>
    <w:rsid w:val="01EE400F"/>
    <w:rsid w:val="01EE4505"/>
    <w:rsid w:val="01FF7EAF"/>
    <w:rsid w:val="02027657"/>
    <w:rsid w:val="02111D80"/>
    <w:rsid w:val="0213623D"/>
    <w:rsid w:val="0213766F"/>
    <w:rsid w:val="021F6B64"/>
    <w:rsid w:val="02571C51"/>
    <w:rsid w:val="02716E90"/>
    <w:rsid w:val="02811BAD"/>
    <w:rsid w:val="02826EF9"/>
    <w:rsid w:val="02853582"/>
    <w:rsid w:val="029C56A3"/>
    <w:rsid w:val="02A3744C"/>
    <w:rsid w:val="02BD3B45"/>
    <w:rsid w:val="02DE6E65"/>
    <w:rsid w:val="02EB05EB"/>
    <w:rsid w:val="0309061F"/>
    <w:rsid w:val="032920CF"/>
    <w:rsid w:val="032D0373"/>
    <w:rsid w:val="03346E3D"/>
    <w:rsid w:val="03457CFC"/>
    <w:rsid w:val="03663920"/>
    <w:rsid w:val="036C57FE"/>
    <w:rsid w:val="0383779E"/>
    <w:rsid w:val="038553B5"/>
    <w:rsid w:val="03AE694C"/>
    <w:rsid w:val="03C9676C"/>
    <w:rsid w:val="03CA1FAF"/>
    <w:rsid w:val="03CC7C7C"/>
    <w:rsid w:val="03D41080"/>
    <w:rsid w:val="03DB29EC"/>
    <w:rsid w:val="03E5503B"/>
    <w:rsid w:val="03F36199"/>
    <w:rsid w:val="03F37758"/>
    <w:rsid w:val="03FB0B7A"/>
    <w:rsid w:val="040B46B3"/>
    <w:rsid w:val="04201766"/>
    <w:rsid w:val="043858E1"/>
    <w:rsid w:val="04461F7D"/>
    <w:rsid w:val="044C50BA"/>
    <w:rsid w:val="04646DEE"/>
    <w:rsid w:val="04676B35"/>
    <w:rsid w:val="047B6613"/>
    <w:rsid w:val="048B5BE2"/>
    <w:rsid w:val="04926F71"/>
    <w:rsid w:val="049D3B67"/>
    <w:rsid w:val="04A3059D"/>
    <w:rsid w:val="04B955AA"/>
    <w:rsid w:val="04C914D9"/>
    <w:rsid w:val="04E43544"/>
    <w:rsid w:val="04EC78AC"/>
    <w:rsid w:val="05046E9E"/>
    <w:rsid w:val="051C4A8C"/>
    <w:rsid w:val="05332FA0"/>
    <w:rsid w:val="053563BD"/>
    <w:rsid w:val="053D33EC"/>
    <w:rsid w:val="053E77AB"/>
    <w:rsid w:val="054B3704"/>
    <w:rsid w:val="05522FF8"/>
    <w:rsid w:val="055C30DB"/>
    <w:rsid w:val="05676809"/>
    <w:rsid w:val="05681A5A"/>
    <w:rsid w:val="05685F23"/>
    <w:rsid w:val="05785D0C"/>
    <w:rsid w:val="058708BB"/>
    <w:rsid w:val="05A125FF"/>
    <w:rsid w:val="05E173A0"/>
    <w:rsid w:val="05EF2449"/>
    <w:rsid w:val="05F2086C"/>
    <w:rsid w:val="0607790F"/>
    <w:rsid w:val="06190FCC"/>
    <w:rsid w:val="062A142B"/>
    <w:rsid w:val="062A62FB"/>
    <w:rsid w:val="06323A19"/>
    <w:rsid w:val="06497B03"/>
    <w:rsid w:val="064F0EFE"/>
    <w:rsid w:val="06587D46"/>
    <w:rsid w:val="065974FD"/>
    <w:rsid w:val="066D0F2F"/>
    <w:rsid w:val="06723ADD"/>
    <w:rsid w:val="068648B3"/>
    <w:rsid w:val="06974D37"/>
    <w:rsid w:val="069963F4"/>
    <w:rsid w:val="06CA7539"/>
    <w:rsid w:val="06CC6E45"/>
    <w:rsid w:val="06DC4FC4"/>
    <w:rsid w:val="06E13113"/>
    <w:rsid w:val="06E33486"/>
    <w:rsid w:val="06E91F0F"/>
    <w:rsid w:val="06F85085"/>
    <w:rsid w:val="070168AD"/>
    <w:rsid w:val="072A7934"/>
    <w:rsid w:val="074825C3"/>
    <w:rsid w:val="07644CF8"/>
    <w:rsid w:val="077E0B02"/>
    <w:rsid w:val="077E59DE"/>
    <w:rsid w:val="07A34FF1"/>
    <w:rsid w:val="07C2410E"/>
    <w:rsid w:val="07CE4D2D"/>
    <w:rsid w:val="07D1439F"/>
    <w:rsid w:val="07DC741A"/>
    <w:rsid w:val="07DF027A"/>
    <w:rsid w:val="08030185"/>
    <w:rsid w:val="0803722C"/>
    <w:rsid w:val="08080314"/>
    <w:rsid w:val="082779D0"/>
    <w:rsid w:val="084163BB"/>
    <w:rsid w:val="084560A8"/>
    <w:rsid w:val="084D655E"/>
    <w:rsid w:val="08682CA6"/>
    <w:rsid w:val="087E4495"/>
    <w:rsid w:val="088E49A5"/>
    <w:rsid w:val="08BA6A96"/>
    <w:rsid w:val="08C22108"/>
    <w:rsid w:val="08CC0577"/>
    <w:rsid w:val="08FB7AA9"/>
    <w:rsid w:val="09026204"/>
    <w:rsid w:val="090C7930"/>
    <w:rsid w:val="09181A0E"/>
    <w:rsid w:val="091D145D"/>
    <w:rsid w:val="092211B5"/>
    <w:rsid w:val="093C4D3E"/>
    <w:rsid w:val="09517944"/>
    <w:rsid w:val="09677765"/>
    <w:rsid w:val="096840F1"/>
    <w:rsid w:val="096D3B08"/>
    <w:rsid w:val="097A6225"/>
    <w:rsid w:val="098350DA"/>
    <w:rsid w:val="09855CD9"/>
    <w:rsid w:val="09864881"/>
    <w:rsid w:val="09893F17"/>
    <w:rsid w:val="098A46BA"/>
    <w:rsid w:val="09963E91"/>
    <w:rsid w:val="0998638C"/>
    <w:rsid w:val="099C43EE"/>
    <w:rsid w:val="09A11A04"/>
    <w:rsid w:val="09A25DF9"/>
    <w:rsid w:val="09A60DC8"/>
    <w:rsid w:val="09AC314B"/>
    <w:rsid w:val="09B0594A"/>
    <w:rsid w:val="09B80559"/>
    <w:rsid w:val="09CB082F"/>
    <w:rsid w:val="09E35B78"/>
    <w:rsid w:val="09E366F4"/>
    <w:rsid w:val="09F85E2D"/>
    <w:rsid w:val="0A2C5771"/>
    <w:rsid w:val="0A340F11"/>
    <w:rsid w:val="0A465AD7"/>
    <w:rsid w:val="0A7121DA"/>
    <w:rsid w:val="0A793A2E"/>
    <w:rsid w:val="0A833421"/>
    <w:rsid w:val="0A8F0952"/>
    <w:rsid w:val="0A911A78"/>
    <w:rsid w:val="0A9F2459"/>
    <w:rsid w:val="0A9F4195"/>
    <w:rsid w:val="0AAD755F"/>
    <w:rsid w:val="0AC459AA"/>
    <w:rsid w:val="0AC53267"/>
    <w:rsid w:val="0AC959DA"/>
    <w:rsid w:val="0AD61857"/>
    <w:rsid w:val="0AE22AF4"/>
    <w:rsid w:val="0AF816C4"/>
    <w:rsid w:val="0B040301"/>
    <w:rsid w:val="0B0A5387"/>
    <w:rsid w:val="0B0C02AD"/>
    <w:rsid w:val="0B100BEF"/>
    <w:rsid w:val="0B190E25"/>
    <w:rsid w:val="0B1968C3"/>
    <w:rsid w:val="0B2B3C7B"/>
    <w:rsid w:val="0B3537E8"/>
    <w:rsid w:val="0B4270DD"/>
    <w:rsid w:val="0B494101"/>
    <w:rsid w:val="0B4A3AFE"/>
    <w:rsid w:val="0B684B4F"/>
    <w:rsid w:val="0B777D29"/>
    <w:rsid w:val="0B7D7F39"/>
    <w:rsid w:val="0B837613"/>
    <w:rsid w:val="0BA23811"/>
    <w:rsid w:val="0BAB3064"/>
    <w:rsid w:val="0BB923D0"/>
    <w:rsid w:val="0BBB7134"/>
    <w:rsid w:val="0BC11EE9"/>
    <w:rsid w:val="0BC126B3"/>
    <w:rsid w:val="0BD0037E"/>
    <w:rsid w:val="0BD03249"/>
    <w:rsid w:val="0BD51A2C"/>
    <w:rsid w:val="0BEA5720"/>
    <w:rsid w:val="0BF57904"/>
    <w:rsid w:val="0BFE48C8"/>
    <w:rsid w:val="0C0624F3"/>
    <w:rsid w:val="0C143188"/>
    <w:rsid w:val="0C3F059C"/>
    <w:rsid w:val="0C4867FB"/>
    <w:rsid w:val="0C4E7B4A"/>
    <w:rsid w:val="0C647DB8"/>
    <w:rsid w:val="0C6D2071"/>
    <w:rsid w:val="0C6D3E1F"/>
    <w:rsid w:val="0C914FCC"/>
    <w:rsid w:val="0CAE5598"/>
    <w:rsid w:val="0CB54492"/>
    <w:rsid w:val="0CC47EE3"/>
    <w:rsid w:val="0CC62449"/>
    <w:rsid w:val="0CCE3126"/>
    <w:rsid w:val="0CD022E0"/>
    <w:rsid w:val="0CDF4D1D"/>
    <w:rsid w:val="0CE1432D"/>
    <w:rsid w:val="0CE42333"/>
    <w:rsid w:val="0CEF1F1E"/>
    <w:rsid w:val="0CFE294D"/>
    <w:rsid w:val="0CFE4530"/>
    <w:rsid w:val="0D024E79"/>
    <w:rsid w:val="0D1962EE"/>
    <w:rsid w:val="0D3E3574"/>
    <w:rsid w:val="0D501141"/>
    <w:rsid w:val="0D523741"/>
    <w:rsid w:val="0D533015"/>
    <w:rsid w:val="0D551D79"/>
    <w:rsid w:val="0D712717"/>
    <w:rsid w:val="0D766835"/>
    <w:rsid w:val="0D800BDC"/>
    <w:rsid w:val="0D815DD4"/>
    <w:rsid w:val="0D914897"/>
    <w:rsid w:val="0D92543C"/>
    <w:rsid w:val="0D986DC4"/>
    <w:rsid w:val="0DA8437F"/>
    <w:rsid w:val="0DAC5F5B"/>
    <w:rsid w:val="0DB461AA"/>
    <w:rsid w:val="0DC13155"/>
    <w:rsid w:val="0DC904E4"/>
    <w:rsid w:val="0DD71C05"/>
    <w:rsid w:val="0DE00C0B"/>
    <w:rsid w:val="0DE42C75"/>
    <w:rsid w:val="0DEE3696"/>
    <w:rsid w:val="0DF875DC"/>
    <w:rsid w:val="0DF95DB2"/>
    <w:rsid w:val="0E046A11"/>
    <w:rsid w:val="0E172295"/>
    <w:rsid w:val="0E1D25CB"/>
    <w:rsid w:val="0E252709"/>
    <w:rsid w:val="0E2A7030"/>
    <w:rsid w:val="0E2C6D18"/>
    <w:rsid w:val="0E300D44"/>
    <w:rsid w:val="0E5005EE"/>
    <w:rsid w:val="0E707BF7"/>
    <w:rsid w:val="0E7F7A41"/>
    <w:rsid w:val="0EA613E8"/>
    <w:rsid w:val="0EAF35B4"/>
    <w:rsid w:val="0EB65F51"/>
    <w:rsid w:val="0EB9217E"/>
    <w:rsid w:val="0ECA08C4"/>
    <w:rsid w:val="0ECC7CCA"/>
    <w:rsid w:val="0ED80461"/>
    <w:rsid w:val="0EDA0F42"/>
    <w:rsid w:val="0EF05683"/>
    <w:rsid w:val="0F0916B4"/>
    <w:rsid w:val="0F102926"/>
    <w:rsid w:val="0F2509E1"/>
    <w:rsid w:val="0F3160CD"/>
    <w:rsid w:val="0F34699D"/>
    <w:rsid w:val="0F4446C6"/>
    <w:rsid w:val="0F5E2190"/>
    <w:rsid w:val="0F6A0D0D"/>
    <w:rsid w:val="0F6D28A4"/>
    <w:rsid w:val="0F8A068E"/>
    <w:rsid w:val="0F9526BB"/>
    <w:rsid w:val="0F96368D"/>
    <w:rsid w:val="0F9E175C"/>
    <w:rsid w:val="0FB84AA1"/>
    <w:rsid w:val="0FE663C2"/>
    <w:rsid w:val="0FF860F6"/>
    <w:rsid w:val="10005DE2"/>
    <w:rsid w:val="100E51E0"/>
    <w:rsid w:val="101C59F8"/>
    <w:rsid w:val="10212377"/>
    <w:rsid w:val="10285FEB"/>
    <w:rsid w:val="102A1330"/>
    <w:rsid w:val="10353C8C"/>
    <w:rsid w:val="10486800"/>
    <w:rsid w:val="1053255D"/>
    <w:rsid w:val="105552F6"/>
    <w:rsid w:val="10587BA8"/>
    <w:rsid w:val="105C4535"/>
    <w:rsid w:val="105D7C7D"/>
    <w:rsid w:val="10855BDB"/>
    <w:rsid w:val="10972147"/>
    <w:rsid w:val="10A218E0"/>
    <w:rsid w:val="10AA0ABF"/>
    <w:rsid w:val="10B477B0"/>
    <w:rsid w:val="10C54DF0"/>
    <w:rsid w:val="10CB29C9"/>
    <w:rsid w:val="10CB3C62"/>
    <w:rsid w:val="10DC52BB"/>
    <w:rsid w:val="10EA66C0"/>
    <w:rsid w:val="10EC4AC5"/>
    <w:rsid w:val="10F70FED"/>
    <w:rsid w:val="10FF6E3B"/>
    <w:rsid w:val="110A7E8F"/>
    <w:rsid w:val="110C1288"/>
    <w:rsid w:val="110E3E23"/>
    <w:rsid w:val="112C386F"/>
    <w:rsid w:val="115F4C11"/>
    <w:rsid w:val="11741C87"/>
    <w:rsid w:val="117B3BCF"/>
    <w:rsid w:val="11910609"/>
    <w:rsid w:val="11B322D4"/>
    <w:rsid w:val="11B36CAC"/>
    <w:rsid w:val="11C0223B"/>
    <w:rsid w:val="11D11B7E"/>
    <w:rsid w:val="11DB356D"/>
    <w:rsid w:val="11DC7A7D"/>
    <w:rsid w:val="11DF6301"/>
    <w:rsid w:val="11F320DD"/>
    <w:rsid w:val="11F71C03"/>
    <w:rsid w:val="11F72B09"/>
    <w:rsid w:val="120E0E57"/>
    <w:rsid w:val="122610AE"/>
    <w:rsid w:val="123B37FA"/>
    <w:rsid w:val="12403D16"/>
    <w:rsid w:val="12411FD6"/>
    <w:rsid w:val="12482604"/>
    <w:rsid w:val="12535865"/>
    <w:rsid w:val="12687563"/>
    <w:rsid w:val="127E3EAB"/>
    <w:rsid w:val="12957AAF"/>
    <w:rsid w:val="12A35656"/>
    <w:rsid w:val="12A81D4D"/>
    <w:rsid w:val="12A8795F"/>
    <w:rsid w:val="12AC38F3"/>
    <w:rsid w:val="12B72AC8"/>
    <w:rsid w:val="12C00BB8"/>
    <w:rsid w:val="12CA3D79"/>
    <w:rsid w:val="12D00551"/>
    <w:rsid w:val="12D03193"/>
    <w:rsid w:val="12D64474"/>
    <w:rsid w:val="12DA4388"/>
    <w:rsid w:val="12DF1B94"/>
    <w:rsid w:val="12E442B7"/>
    <w:rsid w:val="12E806A4"/>
    <w:rsid w:val="130D6E0C"/>
    <w:rsid w:val="13101EF5"/>
    <w:rsid w:val="132D3965"/>
    <w:rsid w:val="134A17F3"/>
    <w:rsid w:val="137A43BD"/>
    <w:rsid w:val="1383225E"/>
    <w:rsid w:val="13915246"/>
    <w:rsid w:val="13963C5C"/>
    <w:rsid w:val="13A138F5"/>
    <w:rsid w:val="13AA75CC"/>
    <w:rsid w:val="13AC347F"/>
    <w:rsid w:val="13C70DD3"/>
    <w:rsid w:val="13C87AEE"/>
    <w:rsid w:val="13CE50AA"/>
    <w:rsid w:val="13D11138"/>
    <w:rsid w:val="13D45240"/>
    <w:rsid w:val="13E26AEA"/>
    <w:rsid w:val="140018B0"/>
    <w:rsid w:val="140B289C"/>
    <w:rsid w:val="141564A3"/>
    <w:rsid w:val="14213DDE"/>
    <w:rsid w:val="14227F10"/>
    <w:rsid w:val="1426739E"/>
    <w:rsid w:val="143D7E10"/>
    <w:rsid w:val="143F0797"/>
    <w:rsid w:val="144D6EBF"/>
    <w:rsid w:val="146D79C6"/>
    <w:rsid w:val="147F686F"/>
    <w:rsid w:val="14930823"/>
    <w:rsid w:val="14A11DF6"/>
    <w:rsid w:val="14A63623"/>
    <w:rsid w:val="14A960ED"/>
    <w:rsid w:val="14C03686"/>
    <w:rsid w:val="14E021E5"/>
    <w:rsid w:val="14F450DE"/>
    <w:rsid w:val="151F4614"/>
    <w:rsid w:val="152D239E"/>
    <w:rsid w:val="152F4368"/>
    <w:rsid w:val="152F6116"/>
    <w:rsid w:val="1553683E"/>
    <w:rsid w:val="15712BD2"/>
    <w:rsid w:val="15826839"/>
    <w:rsid w:val="158D362A"/>
    <w:rsid w:val="15AA505D"/>
    <w:rsid w:val="15B42ABF"/>
    <w:rsid w:val="15B63683"/>
    <w:rsid w:val="15C301DF"/>
    <w:rsid w:val="15C543F3"/>
    <w:rsid w:val="15C62CD0"/>
    <w:rsid w:val="15CA3338"/>
    <w:rsid w:val="15CC7E09"/>
    <w:rsid w:val="15E2587E"/>
    <w:rsid w:val="15E409F3"/>
    <w:rsid w:val="15FA21C3"/>
    <w:rsid w:val="16021A7C"/>
    <w:rsid w:val="160C4FAC"/>
    <w:rsid w:val="16182AF5"/>
    <w:rsid w:val="161F43DC"/>
    <w:rsid w:val="16333A59"/>
    <w:rsid w:val="1638724C"/>
    <w:rsid w:val="16431EEB"/>
    <w:rsid w:val="165D78E5"/>
    <w:rsid w:val="166B0912"/>
    <w:rsid w:val="16775FC6"/>
    <w:rsid w:val="16915345"/>
    <w:rsid w:val="16A158F3"/>
    <w:rsid w:val="16B03286"/>
    <w:rsid w:val="16C3120C"/>
    <w:rsid w:val="16CE753C"/>
    <w:rsid w:val="16DC22CD"/>
    <w:rsid w:val="16DF3B6C"/>
    <w:rsid w:val="16E11DAC"/>
    <w:rsid w:val="16E233EE"/>
    <w:rsid w:val="16E41182"/>
    <w:rsid w:val="170D76B7"/>
    <w:rsid w:val="1710187D"/>
    <w:rsid w:val="17161871"/>
    <w:rsid w:val="1739317C"/>
    <w:rsid w:val="174D6D27"/>
    <w:rsid w:val="17725E86"/>
    <w:rsid w:val="17850B5E"/>
    <w:rsid w:val="17A415E0"/>
    <w:rsid w:val="17A52D08"/>
    <w:rsid w:val="17B24926"/>
    <w:rsid w:val="17D62037"/>
    <w:rsid w:val="17EC02EE"/>
    <w:rsid w:val="17EC0D07"/>
    <w:rsid w:val="17F2157E"/>
    <w:rsid w:val="18382CA8"/>
    <w:rsid w:val="184329B7"/>
    <w:rsid w:val="184D5BF1"/>
    <w:rsid w:val="184E71FB"/>
    <w:rsid w:val="18575D38"/>
    <w:rsid w:val="185F31B6"/>
    <w:rsid w:val="18674E76"/>
    <w:rsid w:val="1868279A"/>
    <w:rsid w:val="18694CD7"/>
    <w:rsid w:val="186A617B"/>
    <w:rsid w:val="186F26E9"/>
    <w:rsid w:val="187B6D1D"/>
    <w:rsid w:val="18C1177B"/>
    <w:rsid w:val="18D12DF5"/>
    <w:rsid w:val="18D13410"/>
    <w:rsid w:val="18D3325C"/>
    <w:rsid w:val="18ED5880"/>
    <w:rsid w:val="190B50EC"/>
    <w:rsid w:val="190C4349"/>
    <w:rsid w:val="19127222"/>
    <w:rsid w:val="191546C9"/>
    <w:rsid w:val="194B7962"/>
    <w:rsid w:val="195D501F"/>
    <w:rsid w:val="195E099B"/>
    <w:rsid w:val="19707CF9"/>
    <w:rsid w:val="197377E3"/>
    <w:rsid w:val="198253AE"/>
    <w:rsid w:val="198D4A9F"/>
    <w:rsid w:val="199307E0"/>
    <w:rsid w:val="19A96A13"/>
    <w:rsid w:val="19D81CA1"/>
    <w:rsid w:val="19DA3524"/>
    <w:rsid w:val="19E91876"/>
    <w:rsid w:val="19E95000"/>
    <w:rsid w:val="19FA0B8C"/>
    <w:rsid w:val="1A282DDA"/>
    <w:rsid w:val="1A2B301F"/>
    <w:rsid w:val="1A43273A"/>
    <w:rsid w:val="1A590010"/>
    <w:rsid w:val="1A7F3039"/>
    <w:rsid w:val="1A8C55EC"/>
    <w:rsid w:val="1A905843"/>
    <w:rsid w:val="1A930EF5"/>
    <w:rsid w:val="1A9354DB"/>
    <w:rsid w:val="1AAD0FC1"/>
    <w:rsid w:val="1AAD248D"/>
    <w:rsid w:val="1AC11F06"/>
    <w:rsid w:val="1ACB068F"/>
    <w:rsid w:val="1AD3390C"/>
    <w:rsid w:val="1AE238A6"/>
    <w:rsid w:val="1AF370ED"/>
    <w:rsid w:val="1AF53044"/>
    <w:rsid w:val="1AFE5477"/>
    <w:rsid w:val="1B0C559F"/>
    <w:rsid w:val="1B121581"/>
    <w:rsid w:val="1B235060"/>
    <w:rsid w:val="1B2D5678"/>
    <w:rsid w:val="1B3D2567"/>
    <w:rsid w:val="1B542D7A"/>
    <w:rsid w:val="1B601C65"/>
    <w:rsid w:val="1B631991"/>
    <w:rsid w:val="1B734D5C"/>
    <w:rsid w:val="1B762B2C"/>
    <w:rsid w:val="1B98469D"/>
    <w:rsid w:val="1BA84479"/>
    <w:rsid w:val="1BAA2ED2"/>
    <w:rsid w:val="1BAC221C"/>
    <w:rsid w:val="1BAD65FA"/>
    <w:rsid w:val="1BB02AA0"/>
    <w:rsid w:val="1BC814F3"/>
    <w:rsid w:val="1BCD4A66"/>
    <w:rsid w:val="1BD6553D"/>
    <w:rsid w:val="1BDB2164"/>
    <w:rsid w:val="1BDE2883"/>
    <w:rsid w:val="1BEB0073"/>
    <w:rsid w:val="1BEF3A6C"/>
    <w:rsid w:val="1BFB4FA4"/>
    <w:rsid w:val="1C004178"/>
    <w:rsid w:val="1C397355"/>
    <w:rsid w:val="1C3A3714"/>
    <w:rsid w:val="1C3B1844"/>
    <w:rsid w:val="1C5D11C3"/>
    <w:rsid w:val="1C6F64AF"/>
    <w:rsid w:val="1C744D56"/>
    <w:rsid w:val="1C787B9A"/>
    <w:rsid w:val="1C7D4CB4"/>
    <w:rsid w:val="1CA90EA4"/>
    <w:rsid w:val="1CBD04AB"/>
    <w:rsid w:val="1CC229D0"/>
    <w:rsid w:val="1CEE4B08"/>
    <w:rsid w:val="1CF1697F"/>
    <w:rsid w:val="1CFF0BC2"/>
    <w:rsid w:val="1D014A37"/>
    <w:rsid w:val="1D175E0D"/>
    <w:rsid w:val="1D293954"/>
    <w:rsid w:val="1D4407E5"/>
    <w:rsid w:val="1D4C727F"/>
    <w:rsid w:val="1D594678"/>
    <w:rsid w:val="1D5E3A3C"/>
    <w:rsid w:val="1D654C57"/>
    <w:rsid w:val="1D666D95"/>
    <w:rsid w:val="1D6C348C"/>
    <w:rsid w:val="1D70551D"/>
    <w:rsid w:val="1D71461D"/>
    <w:rsid w:val="1D7F0A6F"/>
    <w:rsid w:val="1D826775"/>
    <w:rsid w:val="1D976F4E"/>
    <w:rsid w:val="1D981CC2"/>
    <w:rsid w:val="1DBB6019"/>
    <w:rsid w:val="1DC01597"/>
    <w:rsid w:val="1DD27F86"/>
    <w:rsid w:val="1DD937A9"/>
    <w:rsid w:val="1DDD5FDB"/>
    <w:rsid w:val="1DDE692B"/>
    <w:rsid w:val="1DF779ED"/>
    <w:rsid w:val="1E0366E4"/>
    <w:rsid w:val="1E2307E2"/>
    <w:rsid w:val="1E253E9A"/>
    <w:rsid w:val="1E304EEF"/>
    <w:rsid w:val="1E3D59F6"/>
    <w:rsid w:val="1E4E1D03"/>
    <w:rsid w:val="1E4F1475"/>
    <w:rsid w:val="1E622558"/>
    <w:rsid w:val="1E6F43DA"/>
    <w:rsid w:val="1E8474D2"/>
    <w:rsid w:val="1E85324A"/>
    <w:rsid w:val="1E882ABA"/>
    <w:rsid w:val="1E963FB8"/>
    <w:rsid w:val="1EAD74F0"/>
    <w:rsid w:val="1ED1716E"/>
    <w:rsid w:val="1ED544D5"/>
    <w:rsid w:val="1EE019A3"/>
    <w:rsid w:val="1EEC1102"/>
    <w:rsid w:val="1F0A08B1"/>
    <w:rsid w:val="1F1756EC"/>
    <w:rsid w:val="1F354C71"/>
    <w:rsid w:val="1F8F4381"/>
    <w:rsid w:val="1F971487"/>
    <w:rsid w:val="1FAE5D19"/>
    <w:rsid w:val="1FB06E2D"/>
    <w:rsid w:val="1FB82A1C"/>
    <w:rsid w:val="1FB97650"/>
    <w:rsid w:val="1FBC7D9F"/>
    <w:rsid w:val="1FC013F4"/>
    <w:rsid w:val="1FC63B1B"/>
    <w:rsid w:val="1FCB0B65"/>
    <w:rsid w:val="1FCD0A84"/>
    <w:rsid w:val="1FD9439E"/>
    <w:rsid w:val="1FF16DE9"/>
    <w:rsid w:val="2001472C"/>
    <w:rsid w:val="20085EE1"/>
    <w:rsid w:val="20091C16"/>
    <w:rsid w:val="200A3A07"/>
    <w:rsid w:val="2023790B"/>
    <w:rsid w:val="203B2B3A"/>
    <w:rsid w:val="203D5420"/>
    <w:rsid w:val="20596EE6"/>
    <w:rsid w:val="20621A95"/>
    <w:rsid w:val="206770AC"/>
    <w:rsid w:val="2069082D"/>
    <w:rsid w:val="209E60FD"/>
    <w:rsid w:val="20B52A86"/>
    <w:rsid w:val="20B65C9E"/>
    <w:rsid w:val="20B9542D"/>
    <w:rsid w:val="20DE2847"/>
    <w:rsid w:val="20E26732"/>
    <w:rsid w:val="20E51212"/>
    <w:rsid w:val="20EB7906"/>
    <w:rsid w:val="20F669B0"/>
    <w:rsid w:val="20F7254C"/>
    <w:rsid w:val="2105635C"/>
    <w:rsid w:val="21102A49"/>
    <w:rsid w:val="21124499"/>
    <w:rsid w:val="21134B3E"/>
    <w:rsid w:val="211663DC"/>
    <w:rsid w:val="211C3A1C"/>
    <w:rsid w:val="212A0BF1"/>
    <w:rsid w:val="215A276C"/>
    <w:rsid w:val="216A406C"/>
    <w:rsid w:val="216C5203"/>
    <w:rsid w:val="216D6770"/>
    <w:rsid w:val="21710889"/>
    <w:rsid w:val="217378A3"/>
    <w:rsid w:val="21792E05"/>
    <w:rsid w:val="21903690"/>
    <w:rsid w:val="219E2041"/>
    <w:rsid w:val="21AD399F"/>
    <w:rsid w:val="21BF3F92"/>
    <w:rsid w:val="21CC09CA"/>
    <w:rsid w:val="21DA229E"/>
    <w:rsid w:val="21DF40A1"/>
    <w:rsid w:val="21F05A7F"/>
    <w:rsid w:val="22105C22"/>
    <w:rsid w:val="222F26CF"/>
    <w:rsid w:val="2233393B"/>
    <w:rsid w:val="225F2408"/>
    <w:rsid w:val="227C4964"/>
    <w:rsid w:val="227F6C94"/>
    <w:rsid w:val="228213E7"/>
    <w:rsid w:val="228F6446"/>
    <w:rsid w:val="229618D6"/>
    <w:rsid w:val="22A7590B"/>
    <w:rsid w:val="22AA7723"/>
    <w:rsid w:val="22B4528F"/>
    <w:rsid w:val="22C5455D"/>
    <w:rsid w:val="22CC1448"/>
    <w:rsid w:val="22D16A5E"/>
    <w:rsid w:val="22D838CF"/>
    <w:rsid w:val="22E20C6B"/>
    <w:rsid w:val="22E63B6F"/>
    <w:rsid w:val="22EB141E"/>
    <w:rsid w:val="22F825DB"/>
    <w:rsid w:val="22FD20FA"/>
    <w:rsid w:val="23072FE5"/>
    <w:rsid w:val="231F77C7"/>
    <w:rsid w:val="232C0139"/>
    <w:rsid w:val="232E7D6A"/>
    <w:rsid w:val="2332720B"/>
    <w:rsid w:val="23374475"/>
    <w:rsid w:val="233B0914"/>
    <w:rsid w:val="23402F1A"/>
    <w:rsid w:val="2346744C"/>
    <w:rsid w:val="234B4BA4"/>
    <w:rsid w:val="234E6301"/>
    <w:rsid w:val="23592A54"/>
    <w:rsid w:val="23622276"/>
    <w:rsid w:val="23752C79"/>
    <w:rsid w:val="237C59BB"/>
    <w:rsid w:val="2383244E"/>
    <w:rsid w:val="238815B0"/>
    <w:rsid w:val="238A7FB4"/>
    <w:rsid w:val="238E0DF3"/>
    <w:rsid w:val="23AA2A9E"/>
    <w:rsid w:val="23B100DE"/>
    <w:rsid w:val="23BC14BC"/>
    <w:rsid w:val="23BF2464"/>
    <w:rsid w:val="23EB3B50"/>
    <w:rsid w:val="23F3488A"/>
    <w:rsid w:val="2419704D"/>
    <w:rsid w:val="243B3EB7"/>
    <w:rsid w:val="24466B35"/>
    <w:rsid w:val="24516953"/>
    <w:rsid w:val="24551FD1"/>
    <w:rsid w:val="246B6A3F"/>
    <w:rsid w:val="246E3236"/>
    <w:rsid w:val="247474EF"/>
    <w:rsid w:val="249C4E4A"/>
    <w:rsid w:val="24AB32DF"/>
    <w:rsid w:val="24BD3AED"/>
    <w:rsid w:val="24C31A17"/>
    <w:rsid w:val="24C60186"/>
    <w:rsid w:val="24C6775F"/>
    <w:rsid w:val="24D63087"/>
    <w:rsid w:val="24D97E4C"/>
    <w:rsid w:val="24F7506A"/>
    <w:rsid w:val="25037DCE"/>
    <w:rsid w:val="25075542"/>
    <w:rsid w:val="250C4825"/>
    <w:rsid w:val="25115838"/>
    <w:rsid w:val="251304A2"/>
    <w:rsid w:val="251A588B"/>
    <w:rsid w:val="2554099F"/>
    <w:rsid w:val="25602216"/>
    <w:rsid w:val="256F2A8D"/>
    <w:rsid w:val="25701C27"/>
    <w:rsid w:val="258C3110"/>
    <w:rsid w:val="25A315A3"/>
    <w:rsid w:val="25A7235C"/>
    <w:rsid w:val="25A93CC2"/>
    <w:rsid w:val="25AB5124"/>
    <w:rsid w:val="25B22AFD"/>
    <w:rsid w:val="25B406FF"/>
    <w:rsid w:val="25BA1A2C"/>
    <w:rsid w:val="25E1345C"/>
    <w:rsid w:val="25F628C4"/>
    <w:rsid w:val="26060955"/>
    <w:rsid w:val="260E1D77"/>
    <w:rsid w:val="261A687E"/>
    <w:rsid w:val="261F72E0"/>
    <w:rsid w:val="26211B75"/>
    <w:rsid w:val="262346C0"/>
    <w:rsid w:val="26327B15"/>
    <w:rsid w:val="26334D6D"/>
    <w:rsid w:val="2640356F"/>
    <w:rsid w:val="26404627"/>
    <w:rsid w:val="264C6FBD"/>
    <w:rsid w:val="264E443C"/>
    <w:rsid w:val="266C349F"/>
    <w:rsid w:val="26767805"/>
    <w:rsid w:val="267B6C2B"/>
    <w:rsid w:val="2684187D"/>
    <w:rsid w:val="26942845"/>
    <w:rsid w:val="269C1CEA"/>
    <w:rsid w:val="26CB1A16"/>
    <w:rsid w:val="26E75774"/>
    <w:rsid w:val="26F942CB"/>
    <w:rsid w:val="27035654"/>
    <w:rsid w:val="271A6FB4"/>
    <w:rsid w:val="27205B2B"/>
    <w:rsid w:val="272A0E33"/>
    <w:rsid w:val="272A5FB2"/>
    <w:rsid w:val="273870AC"/>
    <w:rsid w:val="273E5DB4"/>
    <w:rsid w:val="27464E08"/>
    <w:rsid w:val="274A6DDF"/>
    <w:rsid w:val="275E755E"/>
    <w:rsid w:val="2767225B"/>
    <w:rsid w:val="276830CB"/>
    <w:rsid w:val="27697726"/>
    <w:rsid w:val="277609EB"/>
    <w:rsid w:val="278A18D2"/>
    <w:rsid w:val="27A26A64"/>
    <w:rsid w:val="27AA2C77"/>
    <w:rsid w:val="27B25CEA"/>
    <w:rsid w:val="27B84691"/>
    <w:rsid w:val="27CA31AC"/>
    <w:rsid w:val="27D9637B"/>
    <w:rsid w:val="27E47736"/>
    <w:rsid w:val="27F966F1"/>
    <w:rsid w:val="280478D6"/>
    <w:rsid w:val="28123DA1"/>
    <w:rsid w:val="28333D17"/>
    <w:rsid w:val="284B1209"/>
    <w:rsid w:val="28522780"/>
    <w:rsid w:val="288B25DE"/>
    <w:rsid w:val="28BF3904"/>
    <w:rsid w:val="28C72497"/>
    <w:rsid w:val="28D360C1"/>
    <w:rsid w:val="28D73DEB"/>
    <w:rsid w:val="28F91A39"/>
    <w:rsid w:val="29235B3A"/>
    <w:rsid w:val="293B1756"/>
    <w:rsid w:val="294B4B4D"/>
    <w:rsid w:val="29605B23"/>
    <w:rsid w:val="29623A1D"/>
    <w:rsid w:val="29734BC6"/>
    <w:rsid w:val="29930F11"/>
    <w:rsid w:val="29B5109E"/>
    <w:rsid w:val="29C37FBC"/>
    <w:rsid w:val="29C514FC"/>
    <w:rsid w:val="29DA6B40"/>
    <w:rsid w:val="29F23E8A"/>
    <w:rsid w:val="29F63D8E"/>
    <w:rsid w:val="2A036979"/>
    <w:rsid w:val="2A053617"/>
    <w:rsid w:val="2A104310"/>
    <w:rsid w:val="2A824925"/>
    <w:rsid w:val="2A84522F"/>
    <w:rsid w:val="2A89150D"/>
    <w:rsid w:val="2A8B2C4B"/>
    <w:rsid w:val="2AA4277F"/>
    <w:rsid w:val="2AB90504"/>
    <w:rsid w:val="2AC222E0"/>
    <w:rsid w:val="2AD81AEC"/>
    <w:rsid w:val="2ADF3CE2"/>
    <w:rsid w:val="2AE82B97"/>
    <w:rsid w:val="2AE95996"/>
    <w:rsid w:val="2B03789E"/>
    <w:rsid w:val="2B2B6F28"/>
    <w:rsid w:val="2B4C581C"/>
    <w:rsid w:val="2B4E732B"/>
    <w:rsid w:val="2B590F2D"/>
    <w:rsid w:val="2B642979"/>
    <w:rsid w:val="2B6A1916"/>
    <w:rsid w:val="2B6D7540"/>
    <w:rsid w:val="2B764647"/>
    <w:rsid w:val="2B842931"/>
    <w:rsid w:val="2B881263"/>
    <w:rsid w:val="2BB050F9"/>
    <w:rsid w:val="2BB40375"/>
    <w:rsid w:val="2BB56560"/>
    <w:rsid w:val="2BB708BD"/>
    <w:rsid w:val="2BCB3BBA"/>
    <w:rsid w:val="2BE7456D"/>
    <w:rsid w:val="2BE83786"/>
    <w:rsid w:val="2BE956E1"/>
    <w:rsid w:val="2BEE1BAF"/>
    <w:rsid w:val="2BF87197"/>
    <w:rsid w:val="2C18302D"/>
    <w:rsid w:val="2C1A50E5"/>
    <w:rsid w:val="2C1D24D1"/>
    <w:rsid w:val="2C2A71DF"/>
    <w:rsid w:val="2C336F38"/>
    <w:rsid w:val="2C3A3F1C"/>
    <w:rsid w:val="2C416E1D"/>
    <w:rsid w:val="2C475FE3"/>
    <w:rsid w:val="2C506C46"/>
    <w:rsid w:val="2C5F5583"/>
    <w:rsid w:val="2C6B3A80"/>
    <w:rsid w:val="2C722C06"/>
    <w:rsid w:val="2C771401"/>
    <w:rsid w:val="2C882884"/>
    <w:rsid w:val="2C9A6113"/>
    <w:rsid w:val="2C9E1BF4"/>
    <w:rsid w:val="2CA822FA"/>
    <w:rsid w:val="2CBF5B79"/>
    <w:rsid w:val="2CC85B24"/>
    <w:rsid w:val="2CD549AD"/>
    <w:rsid w:val="2CDE0B71"/>
    <w:rsid w:val="2D040A3E"/>
    <w:rsid w:val="2D087964"/>
    <w:rsid w:val="2D1E4F96"/>
    <w:rsid w:val="2D206871"/>
    <w:rsid w:val="2D367E96"/>
    <w:rsid w:val="2D4B4662"/>
    <w:rsid w:val="2D5A7A44"/>
    <w:rsid w:val="2D6055AE"/>
    <w:rsid w:val="2D6B5392"/>
    <w:rsid w:val="2D6F3C91"/>
    <w:rsid w:val="2D885FB0"/>
    <w:rsid w:val="2D890CD5"/>
    <w:rsid w:val="2D970F00"/>
    <w:rsid w:val="2DBA45BF"/>
    <w:rsid w:val="2DCE15AF"/>
    <w:rsid w:val="2DE81380"/>
    <w:rsid w:val="2DED648E"/>
    <w:rsid w:val="2DFF37AB"/>
    <w:rsid w:val="2E045F3A"/>
    <w:rsid w:val="2E0559B4"/>
    <w:rsid w:val="2E1168A9"/>
    <w:rsid w:val="2E1D349F"/>
    <w:rsid w:val="2E245CA4"/>
    <w:rsid w:val="2E482812"/>
    <w:rsid w:val="2E4C697C"/>
    <w:rsid w:val="2E5B353C"/>
    <w:rsid w:val="2E6E5AA9"/>
    <w:rsid w:val="2E8B02C4"/>
    <w:rsid w:val="2E964979"/>
    <w:rsid w:val="2E99384E"/>
    <w:rsid w:val="2E9A7907"/>
    <w:rsid w:val="2EA7164B"/>
    <w:rsid w:val="2EAE5B84"/>
    <w:rsid w:val="2EC13E2B"/>
    <w:rsid w:val="2EC72038"/>
    <w:rsid w:val="2ED53072"/>
    <w:rsid w:val="2F0055D5"/>
    <w:rsid w:val="2F017C73"/>
    <w:rsid w:val="2F097064"/>
    <w:rsid w:val="2F1523C9"/>
    <w:rsid w:val="2F165381"/>
    <w:rsid w:val="2F193000"/>
    <w:rsid w:val="2F195A15"/>
    <w:rsid w:val="2F4475F2"/>
    <w:rsid w:val="2F462582"/>
    <w:rsid w:val="2F4D383E"/>
    <w:rsid w:val="2F7B5787"/>
    <w:rsid w:val="2F8100EA"/>
    <w:rsid w:val="2F8452BB"/>
    <w:rsid w:val="2F8856E8"/>
    <w:rsid w:val="2F931F3E"/>
    <w:rsid w:val="2F9C5AF8"/>
    <w:rsid w:val="2FA1232D"/>
    <w:rsid w:val="2FA20543"/>
    <w:rsid w:val="2FB5399F"/>
    <w:rsid w:val="2FBB2F70"/>
    <w:rsid w:val="2FC35981"/>
    <w:rsid w:val="2FF24B3E"/>
    <w:rsid w:val="2FFA3A98"/>
    <w:rsid w:val="300246FB"/>
    <w:rsid w:val="300541EB"/>
    <w:rsid w:val="30180C70"/>
    <w:rsid w:val="303F6FFD"/>
    <w:rsid w:val="30554766"/>
    <w:rsid w:val="306453B6"/>
    <w:rsid w:val="30687D84"/>
    <w:rsid w:val="30793B1F"/>
    <w:rsid w:val="307A6406"/>
    <w:rsid w:val="309D6BE7"/>
    <w:rsid w:val="30B009C8"/>
    <w:rsid w:val="30B01A9A"/>
    <w:rsid w:val="30B57283"/>
    <w:rsid w:val="30BA6B3E"/>
    <w:rsid w:val="30E96C14"/>
    <w:rsid w:val="30EB003C"/>
    <w:rsid w:val="31127C75"/>
    <w:rsid w:val="3114107D"/>
    <w:rsid w:val="31392548"/>
    <w:rsid w:val="31533344"/>
    <w:rsid w:val="316F625B"/>
    <w:rsid w:val="31705EE7"/>
    <w:rsid w:val="31794E91"/>
    <w:rsid w:val="317B2CF8"/>
    <w:rsid w:val="31A1797F"/>
    <w:rsid w:val="31A65132"/>
    <w:rsid w:val="31A6555A"/>
    <w:rsid w:val="31A83080"/>
    <w:rsid w:val="31B87642"/>
    <w:rsid w:val="31C00EF8"/>
    <w:rsid w:val="31CC5364"/>
    <w:rsid w:val="31D623CF"/>
    <w:rsid w:val="31E050B0"/>
    <w:rsid w:val="31E22A36"/>
    <w:rsid w:val="31F2254D"/>
    <w:rsid w:val="320D4E6E"/>
    <w:rsid w:val="321326A9"/>
    <w:rsid w:val="321E3A0A"/>
    <w:rsid w:val="322E4BAF"/>
    <w:rsid w:val="322F3FB8"/>
    <w:rsid w:val="323413C5"/>
    <w:rsid w:val="323572F6"/>
    <w:rsid w:val="323963CE"/>
    <w:rsid w:val="323E0A30"/>
    <w:rsid w:val="3246608B"/>
    <w:rsid w:val="324B3E79"/>
    <w:rsid w:val="324C0C07"/>
    <w:rsid w:val="325167B6"/>
    <w:rsid w:val="32560CAC"/>
    <w:rsid w:val="326266B4"/>
    <w:rsid w:val="32690915"/>
    <w:rsid w:val="3273120E"/>
    <w:rsid w:val="32753D0B"/>
    <w:rsid w:val="327F7554"/>
    <w:rsid w:val="32AC2D2D"/>
    <w:rsid w:val="32B60A23"/>
    <w:rsid w:val="32C76AFB"/>
    <w:rsid w:val="32DB2081"/>
    <w:rsid w:val="32E14A9C"/>
    <w:rsid w:val="32E32315"/>
    <w:rsid w:val="32F42D9E"/>
    <w:rsid w:val="32FE389F"/>
    <w:rsid w:val="3301513E"/>
    <w:rsid w:val="330A035B"/>
    <w:rsid w:val="330A1D37"/>
    <w:rsid w:val="33164B0C"/>
    <w:rsid w:val="331D0F83"/>
    <w:rsid w:val="332F7ECB"/>
    <w:rsid w:val="333A23FE"/>
    <w:rsid w:val="333D477F"/>
    <w:rsid w:val="334819F6"/>
    <w:rsid w:val="33492641"/>
    <w:rsid w:val="33504B51"/>
    <w:rsid w:val="335A6465"/>
    <w:rsid w:val="335D3F73"/>
    <w:rsid w:val="336F15A9"/>
    <w:rsid w:val="33831376"/>
    <w:rsid w:val="33831403"/>
    <w:rsid w:val="338A3D83"/>
    <w:rsid w:val="33956234"/>
    <w:rsid w:val="33956A0B"/>
    <w:rsid w:val="33A10D88"/>
    <w:rsid w:val="33A85BD4"/>
    <w:rsid w:val="33AA1058"/>
    <w:rsid w:val="33AF6CE8"/>
    <w:rsid w:val="33BA52ED"/>
    <w:rsid w:val="33C00B55"/>
    <w:rsid w:val="33C1005A"/>
    <w:rsid w:val="33D03D2A"/>
    <w:rsid w:val="33D26ADA"/>
    <w:rsid w:val="33EB1C56"/>
    <w:rsid w:val="340A02ED"/>
    <w:rsid w:val="341113B0"/>
    <w:rsid w:val="342F1837"/>
    <w:rsid w:val="343B7289"/>
    <w:rsid w:val="344C36D7"/>
    <w:rsid w:val="3464452F"/>
    <w:rsid w:val="347328D8"/>
    <w:rsid w:val="34733E19"/>
    <w:rsid w:val="348222AE"/>
    <w:rsid w:val="34873421"/>
    <w:rsid w:val="3491604D"/>
    <w:rsid w:val="34A17D4A"/>
    <w:rsid w:val="34A40D5D"/>
    <w:rsid w:val="34B00BC9"/>
    <w:rsid w:val="34C1512F"/>
    <w:rsid w:val="34CF4905"/>
    <w:rsid w:val="34D4418C"/>
    <w:rsid w:val="34DD4521"/>
    <w:rsid w:val="34F91ACC"/>
    <w:rsid w:val="35031DA7"/>
    <w:rsid w:val="35061822"/>
    <w:rsid w:val="350D23A0"/>
    <w:rsid w:val="35243C45"/>
    <w:rsid w:val="35301D0A"/>
    <w:rsid w:val="35410B17"/>
    <w:rsid w:val="35414E0B"/>
    <w:rsid w:val="3545680D"/>
    <w:rsid w:val="35601844"/>
    <w:rsid w:val="35843EAE"/>
    <w:rsid w:val="35905D41"/>
    <w:rsid w:val="35994CAB"/>
    <w:rsid w:val="35B17626"/>
    <w:rsid w:val="35BB3E7D"/>
    <w:rsid w:val="35D6028F"/>
    <w:rsid w:val="35E74616"/>
    <w:rsid w:val="35EB69CC"/>
    <w:rsid w:val="35EE30CD"/>
    <w:rsid w:val="35F77C74"/>
    <w:rsid w:val="35FE3BB6"/>
    <w:rsid w:val="36010FB1"/>
    <w:rsid w:val="36035EE7"/>
    <w:rsid w:val="360867F6"/>
    <w:rsid w:val="36160F00"/>
    <w:rsid w:val="36264A5B"/>
    <w:rsid w:val="36272AAF"/>
    <w:rsid w:val="362B0CC5"/>
    <w:rsid w:val="36452A76"/>
    <w:rsid w:val="36455341"/>
    <w:rsid w:val="365A29B6"/>
    <w:rsid w:val="365B2DB7"/>
    <w:rsid w:val="36687924"/>
    <w:rsid w:val="36703F22"/>
    <w:rsid w:val="36717D84"/>
    <w:rsid w:val="367B5207"/>
    <w:rsid w:val="36845780"/>
    <w:rsid w:val="36851BE2"/>
    <w:rsid w:val="3689036D"/>
    <w:rsid w:val="368A323C"/>
    <w:rsid w:val="36A84446"/>
    <w:rsid w:val="36AC3746"/>
    <w:rsid w:val="36B85A18"/>
    <w:rsid w:val="36C6432F"/>
    <w:rsid w:val="36E42EB5"/>
    <w:rsid w:val="36EC6637"/>
    <w:rsid w:val="36FA1069"/>
    <w:rsid w:val="370A058B"/>
    <w:rsid w:val="37166CDE"/>
    <w:rsid w:val="372B09DB"/>
    <w:rsid w:val="3734069D"/>
    <w:rsid w:val="37465815"/>
    <w:rsid w:val="3747333B"/>
    <w:rsid w:val="37495673"/>
    <w:rsid w:val="37515F68"/>
    <w:rsid w:val="375810A4"/>
    <w:rsid w:val="376A42C6"/>
    <w:rsid w:val="377834E6"/>
    <w:rsid w:val="3782347A"/>
    <w:rsid w:val="379160EA"/>
    <w:rsid w:val="379F0AA2"/>
    <w:rsid w:val="37A8604A"/>
    <w:rsid w:val="37A934D2"/>
    <w:rsid w:val="37B06E98"/>
    <w:rsid w:val="37B71037"/>
    <w:rsid w:val="37BC3392"/>
    <w:rsid w:val="37C103D6"/>
    <w:rsid w:val="37D5272F"/>
    <w:rsid w:val="37D93458"/>
    <w:rsid w:val="37E14151"/>
    <w:rsid w:val="37E529E9"/>
    <w:rsid w:val="37ED4F7F"/>
    <w:rsid w:val="37FE6E39"/>
    <w:rsid w:val="38055562"/>
    <w:rsid w:val="380F20AB"/>
    <w:rsid w:val="381572B8"/>
    <w:rsid w:val="38353194"/>
    <w:rsid w:val="38393E83"/>
    <w:rsid w:val="38536701"/>
    <w:rsid w:val="38587EAA"/>
    <w:rsid w:val="385E3204"/>
    <w:rsid w:val="387761E5"/>
    <w:rsid w:val="387A1DB3"/>
    <w:rsid w:val="388B11B0"/>
    <w:rsid w:val="389E6B6E"/>
    <w:rsid w:val="38AF73EA"/>
    <w:rsid w:val="38B44A00"/>
    <w:rsid w:val="38B873E2"/>
    <w:rsid w:val="38E45070"/>
    <w:rsid w:val="38F67F51"/>
    <w:rsid w:val="39044BAD"/>
    <w:rsid w:val="39113C01"/>
    <w:rsid w:val="391A778D"/>
    <w:rsid w:val="39215215"/>
    <w:rsid w:val="394836C2"/>
    <w:rsid w:val="39535FC7"/>
    <w:rsid w:val="397B107A"/>
    <w:rsid w:val="39880367"/>
    <w:rsid w:val="398919E9"/>
    <w:rsid w:val="39987E7E"/>
    <w:rsid w:val="39AD3B91"/>
    <w:rsid w:val="39C12F31"/>
    <w:rsid w:val="39C649EB"/>
    <w:rsid w:val="39C973B3"/>
    <w:rsid w:val="39ED057D"/>
    <w:rsid w:val="39ED0D6D"/>
    <w:rsid w:val="39EF7F92"/>
    <w:rsid w:val="3A1535FE"/>
    <w:rsid w:val="3A160420"/>
    <w:rsid w:val="3A197131"/>
    <w:rsid w:val="3A2C61C1"/>
    <w:rsid w:val="3A3A057F"/>
    <w:rsid w:val="3A827C61"/>
    <w:rsid w:val="3A8B1558"/>
    <w:rsid w:val="3A933B5F"/>
    <w:rsid w:val="3A964F46"/>
    <w:rsid w:val="3A9E400B"/>
    <w:rsid w:val="3AB40CE8"/>
    <w:rsid w:val="3AD46C94"/>
    <w:rsid w:val="3ADF4C65"/>
    <w:rsid w:val="3AEF1480"/>
    <w:rsid w:val="3B027E69"/>
    <w:rsid w:val="3B1F387C"/>
    <w:rsid w:val="3B6808F8"/>
    <w:rsid w:val="3B6B2D07"/>
    <w:rsid w:val="3B6B3A9C"/>
    <w:rsid w:val="3B7261A2"/>
    <w:rsid w:val="3B765F9D"/>
    <w:rsid w:val="3B7B66FA"/>
    <w:rsid w:val="3B84690C"/>
    <w:rsid w:val="3B9C3C56"/>
    <w:rsid w:val="3BB949C2"/>
    <w:rsid w:val="3BC14543"/>
    <w:rsid w:val="3BC1657B"/>
    <w:rsid w:val="3BD3125C"/>
    <w:rsid w:val="3BE178BA"/>
    <w:rsid w:val="3BE316E1"/>
    <w:rsid w:val="3BE45A1E"/>
    <w:rsid w:val="3BE66036"/>
    <w:rsid w:val="3BEB4966"/>
    <w:rsid w:val="3BF31BF6"/>
    <w:rsid w:val="3BF375EE"/>
    <w:rsid w:val="3C3D58FC"/>
    <w:rsid w:val="3C491519"/>
    <w:rsid w:val="3C4B2FAD"/>
    <w:rsid w:val="3C5606C2"/>
    <w:rsid w:val="3C823E34"/>
    <w:rsid w:val="3C872384"/>
    <w:rsid w:val="3C91683E"/>
    <w:rsid w:val="3C9D5A84"/>
    <w:rsid w:val="3CBB45AF"/>
    <w:rsid w:val="3CBE6029"/>
    <w:rsid w:val="3CC03974"/>
    <w:rsid w:val="3CCF2956"/>
    <w:rsid w:val="3CD15B81"/>
    <w:rsid w:val="3CD87AFA"/>
    <w:rsid w:val="3CD91AB9"/>
    <w:rsid w:val="3CDB69FF"/>
    <w:rsid w:val="3CE5162C"/>
    <w:rsid w:val="3CE85EE2"/>
    <w:rsid w:val="3CF41DDE"/>
    <w:rsid w:val="3CF7310E"/>
    <w:rsid w:val="3D1122D9"/>
    <w:rsid w:val="3D12298F"/>
    <w:rsid w:val="3D192669"/>
    <w:rsid w:val="3D1B17CC"/>
    <w:rsid w:val="3D1C7E93"/>
    <w:rsid w:val="3D1F6756"/>
    <w:rsid w:val="3D3B15B9"/>
    <w:rsid w:val="3D4225DB"/>
    <w:rsid w:val="3D4C4C97"/>
    <w:rsid w:val="3D501BC3"/>
    <w:rsid w:val="3D540560"/>
    <w:rsid w:val="3D647F2A"/>
    <w:rsid w:val="3D6F5BDB"/>
    <w:rsid w:val="3D7911CF"/>
    <w:rsid w:val="3D824ED6"/>
    <w:rsid w:val="3D8A7708"/>
    <w:rsid w:val="3D9546B3"/>
    <w:rsid w:val="3D9F5C7F"/>
    <w:rsid w:val="3DA212CB"/>
    <w:rsid w:val="3DB86D41"/>
    <w:rsid w:val="3DBD1AD6"/>
    <w:rsid w:val="3DD16E21"/>
    <w:rsid w:val="3DEE2762"/>
    <w:rsid w:val="3E0E69B8"/>
    <w:rsid w:val="3E171E42"/>
    <w:rsid w:val="3E1D6BA4"/>
    <w:rsid w:val="3E384D3D"/>
    <w:rsid w:val="3E520EF9"/>
    <w:rsid w:val="3E573E64"/>
    <w:rsid w:val="3E612F34"/>
    <w:rsid w:val="3E76777E"/>
    <w:rsid w:val="3E7F19F3"/>
    <w:rsid w:val="3E865BF8"/>
    <w:rsid w:val="3E8949ED"/>
    <w:rsid w:val="3E9A6446"/>
    <w:rsid w:val="3E9B4698"/>
    <w:rsid w:val="3EAA423E"/>
    <w:rsid w:val="3EB402B4"/>
    <w:rsid w:val="3EC309B7"/>
    <w:rsid w:val="3ECF60F0"/>
    <w:rsid w:val="3EE55509"/>
    <w:rsid w:val="3EEE0DEF"/>
    <w:rsid w:val="3EF70D0A"/>
    <w:rsid w:val="3EF72EC9"/>
    <w:rsid w:val="3EFD2FB4"/>
    <w:rsid w:val="3F055974"/>
    <w:rsid w:val="3F083A54"/>
    <w:rsid w:val="3F385E31"/>
    <w:rsid w:val="3F467593"/>
    <w:rsid w:val="3F515415"/>
    <w:rsid w:val="3F617E0A"/>
    <w:rsid w:val="3F6958BC"/>
    <w:rsid w:val="3F8668E2"/>
    <w:rsid w:val="3F8844F1"/>
    <w:rsid w:val="3F987996"/>
    <w:rsid w:val="3FA255B3"/>
    <w:rsid w:val="3FBD4F5B"/>
    <w:rsid w:val="3FC44472"/>
    <w:rsid w:val="3FD84629"/>
    <w:rsid w:val="3FE47979"/>
    <w:rsid w:val="400D4F69"/>
    <w:rsid w:val="4022602E"/>
    <w:rsid w:val="40661121"/>
    <w:rsid w:val="406E5EF3"/>
    <w:rsid w:val="40763B34"/>
    <w:rsid w:val="407F77F1"/>
    <w:rsid w:val="40935BB3"/>
    <w:rsid w:val="40A2785A"/>
    <w:rsid w:val="40B2745F"/>
    <w:rsid w:val="40D70761"/>
    <w:rsid w:val="40E7064C"/>
    <w:rsid w:val="40F85993"/>
    <w:rsid w:val="41053A33"/>
    <w:rsid w:val="410A340F"/>
    <w:rsid w:val="410F4E53"/>
    <w:rsid w:val="41154A97"/>
    <w:rsid w:val="4119041B"/>
    <w:rsid w:val="412344D1"/>
    <w:rsid w:val="41263FC1"/>
    <w:rsid w:val="412B72D6"/>
    <w:rsid w:val="412D6014"/>
    <w:rsid w:val="4132693C"/>
    <w:rsid w:val="414C7ECC"/>
    <w:rsid w:val="414E240B"/>
    <w:rsid w:val="415E19AD"/>
    <w:rsid w:val="415E313C"/>
    <w:rsid w:val="41801923"/>
    <w:rsid w:val="418A09F4"/>
    <w:rsid w:val="419F684B"/>
    <w:rsid w:val="41A3369B"/>
    <w:rsid w:val="41AC2B40"/>
    <w:rsid w:val="41B24C4F"/>
    <w:rsid w:val="41CD13FD"/>
    <w:rsid w:val="41DB454C"/>
    <w:rsid w:val="41DC0929"/>
    <w:rsid w:val="41E474ED"/>
    <w:rsid w:val="41E7638D"/>
    <w:rsid w:val="41F405DF"/>
    <w:rsid w:val="420C6134"/>
    <w:rsid w:val="422F7D49"/>
    <w:rsid w:val="4230127B"/>
    <w:rsid w:val="423821FE"/>
    <w:rsid w:val="42411497"/>
    <w:rsid w:val="42433E5D"/>
    <w:rsid w:val="425A6618"/>
    <w:rsid w:val="426113CD"/>
    <w:rsid w:val="42852229"/>
    <w:rsid w:val="428B79C2"/>
    <w:rsid w:val="42927B60"/>
    <w:rsid w:val="42B52A5A"/>
    <w:rsid w:val="42BA0E65"/>
    <w:rsid w:val="42BB5A65"/>
    <w:rsid w:val="42C1425F"/>
    <w:rsid w:val="42C47367"/>
    <w:rsid w:val="42E46129"/>
    <w:rsid w:val="42F44377"/>
    <w:rsid w:val="42F56341"/>
    <w:rsid w:val="4312153B"/>
    <w:rsid w:val="43201F2F"/>
    <w:rsid w:val="43207F29"/>
    <w:rsid w:val="43251AA8"/>
    <w:rsid w:val="433A3D54"/>
    <w:rsid w:val="434D6E78"/>
    <w:rsid w:val="43500368"/>
    <w:rsid w:val="436839EB"/>
    <w:rsid w:val="436C6FFF"/>
    <w:rsid w:val="4371578D"/>
    <w:rsid w:val="438B5990"/>
    <w:rsid w:val="439E6DDD"/>
    <w:rsid w:val="43B27935"/>
    <w:rsid w:val="43B7341D"/>
    <w:rsid w:val="43BA4D4F"/>
    <w:rsid w:val="43D5619A"/>
    <w:rsid w:val="43FB1735"/>
    <w:rsid w:val="440920A4"/>
    <w:rsid w:val="440D63F0"/>
    <w:rsid w:val="440E12B2"/>
    <w:rsid w:val="443133A9"/>
    <w:rsid w:val="443426E9"/>
    <w:rsid w:val="445539FA"/>
    <w:rsid w:val="44623562"/>
    <w:rsid w:val="446F2D4A"/>
    <w:rsid w:val="44741DB7"/>
    <w:rsid w:val="447D44D3"/>
    <w:rsid w:val="447E5E2A"/>
    <w:rsid w:val="44841EBD"/>
    <w:rsid w:val="448636B3"/>
    <w:rsid w:val="44953AFE"/>
    <w:rsid w:val="449D243B"/>
    <w:rsid w:val="44A91191"/>
    <w:rsid w:val="44B30262"/>
    <w:rsid w:val="44C05078"/>
    <w:rsid w:val="44C522AB"/>
    <w:rsid w:val="44DA134B"/>
    <w:rsid w:val="44DE1D54"/>
    <w:rsid w:val="45114A51"/>
    <w:rsid w:val="451259F2"/>
    <w:rsid w:val="45216F7A"/>
    <w:rsid w:val="452263BE"/>
    <w:rsid w:val="45240E10"/>
    <w:rsid w:val="45280308"/>
    <w:rsid w:val="452E0344"/>
    <w:rsid w:val="45322F35"/>
    <w:rsid w:val="4534265D"/>
    <w:rsid w:val="4564320C"/>
    <w:rsid w:val="456E5B41"/>
    <w:rsid w:val="456F631B"/>
    <w:rsid w:val="45702958"/>
    <w:rsid w:val="45793CAC"/>
    <w:rsid w:val="45917DF8"/>
    <w:rsid w:val="459736E0"/>
    <w:rsid w:val="45A55DFD"/>
    <w:rsid w:val="45AB480C"/>
    <w:rsid w:val="45B6495D"/>
    <w:rsid w:val="45C738DC"/>
    <w:rsid w:val="45D60C4F"/>
    <w:rsid w:val="45E3036C"/>
    <w:rsid w:val="45E34450"/>
    <w:rsid w:val="45F65C17"/>
    <w:rsid w:val="460022EF"/>
    <w:rsid w:val="46015633"/>
    <w:rsid w:val="461611FF"/>
    <w:rsid w:val="46197B2C"/>
    <w:rsid w:val="461C1E7F"/>
    <w:rsid w:val="46302237"/>
    <w:rsid w:val="4648420D"/>
    <w:rsid w:val="465D25C8"/>
    <w:rsid w:val="46696A79"/>
    <w:rsid w:val="46955A09"/>
    <w:rsid w:val="469C0B8D"/>
    <w:rsid w:val="46A14C12"/>
    <w:rsid w:val="46A37611"/>
    <w:rsid w:val="46B100E9"/>
    <w:rsid w:val="46DA1AD6"/>
    <w:rsid w:val="46DC2184"/>
    <w:rsid w:val="46DE0983"/>
    <w:rsid w:val="46E90656"/>
    <w:rsid w:val="47213FAC"/>
    <w:rsid w:val="47226FD9"/>
    <w:rsid w:val="4724163E"/>
    <w:rsid w:val="47264769"/>
    <w:rsid w:val="472B3327"/>
    <w:rsid w:val="474D2E3F"/>
    <w:rsid w:val="475C24EB"/>
    <w:rsid w:val="47633BD9"/>
    <w:rsid w:val="47645658"/>
    <w:rsid w:val="47652830"/>
    <w:rsid w:val="477A04AC"/>
    <w:rsid w:val="477C3E4E"/>
    <w:rsid w:val="47805912"/>
    <w:rsid w:val="47860F1E"/>
    <w:rsid w:val="4794342F"/>
    <w:rsid w:val="479E4EDD"/>
    <w:rsid w:val="47A829EE"/>
    <w:rsid w:val="47A866C0"/>
    <w:rsid w:val="47BC567F"/>
    <w:rsid w:val="47DD0DA2"/>
    <w:rsid w:val="47E30E5E"/>
    <w:rsid w:val="48084421"/>
    <w:rsid w:val="48180B08"/>
    <w:rsid w:val="482743CD"/>
    <w:rsid w:val="483D231C"/>
    <w:rsid w:val="484418DC"/>
    <w:rsid w:val="48647E91"/>
    <w:rsid w:val="48652624"/>
    <w:rsid w:val="48830434"/>
    <w:rsid w:val="48A709C8"/>
    <w:rsid w:val="48AE45E7"/>
    <w:rsid w:val="48B45470"/>
    <w:rsid w:val="48C808A0"/>
    <w:rsid w:val="48C93BB0"/>
    <w:rsid w:val="48D7799B"/>
    <w:rsid w:val="48EA7135"/>
    <w:rsid w:val="48FF3A76"/>
    <w:rsid w:val="490A3EB0"/>
    <w:rsid w:val="491518EB"/>
    <w:rsid w:val="49175A53"/>
    <w:rsid w:val="49276B29"/>
    <w:rsid w:val="494A344A"/>
    <w:rsid w:val="495B57BC"/>
    <w:rsid w:val="496A7ED9"/>
    <w:rsid w:val="49784602"/>
    <w:rsid w:val="497A1051"/>
    <w:rsid w:val="497C0C22"/>
    <w:rsid w:val="4981579F"/>
    <w:rsid w:val="49893EBD"/>
    <w:rsid w:val="499637FE"/>
    <w:rsid w:val="49AA63AF"/>
    <w:rsid w:val="49D13819"/>
    <w:rsid w:val="49D14229"/>
    <w:rsid w:val="49E71892"/>
    <w:rsid w:val="49EE36FA"/>
    <w:rsid w:val="49F619EE"/>
    <w:rsid w:val="4A0D4229"/>
    <w:rsid w:val="4A1930E3"/>
    <w:rsid w:val="4A235C65"/>
    <w:rsid w:val="4A495D52"/>
    <w:rsid w:val="4A5676C5"/>
    <w:rsid w:val="4A92473F"/>
    <w:rsid w:val="4AA83CE8"/>
    <w:rsid w:val="4AE01685"/>
    <w:rsid w:val="4AE5022F"/>
    <w:rsid w:val="4AEC002A"/>
    <w:rsid w:val="4B004A60"/>
    <w:rsid w:val="4B0C247A"/>
    <w:rsid w:val="4B1D4687"/>
    <w:rsid w:val="4B2C0576"/>
    <w:rsid w:val="4B3B68BB"/>
    <w:rsid w:val="4B3C4B0D"/>
    <w:rsid w:val="4B3F45FD"/>
    <w:rsid w:val="4B447E66"/>
    <w:rsid w:val="4B5076FB"/>
    <w:rsid w:val="4B5D6832"/>
    <w:rsid w:val="4B661768"/>
    <w:rsid w:val="4B6651FE"/>
    <w:rsid w:val="4B754A09"/>
    <w:rsid w:val="4B775437"/>
    <w:rsid w:val="4B796657"/>
    <w:rsid w:val="4B9A00F4"/>
    <w:rsid w:val="4BA44E82"/>
    <w:rsid w:val="4BA91B23"/>
    <w:rsid w:val="4BC17A7B"/>
    <w:rsid w:val="4BCF3EB6"/>
    <w:rsid w:val="4BDD5A2A"/>
    <w:rsid w:val="4BE53CA8"/>
    <w:rsid w:val="4BF16EAF"/>
    <w:rsid w:val="4BF413A3"/>
    <w:rsid w:val="4BFA22D2"/>
    <w:rsid w:val="4C095499"/>
    <w:rsid w:val="4C0A317C"/>
    <w:rsid w:val="4C0B1AF5"/>
    <w:rsid w:val="4C0C0625"/>
    <w:rsid w:val="4C126C12"/>
    <w:rsid w:val="4C2537F3"/>
    <w:rsid w:val="4C2919FF"/>
    <w:rsid w:val="4C2E0E6D"/>
    <w:rsid w:val="4C312198"/>
    <w:rsid w:val="4C32606B"/>
    <w:rsid w:val="4C520360"/>
    <w:rsid w:val="4C636C07"/>
    <w:rsid w:val="4C7B1F02"/>
    <w:rsid w:val="4C813BDE"/>
    <w:rsid w:val="4C8229F4"/>
    <w:rsid w:val="4C853456"/>
    <w:rsid w:val="4C87556E"/>
    <w:rsid w:val="4C9A48BB"/>
    <w:rsid w:val="4CB807D5"/>
    <w:rsid w:val="4CC255AB"/>
    <w:rsid w:val="4CC84B02"/>
    <w:rsid w:val="4CF23BDE"/>
    <w:rsid w:val="4CFC70B9"/>
    <w:rsid w:val="4CFD1306"/>
    <w:rsid w:val="4D0B43E1"/>
    <w:rsid w:val="4D115B26"/>
    <w:rsid w:val="4D3637DE"/>
    <w:rsid w:val="4D4948D1"/>
    <w:rsid w:val="4D601DFC"/>
    <w:rsid w:val="4D637AE8"/>
    <w:rsid w:val="4D6E4D26"/>
    <w:rsid w:val="4D714816"/>
    <w:rsid w:val="4D762390"/>
    <w:rsid w:val="4D87303F"/>
    <w:rsid w:val="4D8D163E"/>
    <w:rsid w:val="4D90451E"/>
    <w:rsid w:val="4D957FE3"/>
    <w:rsid w:val="4D9C7AE5"/>
    <w:rsid w:val="4DB2128C"/>
    <w:rsid w:val="4DBB70C5"/>
    <w:rsid w:val="4DD63967"/>
    <w:rsid w:val="4DE9049B"/>
    <w:rsid w:val="4DEF79C6"/>
    <w:rsid w:val="4DF12397"/>
    <w:rsid w:val="4E0336C0"/>
    <w:rsid w:val="4E08798C"/>
    <w:rsid w:val="4E1C29D4"/>
    <w:rsid w:val="4E2B0DEE"/>
    <w:rsid w:val="4E2D5DA7"/>
    <w:rsid w:val="4E385BC6"/>
    <w:rsid w:val="4E453CD9"/>
    <w:rsid w:val="4E4A1E4D"/>
    <w:rsid w:val="4E4B5A59"/>
    <w:rsid w:val="4E5F55FC"/>
    <w:rsid w:val="4E791834"/>
    <w:rsid w:val="4E7C2C07"/>
    <w:rsid w:val="4E894504"/>
    <w:rsid w:val="4EB01370"/>
    <w:rsid w:val="4EBE1CDD"/>
    <w:rsid w:val="4EC92B5C"/>
    <w:rsid w:val="4ED67027"/>
    <w:rsid w:val="4ED80FF1"/>
    <w:rsid w:val="4EE92CF2"/>
    <w:rsid w:val="4EEC61D3"/>
    <w:rsid w:val="4EFD57A9"/>
    <w:rsid w:val="4F0959C6"/>
    <w:rsid w:val="4F1B24A1"/>
    <w:rsid w:val="4F1B4C77"/>
    <w:rsid w:val="4F1D53C9"/>
    <w:rsid w:val="4F310701"/>
    <w:rsid w:val="4F356C49"/>
    <w:rsid w:val="4F4108D9"/>
    <w:rsid w:val="4F4F7D0C"/>
    <w:rsid w:val="4F5159D7"/>
    <w:rsid w:val="4F5330C0"/>
    <w:rsid w:val="4F550CF0"/>
    <w:rsid w:val="4F570D38"/>
    <w:rsid w:val="4F5C18E6"/>
    <w:rsid w:val="4F6302EE"/>
    <w:rsid w:val="4F8053FC"/>
    <w:rsid w:val="4F816161"/>
    <w:rsid w:val="4F9071D6"/>
    <w:rsid w:val="4F964339"/>
    <w:rsid w:val="4F9C1CC1"/>
    <w:rsid w:val="4F9C359E"/>
    <w:rsid w:val="4FA9329B"/>
    <w:rsid w:val="4FAC3829"/>
    <w:rsid w:val="4FBB7FCB"/>
    <w:rsid w:val="4FCB7117"/>
    <w:rsid w:val="4FE63299"/>
    <w:rsid w:val="4FEA2911"/>
    <w:rsid w:val="50033178"/>
    <w:rsid w:val="50111814"/>
    <w:rsid w:val="50132EF6"/>
    <w:rsid w:val="50224539"/>
    <w:rsid w:val="502E256F"/>
    <w:rsid w:val="503A5393"/>
    <w:rsid w:val="50587752"/>
    <w:rsid w:val="505C7454"/>
    <w:rsid w:val="50633ACD"/>
    <w:rsid w:val="506568B4"/>
    <w:rsid w:val="506B7335"/>
    <w:rsid w:val="507B5B9A"/>
    <w:rsid w:val="508F4A82"/>
    <w:rsid w:val="5092148E"/>
    <w:rsid w:val="50B412E2"/>
    <w:rsid w:val="50C81C3A"/>
    <w:rsid w:val="50CB22FD"/>
    <w:rsid w:val="50D8235D"/>
    <w:rsid w:val="50DD28EE"/>
    <w:rsid w:val="50E7531D"/>
    <w:rsid w:val="50EB1E2D"/>
    <w:rsid w:val="50F35F21"/>
    <w:rsid w:val="50F6575E"/>
    <w:rsid w:val="511F145F"/>
    <w:rsid w:val="51354906"/>
    <w:rsid w:val="513A7953"/>
    <w:rsid w:val="51621B49"/>
    <w:rsid w:val="51654349"/>
    <w:rsid w:val="516A3CD7"/>
    <w:rsid w:val="517B23B7"/>
    <w:rsid w:val="518A613E"/>
    <w:rsid w:val="519535B1"/>
    <w:rsid w:val="51A73F12"/>
    <w:rsid w:val="51B03B5F"/>
    <w:rsid w:val="51BB5A53"/>
    <w:rsid w:val="51C70EA9"/>
    <w:rsid w:val="51D57A6A"/>
    <w:rsid w:val="51EF3167"/>
    <w:rsid w:val="51FD2761"/>
    <w:rsid w:val="522B3249"/>
    <w:rsid w:val="524F15CA"/>
    <w:rsid w:val="5253749C"/>
    <w:rsid w:val="525564B4"/>
    <w:rsid w:val="52636E23"/>
    <w:rsid w:val="527E6A7D"/>
    <w:rsid w:val="52A35472"/>
    <w:rsid w:val="52BF0D37"/>
    <w:rsid w:val="52C32DB3"/>
    <w:rsid w:val="52C5583B"/>
    <w:rsid w:val="52E07084"/>
    <w:rsid w:val="52E50D30"/>
    <w:rsid w:val="52ED6907"/>
    <w:rsid w:val="52F81B6F"/>
    <w:rsid w:val="531A1363"/>
    <w:rsid w:val="531B5950"/>
    <w:rsid w:val="53334A48"/>
    <w:rsid w:val="53366123"/>
    <w:rsid w:val="533E04DE"/>
    <w:rsid w:val="534F33FD"/>
    <w:rsid w:val="53542382"/>
    <w:rsid w:val="53623718"/>
    <w:rsid w:val="537600E1"/>
    <w:rsid w:val="53874D6C"/>
    <w:rsid w:val="538C23AA"/>
    <w:rsid w:val="53901D3A"/>
    <w:rsid w:val="53A835C4"/>
    <w:rsid w:val="53A9297F"/>
    <w:rsid w:val="53BF0CE6"/>
    <w:rsid w:val="53CA4C80"/>
    <w:rsid w:val="53D02BF5"/>
    <w:rsid w:val="53E126F6"/>
    <w:rsid w:val="53E82F40"/>
    <w:rsid w:val="53FB308C"/>
    <w:rsid w:val="54023AC0"/>
    <w:rsid w:val="5407402D"/>
    <w:rsid w:val="54154DC9"/>
    <w:rsid w:val="54284282"/>
    <w:rsid w:val="543365B2"/>
    <w:rsid w:val="54363EAB"/>
    <w:rsid w:val="543A1E06"/>
    <w:rsid w:val="545221AF"/>
    <w:rsid w:val="545A4256"/>
    <w:rsid w:val="546426FE"/>
    <w:rsid w:val="5464711F"/>
    <w:rsid w:val="54676969"/>
    <w:rsid w:val="54733E51"/>
    <w:rsid w:val="54832B57"/>
    <w:rsid w:val="548B5C6E"/>
    <w:rsid w:val="549C486F"/>
    <w:rsid w:val="54A110B1"/>
    <w:rsid w:val="54B45541"/>
    <w:rsid w:val="54D73AF9"/>
    <w:rsid w:val="54DF48B9"/>
    <w:rsid w:val="54EA658D"/>
    <w:rsid w:val="54EB3100"/>
    <w:rsid w:val="54F60DF7"/>
    <w:rsid w:val="551161E5"/>
    <w:rsid w:val="55125391"/>
    <w:rsid w:val="55184DE5"/>
    <w:rsid w:val="55196BF7"/>
    <w:rsid w:val="552E1A3E"/>
    <w:rsid w:val="553D4707"/>
    <w:rsid w:val="554612E7"/>
    <w:rsid w:val="55556188"/>
    <w:rsid w:val="55592760"/>
    <w:rsid w:val="556C45C4"/>
    <w:rsid w:val="55733821"/>
    <w:rsid w:val="557D644E"/>
    <w:rsid w:val="55850C4A"/>
    <w:rsid w:val="558F0587"/>
    <w:rsid w:val="558F522C"/>
    <w:rsid w:val="55921A1A"/>
    <w:rsid w:val="559355FE"/>
    <w:rsid w:val="55AB4B2E"/>
    <w:rsid w:val="55CE6126"/>
    <w:rsid w:val="55D03739"/>
    <w:rsid w:val="55D36973"/>
    <w:rsid w:val="56035BF9"/>
    <w:rsid w:val="56044479"/>
    <w:rsid w:val="56315A6C"/>
    <w:rsid w:val="563207FD"/>
    <w:rsid w:val="56336B0D"/>
    <w:rsid w:val="563E0449"/>
    <w:rsid w:val="56471CC7"/>
    <w:rsid w:val="56490E7E"/>
    <w:rsid w:val="56660156"/>
    <w:rsid w:val="56692432"/>
    <w:rsid w:val="56835CE6"/>
    <w:rsid w:val="569037CB"/>
    <w:rsid w:val="56935F0D"/>
    <w:rsid w:val="56B934B6"/>
    <w:rsid w:val="56C43C09"/>
    <w:rsid w:val="57122BC6"/>
    <w:rsid w:val="57157376"/>
    <w:rsid w:val="571E71F4"/>
    <w:rsid w:val="572650D2"/>
    <w:rsid w:val="57272B15"/>
    <w:rsid w:val="57396AD7"/>
    <w:rsid w:val="574834BD"/>
    <w:rsid w:val="574D6E26"/>
    <w:rsid w:val="574E28E0"/>
    <w:rsid w:val="57575901"/>
    <w:rsid w:val="577601D3"/>
    <w:rsid w:val="57884849"/>
    <w:rsid w:val="578C0BCA"/>
    <w:rsid w:val="578E0DB2"/>
    <w:rsid w:val="579F6BBB"/>
    <w:rsid w:val="57C22B3C"/>
    <w:rsid w:val="57C43775"/>
    <w:rsid w:val="57C87729"/>
    <w:rsid w:val="57D20E08"/>
    <w:rsid w:val="57D57577"/>
    <w:rsid w:val="58086806"/>
    <w:rsid w:val="580C6F3F"/>
    <w:rsid w:val="58155C60"/>
    <w:rsid w:val="58306EC5"/>
    <w:rsid w:val="584D3288"/>
    <w:rsid w:val="586918CE"/>
    <w:rsid w:val="588B432B"/>
    <w:rsid w:val="58992740"/>
    <w:rsid w:val="58B34DDC"/>
    <w:rsid w:val="58C72BED"/>
    <w:rsid w:val="58CE70F0"/>
    <w:rsid w:val="58E34992"/>
    <w:rsid w:val="58E56C6E"/>
    <w:rsid w:val="58FE78A6"/>
    <w:rsid w:val="59036E1D"/>
    <w:rsid w:val="59213594"/>
    <w:rsid w:val="592D15FE"/>
    <w:rsid w:val="596479EA"/>
    <w:rsid w:val="596552F0"/>
    <w:rsid w:val="596D2336"/>
    <w:rsid w:val="59701E26"/>
    <w:rsid w:val="597C4F99"/>
    <w:rsid w:val="59851E84"/>
    <w:rsid w:val="59AA24D9"/>
    <w:rsid w:val="59BA3148"/>
    <w:rsid w:val="59C77C98"/>
    <w:rsid w:val="59CD006E"/>
    <w:rsid w:val="59E06FAB"/>
    <w:rsid w:val="59E20F76"/>
    <w:rsid w:val="59F742E9"/>
    <w:rsid w:val="5A015962"/>
    <w:rsid w:val="5A0A3797"/>
    <w:rsid w:val="5A1D590D"/>
    <w:rsid w:val="5A45472E"/>
    <w:rsid w:val="5A4E660B"/>
    <w:rsid w:val="5A540645"/>
    <w:rsid w:val="5A6B17E6"/>
    <w:rsid w:val="5A763D4F"/>
    <w:rsid w:val="5A8037CA"/>
    <w:rsid w:val="5A823E74"/>
    <w:rsid w:val="5A8269AE"/>
    <w:rsid w:val="5A930966"/>
    <w:rsid w:val="5AB26918"/>
    <w:rsid w:val="5ABF3E93"/>
    <w:rsid w:val="5AD1449C"/>
    <w:rsid w:val="5AD325D0"/>
    <w:rsid w:val="5AD84CB1"/>
    <w:rsid w:val="5ADD2319"/>
    <w:rsid w:val="5AED4081"/>
    <w:rsid w:val="5AEF5CC8"/>
    <w:rsid w:val="5AF076C2"/>
    <w:rsid w:val="5AF16AC3"/>
    <w:rsid w:val="5AFE6A93"/>
    <w:rsid w:val="5B0B3F55"/>
    <w:rsid w:val="5B0C1E13"/>
    <w:rsid w:val="5B246903"/>
    <w:rsid w:val="5B2E52F1"/>
    <w:rsid w:val="5B352209"/>
    <w:rsid w:val="5B3A13AB"/>
    <w:rsid w:val="5B3C2907"/>
    <w:rsid w:val="5B4A6DD2"/>
    <w:rsid w:val="5B630F3C"/>
    <w:rsid w:val="5B6C411E"/>
    <w:rsid w:val="5B735FB2"/>
    <w:rsid w:val="5B757E7A"/>
    <w:rsid w:val="5B765E19"/>
    <w:rsid w:val="5B9A555D"/>
    <w:rsid w:val="5B9B5880"/>
    <w:rsid w:val="5BA10EBA"/>
    <w:rsid w:val="5BA305BE"/>
    <w:rsid w:val="5BB64468"/>
    <w:rsid w:val="5BD54BE1"/>
    <w:rsid w:val="5BDC5206"/>
    <w:rsid w:val="5BDC684B"/>
    <w:rsid w:val="5BDF7095"/>
    <w:rsid w:val="5BE15F8D"/>
    <w:rsid w:val="5BE27313"/>
    <w:rsid w:val="5BE710F1"/>
    <w:rsid w:val="5C13413A"/>
    <w:rsid w:val="5C182A2D"/>
    <w:rsid w:val="5C1967A5"/>
    <w:rsid w:val="5C290D9D"/>
    <w:rsid w:val="5C2C64D8"/>
    <w:rsid w:val="5C56031C"/>
    <w:rsid w:val="5C5E240A"/>
    <w:rsid w:val="5C6312A0"/>
    <w:rsid w:val="5C717056"/>
    <w:rsid w:val="5C886C5A"/>
    <w:rsid w:val="5C901911"/>
    <w:rsid w:val="5C9C0F22"/>
    <w:rsid w:val="5C9E216D"/>
    <w:rsid w:val="5CA249EC"/>
    <w:rsid w:val="5CA47B90"/>
    <w:rsid w:val="5CAB5196"/>
    <w:rsid w:val="5CAF2E9D"/>
    <w:rsid w:val="5CD5091E"/>
    <w:rsid w:val="5CF942D5"/>
    <w:rsid w:val="5CFE30FF"/>
    <w:rsid w:val="5D0B54DD"/>
    <w:rsid w:val="5D102783"/>
    <w:rsid w:val="5D213E13"/>
    <w:rsid w:val="5D290C69"/>
    <w:rsid w:val="5D2E0BBD"/>
    <w:rsid w:val="5D403AD8"/>
    <w:rsid w:val="5D491B8F"/>
    <w:rsid w:val="5D583D5A"/>
    <w:rsid w:val="5D5B245A"/>
    <w:rsid w:val="5D5D40E3"/>
    <w:rsid w:val="5D711CEE"/>
    <w:rsid w:val="5D7962D8"/>
    <w:rsid w:val="5D823E2B"/>
    <w:rsid w:val="5D8504F6"/>
    <w:rsid w:val="5D8C4409"/>
    <w:rsid w:val="5D953969"/>
    <w:rsid w:val="5DA24642"/>
    <w:rsid w:val="5DB22A0D"/>
    <w:rsid w:val="5DC75889"/>
    <w:rsid w:val="5DC7726D"/>
    <w:rsid w:val="5DD25AD6"/>
    <w:rsid w:val="5DF04D4E"/>
    <w:rsid w:val="5DF66D9E"/>
    <w:rsid w:val="5DFD6B74"/>
    <w:rsid w:val="5E0278AC"/>
    <w:rsid w:val="5E0C5D98"/>
    <w:rsid w:val="5E153089"/>
    <w:rsid w:val="5E1831B8"/>
    <w:rsid w:val="5E194310"/>
    <w:rsid w:val="5E1B46B2"/>
    <w:rsid w:val="5E1C432A"/>
    <w:rsid w:val="5E214E60"/>
    <w:rsid w:val="5E3C677A"/>
    <w:rsid w:val="5E4B5FB0"/>
    <w:rsid w:val="5E5A2F0B"/>
    <w:rsid w:val="5E877376"/>
    <w:rsid w:val="5E9509D6"/>
    <w:rsid w:val="5EA615D3"/>
    <w:rsid w:val="5EAA7669"/>
    <w:rsid w:val="5EB8640C"/>
    <w:rsid w:val="5EC12BC6"/>
    <w:rsid w:val="5EC82FEA"/>
    <w:rsid w:val="5EC90269"/>
    <w:rsid w:val="5EC92295"/>
    <w:rsid w:val="5ECD756E"/>
    <w:rsid w:val="5EDB66AD"/>
    <w:rsid w:val="5EFD415C"/>
    <w:rsid w:val="5F0B16F5"/>
    <w:rsid w:val="5F12099B"/>
    <w:rsid w:val="5F2035EB"/>
    <w:rsid w:val="5F211BFF"/>
    <w:rsid w:val="5F2E660F"/>
    <w:rsid w:val="5F3B7088"/>
    <w:rsid w:val="5F487ACD"/>
    <w:rsid w:val="5F4E560C"/>
    <w:rsid w:val="5F66592C"/>
    <w:rsid w:val="5F6664B4"/>
    <w:rsid w:val="5F7F6E06"/>
    <w:rsid w:val="5F9A6357"/>
    <w:rsid w:val="5FA1065E"/>
    <w:rsid w:val="5FA22B96"/>
    <w:rsid w:val="5FA92A04"/>
    <w:rsid w:val="5FBA3DFB"/>
    <w:rsid w:val="5FBA7BDF"/>
    <w:rsid w:val="5FC2179B"/>
    <w:rsid w:val="5FD037A9"/>
    <w:rsid w:val="5FD15F43"/>
    <w:rsid w:val="5FD40C2B"/>
    <w:rsid w:val="5FD54D4E"/>
    <w:rsid w:val="5FDB4C83"/>
    <w:rsid w:val="5FDE3600"/>
    <w:rsid w:val="5FE1413B"/>
    <w:rsid w:val="5FE1781D"/>
    <w:rsid w:val="5FE315A4"/>
    <w:rsid w:val="5FE95FAC"/>
    <w:rsid w:val="5FEF7F48"/>
    <w:rsid w:val="601B2AEB"/>
    <w:rsid w:val="60243FCD"/>
    <w:rsid w:val="60314F50"/>
    <w:rsid w:val="603665CD"/>
    <w:rsid w:val="603B0E28"/>
    <w:rsid w:val="603B51FC"/>
    <w:rsid w:val="603E25AC"/>
    <w:rsid w:val="604319BC"/>
    <w:rsid w:val="605F496E"/>
    <w:rsid w:val="60695F4D"/>
    <w:rsid w:val="606C09EB"/>
    <w:rsid w:val="606D2C19"/>
    <w:rsid w:val="606E35B4"/>
    <w:rsid w:val="607E307A"/>
    <w:rsid w:val="607F7CF7"/>
    <w:rsid w:val="609A466B"/>
    <w:rsid w:val="60A22F40"/>
    <w:rsid w:val="60A9027A"/>
    <w:rsid w:val="60AC7BE7"/>
    <w:rsid w:val="60BF5B6D"/>
    <w:rsid w:val="60D5627E"/>
    <w:rsid w:val="60E43825"/>
    <w:rsid w:val="60F63558"/>
    <w:rsid w:val="61001CE1"/>
    <w:rsid w:val="611322D1"/>
    <w:rsid w:val="61291C00"/>
    <w:rsid w:val="612A7A57"/>
    <w:rsid w:val="613E5314"/>
    <w:rsid w:val="6147286C"/>
    <w:rsid w:val="615C33BC"/>
    <w:rsid w:val="615E05C0"/>
    <w:rsid w:val="61630BEE"/>
    <w:rsid w:val="6183303E"/>
    <w:rsid w:val="618D0FF6"/>
    <w:rsid w:val="61CB6178"/>
    <w:rsid w:val="61D90E17"/>
    <w:rsid w:val="61F07F5C"/>
    <w:rsid w:val="61FF059B"/>
    <w:rsid w:val="6213081E"/>
    <w:rsid w:val="621357FA"/>
    <w:rsid w:val="627446D0"/>
    <w:rsid w:val="62874F65"/>
    <w:rsid w:val="628E64AF"/>
    <w:rsid w:val="62901B14"/>
    <w:rsid w:val="629149FC"/>
    <w:rsid w:val="62967221"/>
    <w:rsid w:val="62A063FC"/>
    <w:rsid w:val="62A908BB"/>
    <w:rsid w:val="62CC712F"/>
    <w:rsid w:val="62CE7D97"/>
    <w:rsid w:val="62D56C04"/>
    <w:rsid w:val="62EE0E1F"/>
    <w:rsid w:val="62EE4265"/>
    <w:rsid w:val="63080B36"/>
    <w:rsid w:val="631B1054"/>
    <w:rsid w:val="633640E0"/>
    <w:rsid w:val="635C2F34"/>
    <w:rsid w:val="635F1034"/>
    <w:rsid w:val="636504FC"/>
    <w:rsid w:val="636E5BB0"/>
    <w:rsid w:val="63705DD4"/>
    <w:rsid w:val="637639ED"/>
    <w:rsid w:val="63770981"/>
    <w:rsid w:val="637D4629"/>
    <w:rsid w:val="637F5A87"/>
    <w:rsid w:val="638509A2"/>
    <w:rsid w:val="63950E07"/>
    <w:rsid w:val="63995D4B"/>
    <w:rsid w:val="639C016B"/>
    <w:rsid w:val="63BE035D"/>
    <w:rsid w:val="63C977DC"/>
    <w:rsid w:val="63D8165B"/>
    <w:rsid w:val="63DC70E4"/>
    <w:rsid w:val="63F13145"/>
    <w:rsid w:val="63FC70D8"/>
    <w:rsid w:val="640D429F"/>
    <w:rsid w:val="64157664"/>
    <w:rsid w:val="6425270D"/>
    <w:rsid w:val="64420C2A"/>
    <w:rsid w:val="64504D2E"/>
    <w:rsid w:val="6477050C"/>
    <w:rsid w:val="64790924"/>
    <w:rsid w:val="647924D6"/>
    <w:rsid w:val="64947318"/>
    <w:rsid w:val="64A357A5"/>
    <w:rsid w:val="64A6696C"/>
    <w:rsid w:val="64AA08E2"/>
    <w:rsid w:val="64AD2180"/>
    <w:rsid w:val="64C00105"/>
    <w:rsid w:val="64C004D8"/>
    <w:rsid w:val="64C129D2"/>
    <w:rsid w:val="64C319A4"/>
    <w:rsid w:val="64C5259F"/>
    <w:rsid w:val="64EA0FCF"/>
    <w:rsid w:val="64EA5182"/>
    <w:rsid w:val="65137984"/>
    <w:rsid w:val="651E4D27"/>
    <w:rsid w:val="65424019"/>
    <w:rsid w:val="6545060B"/>
    <w:rsid w:val="655167CA"/>
    <w:rsid w:val="656C491B"/>
    <w:rsid w:val="65936D77"/>
    <w:rsid w:val="65A00D84"/>
    <w:rsid w:val="65B72A86"/>
    <w:rsid w:val="65C149CB"/>
    <w:rsid w:val="65EF7ACC"/>
    <w:rsid w:val="65F85430"/>
    <w:rsid w:val="66086B65"/>
    <w:rsid w:val="66346A66"/>
    <w:rsid w:val="663935EB"/>
    <w:rsid w:val="663A7A43"/>
    <w:rsid w:val="664B39FF"/>
    <w:rsid w:val="66527633"/>
    <w:rsid w:val="6665593C"/>
    <w:rsid w:val="666E56CA"/>
    <w:rsid w:val="66997C73"/>
    <w:rsid w:val="669C6028"/>
    <w:rsid w:val="66B80478"/>
    <w:rsid w:val="66B842FB"/>
    <w:rsid w:val="66D46ED4"/>
    <w:rsid w:val="66D954AE"/>
    <w:rsid w:val="66D95553"/>
    <w:rsid w:val="66DC2CFB"/>
    <w:rsid w:val="66EE50B4"/>
    <w:rsid w:val="66FF1652"/>
    <w:rsid w:val="67025E48"/>
    <w:rsid w:val="67250883"/>
    <w:rsid w:val="674458F4"/>
    <w:rsid w:val="674D64E7"/>
    <w:rsid w:val="6751418F"/>
    <w:rsid w:val="676254A4"/>
    <w:rsid w:val="676B4015"/>
    <w:rsid w:val="676E03EA"/>
    <w:rsid w:val="677700E3"/>
    <w:rsid w:val="677B4D48"/>
    <w:rsid w:val="67A42877"/>
    <w:rsid w:val="67BF3E7A"/>
    <w:rsid w:val="67CB4E45"/>
    <w:rsid w:val="67D266B3"/>
    <w:rsid w:val="67D70B7C"/>
    <w:rsid w:val="67DA0018"/>
    <w:rsid w:val="67DD1227"/>
    <w:rsid w:val="67EF18AB"/>
    <w:rsid w:val="67F02AB0"/>
    <w:rsid w:val="68024591"/>
    <w:rsid w:val="6809591F"/>
    <w:rsid w:val="680A3E47"/>
    <w:rsid w:val="680F2DCE"/>
    <w:rsid w:val="6813750B"/>
    <w:rsid w:val="68294213"/>
    <w:rsid w:val="682A7F22"/>
    <w:rsid w:val="6841155D"/>
    <w:rsid w:val="68550701"/>
    <w:rsid w:val="686730F2"/>
    <w:rsid w:val="686C2DA0"/>
    <w:rsid w:val="68756FA8"/>
    <w:rsid w:val="68790CF7"/>
    <w:rsid w:val="6888718C"/>
    <w:rsid w:val="68891983"/>
    <w:rsid w:val="688D47A2"/>
    <w:rsid w:val="689E4D14"/>
    <w:rsid w:val="68A34199"/>
    <w:rsid w:val="68D66D1E"/>
    <w:rsid w:val="68F25091"/>
    <w:rsid w:val="690305C1"/>
    <w:rsid w:val="690976D0"/>
    <w:rsid w:val="69140F1B"/>
    <w:rsid w:val="691919B8"/>
    <w:rsid w:val="69286279"/>
    <w:rsid w:val="692C5D69"/>
    <w:rsid w:val="69313380"/>
    <w:rsid w:val="69360996"/>
    <w:rsid w:val="693E4168"/>
    <w:rsid w:val="694456E3"/>
    <w:rsid w:val="694A4441"/>
    <w:rsid w:val="69555CD9"/>
    <w:rsid w:val="69681605"/>
    <w:rsid w:val="6971437A"/>
    <w:rsid w:val="69735746"/>
    <w:rsid w:val="697D4736"/>
    <w:rsid w:val="697F058F"/>
    <w:rsid w:val="69AC7BFD"/>
    <w:rsid w:val="69DE1666"/>
    <w:rsid w:val="69E62190"/>
    <w:rsid w:val="69E9120E"/>
    <w:rsid w:val="69F96630"/>
    <w:rsid w:val="69FA40E3"/>
    <w:rsid w:val="6A024D1C"/>
    <w:rsid w:val="6A08390A"/>
    <w:rsid w:val="6A0D5B9B"/>
    <w:rsid w:val="6A2941FD"/>
    <w:rsid w:val="6A3613AC"/>
    <w:rsid w:val="6A38564B"/>
    <w:rsid w:val="6A5027AC"/>
    <w:rsid w:val="6A5A7287"/>
    <w:rsid w:val="6A6B63DD"/>
    <w:rsid w:val="6A9B06AB"/>
    <w:rsid w:val="6AC87D14"/>
    <w:rsid w:val="6AD2581B"/>
    <w:rsid w:val="6AE71120"/>
    <w:rsid w:val="6AF945FC"/>
    <w:rsid w:val="6B257268"/>
    <w:rsid w:val="6B3158B9"/>
    <w:rsid w:val="6B4F3F91"/>
    <w:rsid w:val="6B4F52D2"/>
    <w:rsid w:val="6B566163"/>
    <w:rsid w:val="6B581A5F"/>
    <w:rsid w:val="6B70517D"/>
    <w:rsid w:val="6B7B6E6D"/>
    <w:rsid w:val="6B850DDA"/>
    <w:rsid w:val="6B91280C"/>
    <w:rsid w:val="6B9143EA"/>
    <w:rsid w:val="6B937C85"/>
    <w:rsid w:val="6BA72125"/>
    <w:rsid w:val="6BC73B27"/>
    <w:rsid w:val="6BD91127"/>
    <w:rsid w:val="6BE0108D"/>
    <w:rsid w:val="6BE91AB4"/>
    <w:rsid w:val="6BF84629"/>
    <w:rsid w:val="6C0859F8"/>
    <w:rsid w:val="6C315445"/>
    <w:rsid w:val="6C410FEA"/>
    <w:rsid w:val="6CA3362C"/>
    <w:rsid w:val="6CBF3486"/>
    <w:rsid w:val="6CD13207"/>
    <w:rsid w:val="6CF50469"/>
    <w:rsid w:val="6D0475EA"/>
    <w:rsid w:val="6D1159A2"/>
    <w:rsid w:val="6D1B5C7E"/>
    <w:rsid w:val="6D2E5797"/>
    <w:rsid w:val="6D45564C"/>
    <w:rsid w:val="6D58130D"/>
    <w:rsid w:val="6D5E7BE9"/>
    <w:rsid w:val="6D7D0F66"/>
    <w:rsid w:val="6D7D377F"/>
    <w:rsid w:val="6DA2484C"/>
    <w:rsid w:val="6DA5609A"/>
    <w:rsid w:val="6DA939A4"/>
    <w:rsid w:val="6DBA3368"/>
    <w:rsid w:val="6DBC0B4D"/>
    <w:rsid w:val="6DC233EE"/>
    <w:rsid w:val="6DD736D1"/>
    <w:rsid w:val="6DE224F6"/>
    <w:rsid w:val="6DE50BDD"/>
    <w:rsid w:val="6DF57072"/>
    <w:rsid w:val="6E0A6DE7"/>
    <w:rsid w:val="6E0B4071"/>
    <w:rsid w:val="6E113780"/>
    <w:rsid w:val="6E1B2B27"/>
    <w:rsid w:val="6E2E712C"/>
    <w:rsid w:val="6E3000AA"/>
    <w:rsid w:val="6E3D27C7"/>
    <w:rsid w:val="6E5A13EE"/>
    <w:rsid w:val="6E5B2B88"/>
    <w:rsid w:val="6E670F3E"/>
    <w:rsid w:val="6E8B4035"/>
    <w:rsid w:val="6E9A20DE"/>
    <w:rsid w:val="6EA91348"/>
    <w:rsid w:val="6EB63D5D"/>
    <w:rsid w:val="6EBD1288"/>
    <w:rsid w:val="6ECD3B4B"/>
    <w:rsid w:val="6ECF78C3"/>
    <w:rsid w:val="6EE862ED"/>
    <w:rsid w:val="6EE964AB"/>
    <w:rsid w:val="6F0B328A"/>
    <w:rsid w:val="6F0B6010"/>
    <w:rsid w:val="6F114A9A"/>
    <w:rsid w:val="6F1725DE"/>
    <w:rsid w:val="6F1A48B6"/>
    <w:rsid w:val="6F296E61"/>
    <w:rsid w:val="6F415570"/>
    <w:rsid w:val="6F5D3A01"/>
    <w:rsid w:val="6F616377"/>
    <w:rsid w:val="6F704A0D"/>
    <w:rsid w:val="6FA7614A"/>
    <w:rsid w:val="6FBC5139"/>
    <w:rsid w:val="6FBF1C12"/>
    <w:rsid w:val="6FC77A0F"/>
    <w:rsid w:val="6FD5763E"/>
    <w:rsid w:val="6FDE7692"/>
    <w:rsid w:val="6FE4739E"/>
    <w:rsid w:val="700205F2"/>
    <w:rsid w:val="700B457A"/>
    <w:rsid w:val="70163CF3"/>
    <w:rsid w:val="701C6F6C"/>
    <w:rsid w:val="701E6ADC"/>
    <w:rsid w:val="703270B5"/>
    <w:rsid w:val="703A11E9"/>
    <w:rsid w:val="70441100"/>
    <w:rsid w:val="70592BD0"/>
    <w:rsid w:val="705B4992"/>
    <w:rsid w:val="706825F0"/>
    <w:rsid w:val="70691153"/>
    <w:rsid w:val="708906D1"/>
    <w:rsid w:val="70A96CEB"/>
    <w:rsid w:val="70B430DC"/>
    <w:rsid w:val="70C71E93"/>
    <w:rsid w:val="70C76100"/>
    <w:rsid w:val="70CD6084"/>
    <w:rsid w:val="70DA254F"/>
    <w:rsid w:val="70E70099"/>
    <w:rsid w:val="70ED0E4E"/>
    <w:rsid w:val="70F978B0"/>
    <w:rsid w:val="70FA04FB"/>
    <w:rsid w:val="70FE2DD7"/>
    <w:rsid w:val="710A268A"/>
    <w:rsid w:val="711D0DF6"/>
    <w:rsid w:val="711E2976"/>
    <w:rsid w:val="712A0D03"/>
    <w:rsid w:val="713734FD"/>
    <w:rsid w:val="71566079"/>
    <w:rsid w:val="71593B40"/>
    <w:rsid w:val="715E70FD"/>
    <w:rsid w:val="71614A1E"/>
    <w:rsid w:val="71676F1B"/>
    <w:rsid w:val="71681909"/>
    <w:rsid w:val="71751725"/>
    <w:rsid w:val="719B3B6B"/>
    <w:rsid w:val="71A22818"/>
    <w:rsid w:val="71AF59F3"/>
    <w:rsid w:val="71B70534"/>
    <w:rsid w:val="71B763EC"/>
    <w:rsid w:val="71BB48E8"/>
    <w:rsid w:val="71C23755"/>
    <w:rsid w:val="71C468BD"/>
    <w:rsid w:val="71CF5C3A"/>
    <w:rsid w:val="71D70292"/>
    <w:rsid w:val="71F32BFA"/>
    <w:rsid w:val="71FD1FC9"/>
    <w:rsid w:val="71FD5648"/>
    <w:rsid w:val="72005FE5"/>
    <w:rsid w:val="7201694A"/>
    <w:rsid w:val="720C2BDC"/>
    <w:rsid w:val="72435ED2"/>
    <w:rsid w:val="72440D8F"/>
    <w:rsid w:val="72481A7D"/>
    <w:rsid w:val="726154A4"/>
    <w:rsid w:val="728D4703"/>
    <w:rsid w:val="72983C2F"/>
    <w:rsid w:val="72B56DCF"/>
    <w:rsid w:val="72CC487C"/>
    <w:rsid w:val="72EB1BDA"/>
    <w:rsid w:val="72EE5E3E"/>
    <w:rsid w:val="72F774F5"/>
    <w:rsid w:val="73041B05"/>
    <w:rsid w:val="7349576A"/>
    <w:rsid w:val="735C158F"/>
    <w:rsid w:val="738404B6"/>
    <w:rsid w:val="73BF6D1E"/>
    <w:rsid w:val="73DE2356"/>
    <w:rsid w:val="74097BB1"/>
    <w:rsid w:val="74104207"/>
    <w:rsid w:val="74131F2F"/>
    <w:rsid w:val="741C6A3A"/>
    <w:rsid w:val="7440091B"/>
    <w:rsid w:val="74454FBB"/>
    <w:rsid w:val="744F3E92"/>
    <w:rsid w:val="745A5E80"/>
    <w:rsid w:val="745D0172"/>
    <w:rsid w:val="745F110F"/>
    <w:rsid w:val="7463285B"/>
    <w:rsid w:val="74654825"/>
    <w:rsid w:val="748C590E"/>
    <w:rsid w:val="74932A0C"/>
    <w:rsid w:val="7496678D"/>
    <w:rsid w:val="74A470FC"/>
    <w:rsid w:val="74C82A05"/>
    <w:rsid w:val="74CF151E"/>
    <w:rsid w:val="74DD0B56"/>
    <w:rsid w:val="74F008B3"/>
    <w:rsid w:val="75091655"/>
    <w:rsid w:val="750E6C6B"/>
    <w:rsid w:val="751029E3"/>
    <w:rsid w:val="75104791"/>
    <w:rsid w:val="752D3A4F"/>
    <w:rsid w:val="753362C5"/>
    <w:rsid w:val="754E7067"/>
    <w:rsid w:val="755B2AF5"/>
    <w:rsid w:val="756B1BA3"/>
    <w:rsid w:val="75822A16"/>
    <w:rsid w:val="7592164A"/>
    <w:rsid w:val="75982C83"/>
    <w:rsid w:val="759B5A5A"/>
    <w:rsid w:val="75A55461"/>
    <w:rsid w:val="75D02172"/>
    <w:rsid w:val="75D20971"/>
    <w:rsid w:val="75EF2888"/>
    <w:rsid w:val="75F120CB"/>
    <w:rsid w:val="75F33F9B"/>
    <w:rsid w:val="75F80645"/>
    <w:rsid w:val="75FA40F8"/>
    <w:rsid w:val="75FA59FA"/>
    <w:rsid w:val="760D46D0"/>
    <w:rsid w:val="761B051A"/>
    <w:rsid w:val="762768F9"/>
    <w:rsid w:val="76325E2A"/>
    <w:rsid w:val="76361484"/>
    <w:rsid w:val="76392F90"/>
    <w:rsid w:val="76426BCC"/>
    <w:rsid w:val="76577D91"/>
    <w:rsid w:val="7682521B"/>
    <w:rsid w:val="769413F2"/>
    <w:rsid w:val="76A41635"/>
    <w:rsid w:val="76A80C09"/>
    <w:rsid w:val="76AF7559"/>
    <w:rsid w:val="76CA6BC2"/>
    <w:rsid w:val="76D604A5"/>
    <w:rsid w:val="76DD1A19"/>
    <w:rsid w:val="76DD34B1"/>
    <w:rsid w:val="76F93003"/>
    <w:rsid w:val="77010E46"/>
    <w:rsid w:val="7703645F"/>
    <w:rsid w:val="771B1A7D"/>
    <w:rsid w:val="773504DF"/>
    <w:rsid w:val="77522230"/>
    <w:rsid w:val="77523C27"/>
    <w:rsid w:val="775B3AB5"/>
    <w:rsid w:val="77777A8A"/>
    <w:rsid w:val="777A2396"/>
    <w:rsid w:val="77804A8C"/>
    <w:rsid w:val="77890EB7"/>
    <w:rsid w:val="77905FE5"/>
    <w:rsid w:val="77954689"/>
    <w:rsid w:val="779B18FC"/>
    <w:rsid w:val="77B21B30"/>
    <w:rsid w:val="77BB691C"/>
    <w:rsid w:val="77CE48E5"/>
    <w:rsid w:val="77D27871"/>
    <w:rsid w:val="77D702A8"/>
    <w:rsid w:val="780370D4"/>
    <w:rsid w:val="780D03D7"/>
    <w:rsid w:val="781520BE"/>
    <w:rsid w:val="78181994"/>
    <w:rsid w:val="78542BE7"/>
    <w:rsid w:val="785C1A9B"/>
    <w:rsid w:val="785C5350"/>
    <w:rsid w:val="78623CDC"/>
    <w:rsid w:val="7876004E"/>
    <w:rsid w:val="787A6FBA"/>
    <w:rsid w:val="787C73F9"/>
    <w:rsid w:val="787D038F"/>
    <w:rsid w:val="787D4DEF"/>
    <w:rsid w:val="78847910"/>
    <w:rsid w:val="78957683"/>
    <w:rsid w:val="789631FF"/>
    <w:rsid w:val="78F46B40"/>
    <w:rsid w:val="78FB3062"/>
    <w:rsid w:val="79062627"/>
    <w:rsid w:val="79181E66"/>
    <w:rsid w:val="791E4FA3"/>
    <w:rsid w:val="792175C5"/>
    <w:rsid w:val="792415EC"/>
    <w:rsid w:val="7929511A"/>
    <w:rsid w:val="79303C51"/>
    <w:rsid w:val="79471541"/>
    <w:rsid w:val="794D779B"/>
    <w:rsid w:val="79513C6B"/>
    <w:rsid w:val="795310F0"/>
    <w:rsid w:val="79532E9E"/>
    <w:rsid w:val="79585000"/>
    <w:rsid w:val="795C3075"/>
    <w:rsid w:val="795E4766"/>
    <w:rsid w:val="795F1582"/>
    <w:rsid w:val="796450AB"/>
    <w:rsid w:val="79804EF7"/>
    <w:rsid w:val="79856DD0"/>
    <w:rsid w:val="79986B03"/>
    <w:rsid w:val="79992A19"/>
    <w:rsid w:val="799D3616"/>
    <w:rsid w:val="79C66784"/>
    <w:rsid w:val="79DF0BD6"/>
    <w:rsid w:val="79E058C9"/>
    <w:rsid w:val="79EE2F80"/>
    <w:rsid w:val="79F226B7"/>
    <w:rsid w:val="79FC207B"/>
    <w:rsid w:val="7A173A4F"/>
    <w:rsid w:val="7A22322C"/>
    <w:rsid w:val="7A242F20"/>
    <w:rsid w:val="7A396538"/>
    <w:rsid w:val="7A5E6609"/>
    <w:rsid w:val="7A6A66F1"/>
    <w:rsid w:val="7A792DD8"/>
    <w:rsid w:val="7A911E35"/>
    <w:rsid w:val="7A991FA0"/>
    <w:rsid w:val="7AD32C5B"/>
    <w:rsid w:val="7AD37ED3"/>
    <w:rsid w:val="7AE10F3B"/>
    <w:rsid w:val="7B016906"/>
    <w:rsid w:val="7B130B37"/>
    <w:rsid w:val="7B183EF9"/>
    <w:rsid w:val="7B225C6F"/>
    <w:rsid w:val="7B2956D5"/>
    <w:rsid w:val="7B2B3FE0"/>
    <w:rsid w:val="7B353C3B"/>
    <w:rsid w:val="7B477DF0"/>
    <w:rsid w:val="7B4C30E7"/>
    <w:rsid w:val="7B62386D"/>
    <w:rsid w:val="7B701708"/>
    <w:rsid w:val="7B752A79"/>
    <w:rsid w:val="7B78720F"/>
    <w:rsid w:val="7B86755B"/>
    <w:rsid w:val="7B8C31E4"/>
    <w:rsid w:val="7B910B48"/>
    <w:rsid w:val="7B9354BB"/>
    <w:rsid w:val="7BB64ECC"/>
    <w:rsid w:val="7BD001F1"/>
    <w:rsid w:val="7BD5086A"/>
    <w:rsid w:val="7C091F3A"/>
    <w:rsid w:val="7C0B6412"/>
    <w:rsid w:val="7C105E35"/>
    <w:rsid w:val="7C1E49A0"/>
    <w:rsid w:val="7C2F4BDD"/>
    <w:rsid w:val="7C35250D"/>
    <w:rsid w:val="7C357419"/>
    <w:rsid w:val="7C523106"/>
    <w:rsid w:val="7C576919"/>
    <w:rsid w:val="7C772A93"/>
    <w:rsid w:val="7CAD1758"/>
    <w:rsid w:val="7CB9078D"/>
    <w:rsid w:val="7CC320E9"/>
    <w:rsid w:val="7CCA3477"/>
    <w:rsid w:val="7CD12A58"/>
    <w:rsid w:val="7CD4499B"/>
    <w:rsid w:val="7CFD1A9F"/>
    <w:rsid w:val="7D074568"/>
    <w:rsid w:val="7D127985"/>
    <w:rsid w:val="7D20578D"/>
    <w:rsid w:val="7D226853"/>
    <w:rsid w:val="7D4513A9"/>
    <w:rsid w:val="7D513339"/>
    <w:rsid w:val="7D534C0C"/>
    <w:rsid w:val="7D660923"/>
    <w:rsid w:val="7D7543A8"/>
    <w:rsid w:val="7D7B6AD8"/>
    <w:rsid w:val="7DBE5F66"/>
    <w:rsid w:val="7DC15F5D"/>
    <w:rsid w:val="7DD064C2"/>
    <w:rsid w:val="7DD11339"/>
    <w:rsid w:val="7DD14F2E"/>
    <w:rsid w:val="7DD43CC2"/>
    <w:rsid w:val="7DFA52F7"/>
    <w:rsid w:val="7E001EAC"/>
    <w:rsid w:val="7E002B1A"/>
    <w:rsid w:val="7E062A20"/>
    <w:rsid w:val="7E062BD5"/>
    <w:rsid w:val="7E0D3F64"/>
    <w:rsid w:val="7E1352F2"/>
    <w:rsid w:val="7E230656"/>
    <w:rsid w:val="7E2629B5"/>
    <w:rsid w:val="7E356FD3"/>
    <w:rsid w:val="7E41185C"/>
    <w:rsid w:val="7E42415F"/>
    <w:rsid w:val="7E4E1C03"/>
    <w:rsid w:val="7E5971A9"/>
    <w:rsid w:val="7E682F48"/>
    <w:rsid w:val="7E6873EC"/>
    <w:rsid w:val="7E6D4839"/>
    <w:rsid w:val="7E6F61CB"/>
    <w:rsid w:val="7E734D90"/>
    <w:rsid w:val="7E775881"/>
    <w:rsid w:val="7E8A7070"/>
    <w:rsid w:val="7EB72EE7"/>
    <w:rsid w:val="7ECC061A"/>
    <w:rsid w:val="7EDA4DF2"/>
    <w:rsid w:val="7EF337F9"/>
    <w:rsid w:val="7EF70770"/>
    <w:rsid w:val="7EFC7494"/>
    <w:rsid w:val="7F0A3FFF"/>
    <w:rsid w:val="7F3E1D30"/>
    <w:rsid w:val="7F477001"/>
    <w:rsid w:val="7F5A6F9E"/>
    <w:rsid w:val="7F66397B"/>
    <w:rsid w:val="7F6F4F13"/>
    <w:rsid w:val="7F7378B0"/>
    <w:rsid w:val="7F7621C7"/>
    <w:rsid w:val="7F764D90"/>
    <w:rsid w:val="7F82454A"/>
    <w:rsid w:val="7F8A3392"/>
    <w:rsid w:val="7F912BCD"/>
    <w:rsid w:val="7FC8211E"/>
    <w:rsid w:val="7FE231CE"/>
    <w:rsid w:val="7FE94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73"/>
    <w:autoRedefine/>
    <w:qFormat/>
    <w:uiPriority w:val="0"/>
    <w:pPr>
      <w:keepNext/>
      <w:snapToGrid w:val="0"/>
      <w:spacing w:line="360" w:lineRule="atLeast"/>
      <w:outlineLvl w:val="0"/>
    </w:pPr>
    <w:rPr>
      <w:rFonts w:ascii="宋体"/>
    </w:rPr>
  </w:style>
  <w:style w:type="paragraph" w:styleId="3">
    <w:name w:val="heading 2"/>
    <w:basedOn w:val="1"/>
    <w:next w:val="1"/>
    <w:link w:val="72"/>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4"/>
    <w:autoRedefine/>
    <w:qFormat/>
    <w:uiPriority w:val="0"/>
    <w:pPr>
      <w:keepNext/>
      <w:keepLines/>
      <w:spacing w:before="260" w:after="260" w:line="413" w:lineRule="auto"/>
      <w:outlineLvl w:val="2"/>
    </w:pPr>
    <w:rPr>
      <w:b/>
      <w:sz w:val="32"/>
    </w:rPr>
  </w:style>
  <w:style w:type="paragraph" w:styleId="5">
    <w:name w:val="heading 4"/>
    <w:basedOn w:val="1"/>
    <w:next w:val="1"/>
    <w:link w:val="75"/>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78"/>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79"/>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80"/>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8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82"/>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tabs>
        <w:tab w:val="left" w:pos="780"/>
      </w:tabs>
      <w:spacing w:line="360" w:lineRule="auto"/>
      <w:ind w:left="425" w:hanging="425"/>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17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150"/>
    <w:autoRedefine/>
    <w:qFormat/>
    <w:uiPriority w:val="0"/>
    <w:pPr>
      <w:adjustRightInd w:val="0"/>
      <w:spacing w:line="360" w:lineRule="atLeast"/>
      <w:jc w:val="left"/>
      <w:textAlignment w:val="baseline"/>
    </w:pPr>
    <w:rPr>
      <w:rFonts w:asciiTheme="minorHAnsi" w:hAnsiTheme="minorHAnsi" w:eastAsiaTheme="minorEastAsia" w:cstheme="minorBidi"/>
      <w:sz w:val="24"/>
      <w:szCs w:val="22"/>
    </w:rPr>
  </w:style>
  <w:style w:type="paragraph" w:styleId="20">
    <w:name w:val="Body Text 3"/>
    <w:basedOn w:val="1"/>
    <w:link w:val="187"/>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link w:val="144"/>
    <w:autoRedefine/>
    <w:unhideWhenUsed/>
    <w:qFormat/>
    <w:uiPriority w:val="0"/>
    <w:pPr>
      <w:spacing w:after="120"/>
    </w:pPr>
  </w:style>
  <w:style w:type="paragraph" w:styleId="23">
    <w:name w:val="Body Text Indent"/>
    <w:basedOn w:val="1"/>
    <w:link w:val="139"/>
    <w:autoRedefine/>
    <w:unhideWhenUsed/>
    <w:qFormat/>
    <w:uiPriority w:val="0"/>
    <w:pPr>
      <w:spacing w:after="120"/>
      <w:ind w:left="420" w:leftChars="200"/>
    </w:p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tabs>
        <w:tab w:val="left" w:pos="780"/>
      </w:tabs>
      <w:adjustRightInd w:val="0"/>
      <w:snapToGrid w:val="0"/>
      <w:spacing w:line="360" w:lineRule="auto"/>
      <w:ind w:left="780" w:hanging="360"/>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link w:val="128"/>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159"/>
    <w:autoRedefine/>
    <w:qFormat/>
    <w:uiPriority w:val="0"/>
    <w:rPr>
      <w:rFonts w:asciiTheme="minorHAnsi" w:hAnsiTheme="minorHAnsi" w:eastAsiaTheme="minorEastAsia" w:cstheme="minorBidi"/>
      <w:szCs w:val="22"/>
    </w:rPr>
  </w:style>
  <w:style w:type="paragraph" w:styleId="33">
    <w:name w:val="Body Text Indent 2"/>
    <w:basedOn w:val="1"/>
    <w:link w:val="176"/>
    <w:autoRedefine/>
    <w:qFormat/>
    <w:uiPriority w:val="0"/>
    <w:pPr>
      <w:snapToGrid w:val="0"/>
      <w:spacing w:line="560" w:lineRule="atLeast"/>
      <w:ind w:firstLine="540"/>
    </w:pPr>
    <w:rPr>
      <w:rFonts w:asciiTheme="minorHAnsi" w:hAnsiTheme="minorHAnsi" w:eastAsiaTheme="minorEastAsia" w:cstheme="minorBidi"/>
      <w:szCs w:val="22"/>
    </w:rPr>
  </w:style>
  <w:style w:type="paragraph" w:styleId="34">
    <w:name w:val="Balloon Text"/>
    <w:basedOn w:val="1"/>
    <w:link w:val="156"/>
    <w:autoRedefine/>
    <w:qFormat/>
    <w:uiPriority w:val="0"/>
    <w:rPr>
      <w:sz w:val="18"/>
    </w:rPr>
  </w:style>
  <w:style w:type="paragraph" w:styleId="35">
    <w:name w:val="footer"/>
    <w:basedOn w:val="1"/>
    <w:link w:val="183"/>
    <w:autoRedefine/>
    <w:qFormat/>
    <w:uiPriority w:val="0"/>
    <w:pPr>
      <w:tabs>
        <w:tab w:val="center" w:pos="4153"/>
        <w:tab w:val="right" w:pos="8306"/>
      </w:tabs>
      <w:snapToGrid w:val="0"/>
      <w:jc w:val="left"/>
    </w:pPr>
    <w:rPr>
      <w:sz w:val="18"/>
    </w:rPr>
  </w:style>
  <w:style w:type="paragraph" w:styleId="36">
    <w:name w:val="header"/>
    <w:basedOn w:val="1"/>
    <w:link w:val="172"/>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180"/>
    <w:autoRedefine/>
    <w:qFormat/>
    <w:uiPriority w:val="0"/>
    <w:pPr>
      <w:spacing w:line="360" w:lineRule="auto"/>
    </w:pPr>
    <w:rPr>
      <w:rFonts w:asciiTheme="minorHAnsi" w:hAnsiTheme="minorHAnsi" w:eastAsiaTheme="minorEastAsia" w:cstheme="minorBidi"/>
      <w:sz w:val="18"/>
      <w:szCs w:val="22"/>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167"/>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link w:val="146"/>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link w:val="122"/>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164"/>
    <w:autoRedefine/>
    <w:qFormat/>
    <w:uiPriority w:val="0"/>
    <w:pPr>
      <w:adjustRightInd/>
      <w:spacing w:line="240" w:lineRule="auto"/>
      <w:textAlignment w:val="auto"/>
    </w:pPr>
  </w:style>
  <w:style w:type="paragraph" w:styleId="55">
    <w:name w:val="Body Text First Indent"/>
    <w:basedOn w:val="22"/>
    <w:next w:val="1"/>
    <w:link w:val="145"/>
    <w:autoRedefine/>
    <w:qFormat/>
    <w:uiPriority w:val="0"/>
    <w:pPr>
      <w:spacing w:line="360" w:lineRule="auto"/>
      <w:ind w:firstLine="420"/>
    </w:pPr>
    <w:rPr>
      <w:rFonts w:ascii="宋体" w:hAnsi="宋体"/>
      <w:sz w:val="24"/>
    </w:rPr>
  </w:style>
  <w:style w:type="paragraph" w:styleId="56">
    <w:name w:val="Body Text First Indent 2"/>
    <w:basedOn w:val="23"/>
    <w:link w:val="140"/>
    <w:autoRedefine/>
    <w:qFormat/>
    <w:uiPriority w:val="0"/>
    <w:pPr>
      <w:ind w:firstLine="420" w:firstLineChars="200"/>
    </w:pPr>
    <w:rPr>
      <w:rFonts w:asciiTheme="minorHAnsi" w:hAnsiTheme="minorHAnsi" w:eastAsiaTheme="minorEastAsia" w:cstheme="minorBidi"/>
      <w:sz w:val="44"/>
      <w:szCs w:val="22"/>
    </w:rPr>
  </w:style>
  <w:style w:type="table" w:styleId="58">
    <w:name w:val="Table Grid"/>
    <w:basedOn w:val="5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basedOn w:val="59"/>
    <w:autoRedefine/>
    <w:qFormat/>
    <w:uiPriority w:val="22"/>
    <w:rPr>
      <w:b/>
    </w:rPr>
  </w:style>
  <w:style w:type="character" w:styleId="61">
    <w:name w:val="page number"/>
    <w:basedOn w:val="59"/>
    <w:autoRedefine/>
    <w:qFormat/>
    <w:uiPriority w:val="0"/>
  </w:style>
  <w:style w:type="character" w:styleId="62">
    <w:name w:val="FollowedHyperlink"/>
    <w:basedOn w:val="59"/>
    <w:autoRedefine/>
    <w:qFormat/>
    <w:uiPriority w:val="0"/>
    <w:rPr>
      <w:color w:val="1890FF"/>
      <w:u w:val="none"/>
    </w:rPr>
  </w:style>
  <w:style w:type="character" w:styleId="63">
    <w:name w:val="Emphasis"/>
    <w:autoRedefine/>
    <w:qFormat/>
    <w:uiPriority w:val="0"/>
    <w:rPr>
      <w:i/>
    </w:rPr>
  </w:style>
  <w:style w:type="character" w:styleId="64">
    <w:name w:val="HTML Definition"/>
    <w:basedOn w:val="59"/>
    <w:autoRedefine/>
    <w:unhideWhenUsed/>
    <w:qFormat/>
    <w:uiPriority w:val="99"/>
    <w:rPr>
      <w:i/>
      <w:bdr w:val="single" w:color="D9D9D9" w:sz="6" w:space="0"/>
      <w:shd w:val="clear" w:color="auto" w:fill="FFFFFF"/>
    </w:rPr>
  </w:style>
  <w:style w:type="character" w:styleId="65">
    <w:name w:val="Hyperlink"/>
    <w:basedOn w:val="59"/>
    <w:autoRedefine/>
    <w:qFormat/>
    <w:uiPriority w:val="99"/>
    <w:rPr>
      <w:color w:val="1890FF"/>
      <w:u w:val="none"/>
    </w:rPr>
  </w:style>
  <w:style w:type="character" w:styleId="66">
    <w:name w:val="HTML Code"/>
    <w:basedOn w:val="59"/>
    <w:autoRedefine/>
    <w:unhideWhenUsed/>
    <w:qFormat/>
    <w:uiPriority w:val="99"/>
    <w:rPr>
      <w:rFonts w:hint="default" w:ascii="Consolas" w:hAnsi="Consolas" w:eastAsia="Consolas" w:cs="Consolas"/>
      <w:sz w:val="21"/>
      <w:szCs w:val="21"/>
    </w:rPr>
  </w:style>
  <w:style w:type="character" w:styleId="67">
    <w:name w:val="annotation reference"/>
    <w:autoRedefine/>
    <w:qFormat/>
    <w:uiPriority w:val="0"/>
    <w:rPr>
      <w:sz w:val="21"/>
      <w:szCs w:val="21"/>
    </w:rPr>
  </w:style>
  <w:style w:type="character" w:styleId="68">
    <w:name w:val="footnote reference"/>
    <w:autoRedefine/>
    <w:qFormat/>
    <w:uiPriority w:val="0"/>
    <w:rPr>
      <w:position w:val="6"/>
      <w:sz w:val="14"/>
      <w:vertAlign w:val="superscript"/>
    </w:rPr>
  </w:style>
  <w:style w:type="character" w:styleId="69">
    <w:name w:val="HTML Keyboard"/>
    <w:basedOn w:val="59"/>
    <w:autoRedefine/>
    <w:unhideWhenUsed/>
    <w:qFormat/>
    <w:uiPriority w:val="99"/>
    <w:rPr>
      <w:rFonts w:ascii="Consolas" w:hAnsi="Consolas" w:eastAsia="Consolas" w:cs="Consolas"/>
      <w:sz w:val="21"/>
      <w:szCs w:val="21"/>
    </w:rPr>
  </w:style>
  <w:style w:type="character" w:styleId="70">
    <w:name w:val="HTML Sample"/>
    <w:basedOn w:val="59"/>
    <w:autoRedefine/>
    <w:unhideWhenUsed/>
    <w:qFormat/>
    <w:uiPriority w:val="99"/>
    <w:rPr>
      <w:rFonts w:hint="default" w:ascii="Consolas" w:hAnsi="Consolas" w:eastAsia="Consolas" w:cs="Consolas"/>
      <w:sz w:val="21"/>
      <w:szCs w:val="21"/>
    </w:rPr>
  </w:style>
  <w:style w:type="paragraph" w:customStyle="1" w:styleId="7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72">
    <w:name w:val="标题 2 字符"/>
    <w:basedOn w:val="59"/>
    <w:link w:val="3"/>
    <w:autoRedefine/>
    <w:qFormat/>
    <w:uiPriority w:val="0"/>
    <w:rPr>
      <w:rFonts w:ascii="Arial" w:hAnsi="Arial" w:eastAsia="黑体" w:cs="Times New Roman"/>
      <w:b/>
      <w:sz w:val="32"/>
      <w:szCs w:val="20"/>
    </w:rPr>
  </w:style>
  <w:style w:type="character" w:customStyle="1" w:styleId="73">
    <w:name w:val="标题 1 字符"/>
    <w:basedOn w:val="59"/>
    <w:link w:val="2"/>
    <w:autoRedefine/>
    <w:qFormat/>
    <w:uiPriority w:val="0"/>
    <w:rPr>
      <w:rFonts w:ascii="宋体" w:hAnsi="Times New Roman" w:eastAsia="宋体" w:cs="Times New Roman"/>
      <w:sz w:val="28"/>
      <w:szCs w:val="20"/>
    </w:rPr>
  </w:style>
  <w:style w:type="character" w:customStyle="1" w:styleId="74">
    <w:name w:val="标题 3 字符"/>
    <w:basedOn w:val="59"/>
    <w:link w:val="4"/>
    <w:autoRedefine/>
    <w:qFormat/>
    <w:uiPriority w:val="0"/>
    <w:rPr>
      <w:rFonts w:ascii="Times New Roman" w:hAnsi="Times New Roman" w:eastAsia="宋体" w:cs="Times New Roman"/>
      <w:b/>
      <w:sz w:val="32"/>
      <w:szCs w:val="20"/>
    </w:rPr>
  </w:style>
  <w:style w:type="character" w:customStyle="1" w:styleId="75">
    <w:name w:val="标题 4 字符"/>
    <w:basedOn w:val="59"/>
    <w:link w:val="5"/>
    <w:autoRedefine/>
    <w:qFormat/>
    <w:uiPriority w:val="0"/>
    <w:rPr>
      <w:rFonts w:ascii="Arial" w:hAnsi="Arial" w:eastAsia="黑体" w:cs="Times New Roman"/>
      <w:b/>
      <w:sz w:val="28"/>
      <w:szCs w:val="20"/>
    </w:rPr>
  </w:style>
  <w:style w:type="paragraph" w:customStyle="1" w:styleId="76">
    <w:name w:val="标书正文1"/>
    <w:basedOn w:val="1"/>
    <w:autoRedefine/>
    <w:qFormat/>
    <w:uiPriority w:val="0"/>
    <w:pPr>
      <w:spacing w:line="520" w:lineRule="exact"/>
      <w:ind w:firstLine="640" w:firstLineChars="200"/>
    </w:pPr>
    <w:rPr>
      <w:rFonts w:ascii="Calibri" w:hAnsi="Calibri"/>
    </w:rPr>
  </w:style>
  <w:style w:type="paragraph" w:customStyle="1" w:styleId="77">
    <w:name w:val="无间隔1"/>
    <w:autoRedefine/>
    <w:qFormat/>
    <w:uiPriority w:val="0"/>
    <w:rPr>
      <w:rFonts w:ascii="Times New Roman" w:hAnsi="Times New Roman" w:eastAsia="宋体" w:cs="Times New Roman"/>
      <w:sz w:val="22"/>
      <w:szCs w:val="22"/>
      <w:lang w:val="en-US" w:eastAsia="zh-CN" w:bidi="ar-SA"/>
    </w:rPr>
  </w:style>
  <w:style w:type="character" w:customStyle="1" w:styleId="78">
    <w:name w:val="标题 5 字符"/>
    <w:basedOn w:val="59"/>
    <w:link w:val="6"/>
    <w:autoRedefine/>
    <w:qFormat/>
    <w:uiPriority w:val="0"/>
    <w:rPr>
      <w:rFonts w:ascii="Times New Roman" w:hAnsi="Times New Roman" w:eastAsia="宋体" w:cs="Times New Roman"/>
      <w:b/>
      <w:sz w:val="28"/>
      <w:szCs w:val="20"/>
    </w:rPr>
  </w:style>
  <w:style w:type="character" w:customStyle="1" w:styleId="79">
    <w:name w:val="标题 6 字符"/>
    <w:basedOn w:val="59"/>
    <w:link w:val="7"/>
    <w:autoRedefine/>
    <w:qFormat/>
    <w:uiPriority w:val="0"/>
    <w:rPr>
      <w:rFonts w:ascii="Arial" w:hAnsi="Arial" w:eastAsia="黑体" w:cs="Times New Roman"/>
      <w:b/>
      <w:sz w:val="24"/>
      <w:szCs w:val="20"/>
    </w:rPr>
  </w:style>
  <w:style w:type="character" w:customStyle="1" w:styleId="80">
    <w:name w:val="标题 7 字符"/>
    <w:basedOn w:val="59"/>
    <w:link w:val="8"/>
    <w:autoRedefine/>
    <w:qFormat/>
    <w:uiPriority w:val="0"/>
    <w:rPr>
      <w:rFonts w:ascii="Arial" w:hAnsi="Arial" w:eastAsia="黑体" w:cs="Times New Roman"/>
      <w:b/>
      <w:sz w:val="24"/>
      <w:szCs w:val="20"/>
    </w:rPr>
  </w:style>
  <w:style w:type="character" w:customStyle="1" w:styleId="81">
    <w:name w:val="标题 8 字符"/>
    <w:basedOn w:val="59"/>
    <w:link w:val="9"/>
    <w:autoRedefine/>
    <w:qFormat/>
    <w:uiPriority w:val="0"/>
    <w:rPr>
      <w:rFonts w:ascii="Arial" w:hAnsi="Arial" w:eastAsia="黑体" w:cs="Times New Roman"/>
      <w:b/>
      <w:sz w:val="24"/>
      <w:szCs w:val="20"/>
    </w:rPr>
  </w:style>
  <w:style w:type="character" w:customStyle="1" w:styleId="82">
    <w:name w:val="标题 9 字符"/>
    <w:basedOn w:val="59"/>
    <w:link w:val="10"/>
    <w:autoRedefine/>
    <w:qFormat/>
    <w:uiPriority w:val="0"/>
    <w:rPr>
      <w:rFonts w:ascii="Arial" w:hAnsi="Arial" w:eastAsia="黑体" w:cs="Times New Roman"/>
      <w:b/>
      <w:sz w:val="24"/>
      <w:szCs w:val="20"/>
    </w:rPr>
  </w:style>
  <w:style w:type="character" w:customStyle="1" w:styleId="83">
    <w:name w:val="正文文本缩进 Char"/>
    <w:autoRedefine/>
    <w:qFormat/>
    <w:uiPriority w:val="0"/>
    <w:rPr>
      <w:kern w:val="2"/>
      <w:sz w:val="44"/>
    </w:rPr>
  </w:style>
  <w:style w:type="character" w:customStyle="1" w:styleId="84">
    <w:name w:val="Table Heading Char Char"/>
    <w:autoRedefine/>
    <w:qFormat/>
    <w:uiPriority w:val="0"/>
    <w:rPr>
      <w:rFonts w:ascii="Arial" w:hAnsi="Arial" w:eastAsia="黑体"/>
      <w:kern w:val="2"/>
      <w:sz w:val="18"/>
      <w:lang w:val="en-US" w:eastAsia="zh-CN"/>
    </w:rPr>
  </w:style>
  <w:style w:type="character" w:customStyle="1" w:styleId="85">
    <w:name w:val="样式 宋体"/>
    <w:autoRedefine/>
    <w:qFormat/>
    <w:uiPriority w:val="0"/>
    <w:rPr>
      <w:rFonts w:ascii="宋体" w:hAnsi="宋体" w:eastAsia="宋体"/>
      <w:sz w:val="28"/>
    </w:rPr>
  </w:style>
  <w:style w:type="character" w:customStyle="1" w:styleId="86">
    <w:name w:val="Char Char4"/>
    <w:autoRedefine/>
    <w:qFormat/>
    <w:uiPriority w:val="0"/>
    <w:rPr>
      <w:rFonts w:eastAsia="宋体"/>
      <w:b/>
      <w:kern w:val="2"/>
      <w:sz w:val="21"/>
      <w:lang w:val="en-US" w:eastAsia="zh-CN"/>
    </w:rPr>
  </w:style>
  <w:style w:type="character" w:customStyle="1" w:styleId="87">
    <w:name w:val="title_emph1"/>
    <w:autoRedefine/>
    <w:qFormat/>
    <w:uiPriority w:val="0"/>
    <w:rPr>
      <w:rFonts w:hint="default" w:ascii="Arial" w:hAnsi="Arial"/>
      <w:b/>
      <w:sz w:val="20"/>
    </w:rPr>
  </w:style>
  <w:style w:type="character" w:customStyle="1" w:styleId="88">
    <w:name w:val="文字 Char"/>
    <w:link w:val="89"/>
    <w:autoRedefine/>
    <w:qFormat/>
    <w:uiPriority w:val="0"/>
    <w:rPr>
      <w:rFonts w:ascii="宋体"/>
      <w:sz w:val="28"/>
    </w:rPr>
  </w:style>
  <w:style w:type="paragraph" w:customStyle="1" w:styleId="89">
    <w:name w:val="文字"/>
    <w:basedOn w:val="1"/>
    <w:link w:val="88"/>
    <w:autoRedefine/>
    <w:qFormat/>
    <w:uiPriority w:val="0"/>
    <w:pPr>
      <w:tabs>
        <w:tab w:val="left" w:pos="8520"/>
      </w:tabs>
      <w:spacing w:line="312" w:lineRule="auto"/>
      <w:ind w:right="-210" w:firstLine="556"/>
    </w:pPr>
    <w:rPr>
      <w:rFonts w:ascii="宋体" w:hAnsiTheme="minorHAnsi" w:eastAsiaTheme="minorEastAsia" w:cstheme="minorBidi"/>
      <w:szCs w:val="22"/>
    </w:rPr>
  </w:style>
  <w:style w:type="character" w:customStyle="1" w:styleId="90">
    <w:name w:val="正文文本缩进 2 Char"/>
    <w:autoRedefine/>
    <w:qFormat/>
    <w:uiPriority w:val="0"/>
    <w:rPr>
      <w:sz w:val="28"/>
    </w:rPr>
  </w:style>
  <w:style w:type="character" w:customStyle="1" w:styleId="91">
    <w:name w:val="Char Char11"/>
    <w:autoRedefine/>
    <w:qFormat/>
    <w:uiPriority w:val="0"/>
    <w:rPr>
      <w:rFonts w:ascii="宋体"/>
      <w:kern w:val="2"/>
      <w:sz w:val="28"/>
    </w:rPr>
  </w:style>
  <w:style w:type="character" w:customStyle="1" w:styleId="92">
    <w:name w:val="批注文字 Char"/>
    <w:autoRedefine/>
    <w:qFormat/>
    <w:uiPriority w:val="0"/>
    <w:rPr>
      <w:sz w:val="24"/>
    </w:rPr>
  </w:style>
  <w:style w:type="character" w:customStyle="1" w:styleId="93">
    <w:name w:val="Char Char6"/>
    <w:autoRedefine/>
    <w:qFormat/>
    <w:uiPriority w:val="0"/>
    <w:rPr>
      <w:rFonts w:ascii="仿宋_GB2312" w:eastAsia="仿宋_GB2312"/>
      <w:kern w:val="2"/>
      <w:sz w:val="32"/>
    </w:rPr>
  </w:style>
  <w:style w:type="character" w:customStyle="1" w:styleId="94">
    <w:name w:val="正文 + 三号 Char"/>
    <w:autoRedefine/>
    <w:qFormat/>
    <w:uiPriority w:val="0"/>
    <w:rPr>
      <w:rFonts w:eastAsia="宋体"/>
      <w:kern w:val="2"/>
      <w:sz w:val="21"/>
      <w:lang w:val="en-US" w:eastAsia="zh-CN"/>
    </w:rPr>
  </w:style>
  <w:style w:type="character" w:customStyle="1" w:styleId="95">
    <w:name w:val="脚注文本 Char"/>
    <w:autoRedefine/>
    <w:qFormat/>
    <w:uiPriority w:val="0"/>
    <w:rPr>
      <w:sz w:val="18"/>
    </w:rPr>
  </w:style>
  <w:style w:type="character" w:customStyle="1" w:styleId="96">
    <w:name w:val="Table Text Char1 Char"/>
    <w:autoRedefine/>
    <w:qFormat/>
    <w:uiPriority w:val="0"/>
    <w:rPr>
      <w:rFonts w:ascii="Arial" w:hAnsi="Arial"/>
      <w:kern w:val="2"/>
      <w:sz w:val="18"/>
      <w:lang w:val="en-US" w:eastAsia="zh-CN" w:bidi="ar-SA"/>
    </w:rPr>
  </w:style>
  <w:style w:type="character" w:customStyle="1" w:styleId="97">
    <w:name w:val="v151"/>
    <w:autoRedefine/>
    <w:qFormat/>
    <w:uiPriority w:val="0"/>
    <w:rPr>
      <w:sz w:val="18"/>
    </w:rPr>
  </w:style>
  <w:style w:type="character" w:customStyle="1" w:styleId="98">
    <w:name w:val="小 Char"/>
    <w:autoRedefine/>
    <w:qFormat/>
    <w:uiPriority w:val="0"/>
    <w:rPr>
      <w:rFonts w:ascii="宋体" w:hAnsi="Courier New" w:eastAsia="宋体"/>
      <w:kern w:val="2"/>
      <w:sz w:val="21"/>
      <w:lang w:val="en-US" w:eastAsia="zh-CN" w:bidi="ar-SA"/>
    </w:rPr>
  </w:style>
  <w:style w:type="character" w:customStyle="1" w:styleId="99">
    <w:name w:val="未命名11"/>
    <w:autoRedefine/>
    <w:qFormat/>
    <w:uiPriority w:val="0"/>
    <w:rPr>
      <w:color w:val="77FFFF"/>
      <w:sz w:val="24"/>
    </w:rPr>
  </w:style>
  <w:style w:type="character" w:customStyle="1" w:styleId="100">
    <w:name w:val="Char Char"/>
    <w:autoRedefine/>
    <w:qFormat/>
    <w:uiPriority w:val="0"/>
    <w:rPr>
      <w:rFonts w:ascii="宋体" w:hAnsi="宋体" w:eastAsia="宋体"/>
      <w:kern w:val="2"/>
      <w:sz w:val="24"/>
      <w:lang w:val="en-US" w:eastAsia="zh-CN" w:bidi="ar-SA"/>
    </w:rPr>
  </w:style>
  <w:style w:type="character" w:customStyle="1" w:styleId="101">
    <w:name w:val="Char Char5"/>
    <w:autoRedefine/>
    <w:qFormat/>
    <w:uiPriority w:val="0"/>
    <w:rPr>
      <w:rFonts w:ascii="Arial" w:hAnsi="Arial" w:eastAsia="宋体"/>
      <w:b/>
      <w:smallCaps/>
      <w:kern w:val="28"/>
      <w:sz w:val="36"/>
      <w:lang w:val="en-US" w:eastAsia="en-US"/>
    </w:rPr>
  </w:style>
  <w:style w:type="character" w:customStyle="1" w:styleId="102">
    <w:name w:val="标书正文:  0.74 厘米 Char1"/>
    <w:autoRedefine/>
    <w:qFormat/>
    <w:uiPriority w:val="0"/>
    <w:rPr>
      <w:rFonts w:eastAsia="宋体"/>
      <w:kern w:val="2"/>
      <w:sz w:val="24"/>
      <w:lang w:val="en-US" w:eastAsia="zh-CN"/>
    </w:rPr>
  </w:style>
  <w:style w:type="character" w:customStyle="1" w:styleId="103">
    <w:name w:val="Char Char2"/>
    <w:autoRedefine/>
    <w:qFormat/>
    <w:uiPriority w:val="0"/>
    <w:rPr>
      <w:rFonts w:eastAsia="宋体"/>
      <w:kern w:val="2"/>
      <w:sz w:val="18"/>
      <w:lang w:val="en-US" w:eastAsia="zh-CN"/>
    </w:rPr>
  </w:style>
  <w:style w:type="character" w:customStyle="1" w:styleId="104">
    <w:name w:val="top-det1"/>
    <w:autoRedefine/>
    <w:qFormat/>
    <w:uiPriority w:val="0"/>
    <w:rPr>
      <w:b/>
      <w:color w:val="000000"/>
    </w:rPr>
  </w:style>
  <w:style w:type="character" w:customStyle="1" w:styleId="105">
    <w:name w:val="日期 Char"/>
    <w:autoRedefine/>
    <w:qFormat/>
    <w:uiPriority w:val="0"/>
    <w:rPr>
      <w:sz w:val="28"/>
    </w:rPr>
  </w:style>
  <w:style w:type="character" w:customStyle="1" w:styleId="106">
    <w:name w:val="批注主题 Char"/>
    <w:basedOn w:val="92"/>
    <w:autoRedefine/>
    <w:qFormat/>
    <w:uiPriority w:val="0"/>
    <w:rPr>
      <w:sz w:val="24"/>
    </w:rPr>
  </w:style>
  <w:style w:type="character" w:customStyle="1" w:styleId="107">
    <w:name w:val="Char Char3"/>
    <w:autoRedefine/>
    <w:qFormat/>
    <w:uiPriority w:val="0"/>
    <w:rPr>
      <w:rFonts w:eastAsia="宋体"/>
      <w:kern w:val="2"/>
      <w:sz w:val="18"/>
      <w:lang w:val="en-US" w:eastAsia="zh-CN"/>
    </w:rPr>
  </w:style>
  <w:style w:type="character" w:customStyle="1" w:styleId="108">
    <w:name w:val="Table Text Char"/>
    <w:link w:val="109"/>
    <w:autoRedefine/>
    <w:qFormat/>
    <w:uiPriority w:val="0"/>
    <w:rPr>
      <w:rFonts w:ascii="Arial" w:hAnsi="Arial"/>
      <w:sz w:val="18"/>
    </w:rPr>
  </w:style>
  <w:style w:type="paragraph" w:customStyle="1" w:styleId="109">
    <w:name w:val="Table Text"/>
    <w:link w:val="108"/>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0">
    <w:name w:val="crowed11"/>
    <w:autoRedefine/>
    <w:qFormat/>
    <w:uiPriority w:val="0"/>
    <w:rPr>
      <w:rFonts w:hint="default"/>
      <w:sz w:val="24"/>
    </w:rPr>
  </w:style>
  <w:style w:type="character" w:customStyle="1" w:styleId="111">
    <w:name w:val="font1"/>
    <w:autoRedefine/>
    <w:qFormat/>
    <w:uiPriority w:val="0"/>
    <w:rPr>
      <w:color w:val="000000"/>
      <w:sz w:val="18"/>
    </w:rPr>
  </w:style>
  <w:style w:type="character" w:customStyle="1" w:styleId="112">
    <w:name w:val="Table Text Char Char Char Char"/>
    <w:link w:val="113"/>
    <w:autoRedefine/>
    <w:qFormat/>
    <w:uiPriority w:val="0"/>
    <w:rPr>
      <w:rFonts w:ascii="Arial" w:hAnsi="Arial"/>
      <w:sz w:val="18"/>
    </w:rPr>
  </w:style>
  <w:style w:type="paragraph" w:customStyle="1" w:styleId="113">
    <w:name w:val="Table Text Char Char Char"/>
    <w:link w:val="112"/>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14">
    <w:name w:val="H2 Char"/>
    <w:autoRedefine/>
    <w:qFormat/>
    <w:uiPriority w:val="0"/>
    <w:rPr>
      <w:rFonts w:ascii="Arial" w:hAnsi="Arial" w:eastAsia="宋体"/>
      <w:kern w:val="2"/>
      <w:sz w:val="28"/>
      <w:lang w:val="en-US" w:eastAsia="zh-CN"/>
    </w:rPr>
  </w:style>
  <w:style w:type="character" w:customStyle="1" w:styleId="115">
    <w:name w:val="content-white1"/>
    <w:autoRedefine/>
    <w:qFormat/>
    <w:uiPriority w:val="0"/>
    <w:rPr>
      <w:color w:val="auto"/>
      <w:sz w:val="18"/>
      <w:u w:val="none"/>
    </w:rPr>
  </w:style>
  <w:style w:type="character" w:customStyle="1" w:styleId="116">
    <w:name w:val="正文首行缩进 2 Char"/>
    <w:basedOn w:val="83"/>
    <w:autoRedefine/>
    <w:qFormat/>
    <w:uiPriority w:val="0"/>
    <w:rPr>
      <w:kern w:val="2"/>
      <w:sz w:val="44"/>
    </w:rPr>
  </w:style>
  <w:style w:type="character" w:customStyle="1" w:styleId="117">
    <w:name w:val="Char Char7"/>
    <w:autoRedefine/>
    <w:qFormat/>
    <w:uiPriority w:val="0"/>
    <w:rPr>
      <w:rFonts w:ascii="宋体" w:hAnsi="宋体" w:eastAsia="宋体"/>
      <w:kern w:val="2"/>
      <w:sz w:val="28"/>
    </w:rPr>
  </w:style>
  <w:style w:type="paragraph" w:customStyle="1" w:styleId="118">
    <w:name w:val="样式 首行缩进:  0.74 厘米"/>
    <w:basedOn w:val="1"/>
    <w:autoRedefine/>
    <w:qFormat/>
    <w:uiPriority w:val="0"/>
    <w:pPr>
      <w:spacing w:line="360" w:lineRule="auto"/>
      <w:ind w:firstLine="420"/>
    </w:pPr>
    <w:rPr>
      <w:sz w:val="24"/>
    </w:rPr>
  </w:style>
  <w:style w:type="paragraph" w:customStyle="1" w:styleId="119">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20">
    <w:name w:val="表号"/>
    <w:basedOn w:val="1"/>
    <w:autoRedefine/>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1">
    <w:name w:val="正文 + 三号"/>
    <w:basedOn w:val="1"/>
    <w:autoRedefine/>
    <w:qFormat/>
    <w:uiPriority w:val="0"/>
    <w:rPr>
      <w:sz w:val="21"/>
    </w:rPr>
  </w:style>
  <w:style w:type="character" w:customStyle="1" w:styleId="122">
    <w:name w:val="标题 字符"/>
    <w:basedOn w:val="59"/>
    <w:link w:val="53"/>
    <w:autoRedefine/>
    <w:qFormat/>
    <w:uiPriority w:val="0"/>
    <w:rPr>
      <w:rFonts w:ascii="Arial" w:hAnsi="Arial" w:eastAsia="宋体" w:cs="Times New Roman"/>
      <w:b/>
      <w:smallCaps/>
      <w:kern w:val="28"/>
      <w:sz w:val="36"/>
      <w:szCs w:val="20"/>
      <w:lang w:eastAsia="en-US"/>
    </w:rPr>
  </w:style>
  <w:style w:type="paragraph" w:customStyle="1" w:styleId="123">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24">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125">
    <w:name w:val="样式 正文缩进正文（首行缩进两字）表正文正文非缩进特点标题4段1 + 首行缩进:  2 字符"/>
    <w:basedOn w:val="15"/>
    <w:autoRedefine/>
    <w:qFormat/>
    <w:uiPriority w:val="0"/>
    <w:pPr>
      <w:ind w:firstLine="480" w:firstLineChars="200"/>
    </w:pPr>
  </w:style>
  <w:style w:type="paragraph" w:customStyle="1" w:styleId="126">
    <w:name w:val="1.正文"/>
    <w:basedOn w:val="1"/>
    <w:autoRedefine/>
    <w:qFormat/>
    <w:uiPriority w:val="0"/>
    <w:pPr>
      <w:spacing w:line="360" w:lineRule="auto"/>
      <w:ind w:left="540" w:leftChars="225" w:firstLine="540" w:firstLineChars="225"/>
    </w:pPr>
    <w:rPr>
      <w:sz w:val="24"/>
    </w:rPr>
  </w:style>
  <w:style w:type="paragraph" w:customStyle="1" w:styleId="127">
    <w:name w:val="正文4"/>
    <w:basedOn w:val="1"/>
    <w:autoRedefine/>
    <w:qFormat/>
    <w:uiPriority w:val="0"/>
    <w:pPr>
      <w:tabs>
        <w:tab w:val="left" w:pos="1275"/>
      </w:tabs>
      <w:spacing w:before="60" w:after="60" w:line="360" w:lineRule="auto"/>
      <w:ind w:left="820" w:leftChars="400" w:hanging="705"/>
    </w:pPr>
    <w:rPr>
      <w:sz w:val="24"/>
    </w:rPr>
  </w:style>
  <w:style w:type="character" w:customStyle="1" w:styleId="128">
    <w:name w:val="纯文本 字符"/>
    <w:basedOn w:val="59"/>
    <w:link w:val="30"/>
    <w:autoRedefine/>
    <w:qFormat/>
    <w:uiPriority w:val="0"/>
    <w:rPr>
      <w:rFonts w:ascii="宋体" w:hAnsi="Courier New" w:eastAsia="宋体" w:cs="Times New Roman"/>
      <w:szCs w:val="20"/>
    </w:rPr>
  </w:style>
  <w:style w:type="paragraph" w:customStyle="1" w:styleId="129">
    <w:name w:val="Char"/>
    <w:basedOn w:val="1"/>
    <w:autoRedefine/>
    <w:qFormat/>
    <w:uiPriority w:val="0"/>
    <w:pPr>
      <w:spacing w:line="240" w:lineRule="atLeast"/>
      <w:ind w:left="420" w:firstLine="420"/>
    </w:pPr>
    <w:rPr>
      <w:kern w:val="0"/>
      <w:sz w:val="21"/>
    </w:rPr>
  </w:style>
  <w:style w:type="paragraph" w:customStyle="1" w:styleId="130">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4">
    <w:name w:val="Char2"/>
    <w:basedOn w:val="1"/>
    <w:autoRedefine/>
    <w:qFormat/>
    <w:uiPriority w:val="0"/>
    <w:pPr>
      <w:spacing w:line="240" w:lineRule="atLeast"/>
      <w:ind w:left="420" w:firstLine="420"/>
    </w:pPr>
    <w:rPr>
      <w:kern w:val="0"/>
      <w:sz w:val="21"/>
    </w:rPr>
  </w:style>
  <w:style w:type="paragraph" w:customStyle="1" w:styleId="135">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6">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7">
    <w:name w:val="文章正文"/>
    <w:basedOn w:val="1"/>
    <w:autoRedefine/>
    <w:qFormat/>
    <w:uiPriority w:val="0"/>
    <w:pPr>
      <w:ind w:firstLine="560" w:firstLineChars="200"/>
    </w:pPr>
    <w:rPr>
      <w:rFonts w:ascii="仿宋_GB2312" w:hAnsi="宋体" w:eastAsia="仿宋_GB2312"/>
      <w:color w:val="000000"/>
    </w:rPr>
  </w:style>
  <w:style w:type="paragraph" w:customStyle="1" w:styleId="138">
    <w:name w:val="表头文本"/>
    <w:autoRedefine/>
    <w:qFormat/>
    <w:uiPriority w:val="0"/>
    <w:pPr>
      <w:jc w:val="center"/>
    </w:pPr>
    <w:rPr>
      <w:rFonts w:ascii="Arial" w:hAnsi="Arial" w:eastAsia="宋体" w:cs="Times New Roman"/>
      <w:b/>
      <w:sz w:val="21"/>
      <w:lang w:val="en-US" w:eastAsia="zh-CN" w:bidi="ar-SA"/>
    </w:rPr>
  </w:style>
  <w:style w:type="character" w:customStyle="1" w:styleId="139">
    <w:name w:val="正文文本缩进 字符"/>
    <w:basedOn w:val="59"/>
    <w:link w:val="23"/>
    <w:autoRedefine/>
    <w:semiHidden/>
    <w:qFormat/>
    <w:uiPriority w:val="99"/>
    <w:rPr>
      <w:rFonts w:ascii="Times New Roman" w:hAnsi="Times New Roman" w:eastAsia="宋体" w:cs="Times New Roman"/>
      <w:sz w:val="28"/>
      <w:szCs w:val="20"/>
    </w:rPr>
  </w:style>
  <w:style w:type="character" w:customStyle="1" w:styleId="140">
    <w:name w:val="正文首行缩进 2 字符"/>
    <w:basedOn w:val="139"/>
    <w:link w:val="56"/>
    <w:autoRedefine/>
    <w:semiHidden/>
    <w:qFormat/>
    <w:uiPriority w:val="99"/>
    <w:rPr>
      <w:rFonts w:ascii="Times New Roman" w:hAnsi="Times New Roman" w:eastAsia="宋体" w:cs="Times New Roman"/>
      <w:sz w:val="28"/>
      <w:szCs w:val="20"/>
    </w:rPr>
  </w:style>
  <w:style w:type="paragraph" w:customStyle="1" w:styleId="141">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42">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3">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character" w:customStyle="1" w:styleId="144">
    <w:name w:val="正文文本 字符"/>
    <w:basedOn w:val="59"/>
    <w:link w:val="22"/>
    <w:autoRedefine/>
    <w:semiHidden/>
    <w:qFormat/>
    <w:uiPriority w:val="99"/>
    <w:rPr>
      <w:rFonts w:ascii="Times New Roman" w:hAnsi="Times New Roman" w:eastAsia="宋体" w:cs="Times New Roman"/>
      <w:sz w:val="28"/>
      <w:szCs w:val="20"/>
    </w:rPr>
  </w:style>
  <w:style w:type="character" w:customStyle="1" w:styleId="145">
    <w:name w:val="正文首行缩进 字符"/>
    <w:basedOn w:val="144"/>
    <w:link w:val="55"/>
    <w:autoRedefine/>
    <w:qFormat/>
    <w:uiPriority w:val="0"/>
    <w:rPr>
      <w:rFonts w:ascii="宋体" w:hAnsi="宋体" w:eastAsia="宋体" w:cs="Times New Roman"/>
      <w:sz w:val="24"/>
      <w:szCs w:val="20"/>
    </w:rPr>
  </w:style>
  <w:style w:type="character" w:customStyle="1" w:styleId="146">
    <w:name w:val="正文文本 2 字符"/>
    <w:basedOn w:val="59"/>
    <w:link w:val="47"/>
    <w:autoRedefine/>
    <w:qFormat/>
    <w:uiPriority w:val="0"/>
    <w:rPr>
      <w:rFonts w:ascii="Times New Roman" w:hAnsi="Times New Roman" w:eastAsia="宋体" w:cs="Times New Roman"/>
      <w:sz w:val="24"/>
      <w:szCs w:val="20"/>
    </w:rPr>
  </w:style>
  <w:style w:type="paragraph" w:customStyle="1" w:styleId="147">
    <w:name w:val="Char Char14 Char Char"/>
    <w:basedOn w:val="1"/>
    <w:autoRedefine/>
    <w:qFormat/>
    <w:uiPriority w:val="0"/>
    <w:rPr>
      <w:sz w:val="21"/>
      <w:szCs w:val="24"/>
    </w:rPr>
  </w:style>
  <w:style w:type="paragraph" w:customStyle="1" w:styleId="148">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9">
    <w:name w:val="Char Char Char"/>
    <w:basedOn w:val="1"/>
    <w:autoRedefine/>
    <w:qFormat/>
    <w:uiPriority w:val="0"/>
    <w:rPr>
      <w:rFonts w:ascii="Tahoma" w:hAnsi="Tahoma"/>
      <w:sz w:val="24"/>
    </w:rPr>
  </w:style>
  <w:style w:type="character" w:customStyle="1" w:styleId="150">
    <w:name w:val="批注文字 字符"/>
    <w:basedOn w:val="59"/>
    <w:link w:val="19"/>
    <w:autoRedefine/>
    <w:semiHidden/>
    <w:qFormat/>
    <w:uiPriority w:val="99"/>
    <w:rPr>
      <w:rFonts w:ascii="Times New Roman" w:hAnsi="Times New Roman" w:eastAsia="宋体" w:cs="Times New Roman"/>
      <w:sz w:val="28"/>
      <w:szCs w:val="20"/>
    </w:rPr>
  </w:style>
  <w:style w:type="paragraph" w:customStyle="1" w:styleId="151">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52">
    <w:name w:val="样式4"/>
    <w:basedOn w:val="5"/>
    <w:autoRedefine/>
    <w:qFormat/>
    <w:uiPriority w:val="0"/>
    <w:pPr>
      <w:adjustRightInd w:val="0"/>
      <w:snapToGrid w:val="0"/>
    </w:pPr>
  </w:style>
  <w:style w:type="paragraph" w:customStyle="1" w:styleId="153">
    <w:name w:val="编号正文"/>
    <w:basedOn w:val="130"/>
    <w:autoRedefine/>
    <w:qFormat/>
    <w:uiPriority w:val="0"/>
    <w:pPr>
      <w:snapToGrid/>
      <w:spacing w:line="360" w:lineRule="auto"/>
      <w:ind w:left="1407" w:hanging="1047"/>
      <w:jc w:val="left"/>
    </w:pPr>
    <w:rPr>
      <w:rFonts w:eastAsia="仿宋_GB2312"/>
    </w:rPr>
  </w:style>
  <w:style w:type="paragraph" w:customStyle="1" w:styleId="154">
    <w:name w:val="Char1 Char Char Char"/>
    <w:basedOn w:val="1"/>
    <w:autoRedefine/>
    <w:qFormat/>
    <w:uiPriority w:val="0"/>
    <w:rPr>
      <w:rFonts w:ascii="Tahoma" w:hAnsi="Tahoma"/>
      <w:sz w:val="24"/>
    </w:rPr>
  </w:style>
  <w:style w:type="paragraph" w:customStyle="1" w:styleId="155">
    <w:name w:val="正文1"/>
    <w:basedOn w:val="1"/>
    <w:autoRedefine/>
    <w:qFormat/>
    <w:uiPriority w:val="0"/>
    <w:pPr>
      <w:spacing w:line="300" w:lineRule="auto"/>
      <w:ind w:firstLine="200" w:firstLineChars="200"/>
    </w:pPr>
    <w:rPr>
      <w:sz w:val="24"/>
    </w:rPr>
  </w:style>
  <w:style w:type="character" w:customStyle="1" w:styleId="156">
    <w:name w:val="批注框文本 字符"/>
    <w:basedOn w:val="59"/>
    <w:link w:val="34"/>
    <w:autoRedefine/>
    <w:qFormat/>
    <w:uiPriority w:val="0"/>
    <w:rPr>
      <w:rFonts w:ascii="Times New Roman" w:hAnsi="Times New Roman" w:eastAsia="宋体" w:cs="Times New Roman"/>
      <w:sz w:val="18"/>
      <w:szCs w:val="20"/>
    </w:rPr>
  </w:style>
  <w:style w:type="paragraph" w:customStyle="1" w:styleId="157">
    <w:name w:val="af"/>
    <w:basedOn w:val="1"/>
    <w:autoRedefine/>
    <w:qFormat/>
    <w:uiPriority w:val="0"/>
    <w:pPr>
      <w:widowControl/>
      <w:spacing w:line="300" w:lineRule="atLeast"/>
      <w:jc w:val="left"/>
    </w:pPr>
    <w:rPr>
      <w:rFonts w:ascii="宋体" w:hAnsi="宋体"/>
      <w:kern w:val="0"/>
      <w:sz w:val="18"/>
    </w:rPr>
  </w:style>
  <w:style w:type="paragraph" w:customStyle="1" w:styleId="158">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character" w:customStyle="1" w:styleId="159">
    <w:name w:val="日期 字符"/>
    <w:basedOn w:val="59"/>
    <w:link w:val="32"/>
    <w:autoRedefine/>
    <w:semiHidden/>
    <w:qFormat/>
    <w:uiPriority w:val="99"/>
    <w:rPr>
      <w:rFonts w:ascii="Times New Roman" w:hAnsi="Times New Roman" w:eastAsia="宋体" w:cs="Times New Roman"/>
      <w:sz w:val="28"/>
      <w:szCs w:val="20"/>
    </w:rPr>
  </w:style>
  <w:style w:type="paragraph" w:customStyle="1" w:styleId="160">
    <w:name w:val="样式1xz"/>
    <w:basedOn w:val="1"/>
    <w:autoRedefine/>
    <w:qFormat/>
    <w:uiPriority w:val="0"/>
    <w:pPr>
      <w:tabs>
        <w:tab w:val="left" w:pos="1050"/>
        <w:tab w:val="right" w:leader="dot" w:pos="8296"/>
      </w:tabs>
    </w:pPr>
    <w:rPr>
      <w:caps/>
      <w:spacing w:val="20"/>
      <w:sz w:val="24"/>
    </w:rPr>
  </w:style>
  <w:style w:type="paragraph" w:customStyle="1" w:styleId="161">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2">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63">
    <w:name w:val="正文文本 21"/>
    <w:basedOn w:val="1"/>
    <w:autoRedefine/>
    <w:qFormat/>
    <w:uiPriority w:val="0"/>
    <w:pPr>
      <w:adjustRightInd w:val="0"/>
      <w:spacing w:before="120" w:line="360" w:lineRule="auto"/>
      <w:ind w:firstLine="480"/>
      <w:textAlignment w:val="baseline"/>
    </w:pPr>
    <w:rPr>
      <w:sz w:val="24"/>
    </w:rPr>
  </w:style>
  <w:style w:type="character" w:customStyle="1" w:styleId="164">
    <w:name w:val="批注主题 字符"/>
    <w:basedOn w:val="150"/>
    <w:link w:val="54"/>
    <w:autoRedefine/>
    <w:semiHidden/>
    <w:qFormat/>
    <w:uiPriority w:val="99"/>
    <w:rPr>
      <w:rFonts w:ascii="Times New Roman" w:hAnsi="Times New Roman" w:eastAsia="宋体" w:cs="Times New Roman"/>
      <w:b/>
      <w:bCs/>
      <w:sz w:val="28"/>
      <w:szCs w:val="20"/>
    </w:rPr>
  </w:style>
  <w:style w:type="paragraph" w:customStyle="1" w:styleId="165">
    <w:name w:val="一级条标题"/>
    <w:basedOn w:val="166"/>
    <w:next w:val="135"/>
    <w:autoRedefine/>
    <w:qFormat/>
    <w:uiPriority w:val="0"/>
    <w:pPr>
      <w:ind w:left="525"/>
      <w:outlineLvl w:val="2"/>
    </w:pPr>
    <w:rPr>
      <w:sz w:val="21"/>
    </w:rPr>
  </w:style>
  <w:style w:type="paragraph" w:customStyle="1" w:styleId="166">
    <w:name w:val="章标题"/>
    <w:next w:val="1"/>
    <w:autoRedefine/>
    <w:qFormat/>
    <w:uiPriority w:val="0"/>
    <w:pPr>
      <w:spacing w:beforeLines="50" w:afterLines="50"/>
      <w:jc w:val="both"/>
      <w:outlineLvl w:val="1"/>
    </w:pPr>
    <w:rPr>
      <w:rFonts w:ascii="黑体" w:hAnsi="Times New Roman" w:eastAsia="黑体" w:cs="Times New Roman"/>
      <w:sz w:val="24"/>
      <w:lang w:val="en-US" w:eastAsia="zh-CN" w:bidi="ar-SA"/>
    </w:rPr>
  </w:style>
  <w:style w:type="character" w:customStyle="1" w:styleId="167">
    <w:name w:val="正文文本缩进 3 字符"/>
    <w:basedOn w:val="59"/>
    <w:link w:val="43"/>
    <w:autoRedefine/>
    <w:qFormat/>
    <w:uiPriority w:val="0"/>
    <w:rPr>
      <w:rFonts w:ascii="黑体" w:hAnsi="Times New Roman" w:eastAsia="黑体" w:cs="Times New Roman"/>
      <w:sz w:val="28"/>
      <w:szCs w:val="20"/>
    </w:rPr>
  </w:style>
  <w:style w:type="paragraph" w:customStyle="1" w:styleId="168">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69">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0">
    <w:name w:val="可研正文"/>
    <w:basedOn w:val="22"/>
    <w:autoRedefine/>
    <w:qFormat/>
    <w:uiPriority w:val="0"/>
    <w:pPr>
      <w:adjustRightInd w:val="0"/>
      <w:snapToGrid w:val="0"/>
      <w:spacing w:after="0" w:line="440" w:lineRule="exact"/>
      <w:ind w:firstLine="567"/>
    </w:pPr>
    <w:rPr>
      <w:rFonts w:ascii="仿宋_GB2312" w:eastAsia="仿宋_GB2312"/>
    </w:rPr>
  </w:style>
  <w:style w:type="character" w:customStyle="1" w:styleId="171">
    <w:name w:val="文档结构图 字符"/>
    <w:basedOn w:val="59"/>
    <w:link w:val="17"/>
    <w:autoRedefine/>
    <w:qFormat/>
    <w:uiPriority w:val="0"/>
    <w:rPr>
      <w:rFonts w:ascii="Times New Roman" w:hAnsi="Times New Roman" w:eastAsia="宋体" w:cs="Times New Roman"/>
      <w:sz w:val="28"/>
      <w:szCs w:val="20"/>
      <w:shd w:val="clear" w:color="auto" w:fill="000080"/>
    </w:rPr>
  </w:style>
  <w:style w:type="character" w:customStyle="1" w:styleId="172">
    <w:name w:val="页眉 字符"/>
    <w:basedOn w:val="59"/>
    <w:link w:val="36"/>
    <w:autoRedefine/>
    <w:qFormat/>
    <w:uiPriority w:val="0"/>
    <w:rPr>
      <w:rFonts w:ascii="Times New Roman" w:hAnsi="Times New Roman" w:eastAsia="宋体" w:cs="Times New Roman"/>
      <w:sz w:val="18"/>
      <w:szCs w:val="20"/>
    </w:rPr>
  </w:style>
  <w:style w:type="paragraph" w:customStyle="1" w:styleId="173">
    <w:name w:val="标题无"/>
    <w:basedOn w:val="1"/>
    <w:autoRedefine/>
    <w:qFormat/>
    <w:uiPriority w:val="0"/>
    <w:pPr>
      <w:spacing w:line="360" w:lineRule="auto"/>
    </w:pPr>
    <w:rPr>
      <w:sz w:val="24"/>
    </w:rPr>
  </w:style>
  <w:style w:type="paragraph" w:customStyle="1" w:styleId="174">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75">
    <w:name w:val="Char Char1 Char"/>
    <w:basedOn w:val="1"/>
    <w:autoRedefine/>
    <w:qFormat/>
    <w:uiPriority w:val="0"/>
    <w:rPr>
      <w:rFonts w:ascii="Tahoma" w:hAnsi="Tahoma"/>
      <w:sz w:val="24"/>
      <w:szCs w:val="24"/>
    </w:rPr>
  </w:style>
  <w:style w:type="character" w:customStyle="1" w:styleId="176">
    <w:name w:val="正文文本缩进 2 字符"/>
    <w:basedOn w:val="59"/>
    <w:link w:val="33"/>
    <w:autoRedefine/>
    <w:semiHidden/>
    <w:qFormat/>
    <w:uiPriority w:val="99"/>
    <w:rPr>
      <w:rFonts w:ascii="Times New Roman" w:hAnsi="Times New Roman" w:eastAsia="宋体" w:cs="Times New Roman"/>
      <w:sz w:val="28"/>
      <w:szCs w:val="20"/>
    </w:rPr>
  </w:style>
  <w:style w:type="paragraph" w:customStyle="1" w:styleId="177">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78">
    <w:name w:val="操作步骤"/>
    <w:basedOn w:val="1"/>
    <w:autoRedefine/>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79">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180">
    <w:name w:val="脚注文本 字符"/>
    <w:basedOn w:val="59"/>
    <w:link w:val="40"/>
    <w:autoRedefine/>
    <w:semiHidden/>
    <w:qFormat/>
    <w:uiPriority w:val="99"/>
    <w:rPr>
      <w:rFonts w:ascii="Times New Roman" w:hAnsi="Times New Roman" w:eastAsia="宋体" w:cs="Times New Roman"/>
      <w:sz w:val="18"/>
      <w:szCs w:val="18"/>
    </w:rPr>
  </w:style>
  <w:style w:type="paragraph" w:customStyle="1" w:styleId="181">
    <w:name w:val="00"/>
    <w:basedOn w:val="1"/>
    <w:autoRedefine/>
    <w:qFormat/>
    <w:uiPriority w:val="0"/>
    <w:pPr>
      <w:autoSpaceDE w:val="0"/>
      <w:autoSpaceDN w:val="0"/>
      <w:adjustRightInd w:val="0"/>
      <w:jc w:val="left"/>
    </w:pPr>
    <w:rPr>
      <w:rFonts w:ascii="黑体" w:eastAsia="黑体"/>
      <w:b/>
      <w:kern w:val="0"/>
      <w:sz w:val="20"/>
    </w:rPr>
  </w:style>
  <w:style w:type="paragraph" w:customStyle="1" w:styleId="182">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character" w:customStyle="1" w:styleId="183">
    <w:name w:val="页脚 字符"/>
    <w:basedOn w:val="59"/>
    <w:link w:val="35"/>
    <w:autoRedefine/>
    <w:qFormat/>
    <w:uiPriority w:val="0"/>
    <w:rPr>
      <w:rFonts w:ascii="Times New Roman" w:hAnsi="Times New Roman" w:eastAsia="宋体" w:cs="Times New Roman"/>
      <w:sz w:val="18"/>
      <w:szCs w:val="20"/>
    </w:rPr>
  </w:style>
  <w:style w:type="paragraph" w:customStyle="1" w:styleId="184">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85">
    <w:name w:val="Title - Revision"/>
    <w:basedOn w:val="53"/>
    <w:autoRedefine/>
    <w:qFormat/>
    <w:uiPriority w:val="0"/>
    <w:pPr>
      <w:spacing w:before="720"/>
    </w:pPr>
  </w:style>
  <w:style w:type="paragraph" w:customStyle="1" w:styleId="186">
    <w:name w:val="首行缩进 1"/>
    <w:basedOn w:val="1"/>
    <w:autoRedefine/>
    <w:qFormat/>
    <w:uiPriority w:val="0"/>
    <w:pPr>
      <w:spacing w:after="120" w:line="360" w:lineRule="auto"/>
      <w:ind w:firstLine="200" w:firstLineChars="200"/>
    </w:pPr>
    <w:rPr>
      <w:sz w:val="24"/>
    </w:rPr>
  </w:style>
  <w:style w:type="character" w:customStyle="1" w:styleId="187">
    <w:name w:val="正文文本 3 字符"/>
    <w:basedOn w:val="59"/>
    <w:link w:val="20"/>
    <w:autoRedefine/>
    <w:qFormat/>
    <w:uiPriority w:val="0"/>
    <w:rPr>
      <w:rFonts w:ascii="Times New Roman" w:hAnsi="Times New Roman" w:eastAsia="宋体" w:cs="Times New Roman"/>
      <w:sz w:val="16"/>
      <w:szCs w:val="20"/>
    </w:rPr>
  </w:style>
  <w:style w:type="paragraph" w:customStyle="1" w:styleId="188">
    <w:name w:val="Char Char Char Char Char Char Char Char Char Char Char Char Char Char Char Char"/>
    <w:basedOn w:val="1"/>
    <w:autoRedefine/>
    <w:qFormat/>
    <w:uiPriority w:val="0"/>
    <w:pPr>
      <w:tabs>
        <w:tab w:val="left" w:pos="360"/>
      </w:tabs>
    </w:pPr>
    <w:rPr>
      <w:sz w:val="24"/>
    </w:rPr>
  </w:style>
  <w:style w:type="paragraph" w:customStyle="1" w:styleId="189">
    <w:name w:val="二级列表"/>
    <w:basedOn w:val="190"/>
    <w:next w:val="190"/>
    <w:autoRedefine/>
    <w:qFormat/>
    <w:uiPriority w:val="0"/>
    <w:pPr>
      <w:tabs>
        <w:tab w:val="left" w:pos="2120"/>
      </w:tabs>
      <w:ind w:firstLine="0" w:firstLineChars="0"/>
    </w:pPr>
    <w:rPr>
      <w:b/>
    </w:rPr>
  </w:style>
  <w:style w:type="paragraph" w:customStyle="1" w:styleId="190">
    <w:name w:val="段落正文"/>
    <w:basedOn w:val="1"/>
    <w:autoRedefine/>
    <w:qFormat/>
    <w:uiPriority w:val="0"/>
    <w:pPr>
      <w:spacing w:beforeLines="50" w:line="360" w:lineRule="auto"/>
      <w:ind w:firstLine="200" w:firstLineChars="200"/>
    </w:pPr>
    <w:rPr>
      <w:spacing w:val="2"/>
      <w:sz w:val="24"/>
    </w:rPr>
  </w:style>
  <w:style w:type="paragraph" w:customStyle="1" w:styleId="191">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92">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93">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194">
    <w:name w:val="标书正文:  0.74 厘米"/>
    <w:basedOn w:val="1"/>
    <w:autoRedefine/>
    <w:qFormat/>
    <w:uiPriority w:val="0"/>
    <w:pPr>
      <w:snapToGrid w:val="0"/>
      <w:spacing w:line="360" w:lineRule="auto"/>
      <w:ind w:firstLine="420"/>
    </w:pPr>
    <w:rPr>
      <w:sz w:val="24"/>
    </w:rPr>
  </w:style>
  <w:style w:type="paragraph" w:customStyle="1" w:styleId="195">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96">
    <w:name w:val="正文文本缩进 21"/>
    <w:basedOn w:val="1"/>
    <w:autoRedefine/>
    <w:qFormat/>
    <w:uiPriority w:val="0"/>
    <w:pPr>
      <w:adjustRightInd w:val="0"/>
      <w:spacing w:before="120"/>
      <w:ind w:firstLine="420"/>
      <w:textAlignment w:val="baseline"/>
    </w:pPr>
    <w:rPr>
      <w:sz w:val="24"/>
    </w:rPr>
  </w:style>
  <w:style w:type="paragraph" w:customStyle="1" w:styleId="197">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98">
    <w:name w:val="_Style 1"/>
    <w:basedOn w:val="1"/>
    <w:autoRedefine/>
    <w:qFormat/>
    <w:uiPriority w:val="0"/>
    <w:pPr>
      <w:ind w:firstLine="420" w:firstLineChars="200"/>
    </w:pPr>
    <w:rPr>
      <w:rFonts w:ascii="Calibri" w:hAnsi="Calibri"/>
      <w:sz w:val="21"/>
      <w:szCs w:val="24"/>
    </w:rPr>
  </w:style>
  <w:style w:type="paragraph" w:customStyle="1" w:styleId="199">
    <w:name w:val="表格内文字"/>
    <w:basedOn w:val="30"/>
    <w:autoRedefine/>
    <w:qFormat/>
    <w:uiPriority w:val="0"/>
    <w:pPr>
      <w:adjustRightInd w:val="0"/>
    </w:pPr>
    <w:rPr>
      <w:color w:val="000000"/>
      <w:lang w:val="en-GB"/>
    </w:rPr>
  </w:style>
  <w:style w:type="paragraph" w:customStyle="1" w:styleId="200">
    <w:name w:val="Title - Date"/>
    <w:basedOn w:val="53"/>
    <w:next w:val="1"/>
    <w:autoRedefine/>
    <w:qFormat/>
    <w:uiPriority w:val="0"/>
    <w:pPr>
      <w:spacing w:before="240" w:after="720"/>
    </w:pPr>
    <w:rPr>
      <w:sz w:val="28"/>
    </w:rPr>
  </w:style>
  <w:style w:type="paragraph" w:customStyle="1" w:styleId="201">
    <w:name w:val="默认段落字体 Para Char Char Char Char Char Char Char"/>
    <w:basedOn w:val="1"/>
    <w:autoRedefine/>
    <w:qFormat/>
    <w:uiPriority w:val="0"/>
    <w:rPr>
      <w:rFonts w:ascii="Tahoma" w:hAnsi="Tahoma"/>
      <w:sz w:val="24"/>
    </w:rPr>
  </w:style>
  <w:style w:type="paragraph" w:customStyle="1" w:styleId="202">
    <w:name w:val="Item Step in Table"/>
    <w:autoRedefin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203">
    <w:name w:val="Table Contents"/>
    <w:basedOn w:val="22"/>
    <w:autoRedefine/>
    <w:qFormat/>
    <w:uiPriority w:val="0"/>
    <w:pPr>
      <w:suppressAutoHyphens/>
      <w:spacing w:after="0"/>
      <w:jc w:val="left"/>
    </w:pPr>
    <w:rPr>
      <w:rFonts w:eastAsia="Times New Roman"/>
      <w:kern w:val="0"/>
      <w:sz w:val="24"/>
    </w:rPr>
  </w:style>
  <w:style w:type="paragraph" w:customStyle="1" w:styleId="204">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05">
    <w:name w:val="Char Char Char Char Char Char"/>
    <w:basedOn w:val="1"/>
    <w:autoRedefine/>
    <w:qFormat/>
    <w:uiPriority w:val="0"/>
    <w:pPr>
      <w:widowControl/>
      <w:spacing w:after="160" w:line="240" w:lineRule="exact"/>
      <w:jc w:val="left"/>
    </w:pPr>
  </w:style>
  <w:style w:type="paragraph" w:customStyle="1" w:styleId="206">
    <w:name w:val="标准正文"/>
    <w:basedOn w:val="23"/>
    <w:autoRedefine/>
    <w:qFormat/>
    <w:uiPriority w:val="0"/>
    <w:pPr>
      <w:spacing w:before="60" w:after="60" w:line="360" w:lineRule="auto"/>
      <w:ind w:left="0" w:leftChars="0" w:firstLine="482"/>
    </w:pPr>
    <w:rPr>
      <w:rFonts w:ascii="Arial" w:hAnsi="Arial"/>
      <w:sz w:val="24"/>
    </w:rPr>
  </w:style>
  <w:style w:type="paragraph" w:customStyle="1" w:styleId="207">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08">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09">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10">
    <w:name w:val="Item List"/>
    <w:autoRedefine/>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11">
    <w:name w:val="1"/>
    <w:basedOn w:val="1"/>
    <w:next w:val="30"/>
    <w:autoRedefine/>
    <w:qFormat/>
    <w:uiPriority w:val="0"/>
    <w:rPr>
      <w:rFonts w:ascii="宋体" w:hAnsi="Courier New"/>
      <w:sz w:val="21"/>
    </w:rPr>
  </w:style>
  <w:style w:type="paragraph" w:customStyle="1" w:styleId="212">
    <w:name w:val="图片文字"/>
    <w:basedOn w:val="1"/>
    <w:autoRedefine/>
    <w:qFormat/>
    <w:uiPriority w:val="0"/>
    <w:pPr>
      <w:spacing w:line="240" w:lineRule="atLeast"/>
      <w:jc w:val="center"/>
    </w:pPr>
    <w:rPr>
      <w:sz w:val="21"/>
    </w:rPr>
  </w:style>
  <w:style w:type="paragraph" w:customStyle="1" w:styleId="213">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14">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15">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6">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17">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8">
    <w:name w:val="Char Char 字元 字元 字元 Char Char Char Char"/>
    <w:basedOn w:val="1"/>
    <w:autoRedefine/>
    <w:qFormat/>
    <w:uiPriority w:val="0"/>
    <w:pPr>
      <w:adjustRightInd w:val="0"/>
      <w:spacing w:line="360" w:lineRule="auto"/>
    </w:pPr>
    <w:rPr>
      <w:kern w:val="0"/>
      <w:sz w:val="24"/>
    </w:rPr>
  </w:style>
  <w:style w:type="paragraph" w:customStyle="1" w:styleId="219">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20">
    <w:name w:val="样式 正文首行缩进 2 + 首行缩进:  2 字符"/>
    <w:basedOn w:val="1"/>
    <w:autoRedefine/>
    <w:qFormat/>
    <w:uiPriority w:val="0"/>
    <w:pPr>
      <w:tabs>
        <w:tab w:val="left" w:pos="987"/>
      </w:tabs>
      <w:adjustRightInd w:val="0"/>
      <w:snapToGrid w:val="0"/>
      <w:spacing w:line="360" w:lineRule="auto"/>
      <w:ind w:left="987" w:hanging="420"/>
    </w:pPr>
    <w:rPr>
      <w:rFonts w:ascii="Arial" w:hAnsi="Arial"/>
      <w:b/>
      <w:sz w:val="24"/>
    </w:rPr>
  </w:style>
  <w:style w:type="paragraph" w:customStyle="1" w:styleId="221">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2">
    <w:name w:val="表文字"/>
    <w:autoRedefine/>
    <w:qFormat/>
    <w:uiPriority w:val="0"/>
    <w:rPr>
      <w:rFonts w:ascii="宋体" w:hAnsi="Times New Roman" w:eastAsia="宋体" w:cs="Times New Roman"/>
      <w:kern w:val="2"/>
      <w:lang w:val="en-US" w:eastAsia="zh-CN" w:bidi="ar-SA"/>
    </w:rPr>
  </w:style>
  <w:style w:type="paragraph" w:customStyle="1" w:styleId="223">
    <w:name w:val="样式 行距: 1.5 倍行距1"/>
    <w:basedOn w:val="1"/>
    <w:autoRedefine/>
    <w:qFormat/>
    <w:uiPriority w:val="0"/>
    <w:pPr>
      <w:snapToGrid w:val="0"/>
    </w:pPr>
    <w:rPr>
      <w:sz w:val="21"/>
    </w:rPr>
  </w:style>
  <w:style w:type="paragraph" w:customStyle="1" w:styleId="224">
    <w:name w:val="样式2"/>
    <w:basedOn w:val="5"/>
    <w:autoRedefine/>
    <w:qFormat/>
    <w:uiPriority w:val="0"/>
    <w:pPr>
      <w:tabs>
        <w:tab w:val="left" w:pos="720"/>
      </w:tabs>
      <w:spacing w:before="560" w:line="400" w:lineRule="exact"/>
      <w:ind w:left="420" w:hanging="420"/>
      <w:jc w:val="center"/>
      <w:outlineLvl w:val="0"/>
    </w:pPr>
    <w:rPr>
      <w:b w:val="0"/>
      <w:sz w:val="44"/>
    </w:rPr>
  </w:style>
  <w:style w:type="paragraph" w:customStyle="1" w:styleId="225">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26">
    <w:name w:val="默认段落字体 Para Char Char Char Char Char Char Char Char Char1 Char Char Char Char"/>
    <w:basedOn w:val="1"/>
    <w:autoRedefine/>
    <w:qFormat/>
    <w:uiPriority w:val="0"/>
    <w:rPr>
      <w:rFonts w:ascii="Tahoma" w:hAnsi="Tahoma"/>
      <w:sz w:val="24"/>
    </w:rPr>
  </w:style>
  <w:style w:type="paragraph" w:customStyle="1" w:styleId="22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28">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229">
    <w:name w:val="IN Feature"/>
    <w:next w:val="230"/>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30">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31">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32">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33">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4">
    <w:name w:val="简单回函地址"/>
    <w:basedOn w:val="1"/>
    <w:autoRedefine/>
    <w:qFormat/>
    <w:uiPriority w:val="0"/>
    <w:pPr>
      <w:adjustRightInd w:val="0"/>
      <w:snapToGrid w:val="0"/>
      <w:spacing w:line="360" w:lineRule="auto"/>
    </w:pPr>
    <w:rPr>
      <w:sz w:val="24"/>
    </w:rPr>
  </w:style>
  <w:style w:type="paragraph" w:customStyle="1" w:styleId="235">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36">
    <w:name w:val="摘要"/>
    <w:basedOn w:val="1"/>
    <w:next w:val="3"/>
    <w:autoRedefine/>
    <w:qFormat/>
    <w:uiPriority w:val="0"/>
    <w:pPr>
      <w:spacing w:line="360" w:lineRule="auto"/>
    </w:pPr>
    <w:rPr>
      <w:rFonts w:eastAsia="黑体"/>
      <w:sz w:val="20"/>
    </w:rPr>
  </w:style>
  <w:style w:type="paragraph" w:customStyle="1" w:styleId="237">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38">
    <w:name w:val="Char2 Char Char Char Char Char Char"/>
    <w:basedOn w:val="1"/>
    <w:autoRedefine/>
    <w:qFormat/>
    <w:uiPriority w:val="0"/>
    <w:rPr>
      <w:rFonts w:ascii="仿宋_GB2312"/>
      <w:b/>
      <w:sz w:val="30"/>
    </w:rPr>
  </w:style>
  <w:style w:type="paragraph" w:customStyle="1" w:styleId="239">
    <w:name w:val="文本框样式1"/>
    <w:basedOn w:val="1"/>
    <w:autoRedefine/>
    <w:qFormat/>
    <w:uiPriority w:val="0"/>
    <w:pPr>
      <w:adjustRightInd w:val="0"/>
      <w:snapToGrid w:val="0"/>
      <w:spacing w:before="60" w:line="180" w:lineRule="exact"/>
      <w:jc w:val="center"/>
    </w:pPr>
    <w:rPr>
      <w:sz w:val="21"/>
    </w:rPr>
  </w:style>
  <w:style w:type="paragraph" w:customStyle="1" w:styleId="240">
    <w:name w:val="没有缩进（为图形使用）"/>
    <w:basedOn w:val="1"/>
    <w:autoRedefine/>
    <w:qFormat/>
    <w:uiPriority w:val="0"/>
    <w:pPr>
      <w:spacing w:before="120" w:after="120" w:line="360" w:lineRule="auto"/>
    </w:pPr>
    <w:rPr>
      <w:sz w:val="24"/>
    </w:rPr>
  </w:style>
  <w:style w:type="paragraph" w:customStyle="1" w:styleId="241">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242">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3">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44">
    <w:name w:val="内容标题"/>
    <w:basedOn w:val="17"/>
    <w:autoRedefine/>
    <w:qFormat/>
    <w:uiPriority w:val="0"/>
    <w:rPr>
      <w:rFonts w:ascii="Tahoma" w:hAnsi="Tahoma"/>
      <w:sz w:val="24"/>
    </w:rPr>
  </w:style>
  <w:style w:type="paragraph" w:customStyle="1" w:styleId="245">
    <w:name w:val="二级条标题"/>
    <w:basedOn w:val="165"/>
    <w:next w:val="135"/>
    <w:autoRedefine/>
    <w:qFormat/>
    <w:uiPriority w:val="0"/>
    <w:pPr>
      <w:ind w:left="840"/>
      <w:outlineLvl w:val="3"/>
    </w:pPr>
  </w:style>
  <w:style w:type="paragraph" w:customStyle="1" w:styleId="246">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47">
    <w:name w:val="文本1"/>
    <w:basedOn w:val="1"/>
    <w:autoRedefine/>
    <w:qFormat/>
    <w:uiPriority w:val="0"/>
    <w:pPr>
      <w:adjustRightInd w:val="0"/>
      <w:spacing w:line="312" w:lineRule="atLeast"/>
      <w:jc w:val="center"/>
      <w:textAlignment w:val="baseline"/>
    </w:pPr>
    <w:rPr>
      <w:kern w:val="0"/>
      <w:sz w:val="18"/>
    </w:rPr>
  </w:style>
  <w:style w:type="paragraph" w:customStyle="1" w:styleId="248">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49">
    <w:name w:val="Char Char Char Char Char"/>
    <w:basedOn w:val="1"/>
    <w:autoRedefine/>
    <w:qFormat/>
    <w:uiPriority w:val="0"/>
    <w:pPr>
      <w:tabs>
        <w:tab w:val="left" w:pos="425"/>
      </w:tabs>
      <w:ind w:left="1620" w:hanging="360"/>
    </w:pPr>
    <w:rPr>
      <w:rFonts w:ascii="Tahoma" w:hAnsi="Tahoma"/>
      <w:sz w:val="24"/>
    </w:rPr>
  </w:style>
  <w:style w:type="paragraph" w:customStyle="1" w:styleId="250">
    <w:name w:val="样式 样式 首行缩进:  2 字符 + 首行缩进:  2 字符"/>
    <w:basedOn w:val="1"/>
    <w:autoRedefine/>
    <w:qFormat/>
    <w:uiPriority w:val="0"/>
    <w:pPr>
      <w:spacing w:line="360" w:lineRule="auto"/>
      <w:ind w:firstLine="480" w:firstLineChars="200"/>
    </w:pPr>
    <w:rPr>
      <w:sz w:val="24"/>
    </w:rPr>
  </w:style>
  <w:style w:type="paragraph" w:customStyle="1" w:styleId="251">
    <w:name w:val="关键词"/>
    <w:basedOn w:val="1"/>
    <w:next w:val="1"/>
    <w:autoRedefine/>
    <w:qFormat/>
    <w:uiPriority w:val="0"/>
    <w:pPr>
      <w:spacing w:line="360" w:lineRule="auto"/>
    </w:pPr>
    <w:rPr>
      <w:rFonts w:eastAsia="黑体"/>
      <w:sz w:val="20"/>
    </w:rPr>
  </w:style>
  <w:style w:type="paragraph" w:customStyle="1" w:styleId="252">
    <w:name w:val="正文字缩2字"/>
    <w:basedOn w:val="1"/>
    <w:autoRedefine/>
    <w:qFormat/>
    <w:uiPriority w:val="0"/>
    <w:pPr>
      <w:spacing w:before="60" w:after="60" w:line="360" w:lineRule="auto"/>
      <w:ind w:left="200" w:leftChars="200" w:firstLine="200" w:firstLineChars="200"/>
    </w:pPr>
    <w:rPr>
      <w:sz w:val="24"/>
    </w:rPr>
  </w:style>
  <w:style w:type="paragraph" w:customStyle="1" w:styleId="253">
    <w:name w:val="正文表格"/>
    <w:basedOn w:val="1"/>
    <w:autoRedefine/>
    <w:qFormat/>
    <w:uiPriority w:val="0"/>
    <w:pPr>
      <w:adjustRightInd w:val="0"/>
      <w:spacing w:before="40" w:after="40"/>
    </w:pPr>
    <w:rPr>
      <w:sz w:val="24"/>
    </w:rPr>
  </w:style>
  <w:style w:type="paragraph" w:customStyle="1" w:styleId="254">
    <w:name w:val="Char Char Char Char Char Char Char"/>
    <w:basedOn w:val="17"/>
    <w:autoRedefine/>
    <w:qFormat/>
    <w:uiPriority w:val="0"/>
    <w:rPr>
      <w:rFonts w:ascii="宋体" w:hAnsi="Tahoma"/>
    </w:rPr>
  </w:style>
  <w:style w:type="paragraph" w:customStyle="1" w:styleId="255">
    <w:name w:val="CSS1级正文 Char"/>
    <w:basedOn w:val="22"/>
    <w:autoRedefine/>
    <w:qFormat/>
    <w:uiPriority w:val="0"/>
    <w:pPr>
      <w:adjustRightInd w:val="0"/>
      <w:snapToGrid w:val="0"/>
      <w:spacing w:after="0" w:line="360" w:lineRule="auto"/>
      <w:ind w:firstLine="480"/>
    </w:pPr>
    <w:rPr>
      <w:sz w:val="24"/>
    </w:rPr>
  </w:style>
  <w:style w:type="paragraph" w:customStyle="1" w:styleId="256">
    <w:name w:val="样式 宋体 五号 行距: 单倍行距"/>
    <w:basedOn w:val="1"/>
    <w:autoRedefine/>
    <w:qFormat/>
    <w:uiPriority w:val="0"/>
    <w:pPr>
      <w:adjustRightInd w:val="0"/>
      <w:jc w:val="left"/>
    </w:pPr>
    <w:rPr>
      <w:rFonts w:ascii="宋体" w:hAnsi="宋体"/>
      <w:kern w:val="0"/>
      <w:sz w:val="21"/>
    </w:rPr>
  </w:style>
  <w:style w:type="paragraph" w:customStyle="1" w:styleId="257">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58">
    <w:name w:val="图例"/>
    <w:basedOn w:val="1"/>
    <w:autoRedefine/>
    <w:qFormat/>
    <w:uiPriority w:val="0"/>
    <w:pPr>
      <w:spacing w:before="120" w:after="120" w:line="360" w:lineRule="auto"/>
      <w:jc w:val="center"/>
    </w:pPr>
    <w:rPr>
      <w:rFonts w:eastAsia="仿宋_GB2312"/>
      <w:b/>
      <w:sz w:val="24"/>
    </w:rPr>
  </w:style>
  <w:style w:type="paragraph" w:customStyle="1" w:styleId="259">
    <w:name w:val="附录3"/>
    <w:basedOn w:val="1"/>
    <w:next w:val="1"/>
    <w:autoRedefine/>
    <w:qFormat/>
    <w:uiPriority w:val="0"/>
    <w:pPr>
      <w:tabs>
        <w:tab w:val="left" w:pos="851"/>
      </w:tabs>
      <w:ind w:left="425" w:hanging="425"/>
      <w:outlineLvl w:val="2"/>
    </w:pPr>
    <w:rPr>
      <w:rFonts w:eastAsia="黑体"/>
      <w:b/>
      <w:sz w:val="32"/>
    </w:rPr>
  </w:style>
  <w:style w:type="paragraph" w:customStyle="1" w:styleId="260">
    <w:name w:val="Style Heading 3h3Heading 3 - oldLevel 3 HeadH3level_3PIM 3se..."/>
    <w:basedOn w:val="4"/>
    <w:autoRedefine/>
    <w:qFormat/>
    <w:uiPriority w:val="0"/>
    <w:pPr>
      <w:tabs>
        <w:tab w:val="left" w:pos="709"/>
        <w:tab w:val="left" w:pos="1620"/>
      </w:tabs>
      <w:ind w:left="1620" w:hanging="360"/>
    </w:pPr>
  </w:style>
  <w:style w:type="paragraph" w:customStyle="1" w:styleId="261">
    <w:name w:val="首行缩进"/>
    <w:basedOn w:val="1"/>
    <w:autoRedefine/>
    <w:qFormat/>
    <w:uiPriority w:val="0"/>
    <w:pPr>
      <w:tabs>
        <w:tab w:val="left" w:pos="540"/>
      </w:tabs>
      <w:spacing w:line="360" w:lineRule="auto"/>
      <w:ind w:left="540"/>
    </w:pPr>
    <w:rPr>
      <w:rFonts w:eastAsia="仿宋_GB2312"/>
    </w:rPr>
  </w:style>
  <w:style w:type="paragraph" w:customStyle="1" w:styleId="262">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63">
    <w:name w:val="Char1 Char Char Char1"/>
    <w:basedOn w:val="1"/>
    <w:autoRedefine/>
    <w:qFormat/>
    <w:uiPriority w:val="0"/>
    <w:rPr>
      <w:rFonts w:ascii="Tahoma" w:hAnsi="Tahoma"/>
      <w:sz w:val="30"/>
    </w:rPr>
  </w:style>
  <w:style w:type="paragraph" w:customStyle="1" w:styleId="264">
    <w:name w:val="Char Char Char Char Char Char Char1"/>
    <w:basedOn w:val="1"/>
    <w:autoRedefine/>
    <w:qFormat/>
    <w:uiPriority w:val="0"/>
    <w:rPr>
      <w:rFonts w:ascii="Tahoma" w:hAnsi="Tahoma"/>
      <w:sz w:val="24"/>
    </w:rPr>
  </w:style>
  <w:style w:type="paragraph" w:customStyle="1" w:styleId="265">
    <w:name w:val="标题3——2"/>
    <w:basedOn w:val="4"/>
    <w:next w:val="55"/>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66">
    <w:name w:val="修订1"/>
    <w:autoRedefine/>
    <w:qFormat/>
    <w:uiPriority w:val="0"/>
    <w:rPr>
      <w:rFonts w:ascii="Times New Roman" w:hAnsi="Times New Roman" w:eastAsia="宋体" w:cs="Times New Roman"/>
      <w:kern w:val="2"/>
      <w:sz w:val="21"/>
      <w:lang w:val="en-US" w:eastAsia="zh-CN" w:bidi="ar-SA"/>
    </w:rPr>
  </w:style>
  <w:style w:type="paragraph" w:customStyle="1" w:styleId="267">
    <w:name w:val="Char1"/>
    <w:basedOn w:val="1"/>
    <w:autoRedefine/>
    <w:qFormat/>
    <w:uiPriority w:val="0"/>
    <w:rPr>
      <w:sz w:val="21"/>
    </w:rPr>
  </w:style>
  <w:style w:type="paragraph" w:customStyle="1" w:styleId="268">
    <w:name w:val="样式1"/>
    <w:basedOn w:val="5"/>
    <w:autoRedefine/>
    <w:qFormat/>
    <w:uiPriority w:val="0"/>
    <w:pPr>
      <w:tabs>
        <w:tab w:val="left" w:pos="720"/>
      </w:tabs>
      <w:spacing w:before="500" w:after="260" w:line="560" w:lineRule="atLeast"/>
      <w:ind w:left="420" w:hanging="420"/>
    </w:pPr>
  </w:style>
  <w:style w:type="paragraph" w:customStyle="1" w:styleId="269">
    <w:name w:val="修订2"/>
    <w:autoRedefine/>
    <w:hidden/>
    <w:unhideWhenUsed/>
    <w:qFormat/>
    <w:uiPriority w:val="99"/>
    <w:rPr>
      <w:rFonts w:ascii="Times New Roman" w:hAnsi="Times New Roman" w:eastAsia="宋体" w:cs="Times New Roman"/>
      <w:kern w:val="2"/>
      <w:sz w:val="28"/>
      <w:lang w:val="en-US" w:eastAsia="zh-CN" w:bidi="ar-SA"/>
    </w:rPr>
  </w:style>
  <w:style w:type="character" w:customStyle="1" w:styleId="270">
    <w:name w:val="ant-tree-switcher"/>
    <w:basedOn w:val="59"/>
    <w:autoRedefine/>
    <w:qFormat/>
    <w:uiPriority w:val="0"/>
  </w:style>
  <w:style w:type="character" w:customStyle="1" w:styleId="271">
    <w:name w:val="ant-tree-iconele"/>
    <w:basedOn w:val="59"/>
    <w:autoRedefine/>
    <w:qFormat/>
    <w:uiPriority w:val="0"/>
  </w:style>
  <w:style w:type="character" w:customStyle="1" w:styleId="272">
    <w:name w:val="hover16"/>
    <w:basedOn w:val="59"/>
    <w:autoRedefine/>
    <w:qFormat/>
    <w:uiPriority w:val="0"/>
    <w:rPr>
      <w:color w:val="23527C"/>
    </w:rPr>
  </w:style>
  <w:style w:type="character" w:customStyle="1" w:styleId="273">
    <w:name w:val="ant-tree-checkbox"/>
    <w:basedOn w:val="59"/>
    <w:autoRedefine/>
    <w:qFormat/>
    <w:uiPriority w:val="0"/>
  </w:style>
  <w:style w:type="character" w:customStyle="1" w:styleId="274">
    <w:name w:val="ant-select-tree-switcher"/>
    <w:basedOn w:val="59"/>
    <w:autoRedefine/>
    <w:qFormat/>
    <w:uiPriority w:val="0"/>
  </w:style>
  <w:style w:type="character" w:customStyle="1" w:styleId="275">
    <w:name w:val="isover"/>
    <w:basedOn w:val="59"/>
    <w:autoRedefine/>
    <w:qFormat/>
    <w:uiPriority w:val="0"/>
  </w:style>
  <w:style w:type="character" w:customStyle="1" w:styleId="276">
    <w:name w:val="ant-transfer-list-search-action"/>
    <w:basedOn w:val="59"/>
    <w:autoRedefine/>
    <w:qFormat/>
    <w:uiPriority w:val="0"/>
  </w:style>
  <w:style w:type="character" w:customStyle="1" w:styleId="277">
    <w:name w:val="ant-select-tree-checkbox2"/>
    <w:basedOn w:val="59"/>
    <w:autoRedefine/>
    <w:qFormat/>
    <w:uiPriority w:val="0"/>
  </w:style>
  <w:style w:type="character" w:customStyle="1" w:styleId="278">
    <w:name w:val="ant-select-tree-iconele"/>
    <w:basedOn w:val="59"/>
    <w:autoRedefine/>
    <w:qFormat/>
    <w:uiPriority w:val="0"/>
  </w:style>
  <w:style w:type="character" w:customStyle="1" w:styleId="279">
    <w:name w:val="running"/>
    <w:basedOn w:val="59"/>
    <w:autoRedefine/>
    <w:qFormat/>
    <w:uiPriority w:val="0"/>
  </w:style>
  <w:style w:type="character" w:customStyle="1" w:styleId="280">
    <w:name w:val="button"/>
    <w:basedOn w:val="59"/>
    <w:autoRedefine/>
    <w:qFormat/>
    <w:uiPriority w:val="0"/>
  </w:style>
  <w:style w:type="character" w:customStyle="1" w:styleId="281">
    <w:name w:val="tmpztreemove_arrow"/>
    <w:basedOn w:val="59"/>
    <w:autoRedefine/>
    <w:qFormat/>
    <w:uiPriority w:val="0"/>
  </w:style>
  <w:style w:type="paragraph" w:customStyle="1" w:styleId="282">
    <w:name w:val="list-group-item-text"/>
    <w:basedOn w:val="1"/>
    <w:autoRedefine/>
    <w:qFormat/>
    <w:uiPriority w:val="0"/>
    <w:pPr>
      <w:pBdr>
        <w:top w:val="dotted" w:color="E0E0E0" w:sz="6" w:space="11"/>
      </w:pBdr>
      <w:jc w:val="left"/>
    </w:pPr>
    <w:rPr>
      <w:kern w:val="0"/>
    </w:rPr>
  </w:style>
  <w:style w:type="paragraph" w:customStyle="1" w:styleId="283">
    <w:name w:val="Table Paragraph"/>
    <w:basedOn w:val="1"/>
    <w:autoRedefine/>
    <w:unhideWhenUsed/>
    <w:qFormat/>
    <w:uiPriority w:val="1"/>
    <w:rPr>
      <w:sz w:val="24"/>
    </w:rPr>
  </w:style>
  <w:style w:type="paragraph" w:customStyle="1" w:styleId="284">
    <w:name w:val="FDY表格内"/>
    <w:basedOn w:val="1"/>
    <w:next w:val="285"/>
    <w:autoRedefine/>
    <w:unhideWhenUsed/>
    <w:qFormat/>
    <w:uiPriority w:val="0"/>
    <w:pPr>
      <w:snapToGrid w:val="0"/>
      <w:spacing w:line="240" w:lineRule="atLeast"/>
      <w:jc w:val="center"/>
    </w:pPr>
    <w:rPr>
      <w:sz w:val="24"/>
    </w:rPr>
  </w:style>
  <w:style w:type="paragraph" w:customStyle="1" w:styleId="285">
    <w:name w:val="D正文"/>
    <w:basedOn w:val="1"/>
    <w:autoRedefine/>
    <w:unhideWhenUsed/>
    <w:qFormat/>
    <w:uiPriority w:val="0"/>
    <w:pPr>
      <w:spacing w:line="384" w:lineRule="auto"/>
      <w:ind w:firstLine="200" w:firstLineChars="200"/>
    </w:pPr>
    <w:rPr>
      <w:sz w:val="24"/>
    </w:rPr>
  </w:style>
  <w:style w:type="character" w:customStyle="1" w:styleId="286">
    <w:name w:val="无"/>
    <w:autoRedefine/>
    <w:qFormat/>
    <w:uiPriority w:val="0"/>
  </w:style>
  <w:style w:type="character" w:customStyle="1" w:styleId="287">
    <w:name w:val="font21"/>
    <w:basedOn w:val="59"/>
    <w:autoRedefine/>
    <w:qFormat/>
    <w:uiPriority w:val="0"/>
    <w:rPr>
      <w:rFonts w:hint="eastAsia" w:ascii="宋体" w:hAnsi="宋体" w:eastAsia="宋体" w:cs="宋体"/>
      <w:color w:val="000000"/>
      <w:sz w:val="20"/>
      <w:szCs w:val="20"/>
      <w:u w:val="none"/>
    </w:rPr>
  </w:style>
  <w:style w:type="character" w:customStyle="1" w:styleId="288">
    <w:name w:val="font01"/>
    <w:basedOn w:val="59"/>
    <w:autoRedefine/>
    <w:qFormat/>
    <w:uiPriority w:val="0"/>
    <w:rPr>
      <w:rFonts w:hint="eastAsia" w:ascii="宋体" w:hAnsi="宋体" w:eastAsia="宋体" w:cs="宋体"/>
      <w:color w:val="000000"/>
      <w:sz w:val="21"/>
      <w:szCs w:val="21"/>
      <w:u w:val="none"/>
    </w:rPr>
  </w:style>
  <w:style w:type="character" w:customStyle="1" w:styleId="289">
    <w:name w:val="font41"/>
    <w:basedOn w:val="59"/>
    <w:autoRedefine/>
    <w:qFormat/>
    <w:uiPriority w:val="0"/>
    <w:rPr>
      <w:rFonts w:hint="eastAsia" w:ascii="宋体" w:hAnsi="宋体" w:eastAsia="宋体" w:cs="宋体"/>
      <w:color w:val="000000"/>
      <w:sz w:val="20"/>
      <w:szCs w:val="20"/>
      <w:u w:val="none"/>
    </w:rPr>
  </w:style>
  <w:style w:type="character" w:customStyle="1" w:styleId="290">
    <w:name w:val="font11"/>
    <w:basedOn w:val="59"/>
    <w:autoRedefine/>
    <w:qFormat/>
    <w:uiPriority w:val="0"/>
    <w:rPr>
      <w:rFonts w:hint="eastAsia" w:ascii="宋体" w:hAnsi="宋体" w:eastAsia="宋体" w:cs="宋体"/>
      <w:color w:val="000000"/>
      <w:sz w:val="18"/>
      <w:szCs w:val="18"/>
      <w:u w:val="none"/>
    </w:rPr>
  </w:style>
  <w:style w:type="character" w:customStyle="1" w:styleId="291">
    <w:name w:val="font71"/>
    <w:basedOn w:val="59"/>
    <w:autoRedefine/>
    <w:qFormat/>
    <w:uiPriority w:val="0"/>
    <w:rPr>
      <w:rFonts w:hint="eastAsia" w:ascii="宋体" w:hAnsi="宋体" w:eastAsia="宋体" w:cs="宋体"/>
      <w:color w:val="000000"/>
      <w:sz w:val="18"/>
      <w:szCs w:val="18"/>
      <w:u w:val="none"/>
    </w:rPr>
  </w:style>
  <w:style w:type="character" w:customStyle="1" w:styleId="292">
    <w:name w:val="font81"/>
    <w:basedOn w:val="59"/>
    <w:autoRedefine/>
    <w:qFormat/>
    <w:uiPriority w:val="0"/>
    <w:rPr>
      <w:rFonts w:hint="eastAsia" w:ascii="宋体" w:hAnsi="宋体" w:eastAsia="宋体" w:cs="宋体"/>
      <w:color w:val="000000"/>
      <w:sz w:val="18"/>
      <w:szCs w:val="18"/>
      <w:u w:val="none"/>
      <w:vertAlign w:val="superscript"/>
    </w:rPr>
  </w:style>
  <w:style w:type="character" w:customStyle="1" w:styleId="293">
    <w:name w:val="font31"/>
    <w:basedOn w:val="59"/>
    <w:autoRedefine/>
    <w:qFormat/>
    <w:uiPriority w:val="0"/>
    <w:rPr>
      <w:rFonts w:hint="eastAsia" w:ascii="宋体" w:hAnsi="宋体" w:eastAsia="宋体" w:cs="宋体"/>
      <w:color w:val="000000"/>
      <w:sz w:val="18"/>
      <w:szCs w:val="18"/>
      <w:u w:val="none"/>
    </w:rPr>
  </w:style>
  <w:style w:type="paragraph" w:styleId="294">
    <w:name w:val="List Paragraph"/>
    <w:basedOn w:val="1"/>
    <w:autoRedefine/>
    <w:qFormat/>
    <w:uiPriority w:val="0"/>
    <w:pPr>
      <w:ind w:firstLine="420" w:firstLineChars="200"/>
    </w:pPr>
    <w:rPr>
      <w:rFonts w:ascii="Calibri" w:hAnsi="Calibri"/>
      <w:sz w:val="21"/>
      <w:szCs w:val="24"/>
    </w:rPr>
  </w:style>
  <w:style w:type="table" w:customStyle="1" w:styleId="295">
    <w:name w:val="网格型1"/>
    <w:basedOn w:val="57"/>
    <w:autoRedefine/>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6">
    <w:name w:val="1111正文"/>
    <w:basedOn w:val="1"/>
    <w:autoRedefine/>
    <w:qFormat/>
    <w:uiPriority w:val="0"/>
    <w:pPr>
      <w:spacing w:line="460" w:lineRule="exact"/>
    </w:pPr>
    <w:rPr>
      <w:rFonts w:ascii="宋体" w:hAnsi="宋体" w:cs="宋体"/>
      <w:color w:val="000000" w:themeColor="text1"/>
      <w:sz w:val="24"/>
      <w14:textFill>
        <w14:solidFill>
          <w14:schemeClr w14:val="tx1"/>
        </w14:solidFill>
      </w14:textFill>
    </w:rPr>
  </w:style>
  <w:style w:type="character" w:customStyle="1" w:styleId="297">
    <w:name w:val="NormalCharacter"/>
    <w:link w:val="298"/>
    <w:autoRedefine/>
    <w:qFormat/>
    <w:uiPriority w:val="0"/>
    <w:rPr>
      <w:rFonts w:ascii="Times New Roman" w:hAnsi="Times New Roman"/>
      <w:kern w:val="0"/>
      <w:sz w:val="20"/>
      <w:szCs w:val="20"/>
    </w:rPr>
  </w:style>
  <w:style w:type="paragraph" w:customStyle="1" w:styleId="298">
    <w:name w:val="UserStyle_2"/>
    <w:basedOn w:val="1"/>
    <w:link w:val="297"/>
    <w:autoRedefine/>
    <w:qFormat/>
    <w:uiPriority w:val="0"/>
    <w:pPr>
      <w:widowControl/>
      <w:spacing w:after="160" w:line="240" w:lineRule="exact"/>
      <w:jc w:val="left"/>
      <w:textAlignment w:val="baseline"/>
    </w:pPr>
    <w:rPr>
      <w:kern w:val="0"/>
      <w:sz w:val="20"/>
    </w:rPr>
  </w:style>
  <w:style w:type="paragraph" w:customStyle="1" w:styleId="299">
    <w:name w:val="样式 首行缩进:  2 字符"/>
    <w:basedOn w:val="1"/>
    <w:autoRedefine/>
    <w:qFormat/>
    <w:uiPriority w:val="0"/>
    <w:pPr>
      <w:spacing w:line="400" w:lineRule="exact"/>
      <w:ind w:firstLine="200" w:firstLineChars="200"/>
    </w:pPr>
    <w:rPr>
      <w:rFonts w:cs="宋体"/>
      <w:sz w:val="24"/>
      <w:szCs w:val="24"/>
    </w:rPr>
  </w:style>
  <w:style w:type="paragraph" w:customStyle="1" w:styleId="300">
    <w:name w:val="BodyText"/>
    <w:basedOn w:val="1"/>
    <w:next w:val="301"/>
    <w:autoRedefine/>
    <w:qFormat/>
    <w:uiPriority w:val="0"/>
    <w:pPr>
      <w:textAlignment w:val="baseline"/>
    </w:pPr>
    <w:rPr>
      <w:rFonts w:ascii="仿宋_GB2312" w:eastAsia="仿宋_GB2312"/>
      <w:sz w:val="32"/>
    </w:rPr>
  </w:style>
  <w:style w:type="paragraph" w:customStyle="1" w:styleId="301">
    <w:name w:val="BodyTextIndent"/>
    <w:basedOn w:val="1"/>
    <w:autoRedefine/>
    <w:qFormat/>
    <w:uiPriority w:val="0"/>
    <w:pPr>
      <w:spacing w:line="700" w:lineRule="exact"/>
      <w:ind w:left="960"/>
      <w:textAlignment w:val="baseline"/>
    </w:pPr>
    <w:rPr>
      <w:sz w:val="44"/>
    </w:rPr>
  </w:style>
  <w:style w:type="paragraph" w:customStyle="1" w:styleId="302">
    <w:name w:val="Heading3"/>
    <w:basedOn w:val="1"/>
    <w:next w:val="1"/>
    <w:autoRedefine/>
    <w:qFormat/>
    <w:uiPriority w:val="0"/>
    <w:pPr>
      <w:keepNext/>
      <w:keepLines/>
      <w:spacing w:before="260" w:after="260" w:line="413" w:lineRule="auto"/>
      <w:textAlignment w:val="baseline"/>
    </w:pPr>
    <w:rPr>
      <w:b/>
      <w:sz w:val="32"/>
    </w:rPr>
  </w:style>
  <w:style w:type="paragraph" w:customStyle="1" w:styleId="303">
    <w:name w:val="无间隔2"/>
    <w:autoRedefine/>
    <w:qFormat/>
    <w:uiPriority w:val="1"/>
    <w:pPr>
      <w:widowControl w:val="0"/>
      <w:jc w:val="center"/>
    </w:pPr>
    <w:rPr>
      <w:rFonts w:ascii="Times New Roman" w:hAnsi="Times New Roman" w:eastAsia="宋体" w:cstheme="minorBidi"/>
      <w:kern w:val="2"/>
      <w:sz w:val="18"/>
      <w:szCs w:val="22"/>
      <w:lang w:val="en-US" w:eastAsia="zh-CN" w:bidi="ar-SA"/>
    </w:rPr>
  </w:style>
  <w:style w:type="paragraph" w:styleId="304">
    <w:name w:val="No Spacing"/>
    <w:autoRedefine/>
    <w:qFormat/>
    <w:uiPriority w:val="1"/>
    <w:pPr>
      <w:widowControl w:val="0"/>
      <w:jc w:val="center"/>
    </w:pPr>
    <w:rPr>
      <w:rFonts w:ascii="Times New Roman" w:hAnsi="Times New Roman" w:eastAsia="方正仿宋_GBK" w:cstheme="minorBidi"/>
      <w:kern w:val="2"/>
      <w:sz w:val="21"/>
      <w:szCs w:val="22"/>
      <w:lang w:val="en-US" w:eastAsia="zh-CN" w:bidi="ar-SA"/>
    </w:rPr>
  </w:style>
  <w:style w:type="paragraph" w:customStyle="1" w:styleId="305">
    <w:name w:val="表格"/>
    <w:basedOn w:val="1"/>
    <w:autoRedefine/>
    <w:qFormat/>
    <w:uiPriority w:val="0"/>
    <w:pPr>
      <w:spacing w:line="380" w:lineRule="exact"/>
      <w:contextualSpacing/>
      <w:jc w:val="center"/>
    </w:pPr>
    <w:rPr>
      <w:rFonts w:eastAsia="仿宋_GB2312"/>
      <w:kern w:val="0"/>
      <w:sz w:val="21"/>
      <w:szCs w:val="21"/>
      <w:lang w:eastAsia="en-US"/>
    </w:rPr>
  </w:style>
  <w:style w:type="character" w:customStyle="1" w:styleId="306">
    <w:name w:val="font51"/>
    <w:autoRedefine/>
    <w:qFormat/>
    <w:uiPriority w:val="0"/>
    <w:rPr>
      <w:rFonts w:hint="eastAsia" w:ascii="宋体" w:hAnsi="宋体" w:eastAsia="宋体" w:cs="宋体"/>
      <w:color w:val="000000"/>
      <w:sz w:val="22"/>
      <w:szCs w:val="22"/>
      <w:u w:val="none"/>
    </w:rPr>
  </w:style>
  <w:style w:type="character" w:customStyle="1" w:styleId="307">
    <w:name w:val="font132"/>
    <w:autoRedefine/>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ADE382-A1DA-4044-9DD3-945E7216A612}">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42</Pages>
  <Words>710</Words>
  <Characters>759</Characters>
  <Lines>181</Lines>
  <Paragraphs>51</Paragraphs>
  <TotalTime>1</TotalTime>
  <ScaleCrop>false</ScaleCrop>
  <LinksUpToDate>false</LinksUpToDate>
  <CharactersWithSpaces>874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2025-03-25T03:03:00Z</dcterms:created>
  <dc:creator>acer</dc:creator>
  <cp:lastModifiedBy>月亮</cp:lastModifiedBy>
  <cp:lastPrinted>2019-02-18T06:35:00Z</cp:lastPrinted>
  <dcterms:modified xsi:type="dcterms:W3CDTF">2025-11-12T02:19:29Z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D2087B5D5BD5435890371CD6F3784DBF_13</vt:lpwstr>
  </property>
  <property fmtid="{D5CDD505-2E9C-101B-9397-08002B2CF9AE}" pid="4" name="commondata">
    <vt:lpwstr>eyJoZGlkIjoiODY3MmU3ODQ2NDAzZWVmMjMxZjg4OWU5NDc2YWM4ZmEifQ==</vt:lpwstr>
  </property>
  <property fmtid="{D5CDD505-2E9C-101B-9397-08002B2CF9AE}" pid="5" name="KSOTemplateDocerSaveRecord">
    <vt:lpwstr>eyJoZGlkIjoiNmU4NjBlZjgyZTQyMzVjZGE5NzM5Zjk0NmJkYmNmMGIiLCJ1c2VySWQiOiIyMzcyOTcwMjgifQ==</vt:lpwstr>
  </property>
</Properties>
</file>