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sz w:val="40"/>
          <w:szCs w:val="40"/>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default" w:ascii="仿宋" w:hAnsi="仿宋" w:eastAsia="仿宋" w:cs="仿宋"/>
          <w:sz w:val="40"/>
          <w:szCs w:val="40"/>
          <w:lang w:val="en-US" w:eastAsia="zh-CN"/>
        </w:rPr>
      </w:pPr>
      <w:r>
        <w:rPr>
          <w:rFonts w:hint="eastAsia" w:ascii="仿宋" w:hAnsi="仿宋" w:eastAsia="仿宋" w:cs="仿宋"/>
          <w:sz w:val="40"/>
          <w:szCs w:val="40"/>
          <w:lang w:eastAsia="zh-CN"/>
        </w:rPr>
        <w:t>项目</w:t>
      </w:r>
      <w:r>
        <w:rPr>
          <w:rFonts w:hint="eastAsia" w:ascii="仿宋" w:hAnsi="仿宋" w:eastAsia="仿宋" w:cs="仿宋"/>
          <w:sz w:val="40"/>
          <w:szCs w:val="40"/>
        </w:rPr>
        <w:t>编号：37903727081553933</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sz w:val="40"/>
          <w:szCs w:val="40"/>
        </w:rPr>
      </w:pP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sz w:val="40"/>
          <w:szCs w:val="40"/>
          <w:lang w:eastAsia="zh-CN"/>
        </w:rPr>
      </w:pPr>
      <w:r>
        <w:rPr>
          <w:rFonts w:hint="eastAsia" w:ascii="仿宋" w:hAnsi="仿宋" w:eastAsia="仿宋" w:cs="仿宋"/>
          <w:sz w:val="40"/>
          <w:szCs w:val="40"/>
          <w:lang w:eastAsia="zh-CN"/>
        </w:rPr>
        <w:t>项目名称：双庆小学校新校区食堂设施设备采购项目</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sz w:val="40"/>
          <w:szCs w:val="40"/>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56"/>
          <w:szCs w:val="56"/>
          <w:highlight w:val="none"/>
          <w:lang w:eastAsia="zh-CN"/>
        </w:rPr>
      </w:pPr>
      <w:r>
        <w:rPr>
          <w:rFonts w:hint="eastAsia" w:ascii="宋体" w:hAnsi="宋体" w:cs="宋体"/>
          <w:sz w:val="56"/>
          <w:szCs w:val="56"/>
          <w:highlight w:val="none"/>
          <w:lang w:eastAsia="zh-CN"/>
        </w:rPr>
        <w:t>竞</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56"/>
          <w:szCs w:val="56"/>
          <w:highlight w:val="none"/>
          <w:lang w:eastAsia="zh-CN"/>
        </w:rPr>
      </w:pPr>
      <w:r>
        <w:rPr>
          <w:rFonts w:hint="eastAsia" w:ascii="宋体" w:hAnsi="宋体" w:cs="宋体"/>
          <w:sz w:val="56"/>
          <w:szCs w:val="56"/>
          <w:highlight w:val="none"/>
          <w:lang w:eastAsia="zh-CN"/>
        </w:rPr>
        <w:t>价</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56"/>
          <w:szCs w:val="56"/>
          <w:highlight w:val="none"/>
        </w:rPr>
      </w:pPr>
      <w:r>
        <w:rPr>
          <w:rFonts w:hint="eastAsia" w:ascii="宋体" w:hAnsi="宋体" w:cs="宋体"/>
          <w:sz w:val="56"/>
          <w:szCs w:val="56"/>
          <w:highlight w:val="none"/>
        </w:rPr>
        <w:t>公</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sz w:val="72"/>
          <w:szCs w:val="72"/>
        </w:rPr>
      </w:pPr>
      <w:r>
        <w:rPr>
          <w:rFonts w:hint="eastAsia" w:ascii="宋体" w:hAnsi="宋体" w:cs="宋体"/>
          <w:sz w:val="56"/>
          <w:szCs w:val="56"/>
          <w:highlight w:val="none"/>
        </w:rPr>
        <w:t>告</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sz w:val="72"/>
          <w:szCs w:val="72"/>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sz w:val="36"/>
          <w:szCs w:val="36"/>
          <w:u w:val="single"/>
        </w:rPr>
      </w:pPr>
      <w:r>
        <w:rPr>
          <w:rFonts w:hint="eastAsia" w:ascii="仿宋" w:hAnsi="仿宋" w:eastAsia="仿宋" w:cs="仿宋"/>
          <w:sz w:val="36"/>
          <w:szCs w:val="36"/>
        </w:rPr>
        <w:t>采购单位：</w:t>
      </w:r>
      <w:r>
        <w:rPr>
          <w:rFonts w:hint="eastAsia" w:ascii="仿宋" w:hAnsi="仿宋" w:eastAsia="仿宋" w:cs="仿宋"/>
          <w:sz w:val="36"/>
          <w:szCs w:val="36"/>
          <w:u w:val="single"/>
        </w:rPr>
        <w:t xml:space="preserve"> 石柱土家族自治县南宾街道双庆小学校</w:t>
      </w:r>
      <w:r>
        <w:rPr>
          <w:rFonts w:hint="eastAsia" w:ascii="仿宋" w:hAnsi="仿宋" w:eastAsia="仿宋" w:cs="仿宋"/>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sz w:val="36"/>
          <w:szCs w:val="36"/>
          <w:lang w:val="en-US" w:eastAsia="zh-CN"/>
        </w:rPr>
      </w:pPr>
      <w:r>
        <w:rPr>
          <w:rFonts w:hint="eastAsia" w:ascii="仿宋" w:hAnsi="仿宋" w:eastAsia="仿宋" w:cs="仿宋"/>
          <w:sz w:val="36"/>
          <w:szCs w:val="36"/>
        </w:rPr>
        <w:t>编制时间：</w:t>
      </w:r>
      <w:bookmarkStart w:id="0" w:name="_Hlt101233737"/>
      <w:bookmarkEnd w:id="0"/>
      <w:bookmarkStart w:id="1" w:name="_Hlt101843627"/>
      <w:bookmarkEnd w:id="1"/>
      <w:r>
        <w:rPr>
          <w:rFonts w:hint="eastAsia" w:ascii="仿宋" w:hAnsi="仿宋" w:eastAsia="仿宋" w:cs="仿宋"/>
          <w:sz w:val="36"/>
          <w:szCs w:val="36"/>
          <w:lang w:val="en-US" w:eastAsia="zh-CN"/>
        </w:rPr>
        <w:t>2025年6月</w:t>
      </w:r>
    </w:p>
    <w:p>
      <w:pPr>
        <w:rPr>
          <w:rFonts w:hint="eastAsia" w:ascii="宋体" w:hAnsi="宋体" w:cs="宋体"/>
          <w:sz w:val="28"/>
          <w:szCs w:val="28"/>
          <w:highlight w:val="none"/>
          <w:lang w:val="en-US" w:eastAsia="zh-CN"/>
        </w:rPr>
      </w:pPr>
      <w:r>
        <w:rPr>
          <w:rFonts w:hint="eastAsia" w:ascii="仿宋" w:hAnsi="仿宋" w:eastAsia="仿宋" w:cs="仿宋"/>
          <w:sz w:val="36"/>
          <w:szCs w:val="36"/>
        </w:rPr>
        <w:br w:type="page"/>
      </w:r>
    </w:p>
    <w:p>
      <w:pPr>
        <w:pStyle w:val="5"/>
        <w:spacing w:before="0" w:after="0" w:line="312" w:lineRule="auto"/>
        <w:jc w:val="center"/>
        <w:rPr>
          <w:rFonts w:ascii="黑体" w:hAnsi="黑体" w:eastAsia="黑体"/>
          <w:bCs/>
          <w:color w:val="FF0000"/>
          <w:spacing w:val="80"/>
          <w:sz w:val="28"/>
          <w:szCs w:val="28"/>
          <w:highlight w:val="none"/>
        </w:rPr>
      </w:pPr>
      <w:bookmarkStart w:id="2" w:name="OLE_LINK2"/>
      <w:r>
        <w:rPr>
          <w:rFonts w:hint="eastAsia" w:ascii="宋体" w:hAnsi="宋体" w:cs="宋体"/>
          <w:sz w:val="28"/>
          <w:szCs w:val="28"/>
          <w:highlight w:val="none"/>
          <w:lang w:val="en-US" w:eastAsia="zh-CN"/>
        </w:rPr>
        <w:t>双庆小学校新校区食堂设施设备采购项目</w:t>
      </w:r>
      <w:bookmarkStart w:id="3" w:name="OLE_LINK1"/>
      <w:r>
        <w:rPr>
          <w:rFonts w:hint="eastAsia" w:ascii="宋体" w:hAnsi="宋体" w:cs="宋体"/>
          <w:sz w:val="28"/>
          <w:szCs w:val="28"/>
          <w:highlight w:val="none"/>
          <w:lang w:eastAsia="zh-CN"/>
        </w:rPr>
        <w:t>竞价</w:t>
      </w:r>
      <w:r>
        <w:rPr>
          <w:rFonts w:hint="eastAsia" w:ascii="宋体" w:hAnsi="宋体" w:cs="宋体"/>
          <w:sz w:val="28"/>
          <w:szCs w:val="28"/>
          <w:highlight w:val="none"/>
        </w:rPr>
        <w:t>公告</w:t>
      </w:r>
      <w:bookmarkEnd w:id="3"/>
    </w:p>
    <w:bookmarkEnd w:id="2"/>
    <w:p>
      <w:pPr>
        <w:pStyle w:val="5"/>
        <w:spacing w:before="0" w:after="0" w:line="312" w:lineRule="auto"/>
        <w:rPr>
          <w:rFonts w:ascii="宋体" w:cs="宋体"/>
          <w:sz w:val="24"/>
          <w:szCs w:val="24"/>
          <w:highlight w:val="none"/>
        </w:rPr>
      </w:pPr>
      <w:r>
        <w:rPr>
          <w:rFonts w:hint="eastAsia" w:ascii="宋体" w:hAnsi="宋体" w:cs="宋体"/>
          <w:sz w:val="24"/>
          <w:szCs w:val="24"/>
          <w:highlight w:val="none"/>
        </w:rPr>
        <w:t>一、竞采项目内容</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4"/>
        <w:gridCol w:w="2115"/>
        <w:gridCol w:w="1373"/>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489" w:type="pct"/>
            <w:vAlign w:val="center"/>
          </w:tcPr>
          <w:p>
            <w:pPr>
              <w:keepNext w:val="0"/>
              <w:keepLines w:val="0"/>
              <w:widowControl/>
              <w:suppressLineNumbers w:val="0"/>
              <w:spacing w:before="0" w:beforeAutospacing="0" w:after="0" w:afterAutospacing="0"/>
              <w:ind w:left="0" w:right="0"/>
              <w:jc w:val="center"/>
              <w:rPr>
                <w:rFonts w:hint="eastAsia" w:ascii="宋体" w:cs="宋体"/>
                <w:b/>
                <w:bCs/>
                <w:kern w:val="0"/>
                <w:sz w:val="24"/>
                <w:szCs w:val="24"/>
                <w:highlight w:val="none"/>
              </w:rPr>
            </w:pPr>
            <w:r>
              <w:rPr>
                <w:rFonts w:hint="eastAsia" w:ascii="宋体" w:hAnsi="宋体" w:cs="宋体"/>
                <w:b/>
                <w:bCs/>
                <w:kern w:val="0"/>
                <w:sz w:val="24"/>
                <w:szCs w:val="24"/>
                <w:highlight w:val="none"/>
              </w:rPr>
              <w:t>项目名称</w:t>
            </w:r>
          </w:p>
        </w:tc>
        <w:tc>
          <w:tcPr>
            <w:tcW w:w="1098" w:type="pct"/>
            <w:vAlign w:val="center"/>
          </w:tcPr>
          <w:p>
            <w:pPr>
              <w:keepNext w:val="0"/>
              <w:keepLines w:val="0"/>
              <w:widowControl/>
              <w:suppressLineNumbers w:val="0"/>
              <w:spacing w:before="0" w:beforeAutospacing="0" w:after="0" w:afterAutospacing="0"/>
              <w:ind w:left="0" w:right="0"/>
              <w:jc w:val="center"/>
              <w:rPr>
                <w:rFonts w:hint="eastAsia" w:ascii="宋体" w:cs="宋体"/>
                <w:b/>
                <w:bCs/>
                <w:kern w:val="0"/>
                <w:sz w:val="24"/>
                <w:szCs w:val="24"/>
                <w:highlight w:val="none"/>
              </w:rPr>
            </w:pPr>
            <w:r>
              <w:rPr>
                <w:rFonts w:hint="eastAsia" w:ascii="宋体" w:hAnsi="宋体" w:cs="宋体"/>
                <w:b/>
                <w:bCs/>
                <w:kern w:val="0"/>
                <w:sz w:val="24"/>
                <w:szCs w:val="24"/>
                <w:highlight w:val="none"/>
              </w:rPr>
              <w:t>采购预算（</w:t>
            </w:r>
            <w:r>
              <w:rPr>
                <w:rFonts w:hint="eastAsia" w:ascii="宋体" w:hAnsi="宋体" w:cs="宋体"/>
                <w:b/>
                <w:bCs/>
                <w:kern w:val="0"/>
                <w:sz w:val="24"/>
                <w:szCs w:val="24"/>
                <w:highlight w:val="none"/>
                <w:lang w:val="en-US" w:eastAsia="zh-CN"/>
              </w:rPr>
              <w:t>万</w:t>
            </w:r>
            <w:r>
              <w:rPr>
                <w:rFonts w:hint="eastAsia" w:ascii="宋体" w:hAnsi="宋体" w:cs="宋体"/>
                <w:b/>
                <w:bCs/>
                <w:kern w:val="0"/>
                <w:sz w:val="24"/>
                <w:szCs w:val="24"/>
                <w:highlight w:val="none"/>
              </w:rPr>
              <w:t>元）</w:t>
            </w:r>
          </w:p>
        </w:tc>
        <w:tc>
          <w:tcPr>
            <w:tcW w:w="713" w:type="pct"/>
            <w:vAlign w:val="center"/>
          </w:tcPr>
          <w:p>
            <w:pPr>
              <w:keepNext w:val="0"/>
              <w:keepLines w:val="0"/>
              <w:suppressLineNumbers w:val="0"/>
              <w:spacing w:before="0" w:beforeAutospacing="0" w:after="0" w:afterAutospacing="0"/>
              <w:ind w:left="0" w:right="0"/>
              <w:jc w:val="center"/>
              <w:rPr>
                <w:rFonts w:hint="eastAsia" w:ascii="宋体" w:cs="宋体"/>
                <w:b/>
                <w:bCs/>
                <w:kern w:val="0"/>
                <w:sz w:val="24"/>
                <w:szCs w:val="24"/>
                <w:highlight w:val="none"/>
              </w:rPr>
            </w:pPr>
            <w:r>
              <w:rPr>
                <w:rFonts w:hint="eastAsia" w:ascii="宋体" w:hAnsi="宋体" w:cs="宋体"/>
                <w:b/>
                <w:bCs/>
                <w:kern w:val="0"/>
                <w:sz w:val="24"/>
                <w:szCs w:val="24"/>
                <w:highlight w:val="none"/>
              </w:rPr>
              <w:t>资金来源</w:t>
            </w:r>
          </w:p>
        </w:tc>
        <w:tc>
          <w:tcPr>
            <w:tcW w:w="698" w:type="pct"/>
            <w:vAlign w:val="center"/>
          </w:tcPr>
          <w:p>
            <w:pPr>
              <w:keepNext w:val="0"/>
              <w:keepLines w:val="0"/>
              <w:suppressLineNumbers w:val="0"/>
              <w:spacing w:before="0" w:beforeAutospacing="0" w:after="0" w:afterAutospacing="0"/>
              <w:ind w:left="0" w:right="0"/>
              <w:jc w:val="center"/>
              <w:rPr>
                <w:rFonts w:hint="eastAsia" w:ascii="宋体" w:cs="宋体"/>
                <w:b/>
                <w:bCs/>
                <w:kern w:val="0"/>
                <w:sz w:val="24"/>
                <w:szCs w:val="24"/>
                <w:highlight w:val="none"/>
              </w:rPr>
            </w:pPr>
            <w:r>
              <w:rPr>
                <w:rFonts w:hint="eastAsia" w:ascii="宋体" w:hAnsi="宋体" w:cs="宋体"/>
                <w:b/>
                <w:bCs/>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489" w:type="pct"/>
            <w:vAlign w:val="center"/>
          </w:tcPr>
          <w:p>
            <w:pPr>
              <w:keepNext w:val="0"/>
              <w:keepLines w:val="0"/>
              <w:widowControl/>
              <w:suppressLineNumbers w:val="0"/>
              <w:spacing w:before="0" w:beforeAutospacing="0" w:after="0" w:afterAutospacing="0"/>
              <w:ind w:left="0" w:right="0"/>
              <w:jc w:val="center"/>
              <w:rPr>
                <w:rFonts w:hint="eastAsia" w:ascii="宋体" w:eastAsia="宋体" w:cs="宋体"/>
                <w:b/>
                <w:bCs/>
                <w:color w:val="FF0000"/>
                <w:kern w:val="0"/>
                <w:sz w:val="24"/>
                <w:szCs w:val="24"/>
                <w:highlight w:val="none"/>
                <w:lang w:eastAsia="zh-CN"/>
              </w:rPr>
            </w:pPr>
            <w:bookmarkStart w:id="4" w:name="OLE_LINK3"/>
            <w:r>
              <w:rPr>
                <w:rFonts w:hint="eastAsia" w:ascii="宋体" w:eastAsia="宋体" w:cs="宋体"/>
                <w:b/>
                <w:bCs/>
                <w:color w:val="auto"/>
                <w:kern w:val="0"/>
                <w:sz w:val="24"/>
                <w:szCs w:val="24"/>
                <w:highlight w:val="none"/>
                <w:lang w:eastAsia="zh-CN"/>
              </w:rPr>
              <w:t>双庆小学校新校区食堂设施设备采购项目</w:t>
            </w:r>
            <w:bookmarkEnd w:id="4"/>
          </w:p>
        </w:tc>
        <w:tc>
          <w:tcPr>
            <w:tcW w:w="1098" w:type="pct"/>
            <w:vAlign w:val="center"/>
          </w:tcPr>
          <w:p>
            <w:pPr>
              <w:keepNext w:val="0"/>
              <w:keepLines w:val="0"/>
              <w:widowControl/>
              <w:suppressLineNumbers w:val="0"/>
              <w:spacing w:before="0" w:beforeAutospacing="0" w:after="0" w:afterAutospacing="0"/>
              <w:ind w:left="0" w:right="0"/>
              <w:jc w:val="center"/>
              <w:rPr>
                <w:rFonts w:hint="default" w:ascii="宋体" w:eastAsia="宋体" w:cs="宋体"/>
                <w:color w:val="FF0000"/>
                <w:kern w:val="0"/>
                <w:sz w:val="24"/>
                <w:szCs w:val="24"/>
                <w:highlight w:val="none"/>
                <w:lang w:val="en-US" w:eastAsia="zh-CN"/>
              </w:rPr>
            </w:pPr>
            <w:r>
              <w:rPr>
                <w:rFonts w:hint="eastAsia" w:ascii="宋体" w:cs="宋体"/>
                <w:kern w:val="0"/>
                <w:sz w:val="24"/>
                <w:szCs w:val="24"/>
                <w:highlight w:val="none"/>
                <w:shd w:val="clear"/>
                <w:lang w:val="en-US" w:eastAsia="zh-CN"/>
              </w:rPr>
              <w:t>40.0</w:t>
            </w:r>
          </w:p>
        </w:tc>
        <w:tc>
          <w:tcPr>
            <w:tcW w:w="713" w:type="pct"/>
            <w:vAlign w:val="center"/>
          </w:tcPr>
          <w:p>
            <w:pPr>
              <w:keepNext w:val="0"/>
              <w:keepLines w:val="0"/>
              <w:widowControl/>
              <w:suppressLineNumbers w:val="0"/>
              <w:spacing w:before="0" w:beforeAutospacing="0" w:after="0" w:afterAutospacing="0"/>
              <w:ind w:left="0" w:right="0"/>
              <w:jc w:val="center"/>
              <w:rPr>
                <w:rFonts w:hint="eastAsia" w:ascii="宋体" w:cs="宋体"/>
                <w:color w:val="000000"/>
                <w:kern w:val="0"/>
                <w:sz w:val="24"/>
                <w:szCs w:val="24"/>
                <w:highlight w:val="none"/>
              </w:rPr>
            </w:pPr>
            <w:r>
              <w:rPr>
                <w:rFonts w:hint="eastAsia" w:ascii="宋体" w:cs="宋体"/>
                <w:kern w:val="0"/>
                <w:sz w:val="24"/>
                <w:szCs w:val="24"/>
                <w:highlight w:val="none"/>
                <w:lang w:val="en-US" w:eastAsia="zh-CN"/>
              </w:rPr>
              <w:t>财政资金</w:t>
            </w:r>
          </w:p>
        </w:tc>
        <w:tc>
          <w:tcPr>
            <w:tcW w:w="698" w:type="pct"/>
            <w:vAlign w:val="center"/>
          </w:tcPr>
          <w:p>
            <w:pPr>
              <w:keepNext w:val="0"/>
              <w:keepLines w:val="0"/>
              <w:suppressLineNumbers w:val="0"/>
              <w:spacing w:before="0" w:beforeAutospacing="0" w:after="0" w:afterAutospacing="0"/>
              <w:ind w:left="0" w:right="0"/>
              <w:jc w:val="center"/>
              <w:rPr>
                <w:rFonts w:hint="eastAsia" w:ascii="宋体" w:cs="宋体"/>
                <w:b/>
                <w:sz w:val="24"/>
                <w:szCs w:val="24"/>
                <w:highlight w:val="none"/>
              </w:rPr>
            </w:pPr>
          </w:p>
        </w:tc>
      </w:tr>
    </w:tbl>
    <w:p>
      <w:pPr>
        <w:pStyle w:val="5"/>
        <w:spacing w:before="0" w:after="0" w:line="312" w:lineRule="auto"/>
        <w:rPr>
          <w:rFonts w:ascii="宋体" w:cs="宋体"/>
          <w:sz w:val="24"/>
          <w:szCs w:val="24"/>
          <w:highlight w:val="none"/>
        </w:rPr>
      </w:pPr>
      <w:r>
        <w:rPr>
          <w:rFonts w:hint="eastAsia" w:ascii="宋体" w:hAnsi="宋体" w:cs="宋体"/>
          <w:sz w:val="24"/>
          <w:szCs w:val="24"/>
          <w:highlight w:val="none"/>
        </w:rPr>
        <w:t>二、竞采资格条件</w:t>
      </w:r>
    </w:p>
    <w:p>
      <w:pPr>
        <w:spacing w:line="302"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（一）一般资质条件</w:t>
      </w:r>
    </w:p>
    <w:p>
      <w:pPr>
        <w:spacing w:line="302"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1.具有独立承担民事责任的能力；</w:t>
      </w:r>
    </w:p>
    <w:p>
      <w:pPr>
        <w:spacing w:line="302"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2.具有良好的商业信誉和健全的财务会计制度；</w:t>
      </w:r>
    </w:p>
    <w:p>
      <w:pPr>
        <w:spacing w:line="302"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3.具有履行合同所必需的设备和专业技术能力；</w:t>
      </w:r>
    </w:p>
    <w:p>
      <w:pPr>
        <w:spacing w:line="302"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4.有依法缴纳税收和社会保障资金的良好记录；</w:t>
      </w:r>
    </w:p>
    <w:p>
      <w:pPr>
        <w:spacing w:line="302"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5.参加政府采购活动前三年内，在经营活动中没有重大违法记录；</w:t>
      </w:r>
    </w:p>
    <w:p>
      <w:pPr>
        <w:spacing w:line="302" w:lineRule="auto"/>
        <w:ind w:firstLine="480"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6.法律、行政法规规定的其他条件。</w:t>
      </w:r>
    </w:p>
    <w:p>
      <w:pPr>
        <w:spacing w:line="302" w:lineRule="auto"/>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（二）特定资格条件：</w:t>
      </w:r>
    </w:p>
    <w:p>
      <w:pPr>
        <w:spacing w:line="302" w:lineRule="auto"/>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无</w:t>
      </w:r>
    </w:p>
    <w:p>
      <w:pPr>
        <w:pStyle w:val="5"/>
        <w:spacing w:before="0" w:after="0" w:line="312" w:lineRule="auto"/>
        <w:rPr>
          <w:rFonts w:ascii="宋体" w:hAnsi="宋体" w:cs="宋体"/>
          <w:bCs/>
          <w:sz w:val="24"/>
          <w:szCs w:val="24"/>
          <w:highlight w:val="none"/>
        </w:rPr>
      </w:pPr>
      <w:r>
        <w:rPr>
          <w:rFonts w:hint="eastAsia" w:ascii="宋体" w:hAnsi="宋体" w:cs="宋体"/>
          <w:bCs/>
          <w:sz w:val="24"/>
          <w:szCs w:val="24"/>
          <w:highlight w:val="none"/>
        </w:rPr>
        <w:t>三、</w:t>
      </w:r>
      <w:r>
        <w:rPr>
          <w:rFonts w:hint="eastAsia" w:ascii="宋体" w:hAnsi="宋体" w:cs="宋体"/>
          <w:bCs/>
          <w:sz w:val="24"/>
          <w:szCs w:val="24"/>
          <w:highlight w:val="none"/>
          <w:lang w:val="en-US" w:eastAsia="zh-CN"/>
        </w:rPr>
        <w:t>采购服务</w:t>
      </w:r>
      <w:r>
        <w:rPr>
          <w:rFonts w:hint="eastAsia" w:ascii="宋体" w:hAnsi="宋体" w:cs="宋体"/>
          <w:bCs/>
          <w:sz w:val="24"/>
          <w:szCs w:val="24"/>
          <w:highlight w:val="none"/>
        </w:rPr>
        <w:t>内容</w:t>
      </w:r>
    </w:p>
    <w:p>
      <w:pPr>
        <w:numPr>
          <w:ilvl w:val="0"/>
          <w:numId w:val="1"/>
        </w:numPr>
        <w:spacing w:line="302" w:lineRule="auto"/>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技术服务要求</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7"/>
        <w:gridCol w:w="1706"/>
        <w:gridCol w:w="1435"/>
        <w:gridCol w:w="5026"/>
        <w:gridCol w:w="487"/>
        <w:gridCol w:w="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规格（可±5%偏差）</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产品技术参数(详细参数）（涉及固定尺寸、重量、容积的可±5%偏差，若参数中有范围要求的，从其要求）</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主厨区</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A01</w:t>
            </w:r>
          </w:p>
        </w:tc>
        <w:tc>
          <w:tcPr>
            <w:tcW w:w="834"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燃气节能环保单头大锅灶</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1350*1350*800+390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1.灶具面板采用1.2mm厚304优质不锈钢腹膜磨砂板制作；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2.灶具侧板、围板采用1.0mm厚优质不锈钢腹膜磨砂板制作；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3.灶具下衬板采用4mmA3钢板，中间采用保温棉隔热处理；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4.底架采用40mm*40mm角钢焊接制作，炉脚用直径50镀锌管外套不锈钢管。</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A02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调料拼台</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400*1150*800+390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1.所有不锈钢板采用磨砂贴塑板；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2、面板采用标1.2mm厚不锈钢板,台面下加强筋加固；前群板（与灶具前群板高度一致）；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3、台脚采用直径Ф38mm*1.0mm优质不锈钢圆管,下配不锈钢可调节脚；</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A03</w:t>
            </w:r>
          </w:p>
        </w:tc>
        <w:tc>
          <w:tcPr>
            <w:tcW w:w="834"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蒸汽式48盘蒸饭柜</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1500*1100*1500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1、蒸柜面板及下前沿板采用1.0mm厚优质不锈钢腹膜磨砂板制作，侧板、围板、背板采用0.8mm厚优质不锈钢腹膜磨砂板制作；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2、溢水阀、安全汽阀泄压装置，工作压力达到时自动泄压；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3、采用耐高温嵌入式硅胶门封，密封牢固；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4、底架采用40mm*40mm角钢焊接制作，炉脚用直径50镀锌管外套51*1mm不锈钢管。</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A04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蒸汽发生器</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1000*520*1050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1、材质：内胆，火管全用304#加厚不锈钢。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2、采用双系统控制，设备随时正常使用。带缺水、意外熄火、过压保护，使用更安全特制火管，在环境温度27℃时140秒左右出蒸汽。特制排垢口，方便排出泥沙、铁锈和水垢。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3、蒸发量：</w:t>
            </w:r>
            <w:r>
              <w:rPr>
                <w:rFonts w:hint="eastAsia"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120KG/H,风机功率：</w:t>
            </w:r>
            <w:r>
              <w:rPr>
                <w:rFonts w:hint="eastAsia"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120W*2。</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A04a</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蒸汽专用不锈钢波纹蒸汽管</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50型</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材质：采用优质不锈钢，根据蒸柜与蒸汽机连接口配相应接驳管件。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A05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双通工作台</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1800*700*800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1.面板采用1.5mm厚304优质不锈钢磨砂板,台面下严禁加木工板，采用1.0mm厚优质不锈钢作加强筋加固处理，要求焊接牢固，桌面平整，受力好；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2.侧板.门板.底板采用1.0mm厚304优质不锈钢腹膜磨砂板；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3.台脚采用直径φ51mm*1.2mm优质不锈钢圆管,下配不锈钢可调节脚；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4.门采用轨道式双向滑动拉门，安全.卫生。</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A06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双层工作台</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1200*700*800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1.面板采用1.5mm厚304优质不锈钢磨砂板,台面下严禁加木工板，采用1.0mm厚优质不锈钢作加强筋加固处理，要求焊接牢固，桌面平整，受力好；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2、层板采用1.0mm厚304优质不锈钢磨砂板；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3、台脚采用直径38*38mm*1.2mm优质不锈钢矩管,下配不锈钢可调节脚；</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A07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双层工作台</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1500*700*800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1.面板采用1.5mm厚304优质不锈钢磨砂板,台面下严禁加木工板，采用1.0mm厚优质不锈钢作加强筋加固处理，要求焊接牢固，桌面平整，受力好；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2、层板采用1.0mm厚304优质不锈钢磨砂板；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3、台脚采用直径38*38mm*1.2mm优质不锈钢矩管,下配不锈钢可调节脚；</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肉类加工区</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B01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热风循环刀具消毒柜</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1225*580*1525</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1、规格：≥1225*580*1525mm；容积：≥600L，摆放刀数量≥20把，摆放砧板数量≥8个(直径≤500mm)，带独立毛巾挂架；功率：≥1250W；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2、消毒方式：臭氧消毒，紫外线辅助；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3、烘干：隐藏式发热体，中温热风循环，烘干温度≤60度；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4、左右开门，四门，全无磁不锈钢箱体，不锈钢柜门加玻璃透视窗；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B02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粘捕式灭蝇灯</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1.采用高效诱蚊灯管，利用蚊子的趋光性吸引使其触电身亡，配备蚊蝇残渣收集盒，确保残渣不掉落，环保；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2.外壳采用铝合金材料组合而成，低耗电，高效能，无气味.无辐射.无任何化学物质挥发，对人体无害。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3.连续使用寿命5000小时以上；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4.感应范围≥40㎡。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B03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双通上掀门打荷台</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1800*700*800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1.面板采用1.5mm厚304优质不锈钢磨砂板,台面下严禁加木工板，采用1.0mm厚优质不锈钢作加强筋加固处理，要求焊接牢固，桌面平整，受力好；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2.侧板.门板.底板采用1.0mm厚304优质不锈钢腹膜磨砂板；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3.台脚采用直径φ51mm*1.2mm优质不锈钢圆管,下配不锈钢可调节脚；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4.门采用轨道式双向滑动拉门，安全.卫生。</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B04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大单星盆水池</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1200*950*800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1.面板采用1.2mm厚304优质不锈钢腹膜磨砂板、设有带过滤网的下水器；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2.水槽采用1.0mm厚304优质不锈钢板;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3.星盆脚采用38*38mm*1.2mm厚不锈钢矩管，配可调子弹脚；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焊接：产品焊接部位应牢固，焊纹均匀一致，不应有未焊透、裂纹等缺陷，外露焊缝均匀进行抛光或去色处理；紧固件：各连接部位的紧固件应位置均匀，连接牢固；操作及易清洁时易接触部位不应有尖角和毛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B05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绞切肉机</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620*420*800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1、全不锈钢加重绞肉机头、全不锈钢可拆卸切肉刀组、全不锈钢加厚板材。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2、切肉规格为3.5和5毫米。优质大功率全铜电机。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3、绞肉产量≥185KG/H  切丝产量≥290KG/H  切片产量</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580KG/H 。</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蔬菜加工区</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C01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大单星盆水池</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1000*950*800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1.面板采用1.2mm厚304优质不锈钢腹膜磨砂板、设有带过滤网的下水器；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2.水槽采用1.0mm厚304优质不锈钢板;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3.星盆脚采用38*38mm*1.2mm厚不锈钢矩管，配可调子弹脚；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焊接：产品焊接部位应牢固，焊纹均匀一致，不应有未焊透、裂纹等缺陷，外露焊缝均匀进行抛光或去色处理；紧固件：各连接部位的紧固件应位置均匀，连接牢固；操作及易清洁时易接触部位不应有尖角和毛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C03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四层花格菜架</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1200*500*1550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1.主骨架采用φ38mm*1.2mm厚优质不锈钢圆管制作；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2.层板采用1.0mm厚304优质不锈钢板制作,板下采用0.8mm厚优质不锈钢板作U型加强筋；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3.台脚采用直径φ38mm*1.2mm厚优质不锈钢圆管,下配不锈钢可调节脚；</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C04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四层花格菜架</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1500*500*1550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1.主骨架采用φ38mm*1.2mm厚优质不锈钢圆管制作；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2.层板采用1.0mm厚304优质不锈钢板制作,板下采用0.8mm厚优质不锈钢板作U型加强筋；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3.台脚采用直径φ38mm*1.2mm厚优质不锈钢圆管,下配不锈钢可调节脚；</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C05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蔬菜加工带门操作台</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1800*700*800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1.面板采用1.5mm厚304优质不锈钢磨砂板,台面下严禁加木工板，采用1.0mm厚优质不锈钢作加强筋加固处理，要求焊接牢固，桌面平整，受力好；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2.侧板.门板.底板采用1.0mm厚304优质不锈钢腹膜磨砂板；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3.台脚采用直径φ51mm*1.2mm优质不锈钢圆管,下配不锈钢可调节脚；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4.门采用轨道式双向滑动拉门，安全.卫生。</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C06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多功能切菜机</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1300*600*1200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1、整机不锈钢，变频器调节。食品接触部分采用铝合金材质制作，可加工蔬菜丝、片、丁。根茎类丝段等。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2、生产能力：300-1200KG/H，功率</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3000W</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C07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双门卧式雪柜</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全冷冻</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-35°</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1.自动化霜，自动排水功能；                                                                                                                                                                                             2.自动闭门器。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3.节能压缩机配置高准确灵敏度操作系统。                                                                                                                                                                                                             4.设备整体成型发泡。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5.机组为整合集成型，包括不锈钢发泡制作机组面板.带防水功能温度控制器.压缩机组.线路组合.散热系统.制冷系统。</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C08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土豆去皮毛刷清洗机</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1080*700*930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1、适合瓜薯类蔬菜以及水果的清洗及脱皮功能。带上盖。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2、产量：</w:t>
            </w:r>
            <w:r>
              <w:rPr>
                <w:rFonts w:hint="eastAsia"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400KG/h,功率：</w:t>
            </w:r>
            <w:r>
              <w:rPr>
                <w:rFonts w:hint="eastAsia"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0.75KW</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C09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留样柜</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515*580*1510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1、材质：内外箱均采用不锈钢，风冷。                                                                                                                                                                                                2、温度：0°C~10°C ，容量</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280L，能效一级。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3、配双锁，箱内温度显示。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C10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四门冰柜</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1200*760*1940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1、材质要求：201不锈钢，厚度：≥0.4mm；能效达到一级能耗；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2、全铜蒸发器，导热率高，耐腐蚀性强，更适应后厨环境，品质更耐用；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3、制冷均匀，柜内温差≥3℃；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4、一键软冻/零鲜，方便快捷，满足用户多场景选择；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5、配置抑菌系统，杀死葡萄球菌，大肠杆菌，杀菌率99.99%。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6、自动回吸门，90°自动关门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7、超高压微孔发泡，环戊烷烷发泡剂，发泡厚度50mm。</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C11</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六门冰柜</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1800*760*1940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1、材质要求：201不锈钢，厚度：≥0.4mm；能效达到一级能耗；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2、全铜蒸发器，导热率高，耐腐蚀性强，更适应后厨环境，品质更耐用；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3、制冷均匀，柜内温差</w:t>
            </w:r>
            <w:r>
              <w:rPr>
                <w:rFonts w:hint="eastAsia"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4、一键软冻/零鲜，方便快捷，满足用户多场景选择；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5、配置抑菌系统，杀死葡萄球菌，大肠杆菌，杀菌率99.99%。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6、自动回吸门，90°自动关门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7、超高压微孔发泡，环戊烷烷发泡剂，发泡厚度50mm。</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粮油库房</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D01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四层平板货架</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1200*500*1550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1.主骨架采用φ38mm*1.2mm厚优质不锈钢圆管制作；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2.层板采用1.0mm厚304优质不锈钢板制作,板下采用0.8mm厚优质不锈钢板作U型加强筋；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3.台脚采用直径φ38mm*1.2mm厚优质不锈钢圆管,下配不锈钢可调节脚；</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D03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平板米面架</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1400*550*300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1.板式结构，面板采用1.2mm厚优质304不锈钢腹膜磨砂板制作，面板下增加安装不锈钢结构加强筋以致承重；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2.主骨架采用38*38*1.2mm厚优质不锈钢矩管制作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D04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平板米面架</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1500*550*300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1.板式结构，面板采用1.2mm厚优质304不锈钢腹膜磨砂板制作，面板下增加安装不锈钢结构加强筋以致承重；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2.主骨架采用38*38*1.2mm厚优质不锈钢矩管制作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更衣间</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K01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12格更衣柜</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1200*400*1800</w:t>
            </w:r>
          </w:p>
        </w:tc>
        <w:tc>
          <w:tcPr>
            <w:tcW w:w="2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1、采用优质不锈钢板，厚度1.0mm,12格独立分配，带锁.</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售餐间</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单通工作台</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1800*700*800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1.面板采用1.5mm厚304优质不锈钢磨砂板,台面下严禁加木工板，采用1.0mm厚优质不锈钢作加强筋加固处理，要求焊接牢固，桌面平整，受力好；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2.侧板.门板.底板采用1.0mm厚304优质不锈钢腹膜磨砂板；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3.台脚采用直径φ51mm*1.2mm优质不锈钢圆管,下配不锈钢可调节脚；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4.门采用轨道式双向滑动拉门，安全.卫生。</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M02</w:t>
            </w:r>
          </w:p>
        </w:tc>
        <w:tc>
          <w:tcPr>
            <w:tcW w:w="834"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五格保温售饭工作台</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1800*700*800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1.售餐柜整体带加热保温功能及缺水断电功能；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2.面板、温水盆采用1.2mm厚304优质不锈钢磨砂板，柜体侧板.采用1.0mm厚304优质不锈钢腹膜磨砂板。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3.台脚采用直径φ51mm*1.2mm厚优质不锈钢圆管,下配不锈钢可调节脚；</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M02a</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份数盆</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食品级304不锈钢馒头盘，与保温售饭工作台配套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热风循环发泡双门消毒柜</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1310*650*1950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1、外形尺寸（长*宽*高）：≥1160*550*1880mm；容积：≥600L；功率≤900W；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2、201#不锈钢材质 。 阻燃发泡剂，双层钢板发泡料不外露，与着火源完全隔离，箱体六面整体发泡 。整体门板（带透窗） ，加深加粗导轨式四层分餐盘层架,子弹头柜脚,隐藏式发热体，触摸式电脑屏控制，热风循环+中温+高温消毒。</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双通工作台</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800*700*800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1.面板采用1.5mm厚304优质不锈钢磨砂板,台面下严禁加木工板，采用1.0mm厚优质不锈钢作加强筋加固处理，要求焊接牢固，桌面平整，受力好；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2.侧板.门板.底板采用1.0mm厚304优质不锈钢腹膜磨砂板；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3.台脚采用直径φ51mm*1.2mm优质不锈钢圆管,下配不锈钢可调节脚；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4.门采用轨道式双向滑动拉门，安全.卫生。</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上掀三门碗柜</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1200*500*2000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1.面板采用1.2mm厚304优质不锈钢磨砂板,台面下严禁加木工板，采用1.0mm厚优质不锈钢作加强筋加固处理，要求焊接牢固，桌面平整，受力好；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2.侧板.门板.底板采用1.0mm厚304优质不锈钢腹膜磨砂板；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3.台脚采用直径φ51mm*1.2mm优质不锈钢圆管,下配不锈钢可调节脚；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4.门采用轨道式双向滑动拉门，安全.卫生。</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单门单星盆柜</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700*700*800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1.面板采用1.2mm厚304优质不锈钢腹膜磨砂板、设有带过滤网的下水器；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2.水槽及其它采用1.0mm厚304优质不锈钢板;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3.星盆脚采用38*38mm*1.2mm厚不锈钢矩管，配可调子弹脚；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焊接：产品焊接部位应牢固，焊纹均匀一致，不应有未焊透、裂纹等缺陷，外露焊缝均匀进行抛光或去色处理；紧固件：各连接部位的紧固件应位置均匀，连接牢固；操作及易清洁时易接触部位不应有尖角和毛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上掀三门碗柜</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1200*500*2000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1.面板采用1.2mm厚304优质不锈钢磨砂板,台面下严禁加木工板，采用1.0mm厚优质不锈钢作加强筋加固处理，要求焊接牢固，桌面平整，受力好；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2.侧板.门板.底板采用1.0mm厚304优质不锈钢腹膜磨砂板；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3.台脚采用直径φ51mm*1.2mm优质不锈钢圆管,下配不锈钢可调节脚；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4.门采用轨道式双向滑动拉门，安全.卫生。</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M09</w:t>
            </w:r>
          </w:p>
        </w:tc>
        <w:tc>
          <w:tcPr>
            <w:tcW w:w="834"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强排热水器</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390*180*620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1、热水产量：20L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2、类型：强排式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3、气源：天然气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4、低水压启动。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清洗消毒区</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X01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单水池柜</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1000*600*800/100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1.面板采用1.2mm厚304优质不锈钢腹膜磨砂板、设有带过滤网的下水器；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2.水槽及其它采用1.0mm厚304优质不锈钢板;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3.星盆脚采用38*38mm*1.2mm厚不锈钢矩管，配可调子弹脚；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焊接：产品焊接部位应牢固，焊纹均匀一致，不应有未焊透、裂纹等缺陷，外露焊缝均匀进行抛光或去色处理；紧固件：各连接部位的紧固件应位置均匀，连接牢固；操作及易清洁时易接触部位不应有尖角和毛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X02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热风循环发泡双门消毒柜</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1310*650*1950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1、外形尺寸（长*宽*高）：≥1160*550*1880mm；容积：≥600L；功率≤900W；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2、201#不锈钢材质 。 阻燃发泡剂，双层钢板发泡料不外露，与着火源完全隔离，箱体六面整体发泡 。整体门板（带透窗） ，加深加粗导轨式四层分餐盘层架,子弹头柜脚,隐藏式发热体，触摸式电脑屏控制，热风循环+中温+高温消毒。</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清洗区</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T01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单星池带柜</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2500*600*800*150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1.面板采用1.2mm厚304优质不锈钢腹膜磨砂板、设有带过滤网的下水器；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2.水槽及其它采用1.0mm厚304优质不锈钢板;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3.星盆脚采用38*38mm*1.2mm厚不锈钢矩管，配可调子弹脚；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焊接：产品焊接部位应牢固，焊纹均匀一致，不应有未焊透、裂纹等缺陷，外露焊缝均匀进行抛光或去色处理；紧固件：各连接部位的紧固件应位置均匀，连接牢固；操作及易清洁时易接触部位不应有尖角和毛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T02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双孔收渣台带车</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600*900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1、面板采用1.2mm厚304优质不锈钢磨砂板,台面下严禁加木工板，采用1.0mm厚优质不锈钢作加强筋加固处理，要求焊接牢固，桌面平整，受力好；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2、台脚采用直径38*38mm*1.2mm优质不锈钢矩管,下配不锈钢可调节脚；</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T03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粘捕式灭蝇灯</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1.采用高效诱蚊灯管，利用蚊子的趋光性吸引使其触电身亡，配备蚊蝇残渣收集盒，确保残渣不掉落，环保；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2.外壳采用铝合金材料组合而成，低耗电，高效能，无气味.无辐射.无任何化学物质挥发，对人体无害。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3.连续使用寿命5000小时以上；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4.感应范围≥40㎡。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T04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优质鹅颈式双温水龙头</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台式双温</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座台式单孔双温、主体黄铜铸造表面抛光镀铬处理。                                  2  配1/4转优质陶瓷阀芯一字型手柄。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  八寸（203mm）鹅颈水嘴，铜管厚度1.0mm, 360度可旋转。                                           4  开孔尺寸32mm,配两根50公分长度进水软管，进水接口为标准1/2''内螺纹。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总高度370mm,出水口距台面 225mm</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T05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紫外线消毒灯</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1、长度</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900mm,灯管功率≥30W，杀菌面积≥40平方，杀菌灯配支架等全套。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T06</w:t>
            </w:r>
          </w:p>
        </w:tc>
        <w:tc>
          <w:tcPr>
            <w:tcW w:w="834"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8人餐桌</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2100*600*750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1、桌面尺寸：2100*600*750mm；台面厚度45mm；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2、桌面材质采用201不锈钢板，面板厚度1.2mm；台面内衬防火板；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3、桌架采用50*50*1.2mm不锈钢矩管连接，配塑料脚套；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4、凳面材质采用不锈钢板，面板厚度1.2mm，内衬防火板。</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T07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四人位餐桌</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1200*600*750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1、桌面尺寸：1200*600*750mm；台面厚度45mm；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2、桌面材质采用201不锈钢板，面板厚度1.2mm；台面内衬防火板；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3、桌架采用50*50*1.2mm不锈钢矩管连接，配塑料脚套；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4、凳面材质采用不锈钢板，面板厚度1.2mm，内衬防火板。</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T08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排烟设备</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T09</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不锈钢烟罩</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L*1300*500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1、采用优质不锈钢外壳采用201优质不锈钢竖纹板制作；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2、烟罩板材厚度1.2mm，烟罩整体无缝焊接；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3、内置隔油网板，油网板厚度0.7mm，折死边不割手，隔油网板为板块式，可活动调节吸风口大小范围，便于取下清洗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4、配置不锈钢接油盒；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5、焊接处采用满焊连接，焊接口经过打磨处理。美观大方.耐用。节油杯，带烟罩防爆灯。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T10</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烟罩灭火系统</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双瓶组</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为降低误动作风险及保证能够长期使用，本项目灭火设备应采用机械式。双瓶组设备至少包含1台厨房设备灭火装置主控箱、1台厨房设备灭火装置控制盘、1个手动启动器、2个药剂瓶、1个驱动气瓶、20个喷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★2、驱动气体储存压力（MPa)：≥12；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3、动作温度（℃）：182±5；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4、灭火剂类型：食用油专用灭火剂；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5、抗飞溅性能：为避免灭火过程中，油点飞溅对人体造成伤害，在灭火剂喷射过程中飞溅出来油点直径不应大于3mm；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★6、双瓶组喷嘴最大容量不少于20只；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★7、装置的管径≥15mm，双瓶组管路最大允许总长度不少于19米；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8、安装方式：采用304#不锈钢管螺纹连接；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培训与保养：设备正式投入使用后，设备厂家或供货单位应针对厨房工作人员进行设备原理及使用方法的全面培训，并依据《厨房设备灭火装置技术规程》CECS233:2007关于维护保养的要求，安装完成后一年内应进行不低于2次的全面保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资质要求：提供依据XF498-2012（或原GA498-2012）标准出具的型式检验报告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T11</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超低空油烟净化器</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32000风量</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1.净化器箱体采用≥1.0mm厚冷轧钢板，表面环氧漆静电喷涂；设备采用积木式结构；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2.电场单元采优质不锈钢，高低压双区形式，当电场表面覆盖油污过多时，设备自动提示需清洗；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3.净化器采用高低压电源，高低压电源为纯数字智能控制，所有功能均由程序自动实现；电源控制系统具有自动过载过压、断路、开路保护的功能，电源在-10℃±2℃低温箱运行4小时无故障，60°c ±2℃高温箱运行8小时无故障；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4.灭弧保护：放电持续时间不大于0.1秒，高压1秒内恢复正常电压80％以上；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★5.净化器至少依据GB/T2423.65-2024《环境试验 第2部分：试验方法 试验:盐雾/温度/湿度太阳辐射综合》标准，进行了3个阶段试验，分别为2小时湿热(高温、高湿)、盐雾和太阳辐射组成的试验阶段Z1，2小时干热(高温、低湿)和太阳辐射组成的试验阶段Z2，4小时湿热(高温、高湿)和盐雾组成的试验阶段Z3。3个阶段为一个循环，共循环15次120小时。检测结果：15次循环后外观无剥落，无功能异常。检测报告带有CMA或CNA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★6.至少依据GB/T2423.17-2024《环境试验 第2部分：试验方法 试验KA:盐雾》，在温度:35 ℃±2K，80cm水平收集面积的平均收集速率:1.5 ml/h士0.5 ml/h，氯化钠浓度(收集溶液):50 g/L±5 g/1，pH(收集溶液):6.5～7.2，持续时间：168h的测试，检测结果：外观无明显变化，无腐蚀痕迹；试验前后进行称重，经计算，单位面积质量损失≤0.6</w:t>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g/m2，电气性能和机械性能完好，检测报告带有CMA或CNAS</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T12</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高压风柜机</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11KW</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风机采用双吸式结构，风机外壳及叶片均采用≥1.2mm优质镀锌板，且里外全面环氧漆静电喷涂。风机主架均采用优质角钢以力学原理装配。风机主轴为优质高强度碳素钢，皮带轮采用优质铸铁材质，主轴和皮带轮经严格的平衡校正，使整机运行更加平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叶轮为前倾多翼式铆接结构，由前后盘和叶片组成。前、后盘材料厚度≥1.5mm，后盘拉伸成形，刚性好，流线合理。叶轮经严格的平衡校正，振动小。叶片厚度1.2mm，冲压成型，韧性好，抗拉强度高，不易断裂。叶片曲线及装配角度，是在气动力学和气动声学原理基础上设计，并经反复研制而成，。蜗舌采用新的消声结构，噪音低，风量大，风压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3.机箱底部安装U型槽钢枕梁及四端设有安装孔，风机顶部配有吊环，便于物流运转和工程安装，安全性高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5.风机箱体内用阻燃静音棉，可有效降低机械振动在箱体的传播噪音，风机两侧有活动检修门，清理维护更加方便。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★6.风柜至少依据GB/T2423.65-2024《环境试验 第2部分：试验方法 试验:盐雾/温度/湿度太阳辐射综合》标准，进行了3个阶段试验，分别为2小时湿热(高温、高湿)、盐雾和太阳辐射组成的试验阶段Z1，2小时干热(高温、低湿)和太阳辐射组成的试验阶段Z2，4小时湿热(高温、高湿)和盐雾组成的试验阶段Z3。3个阶段为一个循环，共循环15次120小时。检测结果：15次循环后外观无剥落，无功能异常。检测报告带有CMA或CNA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★7.风柜至少依据GB/T2423.34-2024《环境试验 第2部分：试验方法 试验Z/AD:温度/湿度组合循环试验》标准，在温度：-10℃→65℃，湿度30%→98% RH，24h为一个周期，一个周期内循环10次，持续时间48h，试验后，外观无变形，气泡，剥落等现象；电气和机械性能完好，检测报告带有CMA或CNAS。</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T13</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镀锌板风管</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600*600</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1、采用花纹镀锌板制作；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2、板材厚度1.0mm，备风烟管内连接处使用自攻螺丝打紧，并有双面胶和玻璃硅胶密封,处理好每个角和边，做到不漏油不滴油；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3、双面压筋加强处理，管道内焊接固定中心杆，运转时减少震动及噪音。</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T14</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软启动调速过载保护器</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11KW</w:t>
            </w:r>
          </w:p>
        </w:tc>
        <w:tc>
          <w:tcPr>
            <w:tcW w:w="2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1.风机电力控制系统，内置空开.漏电保护器.缺相保护器.过流保护器；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T15</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风机/净化器角钢吊架</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80槽钢</w:t>
            </w:r>
          </w:p>
        </w:tc>
        <w:tc>
          <w:tcPr>
            <w:tcW w:w="2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1、定制件：支架采用（不低于）∠50角钢*∠50角钢现场制作；匹配相应设备。</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T16</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减震器</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根据所投风机匹配相应型号。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T17</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防火软连接</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厂制品</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采用4#角铁、防火布制作；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2、角钢厚度2.0mm，防火布双层边双排缝纫，风管用角铁法兰盘螺杆连接，并有双面胶和玻璃硅胶密封,处理好每个角和边，做到不漏油不滴油；                                                    3、防火布为耐高温防火、耐磨、防尘、防老化材质                                                 4、采用此软连接风机运转时不会震动管道。</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T18</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接油盘</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现场定制</w:t>
            </w:r>
          </w:p>
        </w:tc>
        <w:tc>
          <w:tcPr>
            <w:tcW w:w="2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1、采用花纹镀锌板制作；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2、板材厚度1.2mm，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3、配放油阀。</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bl>
    <w:p>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其他要求：</w:t>
      </w:r>
    </w:p>
    <w:p>
      <w:pPr>
        <w:snapToGrid w:val="0"/>
        <w:spacing w:line="360" w:lineRule="auto"/>
        <w:ind w:firstLine="480" w:firstLineChars="200"/>
        <w:rPr>
          <w:rFonts w:ascii="方正仿宋_GBK" w:hAnsi="仿宋_GB2312" w:eastAsia="方正仿宋_GBK" w:cs="仿宋_GB2312"/>
          <w:color w:val="auto"/>
          <w:kern w:val="0"/>
          <w:sz w:val="24"/>
          <w:szCs w:val="24"/>
          <w:highlight w:val="none"/>
        </w:rPr>
      </w:pPr>
      <w:r>
        <w:rPr>
          <w:rFonts w:hint="eastAsia" w:ascii="方正仿宋_GBK" w:hAnsi="仿宋_GB2312" w:eastAsia="方正仿宋_GBK" w:cs="仿宋_GB2312"/>
          <w:color w:val="auto"/>
          <w:kern w:val="0"/>
          <w:sz w:val="24"/>
          <w:szCs w:val="24"/>
          <w:highlight w:val="none"/>
        </w:rPr>
        <w:t>1.</w:t>
      </w:r>
      <w:r>
        <w:rPr>
          <w:rFonts w:hint="eastAsia" w:ascii="方正仿宋_GBK" w:hAnsi="仿宋_GB2312" w:eastAsia="方正仿宋_GBK" w:cs="仿宋_GB2312"/>
          <w:color w:val="auto"/>
          <w:kern w:val="0"/>
          <w:sz w:val="24"/>
          <w:szCs w:val="24"/>
          <w:highlight w:val="none"/>
          <w:lang w:val="en-US" w:eastAsia="zh-CN"/>
        </w:rPr>
        <w:t>除不锈钢厚度允许偏差率±10%以内外</w:t>
      </w:r>
      <w:r>
        <w:rPr>
          <w:rFonts w:hint="eastAsia" w:ascii="宋体" w:hAnsi="宋体" w:cs="宋体"/>
          <w:i w:val="0"/>
          <w:iCs w:val="0"/>
          <w:color w:val="000000"/>
          <w:kern w:val="0"/>
          <w:sz w:val="21"/>
          <w:szCs w:val="21"/>
          <w:u w:val="none"/>
          <w:lang w:val="en-US" w:eastAsia="zh-CN" w:bidi="ar"/>
        </w:rPr>
        <w:t>，</w:t>
      </w:r>
      <w:r>
        <w:rPr>
          <w:rFonts w:hint="eastAsia" w:ascii="方正仿宋_GBK" w:hAnsi="仿宋_GB2312" w:eastAsia="方正仿宋_GBK" w:cs="仿宋_GB2312"/>
          <w:color w:val="auto"/>
          <w:kern w:val="0"/>
          <w:sz w:val="24"/>
          <w:szCs w:val="24"/>
          <w:highlight w:val="none"/>
        </w:rPr>
        <w:t>以上</w:t>
      </w:r>
      <w:r>
        <w:rPr>
          <w:rFonts w:hint="eastAsia" w:ascii="方正仿宋_GBK" w:hAnsi="仿宋_GB2312" w:eastAsia="方正仿宋_GBK" w:cs="仿宋_GB2312"/>
          <w:color w:val="auto"/>
          <w:kern w:val="0"/>
          <w:sz w:val="24"/>
          <w:szCs w:val="24"/>
          <w:highlight w:val="none"/>
          <w:lang w:val="en-US" w:eastAsia="zh-CN"/>
        </w:rPr>
        <w:t>其它</w:t>
      </w:r>
      <w:r>
        <w:rPr>
          <w:rFonts w:hint="eastAsia" w:ascii="方正仿宋_GBK" w:hAnsi="仿宋_GB2312" w:eastAsia="方正仿宋_GBK" w:cs="仿宋_GB2312"/>
          <w:color w:val="auto"/>
          <w:kern w:val="0"/>
          <w:sz w:val="24"/>
          <w:szCs w:val="24"/>
          <w:highlight w:val="none"/>
        </w:rPr>
        <w:t>参数</w:t>
      </w:r>
      <w:r>
        <w:rPr>
          <w:rFonts w:hint="eastAsia" w:ascii="方正仿宋_GBK" w:hAnsi="仿宋_GB2312" w:eastAsia="方正仿宋_GBK" w:cs="仿宋_GB2312"/>
          <w:color w:val="auto"/>
          <w:kern w:val="0"/>
          <w:sz w:val="24"/>
          <w:szCs w:val="24"/>
          <w:highlight w:val="none"/>
          <w:lang w:eastAsia="zh-CN"/>
        </w:rPr>
        <w:t>、</w:t>
      </w:r>
      <w:r>
        <w:rPr>
          <w:rFonts w:hint="eastAsia" w:ascii="方正仿宋_GBK" w:hAnsi="仿宋_GB2312" w:eastAsia="方正仿宋_GBK" w:cs="仿宋_GB2312"/>
          <w:color w:val="auto"/>
          <w:kern w:val="0"/>
          <w:sz w:val="24"/>
          <w:szCs w:val="24"/>
          <w:highlight w:val="none"/>
        </w:rPr>
        <w:t>资质</w:t>
      </w:r>
      <w:r>
        <w:rPr>
          <w:rFonts w:hint="eastAsia" w:ascii="方正仿宋_GBK" w:hAnsi="仿宋_GB2312" w:eastAsia="方正仿宋_GBK" w:cs="仿宋_GB2312"/>
          <w:color w:val="auto"/>
          <w:kern w:val="0"/>
          <w:sz w:val="24"/>
          <w:szCs w:val="24"/>
          <w:highlight w:val="none"/>
          <w:lang w:val="en-US" w:eastAsia="zh-CN"/>
        </w:rPr>
        <w:t>及要求</w:t>
      </w:r>
      <w:r>
        <w:rPr>
          <w:rFonts w:hint="eastAsia" w:ascii="方正仿宋_GBK" w:hAnsi="仿宋_GB2312" w:eastAsia="方正仿宋_GBK" w:cs="仿宋_GB2312"/>
          <w:color w:val="auto"/>
          <w:kern w:val="0"/>
          <w:sz w:val="24"/>
          <w:szCs w:val="24"/>
          <w:highlight w:val="none"/>
        </w:rPr>
        <w:t>必须完整满足或优于，否则视为无效投标。</w:t>
      </w:r>
    </w:p>
    <w:p>
      <w:pPr>
        <w:snapToGrid w:val="0"/>
        <w:spacing w:line="360" w:lineRule="auto"/>
        <w:ind w:firstLine="480" w:firstLineChars="200"/>
        <w:rPr>
          <w:rFonts w:hint="eastAsia" w:ascii="方正仿宋_GBK" w:hAnsi="仿宋_GB2312" w:eastAsia="方正仿宋_GBK" w:cs="仿宋_GB2312"/>
          <w:color w:val="auto"/>
          <w:kern w:val="0"/>
          <w:sz w:val="24"/>
          <w:szCs w:val="24"/>
          <w:highlight w:val="none"/>
        </w:rPr>
      </w:pPr>
      <w:r>
        <w:rPr>
          <w:rFonts w:hint="eastAsia" w:ascii="方正仿宋_GBK" w:hAnsi="仿宋_GB2312" w:eastAsia="方正仿宋_GBK" w:cs="仿宋_GB2312"/>
          <w:color w:val="auto"/>
          <w:kern w:val="0"/>
          <w:sz w:val="24"/>
          <w:szCs w:val="24"/>
          <w:highlight w:val="none"/>
        </w:rPr>
        <w:t>2.采购人将以平台的线上资料作为评判依据。投标时，必须上传产品技术参数中要求的各类证书、检测报告、认证资料的扫描件</w:t>
      </w:r>
      <w:r>
        <w:rPr>
          <w:rFonts w:hint="eastAsia" w:ascii="方正仿宋_GBK" w:hAnsi="仿宋_GB2312" w:eastAsia="方正仿宋_GBK" w:cs="仿宋_GB2312"/>
          <w:color w:val="auto"/>
          <w:kern w:val="0"/>
          <w:sz w:val="24"/>
          <w:szCs w:val="24"/>
          <w:highlight w:val="none"/>
          <w:lang w:eastAsia="zh-CN"/>
        </w:rPr>
        <w:t>（需含本项目名称水印）</w:t>
      </w:r>
      <w:r>
        <w:rPr>
          <w:rFonts w:hint="eastAsia" w:ascii="方正仿宋_GBK" w:hAnsi="仿宋_GB2312" w:eastAsia="方正仿宋_GBK" w:cs="仿宋_GB2312"/>
          <w:color w:val="auto"/>
          <w:kern w:val="0"/>
          <w:sz w:val="24"/>
          <w:szCs w:val="24"/>
          <w:highlight w:val="none"/>
        </w:rPr>
        <w:t>。</w:t>
      </w:r>
    </w:p>
    <w:p>
      <w:pPr>
        <w:snapToGrid w:val="0"/>
        <w:spacing w:line="360" w:lineRule="auto"/>
        <w:ind w:firstLine="480" w:firstLineChars="200"/>
        <w:rPr>
          <w:rFonts w:hint="default" w:ascii="方正仿宋_GBK" w:hAnsi="仿宋_GB2312" w:eastAsia="方正仿宋_GBK" w:cs="仿宋_GB2312"/>
          <w:color w:val="auto"/>
          <w:kern w:val="0"/>
          <w:sz w:val="24"/>
          <w:szCs w:val="24"/>
          <w:highlight w:val="none"/>
          <w:lang w:val="en-US" w:eastAsia="zh-CN"/>
        </w:rPr>
      </w:pPr>
      <w:r>
        <w:rPr>
          <w:rFonts w:hint="eastAsia" w:ascii="方正仿宋_GBK" w:hAnsi="仿宋_GB2312" w:eastAsia="方正仿宋_GBK" w:cs="仿宋_GB2312"/>
          <w:color w:val="auto"/>
          <w:kern w:val="0"/>
          <w:sz w:val="24"/>
          <w:szCs w:val="24"/>
          <w:highlight w:val="none"/>
          <w:lang w:val="en-US" w:eastAsia="zh-CN"/>
        </w:rPr>
        <w:t>3.</w:t>
      </w:r>
      <w:r>
        <w:rPr>
          <w:rFonts w:hint="eastAsia" w:ascii="方正仿宋_GBK" w:hAnsi="仿宋_GB2312" w:eastAsia="方正仿宋_GBK" w:cs="仿宋_GB2312"/>
          <w:color w:val="auto"/>
          <w:kern w:val="0"/>
          <w:sz w:val="24"/>
          <w:szCs w:val="24"/>
          <w:highlight w:val="none"/>
        </w:rPr>
        <w:t>本项目要求提供的检测报告或相关证明文件，采购人有权要求中标方在签订合同前现场提供各项参数的检测报告</w:t>
      </w:r>
      <w:r>
        <w:rPr>
          <w:rFonts w:hint="eastAsia" w:ascii="方正仿宋_GBK" w:hAnsi="仿宋_GB2312" w:eastAsia="方正仿宋_GBK" w:cs="仿宋_GB2312"/>
          <w:color w:val="auto"/>
          <w:kern w:val="0"/>
          <w:sz w:val="24"/>
          <w:szCs w:val="24"/>
          <w:highlight w:val="none"/>
          <w:lang w:eastAsia="zh-CN"/>
        </w:rPr>
        <w:t>（</w:t>
      </w:r>
      <w:r>
        <w:rPr>
          <w:rFonts w:hint="eastAsia" w:ascii="方正仿宋_GBK" w:hAnsi="仿宋_GB2312" w:eastAsia="方正仿宋_GBK" w:cs="仿宋_GB2312"/>
          <w:color w:val="auto"/>
          <w:kern w:val="0"/>
          <w:sz w:val="24"/>
          <w:szCs w:val="24"/>
          <w:highlight w:val="none"/>
          <w:lang w:val="en-US" w:eastAsia="zh-CN"/>
        </w:rPr>
        <w:t>复印件</w:t>
      </w:r>
      <w:r>
        <w:rPr>
          <w:rFonts w:hint="eastAsia" w:ascii="方正仿宋_GBK" w:hAnsi="仿宋_GB2312" w:eastAsia="方正仿宋_GBK" w:cs="仿宋_GB2312"/>
          <w:color w:val="auto"/>
          <w:kern w:val="0"/>
          <w:sz w:val="24"/>
          <w:szCs w:val="24"/>
          <w:highlight w:val="none"/>
          <w:lang w:eastAsia="zh-CN"/>
        </w:rPr>
        <w:t>）</w:t>
      </w:r>
      <w:r>
        <w:rPr>
          <w:rFonts w:hint="eastAsia" w:ascii="方正仿宋_GBK" w:hAnsi="仿宋_GB2312" w:eastAsia="方正仿宋_GBK" w:cs="仿宋_GB2312"/>
          <w:color w:val="auto"/>
          <w:kern w:val="0"/>
          <w:sz w:val="24"/>
          <w:szCs w:val="24"/>
          <w:highlight w:val="none"/>
        </w:rPr>
        <w:t>或证明材料并加盖制造商鲜章，如5个日历日内未能提供，将取消其中标资格。</w:t>
      </w:r>
    </w:p>
    <w:p>
      <w:pPr>
        <w:pStyle w:val="5"/>
        <w:spacing w:before="0" w:after="0" w:line="312" w:lineRule="auto"/>
        <w:rPr>
          <w:rFonts w:ascii="方正仿宋_GBK" w:hAnsi="黑体" w:eastAsia="方正仿宋_GBK" w:cs="黑体"/>
          <w:sz w:val="28"/>
          <w:szCs w:val="28"/>
          <w:highlight w:val="none"/>
        </w:rPr>
      </w:pPr>
      <w:r>
        <w:rPr>
          <w:rFonts w:hint="eastAsia" w:ascii="方正仿宋_GBK" w:hAnsi="黑体" w:eastAsia="方正仿宋_GBK" w:cs="黑体"/>
          <w:sz w:val="28"/>
          <w:szCs w:val="28"/>
          <w:highlight w:val="none"/>
        </w:rPr>
        <w:t>四、质量保证及售后服务要求</w:t>
      </w:r>
    </w:p>
    <w:p>
      <w:pPr>
        <w:snapToGrid w:val="0"/>
        <w:spacing w:line="360" w:lineRule="auto"/>
        <w:ind w:firstLine="480" w:firstLineChars="200"/>
        <w:rPr>
          <w:rFonts w:ascii="方正仿宋_GBK" w:hAnsi="仿宋_GB2312" w:eastAsia="方正仿宋_GBK" w:cs="仿宋_GB2312"/>
          <w:kern w:val="0"/>
          <w:sz w:val="24"/>
          <w:szCs w:val="24"/>
          <w:highlight w:val="none"/>
        </w:rPr>
      </w:pPr>
      <w:r>
        <w:rPr>
          <w:rFonts w:hint="eastAsia" w:ascii="方正仿宋_GBK" w:hAnsi="仿宋_GB2312" w:eastAsia="方正仿宋_GBK" w:cs="仿宋_GB2312"/>
          <w:kern w:val="0"/>
          <w:sz w:val="24"/>
          <w:szCs w:val="24"/>
          <w:highlight w:val="none"/>
        </w:rPr>
        <w:t xml:space="preserve">（一）供应商所供产品名称、规格、数量、质量要求、生产企业与竞采文件要求相符。 </w:t>
      </w:r>
    </w:p>
    <w:p>
      <w:pPr>
        <w:snapToGrid w:val="0"/>
        <w:spacing w:line="360" w:lineRule="auto"/>
        <w:ind w:firstLine="480" w:firstLineChars="200"/>
        <w:rPr>
          <w:rFonts w:ascii="方正仿宋_GBK" w:hAnsi="仿宋_GB2312" w:eastAsia="方正仿宋_GBK" w:cs="仿宋_GB2312"/>
          <w:kern w:val="0"/>
          <w:sz w:val="24"/>
          <w:szCs w:val="24"/>
          <w:highlight w:val="none"/>
        </w:rPr>
      </w:pPr>
      <w:r>
        <w:rPr>
          <w:rFonts w:hint="eastAsia" w:ascii="方正仿宋_GBK" w:hAnsi="仿宋_GB2312" w:eastAsia="方正仿宋_GBK" w:cs="仿宋_GB2312"/>
          <w:kern w:val="0"/>
          <w:sz w:val="24"/>
          <w:szCs w:val="24"/>
          <w:highlight w:val="none"/>
        </w:rPr>
        <w:t>（二）自验收之日起，产品质量保证期不低于1年。</w:t>
      </w:r>
    </w:p>
    <w:p>
      <w:pPr>
        <w:snapToGrid w:val="0"/>
        <w:spacing w:line="360" w:lineRule="auto"/>
        <w:ind w:firstLine="480" w:firstLineChars="200"/>
        <w:rPr>
          <w:rFonts w:hint="eastAsia" w:ascii="方正仿宋_GBK" w:hAnsi="仿宋_GB2312" w:eastAsia="方正仿宋_GBK" w:cs="仿宋_GB2312"/>
          <w:kern w:val="0"/>
          <w:sz w:val="24"/>
          <w:szCs w:val="24"/>
          <w:highlight w:val="none"/>
        </w:rPr>
      </w:pPr>
      <w:r>
        <w:rPr>
          <w:rFonts w:hint="eastAsia" w:ascii="方正仿宋_GBK" w:hAnsi="仿宋_GB2312" w:eastAsia="方正仿宋_GBK" w:cs="仿宋_GB2312"/>
          <w:kern w:val="0"/>
          <w:sz w:val="24"/>
          <w:szCs w:val="24"/>
          <w:highlight w:val="none"/>
        </w:rPr>
        <w:t>（三）成交供应商须免费提供现场技术培训与技术支持。</w:t>
      </w:r>
    </w:p>
    <w:p>
      <w:pPr>
        <w:snapToGrid w:val="0"/>
        <w:spacing w:line="360" w:lineRule="auto"/>
        <w:ind w:firstLine="480" w:firstLineChars="200"/>
        <w:rPr>
          <w:rFonts w:hint="eastAsia" w:ascii="方正仿宋_GBK" w:hAnsi="仿宋_GB2312" w:eastAsia="方正仿宋_GBK" w:cs="仿宋_GB2312"/>
          <w:kern w:val="0"/>
          <w:sz w:val="24"/>
          <w:szCs w:val="24"/>
          <w:highlight w:val="none"/>
        </w:rPr>
      </w:pPr>
      <w:r>
        <w:rPr>
          <w:rFonts w:hint="eastAsia" w:ascii="方正仿宋_GBK" w:hAnsi="仿宋_GB2312" w:eastAsia="方正仿宋_GBK" w:cs="仿宋_GB2312"/>
          <w:kern w:val="0"/>
          <w:sz w:val="24"/>
          <w:szCs w:val="24"/>
          <w:highlight w:val="none"/>
        </w:rPr>
        <w:t>（四）质量保证期内服务要求</w:t>
      </w:r>
    </w:p>
    <w:p>
      <w:pPr>
        <w:snapToGrid w:val="0"/>
        <w:spacing w:line="360" w:lineRule="auto"/>
        <w:ind w:firstLine="480" w:firstLineChars="200"/>
        <w:rPr>
          <w:rFonts w:hint="eastAsia" w:ascii="方正仿宋_GBK" w:hAnsi="仿宋_GB2312" w:eastAsia="方正仿宋_GBK" w:cs="仿宋_GB2312"/>
          <w:kern w:val="0"/>
          <w:sz w:val="24"/>
          <w:szCs w:val="24"/>
          <w:highlight w:val="none"/>
        </w:rPr>
      </w:pPr>
      <w:r>
        <w:rPr>
          <w:rFonts w:hint="eastAsia" w:ascii="方正仿宋_GBK" w:hAnsi="仿宋_GB2312" w:eastAsia="方正仿宋_GBK" w:cs="仿宋_GB2312"/>
          <w:kern w:val="0"/>
          <w:sz w:val="24"/>
          <w:szCs w:val="24"/>
          <w:highlight w:val="none"/>
        </w:rPr>
        <w:t>（1）电话咨询</w:t>
      </w:r>
    </w:p>
    <w:p>
      <w:pPr>
        <w:snapToGrid w:val="0"/>
        <w:spacing w:line="360" w:lineRule="auto"/>
        <w:ind w:firstLine="480" w:firstLineChars="200"/>
        <w:rPr>
          <w:rFonts w:hint="eastAsia" w:ascii="方正仿宋_GBK" w:hAnsi="仿宋_GB2312" w:eastAsia="方正仿宋_GBK" w:cs="仿宋_GB2312"/>
          <w:kern w:val="0"/>
          <w:sz w:val="24"/>
          <w:szCs w:val="24"/>
          <w:highlight w:val="none"/>
        </w:rPr>
      </w:pPr>
      <w:r>
        <w:rPr>
          <w:rFonts w:hint="eastAsia" w:ascii="方正仿宋_GBK" w:hAnsi="仿宋_GB2312" w:eastAsia="方正仿宋_GBK" w:cs="仿宋_GB2312"/>
          <w:kern w:val="0"/>
          <w:sz w:val="24"/>
          <w:szCs w:val="24"/>
          <w:highlight w:val="none"/>
        </w:rPr>
        <w:t>中标人应当为用户提供技术援助电话，解答用户在使用中遇到的问题，及时为用户提出解决问题的建议。</w:t>
      </w:r>
    </w:p>
    <w:p>
      <w:pPr>
        <w:snapToGrid w:val="0"/>
        <w:spacing w:line="360" w:lineRule="auto"/>
        <w:ind w:firstLine="480" w:firstLineChars="200"/>
        <w:rPr>
          <w:rFonts w:hint="eastAsia" w:ascii="方正仿宋_GBK" w:hAnsi="仿宋_GB2312" w:eastAsia="方正仿宋_GBK" w:cs="仿宋_GB2312"/>
          <w:kern w:val="0"/>
          <w:sz w:val="24"/>
          <w:szCs w:val="24"/>
          <w:highlight w:val="none"/>
        </w:rPr>
      </w:pPr>
      <w:r>
        <w:rPr>
          <w:rFonts w:hint="eastAsia" w:ascii="方正仿宋_GBK" w:hAnsi="仿宋_GB2312" w:eastAsia="方正仿宋_GBK" w:cs="仿宋_GB2312"/>
          <w:kern w:val="0"/>
          <w:sz w:val="24"/>
          <w:szCs w:val="24"/>
          <w:highlight w:val="none"/>
        </w:rPr>
        <w:t>（2）现场响应</w:t>
      </w:r>
    </w:p>
    <w:p>
      <w:pPr>
        <w:snapToGrid w:val="0"/>
        <w:spacing w:line="360" w:lineRule="auto"/>
        <w:ind w:firstLine="480" w:firstLineChars="200"/>
        <w:rPr>
          <w:rFonts w:hint="eastAsia" w:ascii="方正仿宋_GBK" w:hAnsi="仿宋_GB2312" w:eastAsia="方正仿宋_GBK" w:cs="仿宋_GB2312"/>
          <w:kern w:val="0"/>
          <w:sz w:val="24"/>
          <w:szCs w:val="24"/>
          <w:highlight w:val="none"/>
        </w:rPr>
      </w:pPr>
      <w:r>
        <w:rPr>
          <w:rFonts w:hint="eastAsia" w:ascii="方正仿宋_GBK" w:hAnsi="仿宋_GB2312" w:eastAsia="方正仿宋_GBK" w:cs="仿宋_GB2312"/>
          <w:kern w:val="0"/>
          <w:sz w:val="24"/>
          <w:szCs w:val="24"/>
          <w:highlight w:val="none"/>
        </w:rPr>
        <w:t>用户遇到使用及技术问题，电话咨询不能解决的，中标人应立即作出响应，</w:t>
      </w:r>
      <w:r>
        <w:rPr>
          <w:rFonts w:hint="eastAsia" w:ascii="方正仿宋_GBK" w:hAnsi="仿宋_GB2312" w:eastAsia="方正仿宋_GBK" w:cs="仿宋_GB2312"/>
          <w:kern w:val="0"/>
          <w:sz w:val="24"/>
          <w:szCs w:val="24"/>
          <w:highlight w:val="none"/>
          <w:lang w:val="en-US" w:eastAsia="zh-CN"/>
        </w:rPr>
        <w:t>4</w:t>
      </w:r>
      <w:r>
        <w:rPr>
          <w:rFonts w:hint="eastAsia" w:ascii="方正仿宋_GBK" w:hAnsi="仿宋_GB2312" w:eastAsia="方正仿宋_GBK" w:cs="仿宋_GB2312"/>
          <w:kern w:val="0"/>
          <w:sz w:val="24"/>
          <w:szCs w:val="24"/>
          <w:highlight w:val="none"/>
        </w:rPr>
        <w:t>小时内到位采取相应措施，提供上门维修服务，确保产品正常工作；故障24小时内解决，由于备件供货时间等原因，最迟不超过72小时内解决，使用户能够正常使用。因为定制备件制造周期的限制、特殊气候、市政工程影响等特殊原因在72小时内不能解决，由甲、乙双方根据实际情况协商确定维修时间。</w:t>
      </w:r>
    </w:p>
    <w:p>
      <w:pPr>
        <w:snapToGrid w:val="0"/>
        <w:spacing w:line="360" w:lineRule="auto"/>
        <w:ind w:firstLine="480" w:firstLineChars="200"/>
        <w:rPr>
          <w:rFonts w:hint="eastAsia" w:ascii="方正仿宋_GBK" w:hAnsi="仿宋_GB2312" w:eastAsia="方正仿宋_GBK" w:cs="仿宋_GB2312"/>
          <w:kern w:val="0"/>
          <w:sz w:val="24"/>
          <w:szCs w:val="24"/>
          <w:highlight w:val="none"/>
        </w:rPr>
      </w:pPr>
      <w:r>
        <w:rPr>
          <w:rFonts w:hint="eastAsia" w:ascii="方正仿宋_GBK" w:hAnsi="仿宋_GB2312" w:eastAsia="方正仿宋_GBK" w:cs="仿宋_GB2312"/>
          <w:kern w:val="0"/>
          <w:sz w:val="24"/>
          <w:szCs w:val="24"/>
          <w:highlight w:val="none"/>
        </w:rPr>
        <w:t>2.质保期外服务要求</w:t>
      </w:r>
    </w:p>
    <w:p>
      <w:pPr>
        <w:snapToGrid w:val="0"/>
        <w:spacing w:line="360" w:lineRule="auto"/>
        <w:ind w:firstLine="480" w:firstLineChars="200"/>
        <w:rPr>
          <w:rFonts w:hint="eastAsia" w:ascii="方正仿宋_GBK" w:hAnsi="仿宋_GB2312" w:eastAsia="方正仿宋_GBK" w:cs="仿宋_GB2312"/>
          <w:kern w:val="0"/>
          <w:sz w:val="24"/>
          <w:szCs w:val="24"/>
          <w:highlight w:val="none"/>
        </w:rPr>
      </w:pPr>
      <w:r>
        <w:rPr>
          <w:rFonts w:hint="eastAsia" w:ascii="方正仿宋_GBK" w:hAnsi="仿宋_GB2312" w:eastAsia="方正仿宋_GBK" w:cs="仿宋_GB2312"/>
          <w:kern w:val="0"/>
          <w:sz w:val="24"/>
          <w:szCs w:val="24"/>
          <w:highlight w:val="none"/>
        </w:rPr>
        <w:t>（1）质量保证期过后，中标人应同样提供免费电话咨询服务，并提供产品上门维护服务。</w:t>
      </w:r>
    </w:p>
    <w:p>
      <w:pPr>
        <w:snapToGrid w:val="0"/>
        <w:spacing w:line="360" w:lineRule="auto"/>
        <w:ind w:firstLine="480" w:firstLineChars="200"/>
        <w:rPr>
          <w:rFonts w:hint="eastAsia" w:ascii="方正仿宋_GBK" w:hAnsi="仿宋_GB2312" w:eastAsia="方正仿宋_GBK" w:cs="仿宋_GB2312"/>
          <w:kern w:val="0"/>
          <w:sz w:val="24"/>
          <w:szCs w:val="24"/>
          <w:highlight w:val="none"/>
        </w:rPr>
      </w:pPr>
      <w:r>
        <w:rPr>
          <w:rFonts w:hint="eastAsia" w:ascii="方正仿宋_GBK" w:hAnsi="仿宋_GB2312" w:eastAsia="方正仿宋_GBK" w:cs="仿宋_GB2312"/>
          <w:kern w:val="0"/>
          <w:sz w:val="24"/>
          <w:szCs w:val="24"/>
          <w:highlight w:val="none"/>
        </w:rPr>
        <w:t>（2）质量保证期过后，采购人需要继续由原中标人提供售后服务的，该中标人应提供优质售后服务。</w:t>
      </w:r>
    </w:p>
    <w:p>
      <w:pPr>
        <w:snapToGrid w:val="0"/>
        <w:spacing w:line="360" w:lineRule="auto"/>
        <w:ind w:firstLine="480" w:firstLineChars="200"/>
        <w:rPr>
          <w:rFonts w:hint="eastAsia" w:ascii="方正仿宋_GBK" w:hAnsi="仿宋_GB2312" w:eastAsia="方正仿宋_GBK" w:cs="仿宋_GB2312"/>
          <w:kern w:val="0"/>
          <w:sz w:val="24"/>
          <w:szCs w:val="24"/>
          <w:highlight w:val="none"/>
        </w:rPr>
      </w:pPr>
      <w:r>
        <w:rPr>
          <w:rFonts w:hint="eastAsia" w:ascii="方正仿宋_GBK" w:hAnsi="仿宋_GB2312" w:eastAsia="方正仿宋_GBK" w:cs="仿宋_GB2312"/>
          <w:kern w:val="0"/>
          <w:sz w:val="24"/>
          <w:szCs w:val="24"/>
          <w:highlight w:val="none"/>
        </w:rPr>
        <w:t>（三）故障响应时间要求</w:t>
      </w:r>
    </w:p>
    <w:p>
      <w:pPr>
        <w:snapToGrid w:val="0"/>
        <w:spacing w:line="360" w:lineRule="auto"/>
        <w:ind w:firstLine="480" w:firstLineChars="200"/>
        <w:rPr>
          <w:rFonts w:hint="eastAsia" w:ascii="方正仿宋_GBK" w:hAnsi="仿宋_GB2312" w:eastAsia="方正仿宋_GBK" w:cs="仿宋_GB2312"/>
          <w:kern w:val="0"/>
          <w:sz w:val="24"/>
          <w:szCs w:val="24"/>
          <w:highlight w:val="none"/>
        </w:rPr>
      </w:pPr>
      <w:r>
        <w:rPr>
          <w:rFonts w:hint="eastAsia" w:ascii="方正仿宋_GBK" w:hAnsi="仿宋_GB2312" w:eastAsia="方正仿宋_GBK" w:cs="仿宋_GB2312"/>
          <w:kern w:val="0"/>
          <w:sz w:val="24"/>
          <w:szCs w:val="24"/>
          <w:highlight w:val="none"/>
        </w:rPr>
        <w:t>中标人接到用户产品出现问题的通知后立即作出响应，6小时内到达现场进行处理。</w:t>
      </w:r>
    </w:p>
    <w:p>
      <w:pPr>
        <w:pStyle w:val="5"/>
        <w:spacing w:before="0" w:after="0" w:line="312" w:lineRule="auto"/>
        <w:rPr>
          <w:rFonts w:ascii="方正仿宋_GBK" w:hAnsi="黑体" w:eastAsia="方正仿宋_GBK" w:cs="黑体"/>
          <w:sz w:val="28"/>
          <w:szCs w:val="28"/>
          <w:highlight w:val="none"/>
        </w:rPr>
      </w:pPr>
      <w:r>
        <w:rPr>
          <w:rFonts w:hint="eastAsia" w:ascii="方正仿宋_GBK" w:hAnsi="黑体" w:eastAsia="方正仿宋_GBK" w:cs="黑体"/>
          <w:sz w:val="28"/>
          <w:szCs w:val="28"/>
          <w:highlight w:val="none"/>
        </w:rPr>
        <w:t>五、交付期限及地点</w:t>
      </w:r>
    </w:p>
    <w:p>
      <w:pPr>
        <w:snapToGrid w:val="0"/>
        <w:spacing w:line="360" w:lineRule="auto"/>
        <w:ind w:firstLine="480" w:firstLineChars="200"/>
        <w:rPr>
          <w:rFonts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（一）交付时间</w:t>
      </w:r>
    </w:p>
    <w:p>
      <w:pPr>
        <w:snapToGrid w:val="0"/>
        <w:spacing w:line="360" w:lineRule="auto"/>
        <w:ind w:firstLine="480" w:firstLineChars="200"/>
        <w:rPr>
          <w:rFonts w:ascii="方正仿宋_GBK" w:hAnsi="仿宋_GB2312" w:eastAsia="方正仿宋_GBK" w:cs="仿宋_GB2312"/>
          <w:b/>
          <w:bCs/>
          <w:i/>
          <w:iCs/>
          <w:color w:val="FF0000"/>
          <w:sz w:val="24"/>
          <w:szCs w:val="24"/>
          <w:highlight w:val="none"/>
          <w:u w:val="single"/>
        </w:rPr>
      </w:pPr>
      <w:r>
        <w:rPr>
          <w:rFonts w:hint="eastAsia" w:ascii="方正仿宋_GBK" w:hAnsi="仿宋_GB2312" w:eastAsia="方正仿宋_GBK" w:cs="仿宋_GB2312"/>
          <w:sz w:val="24"/>
          <w:szCs w:val="24"/>
          <w:highlight w:val="none"/>
        </w:rPr>
        <w:t>中标人在合同签订后</w:t>
      </w:r>
      <w:r>
        <w:rPr>
          <w:rFonts w:hint="eastAsia" w:ascii="方正仿宋_GBK" w:hAnsi="仿宋_GB2312" w:eastAsia="方正仿宋_GBK" w:cs="仿宋_GB2312"/>
          <w:sz w:val="24"/>
          <w:szCs w:val="24"/>
          <w:highlight w:val="none"/>
          <w:lang w:val="en-US" w:eastAsia="zh-CN"/>
        </w:rPr>
        <w:t>30</w:t>
      </w:r>
      <w:r>
        <w:rPr>
          <w:rFonts w:hint="eastAsia" w:ascii="方正仿宋_GBK" w:hAnsi="仿宋_GB2312" w:eastAsia="方正仿宋_GBK" w:cs="仿宋_GB2312"/>
          <w:sz w:val="24"/>
          <w:szCs w:val="24"/>
          <w:highlight w:val="none"/>
        </w:rPr>
        <w:t>个日历日内</w:t>
      </w:r>
      <w:r>
        <w:rPr>
          <w:rFonts w:hint="eastAsia" w:ascii="方正仿宋_GBK" w:hAnsi="仿宋_GB2312" w:eastAsia="方正仿宋_GBK" w:cs="仿宋_GB2312"/>
          <w:sz w:val="24"/>
          <w:szCs w:val="24"/>
          <w:highlight w:val="none"/>
          <w:lang w:val="en-US" w:eastAsia="zh-CN"/>
        </w:rPr>
        <w:t>完成交付</w:t>
      </w:r>
      <w:r>
        <w:rPr>
          <w:rFonts w:hint="eastAsia" w:ascii="方正仿宋_GBK" w:hAnsi="仿宋_GB2312" w:eastAsia="方正仿宋_GBK" w:cs="仿宋_GB2312"/>
          <w:sz w:val="24"/>
          <w:szCs w:val="24"/>
          <w:highlight w:val="none"/>
        </w:rPr>
        <w:t>。</w:t>
      </w:r>
    </w:p>
    <w:p>
      <w:pPr>
        <w:snapToGrid w:val="0"/>
        <w:spacing w:line="360" w:lineRule="auto"/>
        <w:ind w:firstLine="480" w:firstLineChars="200"/>
        <w:rPr>
          <w:rFonts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（二）交货地点</w:t>
      </w:r>
    </w:p>
    <w:p>
      <w:pPr>
        <w:snapToGrid w:val="0"/>
        <w:spacing w:line="360" w:lineRule="auto"/>
        <w:ind w:firstLine="480" w:firstLineChars="200"/>
        <w:rPr>
          <w:rFonts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重庆市石柱县双庆小学校新校区</w:t>
      </w:r>
    </w:p>
    <w:p>
      <w:pPr>
        <w:pStyle w:val="5"/>
        <w:spacing w:before="0" w:after="0" w:line="312" w:lineRule="auto"/>
        <w:rPr>
          <w:rFonts w:ascii="方正仿宋_GBK" w:hAnsi="黑体" w:eastAsia="方正仿宋_GBK" w:cs="黑体"/>
          <w:sz w:val="28"/>
          <w:szCs w:val="28"/>
          <w:highlight w:val="none"/>
        </w:rPr>
      </w:pPr>
      <w:r>
        <w:rPr>
          <w:rFonts w:hint="eastAsia" w:ascii="方正仿宋_GBK" w:hAnsi="黑体" w:eastAsia="方正仿宋_GBK" w:cs="黑体"/>
          <w:sz w:val="28"/>
          <w:szCs w:val="28"/>
          <w:highlight w:val="none"/>
        </w:rPr>
        <w:t>六、验收方式</w:t>
      </w:r>
    </w:p>
    <w:p>
      <w:pPr>
        <w:spacing w:line="360" w:lineRule="auto"/>
        <w:ind w:firstLine="480" w:firstLineChars="200"/>
        <w:rPr>
          <w:rFonts w:hint="eastAsia"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（一）货物到达现场后，成交供应商应在使用单位人员在场情况下当面开箱，共同清点、检查外观，作出开箱记录，双方签字确认。</w:t>
      </w:r>
    </w:p>
    <w:p>
      <w:pPr>
        <w:spacing w:line="360" w:lineRule="auto"/>
        <w:ind w:firstLine="480" w:firstLineChars="200"/>
        <w:rPr>
          <w:rFonts w:hint="eastAsia"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（二）成交供应商应保证货物到达采购人所在地完好无损，如有缺漏、损坏，由供应商负责调换、补齐或赔偿。</w:t>
      </w:r>
    </w:p>
    <w:p>
      <w:pPr>
        <w:spacing w:line="360" w:lineRule="auto"/>
        <w:ind w:firstLine="480" w:firstLineChars="200"/>
        <w:rPr>
          <w:rFonts w:hint="eastAsia"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（三）成交供应商应提供完备的技术资料、装箱单和合格证等，并派遣专业技术人员进行现场指导。验收合格条件如下：</w:t>
      </w:r>
    </w:p>
    <w:p>
      <w:pPr>
        <w:spacing w:line="360" w:lineRule="auto"/>
        <w:ind w:firstLine="480" w:firstLineChars="200"/>
        <w:rPr>
          <w:rFonts w:hint="eastAsia"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1、产品技术参数与采购合同一致，性能指标达到规定的标准。</w:t>
      </w:r>
    </w:p>
    <w:p>
      <w:pPr>
        <w:spacing w:line="360" w:lineRule="auto"/>
        <w:ind w:firstLine="480" w:firstLineChars="200"/>
        <w:rPr>
          <w:rFonts w:hint="eastAsia"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2、货物技术资料、装箱单、合格证等资料齐全。</w:t>
      </w:r>
    </w:p>
    <w:p>
      <w:pPr>
        <w:spacing w:line="360" w:lineRule="auto"/>
        <w:ind w:firstLine="480" w:firstLineChars="200"/>
        <w:rPr>
          <w:rFonts w:hint="eastAsia"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3、在规定时间内完成交货并验收，并经采购人确认。</w:t>
      </w:r>
    </w:p>
    <w:p>
      <w:pPr>
        <w:spacing w:line="360" w:lineRule="auto"/>
        <w:ind w:firstLine="480" w:firstLineChars="200"/>
        <w:rPr>
          <w:rFonts w:hint="eastAsia"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4、采购人随机抽取的样品检测结果为合格。</w:t>
      </w:r>
    </w:p>
    <w:p>
      <w:pPr>
        <w:spacing w:line="360" w:lineRule="auto"/>
        <w:ind w:firstLine="480" w:firstLineChars="200"/>
        <w:rPr>
          <w:rFonts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四）交货时采购人可邀请第三方质量检测机构参加验收工作，对产品进行随机抽检验收，检测机构将按招标文件技术参数的要求及中标人对参数的应答情况进行检验，检验合格由采购人承担相应检测费用。检验未达到招标文件技术参数要求及中标人应答情况的则视为中标人进行虚假应答，将严格按照政府采购相关法律法规处理，相应检测费用及给采购人造成的损失由中标人承担。</w:t>
      </w:r>
    </w:p>
    <w:p>
      <w:pPr>
        <w:pStyle w:val="5"/>
        <w:spacing w:before="0" w:after="0" w:line="312" w:lineRule="auto"/>
        <w:rPr>
          <w:rFonts w:ascii="方正仿宋_GBK" w:hAnsi="黑体" w:eastAsia="方正仿宋_GBK" w:cs="黑体"/>
          <w:sz w:val="28"/>
          <w:szCs w:val="28"/>
          <w:highlight w:val="none"/>
        </w:rPr>
      </w:pPr>
      <w:r>
        <w:rPr>
          <w:rFonts w:hint="eastAsia" w:ascii="方正仿宋_GBK" w:hAnsi="黑体" w:eastAsia="方正仿宋_GBK" w:cs="黑体"/>
          <w:sz w:val="28"/>
          <w:szCs w:val="28"/>
          <w:highlight w:val="none"/>
        </w:rPr>
        <w:t>七、报价要求</w:t>
      </w:r>
    </w:p>
    <w:p>
      <w:pPr>
        <w:snapToGrid w:val="0"/>
        <w:spacing w:line="360" w:lineRule="auto"/>
        <w:ind w:firstLine="480" w:firstLineChars="200"/>
        <w:rPr>
          <w:rFonts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（一）报价开始时间、报价截止时间、有效报价家数均以公告内容为准。</w:t>
      </w:r>
    </w:p>
    <w:p>
      <w:pPr>
        <w:snapToGrid w:val="0"/>
        <w:spacing w:line="360" w:lineRule="auto"/>
        <w:ind w:firstLine="480" w:firstLineChars="200"/>
        <w:rPr>
          <w:rFonts w:hint="default" w:eastAsia="方正仿宋_GBK"/>
          <w:highlight w:val="none"/>
          <w:lang w:val="en-US" w:eastAsia="zh-CN"/>
        </w:rPr>
      </w:pPr>
      <w:r>
        <w:rPr>
          <w:rFonts w:hint="eastAsia" w:ascii="方正仿宋_GBK" w:hAnsi="仿宋_GB2312" w:eastAsia="方正仿宋_GBK" w:cs="仿宋_GB2312"/>
          <w:sz w:val="24"/>
          <w:szCs w:val="24"/>
          <w:highlight w:val="none"/>
        </w:rPr>
        <w:t>（二）本次报价为人民币报价，包含：货物费、运输费、安装调试费、装卸费、培训费、保险费、税费（含关税）等所有费用。</w:t>
      </w:r>
    </w:p>
    <w:p>
      <w:pPr>
        <w:pStyle w:val="5"/>
        <w:spacing w:before="0" w:after="0" w:line="312" w:lineRule="auto"/>
        <w:rPr>
          <w:rFonts w:ascii="方正仿宋_GBK" w:hAnsi="黑体" w:eastAsia="方正仿宋_GBK" w:cs="黑体"/>
          <w:sz w:val="28"/>
          <w:szCs w:val="28"/>
          <w:highlight w:val="none"/>
        </w:rPr>
      </w:pPr>
      <w:r>
        <w:rPr>
          <w:rFonts w:hint="eastAsia" w:ascii="方正仿宋_GBK" w:hAnsi="黑体" w:eastAsia="方正仿宋_GBK" w:cs="黑体"/>
          <w:sz w:val="28"/>
          <w:szCs w:val="28"/>
          <w:highlight w:val="none"/>
        </w:rPr>
        <w:t>八、供应商响应文件要求</w:t>
      </w:r>
    </w:p>
    <w:p>
      <w:pPr>
        <w:spacing w:line="360" w:lineRule="auto"/>
        <w:ind w:firstLine="480" w:firstLineChars="200"/>
        <w:rPr>
          <w:rFonts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供应商必须在平台上按要求上传响应文件，未按要求提供的视为无效供应商。</w:t>
      </w:r>
    </w:p>
    <w:p>
      <w:pPr>
        <w:snapToGrid w:val="0"/>
        <w:spacing w:line="360" w:lineRule="auto"/>
        <w:ind w:firstLine="480" w:firstLineChars="200"/>
        <w:rPr>
          <w:rFonts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（一）响应文件内容</w:t>
      </w:r>
    </w:p>
    <w:p>
      <w:pPr>
        <w:snapToGrid w:val="0"/>
        <w:spacing w:line="360" w:lineRule="auto"/>
        <w:ind w:firstLine="480" w:firstLineChars="200"/>
        <w:rPr>
          <w:rFonts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1.盖鲜章的《报价函》《明细报价表》各1份。</w:t>
      </w:r>
    </w:p>
    <w:p>
      <w:pPr>
        <w:snapToGrid w:val="0"/>
        <w:spacing w:line="360" w:lineRule="auto"/>
        <w:ind w:firstLine="480" w:firstLineChars="200"/>
        <w:rPr>
          <w:rFonts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2.盖鲜章的《法定代表人身份证明书》1份，其中应包含法定代表人身份证复印件。若法定代表人委托他人投标，请提供盖鲜章的《法定代表人授权委托书》1份，其中应包含法定代表人及被授权人身份证复印件各1份。</w:t>
      </w:r>
    </w:p>
    <w:p>
      <w:pPr>
        <w:snapToGrid w:val="0"/>
        <w:spacing w:line="360" w:lineRule="auto"/>
        <w:ind w:firstLine="480" w:firstLineChars="200"/>
        <w:rPr>
          <w:rFonts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3.盖鲜章的基本资格条件承诺函。</w:t>
      </w:r>
    </w:p>
    <w:p>
      <w:pPr>
        <w:snapToGrid w:val="0"/>
        <w:spacing w:line="360" w:lineRule="auto"/>
        <w:ind w:firstLine="480" w:firstLineChars="200"/>
        <w:rPr>
          <w:rFonts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4.其他应提供的资料。</w:t>
      </w:r>
    </w:p>
    <w:p>
      <w:pPr>
        <w:snapToGrid w:val="0"/>
        <w:spacing w:line="360" w:lineRule="auto"/>
        <w:ind w:firstLine="480" w:firstLineChars="200"/>
        <w:rPr>
          <w:rFonts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（二）提交文件的要求</w:t>
      </w:r>
    </w:p>
    <w:p>
      <w:pPr>
        <w:snapToGrid w:val="0"/>
        <w:spacing w:line="360" w:lineRule="auto"/>
        <w:ind w:firstLine="480" w:firstLineChars="200"/>
        <w:rPr>
          <w:rFonts w:hint="default" w:ascii="方正仿宋_GBK" w:hAnsi="仿宋_GB2312" w:eastAsia="方正仿宋_GBK" w:cs="仿宋_GB2312"/>
          <w:sz w:val="24"/>
          <w:szCs w:val="24"/>
          <w:highlight w:val="none"/>
          <w:lang w:val="en-US" w:eastAsia="zh-CN"/>
        </w:rPr>
      </w:pPr>
      <w:r>
        <w:rPr>
          <w:rFonts w:hint="eastAsia" w:ascii="方正仿宋_GBK" w:hAnsi="仿宋_GB2312" w:eastAsia="方正仿宋_GBK" w:cs="仿宋_GB2312"/>
          <w:sz w:val="24"/>
          <w:szCs w:val="24"/>
          <w:highlight w:val="none"/>
        </w:rPr>
        <w:t>1.供应商</w:t>
      </w:r>
      <w:r>
        <w:rPr>
          <w:rFonts w:hint="eastAsia" w:ascii="方正仿宋_GBK" w:hAnsi="仿宋_GB2312" w:eastAsia="方正仿宋_GBK" w:cs="仿宋_GB2312"/>
          <w:sz w:val="24"/>
          <w:szCs w:val="24"/>
          <w:highlight w:val="none"/>
          <w:lang w:eastAsia="zh-CN"/>
        </w:rPr>
        <w:t>按要求制作纸质响应文件，同时根据平台上传</w:t>
      </w:r>
      <w:r>
        <w:rPr>
          <w:rFonts w:hint="eastAsia" w:ascii="方正仿宋_GBK" w:hAnsi="仿宋_GB2312" w:eastAsia="方正仿宋_GBK" w:cs="仿宋_GB2312"/>
          <w:sz w:val="24"/>
          <w:szCs w:val="24"/>
          <w:highlight w:val="none"/>
        </w:rPr>
        <w:t>盖鲜章后的电子文档一份。</w:t>
      </w:r>
    </w:p>
    <w:p>
      <w:pPr>
        <w:snapToGrid w:val="0"/>
        <w:spacing w:line="360" w:lineRule="auto"/>
        <w:ind w:firstLine="480" w:firstLineChars="200"/>
        <w:rPr>
          <w:rFonts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2.供应商在系统中的报价与响应文件中的报价不一致时，采购人将以系统中供应商的报价作为评判依据。</w:t>
      </w:r>
    </w:p>
    <w:p>
      <w:pPr>
        <w:snapToGrid w:val="0"/>
        <w:spacing w:line="360" w:lineRule="auto"/>
        <w:ind w:firstLine="480" w:firstLineChars="200"/>
        <w:rPr>
          <w:rFonts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3.供应商只能有一个有效报价，供应商只能以自己单位名义提交响应文件。</w:t>
      </w:r>
    </w:p>
    <w:p>
      <w:pPr>
        <w:snapToGrid w:val="0"/>
        <w:spacing w:line="360" w:lineRule="auto"/>
        <w:ind w:firstLine="480" w:firstLineChars="200"/>
        <w:rPr>
          <w:rFonts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4.供应商制作的响应文件电子文档，须按照要求制作，规定签字、盖章的地方必须按规定签字、盖章，上传的文件需字迹清晰，未按要求制作响应文件的作废标处理。</w:t>
      </w:r>
    </w:p>
    <w:p>
      <w:pPr>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仿宋_GB2312" w:eastAsia="方正仿宋_GBK" w:cs="仿宋_GB2312"/>
          <w:sz w:val="24"/>
          <w:szCs w:val="24"/>
          <w:highlight w:val="none"/>
        </w:rPr>
        <w:t>5.“采购服务内容”中</w:t>
      </w:r>
      <w:r>
        <w:rPr>
          <w:rFonts w:hint="eastAsia" w:ascii="方正仿宋_GBK" w:hAnsi="宋体" w:eastAsia="方正仿宋_GBK" w:cs="宋体"/>
          <w:kern w:val="0"/>
          <w:sz w:val="22"/>
          <w:highlight w:val="none"/>
        </w:rPr>
        <w:t>“</w:t>
      </w:r>
      <w:r>
        <w:rPr>
          <w:rFonts w:hint="eastAsia" w:ascii="方正仿宋_GBK" w:hAnsi="方正仿宋_GB2312" w:eastAsia="方正仿宋_GBK" w:cs="方正仿宋_GB2312"/>
          <w:color w:val="000000"/>
          <w:kern w:val="0"/>
          <w:sz w:val="24"/>
          <w:szCs w:val="24"/>
          <w:highlight w:val="none"/>
        </w:rPr>
        <w:t>★</w:t>
      </w:r>
      <w:r>
        <w:rPr>
          <w:rFonts w:hint="eastAsia" w:ascii="方正仿宋_GBK" w:hAnsi="方正仿宋_GBK" w:eastAsia="方正仿宋_GBK" w:cs="方正仿宋_GBK"/>
          <w:sz w:val="24"/>
          <w:szCs w:val="24"/>
          <w:highlight w:val="none"/>
        </w:rPr>
        <w:t>”标注的技术需求为重要技术需求，</w:t>
      </w:r>
      <w:r>
        <w:rPr>
          <w:rFonts w:hint="eastAsia" w:ascii="方正仿宋_GBK" w:hAnsi="仿宋_GB2312" w:eastAsia="方正仿宋_GBK" w:cs="仿宋_GB2312"/>
          <w:sz w:val="24"/>
          <w:szCs w:val="24"/>
          <w:highlight w:val="none"/>
        </w:rPr>
        <w:t>有一条及以上不能满足竞采文件要求的，</w:t>
      </w:r>
      <w:r>
        <w:rPr>
          <w:rFonts w:hint="eastAsia" w:ascii="方正仿宋_GBK" w:hAnsi="方正仿宋_GBK" w:eastAsia="方正仿宋_GBK" w:cs="方正仿宋_GBK"/>
          <w:sz w:val="24"/>
          <w:szCs w:val="24"/>
          <w:highlight w:val="none"/>
        </w:rPr>
        <w:t>按无效投标处理。</w:t>
      </w:r>
    </w:p>
    <w:p>
      <w:pPr>
        <w:spacing w:line="360" w:lineRule="auto"/>
        <w:ind w:firstLine="480" w:firstLineChars="200"/>
        <w:rPr>
          <w:rFonts w:hint="eastAsia"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w:t>
      </w:r>
      <w:r>
        <w:rPr>
          <w:rFonts w:hint="eastAsia" w:ascii="方正仿宋_GBK" w:hAnsi="仿宋_GB2312" w:eastAsia="方正仿宋_GBK" w:cs="仿宋_GB2312"/>
          <w:sz w:val="24"/>
          <w:szCs w:val="24"/>
          <w:highlight w:val="none"/>
          <w:lang w:eastAsia="zh-CN"/>
        </w:rPr>
        <w:t>三</w:t>
      </w:r>
      <w:r>
        <w:rPr>
          <w:rFonts w:hint="eastAsia" w:ascii="方正仿宋_GBK" w:hAnsi="仿宋_GB2312" w:eastAsia="方正仿宋_GBK" w:cs="仿宋_GB2312"/>
          <w:sz w:val="24"/>
          <w:szCs w:val="24"/>
          <w:highlight w:val="none"/>
        </w:rPr>
        <w:t>）报名、询价地点：重庆市石柱土家族自治县X595(龙嘴路)</w:t>
      </w:r>
      <w:r>
        <w:rPr>
          <w:rFonts w:hint="eastAsia" w:ascii="方正仿宋_GBK" w:hAnsi="仿宋_GB2312" w:eastAsia="方正仿宋_GBK" w:cs="仿宋_GB2312"/>
          <w:sz w:val="24"/>
          <w:szCs w:val="24"/>
          <w:highlight w:val="none"/>
          <w:lang w:val="en-US" w:eastAsia="zh-CN"/>
        </w:rPr>
        <w:t>双庆小学3楼会议室</w:t>
      </w:r>
      <w:r>
        <w:rPr>
          <w:rFonts w:hint="eastAsia" w:ascii="方正仿宋_GBK" w:hAnsi="仿宋_GB2312" w:eastAsia="方正仿宋_GBK" w:cs="仿宋_GB2312"/>
          <w:sz w:val="24"/>
          <w:szCs w:val="24"/>
          <w:highlight w:val="none"/>
        </w:rPr>
        <w:t>。</w:t>
      </w:r>
    </w:p>
    <w:p>
      <w:pPr>
        <w:spacing w:line="360" w:lineRule="auto"/>
        <w:ind w:firstLine="480" w:firstLineChars="200"/>
        <w:rPr>
          <w:rFonts w:hint="eastAsia"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w:t>
      </w:r>
      <w:r>
        <w:rPr>
          <w:rFonts w:hint="eastAsia" w:ascii="方正仿宋_GBK" w:hAnsi="仿宋_GB2312" w:eastAsia="方正仿宋_GBK" w:cs="仿宋_GB2312"/>
          <w:sz w:val="24"/>
          <w:szCs w:val="24"/>
          <w:highlight w:val="none"/>
          <w:lang w:eastAsia="zh-CN"/>
        </w:rPr>
        <w:t>四</w:t>
      </w:r>
      <w:r>
        <w:rPr>
          <w:rFonts w:hint="eastAsia" w:ascii="方正仿宋_GBK" w:hAnsi="仿宋_GB2312" w:eastAsia="方正仿宋_GBK" w:cs="仿宋_GB2312"/>
          <w:sz w:val="24"/>
          <w:szCs w:val="24"/>
          <w:highlight w:val="none"/>
        </w:rPr>
        <w:t>）提交</w:t>
      </w:r>
      <w:r>
        <w:rPr>
          <w:rFonts w:hint="eastAsia" w:ascii="方正仿宋_GBK" w:hAnsi="仿宋_GB2312" w:eastAsia="方正仿宋_GBK" w:cs="仿宋_GB2312"/>
          <w:sz w:val="24"/>
          <w:szCs w:val="24"/>
          <w:highlight w:val="none"/>
          <w:lang w:eastAsia="zh-CN"/>
        </w:rPr>
        <w:t>纸质</w:t>
      </w:r>
      <w:r>
        <w:rPr>
          <w:rFonts w:hint="eastAsia" w:ascii="方正仿宋_GBK" w:hAnsi="仿宋_GB2312" w:eastAsia="方正仿宋_GBK" w:cs="仿宋_GB2312"/>
          <w:sz w:val="24"/>
          <w:szCs w:val="24"/>
          <w:highlight w:val="none"/>
        </w:rPr>
        <w:t>响应文件时间：202</w:t>
      </w:r>
      <w:r>
        <w:rPr>
          <w:rFonts w:hint="eastAsia" w:ascii="方正仿宋_GBK" w:hAnsi="仿宋_GB2312" w:eastAsia="方正仿宋_GBK" w:cs="仿宋_GB2312"/>
          <w:sz w:val="24"/>
          <w:szCs w:val="24"/>
          <w:highlight w:val="none"/>
          <w:lang w:val="en-US" w:eastAsia="zh-CN"/>
        </w:rPr>
        <w:t>5</w:t>
      </w:r>
      <w:r>
        <w:rPr>
          <w:rFonts w:hint="eastAsia" w:ascii="方正仿宋_GBK" w:hAnsi="仿宋_GB2312" w:eastAsia="方正仿宋_GBK" w:cs="仿宋_GB2312"/>
          <w:sz w:val="24"/>
          <w:szCs w:val="24"/>
          <w:highlight w:val="none"/>
        </w:rPr>
        <w:t>年</w:t>
      </w:r>
      <w:r>
        <w:rPr>
          <w:rFonts w:hint="eastAsia" w:ascii="方正仿宋_GBK" w:hAnsi="仿宋_GB2312" w:eastAsia="方正仿宋_GBK" w:cs="仿宋_GB2312"/>
          <w:sz w:val="24"/>
          <w:szCs w:val="24"/>
          <w:highlight w:val="none"/>
          <w:lang w:val="en-US" w:eastAsia="zh-CN"/>
        </w:rPr>
        <w:t>6</w:t>
      </w:r>
      <w:r>
        <w:rPr>
          <w:rFonts w:hint="eastAsia" w:ascii="方正仿宋_GBK" w:hAnsi="仿宋_GB2312" w:eastAsia="方正仿宋_GBK" w:cs="仿宋_GB2312"/>
          <w:sz w:val="24"/>
          <w:szCs w:val="24"/>
          <w:highlight w:val="none"/>
        </w:rPr>
        <w:t>月</w:t>
      </w:r>
      <w:r>
        <w:rPr>
          <w:rFonts w:hint="eastAsia" w:ascii="方正仿宋_GBK" w:hAnsi="仿宋_GB2312" w:eastAsia="方正仿宋_GBK" w:cs="仿宋_GB2312"/>
          <w:sz w:val="24"/>
          <w:szCs w:val="24"/>
          <w:highlight w:val="none"/>
          <w:lang w:val="en-US" w:eastAsia="zh-CN"/>
        </w:rPr>
        <w:t>24</w:t>
      </w:r>
      <w:r>
        <w:rPr>
          <w:rFonts w:hint="eastAsia" w:ascii="方正仿宋_GBK" w:hAnsi="仿宋_GB2312" w:eastAsia="方正仿宋_GBK" w:cs="仿宋_GB2312"/>
          <w:sz w:val="24"/>
          <w:szCs w:val="24"/>
          <w:highlight w:val="none"/>
        </w:rPr>
        <w:t>日</w:t>
      </w:r>
      <w:r>
        <w:rPr>
          <w:rFonts w:hint="eastAsia" w:ascii="方正仿宋_GBK" w:hAnsi="仿宋_GB2312" w:eastAsia="方正仿宋_GBK" w:cs="仿宋_GB2312"/>
          <w:sz w:val="24"/>
          <w:szCs w:val="24"/>
          <w:highlight w:val="none"/>
          <w:lang w:val="en-US" w:eastAsia="zh-CN"/>
        </w:rPr>
        <w:t>09</w:t>
      </w:r>
      <w:r>
        <w:rPr>
          <w:rFonts w:hint="eastAsia" w:ascii="方正仿宋_GBK" w:hAnsi="仿宋_GB2312" w:eastAsia="方正仿宋_GBK" w:cs="仿宋_GB2312"/>
          <w:sz w:val="24"/>
          <w:szCs w:val="24"/>
          <w:highlight w:val="none"/>
        </w:rPr>
        <w:t>:</w:t>
      </w:r>
      <w:r>
        <w:rPr>
          <w:rFonts w:hint="eastAsia" w:ascii="方正仿宋_GBK" w:hAnsi="仿宋_GB2312" w:eastAsia="方正仿宋_GBK" w:cs="仿宋_GB2312"/>
          <w:sz w:val="24"/>
          <w:szCs w:val="24"/>
          <w:highlight w:val="none"/>
          <w:lang w:val="en-US" w:eastAsia="zh-CN"/>
        </w:rPr>
        <w:t>0</w:t>
      </w:r>
      <w:r>
        <w:rPr>
          <w:rFonts w:hint="eastAsia" w:ascii="方正仿宋_GBK" w:hAnsi="仿宋_GB2312" w:eastAsia="方正仿宋_GBK" w:cs="仿宋_GB2312"/>
          <w:sz w:val="24"/>
          <w:szCs w:val="24"/>
          <w:highlight w:val="none"/>
        </w:rPr>
        <w:t>0-</w:t>
      </w:r>
      <w:r>
        <w:rPr>
          <w:rFonts w:hint="eastAsia" w:ascii="方正仿宋_GBK" w:hAnsi="仿宋_GB2312" w:eastAsia="方正仿宋_GBK" w:cs="仿宋_GB2312"/>
          <w:sz w:val="24"/>
          <w:szCs w:val="24"/>
          <w:highlight w:val="none"/>
          <w:lang w:val="en-US" w:eastAsia="zh-CN"/>
        </w:rPr>
        <w:t>10：0</w:t>
      </w:r>
      <w:r>
        <w:rPr>
          <w:rFonts w:hint="eastAsia" w:ascii="方正仿宋_GBK" w:hAnsi="仿宋_GB2312" w:eastAsia="方正仿宋_GBK" w:cs="仿宋_GB2312"/>
          <w:sz w:val="24"/>
          <w:szCs w:val="24"/>
          <w:highlight w:val="none"/>
        </w:rPr>
        <w:t>0北京时间。</w:t>
      </w:r>
    </w:p>
    <w:p>
      <w:pPr>
        <w:spacing w:line="360" w:lineRule="auto"/>
        <w:ind w:firstLine="480" w:firstLineChars="200"/>
        <w:rPr>
          <w:rFonts w:hint="eastAsia"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w:t>
      </w:r>
      <w:r>
        <w:rPr>
          <w:rFonts w:hint="eastAsia" w:ascii="方正仿宋_GBK" w:hAnsi="仿宋_GB2312" w:eastAsia="方正仿宋_GBK" w:cs="仿宋_GB2312"/>
          <w:sz w:val="24"/>
          <w:szCs w:val="24"/>
          <w:highlight w:val="none"/>
          <w:lang w:eastAsia="zh-CN"/>
        </w:rPr>
        <w:t>五</w:t>
      </w:r>
      <w:r>
        <w:rPr>
          <w:rFonts w:hint="eastAsia" w:ascii="方正仿宋_GBK" w:hAnsi="仿宋_GB2312" w:eastAsia="方正仿宋_GBK" w:cs="仿宋_GB2312"/>
          <w:sz w:val="24"/>
          <w:szCs w:val="24"/>
          <w:highlight w:val="none"/>
        </w:rPr>
        <w:t>）开标时间：202</w:t>
      </w:r>
      <w:r>
        <w:rPr>
          <w:rFonts w:hint="eastAsia" w:ascii="方正仿宋_GBK" w:hAnsi="仿宋_GB2312" w:eastAsia="方正仿宋_GBK" w:cs="仿宋_GB2312"/>
          <w:sz w:val="24"/>
          <w:szCs w:val="24"/>
          <w:highlight w:val="none"/>
          <w:lang w:val="en-US" w:eastAsia="zh-CN"/>
        </w:rPr>
        <w:t>5</w:t>
      </w:r>
      <w:r>
        <w:rPr>
          <w:rFonts w:hint="eastAsia" w:ascii="方正仿宋_GBK" w:hAnsi="仿宋_GB2312" w:eastAsia="方正仿宋_GBK" w:cs="仿宋_GB2312"/>
          <w:sz w:val="24"/>
          <w:szCs w:val="24"/>
          <w:highlight w:val="none"/>
        </w:rPr>
        <w:t>年</w:t>
      </w:r>
      <w:r>
        <w:rPr>
          <w:rFonts w:hint="eastAsia" w:ascii="方正仿宋_GBK" w:hAnsi="仿宋_GB2312" w:eastAsia="方正仿宋_GBK" w:cs="仿宋_GB2312"/>
          <w:sz w:val="24"/>
          <w:szCs w:val="24"/>
          <w:highlight w:val="none"/>
          <w:lang w:val="en-US" w:eastAsia="zh-CN"/>
        </w:rPr>
        <w:t>6</w:t>
      </w:r>
      <w:r>
        <w:rPr>
          <w:rFonts w:hint="eastAsia" w:ascii="方正仿宋_GBK" w:hAnsi="仿宋_GB2312" w:eastAsia="方正仿宋_GBK" w:cs="仿宋_GB2312"/>
          <w:sz w:val="24"/>
          <w:szCs w:val="24"/>
          <w:highlight w:val="none"/>
        </w:rPr>
        <w:t>月</w:t>
      </w:r>
      <w:r>
        <w:rPr>
          <w:rFonts w:hint="eastAsia" w:ascii="方正仿宋_GBK" w:hAnsi="仿宋_GB2312" w:eastAsia="方正仿宋_GBK" w:cs="仿宋_GB2312"/>
          <w:sz w:val="24"/>
          <w:szCs w:val="24"/>
          <w:highlight w:val="none"/>
          <w:lang w:val="en-US" w:eastAsia="zh-CN"/>
        </w:rPr>
        <w:t>24</w:t>
      </w:r>
      <w:r>
        <w:rPr>
          <w:rFonts w:hint="eastAsia" w:ascii="方正仿宋_GBK" w:hAnsi="仿宋_GB2312" w:eastAsia="方正仿宋_GBK" w:cs="仿宋_GB2312"/>
          <w:sz w:val="24"/>
          <w:szCs w:val="24"/>
          <w:highlight w:val="none"/>
        </w:rPr>
        <w:t>日</w:t>
      </w:r>
      <w:r>
        <w:rPr>
          <w:rFonts w:hint="eastAsia" w:ascii="方正仿宋_GBK" w:hAnsi="仿宋_GB2312" w:eastAsia="方正仿宋_GBK" w:cs="仿宋_GB2312"/>
          <w:sz w:val="24"/>
          <w:szCs w:val="24"/>
          <w:highlight w:val="none"/>
          <w:lang w:val="en-US" w:eastAsia="zh-CN"/>
        </w:rPr>
        <w:t>10</w:t>
      </w:r>
      <w:r>
        <w:rPr>
          <w:rFonts w:hint="eastAsia" w:ascii="方正仿宋_GBK" w:hAnsi="仿宋_GB2312" w:eastAsia="方正仿宋_GBK" w:cs="仿宋_GB2312"/>
          <w:sz w:val="24"/>
          <w:szCs w:val="24"/>
          <w:highlight w:val="none"/>
        </w:rPr>
        <w:t>：</w:t>
      </w:r>
      <w:r>
        <w:rPr>
          <w:rFonts w:hint="eastAsia" w:ascii="方正仿宋_GBK" w:hAnsi="仿宋_GB2312" w:eastAsia="方正仿宋_GBK" w:cs="仿宋_GB2312"/>
          <w:sz w:val="24"/>
          <w:szCs w:val="24"/>
          <w:highlight w:val="none"/>
          <w:lang w:val="en-US" w:eastAsia="zh-CN"/>
        </w:rPr>
        <w:t>0</w:t>
      </w:r>
      <w:r>
        <w:rPr>
          <w:rFonts w:hint="eastAsia" w:ascii="方正仿宋_GBK" w:hAnsi="仿宋_GB2312" w:eastAsia="方正仿宋_GBK" w:cs="仿宋_GB2312"/>
          <w:sz w:val="24"/>
          <w:szCs w:val="24"/>
          <w:highlight w:val="none"/>
        </w:rPr>
        <w:t>0北京时间。</w:t>
      </w:r>
    </w:p>
    <w:p>
      <w:pPr>
        <w:spacing w:line="360" w:lineRule="auto"/>
        <w:ind w:firstLine="480" w:firstLineChars="200"/>
        <w:rPr>
          <w:rFonts w:hint="eastAsia"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w:t>
      </w:r>
      <w:r>
        <w:rPr>
          <w:rFonts w:hint="eastAsia" w:ascii="方正仿宋_GBK" w:hAnsi="仿宋_GB2312" w:eastAsia="方正仿宋_GBK" w:cs="仿宋_GB2312"/>
          <w:sz w:val="24"/>
          <w:szCs w:val="24"/>
          <w:highlight w:val="none"/>
          <w:lang w:eastAsia="zh-CN"/>
        </w:rPr>
        <w:t>六</w:t>
      </w:r>
      <w:r>
        <w:rPr>
          <w:rFonts w:hint="eastAsia" w:ascii="方正仿宋_GBK" w:hAnsi="仿宋_GB2312" w:eastAsia="方正仿宋_GBK" w:cs="仿宋_GB2312"/>
          <w:sz w:val="24"/>
          <w:szCs w:val="24"/>
          <w:highlight w:val="none"/>
        </w:rPr>
        <w:t>）开标地点：同询价地点</w:t>
      </w:r>
      <w:bookmarkStart w:id="20" w:name="_GoBack"/>
      <w:bookmarkEnd w:id="20"/>
    </w:p>
    <w:p>
      <w:pPr>
        <w:pStyle w:val="5"/>
        <w:spacing w:before="0" w:after="0" w:line="312" w:lineRule="auto"/>
        <w:rPr>
          <w:rFonts w:ascii="方正仿宋_GBK" w:hAnsi="黑体" w:eastAsia="方正仿宋_GBK" w:cs="黑体"/>
          <w:sz w:val="28"/>
          <w:szCs w:val="28"/>
          <w:highlight w:val="none"/>
        </w:rPr>
      </w:pPr>
      <w:r>
        <w:rPr>
          <w:rFonts w:hint="eastAsia" w:ascii="方正仿宋_GBK" w:hAnsi="黑体" w:eastAsia="方正仿宋_GBK" w:cs="黑体"/>
          <w:sz w:val="28"/>
          <w:szCs w:val="28"/>
          <w:highlight w:val="none"/>
        </w:rPr>
        <w:t>九、成交规则</w:t>
      </w:r>
    </w:p>
    <w:p>
      <w:pPr>
        <w:spacing w:line="360" w:lineRule="auto"/>
        <w:ind w:firstLine="480" w:firstLineChars="200"/>
        <w:rPr>
          <w:rFonts w:ascii="方正仿宋_GBK" w:hAnsi="仿宋_GB2312" w:eastAsia="方正仿宋_GBK" w:cs="仿宋_GB2312"/>
          <w:b/>
          <w:bCs/>
          <w:i/>
          <w:iCs/>
          <w:color w:val="FF0000"/>
          <w:sz w:val="24"/>
          <w:szCs w:val="24"/>
          <w:highlight w:val="none"/>
          <w:u w:val="single"/>
        </w:rPr>
      </w:pPr>
      <w:r>
        <w:rPr>
          <w:rFonts w:hint="eastAsia" w:ascii="方正仿宋_GBK" w:hAnsi="仿宋_GB2312" w:eastAsia="方正仿宋_GBK" w:cs="仿宋_GB2312"/>
          <w:sz w:val="24"/>
          <w:szCs w:val="24"/>
          <w:highlight w:val="none"/>
        </w:rPr>
        <w:t>采购人在符合审查的供应商中，手动确认报价最低的成为成交供应商。</w:t>
      </w:r>
    </w:p>
    <w:p>
      <w:pPr>
        <w:pStyle w:val="5"/>
        <w:spacing w:before="0" w:after="0" w:line="312" w:lineRule="auto"/>
        <w:rPr>
          <w:rFonts w:ascii="方正仿宋_GBK" w:hAnsi="黑体" w:eastAsia="方正仿宋_GBK" w:cs="黑体"/>
          <w:sz w:val="28"/>
          <w:szCs w:val="28"/>
          <w:highlight w:val="none"/>
        </w:rPr>
      </w:pPr>
      <w:r>
        <w:rPr>
          <w:rFonts w:hint="eastAsia" w:ascii="方正仿宋_GBK" w:hAnsi="黑体" w:eastAsia="方正仿宋_GBK" w:cs="黑体"/>
          <w:sz w:val="28"/>
          <w:szCs w:val="28"/>
          <w:highlight w:val="none"/>
        </w:rPr>
        <w:t>十、付款方式</w:t>
      </w:r>
    </w:p>
    <w:p>
      <w:pPr>
        <w:spacing w:line="360" w:lineRule="auto"/>
        <w:ind w:firstLine="480" w:firstLineChars="200"/>
        <w:rPr>
          <w:rFonts w:ascii="方正仿宋_GBK" w:hAnsi="仿宋_GB2312" w:eastAsia="方正仿宋_GBK" w:cs="仿宋_GB2312"/>
          <w:sz w:val="24"/>
          <w:szCs w:val="24"/>
          <w:highlight w:val="none"/>
        </w:rPr>
      </w:pPr>
      <w:bookmarkStart w:id="5" w:name="_Toc20778"/>
      <w:bookmarkStart w:id="6" w:name="_Toc25886"/>
      <w:bookmarkStart w:id="7" w:name="_Toc11828"/>
      <w:bookmarkStart w:id="8" w:name="_Toc9654"/>
      <w:bookmarkStart w:id="9" w:name="_Toc3475"/>
      <w:bookmarkStart w:id="10" w:name="_Toc27955"/>
      <w:bookmarkStart w:id="11" w:name="_Toc5085"/>
      <w:bookmarkStart w:id="12" w:name="_Toc19730"/>
      <w:bookmarkStart w:id="13" w:name="_Toc25516"/>
      <w:bookmarkStart w:id="14" w:name="_Toc9027"/>
      <w:bookmarkStart w:id="15" w:name="_Toc31315"/>
      <w:bookmarkStart w:id="16" w:name="_Toc15478"/>
      <w:bookmarkStart w:id="17" w:name="_Toc14778"/>
      <w:bookmarkStart w:id="18" w:name="_Toc13969"/>
      <w:r>
        <w:rPr>
          <w:rFonts w:hint="eastAsia" w:ascii="方正仿宋_GBK" w:hAnsi="仿宋_GB2312" w:eastAsia="方正仿宋_GBK" w:cs="仿宋_GB2312"/>
          <w:sz w:val="24"/>
          <w:szCs w:val="24"/>
          <w:highlight w:val="none"/>
        </w:rPr>
        <w:t>中标人在规定时间内</w:t>
      </w:r>
      <w:r>
        <w:rPr>
          <w:rFonts w:hint="eastAsia" w:ascii="方正仿宋_GBK" w:hAnsi="仿宋_GB2312" w:eastAsia="方正仿宋_GBK" w:cs="仿宋_GB2312"/>
          <w:sz w:val="24"/>
          <w:szCs w:val="24"/>
          <w:highlight w:val="none"/>
          <w:lang w:val="en-US" w:eastAsia="zh-CN"/>
        </w:rPr>
        <w:t>完成项目交付</w:t>
      </w:r>
      <w:r>
        <w:rPr>
          <w:rFonts w:hint="eastAsia" w:ascii="方正仿宋_GBK" w:hAnsi="仿宋_GB2312" w:eastAsia="方正仿宋_GBK" w:cs="仿宋_GB2312"/>
          <w:sz w:val="24"/>
          <w:szCs w:val="24"/>
          <w:highlight w:val="none"/>
        </w:rPr>
        <w:t>，经采购人验收合格后，中标方开具发票，采购人向中标单位支付合同金额的100%。</w:t>
      </w:r>
    </w:p>
    <w:p>
      <w:pPr>
        <w:pStyle w:val="5"/>
        <w:spacing w:before="0" w:after="0" w:line="312" w:lineRule="auto"/>
        <w:rPr>
          <w:rFonts w:ascii="方正仿宋_GBK" w:hAnsi="黑体" w:eastAsia="方正仿宋_GBK" w:cs="黑体"/>
          <w:sz w:val="28"/>
          <w:szCs w:val="28"/>
          <w:highlight w:val="none"/>
        </w:rPr>
      </w:pPr>
      <w:r>
        <w:rPr>
          <w:rFonts w:hint="eastAsia" w:ascii="方正仿宋_GBK" w:hAnsi="黑体" w:eastAsia="方正仿宋_GBK" w:cs="黑体"/>
          <w:sz w:val="28"/>
          <w:szCs w:val="28"/>
          <w:highlight w:val="none"/>
        </w:rPr>
        <w:t>十一、联系方式</w:t>
      </w:r>
      <w:bookmarkEnd w:id="5"/>
      <w:bookmarkEnd w:id="6"/>
      <w:bookmarkEnd w:id="7"/>
      <w:bookmarkEnd w:id="8"/>
      <w:bookmarkEnd w:id="9"/>
      <w:bookmarkEnd w:id="10"/>
      <w:bookmarkEnd w:id="11"/>
    </w:p>
    <w:p>
      <w:pPr>
        <w:spacing w:line="360" w:lineRule="auto"/>
        <w:ind w:firstLine="480" w:firstLineChars="200"/>
        <w:rPr>
          <w:rFonts w:hint="eastAsia"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采购单位：</w:t>
      </w:r>
      <w:bookmarkStart w:id="19" w:name="OLE_LINK4"/>
      <w:r>
        <w:rPr>
          <w:rFonts w:hint="eastAsia" w:ascii="方正仿宋_GBK" w:hAnsi="仿宋_GB2312" w:eastAsia="方正仿宋_GBK" w:cs="仿宋_GB2312"/>
          <w:sz w:val="24"/>
          <w:szCs w:val="24"/>
          <w:highlight w:val="none"/>
        </w:rPr>
        <w:t>石柱土家族自治县南宾街道双庆小学校</w:t>
      </w:r>
      <w:bookmarkEnd w:id="19"/>
    </w:p>
    <w:p>
      <w:pPr>
        <w:spacing w:line="360" w:lineRule="auto"/>
        <w:ind w:firstLine="480" w:firstLineChars="200"/>
        <w:rPr>
          <w:rFonts w:hint="default" w:ascii="方正仿宋_GBK" w:hAnsi="仿宋_GB2312" w:eastAsia="方正仿宋_GBK" w:cs="仿宋_GB2312"/>
          <w:sz w:val="24"/>
          <w:szCs w:val="24"/>
          <w:highlight w:val="none"/>
          <w:lang w:val="en-US" w:eastAsia="zh-CN"/>
        </w:rPr>
      </w:pPr>
      <w:r>
        <w:rPr>
          <w:rFonts w:hint="eastAsia" w:ascii="方正仿宋_GBK" w:hAnsi="仿宋_GB2312" w:eastAsia="方正仿宋_GBK" w:cs="仿宋_GB2312"/>
          <w:sz w:val="24"/>
          <w:szCs w:val="24"/>
          <w:highlight w:val="none"/>
        </w:rPr>
        <w:t>联系人：</w:t>
      </w:r>
      <w:r>
        <w:rPr>
          <w:rFonts w:hint="eastAsia" w:ascii="方正仿宋_GBK" w:hAnsi="仿宋_GB2312" w:eastAsia="方正仿宋_GBK" w:cs="仿宋_GB2312"/>
          <w:sz w:val="24"/>
          <w:szCs w:val="24"/>
          <w:highlight w:val="none"/>
          <w:lang w:val="en-US" w:eastAsia="zh-CN"/>
        </w:rPr>
        <w:t>陈老师</w:t>
      </w:r>
    </w:p>
    <w:p>
      <w:pPr>
        <w:spacing w:line="360" w:lineRule="auto"/>
        <w:ind w:firstLine="480" w:firstLineChars="200"/>
        <w:rPr>
          <w:rFonts w:hint="default" w:ascii="方正仿宋_GBK" w:hAnsi="仿宋_GB2312" w:eastAsia="方正仿宋_GBK" w:cs="仿宋_GB2312"/>
          <w:sz w:val="24"/>
          <w:szCs w:val="24"/>
          <w:highlight w:val="none"/>
          <w:lang w:val="en-US" w:eastAsia="zh-CN"/>
        </w:rPr>
      </w:pPr>
      <w:r>
        <w:rPr>
          <w:rFonts w:hint="eastAsia" w:ascii="方正仿宋_GBK" w:hAnsi="仿宋_GB2312" w:eastAsia="方正仿宋_GBK" w:cs="仿宋_GB2312"/>
          <w:sz w:val="24"/>
          <w:szCs w:val="24"/>
          <w:highlight w:val="none"/>
        </w:rPr>
        <w:t>电话：</w:t>
      </w:r>
      <w:r>
        <w:rPr>
          <w:rFonts w:hint="eastAsia" w:ascii="方正仿宋_GBK" w:hAnsi="仿宋_GB2312" w:eastAsia="方正仿宋_GBK" w:cs="仿宋_GB2312"/>
          <w:sz w:val="24"/>
          <w:szCs w:val="24"/>
          <w:highlight w:val="none"/>
          <w:lang w:val="en-US" w:eastAsia="zh-CN"/>
        </w:rPr>
        <w:t>15320977999</w:t>
      </w:r>
    </w:p>
    <w:p>
      <w:pPr>
        <w:spacing w:line="360" w:lineRule="auto"/>
        <w:ind w:firstLine="480" w:firstLineChars="200"/>
        <w:rPr>
          <w:rFonts w:hint="eastAsia" w:ascii="方正仿宋_GBK" w:hAnsi="仿宋_GB2312" w:eastAsia="方正仿宋_GBK" w:cs="仿宋_GB2312"/>
          <w:sz w:val="24"/>
          <w:szCs w:val="24"/>
          <w:highlight w:val="yellow"/>
          <w:lang w:val="en-US" w:eastAsia="zh-CN"/>
        </w:rPr>
      </w:pPr>
      <w:r>
        <w:rPr>
          <w:rFonts w:hint="eastAsia" w:ascii="方正仿宋_GBK" w:hAnsi="仿宋_GB2312" w:eastAsia="方正仿宋_GBK" w:cs="仿宋_GB2312"/>
          <w:sz w:val="24"/>
          <w:szCs w:val="24"/>
          <w:highlight w:val="none"/>
        </w:rPr>
        <w:t>地址：石柱土家族自治县南宾街道双庆小学校</w:t>
      </w:r>
    </w:p>
    <w:p>
      <w:pPr>
        <w:pStyle w:val="5"/>
        <w:spacing w:before="0" w:after="0" w:line="312" w:lineRule="auto"/>
        <w:rPr>
          <w:rFonts w:ascii="方正仿宋_GBK" w:hAnsi="黑体" w:eastAsia="方正仿宋_GBK" w:cs="黑体"/>
          <w:sz w:val="28"/>
          <w:szCs w:val="28"/>
          <w:highlight w:val="none"/>
        </w:rPr>
      </w:pPr>
      <w:r>
        <w:rPr>
          <w:rFonts w:hint="eastAsia" w:ascii="方正仿宋_GBK" w:hAnsi="黑体" w:eastAsia="方正仿宋_GBK" w:cs="黑体"/>
          <w:sz w:val="28"/>
          <w:szCs w:val="28"/>
          <w:highlight w:val="none"/>
        </w:rPr>
        <w:t>十</w:t>
      </w:r>
      <w:r>
        <w:rPr>
          <w:rFonts w:hint="eastAsia" w:ascii="方正仿宋_GBK" w:hAnsi="黑体" w:eastAsia="方正仿宋_GBK" w:cs="黑体"/>
          <w:sz w:val="28"/>
          <w:szCs w:val="28"/>
          <w:highlight w:val="none"/>
          <w:lang w:eastAsia="zh-CN"/>
        </w:rPr>
        <w:t>二</w:t>
      </w:r>
      <w:r>
        <w:rPr>
          <w:rFonts w:hint="eastAsia" w:ascii="方正仿宋_GBK" w:hAnsi="黑体" w:eastAsia="方正仿宋_GBK" w:cs="黑体"/>
          <w:sz w:val="28"/>
          <w:szCs w:val="28"/>
          <w:highlight w:val="none"/>
        </w:rPr>
        <w:t>、</w:t>
      </w:r>
      <w:bookmarkEnd w:id="12"/>
      <w:bookmarkEnd w:id="13"/>
      <w:bookmarkEnd w:id="14"/>
      <w:bookmarkEnd w:id="15"/>
      <w:bookmarkEnd w:id="16"/>
      <w:bookmarkEnd w:id="17"/>
      <w:bookmarkEnd w:id="18"/>
      <w:r>
        <w:rPr>
          <w:rFonts w:hint="eastAsia" w:ascii="方正仿宋_GBK" w:hAnsi="黑体" w:eastAsia="方正仿宋_GBK" w:cs="黑体"/>
          <w:sz w:val="28"/>
          <w:szCs w:val="28"/>
          <w:highlight w:val="none"/>
        </w:rPr>
        <w:t>其它有关规定</w:t>
      </w:r>
    </w:p>
    <w:p>
      <w:pPr>
        <w:spacing w:line="360" w:lineRule="auto"/>
        <w:ind w:firstLine="480" w:firstLineChars="200"/>
        <w:rPr>
          <w:rFonts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（一）凡有意参加此项目的供应商，请于公告发布之日起至报价截止时间之前，在重庆市政府采购云平台网上竞采下载查看本项目竞采文件，无论供应商下载查看与否，均视为已知晓所有实质性要求内容。</w:t>
      </w:r>
    </w:p>
    <w:p>
      <w:pPr>
        <w:widowControl/>
        <w:wordWrap w:val="0"/>
        <w:autoSpaceDE w:val="0"/>
        <w:autoSpaceDN w:val="0"/>
        <w:spacing w:line="360" w:lineRule="auto"/>
        <w:ind w:firstLine="480" w:firstLineChars="200"/>
        <w:rPr>
          <w:rFonts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（二）</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供应商应于报价开始前完成政府采购网账号注册、政采云账号关联等操作</w:t>
      </w:r>
      <w:r>
        <w:rPr>
          <w:rFonts w:hint="eastAsia" w:ascii="方正仿宋_GBK" w:hAnsi="仿宋_GB2312" w:eastAsia="方正仿宋_GBK" w:cs="仿宋_GB2312"/>
          <w:sz w:val="24"/>
          <w:szCs w:val="24"/>
          <w:highlight w:val="none"/>
        </w:rPr>
        <w:t>，</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提前学习网上竞采操作手册并检查账号是否可用，</w:t>
      </w:r>
      <w:r>
        <w:rPr>
          <w:rFonts w:hint="eastAsia" w:ascii="方正仿宋_GBK" w:hAnsi="仿宋_GB2312" w:eastAsia="方正仿宋_GBK" w:cs="仿宋_GB2312"/>
          <w:sz w:val="24"/>
          <w:szCs w:val="24"/>
          <w:highlight w:val="none"/>
        </w:rPr>
        <w:t>遇到操作问题请及时咨询手册中的客服电话，如因账号注册关联、操作不熟练等原因导致供应商未成功报价，责任由供应商自行承担。</w:t>
      </w:r>
    </w:p>
    <w:p>
      <w:pPr>
        <w:widowControl/>
        <w:wordWrap w:val="0"/>
        <w:autoSpaceDE w:val="0"/>
        <w:autoSpaceDN w:val="0"/>
        <w:spacing w:line="360" w:lineRule="auto"/>
        <w:ind w:firstLine="480" w:firstLineChars="200"/>
        <w:rPr>
          <w:rFonts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《网上竞采自行采购操作手册（供应商）》、《单点登录账号绑定操作手册》详见</w:t>
      </w:r>
      <w:r>
        <w:rPr>
          <w:highlight w:val="none"/>
        </w:rPr>
        <w:fldChar w:fldCharType="begin"/>
      </w:r>
      <w:r>
        <w:rPr>
          <w:highlight w:val="none"/>
        </w:rPr>
        <w:instrText xml:space="preserve"> HYPERLINK "https://xj.ccgp-chongqing.gov.cn/ge/content/yptczzn/list" </w:instrText>
      </w:r>
      <w:r>
        <w:rPr>
          <w:highlight w:val="none"/>
        </w:rPr>
        <w:fldChar w:fldCharType="separate"/>
      </w:r>
      <w:r>
        <w:rPr>
          <w:rStyle w:val="18"/>
          <w:rFonts w:hint="eastAsia" w:ascii="方正仿宋_GBK" w:hAnsi="仿宋_GB2312" w:eastAsia="方正仿宋_GBK" w:cs="仿宋_GB2312"/>
          <w:sz w:val="24"/>
          <w:szCs w:val="24"/>
          <w:highlight w:val="none"/>
        </w:rPr>
        <w:t>https://xj.ccgp-chongqing.gov.cn/ge/content/yptczzn/list</w:t>
      </w:r>
      <w:r>
        <w:rPr>
          <w:rStyle w:val="18"/>
          <w:rFonts w:hint="eastAsia" w:ascii="方正仿宋_GBK" w:hAnsi="仿宋_GB2312" w:eastAsia="方正仿宋_GBK" w:cs="仿宋_GB2312"/>
          <w:sz w:val="24"/>
          <w:szCs w:val="24"/>
          <w:highlight w:val="none"/>
        </w:rPr>
        <w:fldChar w:fldCharType="end"/>
      </w:r>
      <w:r>
        <w:rPr>
          <w:rFonts w:hint="eastAsia" w:ascii="方正仿宋_GBK" w:hAnsi="仿宋_GB2312" w:eastAsia="方正仿宋_GBK" w:cs="仿宋_GB2312"/>
          <w:sz w:val="24"/>
          <w:szCs w:val="24"/>
          <w:highlight w:val="none"/>
        </w:rPr>
        <w:t>。</w:t>
      </w:r>
    </w:p>
    <w:p>
      <w:pPr>
        <w:spacing w:line="360" w:lineRule="auto"/>
        <w:ind w:firstLine="480" w:firstLineChars="200"/>
        <w:rPr>
          <w:rFonts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（三）无论竞采结果如何，供应商参与本项目的所有费用均自行承担。</w:t>
      </w:r>
    </w:p>
    <w:p>
      <w:pPr>
        <w:spacing w:line="360" w:lineRule="auto"/>
        <w:ind w:firstLine="480" w:firstLineChars="200"/>
        <w:rPr>
          <w:rFonts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rPr>
        <w:t>（四）其他未尽事宜由双方在采购合同中</w:t>
      </w:r>
      <w:r>
        <w:rPr>
          <w:rFonts w:hint="eastAsia" w:ascii="方正仿宋_GBK" w:hAnsi="仿宋_GB2312" w:eastAsia="方正仿宋_GBK" w:cs="仿宋_GB2312"/>
          <w:sz w:val="24"/>
          <w:szCs w:val="24"/>
          <w:highlight w:val="none"/>
          <w:lang w:val="en-US" w:eastAsia="zh-CN"/>
        </w:rPr>
        <w:t>另行</w:t>
      </w:r>
      <w:r>
        <w:rPr>
          <w:rFonts w:hint="eastAsia" w:ascii="方正仿宋_GBK" w:hAnsi="仿宋_GB2312" w:eastAsia="方正仿宋_GBK" w:cs="仿宋_GB2312"/>
          <w:sz w:val="24"/>
          <w:szCs w:val="24"/>
          <w:highlight w:val="none"/>
        </w:rPr>
        <w:t>约定。</w:t>
      </w:r>
    </w:p>
    <w:p>
      <w:pPr>
        <w:jc w:val="left"/>
        <w:rPr>
          <w:rFonts w:ascii="方正仿宋_GBK" w:hAnsi="方正仿宋_GB2312" w:eastAsia="方正仿宋_GBK" w:cs="方正仿宋_GB2312"/>
          <w:sz w:val="24"/>
          <w:szCs w:val="24"/>
          <w:highlight w:val="none"/>
        </w:rPr>
      </w:pPr>
      <w:r>
        <w:rPr>
          <w:rFonts w:hint="eastAsia" w:ascii="方正仿宋_GBK" w:hAnsi="方正仿宋_GB2312" w:eastAsia="方正仿宋_GBK" w:cs="方正仿宋_GB2312"/>
          <w:sz w:val="24"/>
          <w:szCs w:val="24"/>
          <w:highlight w:val="none"/>
        </w:rPr>
        <w:br w:type="page"/>
      </w:r>
    </w:p>
    <w:p>
      <w:pPr>
        <w:spacing w:line="312" w:lineRule="auto"/>
        <w:jc w:val="center"/>
        <w:outlineLvl w:val="0"/>
        <w:rPr>
          <w:rFonts w:ascii="方正仿宋_GBK" w:hAnsi="方正仿宋_GB2312" w:eastAsia="方正仿宋_GBK" w:cs="方正仿宋_GB2312"/>
          <w:b/>
          <w:szCs w:val="28"/>
          <w:highlight w:val="none"/>
        </w:rPr>
      </w:pPr>
      <w:r>
        <w:rPr>
          <w:rFonts w:hint="eastAsia" w:ascii="方正仿宋_GBK" w:hAnsi="方正仿宋_GB2312" w:eastAsia="方正仿宋_GBK" w:cs="方正仿宋_GB2312"/>
          <w:b/>
          <w:szCs w:val="28"/>
          <w:highlight w:val="none"/>
        </w:rPr>
        <w:t>供应商编制响应文件要求</w:t>
      </w: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一、经济部分</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（一）报价函</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（二）明细报价表</w:t>
      </w: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二、技术部分</w:t>
      </w:r>
    </w:p>
    <w:p>
      <w:pPr>
        <w:spacing w:line="360" w:lineRule="auto"/>
        <w:ind w:firstLine="480" w:firstLineChars="200"/>
        <w:rPr>
          <w:rFonts w:ascii="仿宋" w:hAnsi="仿宋" w:eastAsia="仿宋"/>
          <w:sz w:val="24"/>
          <w:szCs w:val="24"/>
          <w:highlight w:val="none"/>
        </w:rPr>
      </w:pPr>
      <w:r>
        <w:rPr>
          <w:rFonts w:hint="eastAsia" w:ascii="仿宋" w:hAnsi="仿宋" w:eastAsia="仿宋" w:cs="宋体"/>
          <w:sz w:val="24"/>
          <w:szCs w:val="24"/>
          <w:highlight w:val="none"/>
        </w:rPr>
        <w:t>（一）技术应答</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（二）技术响应偏离表</w:t>
      </w: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三、商务部分</w:t>
      </w:r>
    </w:p>
    <w:p>
      <w:pPr>
        <w:spacing w:line="360" w:lineRule="auto"/>
        <w:ind w:firstLine="480" w:firstLineChars="200"/>
        <w:rPr>
          <w:rFonts w:ascii="仿宋" w:hAnsi="仿宋" w:eastAsia="仿宋"/>
          <w:sz w:val="24"/>
          <w:szCs w:val="24"/>
          <w:highlight w:val="none"/>
        </w:rPr>
      </w:pPr>
      <w:r>
        <w:rPr>
          <w:rFonts w:hint="eastAsia" w:ascii="仿宋" w:hAnsi="仿宋" w:eastAsia="仿宋" w:cs="宋体"/>
          <w:sz w:val="24"/>
          <w:szCs w:val="24"/>
          <w:highlight w:val="none"/>
        </w:rPr>
        <w:t>（一）服务要求响应情况：交货时间、交货地点、质量保证期、售后服务条款等。</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（一）商务响应偏离表</w:t>
      </w: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四、资格条件及其他</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（二）法定代表人身份证明书（格式）/法定代表人授权委托书（格式）</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（三）基本资格条件承诺函（格式）</w:t>
      </w:r>
    </w:p>
    <w:p>
      <w:pPr>
        <w:snapToGrid w:val="0"/>
        <w:spacing w:line="360" w:lineRule="auto"/>
        <w:ind w:firstLine="480" w:firstLineChars="200"/>
        <w:rPr>
          <w:rFonts w:hint="eastAsia" w:ascii="仿宋" w:hAnsi="仿宋" w:eastAsia="仿宋" w:cs="宋体"/>
          <w:sz w:val="24"/>
          <w:szCs w:val="24"/>
          <w:highlight w:val="none"/>
          <w:lang w:eastAsia="zh-CN"/>
        </w:rPr>
      </w:pPr>
      <w:r>
        <w:rPr>
          <w:rFonts w:hint="eastAsia" w:ascii="仿宋" w:hAnsi="仿宋" w:eastAsia="仿宋"/>
          <w:sz w:val="24"/>
          <w:szCs w:val="24"/>
          <w:highlight w:val="none"/>
        </w:rPr>
        <w:t>（四）特定资格条件证书或证明文件</w:t>
      </w:r>
      <w:r>
        <w:rPr>
          <w:rFonts w:hint="eastAsia" w:ascii="仿宋" w:hAnsi="仿宋" w:eastAsia="仿宋"/>
          <w:sz w:val="24"/>
          <w:szCs w:val="24"/>
          <w:highlight w:val="none"/>
          <w:lang w:eastAsia="zh-CN"/>
        </w:rPr>
        <w:t>（如有）</w:t>
      </w: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五、其他应提供的资料</w:t>
      </w:r>
    </w:p>
    <w:p>
      <w:pPr>
        <w:spacing w:line="360" w:lineRule="auto"/>
        <w:ind w:firstLine="480" w:firstLineChars="200"/>
        <w:rPr>
          <w:rFonts w:hint="eastAsia" w:ascii="仿宋" w:hAnsi="仿宋" w:eastAsia="仿宋"/>
          <w:sz w:val="24"/>
          <w:szCs w:val="24"/>
          <w:highlight w:val="none"/>
          <w:lang w:eastAsia="zh-CN"/>
        </w:rPr>
      </w:pPr>
      <w:r>
        <w:rPr>
          <w:rFonts w:hint="eastAsia" w:ascii="仿宋" w:hAnsi="仿宋" w:eastAsia="仿宋"/>
          <w:sz w:val="24"/>
          <w:szCs w:val="24"/>
          <w:highlight w:val="none"/>
        </w:rPr>
        <w:t>（一）中小企业声明函、监狱企业证明文件、残疾人福利性单位声明函</w:t>
      </w:r>
      <w:r>
        <w:rPr>
          <w:rFonts w:hint="eastAsia" w:ascii="仿宋" w:hAnsi="仿宋" w:eastAsia="仿宋"/>
          <w:sz w:val="24"/>
          <w:szCs w:val="24"/>
          <w:highlight w:val="none"/>
          <w:lang w:eastAsia="zh-CN"/>
        </w:rPr>
        <w:t>（如有）</w:t>
      </w:r>
    </w:p>
    <w:p>
      <w:pPr>
        <w:spacing w:line="360" w:lineRule="auto"/>
        <w:ind w:firstLine="480" w:firstLineChars="200"/>
        <w:rPr>
          <w:rFonts w:ascii="仿宋" w:hAnsi="仿宋" w:eastAsia="仿宋"/>
          <w:sz w:val="24"/>
          <w:szCs w:val="24"/>
          <w:highlight w:val="none"/>
          <w:bdr w:val="single" w:color="auto" w:sz="4" w:space="0"/>
        </w:rPr>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sz w:val="24"/>
          <w:szCs w:val="24"/>
          <w:highlight w:val="none"/>
        </w:rPr>
        <w:t>（二）其他与项目有关的资料（自附）</w:t>
      </w:r>
    </w:p>
    <w:p>
      <w:pPr>
        <w:numPr>
          <w:ilvl w:val="0"/>
          <w:numId w:val="2"/>
        </w:numPr>
        <w:spacing w:line="312" w:lineRule="auto"/>
        <w:outlineLvl w:val="0"/>
        <w:rPr>
          <w:rFonts w:ascii="仿宋" w:hAnsi="仿宋" w:eastAsia="仿宋" w:cs="仿宋"/>
          <w:b/>
          <w:sz w:val="28"/>
          <w:szCs w:val="28"/>
          <w:highlight w:val="none"/>
        </w:rPr>
      </w:pPr>
      <w:r>
        <w:rPr>
          <w:rFonts w:hint="eastAsia" w:ascii="仿宋" w:hAnsi="仿宋" w:eastAsia="仿宋" w:cs="仿宋"/>
          <w:b/>
          <w:sz w:val="28"/>
          <w:szCs w:val="28"/>
          <w:highlight w:val="none"/>
        </w:rPr>
        <w:t>经济部分</w:t>
      </w:r>
    </w:p>
    <w:p>
      <w:pPr>
        <w:tabs>
          <w:tab w:val="left" w:pos="6300"/>
        </w:tabs>
        <w:snapToGrid w:val="0"/>
        <w:spacing w:line="312" w:lineRule="auto"/>
        <w:ind w:firstLine="560" w:firstLineChars="200"/>
        <w:outlineLvl w:val="1"/>
        <w:rPr>
          <w:rFonts w:ascii="仿宋" w:hAnsi="仿宋" w:eastAsia="仿宋" w:cs="仿宋"/>
          <w:bCs/>
          <w:sz w:val="28"/>
          <w:szCs w:val="28"/>
          <w:highlight w:val="none"/>
        </w:rPr>
      </w:pPr>
      <w:r>
        <w:rPr>
          <w:rFonts w:hint="eastAsia" w:ascii="仿宋" w:hAnsi="仿宋" w:eastAsia="仿宋" w:cs="仿宋"/>
          <w:bCs/>
          <w:sz w:val="28"/>
          <w:szCs w:val="28"/>
          <w:highlight w:val="none"/>
        </w:rPr>
        <w:t>（一）报价函</w:t>
      </w:r>
    </w:p>
    <w:p>
      <w:pPr>
        <w:tabs>
          <w:tab w:val="left" w:pos="6300"/>
        </w:tabs>
        <w:snapToGrid w:val="0"/>
        <w:spacing w:line="360" w:lineRule="auto"/>
        <w:jc w:val="center"/>
        <w:outlineLvl w:val="9"/>
        <w:rPr>
          <w:rFonts w:ascii="仿宋" w:hAnsi="仿宋" w:eastAsia="仿宋" w:cs="仿宋"/>
          <w:b/>
          <w:sz w:val="28"/>
          <w:szCs w:val="28"/>
          <w:highlight w:val="none"/>
        </w:rPr>
      </w:pPr>
      <w:r>
        <w:rPr>
          <w:rFonts w:hint="eastAsia" w:ascii="仿宋" w:hAnsi="仿宋" w:eastAsia="仿宋" w:cs="仿宋"/>
          <w:b/>
          <w:sz w:val="28"/>
          <w:szCs w:val="28"/>
          <w:highlight w:val="none"/>
        </w:rPr>
        <w:t>报价函</w:t>
      </w:r>
    </w:p>
    <w:p>
      <w:pPr>
        <w:pStyle w:val="2"/>
        <w:rPr>
          <w:highlight w:val="none"/>
        </w:rPr>
      </w:pPr>
    </w:p>
    <w:p>
      <w:pPr>
        <w:spacing w:line="360" w:lineRule="auto"/>
        <w:rPr>
          <w:rStyle w:val="18"/>
          <w:rFonts w:ascii="方正仿宋_GBK" w:hAnsi="仿宋_GB2312" w:eastAsia="方正仿宋_GBK" w:cs="仿宋_GB2312"/>
          <w:sz w:val="24"/>
          <w:szCs w:val="24"/>
          <w:highlight w:val="none"/>
        </w:rPr>
      </w:pPr>
      <w:r>
        <w:rPr>
          <w:rFonts w:hint="eastAsia" w:ascii="方正仿宋_GBK" w:hAnsi="仿宋_GB2312" w:eastAsia="方正仿宋_GBK" w:cs="仿宋_GB2312"/>
          <w:sz w:val="24"/>
          <w:szCs w:val="24"/>
          <w:highlight w:val="none"/>
          <w:u w:val="single"/>
        </w:rPr>
        <w:t xml:space="preserve">                     </w:t>
      </w:r>
      <w:r>
        <w:rPr>
          <w:rStyle w:val="18"/>
          <w:rFonts w:hint="eastAsia" w:ascii="方正仿宋_GBK" w:hAnsi="仿宋_GB2312" w:eastAsia="方正仿宋_GBK" w:cs="仿宋_GB2312"/>
          <w:sz w:val="24"/>
          <w:szCs w:val="24"/>
          <w:highlight w:val="none"/>
        </w:rPr>
        <w:t>（采购单位名称）：</w:t>
      </w:r>
    </w:p>
    <w:p>
      <w:pPr>
        <w:pageBreakBefore w:val="0"/>
        <w:kinsoku/>
        <w:wordWrap/>
        <w:overflowPunct/>
        <w:topLinePunct w:val="0"/>
        <w:autoSpaceDN/>
        <w:bidi w:val="0"/>
        <w:adjustRightInd w:val="0"/>
        <w:snapToGrid w:val="0"/>
        <w:spacing w:line="288" w:lineRule="auto"/>
        <w:ind w:firstLine="480" w:firstLineChars="200"/>
        <w:rPr>
          <w:rStyle w:val="18"/>
          <w:rFonts w:ascii="方正仿宋_GBK" w:hAnsi="仿宋_GB2312" w:eastAsia="方正仿宋_GBK" w:cs="仿宋_GB2312"/>
          <w:sz w:val="24"/>
          <w:szCs w:val="24"/>
          <w:highlight w:val="none"/>
        </w:rPr>
      </w:pPr>
      <w:r>
        <w:rPr>
          <w:rStyle w:val="18"/>
          <w:rFonts w:hint="eastAsia" w:ascii="方正仿宋_GBK" w:hAnsi="仿宋_GB2312" w:eastAsia="方正仿宋_GBK" w:cs="仿宋_GB2312"/>
          <w:sz w:val="24"/>
          <w:szCs w:val="24"/>
          <w:highlight w:val="none"/>
        </w:rPr>
        <w:t>我方收到</w:t>
      </w:r>
      <w:r>
        <w:rPr>
          <w:rStyle w:val="18"/>
          <w:rFonts w:hint="eastAsia" w:ascii="方正仿宋_GBK" w:hAnsi="仿宋_GB2312" w:eastAsia="方正仿宋_GBK" w:cs="仿宋_GB2312"/>
          <w:sz w:val="24"/>
          <w:szCs w:val="24"/>
          <w:highlight w:val="none"/>
          <w:u w:val="single"/>
        </w:rPr>
        <w:t xml:space="preserve">                         </w:t>
      </w:r>
      <w:r>
        <w:rPr>
          <w:rStyle w:val="18"/>
          <w:rFonts w:hint="eastAsia" w:ascii="方正仿宋_GBK" w:hAnsi="仿宋_GB2312" w:eastAsia="方正仿宋_GBK" w:cs="仿宋_GB2312"/>
          <w:sz w:val="24"/>
          <w:szCs w:val="24"/>
          <w:highlight w:val="none"/>
        </w:rPr>
        <w:t>（项目名称）</w:t>
      </w:r>
      <w:r>
        <w:rPr>
          <w:rStyle w:val="18"/>
          <w:rFonts w:hint="eastAsia" w:ascii="方正仿宋_GBK" w:hAnsi="仿宋_GB2312" w:eastAsia="方正仿宋_GBK" w:cs="仿宋_GB2312"/>
          <w:sz w:val="24"/>
          <w:szCs w:val="24"/>
          <w:highlight w:val="none"/>
          <w:u w:val="single"/>
          <w:lang w:val="en-US" w:eastAsia="zh-CN"/>
        </w:rPr>
        <w:t xml:space="preserve">                （</w:t>
      </w:r>
      <w:r>
        <w:rPr>
          <w:rFonts w:hint="eastAsia" w:ascii="仿宋" w:hAnsi="仿宋" w:eastAsia="仿宋" w:cs="仿宋"/>
          <w:color w:val="000000"/>
          <w:sz w:val="24"/>
          <w:szCs w:val="24"/>
        </w:rPr>
        <w:t>采购编</w:t>
      </w:r>
      <w:r>
        <w:rPr>
          <w:rFonts w:hint="eastAsia" w:ascii="仿宋" w:hAnsi="仿宋" w:eastAsia="仿宋" w:cs="仿宋"/>
          <w:color w:val="000000"/>
          <w:sz w:val="24"/>
          <w:szCs w:val="24"/>
          <w:lang w:eastAsia="zh-CN"/>
        </w:rPr>
        <w:t>号）</w:t>
      </w:r>
      <w:r>
        <w:rPr>
          <w:rStyle w:val="18"/>
          <w:rFonts w:hint="eastAsia" w:ascii="方正仿宋_GBK" w:hAnsi="仿宋_GB2312" w:eastAsia="方正仿宋_GBK" w:cs="仿宋_GB2312"/>
          <w:sz w:val="24"/>
          <w:szCs w:val="24"/>
          <w:highlight w:val="none"/>
        </w:rPr>
        <w:t>的竞采文件，经详细研究，决定参加该项目。</w:t>
      </w:r>
    </w:p>
    <w:p>
      <w:pPr>
        <w:spacing w:line="360" w:lineRule="auto"/>
        <w:ind w:firstLine="480" w:firstLineChars="200"/>
        <w:rPr>
          <w:rStyle w:val="18"/>
          <w:rFonts w:ascii="方正仿宋_GBK" w:hAnsi="仿宋_GB2312" w:eastAsia="方正仿宋_GBK" w:cs="仿宋_GB2312"/>
          <w:sz w:val="24"/>
          <w:szCs w:val="24"/>
          <w:highlight w:val="none"/>
        </w:rPr>
      </w:pPr>
      <w:r>
        <w:rPr>
          <w:rStyle w:val="18"/>
          <w:rFonts w:hint="eastAsia" w:ascii="方正仿宋_GBK" w:hAnsi="仿宋_GB2312" w:eastAsia="方正仿宋_GBK" w:cs="仿宋_GB2312"/>
          <w:sz w:val="24"/>
          <w:szCs w:val="24"/>
          <w:highlight w:val="none"/>
        </w:rPr>
        <w:t>1</w:t>
      </w:r>
      <w:r>
        <w:rPr>
          <w:rStyle w:val="18"/>
          <w:rFonts w:hint="eastAsia" w:ascii="方正仿宋_GBK" w:hAnsi="仿宋_GB2312" w:eastAsia="方正仿宋_GBK" w:cs="仿宋_GB2312"/>
          <w:sz w:val="24"/>
          <w:szCs w:val="24"/>
          <w:highlight w:val="none"/>
          <w:lang w:eastAsia="zh-Hans"/>
        </w:rPr>
        <w:t>.</w:t>
      </w:r>
      <w:r>
        <w:rPr>
          <w:rStyle w:val="18"/>
          <w:rFonts w:hint="eastAsia" w:ascii="方正仿宋_GBK" w:hAnsi="仿宋_GB2312" w:eastAsia="方正仿宋_GBK" w:cs="仿宋_GB2312"/>
          <w:sz w:val="24"/>
          <w:szCs w:val="24"/>
          <w:highlight w:val="none"/>
        </w:rPr>
        <w:t>愿意按照竞采文件中的一切要求，提供本项目的商品、及服务，报价为人民币大写：</w:t>
      </w:r>
      <w:r>
        <w:rPr>
          <w:rStyle w:val="18"/>
          <w:rFonts w:hint="eastAsia" w:ascii="方正仿宋_GBK" w:hAnsi="仿宋_GB2312" w:eastAsia="方正仿宋_GBK" w:cs="仿宋_GB2312"/>
          <w:sz w:val="24"/>
          <w:szCs w:val="24"/>
          <w:highlight w:val="none"/>
          <w:u w:val="single"/>
        </w:rPr>
        <w:t xml:space="preserve">          </w:t>
      </w:r>
      <w:r>
        <w:rPr>
          <w:rStyle w:val="18"/>
          <w:rFonts w:hint="eastAsia" w:ascii="方正仿宋_GBK" w:hAnsi="仿宋_GB2312" w:eastAsia="方正仿宋_GBK" w:cs="仿宋_GB2312"/>
          <w:sz w:val="24"/>
          <w:szCs w:val="24"/>
          <w:highlight w:val="none"/>
        </w:rPr>
        <w:t>元整；人民币小写</w:t>
      </w:r>
      <w:r>
        <w:rPr>
          <w:rStyle w:val="18"/>
          <w:rFonts w:hint="eastAsia" w:ascii="方正仿宋_GBK" w:hAnsi="仿宋_GB2312" w:eastAsia="方正仿宋_GBK" w:cs="仿宋_GB2312"/>
          <w:sz w:val="24"/>
          <w:szCs w:val="24"/>
          <w:highlight w:val="none"/>
          <w:u w:val="single"/>
        </w:rPr>
        <w:t xml:space="preserve">          </w:t>
      </w:r>
      <w:r>
        <w:rPr>
          <w:rStyle w:val="18"/>
          <w:rFonts w:hint="eastAsia" w:ascii="方正仿宋_GBK" w:hAnsi="仿宋_GB2312" w:eastAsia="方正仿宋_GBK" w:cs="仿宋_GB2312"/>
          <w:sz w:val="24"/>
          <w:szCs w:val="24"/>
          <w:highlight w:val="none"/>
        </w:rPr>
        <w:t>元。</w:t>
      </w:r>
    </w:p>
    <w:p>
      <w:pPr>
        <w:spacing w:line="360" w:lineRule="auto"/>
        <w:ind w:firstLine="480" w:firstLineChars="200"/>
        <w:rPr>
          <w:rStyle w:val="18"/>
          <w:rFonts w:ascii="方正仿宋_GBK" w:hAnsi="仿宋_GB2312" w:eastAsia="方正仿宋_GBK" w:cs="仿宋_GB2312"/>
          <w:sz w:val="24"/>
          <w:szCs w:val="24"/>
          <w:highlight w:val="none"/>
        </w:rPr>
      </w:pPr>
      <w:r>
        <w:rPr>
          <w:rStyle w:val="18"/>
          <w:rFonts w:hint="eastAsia" w:ascii="方正仿宋_GBK" w:hAnsi="仿宋_GB2312" w:eastAsia="方正仿宋_GBK" w:cs="仿宋_GB2312"/>
          <w:sz w:val="24"/>
          <w:szCs w:val="24"/>
          <w:highlight w:val="none"/>
        </w:rPr>
        <w:t>2.我方现提交的响应文件为：</w:t>
      </w:r>
      <w:r>
        <w:rPr>
          <w:rStyle w:val="18"/>
          <w:rFonts w:hint="eastAsia" w:ascii="方正仿宋_GBK" w:hAnsi="仿宋_GB2312" w:eastAsia="方正仿宋_GBK" w:cs="仿宋_GB2312"/>
          <w:color w:val="auto"/>
          <w:sz w:val="24"/>
          <w:szCs w:val="24"/>
          <w:highlight w:val="none"/>
        </w:rPr>
        <w:t>响应文件正本壹份</w:t>
      </w:r>
      <w:r>
        <w:rPr>
          <w:rStyle w:val="18"/>
          <w:rFonts w:hint="eastAsia" w:ascii="方正仿宋_GBK" w:hAnsi="仿宋_GB2312" w:eastAsia="方正仿宋_GBK" w:cs="仿宋_GB2312"/>
          <w:sz w:val="24"/>
          <w:szCs w:val="24"/>
          <w:highlight w:val="none"/>
        </w:rPr>
        <w:t>。</w:t>
      </w:r>
    </w:p>
    <w:p>
      <w:pPr>
        <w:spacing w:line="360" w:lineRule="auto"/>
        <w:ind w:firstLine="480" w:firstLineChars="200"/>
        <w:rPr>
          <w:rStyle w:val="18"/>
          <w:rFonts w:ascii="方正仿宋_GBK" w:hAnsi="仿宋_GB2312" w:eastAsia="方正仿宋_GBK" w:cs="仿宋_GB2312"/>
          <w:sz w:val="24"/>
          <w:szCs w:val="24"/>
          <w:highlight w:val="none"/>
        </w:rPr>
      </w:pPr>
      <w:r>
        <w:rPr>
          <w:rStyle w:val="18"/>
          <w:rFonts w:hint="eastAsia" w:ascii="方正仿宋_GBK" w:hAnsi="仿宋_GB2312" w:eastAsia="方正仿宋_GBK" w:cs="仿宋_GB2312"/>
          <w:sz w:val="24"/>
          <w:szCs w:val="24"/>
          <w:highlight w:val="none"/>
        </w:rPr>
        <w:t>3.我方承诺：本次报价的有效期为</w:t>
      </w:r>
      <w:r>
        <w:rPr>
          <w:rStyle w:val="18"/>
          <w:rFonts w:hint="eastAsia" w:ascii="方正仿宋_GBK" w:hAnsi="仿宋_GB2312" w:eastAsia="方正仿宋_GBK" w:cs="仿宋_GB2312"/>
          <w:color w:val="auto"/>
          <w:sz w:val="24"/>
          <w:szCs w:val="24"/>
          <w:highlight w:val="none"/>
        </w:rPr>
        <w:t>90</w:t>
      </w:r>
      <w:r>
        <w:rPr>
          <w:rStyle w:val="18"/>
          <w:rFonts w:hint="eastAsia" w:ascii="方正仿宋_GBK" w:hAnsi="仿宋_GB2312" w:eastAsia="方正仿宋_GBK" w:cs="仿宋_GB2312"/>
          <w:sz w:val="24"/>
          <w:szCs w:val="24"/>
          <w:highlight w:val="none"/>
        </w:rPr>
        <w:t>天。</w:t>
      </w:r>
    </w:p>
    <w:p>
      <w:pPr>
        <w:spacing w:line="360" w:lineRule="auto"/>
        <w:ind w:firstLine="480" w:firstLineChars="200"/>
        <w:rPr>
          <w:rStyle w:val="18"/>
          <w:rFonts w:ascii="方正仿宋_GBK" w:hAnsi="仿宋_GB2312" w:eastAsia="方正仿宋_GBK" w:cs="仿宋_GB2312"/>
          <w:sz w:val="24"/>
          <w:szCs w:val="24"/>
          <w:highlight w:val="none"/>
        </w:rPr>
      </w:pPr>
      <w:r>
        <w:rPr>
          <w:rStyle w:val="18"/>
          <w:rFonts w:hint="eastAsia" w:ascii="方正仿宋_GBK" w:hAnsi="仿宋_GB2312" w:eastAsia="方正仿宋_GBK" w:cs="仿宋_GB2312"/>
          <w:sz w:val="24"/>
          <w:szCs w:val="24"/>
          <w:highlight w:val="none"/>
        </w:rPr>
        <w:t>4.我方完全理解和接受竞采文件的一切规定、要求和评审办法。</w:t>
      </w:r>
    </w:p>
    <w:p>
      <w:pPr>
        <w:spacing w:line="360" w:lineRule="auto"/>
        <w:ind w:firstLine="480" w:firstLineChars="200"/>
        <w:rPr>
          <w:rStyle w:val="18"/>
          <w:rFonts w:ascii="方正仿宋_GBK" w:hAnsi="仿宋_GB2312" w:eastAsia="方正仿宋_GBK" w:cs="仿宋_GB2312"/>
          <w:sz w:val="24"/>
          <w:szCs w:val="24"/>
          <w:highlight w:val="none"/>
        </w:rPr>
      </w:pPr>
      <w:r>
        <w:rPr>
          <w:rStyle w:val="18"/>
          <w:rFonts w:hint="eastAsia" w:ascii="方正仿宋_GBK" w:hAnsi="仿宋_GB2312" w:eastAsia="方正仿宋_GBK" w:cs="仿宋_GB2312"/>
          <w:sz w:val="24"/>
          <w:szCs w:val="24"/>
          <w:highlight w:val="none"/>
        </w:rPr>
        <w:t>5.在整个采购过程中，我方若有违规行为，愿意接受重庆市政府采购云平台相关管理方的</w:t>
      </w:r>
      <w:r>
        <w:rPr>
          <w:rStyle w:val="18"/>
          <w:rFonts w:hint="eastAsia" w:ascii="方正仿宋_GBK" w:hAnsi="仿宋_GB2312" w:eastAsia="方正仿宋_GBK" w:cs="仿宋_GB2312"/>
          <w:sz w:val="24"/>
          <w:szCs w:val="24"/>
          <w:highlight w:val="none"/>
          <w:lang w:eastAsia="zh-Hans"/>
        </w:rPr>
        <w:t>处</w:t>
      </w:r>
      <w:r>
        <w:rPr>
          <w:rStyle w:val="18"/>
          <w:rFonts w:hint="eastAsia" w:ascii="方正仿宋_GBK" w:hAnsi="仿宋_GB2312" w:eastAsia="方正仿宋_GBK" w:cs="仿宋_GB2312"/>
          <w:sz w:val="24"/>
          <w:szCs w:val="24"/>
          <w:highlight w:val="none"/>
        </w:rPr>
        <w:t>罚。</w:t>
      </w:r>
    </w:p>
    <w:p>
      <w:pPr>
        <w:spacing w:line="360" w:lineRule="auto"/>
        <w:ind w:firstLine="480" w:firstLineChars="200"/>
        <w:rPr>
          <w:rStyle w:val="18"/>
          <w:rFonts w:ascii="方正仿宋_GBK" w:hAnsi="仿宋_GB2312" w:eastAsia="方正仿宋_GBK" w:cs="仿宋_GB2312"/>
          <w:sz w:val="24"/>
          <w:szCs w:val="24"/>
          <w:highlight w:val="none"/>
        </w:rPr>
      </w:pPr>
      <w:r>
        <w:rPr>
          <w:rStyle w:val="18"/>
          <w:rFonts w:hint="eastAsia" w:ascii="方正仿宋_GBK" w:hAnsi="仿宋_GB2312" w:eastAsia="方正仿宋_GBK" w:cs="仿宋_GB2312"/>
          <w:sz w:val="24"/>
          <w:szCs w:val="24"/>
          <w:highlight w:val="none"/>
        </w:rPr>
        <w:t>6.我方若中选，将按照竞采结果签订合同，并且严格履行合同义务。本承诺函将成为合同不可分割的一部分，与合同具有同等的法律效力。</w:t>
      </w:r>
    </w:p>
    <w:p>
      <w:pPr>
        <w:spacing w:line="360" w:lineRule="auto"/>
        <w:ind w:firstLine="480" w:firstLineChars="200"/>
        <w:rPr>
          <w:rStyle w:val="18"/>
          <w:rFonts w:ascii="方正仿宋_GBK" w:hAnsi="仿宋_GB2312" w:eastAsia="方正仿宋_GBK" w:cs="仿宋_GB2312"/>
          <w:sz w:val="24"/>
          <w:szCs w:val="24"/>
          <w:highlight w:val="none"/>
        </w:rPr>
      </w:pPr>
      <w:r>
        <w:rPr>
          <w:rStyle w:val="18"/>
          <w:rFonts w:hint="eastAsia" w:ascii="方正仿宋_GBK" w:hAnsi="仿宋_GB2312" w:eastAsia="方正仿宋_GBK" w:cs="仿宋_GB2312"/>
          <w:sz w:val="24"/>
          <w:szCs w:val="24"/>
          <w:highlight w:val="none"/>
        </w:rPr>
        <w:t>7.我方理解，最低报价不是成交的唯一条件。</w:t>
      </w:r>
    </w:p>
    <w:p>
      <w:pPr>
        <w:pStyle w:val="20"/>
        <w:spacing w:line="360" w:lineRule="auto"/>
        <w:rPr>
          <w:rFonts w:ascii="方正仿宋_GBK" w:eastAsia="方正仿宋_GBK"/>
          <w:szCs w:val="24"/>
          <w:highlight w:val="none"/>
        </w:rPr>
      </w:pPr>
    </w:p>
    <w:p>
      <w:pPr>
        <w:ind w:firstLine="480" w:firstLineChars="200"/>
        <w:jc w:val="right"/>
        <w:rPr>
          <w:rStyle w:val="18"/>
          <w:rFonts w:ascii="方正仿宋_GBK" w:hAnsi="仿宋_GB2312" w:eastAsia="方正仿宋_GBK" w:cs="仿宋_GB2312"/>
          <w:sz w:val="24"/>
          <w:szCs w:val="24"/>
          <w:highlight w:val="none"/>
        </w:rPr>
      </w:pPr>
      <w:r>
        <w:rPr>
          <w:rStyle w:val="18"/>
          <w:rFonts w:hint="eastAsia" w:ascii="方正仿宋_GBK" w:hAnsi="仿宋_GB2312" w:eastAsia="方正仿宋_GBK" w:cs="仿宋_GB2312"/>
          <w:sz w:val="24"/>
          <w:szCs w:val="24"/>
          <w:highlight w:val="none"/>
        </w:rPr>
        <w:t>供应商名称（公章）：</w:t>
      </w:r>
    </w:p>
    <w:p>
      <w:pPr>
        <w:tabs>
          <w:tab w:val="left" w:pos="2895"/>
        </w:tabs>
        <w:spacing w:line="312" w:lineRule="auto"/>
        <w:ind w:firstLine="640" w:firstLineChars="200"/>
        <w:rPr>
          <w:rFonts w:ascii="方正仿宋_GBK" w:hAnsi="仿宋" w:eastAsia="方正仿宋_GBK" w:cs="宋体"/>
          <w:sz w:val="24"/>
          <w:szCs w:val="24"/>
          <w:highlight w:val="none"/>
        </w:rPr>
      </w:pPr>
      <w:r>
        <w:rPr>
          <w:rStyle w:val="18"/>
          <w:rFonts w:hint="eastAsia" w:ascii="方正仿宋_GBK" w:hAnsi="仿宋_GB2312" w:eastAsia="方正仿宋_GBK" w:cs="仿宋_GB2312"/>
          <w:sz w:val="32"/>
          <w:szCs w:val="32"/>
          <w:highlight w:val="none"/>
        </w:rPr>
        <w:t xml:space="preserve">                                 </w:t>
      </w:r>
      <w:r>
        <w:rPr>
          <w:rStyle w:val="18"/>
          <w:rFonts w:hint="eastAsia" w:ascii="方正仿宋_GBK" w:hAnsi="仿宋_GB2312" w:eastAsia="方正仿宋_GBK" w:cs="仿宋_GB2312"/>
          <w:sz w:val="24"/>
          <w:szCs w:val="24"/>
          <w:highlight w:val="none"/>
        </w:rPr>
        <w:t xml:space="preserve">        年  月  日</w:t>
      </w:r>
      <w:r>
        <w:rPr>
          <w:rFonts w:hint="eastAsia" w:ascii="方正仿宋_GBK" w:hAnsi="仿宋" w:eastAsia="方正仿宋_GBK" w:cs="宋体"/>
          <w:sz w:val="24"/>
          <w:szCs w:val="24"/>
          <w:highlight w:val="none"/>
        </w:rPr>
        <w:t xml:space="preserve">    </w:t>
      </w:r>
    </w:p>
    <w:p>
      <w:pPr>
        <w:pStyle w:val="2"/>
        <w:rPr>
          <w:rFonts w:ascii="方正仿宋_GBK" w:eastAsia="方正仿宋_GBK"/>
          <w:highlight w:val="none"/>
        </w:rPr>
      </w:pPr>
      <w:r>
        <w:rPr>
          <w:rFonts w:hint="eastAsia" w:ascii="方正仿宋_GBK" w:eastAsia="方正仿宋_GBK"/>
          <w:highlight w:val="none"/>
        </w:rPr>
        <w:br w:type="page"/>
      </w:r>
    </w:p>
    <w:p>
      <w:pPr>
        <w:tabs>
          <w:tab w:val="left" w:pos="2895"/>
        </w:tabs>
        <w:spacing w:line="312" w:lineRule="auto"/>
        <w:ind w:firstLine="480" w:firstLineChars="200"/>
        <w:outlineLvl w:val="1"/>
        <w:rPr>
          <w:rFonts w:ascii="仿宋" w:hAnsi="仿宋" w:eastAsia="仿宋" w:cs="仿宋"/>
          <w:sz w:val="24"/>
          <w:szCs w:val="24"/>
          <w:highlight w:val="none"/>
        </w:rPr>
      </w:pPr>
      <w:r>
        <w:rPr>
          <w:rFonts w:hint="eastAsia" w:ascii="仿宋" w:hAnsi="仿宋" w:eastAsia="仿宋" w:cs="仿宋"/>
          <w:sz w:val="24"/>
          <w:szCs w:val="24"/>
          <w:highlight w:val="none"/>
        </w:rPr>
        <w:t>（二）明细报价表</w:t>
      </w:r>
    </w:p>
    <w:p>
      <w:pPr>
        <w:tabs>
          <w:tab w:val="left" w:pos="2975"/>
          <w:tab w:val="center" w:pos="4765"/>
        </w:tabs>
        <w:spacing w:line="312" w:lineRule="auto"/>
        <w:jc w:val="left"/>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ab/>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t>明细报价表</w:t>
      </w:r>
    </w:p>
    <w:tbl>
      <w:tblPr>
        <w:tblStyle w:val="1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380"/>
        <w:gridCol w:w="1548"/>
        <w:gridCol w:w="815"/>
        <w:gridCol w:w="844"/>
        <w:gridCol w:w="856"/>
        <w:gridCol w:w="109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55" w:type="dxa"/>
            <w:vAlign w:val="center"/>
          </w:tcPr>
          <w:p>
            <w:pPr>
              <w:keepNext w:val="0"/>
              <w:keepLines w:val="0"/>
              <w:suppressLineNumbers w:val="0"/>
              <w:spacing w:before="0" w:beforeAutospacing="0" w:after="0" w:afterAutospacing="0"/>
              <w:ind w:left="0" w:right="0"/>
              <w:jc w:val="center"/>
              <w:rPr>
                <w:rFonts w:hint="eastAsia"/>
                <w:szCs w:val="22"/>
                <w:highlight w:val="none"/>
                <w:vertAlign w:val="baseline"/>
              </w:rPr>
            </w:pPr>
            <w:r>
              <w:rPr>
                <w:rFonts w:hint="eastAsia" w:ascii="仿宋" w:hAnsi="仿宋" w:eastAsia="仿宋" w:cs="仿宋"/>
                <w:b/>
                <w:sz w:val="24"/>
                <w:szCs w:val="24"/>
                <w:highlight w:val="none"/>
              </w:rPr>
              <w:t>序号</w:t>
            </w:r>
          </w:p>
        </w:tc>
        <w:tc>
          <w:tcPr>
            <w:tcW w:w="1380" w:type="dxa"/>
            <w:vAlign w:val="center"/>
          </w:tcPr>
          <w:p>
            <w:pPr>
              <w:keepNext w:val="0"/>
              <w:keepLines w:val="0"/>
              <w:suppressLineNumbers w:val="0"/>
              <w:spacing w:before="0" w:beforeAutospacing="0" w:after="0" w:afterAutospacing="0"/>
              <w:ind w:left="0" w:right="0"/>
              <w:jc w:val="center"/>
              <w:rPr>
                <w:rFonts w:hint="eastAsia"/>
                <w:szCs w:val="22"/>
                <w:highlight w:val="none"/>
                <w:vertAlign w:val="baseline"/>
              </w:rPr>
            </w:pPr>
            <w:r>
              <w:rPr>
                <w:rFonts w:hint="eastAsia" w:ascii="仿宋" w:hAnsi="仿宋" w:eastAsia="仿宋" w:cs="仿宋"/>
                <w:b/>
                <w:sz w:val="24"/>
                <w:szCs w:val="24"/>
                <w:highlight w:val="none"/>
                <w:lang w:val="en-US" w:eastAsia="zh-CN"/>
              </w:rPr>
              <w:t>产品类别</w:t>
            </w:r>
          </w:p>
        </w:tc>
        <w:tc>
          <w:tcPr>
            <w:tcW w:w="1548"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品牌型号</w:t>
            </w:r>
          </w:p>
        </w:tc>
        <w:tc>
          <w:tcPr>
            <w:tcW w:w="8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单位</w:t>
            </w:r>
          </w:p>
        </w:tc>
        <w:tc>
          <w:tcPr>
            <w:tcW w:w="84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数量</w:t>
            </w:r>
          </w:p>
        </w:tc>
        <w:tc>
          <w:tcPr>
            <w:tcW w:w="85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单价</w:t>
            </w:r>
          </w:p>
        </w:tc>
        <w:tc>
          <w:tcPr>
            <w:tcW w:w="109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合计</w:t>
            </w:r>
          </w:p>
        </w:tc>
        <w:tc>
          <w:tcPr>
            <w:tcW w:w="182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25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4"/>
                <w:szCs w:val="24"/>
                <w:highlight w:val="none"/>
                <w:lang w:val="en-US" w:eastAsia="zh-CN" w:bidi="ar-SA"/>
              </w:rPr>
            </w:pPr>
            <w:r>
              <w:rPr>
                <w:rFonts w:hint="eastAsia" w:ascii="方正仿宋_GBK" w:hAnsi="仿宋" w:eastAsia="方正仿宋_GBK"/>
                <w:bCs/>
                <w:sz w:val="24"/>
                <w:szCs w:val="24"/>
                <w:highlight w:val="none"/>
              </w:rPr>
              <w:t>1</w:t>
            </w:r>
          </w:p>
        </w:tc>
        <w:tc>
          <w:tcPr>
            <w:tcW w:w="138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4"/>
                <w:szCs w:val="24"/>
                <w:highlight w:val="none"/>
                <w:lang w:val="en-US" w:eastAsia="zh-CN" w:bidi="ar-SA"/>
              </w:rPr>
            </w:pPr>
          </w:p>
        </w:tc>
        <w:tc>
          <w:tcPr>
            <w:tcW w:w="1548"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bCs/>
                <w:sz w:val="24"/>
                <w:szCs w:val="24"/>
                <w:highlight w:val="none"/>
              </w:rPr>
            </w:pPr>
          </w:p>
        </w:tc>
        <w:tc>
          <w:tcPr>
            <w:tcW w:w="815"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cs="Times New Roman"/>
                <w:bCs/>
                <w:kern w:val="2"/>
                <w:sz w:val="24"/>
                <w:szCs w:val="24"/>
                <w:highlight w:val="none"/>
                <w:lang w:val="en-US" w:eastAsia="zh-CN" w:bidi="ar-SA"/>
              </w:rPr>
            </w:pPr>
          </w:p>
        </w:tc>
        <w:tc>
          <w:tcPr>
            <w:tcW w:w="84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cs="Times New Roman"/>
                <w:bCs/>
                <w:kern w:val="2"/>
                <w:sz w:val="24"/>
                <w:szCs w:val="24"/>
                <w:highlight w:val="none"/>
                <w:lang w:val="en-US" w:eastAsia="zh-CN" w:bidi="ar-SA"/>
              </w:rPr>
            </w:pPr>
          </w:p>
        </w:tc>
        <w:tc>
          <w:tcPr>
            <w:tcW w:w="856" w:type="dxa"/>
          </w:tcPr>
          <w:p>
            <w:pPr>
              <w:pStyle w:val="6"/>
              <w:suppressLineNumbers w:val="0"/>
              <w:spacing w:beforeAutospacing="0" w:afterAutospacing="0"/>
              <w:ind w:left="0" w:right="0"/>
              <w:rPr>
                <w:rFonts w:hint="eastAsia"/>
                <w:szCs w:val="22"/>
                <w:highlight w:val="none"/>
                <w:vertAlign w:val="baseline"/>
              </w:rPr>
            </w:pPr>
          </w:p>
        </w:tc>
        <w:tc>
          <w:tcPr>
            <w:tcW w:w="1096" w:type="dxa"/>
          </w:tcPr>
          <w:p>
            <w:pPr>
              <w:pStyle w:val="6"/>
              <w:suppressLineNumbers w:val="0"/>
              <w:spacing w:beforeAutospacing="0" w:afterAutospacing="0"/>
              <w:ind w:left="0" w:right="0"/>
              <w:rPr>
                <w:rFonts w:hint="eastAsia"/>
                <w:szCs w:val="22"/>
                <w:highlight w:val="none"/>
                <w:vertAlign w:val="baseline"/>
              </w:rPr>
            </w:pPr>
          </w:p>
        </w:tc>
        <w:tc>
          <w:tcPr>
            <w:tcW w:w="1821" w:type="dxa"/>
            <w:vAlign w:val="center"/>
          </w:tcPr>
          <w:p>
            <w:pPr>
              <w:keepNext w:val="0"/>
              <w:keepLines w:val="0"/>
              <w:suppressLineNumbers w:val="0"/>
              <w:spacing w:before="0" w:beforeAutospacing="0" w:after="0" w:afterAutospacing="0"/>
              <w:ind w:left="0" w:right="0"/>
              <w:jc w:val="center"/>
              <w:rPr>
                <w:rFonts w:hint="eastAsia"/>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25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4"/>
                <w:szCs w:val="24"/>
                <w:highlight w:val="none"/>
                <w:lang w:val="en-US" w:eastAsia="zh-CN" w:bidi="ar-SA"/>
              </w:rPr>
            </w:pPr>
            <w:r>
              <w:rPr>
                <w:rFonts w:hint="eastAsia" w:ascii="方正仿宋_GBK" w:hAnsi="仿宋" w:eastAsia="方正仿宋_GBK"/>
                <w:bCs/>
                <w:sz w:val="24"/>
                <w:szCs w:val="24"/>
                <w:highlight w:val="none"/>
              </w:rPr>
              <w:t>2</w:t>
            </w:r>
          </w:p>
        </w:tc>
        <w:tc>
          <w:tcPr>
            <w:tcW w:w="138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4"/>
                <w:szCs w:val="24"/>
                <w:highlight w:val="none"/>
                <w:lang w:val="en-US" w:eastAsia="zh-CN" w:bidi="ar-SA"/>
              </w:rPr>
            </w:pPr>
          </w:p>
        </w:tc>
        <w:tc>
          <w:tcPr>
            <w:tcW w:w="1548"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bCs/>
                <w:sz w:val="24"/>
                <w:szCs w:val="24"/>
                <w:highlight w:val="none"/>
              </w:rPr>
            </w:pPr>
          </w:p>
        </w:tc>
        <w:tc>
          <w:tcPr>
            <w:tcW w:w="815"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cs="Times New Roman"/>
                <w:bCs/>
                <w:kern w:val="2"/>
                <w:sz w:val="24"/>
                <w:szCs w:val="24"/>
                <w:highlight w:val="none"/>
                <w:lang w:val="en-US" w:eastAsia="zh-CN" w:bidi="ar-SA"/>
              </w:rPr>
            </w:pPr>
          </w:p>
        </w:tc>
        <w:tc>
          <w:tcPr>
            <w:tcW w:w="84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cs="Times New Roman"/>
                <w:bCs/>
                <w:kern w:val="2"/>
                <w:sz w:val="24"/>
                <w:szCs w:val="24"/>
                <w:highlight w:val="none"/>
                <w:lang w:val="en-US" w:eastAsia="zh-CN" w:bidi="ar-SA"/>
              </w:rPr>
            </w:pPr>
          </w:p>
        </w:tc>
        <w:tc>
          <w:tcPr>
            <w:tcW w:w="856" w:type="dxa"/>
          </w:tcPr>
          <w:p>
            <w:pPr>
              <w:pStyle w:val="6"/>
              <w:suppressLineNumbers w:val="0"/>
              <w:spacing w:beforeAutospacing="0" w:afterAutospacing="0"/>
              <w:ind w:left="0" w:right="0"/>
              <w:rPr>
                <w:rFonts w:hint="eastAsia"/>
                <w:szCs w:val="22"/>
                <w:highlight w:val="none"/>
                <w:vertAlign w:val="baseline"/>
              </w:rPr>
            </w:pPr>
          </w:p>
        </w:tc>
        <w:tc>
          <w:tcPr>
            <w:tcW w:w="1096" w:type="dxa"/>
          </w:tcPr>
          <w:p>
            <w:pPr>
              <w:pStyle w:val="6"/>
              <w:suppressLineNumbers w:val="0"/>
              <w:spacing w:beforeAutospacing="0" w:afterAutospacing="0"/>
              <w:ind w:left="0" w:right="0"/>
              <w:rPr>
                <w:rFonts w:hint="eastAsia"/>
                <w:szCs w:val="22"/>
                <w:highlight w:val="none"/>
                <w:vertAlign w:val="baseline"/>
              </w:rPr>
            </w:pPr>
          </w:p>
        </w:tc>
        <w:tc>
          <w:tcPr>
            <w:tcW w:w="1821" w:type="dxa"/>
            <w:vAlign w:val="center"/>
          </w:tcPr>
          <w:p>
            <w:pPr>
              <w:keepNext w:val="0"/>
              <w:keepLines w:val="0"/>
              <w:suppressLineNumbers w:val="0"/>
              <w:spacing w:before="0" w:beforeAutospacing="0" w:after="0" w:afterAutospacing="0"/>
              <w:ind w:left="0" w:right="0"/>
              <w:jc w:val="center"/>
              <w:rPr>
                <w:rFonts w:hint="eastAsia"/>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25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4"/>
                <w:szCs w:val="24"/>
                <w:highlight w:val="none"/>
                <w:lang w:val="en-US" w:eastAsia="zh-CN" w:bidi="ar-SA"/>
              </w:rPr>
            </w:pPr>
            <w:r>
              <w:rPr>
                <w:rFonts w:hint="eastAsia" w:ascii="方正仿宋_GBK" w:hAnsi="仿宋" w:eastAsia="方正仿宋_GBK"/>
                <w:bCs/>
                <w:sz w:val="24"/>
                <w:szCs w:val="24"/>
                <w:highlight w:val="none"/>
              </w:rPr>
              <w:t>3</w:t>
            </w:r>
          </w:p>
        </w:tc>
        <w:tc>
          <w:tcPr>
            <w:tcW w:w="138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4"/>
                <w:szCs w:val="24"/>
                <w:highlight w:val="none"/>
                <w:lang w:val="en-US" w:eastAsia="zh-CN" w:bidi="ar-SA"/>
              </w:rPr>
            </w:pPr>
          </w:p>
        </w:tc>
        <w:tc>
          <w:tcPr>
            <w:tcW w:w="1548"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bCs/>
                <w:sz w:val="24"/>
                <w:szCs w:val="24"/>
                <w:highlight w:val="none"/>
              </w:rPr>
            </w:pPr>
          </w:p>
        </w:tc>
        <w:tc>
          <w:tcPr>
            <w:tcW w:w="815"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cs="Times New Roman"/>
                <w:bCs/>
                <w:kern w:val="2"/>
                <w:sz w:val="24"/>
                <w:szCs w:val="24"/>
                <w:highlight w:val="none"/>
                <w:lang w:val="en-US" w:eastAsia="zh-CN" w:bidi="ar-SA"/>
              </w:rPr>
            </w:pPr>
          </w:p>
        </w:tc>
        <w:tc>
          <w:tcPr>
            <w:tcW w:w="84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cs="Times New Roman"/>
                <w:bCs/>
                <w:kern w:val="2"/>
                <w:sz w:val="24"/>
                <w:szCs w:val="24"/>
                <w:highlight w:val="none"/>
                <w:lang w:val="en-US" w:eastAsia="zh-CN" w:bidi="ar-SA"/>
              </w:rPr>
            </w:pPr>
          </w:p>
        </w:tc>
        <w:tc>
          <w:tcPr>
            <w:tcW w:w="856" w:type="dxa"/>
          </w:tcPr>
          <w:p>
            <w:pPr>
              <w:pStyle w:val="6"/>
              <w:suppressLineNumbers w:val="0"/>
              <w:spacing w:beforeAutospacing="0" w:afterAutospacing="0"/>
              <w:ind w:left="0" w:right="0"/>
              <w:rPr>
                <w:rFonts w:hint="eastAsia"/>
                <w:szCs w:val="22"/>
                <w:highlight w:val="none"/>
                <w:vertAlign w:val="baseline"/>
              </w:rPr>
            </w:pPr>
          </w:p>
        </w:tc>
        <w:tc>
          <w:tcPr>
            <w:tcW w:w="1096" w:type="dxa"/>
          </w:tcPr>
          <w:p>
            <w:pPr>
              <w:pStyle w:val="6"/>
              <w:suppressLineNumbers w:val="0"/>
              <w:spacing w:beforeAutospacing="0" w:afterAutospacing="0"/>
              <w:ind w:left="0" w:right="0"/>
              <w:rPr>
                <w:rFonts w:hint="eastAsia"/>
                <w:szCs w:val="22"/>
                <w:highlight w:val="none"/>
                <w:vertAlign w:val="baseline"/>
              </w:rPr>
            </w:pPr>
          </w:p>
        </w:tc>
        <w:tc>
          <w:tcPr>
            <w:tcW w:w="1821" w:type="dxa"/>
            <w:vAlign w:val="center"/>
          </w:tcPr>
          <w:p>
            <w:pPr>
              <w:keepNext w:val="0"/>
              <w:keepLines w:val="0"/>
              <w:suppressLineNumbers w:val="0"/>
              <w:spacing w:before="0" w:beforeAutospacing="0" w:after="0" w:afterAutospacing="0"/>
              <w:ind w:left="0" w:right="0"/>
              <w:jc w:val="center"/>
              <w:rPr>
                <w:rFonts w:hint="default" w:eastAsia="方正仿宋_GBK"/>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7794" w:type="dxa"/>
            <w:gridSpan w:val="7"/>
            <w:vAlign w:val="center"/>
          </w:tcPr>
          <w:p>
            <w:pPr>
              <w:pStyle w:val="6"/>
              <w:suppressLineNumbers w:val="0"/>
              <w:spacing w:beforeAutospacing="0" w:afterAutospacing="0"/>
              <w:ind w:left="0" w:right="0"/>
              <w:jc w:val="center"/>
              <w:rPr>
                <w:rFonts w:hint="eastAsia"/>
                <w:szCs w:val="22"/>
                <w:highlight w:val="none"/>
                <w:vertAlign w:val="baseline"/>
              </w:rPr>
            </w:pPr>
            <w:r>
              <w:rPr>
                <w:rFonts w:hint="eastAsia" w:ascii="方正仿宋_GBK" w:hAnsi="仿宋" w:eastAsia="方正仿宋_GBK" w:cs="Times New Roman"/>
                <w:b w:val="0"/>
                <w:bCs/>
                <w:kern w:val="2"/>
                <w:sz w:val="22"/>
                <w:szCs w:val="22"/>
                <w:highlight w:val="none"/>
                <w:lang w:val="en-US" w:eastAsia="zh-CN" w:bidi="ar-SA"/>
              </w:rPr>
              <w:t>总计</w:t>
            </w:r>
          </w:p>
        </w:tc>
        <w:tc>
          <w:tcPr>
            <w:tcW w:w="1821"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bCs/>
                <w:sz w:val="22"/>
                <w:szCs w:val="22"/>
                <w:highlight w:val="none"/>
              </w:rPr>
            </w:pPr>
          </w:p>
        </w:tc>
      </w:tr>
    </w:tbl>
    <w:p>
      <w:pPr>
        <w:snapToGrid w:val="0"/>
        <w:spacing w:line="312" w:lineRule="auto"/>
        <w:ind w:firstLine="480" w:firstLineChars="200"/>
        <w:rPr>
          <w:rFonts w:ascii="仿宋" w:hAnsi="仿宋" w:eastAsia="仿宋" w:cs="仿宋"/>
          <w:sz w:val="24"/>
          <w:szCs w:val="24"/>
          <w:highlight w:val="none"/>
        </w:rPr>
      </w:pPr>
    </w:p>
    <w:p>
      <w:pPr>
        <w:snapToGrid w:val="0"/>
        <w:spacing w:line="312" w:lineRule="auto"/>
        <w:ind w:firstLine="480" w:firstLineChars="200"/>
        <w:rPr>
          <w:rFonts w:ascii="仿宋" w:hAnsi="仿宋" w:eastAsia="仿宋" w:cs="仿宋"/>
          <w:sz w:val="24"/>
          <w:szCs w:val="24"/>
          <w:highlight w:val="none"/>
        </w:rPr>
      </w:pPr>
    </w:p>
    <w:p>
      <w:pPr>
        <w:snapToGrid w:val="0"/>
        <w:spacing w:line="312" w:lineRule="auto"/>
        <w:rPr>
          <w:rFonts w:ascii="仿宋" w:hAnsi="仿宋" w:eastAsia="仿宋" w:cs="仿宋"/>
          <w:sz w:val="24"/>
          <w:szCs w:val="24"/>
          <w:highlight w:val="none"/>
        </w:rPr>
      </w:pPr>
      <w:r>
        <w:rPr>
          <w:rFonts w:hint="eastAsia" w:ascii="仿宋" w:hAnsi="仿宋" w:eastAsia="仿宋" w:cs="仿宋"/>
          <w:sz w:val="24"/>
          <w:szCs w:val="24"/>
          <w:highlight w:val="none"/>
        </w:rPr>
        <w:t>注：本表可</w:t>
      </w:r>
      <w:r>
        <w:rPr>
          <w:rFonts w:hint="eastAsia" w:ascii="仿宋" w:hAnsi="仿宋" w:eastAsia="仿宋" w:cs="仿宋"/>
          <w:sz w:val="24"/>
          <w:szCs w:val="24"/>
          <w:highlight w:val="none"/>
          <w:lang w:val="en-US" w:eastAsia="zh-CN"/>
        </w:rPr>
        <w:t>根据实际情况调整</w:t>
      </w:r>
      <w:r>
        <w:rPr>
          <w:rFonts w:hint="eastAsia" w:ascii="仿宋" w:hAnsi="仿宋" w:eastAsia="仿宋" w:cs="仿宋"/>
          <w:sz w:val="24"/>
          <w:szCs w:val="24"/>
          <w:highlight w:val="none"/>
        </w:rPr>
        <w:t>。</w:t>
      </w:r>
    </w:p>
    <w:p>
      <w:pPr>
        <w:pStyle w:val="13"/>
        <w:spacing w:line="312" w:lineRule="auto"/>
        <w:ind w:firstLine="480"/>
        <w:rPr>
          <w:rFonts w:ascii="仿宋" w:hAnsi="仿宋" w:eastAsia="仿宋" w:cs="仿宋"/>
          <w:sz w:val="24"/>
          <w:szCs w:val="24"/>
          <w:highlight w:val="none"/>
        </w:rPr>
      </w:pPr>
    </w:p>
    <w:p>
      <w:pPr>
        <w:pStyle w:val="13"/>
        <w:spacing w:line="312"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pPr>
        <w:spacing w:line="312" w:lineRule="auto"/>
        <w:rPr>
          <w:rFonts w:ascii="仿宋" w:hAnsi="仿宋" w:eastAsia="仿宋" w:cs="仿宋"/>
          <w:sz w:val="24"/>
          <w:szCs w:val="24"/>
          <w:highlight w:val="none"/>
        </w:rPr>
      </w:pPr>
    </w:p>
    <w:p>
      <w:pPr>
        <w:spacing w:line="312"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供应商名称（公章）：</w:t>
      </w:r>
    </w:p>
    <w:p>
      <w:pPr>
        <w:spacing w:line="312" w:lineRule="auto"/>
        <w:ind w:right="480" w:firstLine="6480" w:firstLineChars="2700"/>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spacing w:line="312" w:lineRule="auto"/>
        <w:ind w:firstLine="420"/>
        <w:rPr>
          <w:rFonts w:ascii="仿宋" w:hAnsi="仿宋" w:eastAsia="仿宋" w:cs="仿宋"/>
          <w:b/>
          <w:sz w:val="24"/>
          <w:szCs w:val="24"/>
          <w:highlight w:val="none"/>
        </w:rPr>
      </w:pPr>
    </w:p>
    <w:p>
      <w:pPr>
        <w:spacing w:line="312" w:lineRule="auto"/>
        <w:rPr>
          <w:rFonts w:ascii="仿宋" w:hAnsi="仿宋" w:eastAsia="仿宋" w:cs="仿宋"/>
          <w:b/>
          <w:sz w:val="24"/>
          <w:szCs w:val="24"/>
          <w:highlight w:val="none"/>
        </w:rPr>
      </w:pPr>
    </w:p>
    <w:p>
      <w:pPr>
        <w:spacing w:line="312" w:lineRule="auto"/>
        <w:rPr>
          <w:rFonts w:ascii="仿宋" w:hAnsi="仿宋" w:eastAsia="仿宋" w:cs="仿宋"/>
          <w:b/>
          <w:sz w:val="24"/>
          <w:szCs w:val="24"/>
          <w:highlight w:val="none"/>
        </w:rPr>
      </w:pPr>
    </w:p>
    <w:p>
      <w:pPr>
        <w:spacing w:line="312" w:lineRule="auto"/>
        <w:ind w:firstLine="480" w:firstLineChars="200"/>
        <w:rPr>
          <w:rFonts w:ascii="仿宋" w:hAnsi="仿宋" w:eastAsia="仿宋" w:cs="仿宋"/>
          <w:color w:val="FF0000"/>
          <w:sz w:val="24"/>
          <w:szCs w:val="24"/>
          <w:highlight w:val="none"/>
        </w:rPr>
      </w:pPr>
    </w:p>
    <w:p>
      <w:pPr>
        <w:spacing w:line="312" w:lineRule="auto"/>
        <w:ind w:firstLine="480" w:firstLineChars="200"/>
        <w:rPr>
          <w:rFonts w:ascii="仿宋" w:hAnsi="仿宋" w:eastAsia="仿宋" w:cs="仿宋"/>
          <w:color w:val="FF0000"/>
          <w:sz w:val="24"/>
          <w:szCs w:val="24"/>
          <w:highlight w:val="none"/>
        </w:rPr>
        <w:sectPr>
          <w:headerReference r:id="rId5" w:type="default"/>
          <w:footerReference r:id="rId6" w:type="default"/>
          <w:pgSz w:w="11907" w:h="16840"/>
          <w:pgMar w:top="1134" w:right="1418" w:bottom="1134" w:left="1418" w:header="964" w:footer="992" w:gutter="0"/>
          <w:pgNumType w:fmt="numberInDash"/>
          <w:cols w:space="720" w:num="1"/>
          <w:docGrid w:linePitch="312" w:charSpace="0"/>
        </w:sectPr>
      </w:pPr>
    </w:p>
    <w:p>
      <w:pPr>
        <w:pStyle w:val="3"/>
        <w:spacing w:before="0" w:after="0" w:line="360" w:lineRule="auto"/>
        <w:outlineLvl w:val="0"/>
        <w:rPr>
          <w:rFonts w:ascii="仿宋" w:hAnsi="仿宋" w:eastAsia="仿宋"/>
          <w:sz w:val="24"/>
          <w:szCs w:val="24"/>
          <w:highlight w:val="none"/>
        </w:rPr>
      </w:pPr>
      <w:r>
        <w:rPr>
          <w:rFonts w:hint="eastAsia" w:ascii="仿宋" w:hAnsi="仿宋" w:eastAsia="仿宋"/>
          <w:sz w:val="24"/>
          <w:szCs w:val="24"/>
          <w:highlight w:val="none"/>
        </w:rPr>
        <w:t>二、技术部分</w:t>
      </w:r>
    </w:p>
    <w:p>
      <w:pPr>
        <w:spacing w:line="360" w:lineRule="auto"/>
        <w:rPr>
          <w:rFonts w:ascii="仿宋" w:hAnsi="仿宋" w:eastAsia="仿宋" w:cs="宋体"/>
          <w:sz w:val="24"/>
          <w:szCs w:val="24"/>
          <w:highlight w:val="none"/>
        </w:rPr>
      </w:pPr>
      <w:r>
        <w:rPr>
          <w:rFonts w:hint="eastAsia" w:ascii="仿宋" w:hAnsi="仿宋" w:eastAsia="仿宋" w:cs="宋体"/>
          <w:sz w:val="24"/>
          <w:szCs w:val="24"/>
          <w:highlight w:val="none"/>
        </w:rPr>
        <w:t>（一）技术应答</w:t>
      </w:r>
      <w:r>
        <w:rPr>
          <w:rFonts w:hint="eastAsia" w:ascii="仿宋" w:hAnsi="仿宋" w:eastAsia="仿宋" w:cs="宋体"/>
          <w:color w:val="FF0000"/>
          <w:sz w:val="24"/>
          <w:szCs w:val="24"/>
          <w:highlight w:val="none"/>
        </w:rPr>
        <w:t>（格式自拟）</w:t>
      </w:r>
    </w:p>
    <w:p>
      <w:pPr>
        <w:pStyle w:val="7"/>
        <w:ind w:left="560"/>
        <w:rPr>
          <w:rFonts w:ascii="仿宋" w:hAnsi="仿宋" w:eastAsia="仿宋" w:cs="宋体"/>
          <w:sz w:val="24"/>
          <w:szCs w:val="24"/>
          <w:highlight w:val="none"/>
        </w:rPr>
      </w:pPr>
    </w:p>
    <w:p>
      <w:pPr>
        <w:rPr>
          <w:rFonts w:ascii="仿宋" w:hAnsi="仿宋" w:eastAsia="仿宋" w:cs="宋体"/>
          <w:sz w:val="24"/>
          <w:szCs w:val="24"/>
          <w:highlight w:val="none"/>
        </w:rPr>
      </w:pPr>
    </w:p>
    <w:p>
      <w:pPr>
        <w:pStyle w:val="7"/>
        <w:ind w:left="560"/>
        <w:rPr>
          <w:rFonts w:ascii="仿宋" w:hAnsi="仿宋" w:eastAsia="仿宋" w:cs="宋体"/>
          <w:sz w:val="24"/>
          <w:szCs w:val="24"/>
          <w:highlight w:val="none"/>
        </w:rPr>
      </w:pPr>
    </w:p>
    <w:p>
      <w:pPr>
        <w:rPr>
          <w:rFonts w:ascii="仿宋" w:hAnsi="仿宋" w:eastAsia="仿宋" w:cs="宋体"/>
          <w:sz w:val="24"/>
          <w:szCs w:val="24"/>
          <w:highlight w:val="none"/>
        </w:rPr>
      </w:pPr>
    </w:p>
    <w:p>
      <w:pPr>
        <w:pStyle w:val="7"/>
        <w:ind w:left="560"/>
        <w:rPr>
          <w:rFonts w:ascii="仿宋" w:hAnsi="仿宋" w:eastAsia="仿宋" w:cs="宋体"/>
          <w:sz w:val="24"/>
          <w:szCs w:val="24"/>
          <w:highlight w:val="none"/>
        </w:rPr>
      </w:pPr>
    </w:p>
    <w:p>
      <w:pPr>
        <w:rPr>
          <w:rFonts w:ascii="仿宋" w:hAnsi="仿宋" w:eastAsia="仿宋" w:cs="宋体"/>
          <w:sz w:val="24"/>
          <w:szCs w:val="24"/>
          <w:highlight w:val="none"/>
        </w:rPr>
      </w:pPr>
    </w:p>
    <w:p>
      <w:pPr>
        <w:pStyle w:val="7"/>
        <w:ind w:left="560"/>
        <w:rPr>
          <w:rFonts w:ascii="仿宋" w:hAnsi="仿宋" w:eastAsia="仿宋" w:cs="宋体"/>
          <w:sz w:val="24"/>
          <w:szCs w:val="24"/>
          <w:highlight w:val="none"/>
        </w:rPr>
      </w:pPr>
    </w:p>
    <w:p>
      <w:pPr>
        <w:rPr>
          <w:rFonts w:ascii="仿宋" w:hAnsi="仿宋" w:eastAsia="仿宋" w:cs="宋体"/>
          <w:sz w:val="24"/>
          <w:szCs w:val="24"/>
          <w:highlight w:val="none"/>
        </w:rPr>
      </w:pPr>
    </w:p>
    <w:p>
      <w:pPr>
        <w:pStyle w:val="7"/>
        <w:ind w:left="560"/>
        <w:rPr>
          <w:rFonts w:ascii="仿宋" w:hAnsi="仿宋" w:eastAsia="仿宋" w:cs="宋体"/>
          <w:sz w:val="24"/>
          <w:szCs w:val="24"/>
          <w:highlight w:val="none"/>
        </w:rPr>
      </w:pPr>
    </w:p>
    <w:p>
      <w:pPr>
        <w:rPr>
          <w:rFonts w:ascii="仿宋" w:hAnsi="仿宋" w:eastAsia="仿宋" w:cs="宋体"/>
          <w:sz w:val="24"/>
          <w:szCs w:val="24"/>
          <w:highlight w:val="none"/>
        </w:rPr>
      </w:pPr>
    </w:p>
    <w:p>
      <w:pPr>
        <w:pStyle w:val="7"/>
        <w:ind w:left="560"/>
        <w:rPr>
          <w:rFonts w:ascii="仿宋" w:hAnsi="仿宋" w:eastAsia="仿宋" w:cs="宋体"/>
          <w:sz w:val="24"/>
          <w:szCs w:val="24"/>
          <w:highlight w:val="none"/>
        </w:rPr>
      </w:pPr>
    </w:p>
    <w:p>
      <w:pPr>
        <w:rPr>
          <w:rFonts w:ascii="仿宋" w:hAnsi="仿宋" w:eastAsia="仿宋" w:cs="宋体"/>
          <w:sz w:val="24"/>
          <w:szCs w:val="24"/>
          <w:highlight w:val="none"/>
        </w:rPr>
      </w:pPr>
    </w:p>
    <w:p>
      <w:pPr>
        <w:pStyle w:val="7"/>
        <w:ind w:left="560"/>
        <w:rPr>
          <w:rFonts w:ascii="仿宋" w:hAnsi="仿宋" w:eastAsia="仿宋" w:cs="宋体"/>
          <w:sz w:val="24"/>
          <w:szCs w:val="24"/>
          <w:highlight w:val="none"/>
        </w:rPr>
      </w:pPr>
    </w:p>
    <w:p>
      <w:pPr>
        <w:rPr>
          <w:rFonts w:ascii="仿宋" w:hAnsi="仿宋" w:eastAsia="仿宋" w:cs="宋体"/>
          <w:sz w:val="24"/>
          <w:szCs w:val="24"/>
          <w:highlight w:val="none"/>
        </w:rPr>
      </w:pPr>
    </w:p>
    <w:p>
      <w:pPr>
        <w:pStyle w:val="7"/>
        <w:ind w:left="560"/>
        <w:rPr>
          <w:highlight w:val="none"/>
        </w:rPr>
      </w:pPr>
    </w:p>
    <w:p>
      <w:pPr>
        <w:snapToGrid w:val="0"/>
        <w:spacing w:line="360" w:lineRule="auto"/>
        <w:rPr>
          <w:rFonts w:ascii="仿宋" w:hAnsi="仿宋" w:eastAsia="仿宋"/>
          <w:sz w:val="24"/>
          <w:szCs w:val="24"/>
          <w:highlight w:val="none"/>
        </w:rPr>
      </w:pPr>
    </w:p>
    <w:p>
      <w:pPr>
        <w:rPr>
          <w:rFonts w:ascii="仿宋" w:hAnsi="仿宋" w:eastAsia="仿宋"/>
          <w:sz w:val="24"/>
          <w:szCs w:val="24"/>
          <w:highlight w:val="none"/>
        </w:rPr>
      </w:pPr>
      <w:r>
        <w:rPr>
          <w:rFonts w:hint="eastAsia" w:ascii="仿宋" w:hAnsi="仿宋" w:eastAsia="仿宋"/>
          <w:sz w:val="24"/>
          <w:szCs w:val="24"/>
          <w:highlight w:val="none"/>
        </w:rPr>
        <w:br w:type="page"/>
      </w:r>
    </w:p>
    <w:p>
      <w:pPr>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（二）技术响应偏离表</w:t>
      </w:r>
    </w:p>
    <w:p>
      <w:pPr>
        <w:pStyle w:val="10"/>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szCs w:val="28"/>
          <w:highlight w:val="none"/>
        </w:rPr>
        <w:t>项目名称</w:t>
      </w:r>
      <w:r>
        <w:rPr>
          <w:rFonts w:hint="eastAsia" w:ascii="方正仿宋_GBK" w:hAnsi="仿宋" w:eastAsia="方正仿宋_GBK"/>
          <w:sz w:val="24"/>
          <w:highlight w:val="none"/>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序号</w:t>
            </w: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竞采要求</w:t>
            </w: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响应情况</w:t>
            </w: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rPr>
                <w:rFonts w:hint="eastAsia" w:ascii="方正仿宋_GBK" w:hAnsi="仿宋" w:eastAsia="方正仿宋_GBK"/>
                <w:sz w:val="21"/>
                <w:szCs w:val="21"/>
                <w:highlight w:val="none"/>
              </w:rPr>
            </w:pPr>
          </w:p>
        </w:tc>
      </w:tr>
    </w:tbl>
    <w:p>
      <w:pPr>
        <w:spacing w:line="500" w:lineRule="exact"/>
        <w:ind w:firstLine="600" w:firstLineChars="250"/>
        <w:rPr>
          <w:rFonts w:ascii="方正仿宋_GBK" w:hAnsi="仿宋" w:eastAsia="方正仿宋_GBK"/>
          <w:sz w:val="24"/>
          <w:szCs w:val="28"/>
          <w:highlight w:val="none"/>
        </w:rPr>
      </w:pPr>
      <w:r>
        <w:rPr>
          <w:rFonts w:hint="eastAsia" w:ascii="方正仿宋_GBK" w:hAnsi="仿宋" w:eastAsia="方正仿宋_GBK"/>
          <w:sz w:val="24"/>
          <w:szCs w:val="28"/>
          <w:highlight w:val="none"/>
        </w:rPr>
        <w:t>供应商：                          法定代表人或法定代表人授权代表：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w:t>
      </w:r>
    </w:p>
    <w:p>
      <w:pPr>
        <w:spacing w:line="500" w:lineRule="exact"/>
        <w:ind w:firstLine="720" w:firstLineChars="300"/>
        <w:rPr>
          <w:rFonts w:ascii="方正仿宋_GBK" w:hAnsi="仿宋" w:eastAsia="方正仿宋_GBK"/>
          <w:sz w:val="24"/>
          <w:szCs w:val="28"/>
          <w:highlight w:val="none"/>
        </w:rPr>
      </w:pPr>
      <w:r>
        <w:rPr>
          <w:rFonts w:hint="eastAsia" w:ascii="方正仿宋_GBK" w:hAnsi="仿宋" w:eastAsia="方正仿宋_GBK"/>
          <w:sz w:val="24"/>
          <w:szCs w:val="28"/>
          <w:highlight w:val="none"/>
        </w:rPr>
        <w:t>（供应商公章）                               （签字或盖章）</w:t>
      </w:r>
    </w:p>
    <w:p>
      <w:pPr>
        <w:tabs>
          <w:tab w:val="left" w:pos="6300"/>
        </w:tabs>
        <w:snapToGrid w:val="0"/>
        <w:spacing w:line="500" w:lineRule="exact"/>
        <w:ind w:firstLine="570"/>
        <w:rPr>
          <w:rFonts w:ascii="方正仿宋_GBK" w:hAnsi="仿宋" w:eastAsia="方正仿宋_GBK"/>
          <w:sz w:val="24"/>
          <w:highlight w:val="none"/>
        </w:rPr>
      </w:pPr>
      <w:r>
        <w:rPr>
          <w:rFonts w:hint="eastAsia" w:ascii="方正仿宋_GBK" w:hAnsi="仿宋" w:eastAsia="方正仿宋_GBK"/>
          <w:sz w:val="24"/>
          <w:szCs w:val="28"/>
          <w:highlight w:val="none"/>
        </w:rPr>
        <w:t xml:space="preserve">                                            年     月     日</w:t>
      </w:r>
    </w:p>
    <w:p>
      <w:pPr>
        <w:tabs>
          <w:tab w:val="left" w:pos="6300"/>
        </w:tabs>
        <w:snapToGrid w:val="0"/>
        <w:spacing w:line="500" w:lineRule="exact"/>
        <w:ind w:firstLine="570"/>
        <w:rPr>
          <w:rFonts w:ascii="方正仿宋_GBK" w:hAnsi="仿宋" w:eastAsia="方正仿宋_GBK"/>
          <w:sz w:val="24"/>
          <w:highlight w:val="none"/>
        </w:rPr>
      </w:pPr>
      <w:r>
        <w:rPr>
          <w:rFonts w:hint="eastAsia" w:ascii="方正仿宋_GBK" w:hAnsi="仿宋" w:eastAsia="方正仿宋_GBK"/>
          <w:sz w:val="24"/>
          <w:highlight w:val="none"/>
        </w:rPr>
        <w:t>注：</w:t>
      </w:r>
    </w:p>
    <w:p>
      <w:pPr>
        <w:snapToGrid w:val="0"/>
        <w:spacing w:line="50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1.本表即为对本项目“三、</w:t>
      </w:r>
      <w:r>
        <w:rPr>
          <w:rFonts w:hint="eastAsia" w:ascii="方正仿宋_GBK" w:hAnsi="仿宋" w:eastAsia="方正仿宋_GBK"/>
          <w:sz w:val="24"/>
          <w:szCs w:val="24"/>
          <w:highlight w:val="none"/>
          <w:lang w:val="en-US" w:eastAsia="zh-CN"/>
        </w:rPr>
        <w:t>采购</w:t>
      </w:r>
      <w:r>
        <w:rPr>
          <w:rFonts w:hint="eastAsia" w:ascii="方正仿宋_GBK" w:hAnsi="仿宋" w:eastAsia="方正仿宋_GBK"/>
          <w:sz w:val="24"/>
          <w:szCs w:val="24"/>
          <w:highlight w:val="none"/>
        </w:rPr>
        <w:t>服务内容”中所列技术要求进行比较和响应；</w:t>
      </w:r>
    </w:p>
    <w:p>
      <w:pPr>
        <w:snapToGrid w:val="0"/>
        <w:spacing w:line="500" w:lineRule="exact"/>
        <w:ind w:firstLine="480" w:firstLineChars="200"/>
        <w:rPr>
          <w:rFonts w:ascii="方正仿宋_GBK" w:hAnsi="仿宋" w:eastAsia="方正仿宋_GBK"/>
          <w:sz w:val="24"/>
          <w:szCs w:val="24"/>
          <w:highlight w:val="none"/>
          <w:u w:val="single"/>
        </w:rPr>
      </w:pPr>
      <w:r>
        <w:rPr>
          <w:rFonts w:hint="eastAsia" w:ascii="方正仿宋_GBK" w:hAnsi="仿宋" w:eastAsia="方正仿宋_GBK"/>
          <w:sz w:val="24"/>
          <w:szCs w:val="24"/>
          <w:highlight w:val="none"/>
        </w:rPr>
        <w:t>2.</w:t>
      </w:r>
      <w:r>
        <w:rPr>
          <w:rFonts w:hint="eastAsia"/>
          <w:highlight w:val="none"/>
        </w:rPr>
        <w:t xml:space="preserve"> </w:t>
      </w:r>
      <w:r>
        <w:rPr>
          <w:rFonts w:hint="eastAsia" w:ascii="方正仿宋_GBK" w:hAnsi="仿宋" w:eastAsia="方正仿宋_GBK"/>
          <w:sz w:val="24"/>
          <w:szCs w:val="24"/>
          <w:highlight w:val="none"/>
          <w:u w:val="single"/>
        </w:rPr>
        <w:t>.该表可以不逐条填写，投标人根据实际情况在“差异说明”项填写正偏离或负偏离及原因。</w:t>
      </w:r>
    </w:p>
    <w:p>
      <w:pPr>
        <w:snapToGrid w:val="0"/>
        <w:spacing w:line="50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3.该表可扩展；</w:t>
      </w:r>
    </w:p>
    <w:p>
      <w:pPr>
        <w:snapToGrid w:val="0"/>
        <w:spacing w:line="500" w:lineRule="exact"/>
        <w:ind w:firstLine="480" w:firstLineChars="200"/>
        <w:rPr>
          <w:rFonts w:ascii="方正仿宋_GBK" w:hAnsi="仿宋" w:eastAsia="方正仿宋_GBK"/>
          <w:sz w:val="24"/>
          <w:szCs w:val="24"/>
          <w:highlight w:val="none"/>
        </w:rPr>
      </w:pPr>
      <w:r>
        <w:rPr>
          <w:rFonts w:hint="eastAsia" w:ascii="方正仿宋_GBK" w:hAnsi="仿宋" w:eastAsia="方正仿宋_GBK"/>
          <w:sz w:val="24"/>
          <w:szCs w:val="24"/>
          <w:highlight w:val="none"/>
        </w:rPr>
        <w:t>4.可附相关技术支撑材料。（格式自定）</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4"/>
          <w:highlight w:val="none"/>
        </w:rPr>
        <w:t>5、该表必须按格式规定签字或盖章，否则作为无效投标。</w:t>
      </w:r>
    </w:p>
    <w:p>
      <w:pPr>
        <w:spacing w:line="312" w:lineRule="auto"/>
        <w:rPr>
          <w:rFonts w:ascii="仿宋" w:hAnsi="仿宋" w:eastAsia="仿宋" w:cs="仿宋"/>
          <w:b/>
          <w:sz w:val="24"/>
          <w:szCs w:val="24"/>
          <w:highlight w:val="none"/>
        </w:rPr>
      </w:pPr>
    </w:p>
    <w:p>
      <w:pPr>
        <w:rPr>
          <w:rFonts w:ascii="仿宋" w:hAnsi="仿宋" w:eastAsia="仿宋"/>
          <w:b/>
          <w:bCs/>
          <w:sz w:val="24"/>
          <w:szCs w:val="24"/>
          <w:highlight w:val="none"/>
        </w:rPr>
      </w:pPr>
      <w:r>
        <w:rPr>
          <w:rFonts w:hint="eastAsia" w:ascii="仿宋" w:hAnsi="仿宋" w:eastAsia="仿宋"/>
          <w:b/>
          <w:bCs/>
          <w:sz w:val="24"/>
          <w:szCs w:val="24"/>
          <w:highlight w:val="none"/>
        </w:rPr>
        <w:br w:type="page"/>
      </w: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三、商务部分</w:t>
      </w:r>
    </w:p>
    <w:p>
      <w:pPr>
        <w:spacing w:line="360" w:lineRule="auto"/>
        <w:rPr>
          <w:rFonts w:ascii="仿宋" w:hAnsi="仿宋" w:eastAsia="仿宋" w:cs="宋体"/>
          <w:sz w:val="24"/>
          <w:szCs w:val="24"/>
          <w:highlight w:val="none"/>
        </w:rPr>
      </w:pPr>
      <w:r>
        <w:rPr>
          <w:rFonts w:hint="eastAsia" w:ascii="仿宋" w:hAnsi="仿宋" w:eastAsia="仿宋" w:cs="宋体"/>
          <w:sz w:val="24"/>
          <w:szCs w:val="24"/>
          <w:highlight w:val="none"/>
        </w:rPr>
        <w:t>（一）服务要求响应情况</w:t>
      </w:r>
    </w:p>
    <w:p>
      <w:pPr>
        <w:pStyle w:val="7"/>
        <w:ind w:left="560"/>
        <w:rPr>
          <w:rFonts w:eastAsia="仿宋"/>
          <w:color w:val="FF0000"/>
          <w:highlight w:val="none"/>
        </w:rPr>
      </w:pPr>
      <w:r>
        <w:rPr>
          <w:rFonts w:hint="eastAsia" w:ascii="仿宋" w:hAnsi="仿宋" w:eastAsia="仿宋" w:cs="宋体"/>
          <w:color w:val="FF0000"/>
          <w:sz w:val="24"/>
          <w:szCs w:val="24"/>
          <w:highlight w:val="none"/>
        </w:rPr>
        <w:t>（格式自拟）</w:t>
      </w:r>
    </w:p>
    <w:p>
      <w:pPr>
        <w:rPr>
          <w:rFonts w:ascii="仿宋" w:hAnsi="仿宋" w:eastAsia="仿宋"/>
          <w:sz w:val="24"/>
          <w:szCs w:val="24"/>
          <w:highlight w:val="none"/>
        </w:rPr>
      </w:pPr>
      <w:r>
        <w:rPr>
          <w:rFonts w:hint="eastAsia" w:ascii="仿宋" w:hAnsi="仿宋" w:eastAsia="仿宋"/>
          <w:sz w:val="24"/>
          <w:szCs w:val="24"/>
          <w:highlight w:val="none"/>
        </w:rPr>
        <w:br w:type="page"/>
      </w:r>
    </w:p>
    <w:p>
      <w:pPr>
        <w:spacing w:line="360" w:lineRule="auto"/>
        <w:rPr>
          <w:rFonts w:ascii="仿宋" w:hAnsi="仿宋" w:eastAsia="仿宋"/>
          <w:sz w:val="24"/>
          <w:szCs w:val="24"/>
          <w:highlight w:val="none"/>
        </w:rPr>
      </w:pPr>
      <w:r>
        <w:rPr>
          <w:rFonts w:hint="eastAsia" w:ascii="仿宋" w:hAnsi="仿宋" w:eastAsia="仿宋"/>
          <w:sz w:val="24"/>
          <w:szCs w:val="24"/>
          <w:highlight w:val="none"/>
        </w:rPr>
        <w:t>（二）商务响应偏离表</w:t>
      </w:r>
    </w:p>
    <w:p>
      <w:pPr>
        <w:snapToGrid w:val="0"/>
        <w:spacing w:line="360" w:lineRule="auto"/>
        <w:jc w:val="center"/>
        <w:rPr>
          <w:rFonts w:ascii="仿宋" w:hAnsi="仿宋" w:eastAsia="仿宋"/>
          <w:b/>
          <w:sz w:val="24"/>
          <w:szCs w:val="24"/>
          <w:highlight w:val="none"/>
        </w:rPr>
      </w:pPr>
      <w:r>
        <w:rPr>
          <w:rFonts w:hint="eastAsia" w:ascii="仿宋" w:hAnsi="仿宋" w:eastAsia="仿宋"/>
          <w:b/>
          <w:sz w:val="24"/>
          <w:szCs w:val="24"/>
          <w:highlight w:val="none"/>
        </w:rPr>
        <w:t>商务响应偏离表</w:t>
      </w:r>
    </w:p>
    <w:p>
      <w:pPr>
        <w:rPr>
          <w:rFonts w:ascii="方正仿宋_GBK" w:hAnsi="仿宋" w:eastAsia="方正仿宋_GBK"/>
          <w:sz w:val="24"/>
          <w:highlight w:val="none"/>
        </w:rPr>
      </w:pPr>
      <w:r>
        <w:rPr>
          <w:rFonts w:hint="eastAsia" w:ascii="方正仿宋_GBK" w:hAnsi="仿宋" w:eastAsia="方正仿宋_GBK"/>
          <w:sz w:val="24"/>
          <w:szCs w:val="28"/>
          <w:highlight w:val="none"/>
        </w:rPr>
        <w:t>项目名称</w:t>
      </w:r>
      <w:r>
        <w:rPr>
          <w:rFonts w:hint="eastAsia" w:ascii="方正仿宋_GBK" w:hAnsi="仿宋" w:eastAsia="方正仿宋_GBK"/>
          <w:sz w:val="24"/>
          <w:highlight w:val="none"/>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序号</w:t>
            </w:r>
          </w:p>
        </w:tc>
        <w:tc>
          <w:tcPr>
            <w:tcW w:w="2428"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竞采要求</w:t>
            </w:r>
          </w:p>
        </w:tc>
        <w:tc>
          <w:tcPr>
            <w:tcW w:w="2520"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响应情况</w:t>
            </w:r>
          </w:p>
        </w:tc>
        <w:tc>
          <w:tcPr>
            <w:tcW w:w="1888"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c>
          <w:tcPr>
            <w:tcW w:w="2428"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c>
          <w:tcPr>
            <w:tcW w:w="2520"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c>
          <w:tcPr>
            <w:tcW w:w="1888"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c>
          <w:tcPr>
            <w:tcW w:w="2428"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c>
          <w:tcPr>
            <w:tcW w:w="2520"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c>
          <w:tcPr>
            <w:tcW w:w="1888"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c>
          <w:tcPr>
            <w:tcW w:w="2428"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c>
          <w:tcPr>
            <w:tcW w:w="2520"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c>
          <w:tcPr>
            <w:tcW w:w="1888"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c>
          <w:tcPr>
            <w:tcW w:w="2428"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c>
          <w:tcPr>
            <w:tcW w:w="2520"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c>
          <w:tcPr>
            <w:tcW w:w="1888"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c>
          <w:tcPr>
            <w:tcW w:w="2428"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c>
          <w:tcPr>
            <w:tcW w:w="2520"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c>
          <w:tcPr>
            <w:tcW w:w="1888"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c>
          <w:tcPr>
            <w:tcW w:w="2428"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c>
          <w:tcPr>
            <w:tcW w:w="2520"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c>
          <w:tcPr>
            <w:tcW w:w="1888"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c>
          <w:tcPr>
            <w:tcW w:w="2428"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c>
          <w:tcPr>
            <w:tcW w:w="2520"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c>
          <w:tcPr>
            <w:tcW w:w="1888" w:type="dxa"/>
            <w:vAlign w:val="center"/>
          </w:tcPr>
          <w:p>
            <w:pPr>
              <w:keepNext w:val="0"/>
              <w:keepLines w:val="0"/>
              <w:suppressLineNumbers w:val="0"/>
              <w:spacing w:before="0" w:beforeAutospacing="0" w:after="0" w:afterAutospacing="0"/>
              <w:ind w:left="0" w:right="0"/>
              <w:rPr>
                <w:rFonts w:hint="eastAsia" w:ascii="方正仿宋_GBK" w:hAnsi="仿宋" w:eastAsia="方正仿宋_GBK"/>
                <w:sz w:val="21"/>
                <w:szCs w:val="21"/>
                <w:highlight w:val="none"/>
              </w:rPr>
            </w:pPr>
          </w:p>
        </w:tc>
      </w:tr>
    </w:tbl>
    <w:p>
      <w:pPr>
        <w:rPr>
          <w:rFonts w:ascii="方正仿宋_GBK" w:hAnsi="仿宋" w:eastAsia="方正仿宋_GBK"/>
          <w:sz w:val="24"/>
          <w:szCs w:val="28"/>
          <w:highlight w:val="none"/>
        </w:rPr>
      </w:pPr>
      <w:r>
        <w:rPr>
          <w:rFonts w:hint="eastAsia" w:ascii="方正仿宋_GBK" w:hAnsi="仿宋" w:eastAsia="方正仿宋_GBK"/>
          <w:sz w:val="24"/>
          <w:szCs w:val="28"/>
          <w:highlight w:val="none"/>
        </w:rPr>
        <w:t>供应商：                            法定代表人或法定代表人授权代表：</w:t>
      </w:r>
    </w:p>
    <w:p>
      <w:pPr>
        <w:rPr>
          <w:rFonts w:ascii="方正仿宋_GBK" w:hAnsi="仿宋" w:eastAsia="方正仿宋_GBK"/>
          <w:sz w:val="24"/>
          <w:szCs w:val="28"/>
          <w:highlight w:val="none"/>
        </w:rPr>
      </w:pPr>
    </w:p>
    <w:p>
      <w:pPr>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（供应商公章）                               （签字或盖章）</w:t>
      </w:r>
    </w:p>
    <w:p>
      <w:pPr>
        <w:rPr>
          <w:rFonts w:ascii="方正仿宋_GBK" w:hAnsi="仿宋" w:eastAsia="方正仿宋_GBK"/>
          <w:sz w:val="24"/>
          <w:highlight w:val="none"/>
        </w:rPr>
      </w:pPr>
      <w:r>
        <w:rPr>
          <w:rFonts w:hint="eastAsia" w:ascii="方正仿宋_GBK" w:hAnsi="仿宋" w:eastAsia="方正仿宋_GBK"/>
          <w:sz w:val="24"/>
          <w:szCs w:val="28"/>
          <w:highlight w:val="none"/>
        </w:rPr>
        <w:t xml:space="preserve">                                            年     月     日</w:t>
      </w:r>
    </w:p>
    <w:p>
      <w:pPr>
        <w:ind w:firstLine="283" w:firstLineChars="118"/>
        <w:rPr>
          <w:rFonts w:ascii="方正仿宋_GBK" w:hAnsi="仿宋" w:eastAsia="方正仿宋_GBK"/>
          <w:sz w:val="24"/>
          <w:highlight w:val="none"/>
        </w:rPr>
      </w:pPr>
      <w:r>
        <w:rPr>
          <w:rFonts w:hint="eastAsia" w:ascii="方正仿宋_GBK" w:hAnsi="仿宋" w:eastAsia="方正仿宋_GBK"/>
          <w:sz w:val="24"/>
          <w:highlight w:val="none"/>
        </w:rPr>
        <w:t>注：</w:t>
      </w:r>
    </w:p>
    <w:p>
      <w:pPr>
        <w:ind w:firstLine="283" w:firstLineChars="118"/>
        <w:rPr>
          <w:rFonts w:ascii="方正仿宋_GBK" w:hAnsi="仿宋" w:eastAsia="方正仿宋_GBK"/>
          <w:sz w:val="24"/>
          <w:szCs w:val="24"/>
          <w:highlight w:val="none"/>
        </w:rPr>
      </w:pPr>
      <w:r>
        <w:rPr>
          <w:rFonts w:hint="eastAsia" w:ascii="方正仿宋_GBK" w:hAnsi="仿宋" w:eastAsia="方正仿宋_GBK"/>
          <w:sz w:val="24"/>
          <w:szCs w:val="24"/>
          <w:highlight w:val="none"/>
        </w:rPr>
        <w:t>1.本表即为对本项目中所列商务要求进行比较和响应；</w:t>
      </w:r>
    </w:p>
    <w:p>
      <w:pPr>
        <w:ind w:firstLine="283" w:firstLineChars="118"/>
        <w:rPr>
          <w:rFonts w:ascii="方正仿宋_GBK" w:hAnsi="仿宋" w:eastAsia="方正仿宋_GBK"/>
          <w:sz w:val="24"/>
          <w:szCs w:val="24"/>
          <w:highlight w:val="none"/>
          <w:u w:val="single"/>
        </w:rPr>
      </w:pPr>
      <w:r>
        <w:rPr>
          <w:rFonts w:hint="eastAsia" w:ascii="方正仿宋_GBK" w:hAnsi="仿宋" w:eastAsia="方正仿宋_GBK"/>
          <w:sz w:val="24"/>
          <w:szCs w:val="24"/>
          <w:highlight w:val="none"/>
          <w:u w:val="single"/>
        </w:rPr>
        <w:t>2. .该表可以不逐条填写，投标人根据实际情况在“差异说明”项填写正偏离或负偏离及原因。</w:t>
      </w:r>
    </w:p>
    <w:p>
      <w:pPr>
        <w:ind w:firstLine="283" w:firstLineChars="118"/>
        <w:rPr>
          <w:rFonts w:ascii="方正仿宋_GBK" w:hAnsi="仿宋" w:eastAsia="方正仿宋_GBK"/>
          <w:sz w:val="24"/>
          <w:szCs w:val="24"/>
          <w:highlight w:val="none"/>
        </w:rPr>
      </w:pPr>
      <w:r>
        <w:rPr>
          <w:rFonts w:hint="eastAsia" w:ascii="方正仿宋_GBK" w:hAnsi="仿宋" w:eastAsia="方正仿宋_GBK"/>
          <w:sz w:val="24"/>
          <w:szCs w:val="24"/>
          <w:highlight w:val="none"/>
        </w:rPr>
        <w:t>3.该表可扩展；</w:t>
      </w:r>
    </w:p>
    <w:p>
      <w:pPr>
        <w:ind w:firstLine="283" w:firstLineChars="118"/>
        <w:rPr>
          <w:rFonts w:ascii="方正仿宋_GBK" w:hAnsi="仿宋" w:eastAsia="方正仿宋_GBK"/>
          <w:sz w:val="24"/>
          <w:szCs w:val="24"/>
          <w:highlight w:val="none"/>
        </w:rPr>
      </w:pPr>
      <w:r>
        <w:rPr>
          <w:rFonts w:hint="eastAsia" w:ascii="方正仿宋_GBK" w:hAnsi="仿宋" w:eastAsia="方正仿宋_GBK"/>
          <w:sz w:val="24"/>
          <w:szCs w:val="24"/>
          <w:highlight w:val="none"/>
        </w:rPr>
        <w:t>4.可附相关技术支撑材料。（格式自定）</w:t>
      </w:r>
    </w:p>
    <w:p>
      <w:pPr>
        <w:ind w:firstLine="240" w:firstLineChars="100"/>
        <w:rPr>
          <w:rFonts w:ascii="仿宋" w:hAnsi="仿宋" w:eastAsia="仿宋" w:cs="仿宋"/>
          <w:sz w:val="24"/>
          <w:szCs w:val="24"/>
          <w:highlight w:val="none"/>
        </w:rPr>
      </w:pPr>
      <w:r>
        <w:rPr>
          <w:rFonts w:hint="eastAsia" w:ascii="方正仿宋_GBK" w:hAnsi="仿宋" w:eastAsia="方正仿宋_GBK"/>
          <w:sz w:val="24"/>
          <w:szCs w:val="24"/>
          <w:highlight w:val="none"/>
        </w:rPr>
        <w:t>5、该表必须按格式规定签字或盖章，否则作为无效投标。</w:t>
      </w:r>
    </w:p>
    <w:p>
      <w:pPr>
        <w:rPr>
          <w:rFonts w:ascii="仿宋" w:hAnsi="仿宋" w:eastAsia="仿宋"/>
          <w:b/>
          <w:bCs/>
          <w:sz w:val="24"/>
          <w:szCs w:val="24"/>
          <w:highlight w:val="none"/>
        </w:rPr>
      </w:pPr>
      <w:r>
        <w:rPr>
          <w:rFonts w:hint="eastAsia" w:ascii="仿宋" w:hAnsi="仿宋" w:eastAsia="仿宋"/>
          <w:b/>
          <w:bCs/>
          <w:sz w:val="24"/>
          <w:szCs w:val="24"/>
          <w:highlight w:val="none"/>
        </w:rPr>
        <w:br w:type="page"/>
      </w: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四、资格条件及其他</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（一）法人营业执照（副本）或事业单位法人证书（副本）或个体工商户营业执照或有效的自然人身份证明或社会团体法人登记证书复印件</w:t>
      </w:r>
    </w:p>
    <w:p>
      <w:pPr>
        <w:rPr>
          <w:rFonts w:ascii="仿宋" w:hAnsi="仿宋" w:eastAsia="仿宋" w:cs="仿宋"/>
          <w:sz w:val="24"/>
          <w:szCs w:val="24"/>
          <w:highlight w:val="none"/>
        </w:rPr>
      </w:pPr>
      <w:r>
        <w:rPr>
          <w:rFonts w:hint="eastAsia" w:ascii="仿宋" w:hAnsi="仿宋" w:eastAsia="仿宋" w:cs="仿宋"/>
          <w:sz w:val="24"/>
          <w:szCs w:val="24"/>
          <w:highlight w:val="none"/>
        </w:rPr>
        <w:br w:type="page"/>
      </w:r>
    </w:p>
    <w:p>
      <w:pPr>
        <w:tabs>
          <w:tab w:val="left" w:pos="6300"/>
        </w:tabs>
        <w:snapToGrid w:val="0"/>
        <w:spacing w:line="312" w:lineRule="auto"/>
        <w:rPr>
          <w:rFonts w:ascii="仿宋" w:hAnsi="仿宋" w:eastAsia="仿宋" w:cs="仿宋"/>
          <w:sz w:val="24"/>
          <w:szCs w:val="24"/>
          <w:highlight w:val="none"/>
        </w:rPr>
      </w:pPr>
      <w:r>
        <w:rPr>
          <w:rFonts w:hint="eastAsia" w:ascii="仿宋" w:hAnsi="仿宋" w:eastAsia="仿宋" w:cs="仿宋"/>
          <w:sz w:val="24"/>
          <w:szCs w:val="24"/>
          <w:highlight w:val="none"/>
        </w:rPr>
        <w:t>（二）法定代表人身份证明书</w:t>
      </w:r>
      <w:r>
        <w:rPr>
          <w:rFonts w:hint="eastAsia" w:ascii="仿宋" w:hAnsi="仿宋" w:eastAsia="仿宋" w:cs="仿宋"/>
          <w:color w:val="FF0000"/>
          <w:sz w:val="24"/>
          <w:szCs w:val="24"/>
          <w:highlight w:val="none"/>
        </w:rPr>
        <w:t>（格式）</w:t>
      </w:r>
      <w:r>
        <w:rPr>
          <w:rFonts w:hint="eastAsia" w:ascii="仿宋" w:hAnsi="仿宋" w:eastAsia="仿宋" w:cs="仿宋"/>
          <w:sz w:val="24"/>
          <w:szCs w:val="24"/>
          <w:highlight w:val="none"/>
        </w:rPr>
        <w:t>/法定代表人授权委托书</w:t>
      </w:r>
      <w:r>
        <w:rPr>
          <w:rFonts w:hint="eastAsia" w:ascii="仿宋" w:hAnsi="仿宋" w:eastAsia="仿宋" w:cs="仿宋"/>
          <w:color w:val="FF0000"/>
          <w:sz w:val="24"/>
          <w:szCs w:val="24"/>
          <w:highlight w:val="none"/>
        </w:rPr>
        <w:t>（格式）（二选一）</w:t>
      </w:r>
    </w:p>
    <w:p>
      <w:pPr>
        <w:tabs>
          <w:tab w:val="left" w:pos="6300"/>
        </w:tabs>
        <w:snapToGrid w:val="0"/>
        <w:spacing w:line="312"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法定代表人授权委托书</w:t>
      </w:r>
    </w:p>
    <w:p>
      <w:pPr>
        <w:tabs>
          <w:tab w:val="left" w:pos="6300"/>
        </w:tabs>
        <w:snapToGrid w:val="0"/>
        <w:spacing w:line="312" w:lineRule="auto"/>
        <w:rPr>
          <w:rFonts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（采购人名称）：</w:t>
      </w:r>
    </w:p>
    <w:p>
      <w:pPr>
        <w:tabs>
          <w:tab w:val="left" w:pos="6300"/>
        </w:tabs>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（法定代表人名称）是</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（供应商名称）的法定代表人，特授权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（被授权人姓名及身份证代码）电话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代表我单位全权办理上述项目的竞采、签约等具体工作，并签署全部有关文件、协议及合同。</w:t>
      </w:r>
    </w:p>
    <w:p>
      <w:pPr>
        <w:tabs>
          <w:tab w:val="left" w:pos="6300"/>
        </w:tabs>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我单位对被授权人的签字负全部责任。</w:t>
      </w:r>
    </w:p>
    <w:p>
      <w:pPr>
        <w:tabs>
          <w:tab w:val="left" w:pos="6300"/>
        </w:tabs>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仿宋" w:hAnsi="仿宋" w:eastAsia="仿宋" w:cs="仿宋"/>
          <w:sz w:val="24"/>
          <w:szCs w:val="24"/>
          <w:highlight w:val="none"/>
        </w:rPr>
      </w:pPr>
    </w:p>
    <w:p>
      <w:pPr>
        <w:tabs>
          <w:tab w:val="left" w:pos="6300"/>
        </w:tabs>
        <w:snapToGrid w:val="0"/>
        <w:spacing w:line="312" w:lineRule="auto"/>
        <w:ind w:firstLine="570"/>
        <w:rPr>
          <w:rFonts w:ascii="仿宋" w:hAnsi="仿宋" w:eastAsia="仿宋" w:cs="仿宋"/>
          <w:sz w:val="24"/>
          <w:szCs w:val="24"/>
          <w:highlight w:val="none"/>
        </w:rPr>
      </w:pPr>
    </w:p>
    <w:p>
      <w:pPr>
        <w:tabs>
          <w:tab w:val="left" w:pos="6300"/>
        </w:tabs>
        <w:snapToGrid w:val="0"/>
        <w:spacing w:line="312"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被授权人：                                 法定代表人：</w:t>
      </w:r>
    </w:p>
    <w:p>
      <w:pPr>
        <w:tabs>
          <w:tab w:val="left" w:pos="6300"/>
        </w:tabs>
        <w:snapToGrid w:val="0"/>
        <w:spacing w:line="312"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（签字或盖章）                             （签字或盖章）</w:t>
      </w:r>
    </w:p>
    <w:p>
      <w:pPr>
        <w:tabs>
          <w:tab w:val="left" w:pos="6300"/>
        </w:tabs>
        <w:snapToGrid w:val="0"/>
        <w:spacing w:line="312" w:lineRule="auto"/>
        <w:ind w:firstLine="570"/>
        <w:rPr>
          <w:rFonts w:ascii="仿宋" w:hAnsi="仿宋" w:eastAsia="仿宋" w:cs="仿宋"/>
          <w:sz w:val="24"/>
          <w:szCs w:val="24"/>
          <w:highlight w:val="none"/>
        </w:rPr>
      </w:pPr>
    </w:p>
    <w:p>
      <w:pPr>
        <w:tabs>
          <w:tab w:val="left" w:pos="6300"/>
        </w:tabs>
        <w:snapToGrid w:val="0"/>
        <w:spacing w:line="312"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（附：被授权人身份证正反面复印件）</w:t>
      </w:r>
    </w:p>
    <w:p>
      <w:pPr>
        <w:tabs>
          <w:tab w:val="left" w:pos="6300"/>
        </w:tabs>
        <w:snapToGrid w:val="0"/>
        <w:spacing w:line="312" w:lineRule="auto"/>
        <w:ind w:firstLine="570"/>
        <w:rPr>
          <w:rFonts w:ascii="仿宋" w:hAnsi="仿宋" w:eastAsia="仿宋" w:cs="仿宋"/>
          <w:sz w:val="24"/>
          <w:szCs w:val="24"/>
          <w:highlight w:val="none"/>
        </w:rPr>
      </w:pPr>
    </w:p>
    <w:p>
      <w:pPr>
        <w:tabs>
          <w:tab w:val="left" w:pos="6300"/>
        </w:tabs>
        <w:snapToGrid w:val="0"/>
        <w:spacing w:line="312" w:lineRule="auto"/>
        <w:ind w:right="480" w:firstLine="570"/>
        <w:jc w:val="right"/>
        <w:rPr>
          <w:rFonts w:ascii="仿宋" w:hAnsi="仿宋" w:eastAsia="仿宋" w:cs="仿宋"/>
          <w:sz w:val="24"/>
          <w:szCs w:val="24"/>
          <w:highlight w:val="none"/>
        </w:rPr>
      </w:pPr>
      <w:r>
        <w:rPr>
          <w:rFonts w:hint="eastAsia" w:ascii="仿宋" w:hAnsi="仿宋" w:eastAsia="仿宋" w:cs="仿宋"/>
          <w:sz w:val="24"/>
          <w:szCs w:val="24"/>
          <w:highlight w:val="none"/>
        </w:rPr>
        <w:t>供应商名称（公章）</w:t>
      </w:r>
    </w:p>
    <w:p>
      <w:pPr>
        <w:tabs>
          <w:tab w:val="left" w:pos="6300"/>
        </w:tabs>
        <w:snapToGrid w:val="0"/>
        <w:spacing w:line="312" w:lineRule="auto"/>
        <w:ind w:right="480" w:firstLine="57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tabs>
          <w:tab w:val="left" w:pos="6300"/>
        </w:tabs>
        <w:snapToGrid w:val="0"/>
        <w:spacing w:line="312" w:lineRule="auto"/>
        <w:ind w:right="-1"/>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pPr>
        <w:tabs>
          <w:tab w:val="left" w:pos="6300"/>
        </w:tabs>
        <w:snapToGrid w:val="0"/>
        <w:spacing w:line="312" w:lineRule="auto"/>
        <w:ind w:right="-1"/>
        <w:rPr>
          <w:rFonts w:ascii="仿宋" w:hAnsi="仿宋" w:eastAsia="仿宋" w:cs="仿宋"/>
          <w:sz w:val="24"/>
          <w:szCs w:val="24"/>
          <w:highlight w:val="none"/>
        </w:rPr>
      </w:pPr>
    </w:p>
    <w:p>
      <w:pPr>
        <w:tabs>
          <w:tab w:val="left" w:pos="6300"/>
        </w:tabs>
        <w:snapToGrid w:val="0"/>
        <w:spacing w:line="312"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法定代表人身份证明书</w:t>
      </w:r>
    </w:p>
    <w:p>
      <w:pPr>
        <w:tabs>
          <w:tab w:val="left" w:pos="6300"/>
        </w:tabs>
        <w:snapToGrid w:val="0"/>
        <w:spacing w:line="312" w:lineRule="auto"/>
        <w:rPr>
          <w:rFonts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（采购人名称）：</w:t>
      </w:r>
    </w:p>
    <w:p>
      <w:pPr>
        <w:tabs>
          <w:tab w:val="left" w:pos="6300"/>
        </w:tabs>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（法定代表人名称及身份证代码）是</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（供应商名称）的法定代表人，电话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代表我单位全权办理上述项目的竞采、签约等具体工作，并签署全部有关文件、协议及合同。签字负全部责任。</w:t>
      </w:r>
    </w:p>
    <w:p>
      <w:pPr>
        <w:tabs>
          <w:tab w:val="left" w:pos="6300"/>
        </w:tabs>
        <w:snapToGrid w:val="0"/>
        <w:spacing w:line="312" w:lineRule="auto"/>
        <w:ind w:firstLine="570"/>
        <w:rPr>
          <w:rFonts w:ascii="仿宋" w:hAnsi="仿宋" w:eastAsia="仿宋" w:cs="仿宋"/>
          <w:sz w:val="24"/>
          <w:szCs w:val="24"/>
          <w:highlight w:val="none"/>
        </w:rPr>
      </w:pPr>
    </w:p>
    <w:p>
      <w:pPr>
        <w:tabs>
          <w:tab w:val="left" w:pos="6300"/>
        </w:tabs>
        <w:snapToGrid w:val="0"/>
        <w:spacing w:line="312" w:lineRule="auto"/>
        <w:ind w:firstLine="570"/>
        <w:rPr>
          <w:rFonts w:ascii="仿宋" w:hAnsi="仿宋" w:eastAsia="仿宋" w:cs="仿宋"/>
          <w:sz w:val="24"/>
          <w:szCs w:val="24"/>
          <w:highlight w:val="none"/>
        </w:rPr>
      </w:pPr>
    </w:p>
    <w:p>
      <w:pPr>
        <w:tabs>
          <w:tab w:val="left" w:pos="6300"/>
        </w:tabs>
        <w:snapToGrid w:val="0"/>
        <w:spacing w:line="312"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法定代表人（签字或盖章）：                          供应商名称（公章）</w:t>
      </w:r>
    </w:p>
    <w:p>
      <w:pPr>
        <w:tabs>
          <w:tab w:val="left" w:pos="6300"/>
        </w:tabs>
        <w:snapToGrid w:val="0"/>
        <w:spacing w:line="312" w:lineRule="auto"/>
        <w:ind w:right="360" w:firstLine="57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tabs>
          <w:tab w:val="left" w:pos="6300"/>
        </w:tabs>
        <w:snapToGrid w:val="0"/>
        <w:spacing w:line="312"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（附：法定代表人身份证正反面复印件）</w:t>
      </w:r>
    </w:p>
    <w:p>
      <w:pPr>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（三）基本资格条件承诺函</w:t>
      </w:r>
    </w:p>
    <w:p>
      <w:pPr>
        <w:widowControl/>
        <w:spacing w:line="530" w:lineRule="exact"/>
        <w:jc w:val="left"/>
        <w:rPr>
          <w:rFonts w:ascii="仿宋" w:hAnsi="仿宋" w:eastAsia="仿宋" w:cs="仿宋"/>
          <w:sz w:val="24"/>
          <w:szCs w:val="24"/>
          <w:highlight w:val="none"/>
        </w:rPr>
      </w:pPr>
    </w:p>
    <w:p>
      <w:pPr>
        <w:tabs>
          <w:tab w:val="left" w:pos="6300"/>
        </w:tabs>
        <w:snapToGrid w:val="0"/>
        <w:spacing w:line="53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基本资格条件承诺函</w:t>
      </w:r>
    </w:p>
    <w:p>
      <w:pPr>
        <w:tabs>
          <w:tab w:val="left" w:pos="6300"/>
        </w:tabs>
        <w:snapToGrid w:val="0"/>
        <w:spacing w:line="530" w:lineRule="exact"/>
        <w:rPr>
          <w:rFonts w:ascii="仿宋" w:hAnsi="仿宋" w:eastAsia="仿宋" w:cs="仿宋"/>
          <w:sz w:val="24"/>
          <w:szCs w:val="24"/>
          <w:highlight w:val="none"/>
        </w:rPr>
      </w:pPr>
    </w:p>
    <w:p>
      <w:pPr>
        <w:tabs>
          <w:tab w:val="left" w:pos="6300"/>
        </w:tabs>
        <w:snapToGrid w:val="0"/>
        <w:spacing w:line="530" w:lineRule="exact"/>
        <w:rPr>
          <w:rFonts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（采购人名称）：</w:t>
      </w:r>
    </w:p>
    <w:p>
      <w:pPr>
        <w:tabs>
          <w:tab w:val="left" w:pos="6300"/>
        </w:tabs>
        <w:snapToGrid w:val="0"/>
        <w:spacing w:line="53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（投标人名称）郑重承诺：</w:t>
      </w:r>
    </w:p>
    <w:p>
      <w:pPr>
        <w:spacing w:line="53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1.我方具有良好的商业信誉和健全的财务会计制度，具有履行合同所必需的设备和专业技术能力，具</w:t>
      </w:r>
      <w:r>
        <w:rPr>
          <w:rFonts w:hint="eastAsia" w:ascii="仿宋" w:hAnsi="仿宋" w:eastAsia="仿宋" w:cs="仿宋"/>
          <w:sz w:val="24"/>
          <w:szCs w:val="24"/>
          <w:highlight w:val="none"/>
          <w:lang w:val="zh-CN"/>
        </w:rPr>
        <w:t>有依法缴纳税收和社会保障金的良好记录</w:t>
      </w:r>
      <w:r>
        <w:rPr>
          <w:rFonts w:hint="eastAsia" w:ascii="仿宋" w:hAnsi="仿宋" w:eastAsia="仿宋" w:cs="仿宋"/>
          <w:sz w:val="24"/>
          <w:szCs w:val="24"/>
          <w:highlight w:val="none"/>
        </w:rPr>
        <w:t>，参加本项目采购活动前三年内无重大违法活动记录。</w:t>
      </w:r>
    </w:p>
    <w:p>
      <w:pPr>
        <w:spacing w:line="53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3.我方在采购项目评审（评标）环节结束后，随时接受采购人的检查验证，配合提供相关证明材料，证明符合《中华人民共和国政府采购法》规定的投标人基本资格条件。</w:t>
      </w:r>
    </w:p>
    <w:p>
      <w:pPr>
        <w:tabs>
          <w:tab w:val="left" w:pos="6300"/>
        </w:tabs>
        <w:snapToGrid w:val="0"/>
        <w:spacing w:line="53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我方对以上承诺负全部法律责任。</w:t>
      </w:r>
    </w:p>
    <w:p>
      <w:pPr>
        <w:tabs>
          <w:tab w:val="left" w:pos="6300"/>
        </w:tabs>
        <w:snapToGrid w:val="0"/>
        <w:spacing w:line="53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特此承诺。</w:t>
      </w:r>
    </w:p>
    <w:p>
      <w:pPr>
        <w:tabs>
          <w:tab w:val="left" w:pos="6300"/>
        </w:tabs>
        <w:snapToGrid w:val="0"/>
        <w:spacing w:line="530" w:lineRule="exact"/>
        <w:rPr>
          <w:rFonts w:ascii="仿宋" w:hAnsi="仿宋" w:eastAsia="仿宋" w:cs="仿宋"/>
          <w:sz w:val="24"/>
          <w:szCs w:val="24"/>
          <w:highlight w:val="none"/>
        </w:rPr>
      </w:pPr>
    </w:p>
    <w:p>
      <w:pPr>
        <w:tabs>
          <w:tab w:val="left" w:pos="6300"/>
        </w:tabs>
        <w:snapToGrid w:val="0"/>
        <w:spacing w:line="530" w:lineRule="exact"/>
        <w:ind w:right="424" w:firstLine="570"/>
        <w:jc w:val="right"/>
        <w:rPr>
          <w:rFonts w:ascii="仿宋" w:hAnsi="仿宋" w:eastAsia="仿宋" w:cs="仿宋"/>
          <w:sz w:val="24"/>
          <w:szCs w:val="24"/>
          <w:highlight w:val="none"/>
        </w:rPr>
      </w:pPr>
      <w:r>
        <w:rPr>
          <w:rFonts w:hint="eastAsia" w:ascii="仿宋" w:hAnsi="仿宋" w:eastAsia="仿宋" w:cs="仿宋"/>
          <w:sz w:val="24"/>
          <w:szCs w:val="24"/>
          <w:highlight w:val="none"/>
        </w:rPr>
        <w:t>（投标人公章）</w:t>
      </w:r>
    </w:p>
    <w:p>
      <w:pPr>
        <w:tabs>
          <w:tab w:val="left" w:pos="6300"/>
        </w:tabs>
        <w:snapToGrid w:val="0"/>
        <w:spacing w:line="530" w:lineRule="exact"/>
        <w:ind w:right="480" w:firstLine="57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tabs>
          <w:tab w:val="left" w:pos="6300"/>
        </w:tabs>
        <w:snapToGrid w:val="0"/>
        <w:spacing w:line="312" w:lineRule="auto"/>
        <w:rPr>
          <w:rFonts w:ascii="仿宋" w:hAnsi="仿宋" w:eastAsia="仿宋" w:cs="仿宋"/>
          <w:sz w:val="24"/>
          <w:szCs w:val="24"/>
          <w:highlight w:val="none"/>
        </w:rPr>
      </w:pPr>
    </w:p>
    <w:p>
      <w:pPr>
        <w:snapToGrid w:val="0"/>
        <w:spacing w:line="360" w:lineRule="auto"/>
        <w:rPr>
          <w:rFonts w:ascii="仿宋" w:hAnsi="仿宋" w:eastAsia="仿宋"/>
          <w:sz w:val="24"/>
          <w:szCs w:val="24"/>
          <w:highlight w:val="none"/>
        </w:rPr>
      </w:pPr>
    </w:p>
    <w:p>
      <w:pPr>
        <w:snapToGrid w:val="0"/>
        <w:spacing w:line="360" w:lineRule="auto"/>
        <w:rPr>
          <w:rFonts w:ascii="仿宋" w:hAnsi="仿宋" w:eastAsia="仿宋"/>
          <w:sz w:val="24"/>
          <w:szCs w:val="24"/>
          <w:highlight w:val="none"/>
        </w:rPr>
      </w:pPr>
    </w:p>
    <w:p>
      <w:pPr>
        <w:snapToGrid w:val="0"/>
        <w:spacing w:line="360" w:lineRule="auto"/>
        <w:rPr>
          <w:rFonts w:ascii="仿宋" w:hAnsi="仿宋" w:eastAsia="仿宋"/>
          <w:sz w:val="24"/>
          <w:szCs w:val="24"/>
          <w:highlight w:val="none"/>
        </w:rPr>
      </w:pPr>
    </w:p>
    <w:p>
      <w:pPr>
        <w:snapToGrid w:val="0"/>
        <w:spacing w:line="360" w:lineRule="auto"/>
        <w:rPr>
          <w:rFonts w:ascii="仿宋" w:hAnsi="仿宋" w:eastAsia="仿宋"/>
          <w:sz w:val="24"/>
          <w:szCs w:val="24"/>
          <w:highlight w:val="none"/>
        </w:rPr>
      </w:pPr>
    </w:p>
    <w:p>
      <w:pPr>
        <w:snapToGrid w:val="0"/>
        <w:spacing w:line="360" w:lineRule="auto"/>
        <w:rPr>
          <w:rFonts w:ascii="仿宋" w:hAnsi="仿宋" w:eastAsia="仿宋"/>
          <w:sz w:val="24"/>
          <w:szCs w:val="24"/>
          <w:highlight w:val="none"/>
        </w:rPr>
      </w:pPr>
    </w:p>
    <w:p>
      <w:pPr>
        <w:snapToGrid w:val="0"/>
        <w:spacing w:line="360" w:lineRule="auto"/>
        <w:rPr>
          <w:rFonts w:ascii="仿宋" w:hAnsi="仿宋" w:eastAsia="仿宋"/>
          <w:sz w:val="24"/>
          <w:szCs w:val="24"/>
          <w:highlight w:val="none"/>
        </w:rPr>
      </w:pPr>
    </w:p>
    <w:p>
      <w:pPr>
        <w:snapToGrid w:val="0"/>
        <w:spacing w:line="360" w:lineRule="auto"/>
        <w:rPr>
          <w:rFonts w:ascii="仿宋" w:hAnsi="仿宋" w:eastAsia="仿宋"/>
          <w:sz w:val="24"/>
          <w:szCs w:val="24"/>
          <w:highlight w:val="none"/>
        </w:rPr>
      </w:pPr>
    </w:p>
    <w:p>
      <w:pPr>
        <w:snapToGrid w:val="0"/>
        <w:spacing w:line="360" w:lineRule="auto"/>
        <w:rPr>
          <w:rFonts w:ascii="仿宋" w:hAnsi="仿宋" w:eastAsia="仿宋" w:cs="仿宋"/>
          <w:sz w:val="24"/>
          <w:szCs w:val="24"/>
          <w:highlight w:val="none"/>
        </w:rPr>
      </w:pPr>
      <w:r>
        <w:rPr>
          <w:rFonts w:hint="eastAsia" w:ascii="仿宋" w:hAnsi="仿宋" w:eastAsia="仿宋"/>
          <w:sz w:val="24"/>
          <w:szCs w:val="24"/>
          <w:highlight w:val="none"/>
        </w:rPr>
        <w:t>（四）特定资格条件证书或证明文件</w:t>
      </w:r>
    </w:p>
    <w:p>
      <w:pPr>
        <w:rPr>
          <w:highlight w:val="none"/>
        </w:rPr>
      </w:pPr>
    </w:p>
    <w:p>
      <w:pPr>
        <w:rPr>
          <w:rFonts w:ascii="仿宋" w:hAnsi="仿宋" w:eastAsia="仿宋"/>
          <w:b/>
          <w:bCs/>
          <w:sz w:val="24"/>
          <w:szCs w:val="24"/>
          <w:highlight w:val="none"/>
        </w:rPr>
      </w:pPr>
      <w:r>
        <w:rPr>
          <w:rFonts w:hint="eastAsia" w:ascii="仿宋" w:hAnsi="仿宋" w:eastAsia="仿宋"/>
          <w:b/>
          <w:bCs/>
          <w:sz w:val="24"/>
          <w:szCs w:val="24"/>
          <w:highlight w:val="none"/>
        </w:rPr>
        <w:br w:type="page"/>
      </w: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五、其他应提供的资料</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（一）中小企业声明函、监狱企业证明文件、残疾人福利性单位声明函</w:t>
      </w:r>
      <w:r>
        <w:rPr>
          <w:rFonts w:hint="eastAsia" w:ascii="仿宋" w:hAnsi="仿宋" w:eastAsia="仿宋"/>
          <w:color w:val="FF0000"/>
          <w:sz w:val="24"/>
          <w:szCs w:val="24"/>
          <w:highlight w:val="none"/>
        </w:rPr>
        <w:t>（若有）</w:t>
      </w:r>
    </w:p>
    <w:p>
      <w:pPr>
        <w:widowControl/>
        <w:jc w:val="left"/>
        <w:rPr>
          <w:highlight w:val="none"/>
        </w:rPr>
      </w:pPr>
      <w:r>
        <w:rPr>
          <w:rFonts w:hint="eastAsia" w:ascii="仿宋" w:hAnsi="仿宋" w:eastAsia="仿宋"/>
          <w:sz w:val="24"/>
          <w:szCs w:val="24"/>
          <w:highlight w:val="none"/>
        </w:rPr>
        <w:t>（二）其他与项目有关的资料（自附）</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- 3 -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5sK8K6YBAAA/AwAADgAAAAAA&#10;AAABACAAAAAeAQAAZHJzL2Uyb0RvYy54bWxQSwUGAAAAAAYABgBZAQAANg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11"/>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GzHS&#10;AAAAAwEAAA8AAAAAAAAAAQAgAAAAIgAAAGRycy9kb3ducmV2LnhtbFBLAQIUABQAAAAIAIdO4kC/&#10;KPiz7QEAALUDAAAOAAAAAAAAAAEAIAAAACEBAABkcnMvZTJvRG9jLnhtbFBLBQYAAAAABgAGAFkB&#10;AACABQAAAAA=&#10;">
              <v:fill on="f" focussize="0,0"/>
              <v:stroke on="f"/>
              <v:imagedata o:title=""/>
              <o:lock v:ext="edit" aspectratio="f"/>
              <v:textbox inset="0mm,0mm,0mm,0mm" style="mso-fit-shape-to-text:t;">
                <w:txbxContent>
                  <w:p>
                    <w:pPr>
                      <w:pStyle w:val="11"/>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9525">
                        <a:noFill/>
                      </a:ln>
                    </wps:spPr>
                    <wps:txbx>
                      <w:txbxContent>
                        <w:p>
                          <w:pPr>
                            <w:pStyle w:val="11"/>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20</w:t>
                          </w:r>
                          <w:r>
                            <w:rPr>
                              <w:rFonts w:ascii="宋体" w:hAnsi="宋体" w:cs="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fLHALRAAAAAgEAAA8AAAAAAAAAAQAgAAAAIgAAAGRycy9kb3ducmV2LnhtbFBLAQIUABQAAAAI&#10;AIdO4kAzKeDNuwEAAFEDAAAOAAAAAAAAAAEAIAAAACABAABkcnMvZTJvRG9jLnhtbFBLBQYAAAAA&#10;BgAGAFkBAABNBQAAAAA=&#10;">
              <v:fill on="f" focussize="0,0"/>
              <v:stroke on="f"/>
              <v:imagedata o:title=""/>
              <o:lock v:ext="edit" aspectratio="f"/>
              <v:textbox inset="0mm,0mm,0mm,0mm" style="mso-fit-shape-to-text:t;">
                <w:txbxContent>
                  <w:p>
                    <w:pPr>
                      <w:pStyle w:val="11"/>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20</w:t>
                    </w:r>
                    <w:r>
                      <w:rPr>
                        <w:rFonts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9F255"/>
    <w:multiLevelType w:val="singleLevel"/>
    <w:tmpl w:val="AAF9F255"/>
    <w:lvl w:ilvl="0" w:tentative="0">
      <w:start w:val="1"/>
      <w:numFmt w:val="decimal"/>
      <w:suff w:val="nothing"/>
      <w:lvlText w:val="%1、"/>
      <w:lvlJc w:val="left"/>
    </w:lvl>
  </w:abstractNum>
  <w:abstractNum w:abstractNumId="1">
    <w:nsid w:val="64F7617D"/>
    <w:multiLevelType w:val="singleLevel"/>
    <w:tmpl w:val="64F7617D"/>
    <w:lvl w:ilvl="0" w:tentative="0">
      <w:start w:val="1"/>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kNWU0ZTc3YmQwNDdiZDdmZTA1Njc1ZjUyOGJjYjgifQ=="/>
  </w:docVars>
  <w:rsids>
    <w:rsidRoot w:val="648171E5"/>
    <w:rsid w:val="000E116B"/>
    <w:rsid w:val="00206860"/>
    <w:rsid w:val="00374B66"/>
    <w:rsid w:val="003D149B"/>
    <w:rsid w:val="004662F8"/>
    <w:rsid w:val="004B20E8"/>
    <w:rsid w:val="004B316C"/>
    <w:rsid w:val="004F1BE6"/>
    <w:rsid w:val="005665F0"/>
    <w:rsid w:val="005C6A55"/>
    <w:rsid w:val="00725010"/>
    <w:rsid w:val="007F4E0B"/>
    <w:rsid w:val="00804C20"/>
    <w:rsid w:val="00882D78"/>
    <w:rsid w:val="008A7880"/>
    <w:rsid w:val="00A5709C"/>
    <w:rsid w:val="00AB1812"/>
    <w:rsid w:val="00B1394A"/>
    <w:rsid w:val="00B716A1"/>
    <w:rsid w:val="00B94F10"/>
    <w:rsid w:val="00BD477D"/>
    <w:rsid w:val="00BD7C61"/>
    <w:rsid w:val="00BF0D97"/>
    <w:rsid w:val="00C51BB1"/>
    <w:rsid w:val="00C86AE6"/>
    <w:rsid w:val="00D47FC1"/>
    <w:rsid w:val="00DA5306"/>
    <w:rsid w:val="00DD7FCF"/>
    <w:rsid w:val="00F62A37"/>
    <w:rsid w:val="00FA5A56"/>
    <w:rsid w:val="010B7C66"/>
    <w:rsid w:val="014D298B"/>
    <w:rsid w:val="014D2ED7"/>
    <w:rsid w:val="015C4E99"/>
    <w:rsid w:val="01653C8E"/>
    <w:rsid w:val="0265135A"/>
    <w:rsid w:val="027731C8"/>
    <w:rsid w:val="02B97A2C"/>
    <w:rsid w:val="02C17F88"/>
    <w:rsid w:val="02CD5FA7"/>
    <w:rsid w:val="02DC76FD"/>
    <w:rsid w:val="02F61A9A"/>
    <w:rsid w:val="02FC43D4"/>
    <w:rsid w:val="033601C7"/>
    <w:rsid w:val="03FA684E"/>
    <w:rsid w:val="04991D9B"/>
    <w:rsid w:val="05EE22F4"/>
    <w:rsid w:val="06FD08ED"/>
    <w:rsid w:val="0746233A"/>
    <w:rsid w:val="07697A64"/>
    <w:rsid w:val="077C22B4"/>
    <w:rsid w:val="08277C17"/>
    <w:rsid w:val="08BB131D"/>
    <w:rsid w:val="08F318AB"/>
    <w:rsid w:val="08F972F8"/>
    <w:rsid w:val="093C7B28"/>
    <w:rsid w:val="0946009F"/>
    <w:rsid w:val="0A911A78"/>
    <w:rsid w:val="0AA53284"/>
    <w:rsid w:val="0ABB49E8"/>
    <w:rsid w:val="0B3D6111"/>
    <w:rsid w:val="0B425207"/>
    <w:rsid w:val="0C6B62A2"/>
    <w:rsid w:val="0C8A21A0"/>
    <w:rsid w:val="0C9949B9"/>
    <w:rsid w:val="0CEA36C2"/>
    <w:rsid w:val="0D334305"/>
    <w:rsid w:val="0E6D26AF"/>
    <w:rsid w:val="0FFA2041"/>
    <w:rsid w:val="105C0C60"/>
    <w:rsid w:val="10785105"/>
    <w:rsid w:val="10DB3987"/>
    <w:rsid w:val="10E4220D"/>
    <w:rsid w:val="12B7446D"/>
    <w:rsid w:val="13D30BC8"/>
    <w:rsid w:val="14CE6C8D"/>
    <w:rsid w:val="15011905"/>
    <w:rsid w:val="152B0904"/>
    <w:rsid w:val="15363887"/>
    <w:rsid w:val="15CB4949"/>
    <w:rsid w:val="15DF699D"/>
    <w:rsid w:val="16007BEB"/>
    <w:rsid w:val="161E1E98"/>
    <w:rsid w:val="163D1FEE"/>
    <w:rsid w:val="16540553"/>
    <w:rsid w:val="167F30CD"/>
    <w:rsid w:val="16C14D91"/>
    <w:rsid w:val="17533AB9"/>
    <w:rsid w:val="183A52F6"/>
    <w:rsid w:val="1A3A3134"/>
    <w:rsid w:val="1A7F2286"/>
    <w:rsid w:val="1BA02EAC"/>
    <w:rsid w:val="1BB27AA1"/>
    <w:rsid w:val="1BD51153"/>
    <w:rsid w:val="1C3013B4"/>
    <w:rsid w:val="1C664547"/>
    <w:rsid w:val="1CCE37D1"/>
    <w:rsid w:val="1CE0564D"/>
    <w:rsid w:val="1D492719"/>
    <w:rsid w:val="1D533029"/>
    <w:rsid w:val="1D80066B"/>
    <w:rsid w:val="1DBD0AF2"/>
    <w:rsid w:val="1E4005F7"/>
    <w:rsid w:val="1ED9692C"/>
    <w:rsid w:val="1F07426E"/>
    <w:rsid w:val="1F426E41"/>
    <w:rsid w:val="1F4C6666"/>
    <w:rsid w:val="1F63405F"/>
    <w:rsid w:val="1F856CC7"/>
    <w:rsid w:val="20142AD8"/>
    <w:rsid w:val="203171E6"/>
    <w:rsid w:val="20BF2BDC"/>
    <w:rsid w:val="20F91BA5"/>
    <w:rsid w:val="20FB0179"/>
    <w:rsid w:val="21391D1D"/>
    <w:rsid w:val="21550B10"/>
    <w:rsid w:val="21CB1EFE"/>
    <w:rsid w:val="23CC78AD"/>
    <w:rsid w:val="24187544"/>
    <w:rsid w:val="24A849FF"/>
    <w:rsid w:val="24C45B61"/>
    <w:rsid w:val="24DA27B2"/>
    <w:rsid w:val="24E05C17"/>
    <w:rsid w:val="254B5F0E"/>
    <w:rsid w:val="257E230E"/>
    <w:rsid w:val="25EA44A5"/>
    <w:rsid w:val="26F47776"/>
    <w:rsid w:val="271820AF"/>
    <w:rsid w:val="272E0870"/>
    <w:rsid w:val="278C3677"/>
    <w:rsid w:val="281929E4"/>
    <w:rsid w:val="28391ACD"/>
    <w:rsid w:val="2856023E"/>
    <w:rsid w:val="28C1489C"/>
    <w:rsid w:val="298E38F5"/>
    <w:rsid w:val="299C5651"/>
    <w:rsid w:val="29BA109E"/>
    <w:rsid w:val="29FC0AE9"/>
    <w:rsid w:val="2AEE177B"/>
    <w:rsid w:val="2B505C73"/>
    <w:rsid w:val="2BB160C2"/>
    <w:rsid w:val="2BC803BA"/>
    <w:rsid w:val="2C387F58"/>
    <w:rsid w:val="2CB56D3F"/>
    <w:rsid w:val="2CFA3F7D"/>
    <w:rsid w:val="2D12042C"/>
    <w:rsid w:val="2DB0354B"/>
    <w:rsid w:val="2E402CEA"/>
    <w:rsid w:val="2E535609"/>
    <w:rsid w:val="2E6D0438"/>
    <w:rsid w:val="2EED7A8D"/>
    <w:rsid w:val="2F1D79A9"/>
    <w:rsid w:val="2F254CDF"/>
    <w:rsid w:val="2FAF23F8"/>
    <w:rsid w:val="2FB36AC9"/>
    <w:rsid w:val="2FE079BD"/>
    <w:rsid w:val="2FE9588E"/>
    <w:rsid w:val="30493F34"/>
    <w:rsid w:val="30755EF8"/>
    <w:rsid w:val="30906E39"/>
    <w:rsid w:val="31D900D5"/>
    <w:rsid w:val="322C3CB1"/>
    <w:rsid w:val="3269729C"/>
    <w:rsid w:val="33A84788"/>
    <w:rsid w:val="33BA243C"/>
    <w:rsid w:val="34FD577E"/>
    <w:rsid w:val="3537465F"/>
    <w:rsid w:val="35693EDC"/>
    <w:rsid w:val="36680D33"/>
    <w:rsid w:val="3762046C"/>
    <w:rsid w:val="37980355"/>
    <w:rsid w:val="37A56F7C"/>
    <w:rsid w:val="37A95725"/>
    <w:rsid w:val="37F0618C"/>
    <w:rsid w:val="380B0DCB"/>
    <w:rsid w:val="383E3A07"/>
    <w:rsid w:val="385A4F22"/>
    <w:rsid w:val="38A350DF"/>
    <w:rsid w:val="38B6335B"/>
    <w:rsid w:val="395F6C2C"/>
    <w:rsid w:val="398F08C1"/>
    <w:rsid w:val="39E6472E"/>
    <w:rsid w:val="39ED1C44"/>
    <w:rsid w:val="3A2B0CF2"/>
    <w:rsid w:val="3A795E88"/>
    <w:rsid w:val="3AD62C53"/>
    <w:rsid w:val="3B384E25"/>
    <w:rsid w:val="3B61565F"/>
    <w:rsid w:val="3B8A18A3"/>
    <w:rsid w:val="3C27210D"/>
    <w:rsid w:val="3CA056C4"/>
    <w:rsid w:val="3CA8175B"/>
    <w:rsid w:val="3CE13FC5"/>
    <w:rsid w:val="3D887652"/>
    <w:rsid w:val="3D8B4D29"/>
    <w:rsid w:val="3DB6172B"/>
    <w:rsid w:val="3F3B60B2"/>
    <w:rsid w:val="3F4F6158"/>
    <w:rsid w:val="3F8A7675"/>
    <w:rsid w:val="3F965ED3"/>
    <w:rsid w:val="3FCC736D"/>
    <w:rsid w:val="404B13BF"/>
    <w:rsid w:val="40CE0FF0"/>
    <w:rsid w:val="414812E9"/>
    <w:rsid w:val="414D7B4B"/>
    <w:rsid w:val="43CB6702"/>
    <w:rsid w:val="4416656F"/>
    <w:rsid w:val="441A787A"/>
    <w:rsid w:val="45643A70"/>
    <w:rsid w:val="45DA0385"/>
    <w:rsid w:val="461207DE"/>
    <w:rsid w:val="464C40F0"/>
    <w:rsid w:val="46706C50"/>
    <w:rsid w:val="470009EC"/>
    <w:rsid w:val="478F6EF7"/>
    <w:rsid w:val="482B4871"/>
    <w:rsid w:val="48AE12B3"/>
    <w:rsid w:val="48B459D5"/>
    <w:rsid w:val="48C540C0"/>
    <w:rsid w:val="499B579B"/>
    <w:rsid w:val="4A2F09E9"/>
    <w:rsid w:val="4A876C96"/>
    <w:rsid w:val="4AD51E9B"/>
    <w:rsid w:val="4B1A6945"/>
    <w:rsid w:val="4B1C090F"/>
    <w:rsid w:val="4B533C05"/>
    <w:rsid w:val="4BC44C1F"/>
    <w:rsid w:val="4BF02986"/>
    <w:rsid w:val="4C070A81"/>
    <w:rsid w:val="4C9A130E"/>
    <w:rsid w:val="4CBA03DF"/>
    <w:rsid w:val="4D363230"/>
    <w:rsid w:val="4D5329DA"/>
    <w:rsid w:val="4DAF1600"/>
    <w:rsid w:val="4E540F6A"/>
    <w:rsid w:val="4EA8432C"/>
    <w:rsid w:val="4F3767B0"/>
    <w:rsid w:val="4FBF1D20"/>
    <w:rsid w:val="4FC95DEC"/>
    <w:rsid w:val="4FD531B1"/>
    <w:rsid w:val="4FDF577A"/>
    <w:rsid w:val="4FEB616A"/>
    <w:rsid w:val="4FFD1BA7"/>
    <w:rsid w:val="508036EE"/>
    <w:rsid w:val="50962509"/>
    <w:rsid w:val="517817C5"/>
    <w:rsid w:val="555F5229"/>
    <w:rsid w:val="55627D22"/>
    <w:rsid w:val="557FC9C2"/>
    <w:rsid w:val="56496E05"/>
    <w:rsid w:val="566F3059"/>
    <w:rsid w:val="571D183A"/>
    <w:rsid w:val="572069AA"/>
    <w:rsid w:val="580D6188"/>
    <w:rsid w:val="58441029"/>
    <w:rsid w:val="58633D42"/>
    <w:rsid w:val="58A04708"/>
    <w:rsid w:val="58C70629"/>
    <w:rsid w:val="58D23C5D"/>
    <w:rsid w:val="592B5B5A"/>
    <w:rsid w:val="595C578E"/>
    <w:rsid w:val="5A422071"/>
    <w:rsid w:val="5AC42429"/>
    <w:rsid w:val="5AC94301"/>
    <w:rsid w:val="5B35798F"/>
    <w:rsid w:val="5DC8396A"/>
    <w:rsid w:val="5E0616BD"/>
    <w:rsid w:val="5E831D4B"/>
    <w:rsid w:val="5EC55E0B"/>
    <w:rsid w:val="5ED10C10"/>
    <w:rsid w:val="5ED47215"/>
    <w:rsid w:val="5EF83B0D"/>
    <w:rsid w:val="5F2D002C"/>
    <w:rsid w:val="5FC37153"/>
    <w:rsid w:val="61320C52"/>
    <w:rsid w:val="63312848"/>
    <w:rsid w:val="635602DE"/>
    <w:rsid w:val="63662621"/>
    <w:rsid w:val="648171E5"/>
    <w:rsid w:val="64BC4B97"/>
    <w:rsid w:val="66503637"/>
    <w:rsid w:val="668F6351"/>
    <w:rsid w:val="67476078"/>
    <w:rsid w:val="67C267EE"/>
    <w:rsid w:val="681976E6"/>
    <w:rsid w:val="69475245"/>
    <w:rsid w:val="69510C7E"/>
    <w:rsid w:val="69EF4D4F"/>
    <w:rsid w:val="69FC27DF"/>
    <w:rsid w:val="6A05331E"/>
    <w:rsid w:val="6A6E12ED"/>
    <w:rsid w:val="6A835E5D"/>
    <w:rsid w:val="6A9E4D86"/>
    <w:rsid w:val="6B0D510E"/>
    <w:rsid w:val="6B261234"/>
    <w:rsid w:val="6C7B1123"/>
    <w:rsid w:val="6CBC13F4"/>
    <w:rsid w:val="6CD658E3"/>
    <w:rsid w:val="6EBE1E3F"/>
    <w:rsid w:val="6F3A69AC"/>
    <w:rsid w:val="6FCD36D6"/>
    <w:rsid w:val="701A2DBF"/>
    <w:rsid w:val="706B0071"/>
    <w:rsid w:val="70A42689"/>
    <w:rsid w:val="70D84E91"/>
    <w:rsid w:val="70DE65E9"/>
    <w:rsid w:val="71270F97"/>
    <w:rsid w:val="71F65A1B"/>
    <w:rsid w:val="720535FB"/>
    <w:rsid w:val="72997A8F"/>
    <w:rsid w:val="72B15C1A"/>
    <w:rsid w:val="738621B0"/>
    <w:rsid w:val="73BB37E6"/>
    <w:rsid w:val="749E3417"/>
    <w:rsid w:val="74E76FE8"/>
    <w:rsid w:val="74F8540D"/>
    <w:rsid w:val="755542D7"/>
    <w:rsid w:val="75A858F9"/>
    <w:rsid w:val="75EA4E9D"/>
    <w:rsid w:val="766240D7"/>
    <w:rsid w:val="76674B47"/>
    <w:rsid w:val="76980C65"/>
    <w:rsid w:val="774E7F06"/>
    <w:rsid w:val="77993E8A"/>
    <w:rsid w:val="78667AD2"/>
    <w:rsid w:val="78A54023"/>
    <w:rsid w:val="78BE2756"/>
    <w:rsid w:val="79441809"/>
    <w:rsid w:val="79753CD1"/>
    <w:rsid w:val="799A287B"/>
    <w:rsid w:val="79FF331C"/>
    <w:rsid w:val="7A611D04"/>
    <w:rsid w:val="7A8B4A2C"/>
    <w:rsid w:val="7AAD6614"/>
    <w:rsid w:val="7AEB3826"/>
    <w:rsid w:val="7B0A1B69"/>
    <w:rsid w:val="7B510838"/>
    <w:rsid w:val="7B822AFE"/>
    <w:rsid w:val="7C323EFD"/>
    <w:rsid w:val="7C991510"/>
    <w:rsid w:val="7CBFC397"/>
    <w:rsid w:val="7CE041CF"/>
    <w:rsid w:val="7D2115E9"/>
    <w:rsid w:val="7DDC1A10"/>
    <w:rsid w:val="7DF02B02"/>
    <w:rsid w:val="7EA1673E"/>
    <w:rsid w:val="7EA9B091"/>
    <w:rsid w:val="9EFFA850"/>
    <w:rsid w:val="D3B64D37"/>
    <w:rsid w:val="D4FC5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99"/>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Body Text"/>
    <w:basedOn w:val="1"/>
    <w:next w:val="1"/>
    <w:qFormat/>
    <w:uiPriority w:val="0"/>
    <w:rPr>
      <w:rFonts w:ascii="华文中宋" w:eastAsia="华文中宋"/>
      <w:bCs/>
    </w:rPr>
  </w:style>
  <w:style w:type="paragraph" w:styleId="7">
    <w:name w:val="table of authorities"/>
    <w:basedOn w:val="1"/>
    <w:next w:val="1"/>
    <w:qFormat/>
    <w:uiPriority w:val="0"/>
    <w:pPr>
      <w:ind w:left="420" w:leftChars="200"/>
    </w:pPr>
  </w:style>
  <w:style w:type="paragraph" w:styleId="8">
    <w:name w:val="Body Text Indent"/>
    <w:basedOn w:val="1"/>
    <w:qFormat/>
    <w:uiPriority w:val="99"/>
    <w:pPr>
      <w:spacing w:line="700" w:lineRule="exact"/>
      <w:ind w:left="960"/>
    </w:pPr>
    <w:rPr>
      <w:sz w:val="44"/>
    </w:rPr>
  </w:style>
  <w:style w:type="paragraph" w:styleId="9">
    <w:name w:val="Plain Text"/>
    <w:basedOn w:val="1"/>
    <w:next w:val="1"/>
    <w:unhideWhenUsed/>
    <w:qFormat/>
    <w:uiPriority w:val="99"/>
    <w:rPr>
      <w:rFonts w:ascii="宋体" w:hAnsi="Courier New"/>
      <w:kern w:val="0"/>
      <w:sz w:val="20"/>
      <w:szCs w:val="21"/>
    </w:rPr>
  </w:style>
  <w:style w:type="paragraph" w:styleId="10">
    <w:name w:val="Date"/>
    <w:basedOn w:val="1"/>
    <w:next w:val="1"/>
    <w:qFormat/>
    <w:uiPriority w:val="0"/>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99"/>
    <w:pPr>
      <w:spacing w:line="180" w:lineRule="auto"/>
      <w:jc w:val="center"/>
    </w:pPr>
    <w:rPr>
      <w:sz w:val="30"/>
    </w:rPr>
  </w:style>
  <w:style w:type="paragraph" w:styleId="14">
    <w:name w:val="Body Text First Indent"/>
    <w:basedOn w:val="2"/>
    <w:next w:val="1"/>
    <w:qFormat/>
    <w:uiPriority w:val="0"/>
    <w:pPr>
      <w:spacing w:line="360" w:lineRule="auto"/>
      <w:ind w:firstLine="420"/>
    </w:pPr>
    <w:rPr>
      <w:rFonts w:ascii="宋体" w:hAnsi="宋体"/>
      <w:sz w:val="24"/>
    </w:rPr>
  </w:style>
  <w:style w:type="table" w:styleId="16">
    <w:name w:val="Table Grid"/>
    <w:basedOn w:val="15"/>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333333"/>
      <w:u w:val="none"/>
    </w:rPr>
  </w:style>
  <w:style w:type="character" w:customStyle="1" w:styleId="19">
    <w:name w:val="font01"/>
    <w:basedOn w:val="17"/>
    <w:qFormat/>
    <w:uiPriority w:val="0"/>
    <w:rPr>
      <w:rFonts w:hint="eastAsia" w:ascii="等线" w:hAnsi="等线" w:eastAsia="等线" w:cs="等线"/>
      <w:color w:val="000000"/>
      <w:sz w:val="22"/>
      <w:szCs w:val="22"/>
      <w:u w:val="none"/>
    </w:rPr>
  </w:style>
  <w:style w:type="paragraph" w:customStyle="1" w:styleId="2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1">
    <w:name w:val="列出段落1"/>
    <w:basedOn w:val="1"/>
    <w:qFormat/>
    <w:uiPriority w:val="34"/>
    <w:pPr>
      <w:ind w:firstLine="420" w:firstLineChars="200"/>
    </w:pPr>
  </w:style>
  <w:style w:type="paragraph" w:styleId="22">
    <w:name w:val="List Paragraph"/>
    <w:basedOn w:val="1"/>
    <w:qFormat/>
    <w:uiPriority w:val="34"/>
    <w:pPr>
      <w:ind w:firstLine="420" w:firstLineChars="200"/>
    </w:pPr>
  </w:style>
  <w:style w:type="character" w:customStyle="1" w:styleId="23">
    <w:name w:val="font71"/>
    <w:basedOn w:val="17"/>
    <w:qFormat/>
    <w:uiPriority w:val="0"/>
    <w:rPr>
      <w:rFonts w:hint="eastAsia" w:ascii="宋体" w:hAnsi="宋体" w:eastAsia="宋体" w:cs="宋体"/>
      <w:b/>
      <w:bCs/>
      <w:color w:val="FF0000"/>
      <w:sz w:val="20"/>
      <w:szCs w:val="20"/>
      <w:u w:val="none"/>
    </w:rPr>
  </w:style>
  <w:style w:type="character" w:customStyle="1" w:styleId="24">
    <w:name w:val="font31"/>
    <w:basedOn w:val="17"/>
    <w:qFormat/>
    <w:uiPriority w:val="0"/>
    <w:rPr>
      <w:rFonts w:hint="eastAsia" w:ascii="宋体" w:hAnsi="宋体" w:eastAsia="宋体" w:cs="宋体"/>
      <w:b/>
      <w:bCs/>
      <w:color w:val="000000"/>
      <w:sz w:val="20"/>
      <w:szCs w:val="20"/>
      <w:u w:val="none"/>
    </w:rPr>
  </w:style>
  <w:style w:type="character" w:customStyle="1" w:styleId="25">
    <w:name w:val="font11"/>
    <w:basedOn w:val="17"/>
    <w:qFormat/>
    <w:uiPriority w:val="0"/>
    <w:rPr>
      <w:rFonts w:hint="eastAsia" w:ascii="微软雅黑" w:hAnsi="微软雅黑" w:eastAsia="微软雅黑" w:cs="微软雅黑"/>
      <w:color w:val="000000"/>
      <w:sz w:val="16"/>
      <w:szCs w:val="16"/>
      <w:u w:val="none"/>
    </w:rPr>
  </w:style>
  <w:style w:type="character" w:customStyle="1" w:styleId="26">
    <w:name w:val="font41"/>
    <w:basedOn w:val="17"/>
    <w:qFormat/>
    <w:uiPriority w:val="0"/>
    <w:rPr>
      <w:rFonts w:hint="eastAsia" w:ascii="微软雅黑" w:hAnsi="微软雅黑" w:eastAsia="微软雅黑" w:cs="微软雅黑"/>
      <w:color w:val="FF0000"/>
      <w:sz w:val="18"/>
      <w:szCs w:val="18"/>
      <w:u w:val="none"/>
    </w:rPr>
  </w:style>
  <w:style w:type="character" w:customStyle="1" w:styleId="27">
    <w:name w:val="font81"/>
    <w:basedOn w:val="17"/>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393</Words>
  <Characters>422</Characters>
  <Lines>63</Lines>
  <Paragraphs>17</Paragraphs>
  <TotalTime>32</TotalTime>
  <ScaleCrop>false</ScaleCrop>
  <LinksUpToDate>false</LinksUpToDate>
  <CharactersWithSpaces>426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2024-05-10T10:41:00Z</dcterms:created>
  <dc:creator>Administrator</dc:creator>
  <cp:lastModifiedBy>二月春风</cp:lastModifiedBy>
  <cp:lastPrinted>2025-06-14T07:26:00Z</cp:lastPrinted>
  <dcterms:modified xsi:type="dcterms:W3CDTF">2025-06-19T07:00:37Z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9374BD3646FE4FB38BDC7A8ED56B0F6A_13</vt:lpwstr>
  </property>
  <property fmtid="{D5CDD505-2E9C-101B-9397-08002B2CF9AE}" pid="4" name="KSOTemplateDocerSaveRecord">
    <vt:lpwstr>eyJoZGlkIjoiNDI2ZDlmMDI1MTJjMzhiNjQyNzUxZjAyYzlhOTFlZWMiLCJ1c2VySWQiOiIyMDA0NTQzNTcifQ==</vt:lpwstr>
  </property>
</Properties>
</file>