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cs="仿宋"/>
          <w:b/>
          <w:bCs/>
          <w:color w:val="auto"/>
          <w:spacing w:val="80"/>
          <w:sz w:val="112"/>
          <w:szCs w:val="112"/>
          <w:highlight w:val="none"/>
        </w:rPr>
      </w:pPr>
    </w:p>
    <w:p>
      <w:pPr>
        <w:jc w:val="center"/>
        <w:outlineLvl w:val="0"/>
        <w:rPr>
          <w:rFonts w:hint="eastAsia" w:ascii="仿宋" w:hAnsi="仿宋" w:eastAsia="仿宋" w:cs="仿宋"/>
          <w:b/>
          <w:bCs/>
          <w:color w:val="auto"/>
          <w:spacing w:val="80"/>
          <w:sz w:val="112"/>
          <w:szCs w:val="112"/>
          <w:highlight w:val="none"/>
        </w:rPr>
      </w:pPr>
      <w:bookmarkStart w:id="0" w:name="_Toc28778"/>
      <w:bookmarkStart w:id="1" w:name="_Toc20546"/>
      <w:bookmarkStart w:id="2" w:name="_Toc19609"/>
      <w:bookmarkStart w:id="3" w:name="_Toc7408"/>
      <w:bookmarkStart w:id="4" w:name="_Toc16779"/>
      <w:bookmarkStart w:id="5" w:name="_Toc17591"/>
      <w:r>
        <w:rPr>
          <w:rFonts w:hint="eastAsia" w:ascii="仿宋" w:hAnsi="仿宋" w:eastAsia="仿宋" w:cs="仿宋"/>
          <w:b/>
          <w:bCs/>
          <w:color w:val="auto"/>
          <w:spacing w:val="80"/>
          <w:sz w:val="112"/>
          <w:szCs w:val="112"/>
          <w:highlight w:val="none"/>
        </w:rPr>
        <w:t>竞争性比选</w:t>
      </w:r>
      <w:bookmarkEnd w:id="0"/>
      <w:bookmarkEnd w:id="1"/>
    </w:p>
    <w:p>
      <w:pPr>
        <w:jc w:val="center"/>
        <w:outlineLvl w:val="0"/>
        <w:rPr>
          <w:rFonts w:hint="eastAsia" w:ascii="仿宋" w:hAnsi="仿宋" w:eastAsia="仿宋" w:cs="仿宋"/>
          <w:b/>
          <w:bCs/>
          <w:color w:val="auto"/>
          <w:spacing w:val="80"/>
          <w:sz w:val="112"/>
          <w:szCs w:val="112"/>
          <w:highlight w:val="none"/>
        </w:rPr>
      </w:pPr>
      <w:bookmarkStart w:id="6" w:name="_Toc16418"/>
      <w:bookmarkStart w:id="7" w:name="_Toc3180"/>
      <w:r>
        <w:rPr>
          <w:rFonts w:hint="eastAsia" w:ascii="仿宋" w:hAnsi="仿宋" w:eastAsia="仿宋" w:cs="仿宋"/>
          <w:b/>
          <w:bCs/>
          <w:color w:val="auto"/>
          <w:spacing w:val="80"/>
          <w:sz w:val="112"/>
          <w:szCs w:val="112"/>
          <w:highlight w:val="none"/>
        </w:rPr>
        <w:t>采购文件</w:t>
      </w:r>
      <w:bookmarkEnd w:id="2"/>
      <w:bookmarkEnd w:id="3"/>
      <w:bookmarkEnd w:id="4"/>
      <w:bookmarkEnd w:id="5"/>
      <w:bookmarkEnd w:id="6"/>
      <w:bookmarkEnd w:id="7"/>
    </w:p>
    <w:p>
      <w:pPr>
        <w:jc w:val="center"/>
        <w:rPr>
          <w:rFonts w:hint="eastAsia" w:ascii="仿宋" w:hAnsi="仿宋" w:eastAsia="仿宋" w:cs="仿宋"/>
          <w:color w:val="auto"/>
          <w:highlight w:val="none"/>
        </w:rPr>
      </w:pPr>
      <w:r>
        <w:rPr>
          <w:rFonts w:hint="eastAsia" w:ascii="仿宋" w:hAnsi="仿宋" w:eastAsia="仿宋" w:cs="仿宋"/>
          <w:b/>
          <w:bCs/>
          <w:color w:val="auto"/>
          <w:spacing w:val="80"/>
          <w:sz w:val="48"/>
          <w:szCs w:val="48"/>
          <w:highlight w:val="none"/>
        </w:rPr>
        <w:t>（综合评分法）</w:t>
      </w:r>
    </w:p>
    <w:p>
      <w:pPr>
        <w:rPr>
          <w:rFonts w:hint="eastAsia" w:ascii="仿宋" w:hAnsi="仿宋" w:eastAsia="仿宋" w:cs="仿宋"/>
          <w:b/>
          <w:color w:val="auto"/>
          <w:sz w:val="32"/>
          <w:szCs w:val="32"/>
          <w:highlight w:val="none"/>
        </w:rPr>
      </w:pPr>
    </w:p>
    <w:p>
      <w:pPr>
        <w:pStyle w:val="31"/>
        <w:rPr>
          <w:rFonts w:hint="eastAsia" w:ascii="仿宋" w:hAnsi="仿宋" w:eastAsia="仿宋" w:cs="仿宋"/>
          <w:b/>
          <w:color w:val="auto"/>
          <w:sz w:val="32"/>
          <w:szCs w:val="32"/>
          <w:highlight w:val="none"/>
        </w:rPr>
      </w:pPr>
    </w:p>
    <w:p>
      <w:pPr>
        <w:ind w:left="2244" w:leftChars="266" w:hanging="1606" w:hangingChars="500"/>
        <w:rPr>
          <w:rFonts w:hint="eastAsia" w:ascii="仿宋" w:hAnsi="仿宋" w:eastAsia="仿宋" w:cs="仿宋"/>
          <w:color w:val="auto"/>
          <w:highlight w:val="none"/>
          <w:lang w:val="en-US"/>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val="en-US" w:eastAsia="zh-CN"/>
        </w:rPr>
        <w:t>KB-2507029</w:t>
      </w:r>
    </w:p>
    <w:p>
      <w:pPr>
        <w:ind w:left="2244" w:leftChars="266" w:hanging="1606" w:hangingChars="500"/>
        <w:rPr>
          <w:rFonts w:hint="eastAsia" w:ascii="仿宋" w:hAnsi="仿宋" w:eastAsia="仿宋" w:cs="仿宋"/>
          <w:color w:val="auto"/>
          <w:highlight w:val="none"/>
          <w:lang w:eastAsia="zh-CN"/>
        </w:rPr>
      </w:pPr>
      <w:r>
        <w:rPr>
          <w:rFonts w:hint="eastAsia" w:ascii="仿宋" w:hAnsi="仿宋" w:eastAsia="仿宋" w:cs="仿宋"/>
          <w:b/>
          <w:color w:val="auto"/>
          <w:sz w:val="32"/>
          <w:szCs w:val="32"/>
          <w:highlight w:val="none"/>
        </w:rPr>
        <w:t>项目名称：</w:t>
      </w:r>
      <w:bookmarkStart w:id="232" w:name="_GoBack"/>
      <w:bookmarkEnd w:id="232"/>
      <w:r>
        <w:rPr>
          <w:rFonts w:hint="eastAsia" w:ascii="仿宋" w:hAnsi="仿宋" w:eastAsia="仿宋" w:cs="仿宋"/>
          <w:b/>
          <w:color w:val="auto"/>
          <w:sz w:val="32"/>
          <w:szCs w:val="32"/>
          <w:highlight w:val="none"/>
          <w:lang w:eastAsia="zh-CN"/>
        </w:rPr>
        <w:t>南川区司法局鸣玉司法所维修项目</w:t>
      </w:r>
    </w:p>
    <w:p>
      <w:pPr>
        <w:rPr>
          <w:rFonts w:hint="eastAsia" w:ascii="仿宋" w:hAnsi="仿宋" w:eastAsia="仿宋" w:cs="仿宋"/>
          <w:color w:val="auto"/>
          <w:highlight w:val="none"/>
        </w:rPr>
      </w:pPr>
    </w:p>
    <w:p>
      <w:pPr>
        <w:pStyle w:val="31"/>
        <w:rPr>
          <w:rFonts w:hint="eastAsia" w:ascii="仿宋" w:hAnsi="仿宋" w:eastAsia="仿宋" w:cs="仿宋"/>
          <w:color w:val="auto"/>
          <w:highlight w:val="none"/>
        </w:rPr>
      </w:pPr>
    </w:p>
    <w:p>
      <w:pPr>
        <w:pStyle w:val="33"/>
        <w:ind w:left="0"/>
        <w:rPr>
          <w:rFonts w:hint="eastAsia" w:ascii="仿宋" w:hAnsi="仿宋" w:eastAsia="仿宋" w:cs="仿宋"/>
          <w:color w:val="auto"/>
          <w:highlight w:val="none"/>
        </w:rPr>
      </w:pP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eastAsia="zh-CN"/>
        </w:rPr>
        <w:t>重庆市南川区司法局</w:t>
      </w: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坤博工程咨询（重庆）有限公司</w:t>
      </w:r>
    </w:p>
    <w:p>
      <w:pPr>
        <w:pStyle w:val="31"/>
        <w:rPr>
          <w:rFonts w:hint="eastAsia" w:ascii="仿宋" w:hAnsi="仿宋" w:eastAsia="仿宋" w:cs="仿宋"/>
          <w:color w:val="auto"/>
          <w:highlight w:val="none"/>
          <w:lang w:val="en-US"/>
        </w:rPr>
      </w:pPr>
    </w:p>
    <w:p>
      <w:pPr>
        <w:spacing w:line="360" w:lineRule="auto"/>
        <w:jc w:val="center"/>
        <w:rPr>
          <w:rFonts w:hint="eastAsia" w:ascii="仿宋" w:hAnsi="仿宋" w:eastAsia="仿宋" w:cs="仿宋"/>
          <w:b/>
          <w:color w:val="auto"/>
          <w:sz w:val="40"/>
          <w:szCs w:val="32"/>
          <w:highlight w:val="none"/>
        </w:rPr>
      </w:pPr>
      <w:r>
        <w:rPr>
          <w:rFonts w:hint="eastAsia" w:ascii="仿宋" w:hAnsi="仿宋" w:eastAsia="仿宋" w:cs="仿宋"/>
          <w:b/>
          <w:color w:val="auto"/>
          <w:sz w:val="40"/>
          <w:szCs w:val="32"/>
          <w:highlight w:val="none"/>
        </w:rPr>
        <w:t>二〇二五年</w:t>
      </w:r>
      <w:r>
        <w:rPr>
          <w:rFonts w:hint="eastAsia" w:ascii="仿宋" w:hAnsi="仿宋" w:eastAsia="仿宋" w:cs="仿宋"/>
          <w:b/>
          <w:color w:val="auto"/>
          <w:sz w:val="40"/>
          <w:szCs w:val="32"/>
          <w:highlight w:val="none"/>
          <w:lang w:val="en-US" w:eastAsia="zh-CN"/>
        </w:rPr>
        <w:t>七</w:t>
      </w:r>
      <w:r>
        <w:rPr>
          <w:rFonts w:hint="eastAsia" w:ascii="仿宋" w:hAnsi="仿宋" w:eastAsia="仿宋" w:cs="仿宋"/>
          <w:b/>
          <w:color w:val="auto"/>
          <w:sz w:val="40"/>
          <w:szCs w:val="32"/>
          <w:highlight w:val="none"/>
        </w:rPr>
        <w:t>月</w:t>
      </w:r>
    </w:p>
    <w:p>
      <w:pPr>
        <w:tabs>
          <w:tab w:val="left" w:pos="1185"/>
          <w:tab w:val="center" w:pos="4156"/>
          <w:tab w:val="left" w:pos="7095"/>
        </w:tabs>
        <w:spacing w:line="700" w:lineRule="exact"/>
        <w:rPr>
          <w:rFonts w:hint="eastAsia" w:ascii="仿宋" w:hAnsi="仿宋" w:eastAsia="仿宋" w:cs="仿宋"/>
          <w:color w:val="auto"/>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pPr>
        <w:tabs>
          <w:tab w:val="left" w:pos="1185"/>
          <w:tab w:val="center" w:pos="4156"/>
          <w:tab w:val="left" w:pos="7095"/>
        </w:tabs>
        <w:spacing w:line="700" w:lineRule="exact"/>
        <w:rPr>
          <w:rFonts w:hint="eastAsia" w:ascii="仿宋" w:hAnsi="仿宋" w:eastAsia="仿宋" w:cs="仿宋"/>
          <w:b/>
          <w:bCs/>
          <w:color w:val="auto"/>
          <w:sz w:val="40"/>
          <w:szCs w:val="40"/>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b/>
          <w:bCs/>
          <w:color w:val="auto"/>
          <w:sz w:val="40"/>
          <w:szCs w:val="40"/>
          <w:highlight w:val="none"/>
        </w:rPr>
        <w:t>目  录</w:t>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_Toc20546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80"/>
          <w:szCs w:val="112"/>
          <w:highlight w:val="none"/>
        </w:rPr>
        <w:t>竞争性比选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_Toc3180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80"/>
          <w:szCs w:val="112"/>
          <w:highlight w:val="none"/>
        </w:rPr>
        <w:t>采购文件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_Toc22224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第一篇  比选邀请书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_Toc4782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一、比选项目内容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_Toc4782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_Toc1767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_Toc2031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_Toc11304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四、比选有关说明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_Toc11304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_Toc18495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五、比选保证金</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_Toc18495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_Toc7593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六、比选有关规定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_Toc7593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_Toc5261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七、联系方式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_Toc5261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_Toc11753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第二篇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_Toc32106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一、比选费用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_Toc15135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二、比选通知书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_Toc16522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三、比选要求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_Toc16522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_Toc27415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四、比选程序及成交标准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_Toc6067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五、评审标准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_Toc6067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_Toc14088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六、评审依据</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_Toc14088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_Toc11194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七、成交通知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_Toc11194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_Toc20228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八、关于质疑和投诉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_Toc20228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_Toc13493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九、签订合同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_Toc13493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_Toc23020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第三篇 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_Toc23020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_Toc22678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一、项目</w:t>
      </w:r>
      <w:r>
        <w:rPr>
          <w:rFonts w:hint="eastAsia" w:ascii="仿宋" w:hAnsi="仿宋" w:eastAsia="仿宋" w:cs="仿宋"/>
          <w:bCs/>
          <w:color w:val="auto"/>
          <w:szCs w:val="24"/>
          <w:highlight w:val="none"/>
          <w:lang w:val="en-US" w:eastAsia="zh-CN"/>
        </w:rPr>
        <w:t>基本情况介绍</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_Toc22678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_Toc32278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w:t>
      </w:r>
      <w:r>
        <w:rPr>
          <w:rFonts w:hint="eastAsia" w:ascii="仿宋" w:hAnsi="仿宋" w:eastAsia="仿宋" w:cs="仿宋"/>
          <w:bCs/>
          <w:color w:val="auto"/>
          <w:szCs w:val="24"/>
          <w:highlight w:val="none"/>
          <w:lang w:val="en-US" w:eastAsia="zh-CN"/>
        </w:rPr>
        <w:t>安全要求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_Toc9163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w:t>
      </w:r>
      <w:r>
        <w:rPr>
          <w:rFonts w:hint="eastAsia" w:ascii="仿宋" w:hAnsi="仿宋" w:eastAsia="仿宋" w:cs="仿宋"/>
          <w:bCs/>
          <w:color w:val="auto"/>
          <w:szCs w:val="24"/>
          <w:highlight w:val="none"/>
          <w:lang w:val="en-US" w:eastAsia="zh-CN"/>
        </w:rPr>
        <w:t>踏勘现场</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_Toc16384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四、其他要求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_Toc16384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_Toc5007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第四篇 商务要求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_Toc28618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一、工期、地点及验收方式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_Toc28618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_Toc10257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_Toc10257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_Toc25419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_Toc25419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_Toc25763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四、转包、分包</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_Toc27129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五、其他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_Toc5771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第五篇  合同草案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_Toc5771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_Toc4359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第六篇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_Toc16173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_Toc16173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_Toc16730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二、技术部分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_Toc9379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三、商务部分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_Toc9379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_Toc20042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四、资格条件及其他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_Toc20042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_Toc25601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五、其他应提供的资料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附件1：</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spacing w:line="360" w:lineRule="exact"/>
        <w:rPr>
          <w:rFonts w:hint="eastAsia" w:ascii="仿宋" w:hAnsi="仿宋" w:eastAsia="仿宋" w:cs="仿宋"/>
          <w:color w:val="auto"/>
          <w:highlight w:val="none"/>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cs="仿宋"/>
          <w:color w:val="auto"/>
          <w:highlight w:val="none"/>
        </w:rPr>
        <w:fldChar w:fldCharType="end"/>
      </w:r>
    </w:p>
    <w:p>
      <w:pPr>
        <w:pStyle w:val="3"/>
        <w:spacing w:before="0" w:line="276" w:lineRule="auto"/>
        <w:jc w:val="center"/>
        <w:rPr>
          <w:rFonts w:hint="eastAsia" w:ascii="仿宋" w:hAnsi="仿宋" w:eastAsia="仿宋" w:cs="仿宋"/>
          <w:b/>
          <w:bCs/>
          <w:color w:val="auto"/>
          <w:sz w:val="36"/>
          <w:szCs w:val="36"/>
          <w:highlight w:val="none"/>
        </w:rPr>
      </w:pPr>
      <w:bookmarkStart w:id="8" w:name="_Toc152480139"/>
      <w:bookmarkStart w:id="9" w:name="_Toc22224"/>
      <w:bookmarkStart w:id="10" w:name="_Toc10115"/>
      <w:bookmarkStart w:id="11" w:name="_Toc128744981"/>
      <w:bookmarkStart w:id="12" w:name="_Toc11641050"/>
      <w:bookmarkStart w:id="13" w:name="_Toc12789052"/>
      <w:r>
        <w:rPr>
          <w:rFonts w:hint="eastAsia" w:ascii="仿宋" w:hAnsi="仿宋" w:eastAsia="仿宋" w:cs="仿宋"/>
          <w:b/>
          <w:bCs/>
          <w:color w:val="auto"/>
          <w:sz w:val="36"/>
          <w:szCs w:val="36"/>
          <w:highlight w:val="none"/>
        </w:rPr>
        <w:t>第一篇  比选邀请书</w:t>
      </w:r>
      <w:bookmarkEnd w:id="8"/>
      <w:bookmarkEnd w:id="9"/>
      <w:bookmarkEnd w:id="10"/>
    </w:p>
    <w:p>
      <w:pPr>
        <w:snapToGrid w:val="0"/>
        <w:spacing w:line="360" w:lineRule="auto"/>
        <w:rPr>
          <w:rFonts w:hint="eastAsia" w:ascii="仿宋" w:hAnsi="仿宋" w:eastAsia="仿宋" w:cs="仿宋"/>
          <w:color w:val="auto"/>
          <w:highlight w:val="none"/>
        </w:rPr>
      </w:pPr>
    </w:p>
    <w:p>
      <w:pPr>
        <w:snapToGrid w:val="0"/>
        <w:spacing w:line="360" w:lineRule="auto"/>
        <w:ind w:firstLine="480" w:firstLineChars="200"/>
        <w:rPr>
          <w:rFonts w:hint="eastAsia" w:ascii="仿宋" w:hAnsi="仿宋" w:eastAsia="仿宋" w:cs="仿宋"/>
          <w:color w:val="auto"/>
          <w:highlight w:val="none"/>
        </w:rPr>
      </w:pPr>
      <w:bookmarkStart w:id="14" w:name="_Toc379619850"/>
      <w:r>
        <w:rPr>
          <w:rFonts w:hint="eastAsia" w:ascii="仿宋" w:hAnsi="仿宋" w:eastAsia="仿宋" w:cs="仿宋"/>
          <w:color w:val="auto"/>
          <w:highlight w:val="none"/>
        </w:rPr>
        <w:t>受</w:t>
      </w:r>
      <w:r>
        <w:rPr>
          <w:rFonts w:hint="eastAsia" w:ascii="仿宋" w:hAnsi="仿宋" w:eastAsia="仿宋" w:cs="仿宋"/>
          <w:color w:val="auto"/>
          <w:highlight w:val="none"/>
          <w:u w:val="single"/>
          <w:lang w:eastAsia="zh-CN"/>
        </w:rPr>
        <w:t>重庆市南川区司法局</w:t>
      </w:r>
      <w:r>
        <w:rPr>
          <w:rFonts w:hint="eastAsia" w:ascii="仿宋" w:hAnsi="仿宋" w:eastAsia="仿宋" w:cs="仿宋"/>
          <w:color w:val="auto"/>
          <w:highlight w:val="none"/>
        </w:rPr>
        <w:t>的委托，我公司组织对</w:t>
      </w:r>
      <w:r>
        <w:rPr>
          <w:rFonts w:hint="eastAsia" w:ascii="仿宋" w:hAnsi="仿宋" w:eastAsia="仿宋" w:cs="仿宋"/>
          <w:color w:val="auto"/>
          <w:highlight w:val="none"/>
          <w:u w:val="single"/>
          <w:lang w:eastAsia="zh-CN"/>
        </w:rPr>
        <w:t>南川区司法局鸣玉司法所维修项目</w:t>
      </w:r>
      <w:r>
        <w:rPr>
          <w:rFonts w:hint="eastAsia" w:ascii="仿宋" w:hAnsi="仿宋" w:eastAsia="仿宋" w:cs="仿宋"/>
          <w:color w:val="auto"/>
          <w:highlight w:val="none"/>
        </w:rPr>
        <w:t>进行比选采购。欢迎具备相关资质的供应商参加报价。</w:t>
      </w:r>
    </w:p>
    <w:p>
      <w:pPr>
        <w:pStyle w:val="2"/>
        <w:rPr>
          <w:rFonts w:hint="eastAsia" w:ascii="仿宋" w:hAnsi="仿宋" w:eastAsia="仿宋" w:cs="仿宋"/>
          <w:b/>
          <w:bCs/>
          <w:color w:val="auto"/>
          <w:sz w:val="24"/>
          <w:szCs w:val="24"/>
          <w:highlight w:val="none"/>
        </w:rPr>
      </w:pPr>
      <w:bookmarkStart w:id="15" w:name="_Toc25592"/>
      <w:bookmarkStart w:id="16" w:name="_Toc4782"/>
      <w:r>
        <w:rPr>
          <w:rFonts w:hint="eastAsia" w:ascii="仿宋" w:hAnsi="仿宋" w:eastAsia="仿宋" w:cs="仿宋"/>
          <w:b/>
          <w:bCs/>
          <w:color w:val="auto"/>
          <w:sz w:val="24"/>
          <w:szCs w:val="24"/>
          <w:highlight w:val="none"/>
        </w:rPr>
        <w:t>一、比选项目内容</w:t>
      </w:r>
      <w:bookmarkEnd w:id="14"/>
      <w:bookmarkEnd w:id="15"/>
      <w:bookmarkEnd w:id="16"/>
    </w:p>
    <w:tbl>
      <w:tblPr>
        <w:tblStyle w:val="35"/>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1"/>
        <w:gridCol w:w="2019"/>
        <w:gridCol w:w="2019"/>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3531" w:type="dxa"/>
            <w:vAlign w:val="center"/>
          </w:tcPr>
          <w:p>
            <w:pPr>
              <w:spacing w:line="380" w:lineRule="exact"/>
              <w:jc w:val="center"/>
              <w:rPr>
                <w:rFonts w:hint="eastAsia" w:ascii="仿宋" w:hAnsi="仿宋" w:eastAsia="仿宋" w:cs="仿宋"/>
                <w:b/>
                <w:bCs/>
                <w:color w:val="auto"/>
                <w:highlight w:val="none"/>
              </w:rPr>
            </w:pPr>
            <w:bookmarkStart w:id="17" w:name="_Toc378251877"/>
            <w:bookmarkStart w:id="18" w:name="_Toc13375"/>
            <w:bookmarkStart w:id="19" w:name="_Toc152480140"/>
            <w:r>
              <w:rPr>
                <w:rFonts w:hint="eastAsia" w:ascii="仿宋" w:hAnsi="仿宋" w:eastAsia="仿宋" w:cs="仿宋"/>
                <w:b/>
                <w:bCs/>
                <w:color w:val="auto"/>
                <w:highlight w:val="none"/>
              </w:rPr>
              <w:t>项目名称</w:t>
            </w:r>
          </w:p>
        </w:tc>
        <w:tc>
          <w:tcPr>
            <w:tcW w:w="2019" w:type="dxa"/>
            <w:vAlign w:val="center"/>
          </w:tcPr>
          <w:p>
            <w:pPr>
              <w:spacing w:line="380" w:lineRule="exact"/>
              <w:jc w:val="center"/>
              <w:rPr>
                <w:rFonts w:hint="eastAsia" w:ascii="仿宋" w:hAnsi="仿宋" w:eastAsia="仿宋" w:cs="仿宋"/>
                <w:b/>
                <w:bCs/>
                <w:color w:val="auto"/>
              </w:rPr>
            </w:pPr>
            <w:r>
              <w:rPr>
                <w:rFonts w:hint="eastAsia" w:ascii="仿宋" w:hAnsi="仿宋" w:eastAsia="仿宋" w:cs="仿宋"/>
                <w:b/>
                <w:bCs/>
                <w:color w:val="auto"/>
              </w:rPr>
              <w:t>预算金额</w:t>
            </w:r>
          </w:p>
          <w:p>
            <w:pPr>
              <w:spacing w:line="380" w:lineRule="exact"/>
              <w:jc w:val="center"/>
              <w:rPr>
                <w:rFonts w:hint="eastAsia" w:ascii="仿宋" w:hAnsi="仿宋" w:eastAsia="仿宋" w:cs="仿宋"/>
                <w:b/>
                <w:bCs/>
                <w:color w:val="auto"/>
                <w:highlight w:val="none"/>
              </w:rPr>
            </w:pPr>
            <w:r>
              <w:rPr>
                <w:rFonts w:hint="eastAsia" w:ascii="仿宋" w:hAnsi="仿宋" w:eastAsia="仿宋" w:cs="仿宋"/>
                <w:b/>
                <w:bCs/>
                <w:color w:val="auto"/>
              </w:rPr>
              <w:t>（元）</w:t>
            </w:r>
          </w:p>
        </w:tc>
        <w:tc>
          <w:tcPr>
            <w:tcW w:w="2019" w:type="dxa"/>
            <w:vAlign w:val="center"/>
          </w:tcPr>
          <w:p>
            <w:pPr>
              <w:spacing w:line="380" w:lineRule="exact"/>
              <w:jc w:val="center"/>
              <w:rPr>
                <w:rFonts w:hint="eastAsia" w:ascii="仿宋" w:hAnsi="仿宋" w:eastAsia="仿宋" w:cs="仿宋"/>
                <w:b/>
                <w:bCs/>
                <w:color w:val="auto"/>
              </w:rPr>
            </w:pPr>
            <w:r>
              <w:rPr>
                <w:rFonts w:hint="eastAsia" w:ascii="仿宋" w:hAnsi="仿宋" w:eastAsia="仿宋" w:cs="仿宋"/>
                <w:b/>
                <w:bCs/>
                <w:color w:val="auto"/>
              </w:rPr>
              <w:t>最高限价</w:t>
            </w:r>
          </w:p>
          <w:p>
            <w:pPr>
              <w:jc w:val="center"/>
              <w:rPr>
                <w:rFonts w:hint="eastAsia" w:ascii="仿宋" w:hAnsi="仿宋" w:eastAsia="仿宋" w:cs="仿宋"/>
                <w:b/>
                <w:bCs/>
                <w:color w:val="auto"/>
                <w:highlight w:val="none"/>
              </w:rPr>
            </w:pPr>
            <w:r>
              <w:rPr>
                <w:rFonts w:hint="eastAsia" w:ascii="仿宋" w:hAnsi="仿宋" w:eastAsia="仿宋" w:cs="仿宋"/>
                <w:b/>
                <w:bCs/>
                <w:color w:val="auto"/>
              </w:rPr>
              <w:t>（元）</w:t>
            </w:r>
          </w:p>
        </w:tc>
        <w:tc>
          <w:tcPr>
            <w:tcW w:w="1802"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成交供应商</w:t>
            </w:r>
          </w:p>
          <w:p>
            <w:pPr>
              <w:jc w:val="center"/>
              <w:rPr>
                <w:rFonts w:hint="eastAsia" w:ascii="仿宋" w:hAnsi="仿宋" w:eastAsia="仿宋" w:cs="仿宋"/>
                <w:b/>
                <w:bCs/>
                <w:color w:val="auto"/>
                <w:highlight w:val="none"/>
              </w:rPr>
            </w:pPr>
            <w:r>
              <w:rPr>
                <w:rFonts w:hint="eastAsia" w:ascii="仿宋" w:hAnsi="仿宋" w:eastAsia="仿宋" w:cs="仿宋"/>
                <w:b/>
                <w:bCs/>
                <w:color w:val="auto"/>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3531" w:type="dxa"/>
            <w:vAlign w:val="center"/>
          </w:tcPr>
          <w:p>
            <w:pPr>
              <w:spacing w:line="38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南川区司法局鸣玉司法所维修项目</w:t>
            </w:r>
          </w:p>
        </w:tc>
        <w:tc>
          <w:tcPr>
            <w:tcW w:w="2019" w:type="dxa"/>
            <w:vAlign w:val="center"/>
          </w:tcPr>
          <w:p>
            <w:pPr>
              <w:pStyle w:val="33"/>
              <w:ind w:left="0" w:leftChars="0"/>
              <w:jc w:val="center"/>
              <w:rPr>
                <w:rFonts w:hint="eastAsia" w:ascii="仿宋" w:hAnsi="仿宋" w:eastAsia="仿宋" w:cs="仿宋"/>
                <w:color w:val="auto"/>
                <w:highlight w:val="none"/>
                <w:lang w:val="en-US" w:eastAsia="zh-CN"/>
              </w:rPr>
            </w:pPr>
            <w:r>
              <w:rPr>
                <w:rFonts w:hint="eastAsia" w:ascii="仿宋" w:hAnsi="仿宋" w:eastAsia="仿宋" w:cs="仿宋"/>
                <w:i w:val="0"/>
                <w:color w:val="auto"/>
                <w:kern w:val="0"/>
                <w:sz w:val="24"/>
                <w:szCs w:val="24"/>
                <w:u w:val="none"/>
                <w:lang w:val="en-US" w:eastAsia="zh-CN" w:bidi="ar"/>
              </w:rPr>
              <w:t>214474.22</w:t>
            </w:r>
          </w:p>
        </w:tc>
        <w:tc>
          <w:tcPr>
            <w:tcW w:w="2019" w:type="dxa"/>
            <w:vAlign w:val="center"/>
          </w:tcPr>
          <w:p>
            <w:pPr>
              <w:pStyle w:val="33"/>
              <w:ind w:left="0" w:leftChars="0"/>
              <w:jc w:val="center"/>
              <w:rPr>
                <w:rFonts w:hint="eastAsia" w:ascii="仿宋" w:hAnsi="仿宋" w:eastAsia="仿宋" w:cs="仿宋"/>
                <w:color w:val="auto"/>
                <w:highlight w:val="none"/>
              </w:rPr>
            </w:pPr>
            <w:r>
              <w:rPr>
                <w:rFonts w:hint="eastAsia" w:ascii="仿宋" w:hAnsi="仿宋" w:eastAsia="仿宋" w:cs="仿宋"/>
                <w:i w:val="0"/>
                <w:color w:val="auto"/>
                <w:kern w:val="0"/>
                <w:sz w:val="24"/>
                <w:szCs w:val="24"/>
                <w:u w:val="none"/>
                <w:lang w:val="en-US" w:eastAsia="zh-CN" w:bidi="ar"/>
              </w:rPr>
              <w:t>214474.22</w:t>
            </w:r>
          </w:p>
        </w:tc>
        <w:tc>
          <w:tcPr>
            <w:tcW w:w="1802"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rPr>
              <w:t>1</w:t>
            </w:r>
          </w:p>
        </w:tc>
      </w:tr>
    </w:tbl>
    <w:p>
      <w:pPr>
        <w:pStyle w:val="2"/>
        <w:rPr>
          <w:rFonts w:hint="eastAsia" w:ascii="仿宋" w:hAnsi="仿宋" w:eastAsia="仿宋" w:cs="仿宋"/>
          <w:b/>
          <w:bCs/>
          <w:color w:val="auto"/>
          <w:sz w:val="24"/>
          <w:szCs w:val="24"/>
          <w:highlight w:val="none"/>
        </w:rPr>
      </w:pPr>
      <w:bookmarkStart w:id="20" w:name="_Toc1767"/>
      <w:r>
        <w:rPr>
          <w:rFonts w:hint="eastAsia" w:ascii="仿宋" w:hAnsi="仿宋" w:eastAsia="仿宋" w:cs="仿宋"/>
          <w:b/>
          <w:bCs/>
          <w:color w:val="auto"/>
          <w:sz w:val="24"/>
          <w:szCs w:val="24"/>
          <w:highlight w:val="none"/>
        </w:rPr>
        <w:t>二、资金来源</w:t>
      </w:r>
      <w:bookmarkEnd w:id="17"/>
      <w:bookmarkEnd w:id="18"/>
      <w:bookmarkEnd w:id="20"/>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w:t>
      </w:r>
    </w:p>
    <w:p>
      <w:pPr>
        <w:pStyle w:val="2"/>
        <w:rPr>
          <w:rFonts w:hint="eastAsia" w:ascii="仿宋" w:hAnsi="仿宋" w:eastAsia="仿宋" w:cs="仿宋"/>
          <w:b/>
          <w:bCs/>
          <w:color w:val="auto"/>
          <w:sz w:val="24"/>
          <w:szCs w:val="24"/>
          <w:highlight w:val="none"/>
        </w:rPr>
      </w:pPr>
      <w:bookmarkStart w:id="21" w:name="_Toc23079"/>
      <w:bookmarkStart w:id="22" w:name="_Toc2031"/>
      <w:r>
        <w:rPr>
          <w:rFonts w:hint="eastAsia" w:ascii="仿宋" w:hAnsi="仿宋" w:eastAsia="仿宋" w:cs="仿宋"/>
          <w:b/>
          <w:bCs/>
          <w:color w:val="auto"/>
          <w:sz w:val="24"/>
          <w:szCs w:val="24"/>
          <w:highlight w:val="none"/>
        </w:rPr>
        <w:t>三、资格要求</w:t>
      </w:r>
      <w:bookmarkEnd w:id="21"/>
      <w:bookmarkEnd w:id="22"/>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比选供应商是指向采购人提供货物、项目或者服务的法人、其他组织或者自然人。以下简称供应商。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合格的供应商应符合下列条件：</w:t>
      </w:r>
    </w:p>
    <w:p>
      <w:pPr>
        <w:snapToGrid w:val="0"/>
        <w:spacing w:line="360" w:lineRule="auto"/>
        <w:ind w:firstLine="480" w:firstLineChars="200"/>
        <w:rPr>
          <w:rFonts w:hint="eastAsia" w:ascii="仿宋" w:hAnsi="仿宋" w:eastAsia="仿宋" w:cs="仿宋"/>
          <w:color w:val="auto"/>
          <w:highlight w:val="none"/>
        </w:rPr>
      </w:pPr>
      <w:bookmarkStart w:id="23" w:name="_Toc487204774"/>
      <w:bookmarkStart w:id="24" w:name="_Toc1359"/>
      <w:r>
        <w:rPr>
          <w:rFonts w:hint="eastAsia" w:ascii="仿宋" w:hAnsi="仿宋" w:eastAsia="仿宋" w:cs="仿宋"/>
          <w:color w:val="auto"/>
          <w:highlight w:val="none"/>
        </w:rPr>
        <w:t>（一）基本条件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（二）特定资格条件</w:t>
      </w:r>
    </w:p>
    <w:p>
      <w:pPr>
        <w:snapToGrid w:val="0"/>
        <w:spacing w:line="360" w:lineRule="auto"/>
        <w:ind w:firstLine="720" w:firstLineChars="300"/>
        <w:rPr>
          <w:rFonts w:hint="eastAsia" w:ascii="仿宋" w:hAnsi="仿宋" w:eastAsia="仿宋" w:cs="仿宋"/>
          <w:color w:val="auto"/>
          <w:highlight w:val="none"/>
          <w:u w:val="single"/>
          <w:lang w:val="en-US" w:eastAsia="zh-CN"/>
        </w:rPr>
      </w:pPr>
      <w:bookmarkStart w:id="25" w:name="_Toc27943"/>
      <w:r>
        <w:rPr>
          <w:rFonts w:hint="eastAsia" w:ascii="仿宋" w:hAnsi="仿宋" w:eastAsia="仿宋" w:cs="仿宋"/>
          <w:color w:val="auto"/>
          <w:highlight w:val="none"/>
          <w:u w:val="none"/>
          <w:lang w:val="en-US" w:eastAsia="zh-CN"/>
        </w:rPr>
        <w:t>无。</w:t>
      </w:r>
    </w:p>
    <w:p>
      <w:pPr>
        <w:pStyle w:val="2"/>
        <w:rPr>
          <w:rFonts w:hint="eastAsia" w:ascii="仿宋" w:hAnsi="仿宋" w:eastAsia="仿宋" w:cs="仿宋"/>
          <w:b/>
          <w:bCs/>
          <w:color w:val="auto"/>
          <w:sz w:val="24"/>
          <w:szCs w:val="24"/>
          <w:highlight w:val="none"/>
        </w:rPr>
      </w:pPr>
      <w:bookmarkStart w:id="26" w:name="_Toc11304"/>
      <w:r>
        <w:rPr>
          <w:rFonts w:hint="eastAsia" w:ascii="仿宋" w:hAnsi="仿宋" w:eastAsia="仿宋" w:cs="仿宋"/>
          <w:b/>
          <w:bCs/>
          <w:color w:val="auto"/>
          <w:sz w:val="24"/>
          <w:szCs w:val="24"/>
          <w:highlight w:val="none"/>
        </w:rPr>
        <w:t>四、比选有关说明</w:t>
      </w:r>
      <w:bookmarkEnd w:id="23"/>
      <w:bookmarkEnd w:id="24"/>
      <w:bookmarkEnd w:id="25"/>
      <w:bookmarkEnd w:id="26"/>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（一）凡有意参加比选的供应商，请于公告发布之日起至提交首次响应文件截止时间之前，在“行采家(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）”上下载或到采购代理机构领取本项目比选文件以及图纸、补遗等比选前公布的所有项目资料，无论供应商下载或领取与否，均视为已知晓所有比选实质性要求内容。</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（二）比选文件公告期限：2025年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29</w:t>
      </w:r>
      <w:r>
        <w:rPr>
          <w:rFonts w:hint="eastAsia" w:ascii="仿宋" w:hAnsi="仿宋" w:eastAsia="仿宋" w:cs="仿宋"/>
          <w:color w:val="auto"/>
          <w:highlight w:val="none"/>
        </w:rPr>
        <w:t>日-2025年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日（开标前，工作时间）。</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（三）文件购买费：招标文件购买费为300元/分包（售后不退）。</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1.招标文件购买方式</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1.1汇款购买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在比选文件发售期内，供应商将比选文件购买费用汇至以下账户内进行购买。通过汇款方式购买比选文件的，将比选文件汇款凭证（注明项目编号）、《采购文件发售登记表》（加盖供应商公章）扫描后发送至</w:t>
      </w:r>
      <w:r>
        <w:rPr>
          <w:rFonts w:hint="eastAsia" w:ascii="仿宋" w:hAnsi="仿宋" w:eastAsia="仿宋" w:cs="仿宋"/>
          <w:color w:val="auto"/>
          <w:highlight w:val="none"/>
          <w:lang w:val="en-US" w:eastAsia="zh-CN"/>
        </w:rPr>
        <w:t>254516083</w:t>
      </w:r>
      <w:r>
        <w:rPr>
          <w:rFonts w:hint="eastAsia" w:ascii="仿宋" w:hAnsi="仿宋" w:eastAsia="仿宋" w:cs="仿宋"/>
          <w:color w:val="auto"/>
          <w:highlight w:val="none"/>
        </w:rPr>
        <w:t>@qq.com</w:t>
      </w:r>
    </w:p>
    <w:p>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户  名：</w:t>
      </w:r>
      <w:r>
        <w:rPr>
          <w:rFonts w:hint="eastAsia" w:ascii="仿宋" w:hAnsi="仿宋" w:eastAsia="仿宋" w:cs="仿宋"/>
          <w:color w:val="auto"/>
          <w:highlight w:val="none"/>
          <w:lang w:eastAsia="zh-CN"/>
        </w:rPr>
        <w:t>坤博工程咨询（重庆）有限公司</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账  号：3100024409200129605</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2、现金及微信转账</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2.1在比选文件发售期内[2025年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29</w:t>
      </w:r>
      <w:r>
        <w:rPr>
          <w:rFonts w:hint="eastAsia" w:ascii="仿宋" w:hAnsi="仿宋" w:eastAsia="仿宋" w:cs="仿宋"/>
          <w:color w:val="auto"/>
          <w:highlight w:val="none"/>
        </w:rPr>
        <w:t>日-2025年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日（开标前，工作时间）],供应商到</w:t>
      </w:r>
      <w:r>
        <w:rPr>
          <w:rFonts w:hint="eastAsia" w:ascii="仿宋" w:hAnsi="仿宋" w:eastAsia="仿宋" w:cs="仿宋"/>
          <w:color w:val="auto"/>
          <w:highlight w:val="none"/>
          <w:lang w:val="en-US" w:eastAsia="zh-CN"/>
        </w:rPr>
        <w:t>采购代理机构处</w:t>
      </w:r>
      <w:r>
        <w:rPr>
          <w:rFonts w:hint="eastAsia" w:ascii="仿宋" w:hAnsi="仿宋" w:eastAsia="仿宋" w:cs="仿宋"/>
          <w:color w:val="auto"/>
          <w:highlight w:val="none"/>
        </w:rPr>
        <w:t>递交《采购文件发售登记表》（加盖供应商公章）并购买比选文件。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（四）供应商须满足以下三种要件，其响应文件才被接受：</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1.按时递交了响应文件；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2.按时报名签到；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3.缴纳了文件购买费并登记递交《采购文件发售登记表》加盖供应商公章（《采购文件发售登记表》见文件最后页附件）。</w:t>
      </w:r>
    </w:p>
    <w:p>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（五）投标地点：重庆市南川区金川路168号2</w:t>
      </w:r>
      <w:r>
        <w:rPr>
          <w:rFonts w:hint="eastAsia" w:ascii="仿宋" w:hAnsi="仿宋" w:eastAsia="仿宋" w:cs="仿宋"/>
          <w:color w:val="auto"/>
          <w:highlight w:val="none"/>
          <w:lang w:val="en-US" w:eastAsia="zh-CN"/>
        </w:rPr>
        <w:t>楼开标室（借用场地）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（六）投标开始时间：2025年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（七）投标截止时间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（八）开标时间：2025年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w:t>
      </w:r>
    </w:p>
    <w:p>
      <w:pPr>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（九）开标地点：重庆市南川区金川路168号2</w:t>
      </w:r>
      <w:r>
        <w:rPr>
          <w:rFonts w:hint="eastAsia" w:ascii="仿宋" w:hAnsi="仿宋" w:eastAsia="仿宋" w:cs="仿宋"/>
          <w:color w:val="auto"/>
          <w:highlight w:val="none"/>
          <w:lang w:val="en-US" w:eastAsia="zh-CN"/>
        </w:rPr>
        <w:t>楼开标室（借用场地）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（十一）网上报价时间段：比选公告发布之日至2025年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日北京时间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:00</w:t>
      </w:r>
    </w:p>
    <w:p>
      <w:pPr>
        <w:pStyle w:val="2"/>
        <w:rPr>
          <w:rFonts w:hint="eastAsia" w:ascii="仿宋" w:hAnsi="仿宋" w:eastAsia="仿宋" w:cs="仿宋"/>
          <w:b/>
          <w:bCs/>
          <w:color w:val="auto"/>
          <w:sz w:val="24"/>
          <w:szCs w:val="24"/>
          <w:highlight w:val="none"/>
        </w:rPr>
      </w:pPr>
      <w:bookmarkStart w:id="27" w:name="_Toc18495"/>
      <w:bookmarkStart w:id="28" w:name="_Toc2864"/>
      <w:bookmarkStart w:id="29" w:name="_Toc487204775"/>
      <w:bookmarkStart w:id="30" w:name="_Toc22356"/>
      <w:r>
        <w:rPr>
          <w:rFonts w:hint="eastAsia" w:ascii="仿宋" w:hAnsi="仿宋" w:eastAsia="仿宋" w:cs="仿宋"/>
          <w:b/>
          <w:bCs/>
          <w:color w:val="auto"/>
          <w:sz w:val="24"/>
          <w:szCs w:val="24"/>
          <w:highlight w:val="none"/>
        </w:rPr>
        <w:t>五、比选保证金</w:t>
      </w:r>
      <w:bookmarkEnd w:id="27"/>
      <w:bookmarkEnd w:id="28"/>
      <w:bookmarkEnd w:id="29"/>
      <w:bookmarkEnd w:id="30"/>
    </w:p>
    <w:p>
      <w:pPr>
        <w:snapToGrid w:val="0"/>
        <w:spacing w:line="360" w:lineRule="auto"/>
        <w:ind w:firstLine="480" w:firstLineChars="200"/>
        <w:rPr>
          <w:rFonts w:hint="eastAsia" w:ascii="仿宋" w:hAnsi="仿宋" w:eastAsia="仿宋" w:cs="仿宋"/>
          <w:color w:val="auto"/>
          <w:highlight w:val="none"/>
        </w:rPr>
      </w:pPr>
      <w:bookmarkStart w:id="31" w:name="_Toc24666"/>
      <w:bookmarkStart w:id="32" w:name="_Toc487204776"/>
      <w:r>
        <w:rPr>
          <w:rFonts w:hint="eastAsia" w:ascii="仿宋" w:hAnsi="仿宋" w:eastAsia="仿宋" w:cs="仿宋"/>
          <w:color w:val="auto"/>
          <w:highlight w:val="none"/>
        </w:rPr>
        <w:t>本次采购不设置。</w:t>
      </w:r>
    </w:p>
    <w:p>
      <w:pPr>
        <w:pStyle w:val="2"/>
        <w:rPr>
          <w:rFonts w:hint="eastAsia" w:ascii="仿宋" w:hAnsi="仿宋" w:eastAsia="仿宋" w:cs="仿宋"/>
          <w:b/>
          <w:bCs/>
          <w:color w:val="auto"/>
          <w:sz w:val="24"/>
          <w:szCs w:val="24"/>
          <w:highlight w:val="none"/>
        </w:rPr>
      </w:pPr>
      <w:bookmarkStart w:id="33" w:name="_Toc7593"/>
      <w:bookmarkStart w:id="34" w:name="_Toc15465"/>
      <w:r>
        <w:rPr>
          <w:rFonts w:hint="eastAsia" w:ascii="仿宋" w:hAnsi="仿宋" w:eastAsia="仿宋" w:cs="仿宋"/>
          <w:b/>
          <w:bCs/>
          <w:color w:val="auto"/>
          <w:sz w:val="24"/>
          <w:szCs w:val="24"/>
          <w:highlight w:val="none"/>
        </w:rPr>
        <w:t>六、比选有关规定</w:t>
      </w:r>
      <w:bookmarkEnd w:id="31"/>
      <w:bookmarkEnd w:id="32"/>
      <w:bookmarkEnd w:id="33"/>
      <w:bookmarkEnd w:id="34"/>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（三）同一项目的货物，制造商参与比选的，不得再委托代理商参与比选，否则均为无效响应。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（四）本项目的补遗文件（如果有）一律在“行采家(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）”上发布，请各供应商注意下载或到代理机构处领取；无论供应商下载或领取与否，均视同供应商已知晓本项目补遗文件（如果有）的内容。</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（五）超过响应文件截止时间递交的响应文件，恕不接收。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（六）比选费用：无论比选结果如何，供应商参与本项目比选的所有费用均应由供应商自行承担。</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2"/>
        <w:rPr>
          <w:rFonts w:hint="eastAsia" w:ascii="仿宋" w:hAnsi="仿宋" w:eastAsia="仿宋" w:cs="仿宋"/>
          <w:b/>
          <w:bCs/>
          <w:color w:val="auto"/>
          <w:sz w:val="24"/>
          <w:szCs w:val="24"/>
          <w:highlight w:val="none"/>
        </w:rPr>
      </w:pPr>
      <w:bookmarkStart w:id="35" w:name="_Toc76462321"/>
      <w:bookmarkStart w:id="36" w:name="_Toc373860294"/>
      <w:bookmarkStart w:id="37" w:name="_Toc5261"/>
      <w:bookmarkStart w:id="38" w:name="_Toc5491"/>
      <w:r>
        <w:rPr>
          <w:rFonts w:hint="eastAsia" w:ascii="仿宋" w:hAnsi="仿宋" w:eastAsia="仿宋" w:cs="仿宋"/>
          <w:b/>
          <w:bCs/>
          <w:color w:val="auto"/>
          <w:sz w:val="24"/>
          <w:szCs w:val="24"/>
          <w:highlight w:val="none"/>
        </w:rPr>
        <w:t>七</w:t>
      </w:r>
      <w:bookmarkEnd w:id="35"/>
      <w:bookmarkEnd w:id="36"/>
      <w:r>
        <w:rPr>
          <w:rFonts w:hint="eastAsia" w:ascii="仿宋" w:hAnsi="仿宋" w:eastAsia="仿宋" w:cs="仿宋"/>
          <w:b/>
          <w:bCs/>
          <w:color w:val="auto"/>
          <w:sz w:val="24"/>
          <w:szCs w:val="24"/>
          <w:highlight w:val="none"/>
        </w:rPr>
        <w:t>、联系方式</w:t>
      </w:r>
      <w:bookmarkEnd w:id="37"/>
      <w:bookmarkEnd w:id="38"/>
    </w:p>
    <w:p>
      <w:pPr>
        <w:snapToGrid w:val="0"/>
        <w:spacing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（一）采购人：</w:t>
      </w:r>
      <w:r>
        <w:rPr>
          <w:rFonts w:hint="eastAsia" w:ascii="仿宋" w:hAnsi="仿宋" w:eastAsia="仿宋" w:cs="仿宋"/>
          <w:color w:val="auto"/>
          <w:highlight w:val="none"/>
          <w:lang w:eastAsia="zh-CN"/>
        </w:rPr>
        <w:t>重庆市南川区司法局</w:t>
      </w:r>
      <w:r>
        <w:rPr>
          <w:rFonts w:hint="eastAsia" w:ascii="仿宋" w:hAnsi="仿宋" w:eastAsia="仿宋" w:cs="仿宋"/>
          <w:color w:val="auto"/>
          <w:highlight w:val="none"/>
        </w:rPr>
        <w:t xml:space="preserve"> </w:t>
      </w:r>
    </w:p>
    <w:p>
      <w:pPr>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邱老师</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电  话：18696915456</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lang w:val="en-US" w:eastAsia="zh-CN"/>
        </w:rPr>
        <w:t>南川区西城街道隆化大道9号综合服务中心2号楼3-4层</w:t>
      </w:r>
    </w:p>
    <w:p>
      <w:pPr>
        <w:snapToGrid w:val="0"/>
        <w:spacing w:line="360" w:lineRule="auto"/>
        <w:ind w:firstLine="480" w:firstLineChars="200"/>
        <w:rPr>
          <w:rFonts w:hint="eastAsia" w:ascii="仿宋" w:hAnsi="仿宋" w:eastAsia="仿宋" w:cs="仿宋"/>
          <w:color w:val="auto"/>
          <w:highlight w:val="none"/>
        </w:rPr>
      </w:pPr>
    </w:p>
    <w:p>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（二）采购代理机构：</w:t>
      </w:r>
      <w:r>
        <w:rPr>
          <w:rFonts w:hint="eastAsia" w:ascii="仿宋" w:hAnsi="仿宋" w:eastAsia="仿宋" w:cs="仿宋"/>
          <w:color w:val="auto"/>
          <w:highlight w:val="none"/>
          <w:lang w:eastAsia="zh-CN"/>
        </w:rPr>
        <w:t>坤博工程咨询（重庆）有限公司</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张</w:t>
      </w:r>
      <w:r>
        <w:rPr>
          <w:rFonts w:hint="eastAsia" w:ascii="仿宋" w:hAnsi="仿宋" w:eastAsia="仿宋" w:cs="仿宋"/>
          <w:color w:val="auto"/>
          <w:highlight w:val="none"/>
        </w:rPr>
        <w:t>先生</w:t>
      </w:r>
    </w:p>
    <w:p>
      <w:pPr>
        <w:snapToGrid w:val="0"/>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  话：</w:t>
      </w:r>
      <w:r>
        <w:rPr>
          <w:rFonts w:hint="eastAsia" w:ascii="仿宋" w:hAnsi="仿宋" w:eastAsia="仿宋" w:cs="仿宋"/>
          <w:color w:val="auto"/>
          <w:highlight w:val="none"/>
          <w:lang w:val="en-US" w:eastAsia="zh-CN"/>
        </w:rPr>
        <w:t>15523597576</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  址：重庆市渝北区仙桃街道锦熙街88号1幢18-9（龙湖天街1号楼1809）</w:t>
      </w:r>
    </w:p>
    <w:bookmarkEnd w:id="19"/>
    <w:p>
      <w:pPr>
        <w:pStyle w:val="3"/>
        <w:spacing w:line="276" w:lineRule="auto"/>
        <w:rPr>
          <w:rFonts w:hint="eastAsia" w:ascii="仿宋" w:hAnsi="仿宋" w:eastAsia="仿宋" w:cs="仿宋"/>
          <w:b/>
          <w:bCs/>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39" w:name="_Toc102227313"/>
      <w:bookmarkStart w:id="40" w:name="_Toc376349875"/>
      <w:bookmarkStart w:id="41" w:name="_Toc152480141"/>
    </w:p>
    <w:bookmarkEnd w:id="11"/>
    <w:bookmarkEnd w:id="12"/>
    <w:bookmarkEnd w:id="13"/>
    <w:bookmarkEnd w:id="39"/>
    <w:bookmarkEnd w:id="40"/>
    <w:bookmarkEnd w:id="41"/>
    <w:p>
      <w:pPr>
        <w:pStyle w:val="3"/>
        <w:spacing w:before="0" w:line="276" w:lineRule="auto"/>
        <w:jc w:val="center"/>
        <w:rPr>
          <w:rFonts w:hint="eastAsia" w:ascii="仿宋" w:hAnsi="仿宋" w:eastAsia="仿宋" w:cs="仿宋"/>
          <w:b/>
          <w:bCs/>
          <w:color w:val="auto"/>
          <w:sz w:val="36"/>
          <w:szCs w:val="36"/>
          <w:highlight w:val="none"/>
        </w:rPr>
      </w:pPr>
      <w:bookmarkStart w:id="42" w:name="_Toc11753"/>
      <w:bookmarkStart w:id="43" w:name="_Toc6453"/>
      <w:bookmarkStart w:id="44" w:name="_Toc487204778"/>
      <w:bookmarkStart w:id="45" w:name="_Toc22568"/>
      <w:bookmarkStart w:id="46" w:name="_Toc128744991"/>
      <w:r>
        <w:rPr>
          <w:rFonts w:hint="eastAsia" w:ascii="仿宋" w:hAnsi="仿宋" w:eastAsia="仿宋" w:cs="仿宋"/>
          <w:b/>
          <w:bCs/>
          <w:color w:val="auto"/>
          <w:sz w:val="36"/>
          <w:szCs w:val="36"/>
          <w:highlight w:val="none"/>
        </w:rPr>
        <w:t>第二篇  供应商须知</w:t>
      </w:r>
      <w:bookmarkEnd w:id="42"/>
      <w:bookmarkEnd w:id="43"/>
      <w:bookmarkEnd w:id="44"/>
      <w:bookmarkEnd w:id="45"/>
    </w:p>
    <w:p>
      <w:pPr>
        <w:pStyle w:val="2"/>
        <w:rPr>
          <w:rFonts w:hint="eastAsia" w:ascii="仿宋" w:hAnsi="仿宋" w:eastAsia="仿宋" w:cs="仿宋"/>
          <w:b/>
          <w:bCs/>
          <w:color w:val="auto"/>
          <w:sz w:val="24"/>
          <w:szCs w:val="24"/>
          <w:highlight w:val="none"/>
        </w:rPr>
      </w:pPr>
      <w:bookmarkStart w:id="47" w:name="_Toc32106"/>
      <w:bookmarkStart w:id="48" w:name="_Toc10942"/>
      <w:bookmarkStart w:id="49" w:name="_Toc20643"/>
      <w:bookmarkStart w:id="50" w:name="_Toc487204779"/>
      <w:bookmarkStart w:id="51" w:name="_Toc342913389"/>
      <w:bookmarkStart w:id="52" w:name="_Toc426965630"/>
      <w:r>
        <w:rPr>
          <w:rFonts w:hint="eastAsia" w:ascii="仿宋" w:hAnsi="仿宋" w:eastAsia="仿宋" w:cs="仿宋"/>
          <w:b/>
          <w:bCs/>
          <w:color w:val="auto"/>
          <w:sz w:val="24"/>
          <w:szCs w:val="24"/>
          <w:highlight w:val="none"/>
        </w:rPr>
        <w:t>一、比选费用</w:t>
      </w:r>
      <w:bookmarkEnd w:id="47"/>
      <w:bookmarkEnd w:id="48"/>
      <w:bookmarkEnd w:id="49"/>
      <w:bookmarkEnd w:id="50"/>
      <w:bookmarkEnd w:id="51"/>
      <w:bookmarkEnd w:id="52"/>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参与比选的供应商应承担其编制响应文件与递交响应文件所涉及的一切费用，不论比选结果如何，采购人和采购代理机构在任何情况下无义务也无责任承担这些费用。</w:t>
      </w:r>
    </w:p>
    <w:p>
      <w:pPr>
        <w:pStyle w:val="2"/>
        <w:rPr>
          <w:rFonts w:hint="eastAsia" w:ascii="仿宋" w:hAnsi="仿宋" w:eastAsia="仿宋" w:cs="仿宋"/>
          <w:b/>
          <w:bCs/>
          <w:color w:val="auto"/>
          <w:sz w:val="24"/>
          <w:szCs w:val="24"/>
          <w:highlight w:val="none"/>
        </w:rPr>
      </w:pPr>
      <w:bookmarkStart w:id="53" w:name="_Toc342913391"/>
      <w:bookmarkStart w:id="54" w:name="_Toc426965631"/>
      <w:bookmarkStart w:id="55" w:name="_Toc487204780"/>
      <w:bookmarkStart w:id="56" w:name="_Toc5707"/>
      <w:bookmarkStart w:id="57" w:name="_Toc15135"/>
      <w:bookmarkStart w:id="58" w:name="_Toc7850"/>
      <w:r>
        <w:rPr>
          <w:rFonts w:hint="eastAsia" w:ascii="仿宋" w:hAnsi="仿宋" w:eastAsia="仿宋" w:cs="仿宋"/>
          <w:b/>
          <w:bCs/>
          <w:color w:val="auto"/>
          <w:sz w:val="24"/>
          <w:szCs w:val="24"/>
          <w:highlight w:val="none"/>
        </w:rPr>
        <w:t>二、</w:t>
      </w:r>
      <w:bookmarkEnd w:id="53"/>
      <w:bookmarkEnd w:id="54"/>
      <w:bookmarkEnd w:id="55"/>
      <w:r>
        <w:rPr>
          <w:rFonts w:hint="eastAsia" w:ascii="仿宋" w:hAnsi="仿宋" w:eastAsia="仿宋" w:cs="仿宋"/>
          <w:b/>
          <w:bCs/>
          <w:color w:val="auto"/>
          <w:sz w:val="24"/>
          <w:szCs w:val="24"/>
          <w:highlight w:val="none"/>
        </w:rPr>
        <w:t>比选通知书</w:t>
      </w:r>
      <w:bookmarkEnd w:id="56"/>
      <w:bookmarkEnd w:id="57"/>
      <w:bookmarkEnd w:id="58"/>
      <w:r>
        <w:rPr>
          <w:rFonts w:hint="eastAsia" w:ascii="仿宋" w:hAnsi="仿宋" w:eastAsia="仿宋" w:cs="仿宋"/>
          <w:b/>
          <w:bCs/>
          <w:color w:val="auto"/>
          <w:sz w:val="24"/>
          <w:szCs w:val="24"/>
          <w:highlight w:val="none"/>
        </w:rPr>
        <w:tab/>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（一）比选通知书由比选邀请书、供应商须知、比选项目技术需求、比选项目商务需求、响应文件格式要求五部分组成。</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（二）采购人（或采购代理机构）所作的一切有效的书面通知、修改及补充，都是比选通知书不可分割的部分。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（三）比选通知书的解释</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59780"/>
      <w:bookmarkStart w:id="60" w:name="_Toc318166429"/>
      <w:bookmarkStart w:id="61" w:name="_Toc318159160"/>
      <w:bookmarkStart w:id="62" w:name="_Toc318159349"/>
    </w:p>
    <w:bookmarkEnd w:id="59"/>
    <w:bookmarkEnd w:id="60"/>
    <w:bookmarkEnd w:id="61"/>
    <w:bookmarkEnd w:id="62"/>
    <w:p>
      <w:pPr>
        <w:pStyle w:val="2"/>
        <w:rPr>
          <w:rFonts w:hint="eastAsia" w:ascii="仿宋" w:hAnsi="仿宋" w:eastAsia="仿宋" w:cs="仿宋"/>
          <w:b/>
          <w:bCs/>
          <w:color w:val="auto"/>
          <w:sz w:val="24"/>
          <w:szCs w:val="24"/>
          <w:highlight w:val="none"/>
        </w:rPr>
      </w:pPr>
      <w:bookmarkStart w:id="63" w:name="_Toc487204781"/>
      <w:bookmarkStart w:id="64" w:name="_Toc20329"/>
      <w:bookmarkStart w:id="65" w:name="_Toc26774"/>
      <w:bookmarkStart w:id="66" w:name="_Toc342913392"/>
      <w:bookmarkStart w:id="67" w:name="_Toc102227318"/>
      <w:bookmarkStart w:id="68" w:name="_Toc16522"/>
      <w:bookmarkStart w:id="69" w:name="_Toc179714297"/>
      <w:bookmarkStart w:id="70" w:name="_Toc426965632"/>
      <w:r>
        <w:rPr>
          <w:rFonts w:hint="eastAsia" w:ascii="仿宋" w:hAnsi="仿宋" w:eastAsia="仿宋" w:cs="仿宋"/>
          <w:b/>
          <w:bCs/>
          <w:color w:val="auto"/>
          <w:sz w:val="24"/>
          <w:szCs w:val="24"/>
          <w:highlight w:val="none"/>
        </w:rPr>
        <w:t>三、比选要求</w:t>
      </w:r>
      <w:bookmarkEnd w:id="63"/>
      <w:bookmarkEnd w:id="64"/>
      <w:bookmarkEnd w:id="65"/>
      <w:bookmarkEnd w:id="66"/>
      <w:bookmarkEnd w:id="67"/>
      <w:bookmarkEnd w:id="68"/>
      <w:bookmarkEnd w:id="69"/>
      <w:bookmarkEnd w:id="70"/>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（一）响应文件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供应商应当按照比选通知书的要求编制响应文件，并对比选通知书提出的要求和条件作出实质性响应，响应文件原则上采用软面订本，同时应编制完整的页码、目录。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1、响应文件组成</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2、联合体</w:t>
      </w:r>
    </w:p>
    <w:p>
      <w:pPr>
        <w:snapToGrid w:val="0"/>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本项目不接受联合体竞标。</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3、比选有效期：响应文件及有关承诺文件有效期为比选开始时间起90天。</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（二）保证金：</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1、供应商提交保证金金额和方式详见“</w:t>
      </w:r>
      <w:r>
        <w:rPr>
          <w:rFonts w:hint="eastAsia" w:ascii="仿宋" w:hAnsi="仿宋" w:eastAsia="仿宋" w:cs="仿宋"/>
          <w:b/>
          <w:color w:val="auto"/>
          <w:highlight w:val="none"/>
        </w:rPr>
        <w:t>第一篇</w:t>
      </w:r>
      <w:r>
        <w:rPr>
          <w:rFonts w:hint="eastAsia" w:ascii="仿宋" w:hAnsi="仿宋" w:eastAsia="仿宋" w:cs="仿宋"/>
          <w:color w:val="auto"/>
          <w:highlight w:val="none"/>
        </w:rPr>
        <w:t>”；</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2、发生以下情况之一者，保证金不予退还：</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2.1供应商在提交响应文件截止时间后撤回响应文件的；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2.2供应商在响应文件中提供虚假材料的；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2.3除因不可抗力或比选通知书认可的情形以外，成交供应商不与采购人签订合同的；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2.4供应商与采购人、其他供应商或者采购代理机构恶意串通的；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2.5比选通知书规定的其他情形。</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（三）报价要求</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投标人需综合考虑完成本项目所需的服务费、货物费、人工费及提供服务所需的设备或各种应纳的税费费等进行综合报价。因中标人自身原因造成漏报、少报皆由其自行承担责任，招标人不再补偿。</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（四）修正错误</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若响应文件出现计算或表达上的错误，修正错误的原则如下：</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1.响应文件中报价函的内容与响应文件中相应内容不一致的，以报价函为准；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3.单价金额小数点或者百分比有明显错位的，以报价函总价为准，并修改单价；</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numPr>
          <w:ilvl w:val="0"/>
          <w:numId w:val="2"/>
        </w:numPr>
        <w:snapToGrid w:val="0"/>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提交响应文件的份数和签署和递交</w:t>
      </w:r>
    </w:p>
    <w:p>
      <w:pPr>
        <w:snapToGrid w:val="0"/>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投标现场响应文件提交规则：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响应文件一式三份，其中正本一份，副本两份</w:t>
      </w:r>
      <w:r>
        <w:rPr>
          <w:rFonts w:hint="eastAsia" w:ascii="仿宋" w:hAnsi="仿宋" w:eastAsia="仿宋" w:cs="仿宋"/>
          <w:color w:val="auto"/>
          <w:highlight w:val="none"/>
        </w:rPr>
        <w:t>；副本可为正本的复印件，应与正本一致，如出现不一致情况以正本为准。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2、在响应文件正本中，比选通知书第六篇响应文件格式中规定签字、盖章的地方必须按其规定签字、盖章。</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3、响应文件的密封与标记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响应文件的正本、副本均应密封送达比选地点，应在封套上注明项目名称、供应商名称。若正本、副本分别进行密封的，还应在封套上注明“正本”、“副本”字样。</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4.如果响应文件通过邮寄递交，供应商应将响应文件用内、外两层封套密封。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5.如果未按上述规定进行密封的，采购人、采购代理机构将拒收其响应文件。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行采家平台响应文件提交规则：</w:t>
      </w:r>
    </w:p>
    <w:p>
      <w:pPr>
        <w:snapToGrid w:val="0"/>
        <w:spacing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供应商需在规定的时间内在行采家平台上传签字盖章后的投标文件电子文档PDF格式一份（如投标文件电子档内容与纸质投标文件不一致时，则以线下文件为准）。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（六）响应文件语言：简体中文</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（七）供应商参与人员</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各个供应商可派1-2名代表参与比选，至少1人应为法定代表人或具有法定代表人授权委托书的授权代表。</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（八）无效响应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供应商发生以下条款情况之一者，视为无效响应，其响应文件将被拒绝：</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1、供应商不符合资格要求的；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2、供应商未按照比选通知书的要求缴纳保证金的；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3、供应商所提交的响应文件不按规定签字、盖章的；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4、供应商的报价超过采购预算（若有采购预算单价，则含采购预算单价）的；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5、供应商响应文件附有采购人无法接受的条件的；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6、供应商串通投标的；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7、供应商组成联合体投标的；</w:t>
      </w:r>
    </w:p>
    <w:p>
      <w:pPr>
        <w:snapToGrid w:val="0"/>
        <w:spacing w:line="360" w:lineRule="auto"/>
        <w:ind w:firstLine="480" w:firstLineChars="200"/>
        <w:rPr>
          <w:rFonts w:hint="eastAsia" w:ascii="仿宋" w:hAnsi="仿宋" w:eastAsia="仿宋" w:cs="仿宋"/>
          <w:color w:val="auto"/>
          <w:highlight w:val="none"/>
          <w:u w:val="single"/>
        </w:rPr>
      </w:pPr>
      <w:bookmarkStart w:id="71" w:name="_Toc492721019"/>
      <w:bookmarkStart w:id="72" w:name="_Toc493506302"/>
      <w:r>
        <w:rPr>
          <w:rFonts w:hint="eastAsia" w:ascii="仿宋" w:hAnsi="仿宋" w:eastAsia="仿宋" w:cs="仿宋"/>
          <w:color w:val="auto"/>
          <w:highlight w:val="none"/>
          <w:u w:val="single"/>
        </w:rPr>
        <w:t>8、供应商网上报价和线下报价不一致的；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9、法律、法规和比选通知书规定的其他无效情形。</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（九）废标条款</w:t>
      </w:r>
      <w:bookmarkEnd w:id="71"/>
      <w:bookmarkEnd w:id="72"/>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出现下列情形之一的，采购人或者采购代理机构应当终止比选采购活动，发布项目终止公告并说明原因，重新开展采购活动：</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1、因情况变化，不再符合规定的比选采购方式适用情形的；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3、在采购过程中符合竞争要求的供应商或者报价未超过采购预算的供应商不足3家的。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废标后，除采购任务取消情形外，应当重新组织采购。</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（十）采购代理服务费</w:t>
      </w:r>
      <w:bookmarkStart w:id="73" w:name="_Toc102227319"/>
      <w:bookmarkStart w:id="74" w:name="_Toc342913393"/>
      <w:bookmarkStart w:id="75" w:name="_Toc426965633"/>
      <w:bookmarkStart w:id="76" w:name="_Toc487204782"/>
      <w:bookmarkStart w:id="77" w:name="_Toc179714298"/>
      <w:bookmarkStart w:id="78" w:name="_Toc31741"/>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各分包</w:t>
      </w:r>
      <w:r>
        <w:rPr>
          <w:rFonts w:hint="eastAsia" w:ascii="仿宋" w:hAnsi="仿宋" w:eastAsia="仿宋" w:cs="仿宋"/>
          <w:color w:val="auto"/>
          <w:highlight w:val="none"/>
        </w:rPr>
        <w:t>成交供应商在领取成交通知书的同时，需向采购代理机构缴纳采购代理服务费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代理费为3500</w:t>
      </w:r>
      <w:r>
        <w:rPr>
          <w:rFonts w:hint="eastAsia" w:ascii="仿宋" w:hAnsi="仿宋" w:eastAsia="仿宋" w:cs="仿宋"/>
          <w:color w:val="auto"/>
          <w:highlight w:val="none"/>
        </w:rPr>
        <w:t>元（大写：</w:t>
      </w:r>
      <w:r>
        <w:rPr>
          <w:rFonts w:hint="eastAsia" w:ascii="仿宋" w:hAnsi="仿宋" w:eastAsia="仿宋" w:cs="仿宋"/>
          <w:color w:val="auto"/>
          <w:highlight w:val="none"/>
          <w:u w:val="single"/>
          <w:lang w:val="en-US" w:eastAsia="zh-CN"/>
        </w:rPr>
        <w:t>叁仟伍佰元</w:t>
      </w:r>
      <w:r>
        <w:rPr>
          <w:rFonts w:hint="eastAsia" w:ascii="仿宋" w:hAnsi="仿宋" w:eastAsia="仿宋" w:cs="仿宋"/>
          <w:color w:val="auto"/>
          <w:highlight w:val="none"/>
          <w:u w:val="single"/>
        </w:rPr>
        <w:t>整</w:t>
      </w:r>
      <w:r>
        <w:rPr>
          <w:rFonts w:hint="eastAsia" w:ascii="仿宋" w:hAnsi="仿宋" w:eastAsia="仿宋" w:cs="仿宋"/>
          <w:color w:val="auto"/>
          <w:highlight w:val="none"/>
        </w:rPr>
        <w:t>）。</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2、代理服务费以转帐或者现金形式支付。</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3、费用缴纳账号：</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户  名：坤博工程咨询（重庆）有限公司</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账  号：3100024409200129605</w:t>
      </w:r>
    </w:p>
    <w:p>
      <w:pPr>
        <w:pStyle w:val="2"/>
        <w:rPr>
          <w:rFonts w:hint="eastAsia" w:ascii="仿宋" w:hAnsi="仿宋" w:eastAsia="仿宋" w:cs="仿宋"/>
          <w:b/>
          <w:bCs/>
          <w:color w:val="auto"/>
          <w:sz w:val="24"/>
          <w:szCs w:val="24"/>
          <w:highlight w:val="none"/>
        </w:rPr>
      </w:pPr>
      <w:bookmarkStart w:id="79" w:name="_Toc27415"/>
      <w:bookmarkStart w:id="80" w:name="_Toc32684"/>
      <w:r>
        <w:rPr>
          <w:rFonts w:hint="eastAsia" w:ascii="仿宋" w:hAnsi="仿宋" w:eastAsia="仿宋" w:cs="仿宋"/>
          <w:b/>
          <w:bCs/>
          <w:color w:val="auto"/>
          <w:sz w:val="24"/>
          <w:szCs w:val="24"/>
          <w:highlight w:val="none"/>
        </w:rPr>
        <w:t>四、</w:t>
      </w:r>
      <w:bookmarkEnd w:id="73"/>
      <w:bookmarkEnd w:id="74"/>
      <w:bookmarkEnd w:id="75"/>
      <w:bookmarkEnd w:id="76"/>
      <w:bookmarkEnd w:id="77"/>
      <w:r>
        <w:rPr>
          <w:rFonts w:hint="eastAsia" w:ascii="仿宋" w:hAnsi="仿宋" w:eastAsia="仿宋" w:cs="仿宋"/>
          <w:b/>
          <w:bCs/>
          <w:color w:val="auto"/>
          <w:sz w:val="24"/>
          <w:szCs w:val="24"/>
          <w:highlight w:val="none"/>
        </w:rPr>
        <w:t>比选程序及成交标准</w:t>
      </w:r>
      <w:bookmarkEnd w:id="78"/>
      <w:bookmarkEnd w:id="79"/>
      <w:bookmarkEnd w:id="80"/>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（一）本项目比选按照比选通知书规定的时间和地点进行。供应商须有法定代表人或其授权代表参加并签到。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（二）资格性符合性检查</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1.资格性检查。依据法律法规和比选通知书的规定，对响应文件中的资格证明、保证金等进行审查，以确定供应商是否具备比选资格。资格性检查资料表如下：</w:t>
      </w:r>
    </w:p>
    <w:tbl>
      <w:tblPr>
        <w:tblStyle w:val="3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800" w:type="dxa"/>
            <w:gridSpan w:val="2"/>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检查因素</w:t>
            </w:r>
          </w:p>
        </w:tc>
        <w:tc>
          <w:tcPr>
            <w:tcW w:w="5812" w:type="dxa"/>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restart"/>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65" w:type="dxa"/>
            <w:vMerge w:val="restart"/>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应符合的基本资格条件</w:t>
            </w:r>
          </w:p>
        </w:tc>
        <w:tc>
          <w:tcPr>
            <w:tcW w:w="2835" w:type="dxa"/>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5812" w:type="dxa"/>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s="仿宋"/>
                <w:color w:val="auto"/>
                <w:highlight w:val="none"/>
              </w:rPr>
              <w:sym w:font="Wingdings" w:char="F081"/>
            </w:r>
            <w:r>
              <w:rPr>
                <w:rFonts w:hint="eastAsia" w:ascii="仿宋" w:hAnsi="仿宋" w:eastAsia="仿宋" w:cs="仿宋"/>
                <w:color w:val="auto"/>
                <w:sz w:val="21"/>
                <w:szCs w:val="21"/>
                <w:highlight w:val="none"/>
              </w:rPr>
              <w:t>）；</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5812" w:type="dxa"/>
            <w:vMerge w:val="restart"/>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5812" w:type="dxa"/>
            <w:vMerge w:val="continue"/>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5812" w:type="dxa"/>
            <w:vMerge w:val="continue"/>
            <w:vAlign w:val="center"/>
          </w:tcPr>
          <w:p>
            <w:pP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spacing w:line="380" w:lineRule="exact"/>
              <w:jc w:val="center"/>
              <w:rPr>
                <w:rFonts w:hint="eastAsia" w:ascii="仿宋" w:hAnsi="仿宋" w:eastAsia="仿宋" w:cs="仿宋"/>
                <w:color w:val="auto"/>
                <w:sz w:val="21"/>
                <w:szCs w:val="21"/>
                <w:highlight w:val="none"/>
              </w:rPr>
            </w:pPr>
          </w:p>
        </w:tc>
        <w:tc>
          <w:tcPr>
            <w:tcW w:w="965" w:type="dxa"/>
            <w:vMerge w:val="continue"/>
            <w:vAlign w:val="center"/>
          </w:tcPr>
          <w:p>
            <w:pPr>
              <w:spacing w:line="380" w:lineRule="exact"/>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（5）参加政府采购活动前三年内，在经营活动中没有重大违法记录（注②）</w:t>
            </w:r>
          </w:p>
        </w:tc>
        <w:tc>
          <w:tcPr>
            <w:tcW w:w="5812" w:type="dxa"/>
            <w:vMerge w:val="continue"/>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5812" w:type="dxa"/>
            <w:vAlign w:val="center"/>
          </w:tcPr>
          <w:p>
            <w:pPr>
              <w:keepNext/>
              <w:keepLines/>
              <w:spacing w:before="260" w:after="260"/>
              <w:outlineLvl w:val="2"/>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800" w:type="dxa"/>
            <w:gridSpan w:val="2"/>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特定资格条件</w:t>
            </w:r>
          </w:p>
        </w:tc>
        <w:tc>
          <w:tcPr>
            <w:tcW w:w="5812" w:type="dxa"/>
            <w:vAlign w:val="center"/>
          </w:tcPr>
          <w:p>
            <w:pPr>
              <w:rPr>
                <w:rFonts w:hint="eastAsia" w:ascii="仿宋" w:hAnsi="仿宋" w:eastAsia="仿宋" w:cs="仿宋"/>
                <w:color w:val="auto"/>
                <w:sz w:val="21"/>
                <w:szCs w:val="21"/>
                <w:highlight w:val="none"/>
              </w:rPr>
            </w:pPr>
            <w:bookmarkStart w:id="81" w:name="_Toc13413"/>
            <w:bookmarkStart w:id="82" w:name="_Toc11965"/>
            <w:r>
              <w:rPr>
                <w:rFonts w:hint="eastAsia" w:ascii="仿宋" w:hAnsi="仿宋" w:eastAsia="仿宋" w:cs="仿宋"/>
                <w:color w:val="auto"/>
                <w:sz w:val="22"/>
                <w:szCs w:val="22"/>
                <w:highlight w:val="none"/>
              </w:rPr>
              <w:t>按第一篇“比选邀请书（三）特定资格条件”的要求提交证明文件复印件并加盖供应商公章。</w:t>
            </w:r>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800" w:type="dxa"/>
            <w:gridSpan w:val="2"/>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比选保证金</w:t>
            </w:r>
          </w:p>
        </w:tc>
        <w:tc>
          <w:tcPr>
            <w:tcW w:w="5812" w:type="dxa"/>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保证金到账截止时间前提交足额缴纳保证金，且满足比选通知书第一篇五、竞标保证金中的相关规定。</w:t>
            </w:r>
          </w:p>
        </w:tc>
      </w:tr>
    </w:tbl>
    <w:p>
      <w:pPr>
        <w:snapToGrid w:val="0"/>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sym w:font="Wingdings" w:char="F081"/>
      </w:r>
      <w:r>
        <w:rPr>
          <w:rFonts w:hint="eastAsia" w:ascii="仿宋" w:hAnsi="仿宋" w:eastAsia="仿宋" w:cs="仿宋"/>
          <w:color w:val="auto"/>
          <w:highlight w:val="none"/>
        </w:rPr>
        <w:t>供应商按“五证合一”登记制度办理营业执照的，组织机构代码证、税务登记证（副本）和社会保险登记证以供应商所提供的营业执照（副本）复印件为准。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sym w:font="Wingdings" w:char="F082"/>
      </w:r>
      <w:r>
        <w:rPr>
          <w:rFonts w:hint="eastAsia" w:ascii="仿宋" w:hAnsi="仿宋" w:eastAsia="仿宋" w:cs="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③根据重庆市财政局文件 渝财规〔2022〕4号重庆市财政局关于实施政府采购供应商 基本资格条件承诺制的通知：供应商只需以书面形式提供规定格式的《基本资格条件承诺函》，即可替代以下材料： </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1、财务状况报告（表）或其基本开户银行出具的资信证明材料；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2、依法缴纳税收的证明材料；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3、缴纳社会保障金的证明材料；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4、具有履行合同所必需的设备和专业技术能力的证明材料；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6、未被列入失信被执行人、重大税收违法案件当事人名单及政府采购严重违法失信行为记录名单的证明材料。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法定代表人身份证明及授权委托书有效，符合比选通知书规定的格式，签字或盖章齐全。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每个分包只能有一个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响应文件正、副本数量符合投标文件要求。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pPr>
              <w:pStyle w:val="18"/>
              <w:widowControl w:val="0"/>
              <w:spacing w:line="380" w:lineRule="exact"/>
              <w:jc w:val="both"/>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对比选通知书第三篇、第四篇规定的比选内容作出响应。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满足比选通知书</w:t>
            </w:r>
            <w:r>
              <w:rPr>
                <w:rFonts w:hint="eastAsia" w:ascii="仿宋" w:hAnsi="仿宋" w:eastAsia="仿宋" w:cs="仿宋"/>
                <w:color w:val="auto"/>
                <w:sz w:val="21"/>
                <w:szCs w:val="21"/>
                <w:highlight w:val="none"/>
                <w:lang w:val="zh-CN"/>
              </w:rPr>
              <w:t>规定。</w:t>
            </w:r>
          </w:p>
        </w:tc>
      </w:tr>
    </w:tbl>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（3）在比选过程中比选的任何一方不得向他人透露与比选有关的技术资料、价格或其他信息。</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（4）比选小组采用</w:t>
      </w:r>
      <w:r>
        <w:rPr>
          <w:rFonts w:hint="eastAsia" w:ascii="仿宋" w:hAnsi="仿宋" w:eastAsia="仿宋" w:cs="仿宋"/>
          <w:b/>
          <w:bCs/>
          <w:color w:val="auto"/>
          <w:highlight w:val="none"/>
        </w:rPr>
        <w:t>综合评分法</w:t>
      </w:r>
      <w:r>
        <w:rPr>
          <w:rFonts w:hint="eastAsia" w:ascii="仿宋" w:hAnsi="仿宋" w:eastAsia="仿宋" w:cs="仿宋"/>
          <w:color w:val="auto"/>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pPr>
        <w:rPr>
          <w:rFonts w:hint="eastAsia" w:ascii="仿宋" w:hAnsi="仿宋" w:eastAsia="仿宋" w:cs="仿宋"/>
          <w:b/>
          <w:bCs/>
          <w:color w:val="auto"/>
          <w:sz w:val="24"/>
          <w:szCs w:val="24"/>
          <w:highlight w:val="none"/>
        </w:rPr>
      </w:pPr>
      <w:bookmarkStart w:id="83" w:name="_Toc11594"/>
      <w:bookmarkStart w:id="84" w:name="_Toc12097"/>
      <w:bookmarkStart w:id="85" w:name="_Toc6067"/>
      <w:r>
        <w:rPr>
          <w:rFonts w:hint="eastAsia" w:ascii="仿宋" w:hAnsi="仿宋" w:eastAsia="仿宋" w:cs="仿宋"/>
          <w:b/>
          <w:bCs/>
          <w:color w:val="auto"/>
          <w:sz w:val="24"/>
          <w:szCs w:val="24"/>
          <w:highlight w:val="none"/>
        </w:rPr>
        <w:br w:type="page"/>
      </w:r>
    </w:p>
    <w:p>
      <w:pPr>
        <w:pStyle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五、评审标准</w:t>
      </w:r>
      <w:bookmarkEnd w:id="83"/>
      <w:bookmarkEnd w:id="84"/>
      <w:bookmarkEnd w:id="85"/>
    </w:p>
    <w:tbl>
      <w:tblPr>
        <w:tblStyle w:val="35"/>
        <w:tblW w:w="10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183"/>
        <w:gridCol w:w="1161"/>
        <w:gridCol w:w="57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评分因素及权值</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分值</w:t>
            </w:r>
          </w:p>
        </w:tc>
        <w:tc>
          <w:tcPr>
            <w:tcW w:w="727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hint="eastAsia" w:ascii="仿宋" w:hAnsi="仿宋" w:eastAsia="仿宋" w:cs="仿宋"/>
                <w:color w:val="auto"/>
                <w:sz w:val="22"/>
                <w:szCs w:val="22"/>
              </w:rPr>
            </w:pPr>
            <w:r>
              <w:rPr>
                <w:rFonts w:hint="eastAsia" w:ascii="仿宋" w:hAnsi="仿宋" w:eastAsia="仿宋" w:cs="仿宋"/>
                <w:color w:val="auto"/>
                <w:sz w:val="22"/>
                <w:szCs w:val="22"/>
              </w:rPr>
              <w:t>投标报价（30%）</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30</w:t>
            </w:r>
          </w:p>
        </w:tc>
        <w:tc>
          <w:tcPr>
            <w:tcW w:w="727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有效的投标报价中的最低价为评标基准价，按照下列公式计算每个投标人的投标价格得分。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jc w:val="center"/>
        </w:trPr>
        <w:tc>
          <w:tcPr>
            <w:tcW w:w="463" w:type="dxa"/>
            <w:vMerge w:val="restart"/>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183" w:type="dxa"/>
            <w:vMerge w:val="restart"/>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技术部分</w:t>
            </w:r>
          </w:p>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en-US" w:eastAsia="zh-CN"/>
              </w:rPr>
              <w:t>65</w:t>
            </w:r>
            <w:r>
              <w:rPr>
                <w:rFonts w:hint="eastAsia" w:ascii="仿宋" w:hAnsi="仿宋" w:eastAsia="仿宋" w:cs="仿宋"/>
                <w:color w:val="auto"/>
                <w:sz w:val="22"/>
                <w:szCs w:val="22"/>
                <w:lang w:val="zh-CN"/>
              </w:rPr>
              <w:t>%）</w:t>
            </w:r>
          </w:p>
          <w:p>
            <w:pPr>
              <w:widowControl w:val="0"/>
              <w:spacing w:line="300" w:lineRule="exact"/>
              <w:jc w:val="both"/>
              <w:rPr>
                <w:rFonts w:hint="eastAsia" w:ascii="仿宋" w:hAnsi="仿宋" w:eastAsia="仿宋" w:cs="仿宋"/>
                <w:color w:val="auto"/>
                <w:sz w:val="22"/>
                <w:szCs w:val="22"/>
                <w:lang w:val="en-US" w:eastAsia="zh-CN"/>
              </w:rPr>
            </w:pPr>
          </w:p>
        </w:tc>
        <w:tc>
          <w:tcPr>
            <w:tcW w:w="1161" w:type="dxa"/>
            <w:tcBorders>
              <w:top w:val="single" w:color="auto" w:sz="4" w:space="0"/>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总体施工组织布置、工期及规划</w:t>
            </w: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1、</w:t>
            </w:r>
            <w:r>
              <w:rPr>
                <w:rFonts w:hint="eastAsia" w:ascii="仿宋" w:hAnsi="仿宋" w:eastAsia="仿宋" w:cs="仿宋"/>
                <w:color w:val="auto"/>
                <w:sz w:val="22"/>
                <w:szCs w:val="22"/>
              </w:rPr>
              <w:t>总体施工组织布置、工期及规划</w:t>
            </w: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lang w:val="zh-CN"/>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根据供应商提供的总体施工组织布置、工期及规划方案打分（编制要点：包括但不限于总体施工组织布置合理，人员安排详细，施工进度合理且可控，规划具备逻辑性且符合项目实际情况）</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11</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7</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restart"/>
            <w:tcBorders>
              <w:top 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提供技术方案，格式自定。</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方案评审标准：本项内容中所称的“瑕疵”是指内容与实际情况不符、内容与项目无关、内容表述错误、内容前后表述矛盾、内容与项目不匹配、项目信息错误、不符合本项目涉及的相关规范或标准或服务要求、套用其他方案、存在逻辑漏洞以及不可能实现的夸大情形、内容不完整或缺少关键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p>
        </w:tc>
        <w:tc>
          <w:tcPr>
            <w:tcW w:w="1161" w:type="dxa"/>
            <w:tcBorders>
              <w:top w:val="single" w:color="auto" w:sz="4" w:space="0"/>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施工方案与技术措施</w:t>
            </w:r>
          </w:p>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2、</w:t>
            </w:r>
            <w:r>
              <w:rPr>
                <w:rFonts w:hint="eastAsia" w:ascii="仿宋" w:hAnsi="仿宋" w:eastAsia="仿宋" w:cs="仿宋"/>
                <w:color w:val="auto"/>
                <w:lang w:val="zh-CN"/>
              </w:rPr>
              <w:t>施工方案与技术措施（</w:t>
            </w:r>
            <w:r>
              <w:rPr>
                <w:rFonts w:hint="eastAsia" w:ascii="仿宋" w:hAnsi="仿宋" w:eastAsia="仿宋" w:cs="仿宋"/>
                <w:color w:val="auto"/>
                <w:lang w:val="zh-CN"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eastAsia="zh-CN"/>
              </w:rPr>
              <w:t>主要施工程序、施工工艺及做法和过程、材料要求等符合工程特点、重难点的施工方案可操作性、经济性强。</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1"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lang w:val="zh-CN"/>
              </w:rPr>
              <w:t>质量</w:t>
            </w:r>
            <w:r>
              <w:rPr>
                <w:rFonts w:hint="eastAsia" w:ascii="仿宋" w:hAnsi="仿宋" w:eastAsia="仿宋" w:cs="仿宋"/>
                <w:color w:val="auto"/>
                <w:sz w:val="22"/>
                <w:szCs w:val="22"/>
              </w:rPr>
              <w:t>管理体系与措施</w:t>
            </w:r>
          </w:p>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10</w:t>
            </w:r>
            <w:r>
              <w:rPr>
                <w:rFonts w:hint="eastAsia" w:ascii="仿宋" w:hAnsi="仿宋" w:eastAsia="仿宋" w:cs="仿宋"/>
                <w:color w:val="auto"/>
                <w:sz w:val="22"/>
                <w:szCs w:val="22"/>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3、</w:t>
            </w:r>
            <w:r>
              <w:rPr>
                <w:rFonts w:hint="eastAsia" w:ascii="仿宋" w:hAnsi="仿宋" w:eastAsia="仿宋" w:cs="仿宋"/>
                <w:color w:val="auto"/>
                <w:lang w:val="zh-CN"/>
              </w:rPr>
              <w:t>质量管理体系与措施（</w:t>
            </w:r>
            <w:r>
              <w:rPr>
                <w:rFonts w:hint="eastAsia" w:ascii="仿宋" w:hAnsi="仿宋" w:eastAsia="仿宋" w:cs="仿宋"/>
                <w:color w:val="auto"/>
                <w:lang w:val="en-US"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根据供应商提供的工程质量管理体系及保证措施方案打分（编制要点：包括但不限于施工项目质量保证目标明确、施工质量保证体系、质量检查监督机构设置、质量保证措施）</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安全管理体系与措施</w:t>
            </w:r>
          </w:p>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4、</w:t>
            </w:r>
            <w:r>
              <w:rPr>
                <w:rFonts w:hint="eastAsia" w:ascii="仿宋" w:hAnsi="仿宋" w:eastAsia="仿宋" w:cs="仿宋"/>
                <w:color w:val="auto"/>
                <w:lang w:val="zh-CN"/>
              </w:rPr>
              <w:t>安全管理体系与措施（</w:t>
            </w:r>
            <w:r>
              <w:rPr>
                <w:rFonts w:hint="eastAsia" w:ascii="仿宋" w:hAnsi="仿宋" w:eastAsia="仿宋" w:cs="仿宋"/>
                <w:color w:val="auto"/>
                <w:lang w:val="zh-CN"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eastAsia="zh-CN"/>
              </w:rPr>
              <w:t>措施得当，满足本项目具体要求，可实施性强、对项目重大危险源进行安全风险评估，安全防控措施针对性强。</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en-US" w:eastAsia="zh-CN"/>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lang w:val="zh-CN"/>
              </w:rPr>
              <w:t>安全文明施工及应急预案（</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val="zh-CN" w:eastAsia="zh-CN"/>
              </w:rPr>
              <w:t>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5、</w:t>
            </w:r>
            <w:r>
              <w:rPr>
                <w:rFonts w:hint="eastAsia" w:ascii="仿宋" w:hAnsi="仿宋" w:eastAsia="仿宋" w:cs="仿宋"/>
                <w:color w:val="auto"/>
                <w:lang w:val="zh-CN"/>
              </w:rPr>
              <w:t>安全文明施工及应急预案（</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rPr>
              <w:t>安全文明施工及应急预案全面有效，施工安全专项方案及安全管理保证措施具有针对性、文明施工和防止扰民措施得当等</w:t>
            </w:r>
            <w:r>
              <w:rPr>
                <w:rFonts w:hint="eastAsia" w:ascii="仿宋" w:hAnsi="仿宋" w:eastAsia="仿宋" w:cs="仿宋"/>
                <w:color w:val="auto"/>
                <w:lang w:val="zh-CN" w:eastAsia="zh-CN"/>
              </w:rPr>
              <w:t>。</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环境保护及施工建筑垃圾及时清理措施</w:t>
            </w:r>
          </w:p>
          <w:p>
            <w:pPr>
              <w:widowControl w:val="0"/>
              <w:spacing w:line="300" w:lineRule="exact"/>
              <w:jc w:val="center"/>
              <w:rPr>
                <w:rFonts w:hint="eastAsia" w:ascii="仿宋" w:hAnsi="仿宋" w:eastAsia="仿宋" w:cs="仿宋"/>
                <w:color w:val="auto"/>
                <w:sz w:val="22"/>
                <w:szCs w:val="22"/>
                <w:lang w:val="zh-CN"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10分</w:t>
            </w:r>
            <w:r>
              <w:rPr>
                <w:rFonts w:hint="eastAsia" w:ascii="仿宋" w:hAnsi="仿宋" w:eastAsia="仿宋" w:cs="仿宋"/>
                <w:color w:val="auto"/>
                <w:sz w:val="22"/>
                <w:szCs w:val="22"/>
                <w:lang w:eastAsia="zh-CN"/>
              </w:rPr>
              <w:t>）</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环境保护及施工建筑垃圾及时清理措施</w:t>
            </w:r>
            <w:r>
              <w:rPr>
                <w:rFonts w:hint="eastAsia" w:ascii="仿宋" w:hAnsi="仿宋" w:eastAsia="仿宋" w:cs="仿宋"/>
                <w:color w:val="auto"/>
                <w:lang w:eastAsia="zh-CN"/>
              </w:rPr>
              <w:t>（</w:t>
            </w:r>
            <w:r>
              <w:rPr>
                <w:rFonts w:hint="eastAsia" w:ascii="仿宋" w:hAnsi="仿宋" w:eastAsia="仿宋" w:cs="仿宋"/>
                <w:color w:val="auto"/>
                <w:lang w:val="en-US" w:eastAsia="zh-CN"/>
              </w:rPr>
              <w:t>10分</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根据供应商提供的环境保护及施工建筑垃圾及时清理措施方案打分（编制要点：包括但不限于周边环境保护措施、环境破坏补救措施、施工建筑垃圾及时清理措施）</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tcBorders>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jc w:val="center"/>
        </w:trPr>
        <w:tc>
          <w:tcPr>
            <w:tcW w:w="463" w:type="dxa"/>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183" w:type="dxa"/>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商务部分（5分）</w:t>
            </w:r>
          </w:p>
        </w:tc>
        <w:tc>
          <w:tcPr>
            <w:tcW w:w="1161" w:type="dxa"/>
            <w:tcBorders>
              <w:top w:val="single" w:color="auto" w:sz="4" w:space="0"/>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业绩</w:t>
            </w:r>
          </w:p>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供应商从202</w:t>
            </w:r>
            <w:r>
              <w:rPr>
                <w:rFonts w:hint="eastAsia" w:ascii="仿宋" w:hAnsi="仿宋" w:eastAsia="仿宋" w:cs="仿宋"/>
                <w:color w:val="auto"/>
                <w:lang w:val="en-US" w:eastAsia="zh-CN"/>
              </w:rPr>
              <w:t>2</w:t>
            </w:r>
            <w:r>
              <w:rPr>
                <w:rFonts w:hint="eastAsia" w:ascii="仿宋" w:hAnsi="仿宋" w:eastAsia="仿宋" w:cs="仿宋"/>
                <w:color w:val="auto"/>
              </w:rPr>
              <w:t>年1月1日起至投标截止之日（以合同签订时间为准）有</w:t>
            </w:r>
            <w:r>
              <w:rPr>
                <w:rFonts w:hint="eastAsia" w:ascii="仿宋" w:hAnsi="仿宋" w:eastAsia="仿宋" w:cs="仿宋"/>
                <w:color w:val="auto"/>
                <w:lang w:val="en-US" w:eastAsia="zh-CN"/>
              </w:rPr>
              <w:t>施工改造</w:t>
            </w:r>
            <w:r>
              <w:rPr>
                <w:rFonts w:hint="eastAsia" w:ascii="仿宋" w:hAnsi="仿宋" w:eastAsia="仿宋" w:cs="仿宋"/>
                <w:color w:val="auto"/>
              </w:rPr>
              <w:t>业绩的，提供一个得</w:t>
            </w:r>
            <w:r>
              <w:rPr>
                <w:rFonts w:hint="eastAsia" w:ascii="仿宋" w:hAnsi="仿宋" w:eastAsia="仿宋" w:cs="仿宋"/>
                <w:color w:val="auto"/>
                <w:lang w:val="en-US" w:eastAsia="zh-CN"/>
              </w:rPr>
              <w:t>2.5</w:t>
            </w:r>
            <w:r>
              <w:rPr>
                <w:rFonts w:hint="eastAsia" w:ascii="仿宋" w:hAnsi="仿宋" w:eastAsia="仿宋" w:cs="仿宋"/>
                <w:color w:val="auto"/>
              </w:rPr>
              <w:t>分，最高得</w:t>
            </w:r>
            <w:r>
              <w:rPr>
                <w:rFonts w:hint="eastAsia" w:ascii="仿宋" w:hAnsi="仿宋" w:eastAsia="仿宋" w:cs="仿宋"/>
                <w:color w:val="auto"/>
                <w:lang w:val="en-US" w:eastAsia="zh-CN"/>
              </w:rPr>
              <w:t>5</w:t>
            </w:r>
            <w:r>
              <w:rPr>
                <w:rFonts w:hint="eastAsia" w:ascii="仿宋" w:hAnsi="仿宋" w:eastAsia="仿宋" w:cs="仿宋"/>
                <w:color w:val="auto"/>
              </w:rPr>
              <w:t>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提供合同复印件并加盖投标供应商鲜章。</w:t>
            </w:r>
          </w:p>
        </w:tc>
      </w:tr>
    </w:tbl>
    <w:p>
      <w:pPr>
        <w:rPr>
          <w:rFonts w:hint="eastAsia" w:ascii="仿宋" w:hAnsi="仿宋" w:eastAsia="仿宋" w:cs="仿宋"/>
          <w:color w:val="auto"/>
          <w:highlight w:val="none"/>
        </w:rPr>
      </w:pP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pPr>
        <w:snapToGrid w:val="0"/>
        <w:spacing w:line="360" w:lineRule="auto"/>
        <w:ind w:firstLine="480" w:firstLineChars="200"/>
        <w:rPr>
          <w:rFonts w:hint="eastAsia" w:ascii="仿宋" w:hAnsi="仿宋" w:eastAsia="仿宋" w:cs="仿宋"/>
          <w:color w:val="auto"/>
          <w:highlight w:val="none"/>
        </w:rPr>
      </w:pPr>
      <w:bookmarkStart w:id="86" w:name="_Toc9686"/>
      <w:bookmarkStart w:id="87" w:name="_Toc1719"/>
      <w:r>
        <w:rPr>
          <w:rFonts w:hint="eastAsia" w:ascii="仿宋" w:hAnsi="仿宋" w:eastAsia="仿宋" w:cs="仿宋"/>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pPr>
        <w:pStyle w:val="2"/>
        <w:rPr>
          <w:rFonts w:hint="eastAsia" w:ascii="仿宋" w:hAnsi="仿宋" w:eastAsia="仿宋" w:cs="仿宋"/>
          <w:b/>
          <w:bCs/>
          <w:color w:val="auto"/>
          <w:sz w:val="24"/>
          <w:szCs w:val="24"/>
          <w:highlight w:val="none"/>
        </w:rPr>
      </w:pPr>
      <w:bookmarkStart w:id="88" w:name="_Toc14088"/>
      <w:r>
        <w:rPr>
          <w:rFonts w:hint="eastAsia" w:ascii="仿宋" w:hAnsi="仿宋" w:eastAsia="仿宋" w:cs="仿宋"/>
          <w:b/>
          <w:bCs/>
          <w:color w:val="auto"/>
          <w:sz w:val="24"/>
          <w:szCs w:val="24"/>
          <w:highlight w:val="none"/>
        </w:rPr>
        <w:t>六、评审依据</w:t>
      </w:r>
      <w:bookmarkEnd w:id="86"/>
      <w:bookmarkEnd w:id="87"/>
      <w:bookmarkEnd w:id="88"/>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评审的依据为比选通知书和响应文件（含有效的补充文件）。比选小组判断响应文件对比选通知书的响应，仅基于响应文件本身而不靠外部证据。</w:t>
      </w:r>
    </w:p>
    <w:p>
      <w:pPr>
        <w:pStyle w:val="2"/>
        <w:rPr>
          <w:rFonts w:hint="eastAsia" w:ascii="仿宋" w:hAnsi="仿宋" w:eastAsia="仿宋" w:cs="仿宋"/>
          <w:b/>
          <w:bCs/>
          <w:color w:val="auto"/>
          <w:sz w:val="24"/>
          <w:szCs w:val="24"/>
          <w:highlight w:val="none"/>
        </w:rPr>
      </w:pPr>
      <w:bookmarkStart w:id="89" w:name="_Toc342913395"/>
      <w:bookmarkStart w:id="90" w:name="_Toc102227321"/>
      <w:bookmarkStart w:id="91" w:name="_Toc11194"/>
      <w:bookmarkStart w:id="92" w:name="_Toc7883"/>
      <w:bookmarkStart w:id="93" w:name="_Toc487204785"/>
      <w:bookmarkStart w:id="94" w:name="_Toc426965636"/>
      <w:r>
        <w:rPr>
          <w:rFonts w:hint="eastAsia" w:ascii="仿宋" w:hAnsi="仿宋" w:eastAsia="仿宋" w:cs="仿宋"/>
          <w:b/>
          <w:bCs/>
          <w:color w:val="auto"/>
          <w:sz w:val="24"/>
          <w:szCs w:val="24"/>
          <w:highlight w:val="none"/>
        </w:rPr>
        <w:t>七、成交通知</w:t>
      </w:r>
      <w:bookmarkEnd w:id="89"/>
      <w:bookmarkEnd w:id="90"/>
      <w:bookmarkEnd w:id="91"/>
      <w:bookmarkEnd w:id="92"/>
      <w:bookmarkEnd w:id="93"/>
      <w:bookmarkEnd w:id="94"/>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（一）成交供应商确定后，采购代理机构将在“行采家(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"http://www.cqgp.gov.cn）上发布成交结果公示。"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上发布成交结果公示。</w:t>
      </w:r>
      <w:r>
        <w:rPr>
          <w:rFonts w:hint="eastAsia" w:ascii="仿宋" w:hAnsi="仿宋" w:eastAsia="仿宋" w:cs="仿宋"/>
          <w:color w:val="auto"/>
          <w:highlight w:val="none"/>
        </w:rPr>
        <w:fldChar w:fldCharType="end"/>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（二）结果公告发出同时，采购代理机构将以书面形式发出《成交通知书》。《成交通知书》一经发出即发生法律效力。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（三）《成交通知书》将作为签订合同的依据。</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（四）如有供应商对成交结果提出质疑的，在质疑处理完毕后发出成交通知书。</w:t>
      </w:r>
    </w:p>
    <w:p>
      <w:pPr>
        <w:pStyle w:val="2"/>
        <w:rPr>
          <w:rFonts w:hint="eastAsia" w:ascii="仿宋" w:hAnsi="仿宋" w:eastAsia="仿宋" w:cs="仿宋"/>
          <w:b/>
          <w:bCs/>
          <w:color w:val="auto"/>
          <w:sz w:val="24"/>
          <w:szCs w:val="24"/>
          <w:highlight w:val="none"/>
        </w:rPr>
      </w:pPr>
      <w:bookmarkStart w:id="95" w:name="_Toc487204786"/>
      <w:bookmarkStart w:id="96" w:name="_Toc426965637"/>
      <w:bookmarkStart w:id="97" w:name="_Toc20228"/>
      <w:bookmarkStart w:id="98" w:name="_Toc3695"/>
      <w:bookmarkStart w:id="99" w:name="_Toc6077"/>
      <w:r>
        <w:rPr>
          <w:rFonts w:hint="eastAsia" w:ascii="仿宋" w:hAnsi="仿宋" w:eastAsia="仿宋" w:cs="仿宋"/>
          <w:b/>
          <w:bCs/>
          <w:color w:val="auto"/>
          <w:sz w:val="24"/>
          <w:szCs w:val="24"/>
          <w:highlight w:val="none"/>
        </w:rPr>
        <w:t>八、关于质疑和投诉</w:t>
      </w:r>
      <w:bookmarkEnd w:id="95"/>
      <w:bookmarkEnd w:id="96"/>
      <w:bookmarkEnd w:id="97"/>
      <w:bookmarkEnd w:id="98"/>
      <w:bookmarkEnd w:id="99"/>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（一）质疑内容、时限</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2、供应商对比选通知书中供应商特定资格条件、技术质量和商务要求、评审标准及评审细则有异议的，应主要向采购人提出质疑，其他问题可向采购代理机构提出质疑。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（二）质疑答复</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采购人、采购代理机构将参照《重庆市政府采购供应商质疑投诉处理暂行规定》的相关规定对质疑内容作出答复和处理。</w:t>
      </w:r>
    </w:p>
    <w:p>
      <w:pPr>
        <w:pStyle w:val="2"/>
        <w:rPr>
          <w:rFonts w:hint="eastAsia" w:ascii="仿宋" w:hAnsi="仿宋" w:eastAsia="仿宋" w:cs="仿宋"/>
          <w:b/>
          <w:bCs/>
          <w:color w:val="auto"/>
          <w:sz w:val="24"/>
          <w:szCs w:val="24"/>
          <w:highlight w:val="none"/>
        </w:rPr>
      </w:pPr>
      <w:bookmarkStart w:id="100" w:name="_Toc102227322"/>
      <w:bookmarkStart w:id="101" w:name="_Toc23427"/>
      <w:bookmarkStart w:id="102" w:name="_Toc487204787"/>
      <w:bookmarkStart w:id="103" w:name="_Toc426965638"/>
      <w:bookmarkStart w:id="104" w:name="_Toc21418"/>
      <w:bookmarkStart w:id="105" w:name="_Toc13493"/>
      <w:bookmarkStart w:id="106" w:name="_Toc342913396"/>
      <w:r>
        <w:rPr>
          <w:rFonts w:hint="eastAsia" w:ascii="仿宋" w:hAnsi="仿宋" w:eastAsia="仿宋" w:cs="仿宋"/>
          <w:b/>
          <w:bCs/>
          <w:color w:val="auto"/>
          <w:sz w:val="24"/>
          <w:szCs w:val="24"/>
          <w:highlight w:val="none"/>
        </w:rPr>
        <w:t>九、签订</w:t>
      </w:r>
      <w:bookmarkEnd w:id="100"/>
      <w:r>
        <w:rPr>
          <w:rFonts w:hint="eastAsia" w:ascii="仿宋" w:hAnsi="仿宋" w:eastAsia="仿宋" w:cs="仿宋"/>
          <w:b/>
          <w:bCs/>
          <w:color w:val="auto"/>
          <w:sz w:val="24"/>
          <w:szCs w:val="24"/>
          <w:highlight w:val="none"/>
        </w:rPr>
        <w:t>合同</w:t>
      </w:r>
      <w:bookmarkEnd w:id="101"/>
      <w:bookmarkEnd w:id="102"/>
      <w:bookmarkEnd w:id="103"/>
      <w:bookmarkEnd w:id="104"/>
      <w:bookmarkEnd w:id="105"/>
      <w:bookmarkEnd w:id="106"/>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（一）采购人与成交供应商应当在成交通知书发出之日起20日内，按照比选文件确定的合同文本以及采购标的、规格型号、采购金额、采购数量、技术和服务要求等事项签订采购合同。</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（二）比选通知书、成交供应商的响应文件及有效承诺文件等，均为签订合同的依据。</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（三）成交供应商未按照比选通知书确定的事项签订合同，或者与采购人另行订立背离合同实质性内容协议的，将承担相关法律责任。</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（五）除不可抗力等因素外，成交通知书发出后，采购人改变成交结果，或者成交供应商无正当理由拒绝签订采购合同的，应当承担相应的法律责任。</w:t>
      </w:r>
    </w:p>
    <w:p>
      <w:pPr>
        <w:ind w:firstLine="720" w:firstLineChars="300"/>
        <w:rPr>
          <w:rFonts w:hint="eastAsia" w:ascii="仿宋" w:hAnsi="仿宋" w:eastAsia="仿宋" w:cs="仿宋"/>
          <w:color w:val="auto"/>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pPr>
        <w:pStyle w:val="3"/>
        <w:spacing w:before="0" w:line="276" w:lineRule="auto"/>
        <w:jc w:val="center"/>
        <w:rPr>
          <w:rFonts w:hint="eastAsia" w:ascii="仿宋" w:hAnsi="仿宋" w:eastAsia="仿宋" w:cs="仿宋"/>
          <w:color w:val="auto"/>
          <w:highlight w:val="none"/>
        </w:rPr>
      </w:pPr>
      <w:bookmarkStart w:id="107" w:name="_Toc23020"/>
      <w:bookmarkStart w:id="108" w:name="_Toc29960"/>
      <w:r>
        <w:rPr>
          <w:rFonts w:hint="eastAsia" w:ascii="仿宋" w:hAnsi="仿宋" w:eastAsia="仿宋" w:cs="仿宋"/>
          <w:b/>
          <w:bCs/>
          <w:color w:val="auto"/>
          <w:sz w:val="36"/>
          <w:szCs w:val="36"/>
          <w:highlight w:val="none"/>
        </w:rPr>
        <w:t xml:space="preserve">第三篇 </w:t>
      </w:r>
      <w:bookmarkEnd w:id="46"/>
      <w:r>
        <w:rPr>
          <w:rFonts w:hint="eastAsia" w:ascii="仿宋" w:hAnsi="仿宋" w:eastAsia="仿宋" w:cs="仿宋"/>
          <w:b/>
          <w:bCs/>
          <w:color w:val="auto"/>
          <w:sz w:val="36"/>
          <w:szCs w:val="36"/>
          <w:highlight w:val="none"/>
        </w:rPr>
        <w:t>服务需求</w:t>
      </w:r>
      <w:bookmarkEnd w:id="107"/>
      <w:bookmarkEnd w:id="108"/>
    </w:p>
    <w:p>
      <w:pPr>
        <w:snapToGrid w:val="0"/>
        <w:spacing w:line="400" w:lineRule="exact"/>
        <w:ind w:firstLine="480" w:firstLineChars="200"/>
        <w:rPr>
          <w:rFonts w:ascii="仿宋" w:hAnsi="仿宋" w:eastAsia="仿宋"/>
          <w:color w:val="auto"/>
        </w:rPr>
      </w:pPr>
      <w:bookmarkStart w:id="109" w:name="_Toc7027"/>
      <w:bookmarkStart w:id="110" w:name="_Toc8370"/>
      <w:bookmarkStart w:id="111" w:name="_Toc11703"/>
      <w:bookmarkStart w:id="112" w:name="_Toc4531"/>
      <w:bookmarkStart w:id="113" w:name="_Toc20979"/>
      <w:bookmarkStart w:id="114" w:name="_Toc75793505"/>
      <w:bookmarkStart w:id="115" w:name="_Toc19238"/>
      <w:bookmarkStart w:id="116" w:name="_Toc9261"/>
      <w:bookmarkStart w:id="117" w:name="_Toc23656"/>
      <w:bookmarkStart w:id="118" w:name="_Toc23504"/>
      <w:bookmarkStart w:id="119" w:name="_Toc688"/>
      <w:bookmarkStart w:id="120" w:name="_Toc4519"/>
      <w:bookmarkStart w:id="121" w:name="_Toc29985"/>
      <w:bookmarkStart w:id="122" w:name="_Toc22910"/>
      <w:bookmarkStart w:id="123" w:name="_Toc4913"/>
      <w:bookmarkStart w:id="124" w:name="_Toc95749055"/>
      <w:bookmarkStart w:id="125" w:name="_Toc7347"/>
      <w:bookmarkStart w:id="126" w:name="_Toc128744993"/>
      <w:bookmarkStart w:id="127" w:name="_Toc12789058"/>
      <w:r>
        <w:rPr>
          <w:rFonts w:hint="eastAsia" w:ascii="仿宋" w:hAnsi="仿宋" w:eastAsia="仿宋"/>
          <w:color w:val="auto"/>
          <w:szCs w:val="28"/>
        </w:rPr>
        <w:t>“</w:t>
      </w:r>
      <w:r>
        <w:rPr>
          <w:rFonts w:hint="eastAsia" w:ascii="仿宋" w:hAnsi="仿宋" w:eastAsia="仿宋"/>
          <w:color w:val="auto"/>
          <w:sz w:val="21"/>
          <w:szCs w:val="21"/>
        </w:rPr>
        <w:t>※</w:t>
      </w:r>
      <w:r>
        <w:rPr>
          <w:rFonts w:hint="eastAsia" w:ascii="仿宋" w:hAnsi="仿宋" w:eastAsia="仿宋"/>
          <w:color w:val="auto"/>
          <w:szCs w:val="28"/>
        </w:rPr>
        <w:t>”标注的技术要求为符合性审查中的实质性要求，若不满足按无效投标处理。</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pStyle w:val="2"/>
        <w:spacing w:line="240" w:lineRule="auto"/>
        <w:rPr>
          <w:rFonts w:ascii="仿宋" w:hAnsi="仿宋" w:eastAsia="仿宋"/>
          <w:b/>
          <w:bCs/>
          <w:color w:val="auto"/>
          <w:sz w:val="24"/>
          <w:szCs w:val="24"/>
        </w:rPr>
      </w:pPr>
      <w:r>
        <w:rPr>
          <w:rFonts w:hint="eastAsia" w:ascii="仿宋" w:hAnsi="仿宋" w:eastAsia="仿宋"/>
          <w:b/>
          <w:bCs/>
          <w:color w:val="auto"/>
          <w:sz w:val="24"/>
          <w:szCs w:val="24"/>
        </w:rPr>
        <w:t>※一、</w:t>
      </w:r>
      <w:bookmarkStart w:id="128" w:name="_Toc313536013"/>
      <w:bookmarkStart w:id="129" w:name="_Toc106030881"/>
      <w:bookmarkStart w:id="130" w:name="_Toc76462326"/>
      <w:bookmarkStart w:id="131" w:name="_Toc344475116"/>
      <w:r>
        <w:rPr>
          <w:rFonts w:hint="eastAsia" w:ascii="仿宋" w:hAnsi="仿宋" w:eastAsia="仿宋"/>
          <w:b/>
          <w:bCs/>
          <w:color w:val="auto"/>
          <w:sz w:val="24"/>
          <w:szCs w:val="24"/>
        </w:rPr>
        <w:t>项目情况</w:t>
      </w:r>
    </w:p>
    <w:bookmarkEnd w:id="128"/>
    <w:bookmarkEnd w:id="129"/>
    <w:bookmarkEnd w:id="130"/>
    <w:bookmarkEnd w:id="131"/>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（一）工程名称：</w:t>
      </w:r>
      <w:r>
        <w:rPr>
          <w:rFonts w:hint="eastAsia" w:ascii="仿宋" w:hAnsi="仿宋" w:eastAsia="仿宋" w:cs="仿宋_GB2312"/>
          <w:color w:val="auto"/>
          <w:lang w:eastAsia="zh-CN"/>
        </w:rPr>
        <w:t>南川区司法局鸣玉司法所维修项目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（二）工程地址：</w:t>
      </w:r>
      <w:r>
        <w:rPr>
          <w:rFonts w:hint="eastAsia" w:ascii="仿宋" w:hAnsi="仿宋" w:eastAsia="仿宋" w:cs="仿宋_GB2312"/>
          <w:color w:val="auto"/>
          <w:lang w:val="en-US" w:eastAsia="zh-CN"/>
        </w:rPr>
        <w:t>南川</w:t>
      </w:r>
      <w:r>
        <w:rPr>
          <w:rFonts w:hint="eastAsia" w:ascii="仿宋" w:hAnsi="仿宋" w:eastAsia="仿宋" w:cs="仿宋_GB2312"/>
          <w:color w:val="auto"/>
        </w:rPr>
        <w:t>采购人指定地点。</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s="仿宋_GB2312"/>
          <w:color w:val="auto"/>
        </w:rPr>
        <w:t>（三）工程说明：</w:t>
      </w:r>
      <w:r>
        <w:rPr>
          <w:rFonts w:hint="eastAsia" w:ascii="仿宋" w:hAnsi="仿宋" w:eastAsia="仿宋"/>
          <w:color w:val="auto"/>
          <w:sz w:val="24"/>
          <w:szCs w:val="24"/>
        </w:rPr>
        <w:t>供应商须严格按照随</w:t>
      </w:r>
      <w:r>
        <w:rPr>
          <w:rFonts w:hint="eastAsia" w:ascii="仿宋" w:hAnsi="仿宋" w:eastAsia="仿宋"/>
          <w:color w:val="auto"/>
          <w:sz w:val="24"/>
          <w:szCs w:val="24"/>
          <w:lang w:val="en-US" w:eastAsia="zh-CN"/>
        </w:rPr>
        <w:t>比选</w:t>
      </w:r>
      <w:r>
        <w:rPr>
          <w:rFonts w:hint="eastAsia" w:ascii="仿宋" w:hAnsi="仿宋" w:eastAsia="仿宋"/>
          <w:color w:val="auto"/>
          <w:sz w:val="24"/>
          <w:szCs w:val="24"/>
        </w:rPr>
        <w:t>文件一并发出的</w:t>
      </w:r>
      <w:r>
        <w:rPr>
          <w:rFonts w:hint="eastAsia" w:ascii="仿宋" w:hAnsi="仿宋" w:eastAsia="仿宋"/>
          <w:color w:val="auto"/>
          <w:sz w:val="24"/>
          <w:szCs w:val="24"/>
          <w:lang w:val="en-US" w:eastAsia="zh-CN"/>
        </w:rPr>
        <w:t>图纸和</w:t>
      </w:r>
      <w:r>
        <w:rPr>
          <w:rFonts w:hint="eastAsia" w:ascii="仿宋" w:hAnsi="仿宋" w:eastAsia="仿宋"/>
          <w:color w:val="auto"/>
          <w:sz w:val="24"/>
          <w:szCs w:val="24"/>
        </w:rPr>
        <w:t>工程量清单逐项报价，不得增项减项，不得修改工程量，否则视为对采购文件不作实质性响应，其响应文件按无效处理。</w:t>
      </w:r>
    </w:p>
    <w:p>
      <w:pPr>
        <w:snapToGrid w:val="0"/>
        <w:spacing w:line="360" w:lineRule="auto"/>
        <w:ind w:firstLine="480" w:firstLineChars="200"/>
        <w:rPr>
          <w:rFonts w:hint="default"/>
          <w:color w:val="auto"/>
          <w:lang w:val="en-US" w:eastAsia="zh-CN"/>
        </w:rPr>
      </w:pPr>
      <w:r>
        <w:rPr>
          <w:rFonts w:hint="eastAsia" w:ascii="仿宋" w:hAnsi="仿宋" w:eastAsia="仿宋" w:cs="仿宋_GB2312"/>
          <w:color w:val="auto"/>
        </w:rPr>
        <w:t>（四）计划工期：</w:t>
      </w:r>
      <w:r>
        <w:rPr>
          <w:rFonts w:hint="eastAsia" w:ascii="仿宋" w:hAnsi="仿宋" w:eastAsia="仿宋" w:cs="仿宋_GB2312"/>
          <w:color w:val="auto"/>
          <w:lang w:val="en-US" w:eastAsia="zh-CN"/>
        </w:rPr>
        <w:t>4</w:t>
      </w:r>
      <w:r>
        <w:rPr>
          <w:rFonts w:hint="eastAsia" w:ascii="仿宋" w:hAnsi="仿宋" w:eastAsia="仿宋" w:cs="仿宋_GB2312"/>
          <w:color w:val="auto"/>
        </w:rPr>
        <w:t>0日历天。如因不可抗力（如自然灾害、战争骚乱、社会异常事件）以及非成交供应商责任出现的断电、停水等造成的停工时间，若出现这类情况由甲方代表签字确认后，工期顺延。</w:t>
      </w:r>
    </w:p>
    <w:p>
      <w:pPr>
        <w:pStyle w:val="2"/>
        <w:rPr>
          <w:rFonts w:hint="default" w:ascii="仿宋" w:hAnsi="仿宋" w:eastAsia="仿宋" w:cs="仿宋_GB2312"/>
          <w:color w:val="auto"/>
          <w:kern w:val="0"/>
          <w:sz w:val="24"/>
          <w:szCs w:val="24"/>
          <w:lang w:val="en-US" w:eastAsia="zh-CN" w:bidi="ar-SA"/>
        </w:rPr>
      </w:pPr>
      <w:bookmarkStart w:id="132" w:name="_Toc29796"/>
      <w:r>
        <w:rPr>
          <w:rFonts w:hint="eastAsia" w:ascii="仿宋" w:hAnsi="仿宋" w:eastAsia="仿宋"/>
          <w:b/>
          <w:bCs/>
          <w:color w:val="auto"/>
          <w:sz w:val="24"/>
          <w:szCs w:val="24"/>
          <w:lang w:val="en-US" w:eastAsia="zh-CN"/>
        </w:rPr>
        <w:t>※二、安全与文明施工</w:t>
      </w:r>
      <w:bookmarkEnd w:id="132"/>
    </w:p>
    <w:p>
      <w:pPr>
        <w:snapToGrid w:val="0"/>
        <w:spacing w:line="360" w:lineRule="auto"/>
        <w:ind w:firstLine="480" w:firstLineChars="200"/>
        <w:rPr>
          <w:rFonts w:hint="default"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bidi="ar-SA"/>
        </w:rPr>
        <w:t>1、</w:t>
      </w:r>
      <w:r>
        <w:rPr>
          <w:rFonts w:hint="default" w:ascii="仿宋" w:hAnsi="仿宋" w:eastAsia="仿宋" w:cs="仿宋_GB2312"/>
          <w:color w:val="auto"/>
          <w:kern w:val="0"/>
          <w:sz w:val="24"/>
          <w:szCs w:val="24"/>
          <w:lang w:val="en-US" w:eastAsia="zh-CN" w:bidi="ar-SA"/>
        </w:rPr>
        <w:t>施工现场设置警示标识，隔离危险区域，避免</w:t>
      </w:r>
      <w:r>
        <w:rPr>
          <w:rFonts w:hint="eastAsia" w:ascii="仿宋" w:hAnsi="仿宋" w:eastAsia="仿宋" w:cs="仿宋_GB2312"/>
          <w:color w:val="auto"/>
          <w:kern w:val="0"/>
          <w:sz w:val="24"/>
          <w:szCs w:val="24"/>
          <w:lang w:val="en-US" w:eastAsia="zh-CN" w:bidi="ar-SA"/>
        </w:rPr>
        <w:t>行人</w:t>
      </w:r>
      <w:r>
        <w:rPr>
          <w:rFonts w:hint="default" w:ascii="仿宋" w:hAnsi="仿宋" w:eastAsia="仿宋" w:cs="仿宋_GB2312"/>
          <w:color w:val="auto"/>
          <w:kern w:val="0"/>
          <w:sz w:val="24"/>
          <w:szCs w:val="24"/>
          <w:lang w:val="en-US" w:eastAsia="zh-CN" w:bidi="ar-SA"/>
        </w:rPr>
        <w:t>误入。</w:t>
      </w:r>
    </w:p>
    <w:p>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lang w:val="en-US" w:eastAsia="zh-CN"/>
        </w:rPr>
        <w:t>2、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pPr>
        <w:pStyle w:val="2"/>
        <w:rPr>
          <w:rFonts w:hint="default" w:ascii="仿宋" w:hAnsi="仿宋" w:eastAsia="仿宋"/>
          <w:b/>
          <w:bCs/>
          <w:color w:val="auto"/>
          <w:sz w:val="24"/>
          <w:szCs w:val="24"/>
          <w:lang w:val="en-US" w:eastAsia="zh-CN"/>
        </w:rPr>
      </w:pPr>
      <w:bookmarkStart w:id="133" w:name="_Toc192520085"/>
      <w:bookmarkStart w:id="134" w:name="_Toc6871"/>
      <w:r>
        <w:rPr>
          <w:rFonts w:hint="default" w:ascii="仿宋" w:hAnsi="仿宋" w:eastAsia="仿宋"/>
          <w:b/>
          <w:bCs/>
          <w:color w:val="auto"/>
          <w:sz w:val="24"/>
          <w:szCs w:val="24"/>
          <w:lang w:val="en-US" w:eastAsia="zh-CN"/>
        </w:rPr>
        <w:t>※</w:t>
      </w:r>
      <w:r>
        <w:rPr>
          <w:rFonts w:hint="eastAsia" w:ascii="仿宋" w:hAnsi="仿宋" w:eastAsia="仿宋"/>
          <w:b/>
          <w:bCs/>
          <w:color w:val="auto"/>
          <w:sz w:val="24"/>
          <w:szCs w:val="24"/>
          <w:lang w:val="en-US" w:eastAsia="zh-CN"/>
        </w:rPr>
        <w:t>三</w:t>
      </w:r>
      <w:r>
        <w:rPr>
          <w:rFonts w:hint="default" w:ascii="仿宋" w:hAnsi="仿宋" w:eastAsia="仿宋"/>
          <w:b/>
          <w:bCs/>
          <w:color w:val="auto"/>
          <w:sz w:val="24"/>
          <w:szCs w:val="24"/>
          <w:lang w:val="en-US" w:eastAsia="zh-CN"/>
        </w:rPr>
        <w:t>、踏勘现场</w:t>
      </w:r>
      <w:bookmarkEnd w:id="133"/>
      <w:bookmarkEnd w:id="134"/>
    </w:p>
    <w:p>
      <w:pPr>
        <w:snapToGrid w:val="0"/>
        <w:spacing w:line="360" w:lineRule="auto"/>
        <w:ind w:firstLine="480" w:firstLineChars="200"/>
        <w:rPr>
          <w:rFonts w:hint="default" w:ascii="仿宋" w:hAnsi="仿宋" w:eastAsia="仿宋" w:cs="仿宋_GB2312"/>
          <w:color w:val="auto"/>
          <w:lang w:val="en-US" w:eastAsia="zh-CN"/>
        </w:rPr>
      </w:pPr>
      <w:r>
        <w:rPr>
          <w:rFonts w:hint="default" w:ascii="仿宋" w:hAnsi="仿宋" w:eastAsia="仿宋" w:cs="仿宋_GB2312"/>
          <w:color w:val="auto"/>
          <w:lang w:val="en-US" w:eastAsia="zh-CN"/>
        </w:rPr>
        <w:t>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pPr>
        <w:pStyle w:val="2"/>
        <w:rPr>
          <w:rFonts w:hint="eastAsia" w:ascii="仿宋" w:hAnsi="仿宋" w:eastAsia="仿宋"/>
          <w:b/>
          <w:bCs/>
          <w:color w:val="auto"/>
          <w:sz w:val="24"/>
          <w:szCs w:val="24"/>
        </w:rPr>
      </w:pPr>
      <w:bookmarkStart w:id="135" w:name="_Toc18197"/>
      <w:bookmarkStart w:id="136" w:name="_Toc5915"/>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四</w:t>
      </w:r>
      <w:r>
        <w:rPr>
          <w:rFonts w:hint="eastAsia" w:ascii="仿宋" w:hAnsi="仿宋" w:eastAsia="仿宋"/>
          <w:b/>
          <w:bCs/>
          <w:color w:val="auto"/>
          <w:sz w:val="24"/>
          <w:szCs w:val="24"/>
        </w:rPr>
        <w:t>、其他要求</w:t>
      </w:r>
      <w:bookmarkEnd w:id="124"/>
      <w:bookmarkEnd w:id="135"/>
      <w:bookmarkEnd w:id="136"/>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1</w:t>
      </w:r>
      <w:r>
        <w:rPr>
          <w:rFonts w:hint="eastAsia" w:ascii="仿宋" w:hAnsi="仿宋" w:eastAsia="仿宋" w:cs="仿宋_GB2312"/>
          <w:color w:val="auto"/>
        </w:rPr>
        <w:t>、成交供应商的工作人员在为采购人的服务期间，因疾病、工伤、意外伤害、疾病传染、劳动保护、职业病等所产生的一切费用，均由成交供应商自行负责。</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pPr>
        <w:tabs>
          <w:tab w:val="left" w:pos="4140"/>
          <w:tab w:val="left" w:pos="4680"/>
          <w:tab w:val="left" w:pos="4860"/>
        </w:tabs>
        <w:autoSpaceDN w:val="0"/>
        <w:spacing w:line="580" w:lineRule="exact"/>
        <w:ind w:firstLine="480" w:firstLineChars="200"/>
        <w:rPr>
          <w:rFonts w:hint="eastAsia" w:ascii="仿宋" w:hAnsi="仿宋" w:eastAsia="仿宋" w:cs="仿宋"/>
          <w:color w:val="auto"/>
          <w:highlight w:val="none"/>
          <w:lang w:val="en-US" w:eastAsia="zh-CN"/>
        </w:rPr>
      </w:pPr>
      <w:r>
        <w:rPr>
          <w:rFonts w:ascii="仿宋" w:hAnsi="仿宋" w:eastAsia="仿宋" w:cs="仿宋_GB2312"/>
          <w:color w:val="auto"/>
        </w:rPr>
        <w:t>3</w:t>
      </w:r>
      <w:r>
        <w:rPr>
          <w:rFonts w:hint="eastAsia" w:ascii="仿宋" w:hAnsi="仿宋" w:eastAsia="仿宋" w:cs="仿宋_GB2312"/>
          <w:color w:val="auto"/>
        </w:rPr>
        <w:t>、成交供应商人员因自身工作失误造成货物、现场、人员及其他损失由成交供应商自行负责，采购人不承担责任。</w:t>
      </w:r>
    </w:p>
    <w:p>
      <w:pPr>
        <w:spacing w:line="500" w:lineRule="exact"/>
        <w:ind w:firstLine="480" w:firstLineChars="200"/>
        <w:rPr>
          <w:rFonts w:hint="eastAsia" w:ascii="仿宋" w:hAnsi="仿宋" w:eastAsia="仿宋" w:cs="仿宋"/>
          <w:color w:val="auto"/>
          <w:highlight w:val="none"/>
        </w:rPr>
      </w:pPr>
    </w:p>
    <w:p>
      <w:pPr>
        <w:pStyle w:val="3"/>
        <w:spacing w:before="0" w:line="276" w:lineRule="auto"/>
        <w:jc w:val="center"/>
        <w:rPr>
          <w:rFonts w:hint="eastAsia" w:ascii="仿宋" w:hAnsi="仿宋" w:eastAsia="仿宋" w:cs="仿宋"/>
          <w:color w:val="auto"/>
          <w:highlight w:val="none"/>
        </w:rPr>
      </w:pPr>
      <w:r>
        <w:rPr>
          <w:rStyle w:val="43"/>
          <w:rFonts w:hint="eastAsia" w:ascii="仿宋" w:hAnsi="仿宋" w:eastAsia="仿宋" w:cs="仿宋"/>
          <w:b/>
          <w:bCs/>
          <w:color w:val="auto"/>
          <w:highlight w:val="none"/>
        </w:rPr>
        <w:br w:type="page"/>
      </w:r>
      <w:bookmarkStart w:id="137" w:name="_Toc5007"/>
      <w:r>
        <w:rPr>
          <w:rFonts w:hint="eastAsia" w:ascii="仿宋" w:hAnsi="仿宋" w:eastAsia="仿宋" w:cs="仿宋"/>
          <w:b/>
          <w:bCs/>
          <w:color w:val="auto"/>
          <w:sz w:val="36"/>
          <w:szCs w:val="36"/>
          <w:highlight w:val="none"/>
        </w:rPr>
        <w:t>第四篇 商务要求</w:t>
      </w:r>
      <w:bookmarkEnd w:id="125"/>
      <w:bookmarkEnd w:id="137"/>
    </w:p>
    <w:p>
      <w:pPr>
        <w:snapToGrid w:val="0"/>
        <w:spacing w:line="400" w:lineRule="exact"/>
        <w:ind w:firstLine="480" w:firstLineChars="200"/>
        <w:rPr>
          <w:rFonts w:hint="eastAsia"/>
          <w:color w:val="auto"/>
        </w:rPr>
      </w:pPr>
      <w:bookmarkStart w:id="138" w:name="_Toc112263727"/>
      <w:bookmarkStart w:id="139" w:name="_Toc344475121"/>
      <w:bookmarkStart w:id="140" w:name="_Toc22463"/>
      <w:bookmarkStart w:id="141" w:name="_Toc487204790"/>
      <w:r>
        <w:rPr>
          <w:rFonts w:hint="eastAsia" w:ascii="仿宋" w:hAnsi="仿宋" w:eastAsia="仿宋"/>
          <w:color w:val="auto"/>
          <w:szCs w:val="28"/>
        </w:rPr>
        <w:t>“</w:t>
      </w:r>
      <w:r>
        <w:rPr>
          <w:rFonts w:hint="eastAsia" w:ascii="仿宋" w:hAnsi="仿宋" w:eastAsia="仿宋"/>
          <w:color w:val="auto"/>
          <w:sz w:val="21"/>
          <w:szCs w:val="21"/>
        </w:rPr>
        <w:t>※</w:t>
      </w:r>
      <w:r>
        <w:rPr>
          <w:rFonts w:hint="eastAsia" w:ascii="仿宋" w:hAnsi="仿宋" w:eastAsia="仿宋"/>
          <w:color w:val="auto"/>
          <w:szCs w:val="28"/>
        </w:rPr>
        <w:t>”标注的技术要求为符合性审查中的实质性要求，若不满足按无效投标处理。</w:t>
      </w:r>
    </w:p>
    <w:p>
      <w:pPr>
        <w:pStyle w:val="2"/>
        <w:rPr>
          <w:rFonts w:ascii="仿宋" w:hAnsi="仿宋" w:eastAsia="仿宋"/>
          <w:b/>
          <w:bCs/>
          <w:color w:val="auto"/>
          <w:sz w:val="24"/>
          <w:szCs w:val="24"/>
        </w:rPr>
      </w:pPr>
      <w:bookmarkStart w:id="142" w:name="_Toc76462328"/>
      <w:bookmarkStart w:id="143" w:name="_Toc344475120"/>
      <w:bookmarkStart w:id="144" w:name="_Toc11478"/>
      <w:bookmarkStart w:id="145" w:name="_Toc4653"/>
      <w:r>
        <w:rPr>
          <w:rFonts w:hint="eastAsia" w:ascii="仿宋" w:hAnsi="仿宋" w:eastAsia="仿宋"/>
          <w:b/>
          <w:bCs/>
          <w:color w:val="auto"/>
          <w:sz w:val="24"/>
          <w:szCs w:val="24"/>
        </w:rPr>
        <w:t>※一、</w:t>
      </w:r>
      <w:bookmarkEnd w:id="142"/>
      <w:bookmarkEnd w:id="143"/>
      <w:r>
        <w:rPr>
          <w:rFonts w:hint="eastAsia" w:ascii="仿宋" w:hAnsi="仿宋" w:eastAsia="仿宋"/>
          <w:b/>
          <w:bCs/>
          <w:color w:val="auto"/>
          <w:sz w:val="24"/>
          <w:szCs w:val="24"/>
          <w:lang w:val="en-US" w:eastAsia="zh-CN"/>
        </w:rPr>
        <w:t>实施期限</w:t>
      </w: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工程</w:t>
      </w:r>
      <w:r>
        <w:rPr>
          <w:rFonts w:hint="eastAsia" w:ascii="仿宋" w:hAnsi="仿宋" w:eastAsia="仿宋"/>
          <w:b/>
          <w:bCs/>
          <w:color w:val="auto"/>
          <w:sz w:val="24"/>
          <w:szCs w:val="24"/>
        </w:rPr>
        <w:t>地点及验收方式</w:t>
      </w:r>
      <w:bookmarkEnd w:id="144"/>
      <w:bookmarkEnd w:id="145"/>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rPr>
        <w:t>1．</w:t>
      </w:r>
      <w:r>
        <w:rPr>
          <w:rFonts w:hint="eastAsia" w:ascii="仿宋" w:hAnsi="仿宋" w:eastAsia="仿宋"/>
          <w:color w:val="auto"/>
          <w:lang w:val="en-US" w:eastAsia="zh-CN"/>
        </w:rPr>
        <w:t>工程名称</w:t>
      </w:r>
      <w:r>
        <w:rPr>
          <w:rFonts w:hint="eastAsia" w:ascii="仿宋" w:hAnsi="仿宋" w:eastAsia="仿宋"/>
          <w:color w:val="auto"/>
        </w:rPr>
        <w:t>：</w:t>
      </w:r>
      <w:r>
        <w:rPr>
          <w:rFonts w:hint="eastAsia" w:ascii="仿宋" w:hAnsi="仿宋" w:eastAsia="仿宋"/>
          <w:color w:val="auto"/>
          <w:lang w:eastAsia="zh-CN"/>
        </w:rPr>
        <w:t>南川区司法局鸣玉司法所维修项目</w:t>
      </w:r>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rPr>
        <w:t>2．</w:t>
      </w:r>
      <w:r>
        <w:rPr>
          <w:rFonts w:hint="eastAsia" w:ascii="仿宋" w:hAnsi="仿宋" w:eastAsia="仿宋"/>
          <w:color w:val="auto"/>
          <w:lang w:val="en-US" w:eastAsia="zh-CN"/>
        </w:rPr>
        <w:t>工程</w:t>
      </w:r>
      <w:r>
        <w:rPr>
          <w:rFonts w:hint="eastAsia" w:ascii="仿宋" w:hAnsi="仿宋" w:eastAsia="仿宋"/>
          <w:color w:val="auto"/>
        </w:rPr>
        <w:t>地点：</w:t>
      </w:r>
      <w:r>
        <w:rPr>
          <w:rFonts w:hint="eastAsia" w:ascii="仿宋" w:hAnsi="仿宋" w:eastAsia="仿宋"/>
          <w:color w:val="auto"/>
          <w:lang w:val="en-US" w:eastAsia="zh-CN"/>
        </w:rPr>
        <w:t>南川区采购人指定地点</w:t>
      </w:r>
      <w:r>
        <w:rPr>
          <w:rFonts w:hint="eastAsia" w:ascii="仿宋" w:hAnsi="仿宋" w:eastAsia="仿宋"/>
          <w:color w:val="auto"/>
        </w:rPr>
        <w:t>；</w:t>
      </w:r>
    </w:p>
    <w:p>
      <w:pPr>
        <w:snapToGrid w:val="0"/>
        <w:spacing w:line="400" w:lineRule="exact"/>
        <w:ind w:firstLine="480" w:firstLineChars="200"/>
        <w:rPr>
          <w:rFonts w:hint="eastAsia" w:ascii="仿宋" w:hAnsi="仿宋" w:eastAsia="仿宋"/>
          <w:color w:val="auto"/>
          <w:lang w:val="en-US" w:eastAsia="zh-CN"/>
        </w:rPr>
      </w:pPr>
      <w:r>
        <w:rPr>
          <w:rFonts w:hint="eastAsia" w:ascii="仿宋" w:hAnsi="仿宋" w:eastAsia="仿宋"/>
          <w:color w:val="auto"/>
          <w:lang w:val="en-US" w:eastAsia="zh-CN"/>
        </w:rPr>
        <w:t>3．实施期限：</w:t>
      </w:r>
      <w:r>
        <w:rPr>
          <w:rFonts w:hint="eastAsia" w:ascii="仿宋" w:hAnsi="仿宋" w:eastAsia="仿宋" w:cs="仿宋"/>
          <w:color w:val="auto"/>
          <w:kern w:val="0"/>
          <w:sz w:val="24"/>
          <w:szCs w:val="24"/>
          <w:lang w:val="en-US" w:eastAsia="zh-CN" w:bidi="ar-SA"/>
        </w:rPr>
        <w:t>成交供应商应在签订合同之日起40日历天内全部完成项目技术内容并经采购人验收合格</w:t>
      </w:r>
      <w:r>
        <w:rPr>
          <w:rFonts w:hint="eastAsia" w:ascii="仿宋" w:hAnsi="仿宋" w:eastAsia="仿宋" w:cs="仿宋"/>
          <w:color w:val="auto"/>
          <w:lang w:val="en-US" w:eastAsia="zh-CN"/>
        </w:rPr>
        <w:t>；如供应商未按时完成，给采购人造成的损失由供应商全部承担，采购人有权单方面取消合同并追偿。</w:t>
      </w:r>
    </w:p>
    <w:p>
      <w:pPr>
        <w:snapToGrid w:val="0"/>
        <w:spacing w:line="400" w:lineRule="exact"/>
        <w:ind w:firstLine="480" w:firstLineChars="200"/>
        <w:rPr>
          <w:rFonts w:hint="eastAsia" w:ascii="仿宋" w:hAnsi="仿宋" w:eastAsia="仿宋" w:cs="宋体"/>
          <w:color w:val="auto"/>
          <w:lang w:eastAsia="zh-CN"/>
        </w:rPr>
      </w:pPr>
      <w:bookmarkStart w:id="146" w:name="_Toc100652789"/>
      <w:bookmarkStart w:id="147" w:name="_Toc267320050"/>
      <w:bookmarkStart w:id="148" w:name="_Toc530492463"/>
      <w:bookmarkStart w:id="149" w:name="_Toc76462329"/>
      <w:bookmarkStart w:id="150" w:name="_Toc28507"/>
      <w:r>
        <w:rPr>
          <w:rFonts w:hint="eastAsia" w:ascii="仿宋" w:hAnsi="仿宋" w:eastAsia="仿宋" w:cs="宋体"/>
          <w:color w:val="auto"/>
          <w:lang w:val="en-US" w:eastAsia="zh-CN"/>
        </w:rPr>
        <w:t>4.</w:t>
      </w:r>
      <w:r>
        <w:rPr>
          <w:rFonts w:hint="eastAsia" w:ascii="仿宋" w:hAnsi="仿宋" w:eastAsia="仿宋" w:cs="宋体"/>
          <w:color w:val="auto"/>
        </w:rPr>
        <w:t>验收方式</w:t>
      </w:r>
      <w:r>
        <w:rPr>
          <w:rFonts w:hint="eastAsia" w:ascii="仿宋" w:hAnsi="仿宋" w:eastAsia="仿宋" w:cs="宋体"/>
          <w:color w:val="auto"/>
          <w:lang w:eastAsia="zh-CN"/>
        </w:rPr>
        <w:t>：</w:t>
      </w:r>
    </w:p>
    <w:p>
      <w:pPr>
        <w:snapToGrid w:val="0"/>
        <w:spacing w:line="400" w:lineRule="exact"/>
        <w:ind w:firstLine="480" w:firstLineChars="200"/>
        <w:rPr>
          <w:rFonts w:hint="eastAsia" w:ascii="仿宋" w:hAnsi="仿宋" w:eastAsia="仿宋" w:cs="宋体"/>
          <w:color w:val="auto"/>
        </w:rPr>
      </w:pPr>
      <w:r>
        <w:rPr>
          <w:rFonts w:hint="eastAsia" w:ascii="仿宋" w:hAnsi="仿宋" w:eastAsia="仿宋" w:cs="宋体"/>
          <w:color w:val="auto"/>
        </w:rPr>
        <w:t>项目施工完成，质量符合本采购文件、国家及重庆市工程验收规范要求，由成交供应商提出验收申请，由采购人组织开展对项目的验收工作，并形成专门的验收报告。</w:t>
      </w:r>
    </w:p>
    <w:p>
      <w:pPr>
        <w:pStyle w:val="2"/>
        <w:rPr>
          <w:rFonts w:hint="eastAsia" w:ascii="仿宋" w:hAnsi="仿宋" w:eastAsia="仿宋"/>
          <w:b/>
          <w:bCs/>
          <w:color w:val="auto"/>
          <w:sz w:val="24"/>
          <w:szCs w:val="24"/>
        </w:rPr>
      </w:pPr>
      <w:bookmarkStart w:id="151" w:name="_Toc25319"/>
      <w:r>
        <w:rPr>
          <w:rFonts w:hint="eastAsia" w:ascii="仿宋" w:hAnsi="仿宋" w:eastAsia="仿宋"/>
          <w:b/>
          <w:bCs/>
          <w:color w:val="auto"/>
          <w:sz w:val="24"/>
          <w:szCs w:val="24"/>
        </w:rPr>
        <w:t>※二、质量保证及售后服务</w:t>
      </w:r>
      <w:bookmarkEnd w:id="151"/>
    </w:p>
    <w:p>
      <w:pPr>
        <w:snapToGrid w:val="0"/>
        <w:spacing w:line="400" w:lineRule="exact"/>
        <w:ind w:firstLine="480" w:firstLineChars="200"/>
        <w:rPr>
          <w:rFonts w:ascii="仿宋" w:hAnsi="仿宋" w:eastAsia="仿宋"/>
          <w:color w:val="auto"/>
        </w:rPr>
      </w:pPr>
      <w:r>
        <w:rPr>
          <w:rFonts w:hint="eastAsia" w:ascii="仿宋" w:hAnsi="仿宋" w:eastAsia="仿宋"/>
          <w:color w:val="auto"/>
          <w:lang w:val="en-US" w:eastAsia="zh-CN"/>
        </w:rPr>
        <w:t>1、</w:t>
      </w:r>
      <w:r>
        <w:rPr>
          <w:rFonts w:hint="eastAsia" w:ascii="仿宋" w:hAnsi="仿宋" w:eastAsia="仿宋"/>
          <w:color w:val="auto"/>
        </w:rPr>
        <w:t>自验收合格之日起，提供不低于</w:t>
      </w:r>
      <w:r>
        <w:rPr>
          <w:rFonts w:hint="eastAsia" w:ascii="仿宋" w:hAnsi="仿宋" w:eastAsia="仿宋"/>
          <w:color w:val="auto"/>
          <w:lang w:val="en-US" w:eastAsia="zh-CN"/>
        </w:rPr>
        <w:t>2</w:t>
      </w:r>
      <w:r>
        <w:rPr>
          <w:rFonts w:hint="eastAsia" w:ascii="仿宋" w:hAnsi="仿宋" w:eastAsia="仿宋"/>
          <w:color w:val="auto"/>
        </w:rPr>
        <w:t>年的免费</w:t>
      </w:r>
      <w:r>
        <w:rPr>
          <w:rFonts w:hint="eastAsia" w:ascii="方正仿宋_GBK" w:hAnsi="方正仿宋_GBK" w:eastAsia="方正仿宋_GBK" w:cs="方正仿宋_GBK"/>
          <w:color w:val="auto"/>
          <w:kern w:val="0"/>
          <w:sz w:val="24"/>
          <w:szCs w:val="24"/>
          <w:highlight w:val="none"/>
        </w:rPr>
        <w:t>项目缺陷责任期</w:t>
      </w:r>
      <w:r>
        <w:rPr>
          <w:rFonts w:hint="eastAsia" w:ascii="仿宋" w:hAnsi="仿宋" w:eastAsia="仿宋"/>
          <w:color w:val="auto"/>
        </w:rPr>
        <w:t>（若供应商有更优惠的质保期，请在响应文件中明确应答）。</w:t>
      </w:r>
    </w:p>
    <w:p>
      <w:pPr>
        <w:spacing w:line="500" w:lineRule="exact"/>
        <w:ind w:firstLine="480" w:firstLineChars="200"/>
        <w:rPr>
          <w:rFonts w:hint="eastAsia" w:ascii="仿宋" w:hAnsi="仿宋" w:eastAsia="仿宋"/>
          <w:color w:val="auto"/>
        </w:rPr>
      </w:pPr>
      <w:r>
        <w:rPr>
          <w:rFonts w:hint="eastAsia" w:ascii="仿宋" w:hAnsi="仿宋" w:eastAsia="仿宋"/>
          <w:color w:val="auto"/>
          <w:lang w:val="en-US" w:eastAsia="zh-CN"/>
        </w:rPr>
        <w:t>2</w:t>
      </w:r>
      <w:r>
        <w:rPr>
          <w:rFonts w:hint="eastAsia" w:ascii="仿宋" w:hAnsi="仿宋" w:eastAsia="仿宋"/>
          <w:color w:val="auto"/>
        </w:rPr>
        <w:t>、在质保期内，</w:t>
      </w:r>
      <w:r>
        <w:rPr>
          <w:rFonts w:hint="eastAsia" w:ascii="仿宋" w:hAnsi="仿宋" w:eastAsia="仿宋"/>
          <w:color w:val="auto"/>
          <w:lang w:val="en-US" w:eastAsia="zh-CN"/>
        </w:rPr>
        <w:t>供应商</w:t>
      </w:r>
      <w:r>
        <w:rPr>
          <w:rFonts w:hint="eastAsia" w:ascii="仿宋" w:hAnsi="仿宋" w:eastAsia="仿宋"/>
          <w:color w:val="auto"/>
        </w:rPr>
        <w:t>应对</w:t>
      </w:r>
      <w:r>
        <w:rPr>
          <w:rFonts w:hint="eastAsia" w:ascii="仿宋" w:hAnsi="仿宋" w:eastAsia="仿宋"/>
          <w:color w:val="auto"/>
          <w:lang w:val="en-US" w:eastAsia="zh-CN"/>
        </w:rPr>
        <w:t>本项目</w:t>
      </w:r>
      <w:r>
        <w:rPr>
          <w:rFonts w:hint="eastAsia" w:ascii="仿宋" w:hAnsi="仿宋" w:eastAsia="仿宋"/>
          <w:color w:val="auto"/>
        </w:rPr>
        <w:t>出现的质量及安全问题负责处理解决并承担一切费用。</w:t>
      </w:r>
    </w:p>
    <w:bookmarkEnd w:id="146"/>
    <w:bookmarkEnd w:id="147"/>
    <w:bookmarkEnd w:id="148"/>
    <w:p>
      <w:pPr>
        <w:pStyle w:val="2"/>
        <w:rPr>
          <w:rFonts w:hint="eastAsia" w:ascii="仿宋" w:hAnsi="仿宋" w:eastAsia="仿宋"/>
          <w:b/>
          <w:bCs/>
          <w:color w:val="auto"/>
          <w:sz w:val="24"/>
          <w:szCs w:val="24"/>
        </w:rPr>
      </w:pPr>
      <w:bookmarkStart w:id="152" w:name="_Toc247"/>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三</w:t>
      </w:r>
      <w:r>
        <w:rPr>
          <w:rFonts w:hint="eastAsia" w:ascii="仿宋" w:hAnsi="仿宋" w:eastAsia="仿宋"/>
          <w:b/>
          <w:bCs/>
          <w:color w:val="auto"/>
          <w:sz w:val="24"/>
          <w:szCs w:val="24"/>
        </w:rPr>
        <w:t>、报价要求</w:t>
      </w:r>
      <w:bookmarkEnd w:id="149"/>
      <w:bookmarkEnd w:id="150"/>
      <w:bookmarkEnd w:id="152"/>
    </w:p>
    <w:p>
      <w:pPr>
        <w:snapToGrid w:val="0"/>
        <w:spacing w:line="400" w:lineRule="exact"/>
        <w:ind w:firstLine="480" w:firstLineChars="200"/>
        <w:rPr>
          <w:rFonts w:hint="eastAsia" w:ascii="仿宋" w:hAnsi="仿宋" w:eastAsia="仿宋"/>
          <w:color w:val="auto"/>
          <w:sz w:val="24"/>
          <w:szCs w:val="24"/>
        </w:rPr>
      </w:pPr>
      <w:bookmarkStart w:id="153" w:name="_Toc344475122"/>
      <w:bookmarkStart w:id="154" w:name="_Toc76462330"/>
      <w:r>
        <w:rPr>
          <w:rFonts w:hint="eastAsia" w:ascii="仿宋" w:hAnsi="仿宋" w:eastAsia="仿宋"/>
          <w:color w:val="auto"/>
          <w:sz w:val="24"/>
          <w:szCs w:val="24"/>
          <w:lang w:val="en-US" w:eastAsia="zh-CN"/>
        </w:rPr>
        <w:t>1、</w:t>
      </w:r>
      <w:r>
        <w:rPr>
          <w:rFonts w:hint="eastAsia" w:ascii="仿宋" w:hAnsi="仿宋" w:eastAsia="仿宋"/>
          <w:color w:val="auto"/>
          <w:sz w:val="24"/>
          <w:szCs w:val="24"/>
        </w:rPr>
        <w:t>供应商须严格按照随</w:t>
      </w:r>
      <w:r>
        <w:rPr>
          <w:rFonts w:hint="eastAsia" w:ascii="仿宋" w:hAnsi="仿宋" w:eastAsia="仿宋"/>
          <w:color w:val="auto"/>
          <w:sz w:val="24"/>
          <w:szCs w:val="24"/>
          <w:lang w:val="en-US" w:eastAsia="zh-CN"/>
        </w:rPr>
        <w:t>比选</w:t>
      </w:r>
      <w:r>
        <w:rPr>
          <w:rFonts w:hint="eastAsia" w:ascii="仿宋" w:hAnsi="仿宋" w:eastAsia="仿宋"/>
          <w:color w:val="auto"/>
          <w:sz w:val="24"/>
          <w:szCs w:val="24"/>
        </w:rPr>
        <w:t>文件一并发出的工程量清单逐项报价，不得增项减项，不得修改工程量，否则视为对采购文件不作实质性响应，其响应文件按无效处理。</w:t>
      </w:r>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lang w:val="en-US" w:eastAsia="zh-CN"/>
        </w:rPr>
        <w:t>2、</w:t>
      </w:r>
      <w:r>
        <w:rPr>
          <w:rFonts w:hint="eastAsia" w:ascii="仿宋" w:hAnsi="仿宋" w:eastAsia="仿宋"/>
          <w:color w:val="auto"/>
        </w:rPr>
        <w:t>本次报价须为人民币报价，包含：货物购买（制造）费、运输费（含装卸费）、设计、人员费、技术及措施费、风险费、管理费、</w:t>
      </w:r>
      <w:r>
        <w:rPr>
          <w:rFonts w:hint="eastAsia" w:ascii="仿宋" w:hAnsi="仿宋" w:eastAsia="仿宋"/>
          <w:color w:val="auto"/>
          <w:lang w:val="en-US" w:eastAsia="zh-CN"/>
        </w:rPr>
        <w:t>验收</w:t>
      </w:r>
      <w:r>
        <w:rPr>
          <w:rFonts w:hint="eastAsia" w:ascii="仿宋" w:hAnsi="仿宋" w:eastAsia="仿宋"/>
          <w:color w:val="auto"/>
          <w:lang w:eastAsia="zh-CN"/>
        </w:rPr>
        <w:t>、</w:t>
      </w:r>
      <w:r>
        <w:rPr>
          <w:rFonts w:hint="eastAsia" w:ascii="仿宋" w:hAnsi="仿宋" w:eastAsia="仿宋"/>
          <w:color w:val="auto"/>
        </w:rPr>
        <w:t>利润、规费、税金等所有费用。因投标人自身原因造成漏报、少报皆由其自行承担责任，采购人不再补偿。增减工程量据实结算，若工程量为本项目未涉及的品类结合市场价由采购人，成交供应商共同协商定价。</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本工程设置总价最高限价，供应商的总价报价不得超过或等于总价最高限价，否则，其响应文件按废标处理。</w:t>
      </w:r>
    </w:p>
    <w:p>
      <w:pPr>
        <w:pStyle w:val="2"/>
        <w:spacing w:line="240" w:lineRule="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val="zh-CN" w:eastAsia="zh-CN"/>
        </w:rPr>
        <w:t>、履约保证金</w:t>
      </w:r>
    </w:p>
    <w:p>
      <w:pPr>
        <w:spacing w:line="56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（一）本项目履约保证金为成交金额的10%。</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（二）缴纳履约保证金方式：成交供应商应在成交通知书发出后三个工作日内、合同签订之前通过支票、汇票、本票或者金融机构、担保机构出具的保函等非现金形式提交履约保证金。</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（三）履约保证金的退还：履约保证金在竣工验收后退还，履约保证金不计息。</w:t>
      </w:r>
    </w:p>
    <w:p>
      <w:pPr>
        <w:snapToGrid w:val="0"/>
        <w:spacing w:line="360" w:lineRule="auto"/>
        <w:ind w:firstLine="480" w:firstLineChars="200"/>
        <w:rPr>
          <w:rFonts w:hint="eastAsia"/>
          <w:color w:val="auto"/>
        </w:rPr>
      </w:pPr>
      <w:r>
        <w:rPr>
          <w:rFonts w:hint="eastAsia" w:ascii="仿宋" w:hAnsi="仿宋" w:eastAsia="仿宋" w:cs="仿宋"/>
          <w:color w:val="auto"/>
        </w:rPr>
        <w:t>（四）成交供应商提供的货物及服务未达到采购文件规定要求响应文件的响应及承诺，且对采购人造成损失的，由成交供应商承担一切责任的同时，扣除履约保证金，并赔偿所造成的损失。</w:t>
      </w:r>
    </w:p>
    <w:p>
      <w:pPr>
        <w:pStyle w:val="2"/>
        <w:rPr>
          <w:rFonts w:hint="eastAsia" w:ascii="仿宋" w:hAnsi="仿宋" w:eastAsia="仿宋"/>
          <w:b/>
          <w:bCs/>
          <w:color w:val="auto"/>
          <w:sz w:val="24"/>
          <w:szCs w:val="24"/>
        </w:rPr>
      </w:pPr>
      <w:bookmarkStart w:id="155" w:name="_Toc13485"/>
      <w:bookmarkStart w:id="156" w:name="_Toc8302"/>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五</w:t>
      </w:r>
      <w:r>
        <w:rPr>
          <w:rFonts w:hint="eastAsia" w:ascii="仿宋" w:hAnsi="仿宋" w:eastAsia="仿宋"/>
          <w:b/>
          <w:bCs/>
          <w:color w:val="auto"/>
          <w:sz w:val="24"/>
          <w:szCs w:val="24"/>
        </w:rPr>
        <w:t>、付款方式</w:t>
      </w:r>
      <w:bookmarkEnd w:id="153"/>
      <w:bookmarkEnd w:id="154"/>
      <w:bookmarkEnd w:id="155"/>
      <w:bookmarkEnd w:id="156"/>
    </w:p>
    <w:p>
      <w:pPr>
        <w:spacing w:line="500" w:lineRule="exact"/>
        <w:ind w:firstLine="480" w:firstLineChars="200"/>
        <w:rPr>
          <w:rFonts w:hint="eastAsia" w:ascii="仿宋" w:hAnsi="仿宋" w:eastAsia="仿宋" w:cs="宋体"/>
          <w:color w:val="auto"/>
        </w:rPr>
      </w:pPr>
      <w:bookmarkStart w:id="157" w:name="_Toc6413"/>
      <w:bookmarkStart w:id="158" w:name="_Toc17357"/>
      <w:r>
        <w:rPr>
          <w:rFonts w:hint="eastAsia" w:ascii="仿宋" w:hAnsi="仿宋" w:eastAsia="仿宋" w:cs="宋体"/>
          <w:color w:val="auto"/>
        </w:rPr>
        <w:t>（一）工程竣工验收合格完成后采购人在10个工作日内支付至结算审计金额的97%，剩余3%转为质保金；</w:t>
      </w:r>
      <w:r>
        <w:rPr>
          <w:rFonts w:hint="eastAsia" w:ascii="方正仿宋_GBK" w:hAnsi="方正仿宋_GBK" w:eastAsia="方正仿宋_GBK" w:cs="方正仿宋_GBK"/>
          <w:color w:val="auto"/>
          <w:kern w:val="0"/>
          <w:sz w:val="24"/>
          <w:szCs w:val="24"/>
          <w:highlight w:val="none"/>
        </w:rPr>
        <w:t>项目缺陷责任期</w:t>
      </w:r>
      <w:r>
        <w:rPr>
          <w:rFonts w:hint="eastAsia" w:ascii="仿宋" w:hAnsi="仿宋" w:eastAsia="仿宋" w:cs="宋体"/>
          <w:color w:val="auto"/>
        </w:rPr>
        <w:t>结束后，在</w:t>
      </w:r>
      <w:r>
        <w:rPr>
          <w:rFonts w:hint="eastAsia" w:ascii="仿宋" w:hAnsi="仿宋" w:eastAsia="仿宋" w:cs="宋体"/>
          <w:color w:val="auto"/>
          <w:lang w:val="en-US" w:eastAsia="zh-CN"/>
        </w:rPr>
        <w:t>质量无争议情况</w:t>
      </w:r>
      <w:r>
        <w:rPr>
          <w:rFonts w:hint="eastAsia" w:ascii="仿宋" w:hAnsi="仿宋" w:eastAsia="仿宋" w:cs="宋体"/>
          <w:color w:val="auto"/>
        </w:rPr>
        <w:t>下采购人在10个工作日内支付至合同价款的100%。</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（二）质保金不计息。</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（三）本项目首先保证农民工工资不拖欠，供应商必须及时支付人工费、材料费等费用，如有投诉材料费、人工费未结清的情况，采购单位将暂停余款支付，并有权动用成交供应商一切费用解决属实的投诉纠纷。</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注：</w:t>
      </w:r>
      <w:r>
        <w:rPr>
          <w:rFonts w:hint="eastAsia" w:ascii="仿宋" w:hAnsi="仿宋" w:eastAsia="仿宋" w:cs="宋体"/>
          <w:color w:val="auto"/>
          <w:lang w:val="en-US" w:eastAsia="zh-CN"/>
        </w:rPr>
        <w:t>采购人</w:t>
      </w:r>
      <w:r>
        <w:rPr>
          <w:rFonts w:hint="eastAsia" w:ascii="仿宋" w:hAnsi="仿宋" w:eastAsia="仿宋" w:cs="宋体"/>
          <w:color w:val="auto"/>
        </w:rPr>
        <w:t>付款前，</w:t>
      </w:r>
      <w:r>
        <w:rPr>
          <w:rFonts w:hint="eastAsia" w:ascii="仿宋" w:hAnsi="仿宋" w:eastAsia="仿宋" w:cs="宋体"/>
          <w:color w:val="auto"/>
          <w:lang w:val="en-US" w:eastAsia="zh-CN"/>
        </w:rPr>
        <w:t>供应商</w:t>
      </w:r>
      <w:r>
        <w:rPr>
          <w:rFonts w:hint="eastAsia" w:ascii="仿宋" w:hAnsi="仿宋" w:eastAsia="仿宋" w:cs="宋体"/>
          <w:color w:val="auto"/>
        </w:rPr>
        <w:t>应向</w:t>
      </w:r>
      <w:r>
        <w:rPr>
          <w:rFonts w:hint="eastAsia" w:ascii="仿宋" w:hAnsi="仿宋" w:eastAsia="仿宋" w:cs="宋体"/>
          <w:color w:val="auto"/>
          <w:lang w:val="en-US" w:eastAsia="zh-CN"/>
        </w:rPr>
        <w:t>采购人</w:t>
      </w:r>
      <w:r>
        <w:rPr>
          <w:rFonts w:hint="eastAsia" w:ascii="仿宋" w:hAnsi="仿宋" w:eastAsia="仿宋" w:cs="宋体"/>
          <w:color w:val="auto"/>
        </w:rPr>
        <w:t>开具等额法定税务发票，且开票方需与乙方名称一致，如乙方未开具发票，甲方有权延迟付款而不承担任何责任。</w:t>
      </w:r>
    </w:p>
    <w:p>
      <w:pPr>
        <w:pStyle w:val="2"/>
        <w:rPr>
          <w:rFonts w:ascii="仿宋" w:hAnsi="仿宋" w:eastAsia="仿宋"/>
          <w:b/>
          <w:bCs/>
          <w:color w:val="auto"/>
          <w:sz w:val="24"/>
          <w:szCs w:val="24"/>
        </w:rPr>
      </w:pP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六</w:t>
      </w:r>
      <w:r>
        <w:rPr>
          <w:rFonts w:hint="eastAsia" w:ascii="仿宋" w:hAnsi="仿宋" w:eastAsia="仿宋"/>
          <w:b/>
          <w:bCs/>
          <w:color w:val="auto"/>
          <w:sz w:val="24"/>
          <w:szCs w:val="24"/>
        </w:rPr>
        <w:t>、</w:t>
      </w:r>
      <w:bookmarkEnd w:id="157"/>
      <w:r>
        <w:rPr>
          <w:rFonts w:hint="eastAsia" w:ascii="仿宋" w:hAnsi="仿宋" w:eastAsia="仿宋"/>
          <w:b/>
          <w:bCs/>
          <w:color w:val="auto"/>
          <w:sz w:val="24"/>
          <w:szCs w:val="24"/>
        </w:rPr>
        <w:t>知识产权</w:t>
      </w:r>
      <w:bookmarkEnd w:id="158"/>
    </w:p>
    <w:p>
      <w:pPr>
        <w:snapToGrid w:val="0"/>
        <w:spacing w:line="400" w:lineRule="exact"/>
        <w:ind w:firstLine="540"/>
        <w:rPr>
          <w:rFonts w:hint="eastAsia" w:ascii="仿宋" w:hAnsi="仿宋" w:eastAsia="仿宋"/>
          <w:color w:val="auto"/>
        </w:rPr>
      </w:pPr>
      <w:bookmarkStart w:id="159" w:name="_Toc344475124"/>
      <w:bookmarkStart w:id="160" w:name="_Toc26335"/>
      <w:bookmarkStart w:id="161" w:name="_Toc76462331"/>
      <w:r>
        <w:rPr>
          <w:rFonts w:hint="eastAsia" w:ascii="仿宋" w:hAnsi="仿宋" w:eastAsia="仿宋"/>
          <w:color w:val="auto"/>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rPr>
          <w:rFonts w:ascii="仿宋" w:hAnsi="仿宋" w:eastAsia="仿宋"/>
          <w:b/>
          <w:bCs/>
          <w:color w:val="auto"/>
          <w:sz w:val="24"/>
          <w:szCs w:val="24"/>
        </w:rPr>
      </w:pPr>
      <w:bookmarkStart w:id="162" w:name="_Toc23506"/>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七</w:t>
      </w:r>
      <w:r>
        <w:rPr>
          <w:rFonts w:hint="eastAsia" w:ascii="仿宋" w:hAnsi="仿宋" w:eastAsia="仿宋"/>
          <w:b/>
          <w:bCs/>
          <w:color w:val="auto"/>
          <w:sz w:val="24"/>
          <w:szCs w:val="24"/>
        </w:rPr>
        <w:t>、</w:t>
      </w:r>
      <w:bookmarkEnd w:id="159"/>
      <w:bookmarkStart w:id="163" w:name="_Toc344475125"/>
      <w:r>
        <w:rPr>
          <w:rFonts w:hint="eastAsia" w:ascii="仿宋" w:hAnsi="仿宋" w:eastAsia="仿宋"/>
          <w:b/>
          <w:bCs/>
          <w:color w:val="auto"/>
          <w:sz w:val="24"/>
          <w:szCs w:val="24"/>
        </w:rPr>
        <w:t>其他</w:t>
      </w:r>
      <w:bookmarkEnd w:id="160"/>
      <w:bookmarkEnd w:id="161"/>
      <w:bookmarkEnd w:id="162"/>
    </w:p>
    <w:bookmarkEnd w:id="163"/>
    <w:p>
      <w:pPr>
        <w:snapToGrid w:val="0"/>
        <w:spacing w:line="400" w:lineRule="exact"/>
        <w:ind w:firstLine="540"/>
        <w:rPr>
          <w:rFonts w:ascii="仿宋" w:hAnsi="仿宋" w:eastAsia="仿宋"/>
          <w:color w:val="auto"/>
        </w:rPr>
      </w:pPr>
      <w:r>
        <w:rPr>
          <w:rFonts w:hint="eastAsia" w:ascii="仿宋" w:hAnsi="仿宋" w:eastAsia="仿宋"/>
          <w:color w:val="auto"/>
        </w:rPr>
        <w:t>（一）供应商必须在投标文件中对以上条款和服务承诺明确列出，承诺内容应达到本篇及招标文件其他条款的要求。</w:t>
      </w:r>
    </w:p>
    <w:p>
      <w:pPr>
        <w:tabs>
          <w:tab w:val="left" w:pos="4140"/>
          <w:tab w:val="left" w:pos="4680"/>
          <w:tab w:val="left" w:pos="4860"/>
        </w:tabs>
        <w:autoSpaceDN w:val="0"/>
        <w:spacing w:line="58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olor w:val="auto"/>
        </w:rPr>
        <w:t>（二）其他未尽事宜由供需双方在采购合同中详细约定。</w:t>
      </w:r>
    </w:p>
    <w:p>
      <w:pPr>
        <w:pStyle w:val="3"/>
        <w:spacing w:before="0" w:line="276" w:lineRule="auto"/>
        <w:jc w:val="center"/>
        <w:rPr>
          <w:rFonts w:hint="eastAsia" w:ascii="仿宋" w:hAnsi="仿宋" w:eastAsia="仿宋" w:cs="仿宋"/>
          <w:b/>
          <w:color w:val="auto"/>
          <w:highlight w:val="none"/>
        </w:rPr>
      </w:pPr>
      <w:r>
        <w:rPr>
          <w:rFonts w:hint="eastAsia" w:ascii="仿宋" w:hAnsi="仿宋" w:eastAsia="仿宋" w:cs="仿宋"/>
          <w:color w:val="auto"/>
          <w:highlight w:val="none"/>
        </w:rPr>
        <w:br w:type="page"/>
      </w:r>
      <w:bookmarkStart w:id="164" w:name="_Toc5771"/>
      <w:r>
        <w:rPr>
          <w:rFonts w:hint="eastAsia" w:ascii="仿宋" w:hAnsi="仿宋" w:eastAsia="仿宋" w:cs="仿宋"/>
          <w:b/>
          <w:bCs/>
          <w:color w:val="auto"/>
          <w:sz w:val="36"/>
          <w:szCs w:val="36"/>
          <w:highlight w:val="none"/>
        </w:rPr>
        <w:t>第五篇  合同草案</w:t>
      </w:r>
      <w:bookmarkEnd w:id="138"/>
      <w:bookmarkEnd w:id="164"/>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一、合同说明</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本篇为合同草案，最终以双方实际签订的合同为准。</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二、合同部分</w:t>
      </w:r>
    </w:p>
    <w:p>
      <w:pPr>
        <w:spacing w:line="500" w:lineRule="exact"/>
        <w:ind w:firstLine="3855" w:firstLineChars="800"/>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施工合同</w:t>
      </w:r>
    </w:p>
    <w:p>
      <w:pPr>
        <w:spacing w:line="500" w:lineRule="exact"/>
        <w:rPr>
          <w:rFonts w:hint="eastAsia" w:ascii="仿宋" w:hAnsi="仿宋" w:eastAsia="仿宋" w:cs="仿宋"/>
          <w:b/>
          <w:color w:val="auto"/>
          <w:sz w:val="20"/>
          <w:szCs w:val="18"/>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ind w:firstLine="2954" w:firstLineChars="1401"/>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建设单位：</w:t>
      </w:r>
    </w:p>
    <w:p>
      <w:pPr>
        <w:spacing w:line="500" w:lineRule="exact"/>
        <w:ind w:firstLine="2954" w:firstLineChars="1401"/>
        <w:rPr>
          <w:rFonts w:hint="eastAsia" w:ascii="仿宋" w:hAnsi="仿宋" w:eastAsia="仿宋" w:cs="仿宋"/>
          <w:b/>
          <w:color w:val="auto"/>
          <w:sz w:val="21"/>
          <w:highlight w:val="none"/>
          <w:u w:val="single"/>
        </w:rPr>
      </w:pPr>
      <w:r>
        <w:rPr>
          <w:rFonts w:hint="eastAsia" w:ascii="仿宋" w:hAnsi="仿宋" w:eastAsia="仿宋" w:cs="仿宋"/>
          <w:b/>
          <w:color w:val="auto"/>
          <w:sz w:val="21"/>
          <w:highlight w:val="none"/>
        </w:rPr>
        <w:t>施工单位：</w:t>
      </w:r>
    </w:p>
    <w:p>
      <w:pPr>
        <w:spacing w:line="500" w:lineRule="exact"/>
        <w:ind w:firstLine="2954" w:firstLineChars="1401"/>
        <w:rPr>
          <w:rFonts w:hint="eastAsia" w:ascii="仿宋" w:hAnsi="仿宋" w:eastAsia="仿宋" w:cs="仿宋"/>
          <w:b/>
          <w:color w:val="auto"/>
          <w:sz w:val="21"/>
          <w:highlight w:val="none"/>
        </w:rPr>
      </w:pPr>
      <w:r>
        <w:rPr>
          <w:rFonts w:hint="eastAsia" w:ascii="仿宋" w:hAnsi="仿宋" w:eastAsia="仿宋" w:cs="仿宋"/>
          <w:b/>
          <w:color w:val="auto"/>
          <w:sz w:val="21"/>
          <w:highlight w:val="none"/>
        </w:rPr>
        <w:t>签订日期：</w:t>
      </w:r>
      <w:r>
        <w:rPr>
          <w:rFonts w:hint="eastAsia" w:ascii="仿宋" w:hAnsi="仿宋" w:eastAsia="仿宋" w:cs="仿宋"/>
          <w:b/>
          <w:color w:val="auto"/>
          <w:sz w:val="21"/>
          <w:highlight w:val="none"/>
          <w:u w:val="single"/>
        </w:rPr>
        <w:t xml:space="preserve">      </w:t>
      </w:r>
      <w:r>
        <w:rPr>
          <w:rFonts w:hint="eastAsia" w:ascii="仿宋" w:hAnsi="仿宋" w:eastAsia="仿宋" w:cs="仿宋"/>
          <w:b/>
          <w:color w:val="auto"/>
          <w:sz w:val="21"/>
          <w:highlight w:val="none"/>
        </w:rPr>
        <w:t>年</w:t>
      </w:r>
      <w:r>
        <w:rPr>
          <w:rFonts w:hint="eastAsia" w:ascii="仿宋" w:hAnsi="仿宋" w:eastAsia="仿宋" w:cs="仿宋"/>
          <w:b/>
          <w:color w:val="auto"/>
          <w:sz w:val="21"/>
          <w:highlight w:val="none"/>
          <w:u w:val="single"/>
        </w:rPr>
        <w:t xml:space="preserve">      </w:t>
      </w:r>
      <w:r>
        <w:rPr>
          <w:rFonts w:hint="eastAsia" w:ascii="仿宋" w:hAnsi="仿宋" w:eastAsia="仿宋" w:cs="仿宋"/>
          <w:b/>
          <w:color w:val="auto"/>
          <w:sz w:val="21"/>
          <w:highlight w:val="none"/>
        </w:rPr>
        <w:t>月</w:t>
      </w:r>
      <w:r>
        <w:rPr>
          <w:rFonts w:hint="eastAsia" w:ascii="仿宋" w:hAnsi="仿宋" w:eastAsia="仿宋" w:cs="仿宋"/>
          <w:b/>
          <w:color w:val="auto"/>
          <w:sz w:val="21"/>
          <w:highlight w:val="none"/>
          <w:u w:val="single"/>
        </w:rPr>
        <w:t xml:space="preserve">      </w:t>
      </w:r>
      <w:r>
        <w:rPr>
          <w:rFonts w:hint="eastAsia" w:ascii="仿宋" w:hAnsi="仿宋" w:eastAsia="仿宋" w:cs="仿宋"/>
          <w:b/>
          <w:color w:val="auto"/>
          <w:sz w:val="21"/>
          <w:highlight w:val="none"/>
        </w:rPr>
        <w:t>日</w:t>
      </w:r>
    </w:p>
    <w:p>
      <w:pPr>
        <w:rPr>
          <w:rFonts w:hint="eastAsia" w:ascii="仿宋" w:hAnsi="仿宋" w:eastAsia="仿宋" w:cs="仿宋"/>
          <w:b/>
          <w:color w:val="auto"/>
          <w:sz w:val="21"/>
          <w:highlight w:val="none"/>
        </w:rPr>
        <w:sectPr>
          <w:headerReference r:id="rId10" w:type="default"/>
          <w:footerReference r:id="rId11" w:type="default"/>
          <w:footerReference r:id="rId12" w:type="even"/>
          <w:pgSz w:w="11907" w:h="16840"/>
          <w:pgMar w:top="1134" w:right="1191" w:bottom="1134" w:left="1304" w:header="737" w:footer="737" w:gutter="0"/>
          <w:pgNumType w:fmt="numberInDash"/>
          <w:cols w:space="720" w:num="1"/>
        </w:sectPr>
      </w:pPr>
    </w:p>
    <w:p>
      <w:pPr>
        <w:spacing w:line="500" w:lineRule="exact"/>
        <w:jc w:val="center"/>
        <w:rPr>
          <w:rFonts w:hint="eastAsia" w:ascii="仿宋" w:hAnsi="仿宋" w:eastAsia="仿宋" w:cs="仿宋"/>
          <w:b/>
          <w:color w:val="auto"/>
          <w:sz w:val="21"/>
          <w:highlight w:val="none"/>
        </w:rPr>
      </w:pPr>
      <w:bookmarkStart w:id="165" w:name="_Toc3962"/>
      <w:bookmarkStart w:id="166" w:name="_Toc27163"/>
      <w:bookmarkStart w:id="167" w:name="_Toc11531"/>
      <w:r>
        <w:rPr>
          <w:rFonts w:hint="eastAsia" w:ascii="仿宋" w:hAnsi="仿宋" w:eastAsia="仿宋" w:cs="仿宋"/>
          <w:color w:val="auto"/>
          <w:sz w:val="21"/>
          <w:highlight w:val="none"/>
        </w:rPr>
        <w:t>施工合同</w:t>
      </w:r>
      <w:bookmarkEnd w:id="165"/>
      <w:bookmarkEnd w:id="166"/>
      <w:bookmarkEnd w:id="167"/>
    </w:p>
    <w:p>
      <w:pPr>
        <w:spacing w:line="500" w:lineRule="exact"/>
        <w:rPr>
          <w:rFonts w:hint="eastAsia" w:ascii="仿宋" w:hAnsi="仿宋" w:eastAsia="仿宋" w:cs="仿宋"/>
          <w:color w:val="auto"/>
          <w:sz w:val="21"/>
          <w:highlight w:val="none"/>
        </w:rPr>
      </w:pPr>
    </w:p>
    <w:p>
      <w:pPr>
        <w:spacing w:line="400" w:lineRule="exact"/>
        <w:ind w:firstLine="240" w:firstLineChars="100"/>
        <w:rPr>
          <w:rFonts w:hint="eastAsia" w:ascii="仿宋" w:hAnsi="仿宋" w:eastAsia="仿宋" w:cs="仿宋"/>
          <w:color w:val="auto"/>
          <w:highlight w:val="none"/>
        </w:rPr>
      </w:pPr>
      <w:bookmarkStart w:id="168" w:name="_Toc23648"/>
      <w:bookmarkStart w:id="169" w:name="_Toc30518"/>
      <w:bookmarkStart w:id="170" w:name="_Toc15856"/>
      <w:r>
        <w:rPr>
          <w:rFonts w:hint="eastAsia" w:ascii="仿宋" w:hAnsi="仿宋" w:eastAsia="仿宋" w:cs="仿宋"/>
          <w:color w:val="auto"/>
          <w:highlight w:val="none"/>
        </w:rPr>
        <w:t>发包方：</w:t>
      </w:r>
      <w:bookmarkEnd w:id="168"/>
      <w:bookmarkEnd w:id="169"/>
      <w:bookmarkEnd w:id="170"/>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71" w:name="_Toc18783"/>
      <w:bookmarkStart w:id="172" w:name="_Toc29014"/>
      <w:bookmarkStart w:id="173" w:name="_Toc29822"/>
      <w:r>
        <w:rPr>
          <w:rFonts w:hint="eastAsia" w:ascii="仿宋" w:hAnsi="仿宋" w:eastAsia="仿宋" w:cs="仿宋"/>
          <w:color w:val="auto"/>
          <w:highlight w:val="none"/>
        </w:rPr>
        <w:t>承包方：</w:t>
      </w:r>
      <w:bookmarkEnd w:id="171"/>
      <w:bookmarkEnd w:id="172"/>
      <w:bookmarkEnd w:id="173"/>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74" w:name="_Toc19022"/>
      <w:bookmarkStart w:id="175" w:name="_Toc11266"/>
      <w:bookmarkStart w:id="176" w:name="_Toc10195"/>
      <w:r>
        <w:rPr>
          <w:rFonts w:hint="eastAsia" w:ascii="仿宋" w:hAnsi="仿宋" w:eastAsia="仿宋" w:cs="仿宋"/>
          <w:color w:val="auto"/>
          <w:highlight w:val="none"/>
        </w:rPr>
        <w:t>根据《中华人民共和国民法典》《中华人民共和国建筑法》《建设工程质量管理条例》等法律法规相关规定，经双方充分协商、达成一致，订立本合同。</w:t>
      </w:r>
      <w:bookmarkEnd w:id="174"/>
      <w:bookmarkEnd w:id="175"/>
      <w:bookmarkEnd w:id="176"/>
      <w:bookmarkStart w:id="177" w:name="_Toc351203481"/>
    </w:p>
    <w:p>
      <w:pPr>
        <w:spacing w:line="400" w:lineRule="exact"/>
        <w:ind w:firstLine="240" w:firstLineChars="100"/>
        <w:rPr>
          <w:rFonts w:hint="eastAsia" w:ascii="仿宋" w:hAnsi="仿宋" w:eastAsia="仿宋" w:cs="仿宋"/>
          <w:color w:val="auto"/>
          <w:highlight w:val="none"/>
        </w:rPr>
      </w:pPr>
      <w:bookmarkStart w:id="178" w:name="_Toc31395"/>
      <w:bookmarkStart w:id="179" w:name="_Toc28056"/>
      <w:bookmarkStart w:id="180" w:name="_Toc10244"/>
      <w:r>
        <w:rPr>
          <w:rFonts w:hint="eastAsia" w:ascii="仿宋" w:hAnsi="仿宋" w:eastAsia="仿宋" w:cs="仿宋"/>
          <w:color w:val="auto"/>
          <w:highlight w:val="none"/>
        </w:rPr>
        <w:t>一、</w:t>
      </w:r>
      <w:bookmarkEnd w:id="177"/>
      <w:r>
        <w:rPr>
          <w:rFonts w:hint="eastAsia" w:ascii="仿宋" w:hAnsi="仿宋" w:eastAsia="仿宋" w:cs="仿宋"/>
          <w:color w:val="auto"/>
          <w:highlight w:val="none"/>
        </w:rPr>
        <w:t>工程名称：</w:t>
      </w:r>
      <w:bookmarkEnd w:id="178"/>
      <w:bookmarkEnd w:id="179"/>
      <w:bookmarkEnd w:id="180"/>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81" w:name="_Toc9694"/>
      <w:bookmarkStart w:id="182" w:name="_Toc9822"/>
      <w:bookmarkStart w:id="183" w:name="_Toc11390"/>
      <w:r>
        <w:rPr>
          <w:rFonts w:hint="eastAsia" w:ascii="仿宋" w:hAnsi="仿宋" w:eastAsia="仿宋" w:cs="仿宋"/>
          <w:color w:val="auto"/>
          <w:highlight w:val="none"/>
        </w:rPr>
        <w:t>二、工程地点：</w:t>
      </w:r>
      <w:r>
        <w:rPr>
          <w:rFonts w:hint="eastAsia" w:ascii="仿宋" w:hAnsi="仿宋" w:eastAsia="仿宋" w:cs="仿宋"/>
          <w:color w:val="auto"/>
          <w:highlight w:val="none"/>
          <w:u w:val="single"/>
        </w:rPr>
        <w:t xml:space="preserve">                     </w:t>
      </w:r>
      <w:bookmarkEnd w:id="181"/>
      <w:bookmarkEnd w:id="182"/>
      <w:bookmarkEnd w:id="183"/>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84" w:name="_Toc28846"/>
      <w:bookmarkStart w:id="185" w:name="_Toc13531"/>
      <w:bookmarkStart w:id="186" w:name="_Toc10903"/>
      <w:r>
        <w:rPr>
          <w:rFonts w:hint="eastAsia" w:ascii="仿宋" w:hAnsi="仿宋" w:eastAsia="仿宋" w:cs="仿宋"/>
          <w:color w:val="auto"/>
          <w:highlight w:val="none"/>
        </w:rPr>
        <w:t>三、工程范围：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（详见施工图和工程量清单）。</w:t>
      </w:r>
      <w:bookmarkEnd w:id="184"/>
      <w:bookmarkEnd w:id="185"/>
      <w:bookmarkEnd w:id="186"/>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四、承包方式：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五、合同工期</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计划开工日期：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计划竣工日期：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工期总日历天数：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天（以签订合同之日起算）。工期总日历天数与前述计划开竣工日期计算的工期天数不一致的，以工期总日历天数为准。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六、资金来源：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七、合同金额：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八、履约保证金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1.履约保证金: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(1)履约担保的形式：履约保证金。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(2)履约担保提交方式：成交供应商应在成交通知书发出后10个工作日内、合同签订之前通过转账方式缴纳履约保证金，从供应商账户提交，不得使用现金进账。履约保证金账户在签订合同时由采购人提供。</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(3)履约保证金的金额：</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(4)履约保证金的退还：履约保证金在工程竣工验收后一个月内退还，履约保证金不计息。</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(5)成交供应商提供的货物及服务未达到采购文件规定要求响应文件的响应及承诺，且对采购人造成损失的，由成交供应商承担一切责任的同时，扣除履约保证金，并赔偿所造成的损失。</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(7)承包方应在收到成交通知书后3日内，将履约保证金一次性划入项目业主指定帐户或提供银行保函，履约保证金不计利息。</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九、发包方权利及义务</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1.负责在合同签订后向承包方移交一套完整的工程设计施工方案；</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2.检查承包方施工工序、质量，督促施工进度；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3.开展工程竣工验收、工程价款结算资料审查；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4.有权委托第三方对承包方提供的施工材料进行检测。如未达到设计标准，所有费用（含检测费）由承包方承担。</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5.帮助协调施工涉及的占地及矛盾纠纷。</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十、承包方权利及义务</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1.严格按图施工，保证工程进度，确保工程施工质量，按时完成施工任务；</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2.做好施工现场安全管理，落实安全措施，配备安全设施、设备、器材，按安全施工管理规范设置安全标识标牌，组织施工安全教育及购买工伤保险等；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3.本工程质保期应按照招标文件要求，在此期间出现质量问题，由承包方全权负责，并承担相应费用；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4.负责按要求编写工程竣工资料，配合发包方、监理方处理施工中出现的相关问题；</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5.施工过程中，自觉接受甲方的质量监督，对发包方或监理方提出的质量整改要求及合理化建议，承包方须主动配合整改，积极采纳。</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7.施工中所用的各种建筑材料及设备等，必须符合相关技术规范要求，不得使用假冒伪劣产品或擅自变更建筑材料材质、规格、型号。</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一、安全责任约定</w:t>
      </w:r>
    </w:p>
    <w:p>
      <w:pPr>
        <w:spacing w:line="40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承包方在组织施工过程中，发生安全事故，概由承包方承担一切责任，与甲方无关。若因施工不当给第三方造成伤害或损失，由承包方承担相应的法律责任。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十二、工程质量及验收</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工程验收，按照国家现行相关验收标准和合同约定验收标准执行。</w:t>
      </w:r>
    </w:p>
    <w:p>
      <w:pPr>
        <w:spacing w:line="400" w:lineRule="exact"/>
        <w:ind w:firstLine="240" w:firstLineChars="100"/>
        <w:rPr>
          <w:rFonts w:hint="eastAsia" w:ascii="仿宋" w:hAnsi="仿宋" w:eastAsia="仿宋" w:cs="仿宋"/>
          <w:color w:val="auto"/>
          <w:highlight w:val="none"/>
        </w:rPr>
      </w:pPr>
      <w:bookmarkStart w:id="187" w:name="_Toc351203486"/>
      <w:r>
        <w:rPr>
          <w:rFonts w:hint="eastAsia" w:ascii="仿宋" w:hAnsi="仿宋" w:eastAsia="仿宋" w:cs="仿宋"/>
          <w:color w:val="auto"/>
          <w:highlight w:val="none"/>
        </w:rPr>
        <w:t>三、工程款支付方式</w:t>
      </w:r>
    </w:p>
    <w:p>
      <w:pPr>
        <w:rPr>
          <w:rFonts w:hint="eastAsia" w:ascii="仿宋" w:hAnsi="仿宋" w:eastAsia="仿宋" w:cs="仿宋"/>
          <w:color w:val="auto"/>
          <w:highlight w:val="none"/>
        </w:rPr>
      </w:pPr>
      <w:r>
        <w:rPr>
          <w:rFonts w:hint="eastAsia" w:ascii="仿宋" w:hAnsi="仿宋" w:eastAsia="仿宋" w:cs="仿宋"/>
          <w:color w:val="auto"/>
          <w:highlight w:val="none"/>
        </w:rPr>
        <w:t>（一）工程完工验收合格后采购人支付至合同价款的80%；经审计结束后支付至审定金额的97%，余3%作为质量保证金。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（二）采购人在工程完工验收合格满两年后，不存在质量问题的条件下，退还质量保证金（质量保证金不计息）</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（三）本项目首先保证农民工工资不拖欠，供应商必须及时支付人工费、材料费等费用，如有投诉材料费、人工费未结清的情况，采购单位将暂停余款支付，并有权动用成交供应商一切费用解决属实的投诉纠纷。</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十四、</w:t>
      </w:r>
      <w:bookmarkEnd w:id="187"/>
      <w:r>
        <w:rPr>
          <w:rFonts w:hint="eastAsia" w:ascii="仿宋" w:hAnsi="仿宋" w:eastAsia="仿宋" w:cs="仿宋"/>
          <w:color w:val="auto"/>
          <w:highlight w:val="none"/>
        </w:rPr>
        <w:t>农民工权益保障</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本项目首先保障农民工工资不拖欠，并不能以支付农民工工资名义向发包人要求超合同付款，并承担发包人的相关处分规定。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十五、违约责任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除不可抗力因素影响以外，承包方不能在约定的工期内完成施工的，凡超出一天，则向采购人支付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元/天的违约金，相关费用在支付工程款中一并扣除，并纳入工程结算。</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十六、双方承诺</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1.发包人承诺按照法律规定履行项目审批手续、筹集工程建设资金并按照合同约定的期限和方式支付合同价款。</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2.承包人承诺按照法律规定及合同约定组织完成工程施工，确保工程质量和安全，不进行转包及违法分包，并在质保期及保修期内承担相应的工程维修责任。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3.发包人和承包人通过招投标形式签订合同的，双方理解并承诺不再就同一工程另行签订与合同实质性内容相背离的协议。</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十七、合同文件构成</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240" w:firstLineChars="100"/>
        <w:rPr>
          <w:rFonts w:hint="eastAsia" w:ascii="仿宋" w:hAnsi="仿宋" w:eastAsia="仿宋" w:cs="仿宋"/>
          <w:color w:val="auto"/>
          <w:highlight w:val="none"/>
        </w:rPr>
      </w:pPr>
      <w:bookmarkStart w:id="188" w:name="_Toc351203489"/>
      <w:r>
        <w:rPr>
          <w:rFonts w:hint="eastAsia" w:ascii="仿宋" w:hAnsi="仿宋" w:eastAsia="仿宋" w:cs="仿宋"/>
          <w:color w:val="auto"/>
          <w:highlight w:val="none"/>
        </w:rPr>
        <w:t>十八、</w:t>
      </w:r>
      <w:bookmarkEnd w:id="188"/>
      <w:bookmarkStart w:id="189" w:name="_Toc351203491"/>
      <w:r>
        <w:rPr>
          <w:rFonts w:hint="eastAsia" w:ascii="仿宋" w:hAnsi="仿宋" w:eastAsia="仿宋" w:cs="仿宋"/>
          <w:color w:val="auto"/>
          <w:highlight w:val="none"/>
        </w:rPr>
        <w:t>补充协议</w:t>
      </w:r>
      <w:bookmarkEnd w:id="189"/>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合同未尽事宜，合同当事人另行签订补充协议，补充协议是合同的组成部分。</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十九、争议解决方式</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本合同在执行过程中发生争议的，双方应当协商解决，协商不成的，双方均可向有管辖权的人民法院提起诉讼。除争议事项外，其余条款双方仍应按合同约定继续履行。</w:t>
      </w:r>
    </w:p>
    <w:p>
      <w:pPr>
        <w:spacing w:line="400" w:lineRule="exact"/>
        <w:ind w:firstLine="240" w:firstLineChars="100"/>
        <w:rPr>
          <w:rFonts w:hint="eastAsia" w:ascii="仿宋" w:hAnsi="仿宋" w:eastAsia="仿宋" w:cs="仿宋"/>
          <w:color w:val="auto"/>
          <w:highlight w:val="none"/>
        </w:rPr>
      </w:pPr>
      <w:bookmarkStart w:id="190" w:name="_Toc351203492"/>
      <w:r>
        <w:rPr>
          <w:rFonts w:hint="eastAsia" w:ascii="仿宋" w:hAnsi="仿宋" w:eastAsia="仿宋" w:cs="仿宋"/>
          <w:color w:val="auto"/>
          <w:highlight w:val="none"/>
        </w:rPr>
        <w:t>二十、合同生效</w:t>
      </w:r>
      <w:bookmarkEnd w:id="190"/>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本合同自双方签字盖章后生效。</w:t>
      </w:r>
    </w:p>
    <w:p>
      <w:pPr>
        <w:spacing w:line="400" w:lineRule="exact"/>
        <w:ind w:firstLine="240" w:firstLineChars="100"/>
        <w:rPr>
          <w:rFonts w:hint="eastAsia" w:ascii="仿宋" w:hAnsi="仿宋" w:eastAsia="仿宋" w:cs="仿宋"/>
          <w:color w:val="auto"/>
          <w:highlight w:val="none"/>
        </w:rPr>
      </w:pPr>
      <w:bookmarkStart w:id="191" w:name="_Toc351203493"/>
      <w:r>
        <w:rPr>
          <w:rFonts w:hint="eastAsia" w:ascii="仿宋" w:hAnsi="仿宋" w:eastAsia="仿宋" w:cs="仿宋"/>
          <w:color w:val="auto"/>
          <w:highlight w:val="none"/>
        </w:rPr>
        <w:t>二十一、合同份数</w:t>
      </w:r>
      <w:bookmarkEnd w:id="191"/>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本合同一式</w:t>
      </w:r>
      <w:r>
        <w:rPr>
          <w:rFonts w:hint="eastAsia" w:ascii="仿宋" w:hAnsi="仿宋" w:eastAsia="仿宋" w:cs="仿宋"/>
          <w:color w:val="auto"/>
          <w:highlight w:val="none"/>
          <w:u w:val="single"/>
        </w:rPr>
        <w:t>肆</w:t>
      </w:r>
      <w:r>
        <w:rPr>
          <w:rFonts w:hint="eastAsia" w:ascii="仿宋" w:hAnsi="仿宋" w:eastAsia="仿宋" w:cs="仿宋"/>
          <w:color w:val="auto"/>
          <w:highlight w:val="none"/>
        </w:rPr>
        <w:t>份，均具有同等法律效力，发包人执</w:t>
      </w:r>
      <w:r>
        <w:rPr>
          <w:rFonts w:hint="eastAsia" w:ascii="仿宋" w:hAnsi="仿宋" w:eastAsia="仿宋" w:cs="仿宋"/>
          <w:color w:val="auto"/>
          <w:highlight w:val="none"/>
          <w:u w:val="single"/>
        </w:rPr>
        <w:t>贰</w:t>
      </w:r>
      <w:r>
        <w:rPr>
          <w:rFonts w:hint="eastAsia" w:ascii="仿宋" w:hAnsi="仿宋" w:eastAsia="仿宋" w:cs="仿宋"/>
          <w:color w:val="auto"/>
          <w:highlight w:val="none"/>
        </w:rPr>
        <w:t>份，承包人执</w:t>
      </w:r>
      <w:r>
        <w:rPr>
          <w:rFonts w:hint="eastAsia" w:ascii="仿宋" w:hAnsi="仿宋" w:eastAsia="仿宋" w:cs="仿宋"/>
          <w:color w:val="auto"/>
          <w:highlight w:val="none"/>
          <w:u w:val="single"/>
        </w:rPr>
        <w:t>贰</w:t>
      </w:r>
      <w:r>
        <w:rPr>
          <w:rFonts w:hint="eastAsia" w:ascii="仿宋" w:hAnsi="仿宋" w:eastAsia="仿宋" w:cs="仿宋"/>
          <w:color w:val="auto"/>
          <w:highlight w:val="none"/>
        </w:rPr>
        <w:t>份。</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发包人：  (公章)                 承包人：  (公章)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法定代表人或其委托代理人：       法定代表人或其委托代理人：</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（签字）                        （签字）</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社会信用代码：                   社会信用代码：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地  址：                         地  址：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邮政编码：                       邮政编码：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法定代表人：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委托代理人：                     委托代理人：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电  话：                         电  话：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传  真：                         传  真：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电子信箱：                       电子信箱：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账  号：                         账  号：  </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重庆工程建设廉政合同</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工程项目名称：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工程项目地址：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建设单位（甲方）：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施工单位（乙方）：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第一条 甲乙双方的责任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（一）应严格遵守国家关于市场准入、项目招标投标、工程建设、施工安装和市场活动等有关法律、法规，相关政策，以及廉政建设的各项规定。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（二）严格执行建设工程项目承发包合同文件，自觉按合同办事。</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（四）发现对方在业务活动中有违规、违纪、违法行为的，应及时提醒对方，情节严重的，应向其上级主管部门或纪检监察、司法等有关机关举报。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第二条 甲方的责任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甲方的领导和从事该建设工程项目的工作人员，在工程建设的事前、事中、事后应遵守以下规定：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（一）不准向乙方和相关单位索要或接受回扣、礼金、有价证券、贵重物品和好处费、感谢费等。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（二）不准在乙方和相关单位报销任何应由甲方或个人支付的费用。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（三）不准要求、暗示或接受乙方和相关单位为个人装修住房、婚丧嫁娶、配偶子女的工作安排以及出国（境）、旅游等提供方便。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（四）不准参加有可能影响公正执行公务的乙方和相关单位的宴请和健身、娱乐等活动。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第三条 乙方的责任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应与甲方保持正常的业务交往，按照有关法律法规和程序开展业务工作，严格执行工程建设的有关方针、政策，尤其是有关建筑施工安装的强制性标准和规范，并遵守以下规定：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（一）不准以任何理由向甲方、相关单位及其工作人员索要、接受或赠送礼金、有价证券、贵重物品和回扣、好处费、感谢费等。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（二）不准以任何理由为甲方和相关单位报销应由对方或个人支付的费用。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（三）不准接受或暗示为甲方、相关单位或个人装修住房、婚丧嫁娶、配偶子女的工作安排以及出国（境）、旅游等提供方便。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（四）不准以任何理由为甲方、相关单位或个人组织有可能影响公正执行公务的宴请、健身、娱乐等活动。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第四条 违约责任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第五条 本责任书作为工程施工合同的附件，与工程施工合同具有同等法律效力。经双方签署后立即生效。</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第六条 本责任书的有效期为双方签署之日起至该工程项目竣工验收合格时止。</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第七条 本责任书一式四份，由甲乙双方各执二份。</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甲方单位：（盖章）       乙方单位：（盖章）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法定代表人：              法定代表人：</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地址：                    地址：</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电话：                    电话：</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年  月  日                   年  月  日</w:t>
      </w:r>
    </w:p>
    <w:p>
      <w:pPr>
        <w:spacing w:line="400" w:lineRule="exact"/>
        <w:ind w:firstLine="240" w:firstLineChars="100"/>
        <w:rPr>
          <w:rFonts w:hint="eastAsia" w:ascii="仿宋" w:hAnsi="仿宋" w:eastAsia="仿宋" w:cs="仿宋"/>
          <w:color w:val="auto"/>
          <w:highlight w:val="none"/>
        </w:rPr>
        <w:sectPr>
          <w:pgSz w:w="11907" w:h="16840"/>
          <w:pgMar w:top="1134" w:right="1191" w:bottom="1134" w:left="1304" w:header="737" w:footer="737" w:gutter="0"/>
          <w:pgNumType w:fmt="numberInDash"/>
          <w:cols w:space="720" w:num="1"/>
        </w:sectPr>
      </w:pPr>
    </w:p>
    <w:p>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按期支付农民工工资承诺书</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按照《劳动法》相关规定，我公司就支付农民工工资问题承诺如下：</w:t>
      </w:r>
    </w:p>
    <w:p>
      <w:pPr>
        <w:spacing w:line="40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1.承诺不拖欠农民工工资，并不能以支付农民工工资名义向发包方要求超合同付款，并承担发包方的相关处分规定。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2.如果发生违反规定拖欠或克扣民工工资行为，造成民工上访，及其它突发事件或公共事件，我单位愿意接受发包方的处罚，同时愿意接受建设行政主管部门依照有关规定作出的其它处罚决定。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3.发包方有权以任何方式监督我司对劳务人员工资的支付情况，我司如迟延支付或未足额支付劳务人员工资，自觉承担发包方的相关处分规定。</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承包人（加盖单位公章）：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企业法人代表或其委托代理人签字（盖章）：</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sectPr>
          <w:pgSz w:w="11907" w:h="16840"/>
          <w:pgMar w:top="1134" w:right="1191" w:bottom="1134" w:left="1304" w:header="737" w:footer="737" w:gutter="0"/>
          <w:pgNumType w:fmt="numberInDash"/>
          <w:cols w:space="720" w:num="1"/>
        </w:sectPr>
      </w:pPr>
    </w:p>
    <w:p>
      <w:pPr>
        <w:spacing w:line="400" w:lineRule="exact"/>
        <w:ind w:firstLine="240" w:firstLineChars="100"/>
        <w:rPr>
          <w:rFonts w:hint="eastAsia" w:ascii="仿宋" w:hAnsi="仿宋" w:eastAsia="仿宋" w:cs="仿宋"/>
          <w:color w:val="auto"/>
          <w:highlight w:val="none"/>
        </w:rPr>
      </w:pPr>
    </w:p>
    <w:p>
      <w:pPr>
        <w:spacing w:line="400" w:lineRule="exact"/>
        <w:ind w:firstLine="3240" w:firstLineChars="1350"/>
        <w:rPr>
          <w:rFonts w:hint="eastAsia" w:ascii="仿宋" w:hAnsi="仿宋" w:eastAsia="仿宋" w:cs="仿宋"/>
          <w:color w:val="auto"/>
          <w:highlight w:val="none"/>
        </w:rPr>
      </w:pPr>
      <w:r>
        <w:rPr>
          <w:rFonts w:hint="eastAsia" w:ascii="仿宋" w:hAnsi="仿宋" w:eastAsia="仿宋" w:cs="仿宋"/>
          <w:color w:val="auto"/>
          <w:highlight w:val="none"/>
        </w:rPr>
        <w:t>质量安全承诺书</w:t>
      </w:r>
    </w:p>
    <w:p>
      <w:pPr>
        <w:spacing w:line="400" w:lineRule="exact"/>
        <w:ind w:firstLine="240" w:firstLineChars="10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根据《中华人民共和国建筑法》、《中华人民共和国安全生产法》、《建设工程质量管理条例》、《建设工程安全生产管理条例》等法律、法规，为加强建设质量、安全管理，特签订如下质量安全责任书。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1.必须履行《建设工程质量管理制度》《建设工程安全管理制度》具体要求，严格执行有关质量安全管理的法律法规和标准，增强安全防范意识，制定具体的质量安全施工方案。</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3.应向各岗位人员签订质量安全责任，落实到每位在岗员工，做到人人重视工程质量和安全。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4.对项目工程的质量安全生产监督检查，检查时若发现项目经理、项目技术负责人、施工员、安全员不在施工现场，给予教育并处以罚款。</w:t>
      </w: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5.严格遵照《十项安全技术措施》，把好安全关。</w:t>
      </w: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6.认真履行安全职责和遵守各种施工操作规程及安全生产的《六大纪律》。</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7.施工现场必须设置各种安全生产标志牌，切实履行《安全十大禁令》和《施工现场十不准》，为保证施工安全创造必要条件。</w:t>
      </w: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8.保证所建设的工程安全、质量合格。</w:t>
      </w:r>
    </w:p>
    <w:p>
      <w:pPr>
        <w:spacing w:line="400" w:lineRule="exact"/>
        <w:ind w:firstLine="240" w:firstLineChars="10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承包人（加盖单位公章）：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企业法人代表或其委托代理人签字（盖章）：</w:t>
      </w:r>
    </w:p>
    <w:p>
      <w:pPr>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ind w:firstLine="480" w:firstLineChars="200"/>
        <w:rPr>
          <w:rFonts w:hint="eastAsia" w:ascii="仿宋" w:hAnsi="仿宋" w:eastAsia="仿宋" w:cs="仿宋"/>
          <w:color w:val="auto"/>
          <w:highlight w:val="none"/>
        </w:rPr>
      </w:pPr>
    </w:p>
    <w:bookmarkEnd w:id="126"/>
    <w:bookmarkEnd w:id="127"/>
    <w:bookmarkEnd w:id="139"/>
    <w:bookmarkEnd w:id="140"/>
    <w:bookmarkEnd w:id="141"/>
    <w:p>
      <w:pPr>
        <w:pStyle w:val="3"/>
        <w:spacing w:before="0" w:line="276" w:lineRule="auto"/>
        <w:jc w:val="center"/>
        <w:rPr>
          <w:rFonts w:hint="eastAsia" w:ascii="仿宋" w:hAnsi="仿宋" w:eastAsia="仿宋" w:cs="仿宋"/>
          <w:b/>
          <w:bCs/>
          <w:color w:val="auto"/>
          <w:sz w:val="36"/>
          <w:szCs w:val="36"/>
          <w:highlight w:val="none"/>
        </w:rPr>
      </w:pPr>
      <w:bookmarkStart w:id="192" w:name="_Toc10291"/>
      <w:bookmarkStart w:id="193" w:name="_Toc12942"/>
      <w:bookmarkStart w:id="194" w:name="_Toc487204796"/>
      <w:bookmarkStart w:id="195" w:name="_Toc4359"/>
      <w:r>
        <w:rPr>
          <w:rFonts w:hint="eastAsia" w:ascii="仿宋" w:hAnsi="仿宋" w:eastAsia="仿宋" w:cs="仿宋"/>
          <w:b/>
          <w:bCs/>
          <w:color w:val="auto"/>
          <w:sz w:val="36"/>
          <w:szCs w:val="36"/>
          <w:highlight w:val="none"/>
        </w:rPr>
        <w:t>第六篇  响应文件格式要求</w:t>
      </w:r>
      <w:bookmarkEnd w:id="192"/>
      <w:bookmarkEnd w:id="193"/>
      <w:bookmarkEnd w:id="194"/>
      <w:bookmarkEnd w:id="195"/>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一、经济部分</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（一）报价函</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（二）明细报价表</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二、技术部分</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（一）技术应答</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（二）技术响应偏离表</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三、商务部分</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（一）服务要求响应情况：交货时间、交货地点、质量保证期、售后服务条款等。</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（一）商务响应偏离表</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（二）其它优惠承诺</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四、资格条件及其他</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（二）法定代表人身份证明书（格式）</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（三）法定代表人授权委托书（格式）</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（四）基本资格条件承诺函（格式）</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五、其他应提供的资料</w:t>
      </w:r>
    </w:p>
    <w:p>
      <w:pPr>
        <w:spacing w:line="360" w:lineRule="auto"/>
        <w:ind w:firstLine="480" w:firstLineChars="200"/>
        <w:rPr>
          <w:rFonts w:hint="eastAsia" w:ascii="仿宋" w:hAnsi="仿宋" w:eastAsia="仿宋" w:cs="仿宋"/>
          <w:color w:val="auto"/>
          <w:highlight w:val="none"/>
          <w:bdr w:val="single" w:color="auto" w:sz="4" w:space="0"/>
        </w:rPr>
        <w:sectPr>
          <w:headerReference r:id="rId13" w:type="default"/>
          <w:footerReference r:id="rId14"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cs="仿宋"/>
          <w:color w:val="auto"/>
          <w:highlight w:val="none"/>
        </w:rPr>
        <w:t>（一）其他与项目有关的资料（自附）</w:t>
      </w:r>
    </w:p>
    <w:p>
      <w:pPr>
        <w:pStyle w:val="2"/>
        <w:spacing w:before="0" w:after="0" w:line="360" w:lineRule="auto"/>
        <w:rPr>
          <w:rFonts w:hint="eastAsia" w:ascii="仿宋" w:hAnsi="仿宋" w:eastAsia="仿宋" w:cs="仿宋"/>
          <w:b/>
          <w:bCs/>
          <w:color w:val="auto"/>
          <w:sz w:val="24"/>
          <w:szCs w:val="24"/>
          <w:highlight w:val="none"/>
        </w:rPr>
      </w:pPr>
      <w:bookmarkStart w:id="196" w:name="_Toc14834"/>
      <w:bookmarkStart w:id="197" w:name="_Toc486585240"/>
      <w:bookmarkStart w:id="198" w:name="_Toc16173"/>
      <w:bookmarkStart w:id="199" w:name="_Toc486608277"/>
      <w:bookmarkStart w:id="200" w:name="_Toc14854"/>
      <w:bookmarkStart w:id="201" w:name="_Toc487204797"/>
      <w:r>
        <w:rPr>
          <w:rFonts w:hint="eastAsia" w:ascii="仿宋" w:hAnsi="仿宋" w:eastAsia="仿宋" w:cs="仿宋"/>
          <w:b/>
          <w:bCs/>
          <w:color w:val="auto"/>
          <w:sz w:val="24"/>
          <w:szCs w:val="24"/>
          <w:highlight w:val="none"/>
        </w:rPr>
        <w:t>一、经济部分</w:t>
      </w:r>
      <w:bookmarkEnd w:id="196"/>
      <w:bookmarkEnd w:id="197"/>
      <w:bookmarkEnd w:id="198"/>
      <w:bookmarkEnd w:id="199"/>
      <w:bookmarkEnd w:id="200"/>
      <w:bookmarkEnd w:id="201"/>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（一）报价函</w:t>
      </w:r>
    </w:p>
    <w:p>
      <w:pPr>
        <w:tabs>
          <w:tab w:val="left" w:pos="6300"/>
        </w:tabs>
        <w:snapToGrid w:val="0"/>
        <w:spacing w:line="360" w:lineRule="auto"/>
        <w:ind w:firstLine="48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报价函</w:t>
      </w:r>
    </w:p>
    <w:p>
      <w:pPr>
        <w:tabs>
          <w:tab w:val="left" w:pos="6300"/>
        </w:tabs>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我方收到____________________________（比选项目名称</w:t>
      </w:r>
      <w:r>
        <w:rPr>
          <w:rFonts w:hint="eastAsia" w:ascii="仿宋" w:hAnsi="仿宋" w:eastAsia="仿宋" w:cs="仿宋"/>
          <w:color w:val="auto"/>
          <w:highlight w:val="none"/>
          <w:lang w:val="en-US" w:eastAsia="zh-CN"/>
        </w:rPr>
        <w:t>及分包号</w:t>
      </w:r>
      <w:r>
        <w:rPr>
          <w:rFonts w:hint="eastAsia" w:ascii="仿宋" w:hAnsi="仿宋" w:eastAsia="仿宋" w:cs="仿宋"/>
          <w:color w:val="auto"/>
          <w:highlight w:val="none"/>
        </w:rPr>
        <w:t>）的比选通知书，经详细研究，决定参加该项目的比选。</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1.愿意按照比选通知书中的一切要求，提供本项目的交货及技术服务，报价为人民币大写：    ；人民币小写：元。</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2.我方现提交的响应文件为：响应文件正本份，副本份。</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3.我方承诺：本次比选的有效期为90天。</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4.我方完全理解和接受贵方比选通知书的一切规定和要求及比选评审办法。</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5.在整个比选过程中，我方若有违规行为，接受按照《中华人民共和国政府采购法》和《比选通知书》之规定给予惩罚。</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7.我方同意按比选通知书规定，交纳比选通知书要求的保证金。如果我方成为成交供应商，保证在接到成交通知书后，向采购代理机构交纳比选通知书规定的采购代理服务费。</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8.我方未为采购项目提供整体设计、规范编制或者项目管理、监理、检测等服务。</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地址：</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电话： 传真：</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网址： 邮编：</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联系人：</w:t>
      </w:r>
    </w:p>
    <w:p>
      <w:pPr>
        <w:snapToGrid w:val="0"/>
        <w:spacing w:line="360" w:lineRule="auto"/>
        <w:ind w:right="48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spacing w:line="380" w:lineRule="exact"/>
        <w:rPr>
          <w:rFonts w:hint="eastAsia" w:ascii="仿宋" w:hAnsi="仿宋" w:eastAsia="仿宋" w:cs="仿宋"/>
          <w:color w:val="auto"/>
          <w:highlight w:val="none"/>
        </w:rPr>
        <w:sectPr>
          <w:pgSz w:w="11907" w:h="16840"/>
          <w:pgMar w:top="1134" w:right="1191" w:bottom="1134" w:left="1304" w:header="454" w:footer="567" w:gutter="0"/>
          <w:pgNumType w:fmt="numberInDash"/>
          <w:cols w:space="720" w:num="1"/>
          <w:docGrid w:linePitch="326" w:charSpace="0"/>
        </w:sectPr>
      </w:pPr>
    </w:p>
    <w:p>
      <w:pPr>
        <w:tabs>
          <w:tab w:val="left" w:pos="2895"/>
        </w:tabs>
        <w:spacing w:line="3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（二）明细报价表</w:t>
      </w:r>
    </w:p>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明细报价表</w:t>
      </w:r>
    </w:p>
    <w:p>
      <w:pPr>
        <w:snapToGrid w:val="0"/>
        <w:spacing w:line="38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注：供应商</w:t>
      </w:r>
      <w:r>
        <w:rPr>
          <w:rFonts w:hint="eastAsia" w:ascii="仿宋" w:hAnsi="仿宋" w:eastAsia="仿宋" w:cs="仿宋"/>
          <w:color w:val="auto"/>
          <w:highlight w:val="none"/>
          <w:lang w:val="en-US" w:eastAsia="zh-CN"/>
        </w:rPr>
        <w:t>根据已发布的工程量清单进行填报。</w:t>
      </w:r>
    </w:p>
    <w:p>
      <w:pPr>
        <w:snapToGrid w:val="0"/>
        <w:spacing w:line="380" w:lineRule="exact"/>
        <w:rPr>
          <w:rFonts w:hint="eastAsia" w:ascii="仿宋" w:hAnsi="仿宋" w:eastAsia="仿宋" w:cs="仿宋"/>
          <w:color w:val="auto"/>
          <w:highlight w:val="none"/>
        </w:rPr>
      </w:pPr>
    </w:p>
    <w:p>
      <w:pPr>
        <w:pStyle w:val="23"/>
        <w:spacing w:line="380" w:lineRule="exact"/>
        <w:rPr>
          <w:rFonts w:hint="eastAsia" w:ascii="仿宋" w:hAnsi="仿宋" w:eastAsia="仿宋" w:cs="仿宋"/>
          <w:color w:val="auto"/>
          <w:highlight w:val="none"/>
        </w:rPr>
      </w:pP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供应商名称（公章）：</w:t>
      </w:r>
    </w:p>
    <w:p>
      <w:pPr>
        <w:spacing w:line="380" w:lineRule="exact"/>
        <w:ind w:right="480" w:firstLine="6480" w:firstLineChars="2700"/>
        <w:rPr>
          <w:rFonts w:hint="eastAsia" w:ascii="仿宋" w:hAnsi="仿宋" w:eastAsia="仿宋" w:cs="仿宋"/>
          <w:color w:val="auto"/>
          <w:highlight w:val="none"/>
        </w:rPr>
      </w:pPr>
      <w:r>
        <w:rPr>
          <w:rFonts w:hint="eastAsia" w:ascii="仿宋" w:hAnsi="仿宋" w:eastAsia="仿宋" w:cs="仿宋"/>
          <w:color w:val="auto"/>
          <w:highlight w:val="none"/>
        </w:rPr>
        <w:t>年    月    日</w:t>
      </w:r>
    </w:p>
    <w:p>
      <w:pPr>
        <w:spacing w:line="380" w:lineRule="exact"/>
        <w:rPr>
          <w:rFonts w:hint="eastAsia" w:ascii="仿宋" w:hAnsi="仿宋" w:eastAsia="仿宋" w:cs="仿宋"/>
          <w:color w:val="auto"/>
          <w:highlight w:val="none"/>
          <w:bdr w:val="single" w:color="auto" w:sz="4" w:space="0"/>
        </w:rPr>
        <w:sectPr>
          <w:pgSz w:w="11907" w:h="16840"/>
          <w:pgMar w:top="1134" w:right="1191" w:bottom="1134" w:left="1304" w:header="850" w:footer="992" w:gutter="0"/>
          <w:pgNumType w:fmt="numberInDash"/>
          <w:cols w:space="720" w:num="1"/>
          <w:docGrid w:linePitch="326" w:charSpace="0"/>
        </w:sectPr>
      </w:pPr>
    </w:p>
    <w:p>
      <w:pPr>
        <w:pStyle w:val="2"/>
        <w:spacing w:before="0" w:after="0" w:line="360" w:lineRule="auto"/>
        <w:rPr>
          <w:rFonts w:hint="eastAsia" w:ascii="仿宋" w:hAnsi="仿宋" w:eastAsia="仿宋" w:cs="仿宋"/>
          <w:b/>
          <w:bCs/>
          <w:color w:val="auto"/>
          <w:sz w:val="24"/>
          <w:szCs w:val="24"/>
          <w:highlight w:val="none"/>
        </w:rPr>
      </w:pPr>
      <w:bookmarkStart w:id="202" w:name="_Toc16730"/>
      <w:bookmarkStart w:id="203" w:name="_Toc486608278"/>
      <w:bookmarkStart w:id="204" w:name="_Toc487204798"/>
      <w:bookmarkStart w:id="205" w:name="_Toc486585241"/>
      <w:bookmarkStart w:id="206" w:name="_Toc3192"/>
      <w:bookmarkStart w:id="207" w:name="_Toc10380"/>
      <w:r>
        <w:rPr>
          <w:rFonts w:hint="eastAsia" w:ascii="仿宋" w:hAnsi="仿宋" w:eastAsia="仿宋" w:cs="仿宋"/>
          <w:b/>
          <w:bCs/>
          <w:color w:val="auto"/>
          <w:sz w:val="24"/>
          <w:szCs w:val="24"/>
          <w:highlight w:val="none"/>
        </w:rPr>
        <w:t>二、技术部分</w:t>
      </w:r>
      <w:bookmarkEnd w:id="202"/>
      <w:bookmarkEnd w:id="203"/>
      <w:bookmarkEnd w:id="204"/>
      <w:bookmarkEnd w:id="205"/>
      <w:bookmarkEnd w:id="206"/>
      <w:bookmarkEnd w:id="207"/>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（一）技术应答（格式自拟）</w:t>
      </w: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（二）技术响应偏离表</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tbl>
      <w:tblPr>
        <w:tblStyle w:val="35"/>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658" w:type="dxa"/>
            <w:vAlign w:val="center"/>
          </w:tcPr>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采购需求</w:t>
            </w:r>
          </w:p>
        </w:tc>
        <w:tc>
          <w:tcPr>
            <w:tcW w:w="2759" w:type="dxa"/>
            <w:vAlign w:val="center"/>
          </w:tcPr>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响应情况</w:t>
            </w:r>
          </w:p>
        </w:tc>
        <w:tc>
          <w:tcPr>
            <w:tcW w:w="2067" w:type="dxa"/>
            <w:vAlign w:val="center"/>
          </w:tcPr>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pPr>
        <w:spacing w:line="50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line="500" w:lineRule="exact"/>
        <w:rPr>
          <w:rFonts w:hint="eastAsia" w:ascii="仿宋" w:hAnsi="仿宋" w:eastAsia="仿宋" w:cs="仿宋"/>
          <w:color w:val="auto"/>
          <w:highlight w:val="none"/>
        </w:rPr>
      </w:pPr>
    </w:p>
    <w:p>
      <w:pPr>
        <w:spacing w:line="5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1.本表即为对本项目“第三篇  技术需求”中所列技术要求进行比较和响应；</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2.该表必须按照比选文件要求逐条如实填写，根据响应情况在“差异说明”项填写正偏离或负偏离及原因，完全符合的填写“无差异”；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4.可附相关技术支撑材料。（格式自定）</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5.若“响应情况”栏中仅填写“无偏离”或“有偏离”等内容而未作实质性参数描述，该供应商将失去成为成交供应商的资格，仅保留其合格供应商的身份。</w:t>
      </w:r>
    </w:p>
    <w:p>
      <w:pPr>
        <w:pStyle w:val="2"/>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bookmarkStart w:id="208" w:name="_Toc17029"/>
      <w:bookmarkStart w:id="209" w:name="_Toc486585242"/>
      <w:bookmarkStart w:id="210" w:name="_Toc487204799"/>
      <w:bookmarkStart w:id="211" w:name="_Toc9379"/>
      <w:bookmarkStart w:id="212" w:name="_Toc486608279"/>
      <w:bookmarkStart w:id="213" w:name="_Toc8044"/>
      <w:r>
        <w:rPr>
          <w:rFonts w:hint="eastAsia" w:ascii="仿宋" w:hAnsi="仿宋" w:eastAsia="仿宋" w:cs="仿宋"/>
          <w:b/>
          <w:bCs/>
          <w:color w:val="auto"/>
          <w:sz w:val="24"/>
          <w:szCs w:val="24"/>
          <w:highlight w:val="none"/>
        </w:rPr>
        <w:t>三、商务部分</w:t>
      </w:r>
      <w:bookmarkEnd w:id="208"/>
      <w:bookmarkEnd w:id="209"/>
      <w:bookmarkEnd w:id="210"/>
      <w:bookmarkEnd w:id="211"/>
      <w:bookmarkEnd w:id="212"/>
      <w:bookmarkEnd w:id="213"/>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（一）按照商务要求进行响应，包括：服务时间、服务地点、付款方式等。</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（二）商务响应偏离表</w:t>
      </w:r>
    </w:p>
    <w:p>
      <w:pPr>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商务响应偏离表</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tbl>
      <w:tblPr>
        <w:tblStyle w:val="3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10"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79"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比选项目需求</w:t>
            </w:r>
          </w:p>
        </w:tc>
        <w:tc>
          <w:tcPr>
            <w:tcW w:w="2434"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响应情况</w:t>
            </w:r>
          </w:p>
        </w:tc>
        <w:tc>
          <w:tcPr>
            <w:tcW w:w="2355"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bl>
    <w:p>
      <w:pPr>
        <w:spacing w:line="50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line="50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1.本表即为对本项目“第四篇 商务要求”中所列服务要求进行比较和响应；</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2.该表必须按照比选要求逐条如实填写，根据响应情况在“差异说明”项填写正偏离或负偏离及原因，完全符合的填写“无差异”；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4.若“响应情况”栏中仅填写“无偏离”或“有偏离”等内容而未作实质性参数描述，该供应商将失去成为成交供应商的资格，仅保留其合格供应商的身份。</w:t>
      </w:r>
    </w:p>
    <w:p>
      <w:pPr>
        <w:spacing w:line="3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（三）其它优惠承诺（格式自定）</w:t>
      </w:r>
    </w:p>
    <w:p>
      <w:pPr>
        <w:pStyle w:val="2"/>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bookmarkStart w:id="214" w:name="_Toc487204800"/>
      <w:bookmarkStart w:id="215" w:name="_Toc10289"/>
      <w:bookmarkStart w:id="216" w:name="_Toc486585243"/>
      <w:bookmarkStart w:id="217" w:name="_Toc23557"/>
      <w:bookmarkStart w:id="218" w:name="_Toc486608280"/>
      <w:bookmarkStart w:id="219" w:name="_Toc20042"/>
      <w:bookmarkStart w:id="220" w:name="_Toc8290"/>
      <w:r>
        <w:rPr>
          <w:rFonts w:hint="eastAsia" w:ascii="仿宋" w:hAnsi="仿宋" w:eastAsia="仿宋" w:cs="仿宋"/>
          <w:b/>
          <w:bCs/>
          <w:color w:val="auto"/>
          <w:sz w:val="24"/>
          <w:szCs w:val="24"/>
          <w:highlight w:val="none"/>
        </w:rPr>
        <w:t>四、资格条件及其他</w:t>
      </w:r>
      <w:bookmarkEnd w:id="214"/>
      <w:bookmarkEnd w:id="215"/>
      <w:bookmarkEnd w:id="216"/>
      <w:bookmarkEnd w:id="217"/>
      <w:bookmarkEnd w:id="218"/>
      <w:bookmarkEnd w:id="219"/>
      <w:bookmarkEnd w:id="220"/>
    </w:p>
    <w:p>
      <w:pPr>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（二）法定代表人身份证明书（格式）</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u w:val="single"/>
        </w:rPr>
        <w:t>（法定代表人姓名）</w:t>
      </w:r>
      <w:r>
        <w:rPr>
          <w:rFonts w:hint="eastAsia" w:ascii="仿宋" w:hAnsi="仿宋" w:eastAsia="仿宋" w:cs="仿宋"/>
          <w:color w:val="auto"/>
          <w:highlight w:val="none"/>
        </w:rPr>
        <w:t>在</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任</w:t>
      </w:r>
      <w:r>
        <w:rPr>
          <w:rFonts w:hint="eastAsia" w:ascii="仿宋" w:hAnsi="仿宋" w:eastAsia="仿宋" w:cs="仿宋"/>
          <w:color w:val="auto"/>
          <w:highlight w:val="none"/>
          <w:u w:val="single"/>
        </w:rPr>
        <w:t>（职务名称）</w:t>
      </w:r>
      <w:r>
        <w:rPr>
          <w:rFonts w:hint="eastAsia" w:ascii="仿宋" w:hAnsi="仿宋" w:eastAsia="仿宋" w:cs="仿宋"/>
          <w:color w:val="auto"/>
          <w:highlight w:val="none"/>
        </w:rPr>
        <w:t>职务，是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特此证明。</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br w:type="column"/>
      </w:r>
      <w:r>
        <w:rPr>
          <w:rFonts w:hint="eastAsia" w:ascii="仿宋" w:hAnsi="仿宋" w:eastAsia="仿宋" w:cs="仿宋"/>
          <w:color w:val="auto"/>
          <w:highlight w:val="none"/>
        </w:rPr>
        <w:t>（三）法定代表人授权委托书（格式）</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（供应商法定代表人名称）</w:t>
      </w:r>
      <w:r>
        <w:rPr>
          <w:rFonts w:hint="eastAsia" w:ascii="仿宋" w:hAnsi="仿宋" w:eastAsia="仿宋" w:cs="仿宋"/>
          <w:color w:val="auto"/>
          <w:highlight w:val="none"/>
        </w:rPr>
        <w:t>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的法定代表人，特授权</w:t>
      </w:r>
      <w:r>
        <w:rPr>
          <w:rFonts w:hint="eastAsia" w:ascii="仿宋" w:hAnsi="仿宋" w:eastAsia="仿宋" w:cs="仿宋"/>
          <w:color w:val="auto"/>
          <w:highlight w:val="none"/>
          <w:u w:val="single"/>
        </w:rPr>
        <w:t>（被授权人姓名及身份证代码）</w:t>
      </w:r>
      <w:r>
        <w:rPr>
          <w:rFonts w:hint="eastAsia" w:ascii="仿宋" w:hAnsi="仿宋" w:eastAsia="仿宋" w:cs="仿宋"/>
          <w:color w:val="auto"/>
          <w:highlight w:val="none"/>
        </w:rPr>
        <w:t>代表我单位全权办理上述项目的比选、签约等具体工作，并签署全部有关文件、协议及合同。</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我单位对被授权人的签字负全部责任。</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被授权人：                                   供应商法定代表人：</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（签字或盖章）                              （签字或盖章）</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（附：被授权人身份证正反面复印件）</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right="480" w:firstLine="570"/>
        <w:jc w:val="right"/>
        <w:rPr>
          <w:rFonts w:hint="eastAsia"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line="360" w:lineRule="auto"/>
        <w:ind w:right="480" w:firstLine="570"/>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（四）基本资格条件承诺函</w:t>
      </w:r>
    </w:p>
    <w:p>
      <w:pPr>
        <w:tabs>
          <w:tab w:val="left" w:pos="6300"/>
        </w:tabs>
        <w:snapToGrid w:val="0"/>
        <w:spacing w:line="500" w:lineRule="exact"/>
        <w:rPr>
          <w:rFonts w:hint="eastAsia" w:ascii="仿宋" w:hAnsi="仿宋" w:eastAsia="仿宋" w:cs="仿宋"/>
          <w:color w:val="auto"/>
          <w:highlight w:val="none"/>
        </w:rPr>
      </w:pPr>
    </w:p>
    <w:p>
      <w:pPr>
        <w:tabs>
          <w:tab w:val="left" w:pos="6300"/>
        </w:tabs>
        <w:snapToGrid w:val="0"/>
        <w:spacing w:line="500" w:lineRule="exact"/>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基本资格条件承诺函</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致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（采购代理机构名称）：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（投标人名称）郑重承诺：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pPr>
        <w:pStyle w:val="12"/>
        <w:rPr>
          <w:rFonts w:hint="eastAsia" w:ascii="仿宋" w:hAnsi="仿宋" w:eastAsia="仿宋" w:cs="仿宋"/>
          <w:color w:val="auto"/>
          <w:highlight w:val="none"/>
        </w:rPr>
      </w:pP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（投标人公章）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b/>
          <w:bCs/>
          <w:color w:val="auto"/>
          <w:sz w:val="24"/>
          <w:szCs w:val="24"/>
          <w:highlight w:val="none"/>
        </w:rPr>
      </w:pPr>
      <w:bookmarkStart w:id="221" w:name="_Toc11824"/>
      <w:bookmarkStart w:id="222" w:name="_Toc486608281"/>
      <w:bookmarkStart w:id="223" w:name="_Toc486585244"/>
      <w:bookmarkStart w:id="224" w:name="_Toc29032"/>
      <w:bookmarkStart w:id="225" w:name="_Toc25958"/>
      <w:bookmarkStart w:id="226" w:name="_Toc25601"/>
      <w:bookmarkStart w:id="227" w:name="_Toc487204801"/>
      <w:r>
        <w:rPr>
          <w:rFonts w:hint="eastAsia" w:ascii="仿宋" w:hAnsi="仿宋" w:eastAsia="仿宋" w:cs="仿宋"/>
          <w:b/>
          <w:bCs/>
          <w:color w:val="auto"/>
          <w:sz w:val="24"/>
          <w:szCs w:val="24"/>
          <w:highlight w:val="none"/>
        </w:rPr>
        <w:t>五、其他应提供的资料</w:t>
      </w:r>
      <w:bookmarkEnd w:id="221"/>
      <w:bookmarkEnd w:id="222"/>
      <w:bookmarkEnd w:id="223"/>
      <w:bookmarkEnd w:id="224"/>
      <w:bookmarkEnd w:id="225"/>
      <w:bookmarkEnd w:id="226"/>
      <w:bookmarkEnd w:id="227"/>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（一）其他与项目有关的资料（如有）</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其他与项目有关的资料（自附）：供应商总体情况介绍、其他与本项目有关的资料等。</w:t>
      </w:r>
    </w:p>
    <w:p>
      <w:pPr>
        <w:spacing w:line="380" w:lineRule="exact"/>
        <w:rPr>
          <w:rFonts w:hint="eastAsia" w:ascii="仿宋" w:hAnsi="仿宋" w:eastAsia="仿宋" w:cs="仿宋"/>
          <w:color w:val="auto"/>
          <w:highlight w:val="none"/>
        </w:rPr>
      </w:pPr>
    </w:p>
    <w:p>
      <w:pPr>
        <w:spacing w:line="380" w:lineRule="exact"/>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rPr>
          <w:rFonts w:hint="eastAsia" w:ascii="仿宋" w:hAnsi="仿宋" w:eastAsia="仿宋" w:cs="仿宋"/>
          <w:color w:val="auto"/>
          <w:highlight w:val="none"/>
          <w:lang w:val="zh-CN"/>
        </w:rPr>
      </w:pPr>
    </w:p>
    <w:p>
      <w:pPr>
        <w:pStyle w:val="99"/>
        <w:jc w:val="both"/>
        <w:rPr>
          <w:rFonts w:hint="eastAsia" w:ascii="仿宋" w:hAnsi="仿宋" w:eastAsia="仿宋" w:cs="仿宋"/>
          <w:color w:val="auto"/>
          <w:sz w:val="36"/>
          <w:szCs w:val="36"/>
          <w:highlight w:val="none"/>
        </w:rPr>
      </w:pPr>
      <w:bookmarkStart w:id="228" w:name="_Toc841"/>
      <w:bookmarkStart w:id="229" w:name="_Toc23244"/>
      <w:bookmarkStart w:id="230" w:name="_Toc3096"/>
      <w:bookmarkStart w:id="231" w:name="_Toc2092"/>
      <w:r>
        <w:rPr>
          <w:rFonts w:hint="eastAsia" w:ascii="仿宋" w:hAnsi="仿宋" w:eastAsia="仿宋" w:cs="仿宋"/>
          <w:color w:val="auto"/>
          <w:sz w:val="36"/>
          <w:szCs w:val="36"/>
          <w:highlight w:val="none"/>
        </w:rPr>
        <w:t>附件1：</w:t>
      </w:r>
      <w:bookmarkEnd w:id="228"/>
      <w:bookmarkEnd w:id="229"/>
      <w:bookmarkEnd w:id="230"/>
      <w:bookmarkEnd w:id="231"/>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采购文件发售登记表</w:t>
      </w:r>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坤博工程咨询（重庆）有限公司</w:t>
      </w:r>
      <w:r>
        <w:rPr>
          <w:rFonts w:hint="eastAsia" w:ascii="仿宋" w:hAnsi="仿宋" w:eastAsia="仿宋" w:cs="仿宋"/>
          <w:b/>
          <w:bCs/>
          <w:color w:val="auto"/>
          <w:szCs w:val="21"/>
          <w:highlight w:val="none"/>
        </w:rPr>
        <w:t>）</w:t>
      </w:r>
    </w:p>
    <w:p>
      <w:pPr>
        <w:rPr>
          <w:rFonts w:hint="eastAsia" w:ascii="仿宋" w:hAnsi="仿宋" w:eastAsia="仿宋" w:cs="仿宋"/>
          <w:b/>
          <w:bCs/>
          <w:color w:val="auto"/>
          <w:spacing w:val="40"/>
          <w:highlight w:val="none"/>
        </w:rPr>
      </w:pPr>
    </w:p>
    <w:tbl>
      <w:tblPr>
        <w:tblStyle w:val="35"/>
        <w:tblW w:w="917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项目号</w:t>
            </w:r>
          </w:p>
        </w:tc>
        <w:tc>
          <w:tcPr>
            <w:tcW w:w="7226" w:type="dxa"/>
            <w:gridSpan w:val="3"/>
            <w:vAlign w:val="center"/>
          </w:tcPr>
          <w:p>
            <w:pPr>
              <w:spacing w:line="360" w:lineRule="exact"/>
              <w:jc w:val="center"/>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226" w:type="dxa"/>
            <w:gridSpan w:val="3"/>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南川区司法局鸣玉司法所维修项目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7226" w:type="dxa"/>
            <w:gridSpan w:val="3"/>
            <w:vAlign w:val="bottom"/>
          </w:tcPr>
          <w:p>
            <w:pPr>
              <w:spacing w:line="36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2573" w:type="dxa"/>
            <w:vAlign w:val="center"/>
          </w:tcPr>
          <w:p>
            <w:pPr>
              <w:spacing w:line="360" w:lineRule="exact"/>
              <w:rPr>
                <w:rFonts w:hint="eastAsia" w:ascii="仿宋" w:hAnsi="仿宋" w:eastAsia="仿宋" w:cs="仿宋"/>
                <w:color w:val="auto"/>
                <w:highlight w:val="none"/>
              </w:rPr>
            </w:pPr>
          </w:p>
        </w:tc>
        <w:tc>
          <w:tcPr>
            <w:tcW w:w="1084"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手机</w:t>
            </w:r>
          </w:p>
        </w:tc>
        <w:tc>
          <w:tcPr>
            <w:tcW w:w="3569" w:type="dxa"/>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办公电话</w:t>
            </w:r>
          </w:p>
        </w:tc>
        <w:tc>
          <w:tcPr>
            <w:tcW w:w="2573" w:type="dxa"/>
            <w:vAlign w:val="center"/>
          </w:tcPr>
          <w:p>
            <w:pPr>
              <w:spacing w:line="360" w:lineRule="exact"/>
              <w:rPr>
                <w:rFonts w:hint="eastAsia" w:ascii="仿宋" w:hAnsi="仿宋" w:eastAsia="仿宋" w:cs="仿宋"/>
                <w:color w:val="auto"/>
                <w:highlight w:val="none"/>
              </w:rPr>
            </w:pPr>
          </w:p>
        </w:tc>
        <w:tc>
          <w:tcPr>
            <w:tcW w:w="1084"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传真</w:t>
            </w:r>
          </w:p>
        </w:tc>
        <w:tc>
          <w:tcPr>
            <w:tcW w:w="3569" w:type="dxa"/>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E-mail</w:t>
            </w:r>
          </w:p>
        </w:tc>
        <w:tc>
          <w:tcPr>
            <w:tcW w:w="7226" w:type="dxa"/>
            <w:gridSpan w:val="3"/>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单位地址</w:t>
            </w:r>
          </w:p>
        </w:tc>
        <w:tc>
          <w:tcPr>
            <w:tcW w:w="7226" w:type="dxa"/>
            <w:gridSpan w:val="3"/>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jc w:val="center"/>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招标文件售价：人民币300元/份</w:t>
            </w:r>
          </w:p>
        </w:tc>
      </w:tr>
    </w:tbl>
    <w:p>
      <w:pPr>
        <w:rPr>
          <w:rFonts w:hint="eastAsia" w:ascii="仿宋" w:hAnsi="仿宋" w:eastAsia="仿宋" w:cs="仿宋"/>
          <w:color w:val="auto"/>
          <w:highlight w:val="none"/>
        </w:rPr>
      </w:pPr>
      <w:r>
        <w:rPr>
          <w:rFonts w:hint="eastAsia" w:ascii="仿宋" w:hAnsi="仿宋" w:eastAsia="仿宋" w:cs="仿宋"/>
          <w:color w:val="auto"/>
          <w:highlight w:val="none"/>
        </w:rPr>
        <w:t xml:space="preserve">   发售人：                财务：                    日期：</w:t>
      </w: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说明：</w:t>
      </w:r>
    </w:p>
    <w:p>
      <w:pPr>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1.现金购买招标文件的投标人，在招标文件发售期内到</w:t>
      </w:r>
      <w:r>
        <w:rPr>
          <w:rFonts w:hint="eastAsia" w:ascii="仿宋" w:hAnsi="仿宋" w:eastAsia="仿宋" w:cs="仿宋"/>
          <w:color w:val="auto"/>
          <w:highlight w:val="none"/>
          <w:lang w:val="en-US" w:eastAsia="zh-CN"/>
        </w:rPr>
        <w:t>代理机构处</w:t>
      </w:r>
      <w:r>
        <w:rPr>
          <w:rFonts w:hint="eastAsia" w:ascii="仿宋" w:hAnsi="仿宋" w:eastAsia="仿宋" w:cs="仿宋"/>
          <w:color w:val="auto"/>
          <w:highlight w:val="none"/>
        </w:rPr>
        <w:t>递交发售登记表（加盖投标人公章），由发售人签字后购买招标文件，联系人：</w:t>
      </w:r>
      <w:r>
        <w:rPr>
          <w:rFonts w:hint="eastAsia" w:ascii="仿宋" w:hAnsi="仿宋" w:eastAsia="仿宋" w:cs="仿宋"/>
          <w:color w:val="auto"/>
          <w:highlight w:val="none"/>
          <w:lang w:val="en-US" w:eastAsia="zh-CN"/>
        </w:rPr>
        <w:t>张</w:t>
      </w:r>
      <w:r>
        <w:rPr>
          <w:rFonts w:hint="eastAsia" w:ascii="仿宋" w:hAnsi="仿宋" w:eastAsia="仿宋" w:cs="仿宋"/>
          <w:color w:val="auto"/>
          <w:highlight w:val="none"/>
        </w:rPr>
        <w:t>先生</w:t>
      </w:r>
      <w:r>
        <w:rPr>
          <w:rFonts w:hint="eastAsia" w:ascii="仿宋" w:hAnsi="仿宋" w:eastAsia="仿宋" w:cs="仿宋"/>
          <w:color w:val="auto"/>
          <w:highlight w:val="none"/>
          <w:lang w:val="en-US" w:eastAsia="zh-CN"/>
        </w:rPr>
        <w:t xml:space="preserve"> 15123690194</w:t>
      </w:r>
    </w:p>
    <w:p>
      <w:pPr>
        <w:pStyle w:val="12"/>
        <w:rPr>
          <w:rFonts w:hint="eastAsia" w:ascii="仿宋" w:hAnsi="仿宋" w:eastAsia="仿宋" w:cs="仿宋"/>
          <w:color w:val="auto"/>
          <w:highlight w:val="none"/>
        </w:rPr>
      </w:pPr>
    </w:p>
    <w:p>
      <w:pPr>
        <w:spacing w:line="360" w:lineRule="auto"/>
        <w:ind w:firstLine="482" w:firstLineChars="200"/>
        <w:rPr>
          <w:rFonts w:hint="eastAsia" w:ascii="仿宋" w:hAnsi="仿宋" w:eastAsia="仿宋" w:cs="仿宋"/>
          <w:b/>
          <w:bCs/>
          <w:color w:val="auto"/>
          <w:highlight w:val="none"/>
        </w:rPr>
      </w:pPr>
    </w:p>
    <w:p>
      <w:pPr>
        <w:pStyle w:val="99"/>
        <w:jc w:val="both"/>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sectPr>
      <w:headerReference r:id="rId15" w:type="default"/>
      <w:footerReference r:id="rId16"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311CBD-3E53-414C-AC63-E7440524EAB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2" w:fontKey="{480F67AD-E73C-4959-B6F7-6B68C2CC14AF}"/>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0" w:usb1="00000000" w:usb2="00000000" w:usb3="00000000" w:csb0="00000000" w:csb1="00000000"/>
    <w:embedRegular r:id="rId3" w:fontKey="{0AE06F7C-7100-4FFB-A59B-9BA2C563442E}"/>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5573600-6DF2-40BE-AFD9-95652F11846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5793030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pFLs0AAAAAMBAAAPAAAAAAAAAAEAIAAAACIA&#10;AABkcnMvZG93bnJldi54bWxQSwECFAAUAAAACACHTuJALCKZGdgBAACMAwAADgAAAAAAAAABACAA&#10;AAAfAQAAZHJzL2Uyb0RvYy54bWxQSwUGAAAAAAYABgBZAQAAaQUAAAAA&#10;">
              <v:fill on="f" focussize="0,0"/>
              <v:stroke on="f"/>
              <v:imagedata o:title=""/>
              <o:lock v:ext="edit" text="t" aspectratio="t"/>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9778198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exSODQAAAAAwEAAA8AAAAAAAAAAQAgAAAA&#10;IgAAAGRycy9kb3ducmV2LnhtbFBLAQIUABQAAAAIAIdO4kBbWFd82gEAAIwDAAAOAAAAAAAAAAEA&#10;IAAAAB8BAABkcnMvZTJvRG9jLnhtbFBLBQYAAAAABgAGAFkBAABrBQAAAAA=&#10;">
              <v:fill on="f" focussize="0,0"/>
              <v:stroke on="f"/>
              <v:imagedata o:title=""/>
              <o:lock v:ext="edit" text="t" aspectratio="t"/>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r>
      <w:rPr>
        <w:sz w:val="21"/>
        <w:szCs w:val="21"/>
      </w:rPr>
      <w:fldChar w:fldCharType="begin"/>
    </w:r>
    <w:r>
      <w:rPr>
        <w:rStyle w:val="39"/>
        <w:sz w:val="21"/>
        <w:szCs w:val="21"/>
      </w:rPr>
      <w:instrText xml:space="preserve"> PAGE </w:instrText>
    </w:r>
    <w:r>
      <w:rPr>
        <w:sz w:val="21"/>
        <w:szCs w:val="21"/>
      </w:rPr>
      <w:fldChar w:fldCharType="separate"/>
    </w:r>
    <w:r>
      <w:rPr>
        <w:rStyle w:val="39"/>
        <w:sz w:val="21"/>
        <w:szCs w:val="21"/>
      </w:rPr>
      <w:t>- 19 -</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separate"/>
    </w:r>
    <w:r>
      <w:rPr>
        <w:rStyle w:val="39"/>
      </w:rPr>
      <w:t>- 21 -</w:t>
    </w:r>
    <w:r>
      <w:fldChar w:fldCharType="end"/>
    </w:r>
  </w:p>
  <w:p>
    <w:pPr>
      <w:pStyle w:val="2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pPr>
                            <w:pStyle w:val="21"/>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sUjg0AAAAAMBAAAPAAAAAAAAAAEAIAAA&#10;ACIAAABkcnMvZG93bnJldi54bWxQSwECFAAUAAAACACHTuJA2BMD3dsBAACTAwAADgAAAAAAAAAB&#10;ACAAAAAfAQAAZHJzL2Uyb0RvYy54bWxQSwUGAAAAAAYABgBZAQAAb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pPr>
                            <w:pStyle w:val="21"/>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iJ8PxtIBAACEAwAADgAAAAAAAAABACAAAAAfAQAA&#10;ZHJzL2Uyb0RvYy54bWxQSwUGAAAAAAYABgBZAQAAYwUAAAAA&#10;">
              <v:fill on="f" focussize="0,0"/>
              <v:stroke on="f"/>
              <v:imagedata o:title=""/>
              <o:lock v:ext="edit" text="t" aspectratio="t"/>
              <v:textbox inset="0mm,0mm,0mm,0mm" style="mso-fit-shape-to-text:t;">
                <w:txbxContent>
                  <w:p>
                    <w:pPr>
                      <w:pStyle w:val="21"/>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ascii="仿宋" w:hAnsi="仿宋" w:eastAsia="仿宋"/>
        <w:lang w:val="en-US"/>
      </w:rPr>
      <w:drawing>
        <wp:inline distT="0" distB="0" distL="114300" distR="114300">
          <wp:extent cx="1339850" cy="406400"/>
          <wp:effectExtent l="0" t="0" r="12700" b="12700"/>
          <wp:docPr id="4"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50" w:firstLineChars="250"/>
      <w:jc w:val="right"/>
      <w:rPr>
        <w:rFonts w:ascii="方正仿宋_GBK" w:eastAsia="方正仿宋_GBK"/>
        <w:sz w:val="21"/>
        <w:szCs w:val="21"/>
      </w:rPr>
    </w:pPr>
    <w:r>
      <w:rPr>
        <w:rFonts w:hint="eastAsia" w:ascii="仿宋" w:hAnsi="仿宋" w:eastAsia="仿宋"/>
      </w:rPr>
      <w:t>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lang w:val="en-US"/>
      </w:rPr>
      <w:t xml:space="preserve">                                     </w:t>
    </w:r>
    <w:r>
      <w:rPr>
        <w:rFonts w:hint="eastAsia" w:ascii="仿宋" w:hAnsi="仿宋" w:eastAsia="仿宋"/>
      </w:rPr>
      <w:t xml:space="preserve">   </w:t>
    </w:r>
    <w:r>
      <w:rPr>
        <w:rFonts w:hint="eastAsia" w:ascii="仿宋" w:hAnsi="仿宋" w:eastAsia="仿宋"/>
        <w:lang w:val="en-US"/>
      </w:rPr>
      <w:t xml:space="preserve">                                </w:t>
    </w:r>
    <w:r>
      <w:rPr>
        <w:rFonts w:hint="eastAsia" w:ascii="仿宋" w:hAnsi="仿宋" w:eastAsia="仿宋"/>
      </w:rPr>
      <w:t>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1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BB"/>
    <w:rsid w:val="000433BB"/>
    <w:rsid w:val="001254CE"/>
    <w:rsid w:val="00316993"/>
    <w:rsid w:val="00463E68"/>
    <w:rsid w:val="004B3C46"/>
    <w:rsid w:val="00602008"/>
    <w:rsid w:val="006F20C1"/>
    <w:rsid w:val="007B78A3"/>
    <w:rsid w:val="00857A94"/>
    <w:rsid w:val="00875AC3"/>
    <w:rsid w:val="00977E98"/>
    <w:rsid w:val="009A291F"/>
    <w:rsid w:val="00BD081C"/>
    <w:rsid w:val="00C86BF6"/>
    <w:rsid w:val="00CA4F49"/>
    <w:rsid w:val="00E34F7C"/>
    <w:rsid w:val="00E351D9"/>
    <w:rsid w:val="00E5033F"/>
    <w:rsid w:val="00EF3827"/>
    <w:rsid w:val="00F26833"/>
    <w:rsid w:val="05C67E4B"/>
    <w:rsid w:val="0E977452"/>
    <w:rsid w:val="0E9E67CA"/>
    <w:rsid w:val="0F1F6FE6"/>
    <w:rsid w:val="11953C58"/>
    <w:rsid w:val="13DB06CF"/>
    <w:rsid w:val="16E74947"/>
    <w:rsid w:val="1B08148F"/>
    <w:rsid w:val="1B79520C"/>
    <w:rsid w:val="1BE6171F"/>
    <w:rsid w:val="1C095610"/>
    <w:rsid w:val="1CE23D4E"/>
    <w:rsid w:val="20926A53"/>
    <w:rsid w:val="23D627D2"/>
    <w:rsid w:val="28D24F2B"/>
    <w:rsid w:val="315E32AE"/>
    <w:rsid w:val="355C2713"/>
    <w:rsid w:val="365C4E64"/>
    <w:rsid w:val="36D83FF8"/>
    <w:rsid w:val="3D8F64C6"/>
    <w:rsid w:val="427E34F7"/>
    <w:rsid w:val="43AB7475"/>
    <w:rsid w:val="45F96C83"/>
    <w:rsid w:val="499A5E43"/>
    <w:rsid w:val="4B2642EF"/>
    <w:rsid w:val="4D890C94"/>
    <w:rsid w:val="4DB56A0B"/>
    <w:rsid w:val="4E1B5EF1"/>
    <w:rsid w:val="54F03E7A"/>
    <w:rsid w:val="564B4D97"/>
    <w:rsid w:val="577313AC"/>
    <w:rsid w:val="5B530396"/>
    <w:rsid w:val="658B31D8"/>
    <w:rsid w:val="6F7E0646"/>
    <w:rsid w:val="7EF0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42"/>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43"/>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2">
    <w:name w:val="heading 3"/>
    <w:basedOn w:val="1"/>
    <w:next w:val="1"/>
    <w:link w:val="44"/>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4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46"/>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4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5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next w:val="12"/>
    <w:qFormat/>
    <w:uiPriority w:val="99"/>
    <w:pPr>
      <w:adjustRightInd w:val="0"/>
      <w:snapToGrid w:val="0"/>
      <w:spacing w:line="360" w:lineRule="auto"/>
      <w:ind w:firstLine="420"/>
    </w:pPr>
    <w:rPr>
      <w:szCs w:val="20"/>
    </w:rPr>
  </w:style>
  <w:style w:type="paragraph" w:styleId="12">
    <w:name w:val="Body Text"/>
    <w:basedOn w:val="1"/>
    <w:next w:val="1"/>
    <w:link w:val="60"/>
    <w:unhideWhenUsed/>
    <w:qFormat/>
    <w:uiPriority w:val="99"/>
    <w:pPr>
      <w:spacing w:after="120"/>
    </w:pPr>
    <w:rPr>
      <w:rFonts w:ascii="Times New Roman" w:hAnsi="Times New Roman" w:cs="Times New Roman"/>
      <w:kern w:val="2"/>
      <w:sz w:val="28"/>
      <w:szCs w:val="28"/>
      <w:lang w:val="zh-CN"/>
    </w:rPr>
  </w:style>
  <w:style w:type="paragraph" w:styleId="13">
    <w:name w:val="Document Map"/>
    <w:basedOn w:val="1"/>
    <w:link w:val="61"/>
    <w:semiHidden/>
    <w:qFormat/>
    <w:uiPriority w:val="99"/>
    <w:pPr>
      <w:shd w:val="clear" w:color="auto" w:fill="000080"/>
    </w:pPr>
    <w:rPr>
      <w:rFonts w:ascii="Times New Roman" w:hAnsi="Times New Roman" w:cs="Times New Roman"/>
      <w:sz w:val="2"/>
      <w:szCs w:val="2"/>
      <w:lang w:val="zh-CN"/>
    </w:rPr>
  </w:style>
  <w:style w:type="paragraph" w:styleId="14">
    <w:name w:val="annotation text"/>
    <w:basedOn w:val="1"/>
    <w:link w:val="62"/>
    <w:unhideWhenUsed/>
    <w:qFormat/>
    <w:uiPriority w:val="99"/>
    <w:rPr>
      <w:rFonts w:ascii="Times New Roman" w:hAnsi="Times New Roman" w:cs="Times New Roman"/>
      <w:kern w:val="2"/>
      <w:sz w:val="28"/>
      <w:szCs w:val="28"/>
      <w:lang w:val="zh-CN"/>
    </w:rPr>
  </w:style>
  <w:style w:type="paragraph" w:styleId="15">
    <w:name w:val="Body Text Indent"/>
    <w:basedOn w:val="1"/>
    <w:link w:val="63"/>
    <w:qFormat/>
    <w:uiPriority w:val="99"/>
    <w:pPr>
      <w:spacing w:line="700" w:lineRule="exact"/>
      <w:ind w:left="960"/>
    </w:pPr>
    <w:rPr>
      <w:rFonts w:ascii="Times New Roman" w:hAnsi="Times New Roman" w:cs="Times New Roman"/>
      <w:sz w:val="20"/>
      <w:szCs w:val="20"/>
      <w:lang w:val="zh-CN"/>
    </w:rPr>
  </w:style>
  <w:style w:type="paragraph" w:styleId="16">
    <w:name w:val="toc 3"/>
    <w:basedOn w:val="1"/>
    <w:next w:val="1"/>
    <w:qFormat/>
    <w:uiPriority w:val="39"/>
    <w:pPr>
      <w:tabs>
        <w:tab w:val="right" w:leader="dot" w:pos="8303"/>
      </w:tabs>
      <w:spacing w:line="540" w:lineRule="exact"/>
      <w:ind w:left="1120" w:leftChars="400"/>
    </w:pPr>
  </w:style>
  <w:style w:type="paragraph" w:styleId="17">
    <w:name w:val="Plain Text"/>
    <w:basedOn w:val="1"/>
    <w:link w:val="64"/>
    <w:qFormat/>
    <w:uiPriority w:val="99"/>
    <w:rPr>
      <w:rFonts w:hAnsi="Courier New" w:cs="Times New Roman"/>
      <w:sz w:val="21"/>
      <w:szCs w:val="21"/>
      <w:lang w:val="zh-CN"/>
    </w:rPr>
  </w:style>
  <w:style w:type="paragraph" w:styleId="18">
    <w:name w:val="Date"/>
    <w:basedOn w:val="1"/>
    <w:next w:val="1"/>
    <w:link w:val="65"/>
    <w:qFormat/>
    <w:uiPriority w:val="99"/>
    <w:rPr>
      <w:rFonts w:ascii="Times New Roman" w:hAnsi="Times New Roman" w:cs="Times New Roman"/>
      <w:sz w:val="20"/>
      <w:szCs w:val="20"/>
      <w:lang w:val="zh-CN"/>
    </w:rPr>
  </w:style>
  <w:style w:type="paragraph" w:styleId="19">
    <w:name w:val="Body Text Indent 2"/>
    <w:basedOn w:val="1"/>
    <w:link w:val="66"/>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0">
    <w:name w:val="Balloon Text"/>
    <w:basedOn w:val="1"/>
    <w:link w:val="67"/>
    <w:semiHidden/>
    <w:qFormat/>
    <w:uiPriority w:val="99"/>
    <w:rPr>
      <w:rFonts w:ascii="Times New Roman" w:hAnsi="Times New Roman" w:cs="Times New Roman"/>
      <w:sz w:val="2"/>
      <w:szCs w:val="2"/>
      <w:lang w:val="zh-CN"/>
    </w:rPr>
  </w:style>
  <w:style w:type="paragraph" w:styleId="21">
    <w:name w:val="footer"/>
    <w:basedOn w:val="1"/>
    <w:link w:val="68"/>
    <w:qFormat/>
    <w:uiPriority w:val="99"/>
    <w:pPr>
      <w:tabs>
        <w:tab w:val="center" w:pos="4153"/>
        <w:tab w:val="right" w:pos="8306"/>
      </w:tabs>
      <w:snapToGrid w:val="0"/>
    </w:pPr>
    <w:rPr>
      <w:rFonts w:ascii="Times New Roman" w:hAnsi="Times New Roman" w:cs="Times New Roman"/>
      <w:sz w:val="18"/>
      <w:szCs w:val="18"/>
      <w:lang w:val="zh-CN"/>
    </w:rPr>
  </w:style>
  <w:style w:type="paragraph" w:styleId="22">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3">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24">
    <w:name w:val="Subtitle"/>
    <w:basedOn w:val="1"/>
    <w:next w:val="1"/>
    <w:link w:val="5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5">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26">
    <w:name w:val="Body Text 2"/>
    <w:basedOn w:val="1"/>
    <w:link w:val="70"/>
    <w:unhideWhenUsed/>
    <w:qFormat/>
    <w:uiPriority w:val="99"/>
    <w:pPr>
      <w:spacing w:after="120" w:line="480" w:lineRule="auto"/>
    </w:pPr>
    <w:rPr>
      <w:rFonts w:cs="Times New Roman"/>
      <w:lang w:val="zh-CN"/>
    </w:rPr>
  </w:style>
  <w:style w:type="paragraph" w:styleId="27">
    <w:name w:val="HTML Preformatted"/>
    <w:basedOn w:val="1"/>
    <w:next w:val="1"/>
    <w:link w:val="71"/>
    <w:qFormat/>
    <w:uiPriority w:val="0"/>
    <w:rPr>
      <w:rFonts w:ascii="黑体" w:eastAsia="黑体"/>
      <w:sz w:val="20"/>
    </w:rPr>
  </w:style>
  <w:style w:type="paragraph" w:styleId="28">
    <w:name w:val="Normal (Web)"/>
    <w:basedOn w:val="1"/>
    <w:qFormat/>
    <w:uiPriority w:val="99"/>
    <w:pPr>
      <w:spacing w:before="100" w:beforeAutospacing="1" w:after="100" w:afterAutospacing="1"/>
    </w:pPr>
    <w:rPr>
      <w:color w:val="000000"/>
    </w:rPr>
  </w:style>
  <w:style w:type="paragraph" w:styleId="29">
    <w:name w:val="Title"/>
    <w:basedOn w:val="1"/>
    <w:next w:val="1"/>
    <w:link w:val="5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0">
    <w:name w:val="annotation subject"/>
    <w:basedOn w:val="14"/>
    <w:next w:val="14"/>
    <w:link w:val="72"/>
    <w:unhideWhenUsed/>
    <w:qFormat/>
    <w:uiPriority w:val="99"/>
    <w:rPr>
      <w:b/>
      <w:bCs/>
    </w:rPr>
  </w:style>
  <w:style w:type="paragraph" w:styleId="31">
    <w:name w:val="Body Text First Indent"/>
    <w:basedOn w:val="12"/>
    <w:next w:val="32"/>
    <w:link w:val="73"/>
    <w:qFormat/>
    <w:uiPriority w:val="0"/>
    <w:pPr>
      <w:ind w:firstLine="420"/>
    </w:pPr>
  </w:style>
  <w:style w:type="paragraph" w:customStyle="1" w:styleId="32">
    <w:name w:val="正文缩进1"/>
    <w:basedOn w:val="1"/>
    <w:next w:val="33"/>
    <w:qFormat/>
    <w:uiPriority w:val="0"/>
    <w:pPr>
      <w:widowControl w:val="0"/>
      <w:spacing w:line="360" w:lineRule="auto"/>
      <w:ind w:firstLine="420"/>
      <w:jc w:val="both"/>
    </w:pPr>
    <w:rPr>
      <w:rFonts w:ascii="Times New Roman"/>
    </w:rPr>
  </w:style>
  <w:style w:type="paragraph" w:customStyle="1" w:styleId="33">
    <w:name w:val="目录 21"/>
    <w:basedOn w:val="1"/>
    <w:next w:val="1"/>
    <w:qFormat/>
    <w:uiPriority w:val="0"/>
    <w:pPr>
      <w:widowControl w:val="0"/>
      <w:spacing w:line="440" w:lineRule="exact"/>
      <w:ind w:left="280"/>
      <w:jc w:val="both"/>
    </w:pPr>
    <w:rPr>
      <w:rFonts w:ascii="Times New Roman"/>
      <w:sz w:val="28"/>
    </w:rPr>
  </w:style>
  <w:style w:type="paragraph" w:styleId="34">
    <w:name w:val="Body Text First Indent 2"/>
    <w:basedOn w:val="15"/>
    <w:qFormat/>
    <w:uiPriority w:val="0"/>
    <w:pPr>
      <w:spacing w:after="120" w:line="240" w:lineRule="auto"/>
      <w:ind w:left="420" w:leftChars="200" w:firstLine="420" w:firstLineChars="200"/>
    </w:pPr>
  </w:style>
  <w:style w:type="table" w:styleId="36">
    <w:name w:val="Table Grid"/>
    <w:basedOn w:val="35"/>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Strong"/>
    <w:qFormat/>
    <w:uiPriority w:val="22"/>
    <w:rPr>
      <w:b/>
    </w:rPr>
  </w:style>
  <w:style w:type="character" w:styleId="39">
    <w:name w:val="page number"/>
    <w:qFormat/>
    <w:uiPriority w:val="0"/>
    <w:rPr>
      <w:rFonts w:cs="Times New Roman"/>
    </w:rPr>
  </w:style>
  <w:style w:type="character" w:styleId="40">
    <w:name w:val="Hyperlink"/>
    <w:qFormat/>
    <w:uiPriority w:val="99"/>
    <w:rPr>
      <w:rFonts w:cs="Times New Roman"/>
      <w:color w:val="0000FF"/>
      <w:u w:val="single"/>
    </w:rPr>
  </w:style>
  <w:style w:type="character" w:styleId="41">
    <w:name w:val="annotation reference"/>
    <w:unhideWhenUsed/>
    <w:qFormat/>
    <w:uiPriority w:val="99"/>
    <w:rPr>
      <w:sz w:val="21"/>
      <w:szCs w:val="21"/>
    </w:rPr>
  </w:style>
  <w:style w:type="character" w:customStyle="1" w:styleId="42">
    <w:name w:val="标题 1 字符"/>
    <w:basedOn w:val="37"/>
    <w:link w:val="3"/>
    <w:qFormat/>
    <w:uiPriority w:val="99"/>
    <w:rPr>
      <w:rFonts w:asciiTheme="majorHAnsi" w:hAnsiTheme="majorHAnsi" w:eastAsiaTheme="majorEastAsia" w:cstheme="majorBidi"/>
      <w:color w:val="104862" w:themeColor="accent1" w:themeShade="BF"/>
      <w:sz w:val="48"/>
      <w:szCs w:val="48"/>
    </w:rPr>
  </w:style>
  <w:style w:type="character" w:customStyle="1" w:styleId="43">
    <w:name w:val="标题 2 字符"/>
    <w:basedOn w:val="37"/>
    <w:link w:val="4"/>
    <w:qFormat/>
    <w:uiPriority w:val="99"/>
    <w:rPr>
      <w:rFonts w:asciiTheme="majorHAnsi" w:hAnsiTheme="majorHAnsi" w:eastAsiaTheme="majorEastAsia" w:cstheme="majorBidi"/>
      <w:color w:val="104862" w:themeColor="accent1" w:themeShade="BF"/>
      <w:sz w:val="40"/>
      <w:szCs w:val="40"/>
    </w:rPr>
  </w:style>
  <w:style w:type="character" w:customStyle="1" w:styleId="44">
    <w:name w:val="标题 3 字符"/>
    <w:basedOn w:val="37"/>
    <w:link w:val="2"/>
    <w:qFormat/>
    <w:uiPriority w:val="0"/>
    <w:rPr>
      <w:rFonts w:asciiTheme="majorHAnsi" w:hAnsiTheme="majorHAnsi" w:eastAsiaTheme="majorEastAsia" w:cstheme="majorBidi"/>
      <w:color w:val="104862" w:themeColor="accent1" w:themeShade="BF"/>
      <w:sz w:val="32"/>
      <w:szCs w:val="32"/>
    </w:rPr>
  </w:style>
  <w:style w:type="character" w:customStyle="1" w:styleId="45">
    <w:name w:val="标题 4 字符"/>
    <w:basedOn w:val="37"/>
    <w:link w:val="5"/>
    <w:semiHidden/>
    <w:qFormat/>
    <w:uiPriority w:val="9"/>
    <w:rPr>
      <w:rFonts w:cstheme="majorBidi"/>
      <w:color w:val="104862" w:themeColor="accent1" w:themeShade="BF"/>
      <w:sz w:val="28"/>
      <w:szCs w:val="28"/>
    </w:rPr>
  </w:style>
  <w:style w:type="character" w:customStyle="1" w:styleId="46">
    <w:name w:val="标题 5 字符"/>
    <w:basedOn w:val="37"/>
    <w:link w:val="6"/>
    <w:semiHidden/>
    <w:qFormat/>
    <w:uiPriority w:val="9"/>
    <w:rPr>
      <w:rFonts w:cstheme="majorBidi"/>
      <w:color w:val="104862" w:themeColor="accent1" w:themeShade="BF"/>
      <w:sz w:val="24"/>
    </w:rPr>
  </w:style>
  <w:style w:type="character" w:customStyle="1" w:styleId="47">
    <w:name w:val="标题 6 字符"/>
    <w:basedOn w:val="37"/>
    <w:link w:val="7"/>
    <w:semiHidden/>
    <w:qFormat/>
    <w:uiPriority w:val="9"/>
    <w:rPr>
      <w:rFonts w:cstheme="majorBidi"/>
      <w:b/>
      <w:bCs/>
      <w:color w:val="104862" w:themeColor="accent1" w:themeShade="BF"/>
    </w:rPr>
  </w:style>
  <w:style w:type="character" w:customStyle="1" w:styleId="48">
    <w:name w:val="标题 7 字符"/>
    <w:basedOn w:val="3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9">
    <w:name w:val="标题 8 字符"/>
    <w:basedOn w:val="3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0">
    <w:name w:val="标题 9 字符"/>
    <w:basedOn w:val="3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1">
    <w:name w:val="标题 字符"/>
    <w:basedOn w:val="37"/>
    <w:link w:val="29"/>
    <w:qFormat/>
    <w:uiPriority w:val="10"/>
    <w:rPr>
      <w:rFonts w:asciiTheme="majorHAnsi" w:hAnsiTheme="majorHAnsi" w:eastAsiaTheme="majorEastAsia" w:cstheme="majorBidi"/>
      <w:spacing w:val="-10"/>
      <w:kern w:val="28"/>
      <w:sz w:val="56"/>
      <w:szCs w:val="56"/>
    </w:rPr>
  </w:style>
  <w:style w:type="character" w:customStyle="1" w:styleId="52">
    <w:name w:val="副标题 字符"/>
    <w:basedOn w:val="37"/>
    <w:link w:val="2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3">
    <w:name w:val="Quote"/>
    <w:basedOn w:val="1"/>
    <w:next w:val="1"/>
    <w:link w:val="5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引用 字符"/>
    <w:basedOn w:val="37"/>
    <w:link w:val="53"/>
    <w:qFormat/>
    <w:uiPriority w:val="29"/>
    <w:rPr>
      <w:i/>
      <w:iCs/>
      <w:color w:val="404040" w:themeColor="text1" w:themeTint="BF"/>
      <w14:textFill>
        <w14:solidFill>
          <w14:schemeClr w14:val="tx1">
            <w14:lumMod w14:val="75000"/>
            <w14:lumOff w14:val="25000"/>
          </w14:schemeClr>
        </w14:solidFill>
      </w14:textFill>
    </w:rPr>
  </w:style>
  <w:style w:type="paragraph" w:styleId="55">
    <w:name w:val="List Paragraph"/>
    <w:basedOn w:val="1"/>
    <w:qFormat/>
    <w:uiPriority w:val="99"/>
    <w:pPr>
      <w:ind w:left="720"/>
      <w:contextualSpacing/>
    </w:pPr>
  </w:style>
  <w:style w:type="character" w:customStyle="1" w:styleId="56">
    <w:name w:val="Intense Emphasis"/>
    <w:basedOn w:val="37"/>
    <w:qFormat/>
    <w:uiPriority w:val="21"/>
    <w:rPr>
      <w:i/>
      <w:iCs/>
      <w:color w:val="104862" w:themeColor="accent1" w:themeShade="BF"/>
    </w:rPr>
  </w:style>
  <w:style w:type="paragraph" w:styleId="57">
    <w:name w:val="Intense Quote"/>
    <w:basedOn w:val="1"/>
    <w:next w:val="1"/>
    <w:link w:val="5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8">
    <w:name w:val="明显引用 字符"/>
    <w:basedOn w:val="37"/>
    <w:link w:val="57"/>
    <w:qFormat/>
    <w:uiPriority w:val="30"/>
    <w:rPr>
      <w:i/>
      <w:iCs/>
      <w:color w:val="104862" w:themeColor="accent1" w:themeShade="BF"/>
    </w:rPr>
  </w:style>
  <w:style w:type="character" w:customStyle="1" w:styleId="59">
    <w:name w:val="Intense Reference"/>
    <w:basedOn w:val="37"/>
    <w:qFormat/>
    <w:uiPriority w:val="32"/>
    <w:rPr>
      <w:b/>
      <w:bCs/>
      <w:smallCaps/>
      <w:color w:val="104862" w:themeColor="accent1" w:themeShade="BF"/>
      <w:spacing w:val="5"/>
    </w:rPr>
  </w:style>
  <w:style w:type="character" w:customStyle="1" w:styleId="60">
    <w:name w:val="正文文本 字符"/>
    <w:basedOn w:val="37"/>
    <w:link w:val="12"/>
    <w:qFormat/>
    <w:uiPriority w:val="99"/>
    <w:rPr>
      <w:rFonts w:ascii="Times New Roman" w:hAnsi="Times New Roman" w:eastAsia="宋体" w:cs="Times New Roman"/>
      <w:sz w:val="28"/>
      <w:szCs w:val="28"/>
      <w:lang w:val="zh-CN"/>
    </w:rPr>
  </w:style>
  <w:style w:type="character" w:customStyle="1" w:styleId="61">
    <w:name w:val="文档结构图 字符"/>
    <w:basedOn w:val="37"/>
    <w:link w:val="13"/>
    <w:semiHidden/>
    <w:qFormat/>
    <w:uiPriority w:val="99"/>
    <w:rPr>
      <w:rFonts w:ascii="Times New Roman" w:hAnsi="Times New Roman" w:eastAsia="宋体" w:cs="Times New Roman"/>
      <w:kern w:val="0"/>
      <w:sz w:val="2"/>
      <w:szCs w:val="2"/>
      <w:shd w:val="clear" w:color="auto" w:fill="000080"/>
      <w:lang w:val="zh-CN"/>
    </w:rPr>
  </w:style>
  <w:style w:type="character" w:customStyle="1" w:styleId="62">
    <w:name w:val="批注文字 字符"/>
    <w:basedOn w:val="37"/>
    <w:link w:val="14"/>
    <w:qFormat/>
    <w:uiPriority w:val="99"/>
    <w:rPr>
      <w:rFonts w:ascii="Times New Roman" w:hAnsi="Times New Roman" w:eastAsia="宋体" w:cs="Times New Roman"/>
      <w:sz w:val="28"/>
      <w:szCs w:val="28"/>
      <w:lang w:val="zh-CN"/>
    </w:rPr>
  </w:style>
  <w:style w:type="character" w:customStyle="1" w:styleId="63">
    <w:name w:val="正文文本缩进 字符"/>
    <w:basedOn w:val="37"/>
    <w:link w:val="15"/>
    <w:qFormat/>
    <w:uiPriority w:val="99"/>
    <w:rPr>
      <w:rFonts w:ascii="Times New Roman" w:hAnsi="Times New Roman" w:eastAsia="宋体" w:cs="Times New Roman"/>
      <w:kern w:val="0"/>
      <w:sz w:val="20"/>
      <w:szCs w:val="20"/>
      <w:lang w:val="zh-CN"/>
    </w:rPr>
  </w:style>
  <w:style w:type="character" w:customStyle="1" w:styleId="64">
    <w:name w:val="纯文本 字符"/>
    <w:basedOn w:val="37"/>
    <w:link w:val="17"/>
    <w:qFormat/>
    <w:uiPriority w:val="99"/>
    <w:rPr>
      <w:rFonts w:ascii="宋体" w:hAnsi="Courier New" w:eastAsia="宋体" w:cs="Times New Roman"/>
      <w:kern w:val="0"/>
      <w:szCs w:val="21"/>
      <w:lang w:val="zh-CN"/>
    </w:rPr>
  </w:style>
  <w:style w:type="character" w:customStyle="1" w:styleId="65">
    <w:name w:val="日期 字符"/>
    <w:basedOn w:val="37"/>
    <w:link w:val="18"/>
    <w:qFormat/>
    <w:uiPriority w:val="99"/>
    <w:rPr>
      <w:rFonts w:ascii="Times New Roman" w:hAnsi="Times New Roman" w:eastAsia="宋体" w:cs="Times New Roman"/>
      <w:kern w:val="0"/>
      <w:sz w:val="20"/>
      <w:szCs w:val="20"/>
      <w:lang w:val="zh-CN"/>
    </w:rPr>
  </w:style>
  <w:style w:type="character" w:customStyle="1" w:styleId="66">
    <w:name w:val="正文文本缩进 2 字符"/>
    <w:basedOn w:val="37"/>
    <w:link w:val="19"/>
    <w:qFormat/>
    <w:uiPriority w:val="99"/>
    <w:rPr>
      <w:rFonts w:ascii="Times New Roman" w:hAnsi="Times New Roman" w:eastAsia="宋体" w:cs="Times New Roman"/>
      <w:sz w:val="28"/>
      <w:szCs w:val="28"/>
      <w:lang w:val="zh-CN"/>
    </w:rPr>
  </w:style>
  <w:style w:type="character" w:customStyle="1" w:styleId="67">
    <w:name w:val="批注框文本 字符"/>
    <w:basedOn w:val="37"/>
    <w:link w:val="20"/>
    <w:semiHidden/>
    <w:qFormat/>
    <w:uiPriority w:val="99"/>
    <w:rPr>
      <w:rFonts w:ascii="Times New Roman" w:hAnsi="Times New Roman" w:eastAsia="宋体" w:cs="Times New Roman"/>
      <w:kern w:val="0"/>
      <w:sz w:val="2"/>
      <w:szCs w:val="2"/>
      <w:lang w:val="zh-CN"/>
    </w:rPr>
  </w:style>
  <w:style w:type="character" w:customStyle="1" w:styleId="68">
    <w:name w:val="页脚 字符"/>
    <w:basedOn w:val="37"/>
    <w:link w:val="21"/>
    <w:qFormat/>
    <w:uiPriority w:val="99"/>
    <w:rPr>
      <w:rFonts w:ascii="Times New Roman" w:hAnsi="Times New Roman" w:eastAsia="宋体" w:cs="Times New Roman"/>
      <w:kern w:val="0"/>
      <w:sz w:val="18"/>
      <w:szCs w:val="18"/>
      <w:lang w:val="zh-CN"/>
    </w:rPr>
  </w:style>
  <w:style w:type="character" w:customStyle="1" w:styleId="69">
    <w:name w:val="页眉 字符"/>
    <w:basedOn w:val="37"/>
    <w:link w:val="22"/>
    <w:qFormat/>
    <w:uiPriority w:val="0"/>
    <w:rPr>
      <w:rFonts w:ascii="Times New Roman" w:hAnsi="Times New Roman" w:eastAsia="宋体" w:cs="Times New Roman"/>
      <w:kern w:val="0"/>
      <w:sz w:val="18"/>
      <w:szCs w:val="18"/>
      <w:lang w:val="zh-CN"/>
    </w:rPr>
  </w:style>
  <w:style w:type="character" w:customStyle="1" w:styleId="70">
    <w:name w:val="正文文本 2 字符"/>
    <w:basedOn w:val="37"/>
    <w:link w:val="26"/>
    <w:qFormat/>
    <w:uiPriority w:val="99"/>
    <w:rPr>
      <w:rFonts w:ascii="宋体" w:hAnsi="宋体" w:eastAsia="宋体" w:cs="Times New Roman"/>
      <w:kern w:val="0"/>
      <w:sz w:val="24"/>
      <w:lang w:val="zh-CN"/>
    </w:rPr>
  </w:style>
  <w:style w:type="character" w:customStyle="1" w:styleId="71">
    <w:name w:val="HTML 预设格式 字符"/>
    <w:basedOn w:val="37"/>
    <w:link w:val="27"/>
    <w:qFormat/>
    <w:uiPriority w:val="0"/>
    <w:rPr>
      <w:rFonts w:ascii="黑体" w:hAnsi="宋体" w:eastAsia="黑体" w:cs="宋体"/>
      <w:kern w:val="0"/>
      <w:sz w:val="20"/>
    </w:rPr>
  </w:style>
  <w:style w:type="character" w:customStyle="1" w:styleId="72">
    <w:name w:val="批注主题 字符"/>
    <w:basedOn w:val="62"/>
    <w:link w:val="30"/>
    <w:qFormat/>
    <w:uiPriority w:val="99"/>
    <w:rPr>
      <w:rFonts w:ascii="Times New Roman" w:hAnsi="Times New Roman" w:eastAsia="宋体" w:cs="Times New Roman"/>
      <w:b/>
      <w:bCs/>
      <w:sz w:val="28"/>
      <w:szCs w:val="28"/>
      <w:lang w:val="zh-CN"/>
    </w:rPr>
  </w:style>
  <w:style w:type="character" w:customStyle="1" w:styleId="73">
    <w:name w:val="正文文本首行缩进 字符"/>
    <w:basedOn w:val="60"/>
    <w:link w:val="31"/>
    <w:qFormat/>
    <w:uiPriority w:val="0"/>
    <w:rPr>
      <w:rFonts w:ascii="Times New Roman" w:hAnsi="Times New Roman" w:eastAsia="宋体" w:cs="Times New Roman"/>
      <w:sz w:val="28"/>
      <w:szCs w:val="28"/>
      <w:lang w:val="zh-CN"/>
    </w:rPr>
  </w:style>
  <w:style w:type="paragraph" w:customStyle="1" w:styleId="74">
    <w:name w:val="目录 53"/>
    <w:next w:val="1"/>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75">
    <w:name w:val="Default"/>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76">
    <w:name w:val="标题 2 Char"/>
    <w:basedOn w:val="37"/>
    <w:qFormat/>
    <w:uiPriority w:val="99"/>
    <w:rPr>
      <w:rFonts w:ascii="Cambria" w:hAnsi="Cambria" w:eastAsia="宋体" w:cs="Times New Roman"/>
      <w:b/>
      <w:bCs/>
      <w:kern w:val="0"/>
      <w:sz w:val="32"/>
      <w:szCs w:val="32"/>
      <w:lang w:val="zh-CN" w:eastAsia="zh-CN"/>
    </w:rPr>
  </w:style>
  <w:style w:type="paragraph" w:customStyle="1" w:styleId="77">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78">
    <w:name w:val="标书正文1"/>
    <w:basedOn w:val="1"/>
    <w:qFormat/>
    <w:uiPriority w:val="0"/>
    <w:pPr>
      <w:spacing w:line="520" w:lineRule="exact"/>
      <w:ind w:firstLine="640" w:firstLineChars="200"/>
    </w:pPr>
    <w:rPr>
      <w:rFonts w:ascii="Times New Roman" w:hAnsi="Times New Roman"/>
    </w:rPr>
  </w:style>
  <w:style w:type="paragraph" w:customStyle="1" w:styleId="79">
    <w:name w:val="正文文本 21"/>
    <w:basedOn w:val="1"/>
    <w:qFormat/>
    <w:uiPriority w:val="0"/>
    <w:pPr>
      <w:snapToGrid w:val="0"/>
      <w:spacing w:line="540" w:lineRule="exact"/>
    </w:pPr>
    <w:rPr>
      <w:rFonts w:eastAsia="方正仿宋_GBK"/>
      <w:color w:val="000000"/>
    </w:rPr>
  </w:style>
  <w:style w:type="paragraph" w:customStyle="1" w:styleId="80">
    <w:name w:val="引用1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81">
    <w:name w:val="emphasizedtitle1"/>
    <w:qFormat/>
    <w:uiPriority w:val="99"/>
    <w:rPr>
      <w:rFonts w:ascii="Arial" w:hAnsi="Arial"/>
      <w:b/>
      <w:sz w:val="27"/>
    </w:rPr>
  </w:style>
  <w:style w:type="character" w:customStyle="1" w:styleId="82">
    <w:name w:val="font21"/>
    <w:qFormat/>
    <w:uiPriority w:val="0"/>
    <w:rPr>
      <w:rFonts w:ascii="宋体" w:eastAsia="宋体" w:cs="宋体"/>
      <w:color w:val="000000"/>
      <w:sz w:val="20"/>
      <w:szCs w:val="20"/>
      <w:u w:val="none"/>
    </w:rPr>
  </w:style>
  <w:style w:type="character" w:customStyle="1" w:styleId="83">
    <w:name w:val="apple-converted-space"/>
    <w:qFormat/>
    <w:uiPriority w:val="99"/>
    <w:rPr>
      <w:rFonts w:cs="Times New Roman"/>
    </w:rPr>
  </w:style>
  <w:style w:type="character" w:customStyle="1" w:styleId="84">
    <w:name w:val="active"/>
    <w:qFormat/>
    <w:uiPriority w:val="0"/>
    <w:rPr>
      <w:shd w:val="clear" w:color="auto" w:fill="EC3535"/>
    </w:rPr>
  </w:style>
  <w:style w:type="character" w:customStyle="1" w:styleId="85">
    <w:name w:val="样式 (中文) 仿宋_GB2312 小四 行距: 固定值 22 磅 Char"/>
    <w:link w:val="86"/>
    <w:qFormat/>
    <w:uiPriority w:val="0"/>
    <w:rPr>
      <w:rFonts w:eastAsia="仿宋_GB2312"/>
      <w:sz w:val="24"/>
    </w:rPr>
  </w:style>
  <w:style w:type="paragraph" w:customStyle="1" w:styleId="86">
    <w:name w:val="样式 (中文) 仿宋_GB2312 小四 行距: 固定值 22 磅"/>
    <w:basedOn w:val="1"/>
    <w:link w:val="85"/>
    <w:qFormat/>
    <w:uiPriority w:val="0"/>
    <w:pPr>
      <w:spacing w:line="400" w:lineRule="exact"/>
      <w:ind w:firstLine="150" w:firstLineChars="150"/>
    </w:pPr>
    <w:rPr>
      <w:rFonts w:eastAsia="仿宋_GB2312" w:asciiTheme="minorHAnsi" w:hAnsiTheme="minorHAnsi" w:cstheme="minorBidi"/>
      <w:kern w:val="2"/>
    </w:rPr>
  </w:style>
  <w:style w:type="character" w:customStyle="1" w:styleId="87">
    <w:name w:val="maincontenttable"/>
    <w:qFormat/>
    <w:uiPriority w:val="99"/>
    <w:rPr>
      <w:rFonts w:cs="Times New Roman"/>
    </w:rPr>
  </w:style>
  <w:style w:type="paragraph" w:customStyle="1" w:styleId="88">
    <w:name w:val="Char1 Char Char Char"/>
    <w:basedOn w:val="1"/>
    <w:qFormat/>
    <w:uiPriority w:val="99"/>
    <w:rPr>
      <w:rFonts w:ascii="Tahoma" w:hAnsi="Tahoma" w:cs="Tahoma"/>
      <w:sz w:val="30"/>
      <w:szCs w:val="30"/>
    </w:rPr>
  </w:style>
  <w:style w:type="paragraph" w:customStyle="1" w:styleId="89">
    <w:name w:val="Char Char Char Char Char Char Char Char Char Char"/>
    <w:basedOn w:val="1"/>
    <w:qFormat/>
    <w:uiPriority w:val="99"/>
    <w:pPr>
      <w:tabs>
        <w:tab w:val="left" w:pos="360"/>
      </w:tabs>
      <w:ind w:left="360" w:hanging="360" w:hangingChars="200"/>
    </w:pPr>
  </w:style>
  <w:style w:type="paragraph" w:customStyle="1" w:styleId="90">
    <w:name w:val="op_exactqa_s_prop"/>
    <w:basedOn w:val="1"/>
    <w:qFormat/>
    <w:uiPriority w:val="99"/>
  </w:style>
  <w:style w:type="paragraph" w:customStyle="1" w:styleId="91">
    <w:name w:val="Char"/>
    <w:basedOn w:val="1"/>
    <w:qFormat/>
    <w:uiPriority w:val="99"/>
    <w:pPr>
      <w:spacing w:after="160" w:line="240" w:lineRule="exact"/>
    </w:pPr>
    <w:rPr>
      <w:rFonts w:ascii="Verdana" w:hAnsi="Verdana" w:eastAsia="仿宋_GB2312" w:cs="Verdana"/>
      <w:lang w:eastAsia="en-US"/>
    </w:rPr>
  </w:style>
  <w:style w:type="paragraph" w:customStyle="1" w:styleId="92">
    <w:name w:val="图例"/>
    <w:basedOn w:val="1"/>
    <w:qFormat/>
    <w:uiPriority w:val="0"/>
    <w:pPr>
      <w:spacing w:before="120" w:after="120" w:line="360" w:lineRule="auto"/>
      <w:jc w:val="center"/>
    </w:pPr>
    <w:rPr>
      <w:rFonts w:eastAsia="仿宋_GB2312"/>
      <w:b/>
    </w:rPr>
  </w:style>
  <w:style w:type="paragraph" w:customStyle="1" w:styleId="9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94">
    <w:name w:val="_Style 7"/>
    <w:basedOn w:val="1"/>
    <w:qFormat/>
    <w:uiPriority w:val="0"/>
    <w:pPr>
      <w:ind w:firstLine="200" w:firstLineChars="200"/>
    </w:pPr>
    <w:rPr>
      <w:rFonts w:ascii="等线" w:eastAsia="等线" w:cs="Times New Roman"/>
      <w:sz w:val="21"/>
      <w:szCs w:val="22"/>
    </w:rPr>
  </w:style>
  <w:style w:type="paragraph" w:customStyle="1" w:styleId="95">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96">
    <w:name w:val="列表段落1"/>
    <w:basedOn w:val="1"/>
    <w:unhideWhenUsed/>
    <w:qFormat/>
    <w:uiPriority w:val="99"/>
    <w:pPr>
      <w:ind w:firstLine="420" w:firstLineChars="200"/>
    </w:pPr>
  </w:style>
  <w:style w:type="paragraph" w:customStyle="1" w:styleId="97">
    <w:name w:val="1"/>
    <w:basedOn w:val="1"/>
    <w:next w:val="17"/>
    <w:qFormat/>
    <w:uiPriority w:val="0"/>
    <w:rPr>
      <w:rFonts w:hAnsi="Courier New"/>
      <w:sz w:val="21"/>
      <w:szCs w:val="21"/>
    </w:rPr>
  </w:style>
  <w:style w:type="paragraph" w:customStyle="1" w:styleId="98">
    <w:name w:val="列出段落2"/>
    <w:basedOn w:val="1"/>
    <w:unhideWhenUsed/>
    <w:qFormat/>
    <w:uiPriority w:val="99"/>
    <w:pPr>
      <w:ind w:firstLine="420" w:firstLineChars="200"/>
    </w:pPr>
  </w:style>
  <w:style w:type="paragraph" w:customStyle="1" w:styleId="9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100">
    <w:name w:val="列出段落1"/>
    <w:basedOn w:val="1"/>
    <w:qFormat/>
    <w:uiPriority w:val="99"/>
    <w:pPr>
      <w:ind w:firstLine="420" w:firstLineChars="200"/>
    </w:pPr>
    <w:rPr>
      <w:rFonts w:ascii="Calibri" w:hAnsi="Calibri"/>
      <w:sz w:val="21"/>
      <w:szCs w:val="22"/>
    </w:rPr>
  </w:style>
  <w:style w:type="paragraph" w:customStyle="1" w:styleId="10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标题 5（有编号）（绿盟科技）"/>
    <w:basedOn w:val="1"/>
    <w:next w:val="103"/>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103">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104">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105">
    <w:name w:val="NormalCharacter"/>
    <w:qFormat/>
    <w:uiPriority w:val="0"/>
    <w:rPr>
      <w:rFonts w:ascii="Calibri" w:hAnsi="Calibri" w:eastAsia="宋体"/>
    </w:rPr>
  </w:style>
  <w:style w:type="paragraph" w:customStyle="1" w:styleId="106">
    <w:name w:val="Normal_6b1eb2b1-915e-4520-a4ad-e896fdd76176"/>
    <w:next w:val="3"/>
    <w:qFormat/>
    <w:uiPriority w:val="0"/>
    <w:rPr>
      <w:rFonts w:ascii="Times New Roman" w:hAnsi="Times New Roman" w:eastAsia="宋体" w:cs="Times New Roman"/>
      <w:kern w:val="0"/>
      <w:sz w:val="21"/>
      <w:szCs w:val="20"/>
      <w:lang w:val="en-US" w:eastAsia="zh-CN" w:bidi="ar-SA"/>
    </w:rPr>
  </w:style>
  <w:style w:type="table" w:customStyle="1" w:styleId="107">
    <w:name w:val="Table Normal"/>
    <w:semiHidden/>
    <w:unhideWhenUsed/>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108">
    <w:name w:val="引用2"/>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9">
    <w:name w:val="font71"/>
    <w:basedOn w:val="37"/>
    <w:qFormat/>
    <w:uiPriority w:val="0"/>
    <w:rPr>
      <w:rFonts w:hint="eastAsia" w:ascii="宋体" w:hAnsi="宋体" w:eastAsia="宋体" w:cs="宋体"/>
      <w:color w:val="000000"/>
      <w:sz w:val="44"/>
      <w:szCs w:val="44"/>
      <w:u w:val="none"/>
    </w:rPr>
  </w:style>
  <w:style w:type="character" w:customStyle="1" w:styleId="110">
    <w:name w:val="font81"/>
    <w:basedOn w:val="37"/>
    <w:qFormat/>
    <w:uiPriority w:val="0"/>
    <w:rPr>
      <w:rFonts w:hint="eastAsia" w:ascii="宋体" w:hAnsi="宋体" w:eastAsia="宋体" w:cs="宋体"/>
      <w:color w:val="000000"/>
      <w:sz w:val="44"/>
      <w:szCs w:val="44"/>
      <w:u w:val="none"/>
    </w:rPr>
  </w:style>
  <w:style w:type="paragraph" w:customStyle="1" w:styleId="111">
    <w:name w:val="Table Text"/>
    <w:basedOn w:val="1"/>
    <w:semiHidden/>
    <w:qFormat/>
    <w:uiPriority w:val="0"/>
    <w:rPr>
      <w:sz w:val="20"/>
      <w:szCs w:val="20"/>
      <w:lang w:eastAsia="en-US"/>
    </w:rPr>
  </w:style>
  <w:style w:type="paragraph" w:customStyle="1" w:styleId="112">
    <w:name w:val="Table Paragraph"/>
    <w:basedOn w:val="1"/>
    <w:unhideWhenUsed/>
    <w:qFormat/>
    <w:uiPriority w:val="1"/>
  </w:style>
  <w:style w:type="paragraph" w:customStyle="1" w:styleId="113">
    <w:name w:val="样式 样式 左侧:  2 字符 + 左侧:  0.85 厘米 首行缩进:  2 字符1"/>
    <w:basedOn w:val="1"/>
    <w:qFormat/>
    <w:uiPriority w:val="0"/>
    <w:pPr>
      <w:ind w:left="482" w:firstLine="200" w:firstLineChars="200"/>
    </w:pPr>
    <w:rPr>
      <w:szCs w:val="20"/>
    </w:rPr>
  </w:style>
  <w:style w:type="paragraph" w:customStyle="1" w:styleId="114">
    <w:name w:val="BodyText"/>
    <w:basedOn w:val="1"/>
    <w:qFormat/>
    <w:uiPriority w:val="0"/>
    <w:pPr>
      <w:spacing w:after="120"/>
      <w:jc w:val="both"/>
      <w:textAlignment w:val="baseline"/>
    </w:pPr>
    <w:rPr>
      <w:kern w:val="2"/>
      <w:sz w:val="21"/>
    </w:rPr>
  </w:style>
  <w:style w:type="paragraph" w:customStyle="1" w:styleId="115">
    <w:name w:val="UserStyle_0"/>
    <w:basedOn w:val="1"/>
    <w:qFormat/>
    <w:uiPriority w:val="0"/>
    <w:pPr>
      <w:ind w:left="482" w:firstLine="200" w:firstLineChars="200"/>
      <w:jc w:val="both"/>
      <w:textAlignment w:val="baseline"/>
    </w:pPr>
    <w:rPr>
      <w:kern w:val="2"/>
      <w:sz w:val="21"/>
      <w:szCs w:val="20"/>
    </w:rPr>
  </w:style>
  <w:style w:type="character" w:customStyle="1" w:styleId="116">
    <w:name w:val="font41"/>
    <w:basedOn w:val="37"/>
    <w:qFormat/>
    <w:uiPriority w:val="0"/>
    <w:rPr>
      <w:rFonts w:hint="eastAsia" w:ascii="宋体" w:hAnsi="宋体" w:eastAsia="宋体" w:cs="宋体"/>
      <w:color w:val="000000"/>
      <w:sz w:val="21"/>
      <w:szCs w:val="21"/>
      <w:u w:val="none"/>
    </w:rPr>
  </w:style>
  <w:style w:type="character" w:customStyle="1" w:styleId="117">
    <w:name w:val="font01"/>
    <w:basedOn w:val="37"/>
    <w:qFormat/>
    <w:uiPriority w:val="0"/>
    <w:rPr>
      <w:rFonts w:hint="eastAsia" w:ascii="宋体" w:hAnsi="宋体" w:eastAsia="宋体" w:cs="宋体"/>
      <w:color w:val="000000"/>
      <w:sz w:val="24"/>
      <w:szCs w:val="24"/>
      <w:u w:val="none"/>
    </w:rPr>
  </w:style>
  <w:style w:type="character" w:customStyle="1" w:styleId="11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A5CA6-4934-4447-81C7-EC82A9FC9AA4}">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18224</Words>
  <Characters>18730</Characters>
  <Lines>123</Lines>
  <Paragraphs>34</Paragraphs>
  <TotalTime>12</TotalTime>
  <ScaleCrop>false</ScaleCrop>
  <LinksUpToDate>false</LinksUpToDate>
  <CharactersWithSpaces>20559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2025-01-06T07:02:00Z</dcterms:created>
  <dc:creator>ChatGPT 5.0 Turbo Alpha</dc:creator>
  <cp:lastModifiedBy>Administrator</cp:lastModifiedBy>
  <dcterms:modified xsi:type="dcterms:W3CDTF">2025-07-29T10:06:23Z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eyJoZGlkIjoiNmFhMmM5ZjJhMDQ5ZTZjNTE2YzkyY2RmMGE1OTFkNzkifQ==</vt:lpwstr>
  </property>
  <property fmtid="{D5CDD505-2E9C-101B-9397-08002B2CF9AE}" pid="3" name="KSOProductBuildVer">
    <vt:lpwstr>2052-11.1.0.9021</vt:lpwstr>
  </property>
  <property fmtid="{D5CDD505-2E9C-101B-9397-08002B2CF9AE}" pid="4" name="ICV">
    <vt:lpwstr>DF8423A068304637AED70CFF4E26ED70_13</vt:lpwstr>
  </property>
</Properties>
</file>