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CC5F8">
      <w:pPr>
        <w:autoSpaceDE w:val="0"/>
        <w:autoSpaceDN w:val="0"/>
        <w:adjustRightInd w:val="0"/>
        <w:snapToGrid w:val="0"/>
        <w:spacing w:line="360" w:lineRule="auto"/>
        <w:jc w:val="center"/>
        <w:rPr>
          <w:b/>
          <w:kern w:val="0"/>
          <w:sz w:val="28"/>
          <w:szCs w:val="28"/>
        </w:rPr>
      </w:pPr>
      <w:bookmarkStart w:id="0" w:name="_Toc31730"/>
      <w:bookmarkStart w:id="1" w:name="_Toc9785"/>
      <w:bookmarkStart w:id="2" w:name="_Toc287620665"/>
    </w:p>
    <w:p w14:paraId="22DB1D16">
      <w:pPr>
        <w:autoSpaceDE w:val="0"/>
        <w:autoSpaceDN w:val="0"/>
        <w:adjustRightInd w:val="0"/>
        <w:snapToGrid w:val="0"/>
        <w:spacing w:line="360" w:lineRule="auto"/>
        <w:jc w:val="center"/>
        <w:rPr>
          <w:rFonts w:ascii="宋体" w:hAnsi="宋体"/>
          <w:b/>
          <w:sz w:val="52"/>
          <w:szCs w:val="52"/>
        </w:rPr>
      </w:pPr>
      <w:r>
        <w:rPr>
          <w:rFonts w:hint="eastAsia"/>
          <w:b/>
          <w:kern w:val="0"/>
          <w:sz w:val="32"/>
          <w:szCs w:val="32"/>
        </w:rPr>
        <w:t>重庆市南岸区总工会职工服务阵地改建工程监理</w:t>
      </w:r>
    </w:p>
    <w:p w14:paraId="369AA5B7">
      <w:pPr>
        <w:pStyle w:val="10"/>
        <w:snapToGrid w:val="0"/>
        <w:spacing w:line="360" w:lineRule="auto"/>
        <w:ind w:left="0" w:right="0" w:firstLine="0" w:firstLineChars="0"/>
        <w:rPr>
          <w:rFonts w:ascii="宋体" w:hAnsi="宋体" w:eastAsia="宋体"/>
          <w:b/>
          <w:sz w:val="56"/>
          <w:szCs w:val="56"/>
        </w:rPr>
      </w:pPr>
    </w:p>
    <w:p w14:paraId="76303A44">
      <w:pPr>
        <w:pStyle w:val="10"/>
        <w:snapToGrid w:val="0"/>
        <w:spacing w:line="360" w:lineRule="auto"/>
        <w:ind w:left="0" w:right="0" w:firstLine="0" w:firstLineChars="0"/>
        <w:jc w:val="center"/>
        <w:rPr>
          <w:rFonts w:ascii="宋体" w:hAnsi="宋体" w:eastAsia="宋体"/>
          <w:b/>
          <w:sz w:val="84"/>
          <w:szCs w:val="84"/>
        </w:rPr>
      </w:pPr>
    </w:p>
    <w:p w14:paraId="3F60E59A">
      <w:pPr>
        <w:autoSpaceDE w:val="0"/>
        <w:autoSpaceDN w:val="0"/>
        <w:adjustRightInd w:val="0"/>
        <w:snapToGrid w:val="0"/>
        <w:spacing w:line="360" w:lineRule="auto"/>
        <w:jc w:val="center"/>
        <w:rPr>
          <w:rFonts w:ascii="黑体" w:hAnsi="黑体" w:eastAsia="黑体" w:cs="黑体"/>
          <w:b/>
          <w:kern w:val="0"/>
          <w:sz w:val="72"/>
          <w:szCs w:val="72"/>
        </w:rPr>
      </w:pPr>
      <w:r>
        <w:rPr>
          <w:rFonts w:hint="eastAsia" w:ascii="黑体" w:hAnsi="黑体" w:eastAsia="黑体" w:cs="黑体"/>
          <w:b/>
          <w:kern w:val="0"/>
          <w:sz w:val="72"/>
          <w:szCs w:val="72"/>
        </w:rPr>
        <w:t>竞争性比选文件</w:t>
      </w:r>
    </w:p>
    <w:p w14:paraId="6ADA5849">
      <w:pPr>
        <w:autoSpaceDE w:val="0"/>
        <w:autoSpaceDN w:val="0"/>
        <w:adjustRightInd w:val="0"/>
        <w:snapToGrid w:val="0"/>
        <w:spacing w:line="360" w:lineRule="auto"/>
        <w:jc w:val="center"/>
        <w:rPr>
          <w:rFonts w:ascii="宋体" w:hAnsi="宋体"/>
          <w:kern w:val="0"/>
          <w:position w:val="-5"/>
          <w:sz w:val="44"/>
          <w:szCs w:val="44"/>
        </w:rPr>
      </w:pPr>
    </w:p>
    <w:p w14:paraId="1646AAB3">
      <w:pPr>
        <w:pStyle w:val="8"/>
      </w:pPr>
    </w:p>
    <w:p w14:paraId="29CC99BF">
      <w:pPr>
        <w:pStyle w:val="5"/>
      </w:pPr>
    </w:p>
    <w:p w14:paraId="10B147F4"/>
    <w:p w14:paraId="40DA67AD"/>
    <w:p w14:paraId="6600F8E6"/>
    <w:p w14:paraId="4CC6E9FF"/>
    <w:p w14:paraId="45C0B25A"/>
    <w:p w14:paraId="6BE6A2A1"/>
    <w:p w14:paraId="535994BD"/>
    <w:p w14:paraId="6A78779E">
      <w:pPr>
        <w:autoSpaceDE w:val="0"/>
        <w:autoSpaceDN w:val="0"/>
        <w:adjustRightInd w:val="0"/>
        <w:snapToGrid w:val="0"/>
        <w:spacing w:line="360" w:lineRule="auto"/>
        <w:jc w:val="center"/>
        <w:rPr>
          <w:rFonts w:ascii="宋体" w:hAnsi="宋体"/>
          <w:b/>
          <w:kern w:val="0"/>
          <w:position w:val="-5"/>
          <w:sz w:val="32"/>
          <w:szCs w:val="48"/>
        </w:rPr>
      </w:pPr>
    </w:p>
    <w:p w14:paraId="7F66F978">
      <w:pPr>
        <w:spacing w:line="800" w:lineRule="exact"/>
        <w:ind w:firstLine="843" w:firstLineChars="300"/>
        <w:rPr>
          <w:sz w:val="28"/>
          <w:szCs w:val="28"/>
        </w:rPr>
      </w:pPr>
      <w:r>
        <w:rPr>
          <w:rFonts w:hint="eastAsia" w:ascii="宋体" w:hAnsi="宋体" w:cs="宋体"/>
          <w:b/>
          <w:sz w:val="28"/>
          <w:szCs w:val="28"/>
        </w:rPr>
        <w:t>比选人：</w:t>
      </w:r>
      <w:r>
        <w:rPr>
          <w:rFonts w:hint="eastAsia" w:ascii="宋体" w:hAnsi="宋体" w:cs="宋体"/>
          <w:b/>
          <w:sz w:val="28"/>
          <w:szCs w:val="28"/>
          <w:u w:val="single"/>
        </w:rPr>
        <w:t>重庆市城圆城市建设发展（集团）有限公司（盖单位法人章）</w:t>
      </w:r>
    </w:p>
    <w:p w14:paraId="7F41F3E0">
      <w:pPr>
        <w:spacing w:line="800" w:lineRule="exact"/>
        <w:ind w:firstLine="843" w:firstLineChars="300"/>
        <w:rPr>
          <w:rFonts w:ascii="宋体" w:hAnsi="宋体" w:cs="宋体"/>
          <w:b/>
          <w:sz w:val="28"/>
          <w:szCs w:val="28"/>
        </w:rPr>
      </w:pPr>
      <w:r>
        <w:rPr>
          <w:rFonts w:hint="eastAsia" w:ascii="宋体" w:hAnsi="宋体" w:cs="宋体"/>
          <w:b/>
          <w:sz w:val="28"/>
          <w:szCs w:val="28"/>
        </w:rPr>
        <w:t>比选代理机构：</w:t>
      </w:r>
      <w:r>
        <w:rPr>
          <w:rFonts w:hint="eastAsia" w:ascii="宋体" w:hAnsi="宋体" w:cs="宋体"/>
          <w:b/>
          <w:sz w:val="28"/>
          <w:szCs w:val="28"/>
          <w:u w:val="single"/>
        </w:rPr>
        <w:t>中资（重庆）工程咨询有限公司 （盖单位法人章）</w:t>
      </w:r>
    </w:p>
    <w:p w14:paraId="45B1703F">
      <w:pPr>
        <w:pStyle w:val="44"/>
        <w:jc w:val="center"/>
        <w:rPr>
          <w:rFonts w:ascii="宋体" w:hAnsi="宋体" w:cs="宋体"/>
          <w:b/>
          <w:sz w:val="30"/>
          <w:szCs w:val="30"/>
        </w:rPr>
      </w:pPr>
      <w:r>
        <w:rPr>
          <w:rFonts w:hint="eastAsia" w:ascii="宋体" w:hAnsi="宋体" w:cs="宋体"/>
          <w:b/>
          <w:sz w:val="30"/>
          <w:szCs w:val="30"/>
        </w:rPr>
        <w:t xml:space="preserve">  </w:t>
      </w:r>
    </w:p>
    <w:p w14:paraId="0B5164E8">
      <w:pPr>
        <w:pStyle w:val="44"/>
        <w:jc w:val="center"/>
        <w:rPr>
          <w:rFonts w:ascii="宋体" w:hAnsi="宋体" w:cs="宋体"/>
          <w:b/>
          <w:sz w:val="30"/>
          <w:szCs w:val="30"/>
        </w:rPr>
      </w:pPr>
    </w:p>
    <w:p w14:paraId="10CEC493">
      <w:pPr>
        <w:pStyle w:val="44"/>
        <w:jc w:val="center"/>
        <w:rPr>
          <w:rFonts w:ascii="宋体" w:hAnsi="宋体" w:cs="宋体"/>
          <w:b/>
          <w:sz w:val="30"/>
          <w:szCs w:val="30"/>
        </w:rPr>
      </w:pPr>
    </w:p>
    <w:p w14:paraId="69D959E4">
      <w:pPr>
        <w:autoSpaceDE w:val="0"/>
        <w:autoSpaceDN w:val="0"/>
        <w:adjustRightInd w:val="0"/>
        <w:snapToGrid w:val="0"/>
        <w:spacing w:line="360" w:lineRule="auto"/>
        <w:jc w:val="center"/>
        <w:rPr>
          <w:rFonts w:ascii="宋体" w:hAnsi="宋体"/>
          <w:b/>
          <w:spacing w:val="8"/>
          <w:kern w:val="0"/>
          <w:sz w:val="28"/>
          <w:szCs w:val="28"/>
        </w:rPr>
      </w:pPr>
      <w:r>
        <w:rPr>
          <w:rFonts w:hint="eastAsia" w:ascii="宋体" w:hAnsi="宋体"/>
          <w:b/>
          <w:spacing w:val="8"/>
          <w:kern w:val="0"/>
          <w:sz w:val="28"/>
          <w:szCs w:val="28"/>
          <w:u w:val="single"/>
        </w:rPr>
        <w:t>2025</w:t>
      </w:r>
      <w:r>
        <w:rPr>
          <w:rFonts w:ascii="宋体" w:hAnsi="宋体"/>
          <w:b/>
          <w:spacing w:val="8"/>
          <w:kern w:val="0"/>
          <w:sz w:val="28"/>
          <w:szCs w:val="28"/>
        </w:rPr>
        <w:t>年</w:t>
      </w:r>
      <w:r>
        <w:rPr>
          <w:rFonts w:hint="eastAsia" w:ascii="宋体" w:hAnsi="宋体"/>
          <w:b/>
          <w:spacing w:val="8"/>
          <w:kern w:val="0"/>
          <w:sz w:val="28"/>
          <w:szCs w:val="28"/>
          <w:u w:val="single"/>
        </w:rPr>
        <w:t>5</w:t>
      </w:r>
      <w:r>
        <w:rPr>
          <w:rFonts w:ascii="宋体" w:hAnsi="宋体"/>
          <w:b/>
          <w:spacing w:val="8"/>
          <w:kern w:val="0"/>
          <w:sz w:val="28"/>
          <w:szCs w:val="28"/>
        </w:rPr>
        <w:t>月</w:t>
      </w:r>
    </w:p>
    <w:p w14:paraId="49220132">
      <w:pPr>
        <w:rPr>
          <w:rFonts w:ascii="宋体" w:hAnsi="宋体"/>
          <w:b/>
          <w:spacing w:val="8"/>
          <w:kern w:val="0"/>
          <w:sz w:val="28"/>
          <w:szCs w:val="28"/>
        </w:rPr>
      </w:pPr>
    </w:p>
    <w:p w14:paraId="2ED6ACDF">
      <w:pPr>
        <w:pStyle w:val="5"/>
        <w:jc w:val="center"/>
      </w:pPr>
      <w:r>
        <w:rPr>
          <w:rFonts w:hint="eastAsia"/>
        </w:rPr>
        <w:t>目  录</w:t>
      </w:r>
    </w:p>
    <w:p w14:paraId="067BA0FB">
      <w:pPr>
        <w:pStyle w:val="5"/>
        <w:rPr>
          <w:sz w:val="28"/>
          <w:szCs w:val="28"/>
        </w:rPr>
      </w:pPr>
      <w:r>
        <w:rPr>
          <w:rFonts w:hint="eastAsia"/>
          <w:sz w:val="28"/>
          <w:szCs w:val="28"/>
        </w:rPr>
        <w:t>第一章 比选公告</w:t>
      </w:r>
    </w:p>
    <w:p w14:paraId="6DD44CB9">
      <w:pPr>
        <w:pStyle w:val="5"/>
        <w:rPr>
          <w:sz w:val="28"/>
          <w:szCs w:val="28"/>
        </w:rPr>
      </w:pPr>
      <w:r>
        <w:rPr>
          <w:rFonts w:hint="eastAsia"/>
          <w:sz w:val="28"/>
          <w:szCs w:val="28"/>
        </w:rPr>
        <w:t>第二章 竞选人须知</w:t>
      </w:r>
    </w:p>
    <w:p w14:paraId="3CCC546C">
      <w:pPr>
        <w:pStyle w:val="5"/>
        <w:rPr>
          <w:sz w:val="28"/>
          <w:szCs w:val="28"/>
        </w:rPr>
      </w:pPr>
      <w:r>
        <w:rPr>
          <w:rFonts w:hint="eastAsia"/>
          <w:sz w:val="28"/>
          <w:szCs w:val="28"/>
        </w:rPr>
        <w:t>第三章 评选办法</w:t>
      </w:r>
    </w:p>
    <w:p w14:paraId="762A2394">
      <w:pPr>
        <w:pStyle w:val="5"/>
        <w:rPr>
          <w:sz w:val="28"/>
          <w:szCs w:val="28"/>
        </w:rPr>
      </w:pPr>
      <w:r>
        <w:rPr>
          <w:rFonts w:hint="eastAsia"/>
          <w:sz w:val="28"/>
          <w:szCs w:val="28"/>
        </w:rPr>
        <w:t>第四章 合同条款及格式</w:t>
      </w:r>
    </w:p>
    <w:p w14:paraId="0C977AFF">
      <w:pPr>
        <w:rPr>
          <w:b/>
          <w:bCs/>
          <w:sz w:val="28"/>
          <w:szCs w:val="28"/>
        </w:rPr>
      </w:pPr>
      <w:r>
        <w:rPr>
          <w:rFonts w:hint="eastAsia"/>
          <w:b/>
          <w:bCs/>
          <w:sz w:val="28"/>
          <w:szCs w:val="28"/>
        </w:rPr>
        <w:t>第五章 竞选文件格式</w:t>
      </w:r>
    </w:p>
    <w:bookmarkEnd w:id="0"/>
    <w:bookmarkEnd w:id="1"/>
    <w:bookmarkEnd w:id="2"/>
    <w:sdt>
      <w:sdtPr>
        <w:rPr>
          <w:rFonts w:ascii="宋体" w:hAnsi="宋体"/>
        </w:rPr>
        <w:id w:val="147455173"/>
        <w:showingPlcHdr/>
        <w:docPartObj>
          <w:docPartGallery w:val="Table of Contents"/>
          <w:docPartUnique/>
        </w:docPartObj>
      </w:sdtPr>
      <w:sdtEndPr>
        <w:rPr>
          <w:rFonts w:ascii="宋体" w:hAnsi="宋体" w:cs="宋体"/>
          <w:b/>
          <w:bCs/>
          <w:sz w:val="32"/>
          <w:szCs w:val="40"/>
        </w:rPr>
      </w:sdtEndPr>
      <w:sdtContent>
        <w:p w14:paraId="310D01BF">
          <w:pPr>
            <w:jc w:val="center"/>
          </w:pPr>
          <w:bookmarkStart w:id="3" w:name="_Toc224103298"/>
          <w:bookmarkStart w:id="4" w:name="_Toc8580"/>
          <w:bookmarkStart w:id="5" w:name="_Toc277082535"/>
          <w:bookmarkStart w:id="6" w:name="_Toc430530415"/>
          <w:bookmarkStart w:id="7" w:name="_Toc287607727"/>
          <w:bookmarkStart w:id="8" w:name="_Toc2534"/>
          <w:bookmarkStart w:id="9" w:name="_Toc287620666"/>
          <w:bookmarkStart w:id="10" w:name="_Toc509218691"/>
          <w:r>
            <w:rPr>
              <w:rFonts w:hint="eastAsia" w:ascii="宋体" w:hAnsi="宋体"/>
            </w:rPr>
            <w:t xml:space="preserve">     </w:t>
          </w:r>
        </w:p>
      </w:sdtContent>
    </w:sdt>
    <w:p w14:paraId="693AE180">
      <w:pPr>
        <w:spacing w:line="360" w:lineRule="auto"/>
        <w:rPr>
          <w:rFonts w:ascii="宋体" w:hAnsi="宋体" w:cs="宋体"/>
          <w:snapToGrid w:val="0"/>
          <w:kern w:val="0"/>
          <w:sz w:val="15"/>
          <w:szCs w:val="15"/>
        </w:rPr>
      </w:pPr>
    </w:p>
    <w:p w14:paraId="4118BA84">
      <w:pPr>
        <w:rPr>
          <w:rFonts w:ascii="宋体" w:hAnsi="宋体" w:cs="宋体"/>
          <w:snapToGrid w:val="0"/>
          <w:kern w:val="0"/>
          <w:sz w:val="15"/>
          <w:szCs w:val="15"/>
        </w:rPr>
      </w:pPr>
    </w:p>
    <w:p w14:paraId="7B6C5788">
      <w:pPr>
        <w:pStyle w:val="8"/>
        <w:rPr>
          <w:rFonts w:ascii="宋体" w:hAnsi="宋体" w:cs="宋体"/>
          <w:snapToGrid w:val="0"/>
          <w:kern w:val="0"/>
          <w:sz w:val="15"/>
          <w:szCs w:val="15"/>
        </w:rPr>
      </w:pPr>
    </w:p>
    <w:p w14:paraId="6F044D45">
      <w:pPr>
        <w:rPr>
          <w:rFonts w:ascii="宋体" w:hAnsi="宋体" w:cs="宋体"/>
          <w:snapToGrid w:val="0"/>
          <w:kern w:val="0"/>
          <w:sz w:val="15"/>
          <w:szCs w:val="15"/>
        </w:rPr>
      </w:pPr>
    </w:p>
    <w:p w14:paraId="2B9B198F">
      <w:pPr>
        <w:pStyle w:val="8"/>
        <w:rPr>
          <w:rFonts w:ascii="宋体" w:hAnsi="宋体" w:cs="宋体"/>
          <w:snapToGrid w:val="0"/>
          <w:kern w:val="0"/>
          <w:sz w:val="15"/>
          <w:szCs w:val="15"/>
        </w:rPr>
      </w:pPr>
    </w:p>
    <w:p w14:paraId="22B83EE2">
      <w:pPr>
        <w:rPr>
          <w:rFonts w:ascii="宋体" w:hAnsi="宋体" w:cs="宋体"/>
          <w:snapToGrid w:val="0"/>
          <w:kern w:val="0"/>
          <w:sz w:val="15"/>
          <w:szCs w:val="15"/>
        </w:rPr>
      </w:pPr>
    </w:p>
    <w:p w14:paraId="75953C24">
      <w:pPr>
        <w:pStyle w:val="8"/>
        <w:rPr>
          <w:rFonts w:ascii="宋体" w:hAnsi="宋体" w:cs="宋体"/>
          <w:snapToGrid w:val="0"/>
          <w:kern w:val="0"/>
          <w:sz w:val="15"/>
          <w:szCs w:val="15"/>
        </w:rPr>
      </w:pPr>
    </w:p>
    <w:p w14:paraId="51894B41">
      <w:pPr>
        <w:rPr>
          <w:rFonts w:ascii="宋体" w:hAnsi="宋体" w:cs="宋体"/>
          <w:snapToGrid w:val="0"/>
          <w:kern w:val="0"/>
          <w:sz w:val="15"/>
          <w:szCs w:val="15"/>
        </w:rPr>
      </w:pPr>
    </w:p>
    <w:p w14:paraId="208FEA4C">
      <w:pPr>
        <w:pStyle w:val="8"/>
        <w:rPr>
          <w:rFonts w:ascii="宋体" w:hAnsi="宋体" w:cs="宋体"/>
          <w:snapToGrid w:val="0"/>
          <w:kern w:val="0"/>
          <w:sz w:val="15"/>
          <w:szCs w:val="15"/>
        </w:rPr>
      </w:pPr>
    </w:p>
    <w:p w14:paraId="03185AD2">
      <w:pPr>
        <w:rPr>
          <w:rFonts w:ascii="宋体" w:hAnsi="宋体" w:cs="宋体"/>
          <w:snapToGrid w:val="0"/>
          <w:kern w:val="0"/>
          <w:sz w:val="15"/>
          <w:szCs w:val="15"/>
        </w:rPr>
      </w:pPr>
    </w:p>
    <w:p w14:paraId="29A109EC">
      <w:pPr>
        <w:pStyle w:val="8"/>
        <w:rPr>
          <w:rFonts w:ascii="宋体" w:hAnsi="宋体" w:cs="宋体"/>
          <w:snapToGrid w:val="0"/>
          <w:kern w:val="0"/>
          <w:sz w:val="15"/>
          <w:szCs w:val="15"/>
        </w:rPr>
      </w:pPr>
    </w:p>
    <w:p w14:paraId="4AC5F824">
      <w:pPr>
        <w:rPr>
          <w:rFonts w:ascii="宋体" w:hAnsi="宋体" w:cs="宋体"/>
          <w:snapToGrid w:val="0"/>
          <w:kern w:val="0"/>
          <w:sz w:val="15"/>
          <w:szCs w:val="15"/>
        </w:rPr>
      </w:pPr>
    </w:p>
    <w:p w14:paraId="5EB10630">
      <w:pPr>
        <w:pStyle w:val="8"/>
      </w:pPr>
    </w:p>
    <w:p w14:paraId="594A9388"/>
    <w:p w14:paraId="3255B9D0"/>
    <w:p w14:paraId="3A879988">
      <w:pPr>
        <w:pStyle w:val="2"/>
      </w:pPr>
    </w:p>
    <w:p w14:paraId="23F40D9D"/>
    <w:p w14:paraId="22C64591">
      <w:pPr>
        <w:pStyle w:val="8"/>
      </w:pPr>
    </w:p>
    <w:p w14:paraId="255D7F52">
      <w:pPr>
        <w:pStyle w:val="8"/>
      </w:pPr>
    </w:p>
    <w:p w14:paraId="4751F330">
      <w:pPr>
        <w:pStyle w:val="8"/>
      </w:pPr>
    </w:p>
    <w:p w14:paraId="3ADC69D9"/>
    <w:p w14:paraId="3C4F0609">
      <w:pPr>
        <w:pStyle w:val="2"/>
      </w:pPr>
    </w:p>
    <w:p w14:paraId="28B4C2CE">
      <w:pPr>
        <w:rPr>
          <w:rFonts w:ascii="宋体" w:hAnsi="宋体" w:cs="宋体"/>
          <w:snapToGrid w:val="0"/>
          <w:kern w:val="0"/>
        </w:rPr>
      </w:pPr>
    </w:p>
    <w:p w14:paraId="3C82C196">
      <w:pPr>
        <w:pStyle w:val="3"/>
        <w:spacing w:before="0" w:after="0" w:line="360" w:lineRule="auto"/>
        <w:jc w:val="center"/>
        <w:rPr>
          <w:rFonts w:ascii="宋体" w:hAnsi="宋体" w:cs="宋体"/>
          <w:snapToGrid w:val="0"/>
          <w:kern w:val="0"/>
        </w:rPr>
      </w:pPr>
      <w:r>
        <w:rPr>
          <w:rFonts w:hint="eastAsia" w:ascii="宋体" w:hAnsi="宋体" w:cs="宋体"/>
          <w:snapToGrid w:val="0"/>
          <w:kern w:val="0"/>
        </w:rPr>
        <w:t>第一章  比选公告</w:t>
      </w:r>
      <w:bookmarkEnd w:id="3"/>
      <w:bookmarkEnd w:id="4"/>
      <w:bookmarkEnd w:id="5"/>
      <w:bookmarkEnd w:id="6"/>
      <w:bookmarkEnd w:id="7"/>
      <w:bookmarkEnd w:id="8"/>
      <w:bookmarkEnd w:id="9"/>
      <w:bookmarkEnd w:id="10"/>
    </w:p>
    <w:p w14:paraId="5E7BF2E9">
      <w:pPr>
        <w:autoSpaceDE w:val="0"/>
        <w:autoSpaceDN w:val="0"/>
        <w:adjustRightInd w:val="0"/>
        <w:snapToGrid w:val="0"/>
        <w:spacing w:line="360" w:lineRule="auto"/>
        <w:jc w:val="center"/>
        <w:rPr>
          <w:rFonts w:ascii="宋体" w:hAnsi="宋体" w:cs="宋体"/>
          <w:b/>
          <w:snapToGrid w:val="0"/>
          <w:kern w:val="0"/>
          <w:sz w:val="28"/>
          <w:szCs w:val="28"/>
        </w:rPr>
      </w:pPr>
      <w:bookmarkStart w:id="11" w:name="OLE_LINK2"/>
      <w:r>
        <w:rPr>
          <w:rFonts w:hint="eastAsia" w:ascii="宋体" w:hAnsi="宋体" w:cs="宋体"/>
          <w:b/>
          <w:snapToGrid w:val="0"/>
          <w:kern w:val="0"/>
          <w:sz w:val="28"/>
          <w:szCs w:val="28"/>
        </w:rPr>
        <w:t>重庆市南岸区总工会职工服务阵地改建工程监理</w:t>
      </w:r>
    </w:p>
    <w:p w14:paraId="250A4CDE">
      <w:pPr>
        <w:autoSpaceDE w:val="0"/>
        <w:autoSpaceDN w:val="0"/>
        <w:adjustRightInd w:val="0"/>
        <w:snapToGrid w:val="0"/>
        <w:spacing w:line="360" w:lineRule="auto"/>
        <w:jc w:val="center"/>
        <w:rPr>
          <w:rFonts w:ascii="宋体" w:hAnsi="宋体" w:cs="宋体"/>
          <w:b/>
          <w:snapToGrid w:val="0"/>
          <w:kern w:val="0"/>
          <w:sz w:val="28"/>
          <w:szCs w:val="28"/>
        </w:rPr>
      </w:pPr>
      <w:r>
        <w:rPr>
          <w:rFonts w:hint="eastAsia" w:ascii="宋体" w:hAnsi="宋体" w:cs="宋体"/>
          <w:b/>
          <w:snapToGrid w:val="0"/>
          <w:kern w:val="0"/>
          <w:sz w:val="28"/>
          <w:szCs w:val="28"/>
        </w:rPr>
        <w:t>竞争性比选公告</w:t>
      </w:r>
    </w:p>
    <w:p w14:paraId="2B98D8F6">
      <w:pPr>
        <w:pStyle w:val="4"/>
        <w:spacing w:before="100" w:after="100" w:line="400" w:lineRule="exact"/>
        <w:rPr>
          <w:rFonts w:ascii="宋体" w:hAnsi="宋体" w:cs="宋体"/>
          <w:bCs w:val="0"/>
          <w:snapToGrid w:val="0"/>
          <w:sz w:val="21"/>
          <w:szCs w:val="21"/>
        </w:rPr>
      </w:pPr>
      <w:bookmarkStart w:id="12" w:name="_Toc13786"/>
      <w:bookmarkStart w:id="13" w:name="_Toc31381"/>
      <w:bookmarkStart w:id="14" w:name="_Toc7072"/>
      <w:r>
        <w:rPr>
          <w:rFonts w:hint="eastAsia" w:ascii="宋体" w:hAnsi="宋体" w:cs="宋体"/>
          <w:bCs w:val="0"/>
          <w:snapToGrid w:val="0"/>
          <w:sz w:val="21"/>
          <w:szCs w:val="21"/>
        </w:rPr>
        <w:t>一、比选条件</w:t>
      </w:r>
      <w:bookmarkEnd w:id="12"/>
      <w:bookmarkEnd w:id="13"/>
      <w:bookmarkEnd w:id="14"/>
    </w:p>
    <w:p w14:paraId="0D53C452">
      <w:pPr>
        <w:tabs>
          <w:tab w:val="left" w:pos="3315"/>
          <w:tab w:val="left" w:pos="3390"/>
          <w:tab w:val="left" w:pos="6120"/>
          <w:tab w:val="left" w:pos="8850"/>
        </w:tabs>
        <w:adjustRightInd w:val="0"/>
        <w:snapToGrid w:val="0"/>
        <w:spacing w:line="480" w:lineRule="exact"/>
        <w:ind w:firstLine="420"/>
        <w:jc w:val="left"/>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rPr>
        <w:t>比选</w:t>
      </w:r>
      <w:r>
        <w:rPr>
          <w:rFonts w:ascii="宋体" w:hAnsi="宋体"/>
          <w:snapToGrid w:val="0"/>
          <w:kern w:val="0"/>
          <w:szCs w:val="21"/>
        </w:rPr>
        <w:t>项目</w:t>
      </w:r>
      <w:r>
        <w:rPr>
          <w:rFonts w:hint="eastAsia" w:ascii="宋体" w:hAnsi="宋体"/>
          <w:snapToGrid w:val="0"/>
          <w:kern w:val="0"/>
          <w:szCs w:val="21"/>
          <w:u w:val="single"/>
        </w:rPr>
        <w:t>重庆市南岸区总工会职工服务阵地改建工程</w:t>
      </w:r>
      <w:r>
        <w:rPr>
          <w:rFonts w:ascii="宋体" w:hAnsi="宋体"/>
          <w:snapToGrid w:val="0"/>
          <w:kern w:val="0"/>
          <w:szCs w:val="21"/>
        </w:rPr>
        <w:t>已由</w:t>
      </w:r>
      <w:r>
        <w:rPr>
          <w:rFonts w:hint="eastAsia" w:ascii="宋体" w:hAnsi="宋体"/>
          <w:snapToGrid w:val="0"/>
          <w:kern w:val="0"/>
          <w:szCs w:val="21"/>
          <w:u w:val="single"/>
        </w:rPr>
        <w:t>重庆市南岸区发展和改革委员会</w:t>
      </w:r>
      <w:r>
        <w:rPr>
          <w:rFonts w:ascii="宋体" w:hAnsi="宋体"/>
          <w:snapToGrid w:val="0"/>
          <w:kern w:val="0"/>
          <w:szCs w:val="21"/>
        </w:rPr>
        <w:t>以</w:t>
      </w:r>
      <w:r>
        <w:rPr>
          <w:rFonts w:hint="eastAsia" w:ascii="宋体" w:hAnsi="宋体" w:cs="宋体"/>
          <w:szCs w:val="21"/>
          <w:u w:val="single"/>
          <w:shd w:val="clear" w:color="auto" w:fill="FFFFFF"/>
        </w:rPr>
        <w:t>重庆市企业投资项目备案证（项目代码:2403-500108-04-01-551808）</w:t>
      </w:r>
      <w:r>
        <w:rPr>
          <w:rFonts w:ascii="宋体" w:hAnsi="宋体"/>
          <w:snapToGrid w:val="0"/>
          <w:kern w:val="0"/>
          <w:szCs w:val="21"/>
        </w:rPr>
        <w:t>批准建设，项目业主为</w:t>
      </w:r>
      <w:r>
        <w:rPr>
          <w:rFonts w:hint="eastAsia" w:ascii="宋体" w:hAnsi="宋体"/>
          <w:snapToGrid w:val="0"/>
          <w:kern w:val="0"/>
          <w:szCs w:val="21"/>
          <w:u w:val="single"/>
        </w:rPr>
        <w:t>重庆市城圆城市建设发展（集团）有限公司</w:t>
      </w:r>
      <w:r>
        <w:rPr>
          <w:rFonts w:ascii="宋体" w:hAnsi="宋体"/>
          <w:snapToGrid w:val="0"/>
          <w:kern w:val="0"/>
          <w:szCs w:val="21"/>
        </w:rPr>
        <w:t>，建设资金来自</w:t>
      </w:r>
      <w:r>
        <w:rPr>
          <w:rFonts w:hint="eastAsia" w:ascii="宋体" w:hAnsi="宋体"/>
          <w:snapToGrid w:val="0"/>
          <w:kern w:val="0"/>
          <w:szCs w:val="21"/>
          <w:u w:val="single"/>
        </w:rPr>
        <w:t>业主自筹</w:t>
      </w:r>
      <w:r>
        <w:rPr>
          <w:rFonts w:ascii="宋体" w:hAnsi="宋体"/>
          <w:snapToGrid w:val="0"/>
          <w:kern w:val="0"/>
          <w:szCs w:val="21"/>
        </w:rPr>
        <w:t>，项目出资比例为</w:t>
      </w:r>
      <w:r>
        <w:rPr>
          <w:rFonts w:hint="eastAsia" w:ascii="宋体" w:hAnsi="宋体"/>
          <w:snapToGrid w:val="0"/>
          <w:kern w:val="0"/>
          <w:szCs w:val="21"/>
          <w:u w:val="single"/>
        </w:rPr>
        <w:t xml:space="preserve">100% </w:t>
      </w:r>
      <w:r>
        <w:rPr>
          <w:rFonts w:ascii="宋体" w:hAnsi="宋体"/>
          <w:snapToGrid w:val="0"/>
          <w:kern w:val="0"/>
          <w:szCs w:val="21"/>
        </w:rPr>
        <w:t>，招标人</w:t>
      </w:r>
      <w:r>
        <w:rPr>
          <w:rFonts w:ascii="宋体" w:hAnsi="宋体"/>
          <w:snapToGrid w:val="0"/>
          <w:kern w:val="0"/>
          <w:position w:val="-2"/>
          <w:szCs w:val="21"/>
        </w:rPr>
        <w:t>为</w:t>
      </w:r>
      <w:r>
        <w:rPr>
          <w:rFonts w:hint="eastAsia" w:ascii="宋体" w:hAnsi="宋体"/>
          <w:snapToGrid w:val="0"/>
          <w:kern w:val="0"/>
          <w:szCs w:val="21"/>
          <w:u w:val="single"/>
        </w:rPr>
        <w:t>重庆市城圆城市建设发展（集团）有限公司</w:t>
      </w:r>
      <w:r>
        <w:rPr>
          <w:rFonts w:ascii="宋体" w:hAnsi="宋体"/>
          <w:snapToGrid w:val="0"/>
          <w:kern w:val="0"/>
          <w:position w:val="-2"/>
          <w:szCs w:val="21"/>
        </w:rPr>
        <w:t>。项目已具备</w:t>
      </w:r>
      <w:r>
        <w:rPr>
          <w:rFonts w:hint="eastAsia" w:ascii="宋体" w:hAnsi="宋体"/>
          <w:snapToGrid w:val="0"/>
          <w:kern w:val="0"/>
          <w:position w:val="-2"/>
          <w:szCs w:val="21"/>
        </w:rPr>
        <w:t>比选</w:t>
      </w:r>
      <w:r>
        <w:rPr>
          <w:rFonts w:ascii="宋体" w:hAnsi="宋体"/>
          <w:snapToGrid w:val="0"/>
          <w:kern w:val="0"/>
          <w:position w:val="-2"/>
          <w:szCs w:val="21"/>
        </w:rPr>
        <w:t>条件，现对</w:t>
      </w:r>
      <w:r>
        <w:rPr>
          <w:rFonts w:hint="eastAsia" w:ascii="宋体" w:hAnsi="宋体"/>
          <w:snapToGrid w:val="0"/>
          <w:kern w:val="0"/>
          <w:position w:val="-2"/>
          <w:szCs w:val="21"/>
          <w:u w:val="single"/>
        </w:rPr>
        <w:t>该项目的监理</w:t>
      </w:r>
      <w:r>
        <w:rPr>
          <w:rFonts w:ascii="宋体" w:hAnsi="宋体"/>
          <w:snapToGrid w:val="0"/>
          <w:kern w:val="0"/>
          <w:position w:val="-2"/>
          <w:szCs w:val="21"/>
        </w:rPr>
        <w:t>进行</w:t>
      </w:r>
      <w:r>
        <w:rPr>
          <w:rFonts w:hint="eastAsia" w:ascii="宋体" w:hAnsi="宋体"/>
          <w:snapToGrid w:val="0"/>
          <w:kern w:val="0"/>
          <w:szCs w:val="21"/>
        </w:rPr>
        <w:t>公开竞争性比选，欢迎各潜在竞选人参与竞选。</w:t>
      </w:r>
    </w:p>
    <w:p w14:paraId="1E0AF1DB">
      <w:pPr>
        <w:pStyle w:val="4"/>
        <w:numPr>
          <w:ilvl w:val="0"/>
          <w:numId w:val="1"/>
        </w:numPr>
        <w:spacing w:before="100" w:after="100" w:line="400" w:lineRule="exact"/>
        <w:rPr>
          <w:rFonts w:ascii="宋体" w:hAnsi="宋体" w:cs="宋体"/>
          <w:bCs w:val="0"/>
          <w:snapToGrid w:val="0"/>
          <w:sz w:val="21"/>
          <w:szCs w:val="21"/>
        </w:rPr>
      </w:pPr>
      <w:bookmarkStart w:id="15" w:name="_Toc13219"/>
      <w:bookmarkStart w:id="16" w:name="_Toc30487"/>
      <w:bookmarkStart w:id="17" w:name="_Toc17229"/>
      <w:r>
        <w:rPr>
          <w:rFonts w:hint="eastAsia" w:ascii="宋体" w:hAnsi="宋体" w:cs="宋体"/>
          <w:bCs w:val="0"/>
          <w:snapToGrid w:val="0"/>
          <w:sz w:val="21"/>
          <w:szCs w:val="21"/>
        </w:rPr>
        <w:t>项目概况与比选范围</w:t>
      </w:r>
    </w:p>
    <w:p w14:paraId="025CF2C4">
      <w:pPr>
        <w:tabs>
          <w:tab w:val="left" w:pos="3840"/>
          <w:tab w:val="left" w:pos="5300"/>
        </w:tabs>
        <w:adjustRightInd w:val="0"/>
        <w:snapToGrid w:val="0"/>
        <w:spacing w:line="480" w:lineRule="exact"/>
        <w:ind w:firstLine="420" w:firstLineChars="200"/>
        <w:jc w:val="left"/>
        <w:rPr>
          <w:rFonts w:ascii="宋体" w:hAnsi="宋体"/>
          <w:snapToGrid w:val="0"/>
          <w:kern w:val="0"/>
          <w:szCs w:val="21"/>
          <w:u w:val="single"/>
        </w:rPr>
      </w:pPr>
      <w:bookmarkStart w:id="18" w:name="_Hlk536432704"/>
      <w:r>
        <w:rPr>
          <w:rFonts w:hint="eastAsia" w:asciiTheme="minorEastAsia" w:hAnsiTheme="minorEastAsia" w:eastAsiaTheme="minorEastAsia"/>
          <w:szCs w:val="21"/>
        </w:rPr>
        <w:t>2.1 建设地点：</w:t>
      </w:r>
      <w:r>
        <w:rPr>
          <w:rFonts w:hint="eastAsia" w:asciiTheme="minorEastAsia" w:hAnsiTheme="minorEastAsia" w:eastAsiaTheme="minorEastAsia"/>
          <w:szCs w:val="21"/>
          <w:u w:val="single"/>
        </w:rPr>
        <w:t>重庆市南岸区茶园广福大道1</w:t>
      </w:r>
      <w:r>
        <w:rPr>
          <w:rFonts w:asciiTheme="minorEastAsia" w:hAnsiTheme="minorEastAsia" w:eastAsiaTheme="minorEastAsia"/>
          <w:szCs w:val="21"/>
          <w:u w:val="single"/>
        </w:rPr>
        <w:t>3号附</w:t>
      </w:r>
      <w:r>
        <w:rPr>
          <w:rFonts w:hint="eastAsia" w:asciiTheme="minorEastAsia" w:hAnsiTheme="minorEastAsia" w:eastAsiaTheme="minorEastAsia"/>
          <w:szCs w:val="21"/>
          <w:u w:val="single"/>
        </w:rPr>
        <w:t>1</w:t>
      </w:r>
      <w:r>
        <w:rPr>
          <w:rFonts w:asciiTheme="minorEastAsia" w:hAnsiTheme="minorEastAsia" w:eastAsiaTheme="minorEastAsia"/>
          <w:szCs w:val="21"/>
          <w:u w:val="single"/>
        </w:rPr>
        <w:t>1号、莲池路</w:t>
      </w:r>
      <w:r>
        <w:rPr>
          <w:rFonts w:hint="eastAsia" w:asciiTheme="minorEastAsia" w:hAnsiTheme="minorEastAsia" w:eastAsiaTheme="minorEastAsia"/>
          <w:szCs w:val="21"/>
          <w:u w:val="single"/>
        </w:rPr>
        <w:t>1</w:t>
      </w:r>
      <w:r>
        <w:rPr>
          <w:rFonts w:asciiTheme="minorEastAsia" w:hAnsiTheme="minorEastAsia" w:eastAsiaTheme="minorEastAsia"/>
          <w:szCs w:val="21"/>
          <w:u w:val="single"/>
        </w:rPr>
        <w:t>1号</w:t>
      </w:r>
      <w:r>
        <w:rPr>
          <w:rFonts w:hint="eastAsia" w:ascii="宋体" w:hAnsi="宋体"/>
          <w:snapToGrid w:val="0"/>
          <w:kern w:val="0"/>
          <w:szCs w:val="21"/>
          <w:u w:val="single"/>
        </w:rPr>
        <w:t>；</w:t>
      </w:r>
    </w:p>
    <w:p w14:paraId="72CDEEA9">
      <w:pPr>
        <w:tabs>
          <w:tab w:val="left" w:pos="3840"/>
          <w:tab w:val="left" w:pos="5300"/>
        </w:tabs>
        <w:adjustRightInd w:val="0"/>
        <w:snapToGrid w:val="0"/>
        <w:spacing w:line="480" w:lineRule="exact"/>
        <w:ind w:firstLine="420" w:firstLineChars="200"/>
        <w:jc w:val="left"/>
        <w:rPr>
          <w:rFonts w:ascii="宋体" w:hAnsi="宋体" w:eastAsiaTheme="minorEastAsia"/>
          <w:i/>
          <w:snapToGrid w:val="0"/>
          <w:kern w:val="0"/>
          <w:szCs w:val="21"/>
        </w:rPr>
      </w:pPr>
      <w:r>
        <w:rPr>
          <w:rFonts w:hint="eastAsia" w:asciiTheme="minorEastAsia" w:hAnsiTheme="minorEastAsia" w:eastAsiaTheme="minorEastAsia"/>
          <w:szCs w:val="21"/>
        </w:rPr>
        <w:t xml:space="preserve">2.2 </w:t>
      </w:r>
      <w:r>
        <w:rPr>
          <w:rFonts w:hint="eastAsia" w:asciiTheme="minorEastAsia" w:hAnsiTheme="minorEastAsia" w:eastAsiaTheme="minorEastAsia"/>
          <w:snapToGrid w:val="0"/>
          <w:kern w:val="0"/>
          <w:szCs w:val="21"/>
        </w:rPr>
        <w:t>项目概况与建设规模</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南岸区新职工服务阵地位于南岸区茶园广福路茶园江南小区七期餐饮街A区，面积约8640㎡，包含以下部分：（1）室内部分：负二层车库含消防电梯厅（约2840㎡）；一层室内（约1220㎡）；二层室内（约1240㎡）；三层室内（约1240㎡）；四层室内（约1020㎡）；五层室内（约650㎡）。（2）室外部分：四层露台（约120㎡）；五层露台1（约130㎡）；五层露台2（约180㎡）。</w:t>
      </w:r>
    </w:p>
    <w:p w14:paraId="2D4F609A">
      <w:pPr>
        <w:tabs>
          <w:tab w:val="left" w:pos="3840"/>
          <w:tab w:val="left" w:pos="5300"/>
        </w:tabs>
        <w:adjustRightInd w:val="0"/>
        <w:snapToGrid w:val="0"/>
        <w:spacing w:line="480" w:lineRule="exact"/>
        <w:ind w:firstLine="420" w:firstLineChars="200"/>
        <w:jc w:val="left"/>
        <w:rPr>
          <w:rFonts w:ascii="宋体" w:hAnsi="宋体"/>
          <w:i/>
          <w:snapToGrid w:val="0"/>
          <w:kern w:val="0"/>
          <w:szCs w:val="21"/>
        </w:rPr>
      </w:pPr>
      <w:r>
        <w:rPr>
          <w:rFonts w:hint="eastAsia" w:asciiTheme="minorEastAsia" w:hAnsiTheme="minorEastAsia" w:eastAsiaTheme="minorEastAsia"/>
          <w:szCs w:val="21"/>
        </w:rPr>
        <w:t xml:space="preserve">2.3 </w:t>
      </w:r>
      <w:r>
        <w:rPr>
          <w:rFonts w:hint="eastAsia" w:asciiTheme="minorEastAsia" w:hAnsiTheme="minorEastAsia" w:eastAsiaTheme="minorEastAsia"/>
          <w:snapToGrid w:val="0"/>
          <w:kern w:val="0"/>
          <w:szCs w:val="21"/>
        </w:rPr>
        <w:t>本次</w:t>
      </w:r>
      <w:r>
        <w:rPr>
          <w:rFonts w:hint="eastAsia" w:ascii="宋体" w:hAnsi="宋体"/>
          <w:snapToGrid w:val="0"/>
          <w:szCs w:val="21"/>
        </w:rPr>
        <w:t>比选</w:t>
      </w:r>
      <w:r>
        <w:rPr>
          <w:rFonts w:hint="eastAsia" w:asciiTheme="minorEastAsia" w:hAnsiTheme="minorEastAsia" w:eastAsiaTheme="minorEastAsia"/>
          <w:snapToGrid w:val="0"/>
          <w:kern w:val="0"/>
          <w:szCs w:val="21"/>
        </w:rPr>
        <w:t>项目建筑安装工程费估算金额：</w:t>
      </w:r>
      <w:r>
        <w:rPr>
          <w:rFonts w:hint="eastAsia" w:ascii="宋体" w:hAnsi="宋体" w:eastAsiaTheme="minorEastAsia"/>
          <w:snapToGrid w:val="0"/>
          <w:kern w:val="0"/>
          <w:szCs w:val="21"/>
          <w:u w:val="single"/>
        </w:rPr>
        <w:t>1400</w:t>
      </w:r>
      <w:r>
        <w:rPr>
          <w:rFonts w:hint="eastAsia" w:ascii="宋体" w:hAnsi="宋体"/>
          <w:snapToGrid w:val="0"/>
          <w:kern w:val="0"/>
          <w:szCs w:val="21"/>
          <w:u w:val="single"/>
        </w:rPr>
        <w:t xml:space="preserve">万元  </w:t>
      </w:r>
    </w:p>
    <w:p w14:paraId="4066DADA">
      <w:pPr>
        <w:tabs>
          <w:tab w:val="left" w:pos="3840"/>
          <w:tab w:val="left" w:pos="5300"/>
        </w:tabs>
        <w:adjustRightInd w:val="0"/>
        <w:snapToGrid w:val="0"/>
        <w:spacing w:line="480" w:lineRule="exact"/>
        <w:ind w:firstLine="840" w:firstLineChars="400"/>
        <w:jc w:val="left"/>
        <w:rPr>
          <w:rFonts w:ascii="宋体" w:hAnsi="宋体"/>
          <w:i/>
          <w:snapToGrid w:val="0"/>
          <w:kern w:val="0"/>
          <w:szCs w:val="21"/>
        </w:rPr>
      </w:pPr>
      <w:r>
        <w:rPr>
          <w:rFonts w:hint="eastAsia" w:asciiTheme="minorEastAsia" w:hAnsiTheme="minorEastAsia" w:eastAsiaTheme="minorEastAsia"/>
          <w:snapToGrid w:val="0"/>
          <w:kern w:val="0"/>
          <w:szCs w:val="21"/>
        </w:rPr>
        <w:t>本次</w:t>
      </w:r>
      <w:r>
        <w:rPr>
          <w:rFonts w:hint="eastAsia" w:ascii="宋体" w:hAnsi="宋体"/>
          <w:snapToGrid w:val="0"/>
          <w:szCs w:val="21"/>
        </w:rPr>
        <w:t>比选</w:t>
      </w:r>
      <w:r>
        <w:rPr>
          <w:rFonts w:hint="eastAsia" w:asciiTheme="minorEastAsia" w:hAnsiTheme="minorEastAsia" w:eastAsiaTheme="minorEastAsia"/>
          <w:snapToGrid w:val="0"/>
          <w:kern w:val="0"/>
          <w:szCs w:val="21"/>
        </w:rPr>
        <w:t>项目监理合同估算金额：</w:t>
      </w:r>
      <w:r>
        <w:rPr>
          <w:rFonts w:hint="eastAsia" w:ascii="宋体" w:hAnsi="宋体" w:eastAsiaTheme="minorEastAsia"/>
          <w:snapToGrid w:val="0"/>
          <w:kern w:val="0"/>
          <w:szCs w:val="21"/>
          <w:u w:val="single"/>
        </w:rPr>
        <w:t>23.62</w:t>
      </w:r>
      <w:r>
        <w:rPr>
          <w:rFonts w:hint="eastAsia" w:ascii="宋体" w:hAnsi="宋体"/>
          <w:snapToGrid w:val="0"/>
          <w:kern w:val="0"/>
          <w:szCs w:val="21"/>
          <w:u w:val="single"/>
        </w:rPr>
        <w:t>万元</w:t>
      </w:r>
    </w:p>
    <w:p w14:paraId="5363E4F8">
      <w:pPr>
        <w:tabs>
          <w:tab w:val="left" w:pos="3840"/>
          <w:tab w:val="left" w:pos="5300"/>
        </w:tabs>
        <w:adjustRightInd w:val="0"/>
        <w:snapToGrid w:val="0"/>
        <w:spacing w:line="480" w:lineRule="exact"/>
        <w:ind w:firstLine="420" w:firstLineChars="200"/>
        <w:jc w:val="left"/>
        <w:rPr>
          <w:rFonts w:ascii="宋体" w:hAnsi="宋体"/>
          <w:i/>
          <w:snapToGrid w:val="0"/>
          <w:kern w:val="0"/>
          <w:szCs w:val="21"/>
        </w:rPr>
      </w:pPr>
      <w:r>
        <w:rPr>
          <w:rFonts w:hint="eastAsia" w:asciiTheme="minorEastAsia" w:hAnsiTheme="minorEastAsia" w:eastAsiaTheme="minorEastAsia"/>
          <w:szCs w:val="21"/>
        </w:rPr>
        <w:t xml:space="preserve">2.4 </w:t>
      </w:r>
      <w:r>
        <w:rPr>
          <w:rFonts w:hint="eastAsia" w:ascii="宋体" w:hAnsi="宋体"/>
          <w:snapToGrid w:val="0"/>
          <w:szCs w:val="21"/>
        </w:rPr>
        <w:t>比选</w:t>
      </w:r>
      <w:r>
        <w:rPr>
          <w:rFonts w:hint="eastAsia" w:asciiTheme="minorEastAsia" w:hAnsiTheme="minorEastAsia" w:eastAsiaTheme="minorEastAsia"/>
          <w:szCs w:val="21"/>
        </w:rPr>
        <w:t>范围：</w:t>
      </w:r>
      <w:r>
        <w:rPr>
          <w:rFonts w:hint="eastAsia" w:ascii="宋体" w:hAnsi="宋体" w:cs="宋体"/>
          <w:szCs w:val="21"/>
          <w:u w:val="single"/>
        </w:rPr>
        <w:t>包含施工、缺陷责任期内表现出的任何缺陷修复的监理服务。具体如下：</w:t>
      </w:r>
    </w:p>
    <w:p w14:paraId="76A0D5CD">
      <w:pPr>
        <w:tabs>
          <w:tab w:val="left" w:pos="3840"/>
          <w:tab w:val="left" w:pos="5300"/>
        </w:tabs>
        <w:adjustRightInd w:val="0"/>
        <w:snapToGrid w:val="0"/>
        <w:spacing w:line="480" w:lineRule="exact"/>
        <w:ind w:firstLine="420" w:firstLineChars="200"/>
        <w:jc w:val="left"/>
        <w:rPr>
          <w:rFonts w:ascii="宋体" w:hAnsi="宋体"/>
          <w:i/>
          <w:snapToGrid w:val="0"/>
          <w:kern w:val="0"/>
          <w:szCs w:val="21"/>
        </w:rPr>
      </w:pPr>
      <w:r>
        <w:rPr>
          <w:rFonts w:hint="eastAsia" w:ascii="宋体" w:hAnsi="宋体" w:cs="宋体"/>
          <w:szCs w:val="21"/>
          <w:u w:val="single"/>
        </w:rPr>
        <w:t>施工阶段：含施工图设计及清单范围内全部工程施工及竣工验收的监理服务，包括施工准备阶段，施工过程中的质量，进度，费用控制，安全、文明施工监理，合同、信息方面的协调管理等。</w:t>
      </w:r>
    </w:p>
    <w:p w14:paraId="3ABE71FA">
      <w:pPr>
        <w:tabs>
          <w:tab w:val="left" w:pos="3840"/>
          <w:tab w:val="left" w:pos="5300"/>
        </w:tabs>
        <w:adjustRightInd w:val="0"/>
        <w:snapToGrid w:val="0"/>
        <w:spacing w:line="480" w:lineRule="exact"/>
        <w:ind w:firstLine="420" w:firstLineChars="200"/>
        <w:jc w:val="left"/>
        <w:rPr>
          <w:rFonts w:ascii="宋体" w:hAnsi="宋体"/>
          <w:i/>
          <w:snapToGrid w:val="0"/>
          <w:kern w:val="0"/>
          <w:szCs w:val="21"/>
        </w:rPr>
      </w:pPr>
      <w:r>
        <w:rPr>
          <w:rFonts w:hint="eastAsia" w:ascii="宋体" w:hAnsi="宋体" w:cs="宋体"/>
          <w:szCs w:val="21"/>
          <w:u w:val="single"/>
        </w:rPr>
        <w:t>缺陷责任期阶段：检查和记录工程质量缺陷，对缺陷原因进行调查分析并确定责任归属，审核修复方案，监督修复过程并验收，审核修复费用等保修阶段的监理服务</w:t>
      </w:r>
      <w:r>
        <w:rPr>
          <w:rFonts w:hint="eastAsia" w:ascii="宋体" w:hAnsi="宋体" w:cs="宋体"/>
          <w:szCs w:val="21"/>
        </w:rPr>
        <w:t>。</w:t>
      </w:r>
    </w:p>
    <w:p w14:paraId="7371B2D4">
      <w:pPr>
        <w:tabs>
          <w:tab w:val="left" w:pos="3840"/>
          <w:tab w:val="left" w:pos="5300"/>
        </w:tabs>
        <w:adjustRightInd w:val="0"/>
        <w:snapToGrid w:val="0"/>
        <w:spacing w:line="480" w:lineRule="exact"/>
        <w:ind w:firstLine="420" w:firstLineChars="200"/>
        <w:jc w:val="left"/>
        <w:rPr>
          <w:rFonts w:ascii="宋体" w:hAnsi="宋体" w:cs="宋体"/>
          <w:u w:val="single"/>
        </w:rPr>
      </w:pPr>
      <w:r>
        <w:rPr>
          <w:rFonts w:hint="eastAsia" w:asciiTheme="minorEastAsia" w:hAnsiTheme="minorEastAsia" w:eastAsiaTheme="minorEastAsia"/>
          <w:szCs w:val="21"/>
        </w:rPr>
        <w:t>2.5 监理服务期要求</w:t>
      </w:r>
      <w:bookmarkEnd w:id="15"/>
      <w:bookmarkEnd w:id="16"/>
      <w:bookmarkEnd w:id="17"/>
      <w:bookmarkEnd w:id="18"/>
      <w:bookmarkStart w:id="19" w:name="_Toc3686"/>
      <w:bookmarkStart w:id="20" w:name="_Toc6792"/>
      <w:bookmarkStart w:id="21" w:name="_Toc4964"/>
      <w:r>
        <w:rPr>
          <w:rFonts w:hint="eastAsia" w:asciiTheme="minorEastAsia" w:hAnsiTheme="minorEastAsia" w:eastAsiaTheme="minorEastAsia"/>
          <w:szCs w:val="21"/>
        </w:rPr>
        <w:t>：</w:t>
      </w:r>
      <w:r>
        <w:rPr>
          <w:rFonts w:hint="eastAsia" w:asciiTheme="minorEastAsia" w:hAnsiTheme="minorEastAsia" w:eastAsiaTheme="minorEastAsia"/>
          <w:szCs w:val="21"/>
          <w:u w:val="single"/>
        </w:rPr>
        <w:t>从监理合同签订之日起至缺陷责任期满止，其中：计划施工工期:暂定施工阶段服务期80日历天，缺陷责任期：24个月，具体以招标人的书面进场通知为监理服务期的起始时间，以项目竣工验收合格且监理资料交接完成并协助建设单位取得工程备案验收证书且缺陷责任期满为监理服务期的完成时间。</w:t>
      </w:r>
    </w:p>
    <w:p w14:paraId="16575479">
      <w:pPr>
        <w:tabs>
          <w:tab w:val="left" w:pos="3840"/>
          <w:tab w:val="left" w:pos="5300"/>
        </w:tabs>
        <w:adjustRightInd w:val="0"/>
        <w:snapToGrid w:val="0"/>
        <w:spacing w:line="480" w:lineRule="exact"/>
        <w:ind w:firstLine="422" w:firstLineChars="200"/>
        <w:jc w:val="left"/>
        <w:rPr>
          <w:rFonts w:ascii="宋体" w:hAnsi="宋体"/>
          <w:b/>
          <w:bCs/>
          <w:snapToGrid w:val="0"/>
          <w:kern w:val="0"/>
          <w:szCs w:val="21"/>
        </w:rPr>
      </w:pPr>
      <w:r>
        <w:rPr>
          <w:rFonts w:hint="eastAsia" w:ascii="宋体" w:hAnsi="宋体"/>
          <w:b/>
          <w:bCs/>
          <w:snapToGrid w:val="0"/>
          <w:kern w:val="0"/>
          <w:szCs w:val="21"/>
        </w:rPr>
        <w:t>注：①如实际完工时间与计划完工时间有差异，以实际完工时间为准。</w:t>
      </w:r>
    </w:p>
    <w:p w14:paraId="1D49A1E2">
      <w:pPr>
        <w:tabs>
          <w:tab w:val="left" w:pos="3840"/>
          <w:tab w:val="left" w:pos="5300"/>
        </w:tabs>
        <w:adjustRightInd w:val="0"/>
        <w:snapToGrid w:val="0"/>
        <w:spacing w:line="480" w:lineRule="exact"/>
        <w:ind w:firstLine="843" w:firstLineChars="400"/>
        <w:jc w:val="left"/>
        <w:rPr>
          <w:rFonts w:ascii="宋体" w:hAnsi="宋体"/>
          <w:i/>
          <w:snapToGrid w:val="0"/>
          <w:kern w:val="0"/>
          <w:szCs w:val="21"/>
        </w:rPr>
      </w:pPr>
      <w:r>
        <w:rPr>
          <w:rFonts w:hint="eastAsia" w:ascii="宋体" w:hAnsi="宋体"/>
          <w:b/>
          <w:bCs/>
          <w:snapToGrid w:val="0"/>
          <w:kern w:val="0"/>
          <w:szCs w:val="21"/>
        </w:rPr>
        <w:t>②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p w14:paraId="0710FC27">
      <w:pPr>
        <w:tabs>
          <w:tab w:val="left" w:pos="3840"/>
          <w:tab w:val="left" w:pos="5300"/>
        </w:tabs>
        <w:autoSpaceDE w:val="0"/>
        <w:autoSpaceDN w:val="0"/>
        <w:adjustRightInd w:val="0"/>
        <w:snapToGrid w:val="0"/>
        <w:spacing w:line="460" w:lineRule="exact"/>
        <w:jc w:val="left"/>
        <w:rPr>
          <w:rFonts w:ascii="宋体" w:hAnsi="宋体"/>
          <w:b/>
          <w:bCs/>
          <w:snapToGrid w:val="0"/>
          <w:kern w:val="0"/>
          <w:szCs w:val="21"/>
        </w:rPr>
      </w:pPr>
      <w:r>
        <w:rPr>
          <w:rFonts w:hint="eastAsia" w:ascii="宋体" w:hAnsi="宋体"/>
          <w:b/>
          <w:bCs/>
          <w:snapToGrid w:val="0"/>
          <w:kern w:val="0"/>
          <w:szCs w:val="21"/>
        </w:rPr>
        <w:t>三、竞选人资格要求</w:t>
      </w:r>
      <w:bookmarkEnd w:id="19"/>
      <w:bookmarkEnd w:id="20"/>
      <w:bookmarkEnd w:id="21"/>
    </w:p>
    <w:p w14:paraId="2FE146F5">
      <w:pPr>
        <w:tabs>
          <w:tab w:val="left" w:pos="3840"/>
          <w:tab w:val="left" w:pos="5300"/>
        </w:tabs>
        <w:adjustRightInd w:val="0"/>
        <w:snapToGrid w:val="0"/>
        <w:spacing w:line="480" w:lineRule="exact"/>
        <w:ind w:firstLine="420" w:firstLineChars="200"/>
        <w:jc w:val="left"/>
        <w:rPr>
          <w:rFonts w:ascii="宋体" w:hAnsi="宋体"/>
          <w:snapToGrid w:val="0"/>
          <w:kern w:val="0"/>
          <w:szCs w:val="21"/>
        </w:rPr>
      </w:pPr>
      <w:bookmarkStart w:id="22" w:name="_Toc29881"/>
      <w:bookmarkStart w:id="23" w:name="_Toc22348"/>
      <w:bookmarkStart w:id="24" w:name="_Toc26534"/>
      <w:r>
        <w:rPr>
          <w:rFonts w:hint="eastAsia" w:ascii="宋体" w:hAnsi="宋体"/>
          <w:snapToGrid w:val="0"/>
          <w:kern w:val="0"/>
          <w:szCs w:val="21"/>
        </w:rPr>
        <w:t xml:space="preserve">1.竞选人具有独立的法人资格，具备建设行政主管部门颁发的工程监理综合资质或房屋建筑工程监理乙级及以上资质，并在人员、设备、资金等方面具有相应的能力。 </w:t>
      </w:r>
    </w:p>
    <w:p w14:paraId="7B84EEC3">
      <w:pPr>
        <w:tabs>
          <w:tab w:val="left" w:pos="3840"/>
          <w:tab w:val="left" w:pos="5300"/>
        </w:tabs>
        <w:adjustRightInd w:val="0"/>
        <w:snapToGrid w:val="0"/>
        <w:spacing w:line="480" w:lineRule="exact"/>
        <w:ind w:firstLine="420" w:firstLineChars="200"/>
        <w:jc w:val="left"/>
        <w:rPr>
          <w:rFonts w:ascii="宋体" w:hAnsi="宋体"/>
          <w:snapToGrid w:val="0"/>
          <w:kern w:val="0"/>
          <w:szCs w:val="21"/>
        </w:rPr>
      </w:pPr>
      <w:r>
        <w:rPr>
          <w:rFonts w:hint="eastAsia" w:ascii="宋体" w:hAnsi="宋体"/>
          <w:snapToGrid w:val="0"/>
          <w:kern w:val="0"/>
          <w:szCs w:val="21"/>
        </w:rPr>
        <w:t xml:space="preserve">2.具备有效的营业执照。 </w:t>
      </w:r>
    </w:p>
    <w:p w14:paraId="35D10A1F">
      <w:pPr>
        <w:tabs>
          <w:tab w:val="left" w:pos="3045"/>
          <w:tab w:val="left" w:pos="8310"/>
        </w:tabs>
        <w:adjustRightInd w:val="0"/>
        <w:snapToGrid w:val="0"/>
        <w:spacing w:line="480" w:lineRule="exact"/>
        <w:ind w:firstLine="420" w:firstLineChars="200"/>
        <w:rPr>
          <w:rFonts w:ascii="宋体" w:hAnsi="宋体"/>
          <w:snapToGrid w:val="0"/>
          <w:kern w:val="0"/>
          <w:szCs w:val="21"/>
        </w:rPr>
      </w:pPr>
      <w:r>
        <w:rPr>
          <w:rFonts w:hint="eastAsia" w:ascii="宋体" w:hAnsi="宋体"/>
          <w:snapToGrid w:val="0"/>
          <w:kern w:val="0"/>
          <w:szCs w:val="21"/>
        </w:rPr>
        <w:t>3.本次比选不接受联合体参加竞选</w:t>
      </w:r>
      <w:r>
        <w:rPr>
          <w:rFonts w:ascii="宋体" w:hAnsi="宋体"/>
          <w:snapToGrid w:val="0"/>
          <w:kern w:val="0"/>
          <w:szCs w:val="21"/>
        </w:rPr>
        <w:t>。</w:t>
      </w:r>
    </w:p>
    <w:p w14:paraId="6D2183AD">
      <w:pPr>
        <w:pStyle w:val="17"/>
        <w:widowControl/>
        <w:snapToGrid w:val="0"/>
        <w:spacing w:beforeAutospacing="0" w:afterAutospacing="0" w:line="420" w:lineRule="exact"/>
        <w:rPr>
          <w:rFonts w:ascii="宋体" w:hAnsi="宋体" w:cs="宋体"/>
          <w:snapToGrid w:val="0"/>
          <w:sz w:val="22"/>
          <w:szCs w:val="22"/>
        </w:rPr>
      </w:pPr>
      <w:r>
        <w:rPr>
          <w:rFonts w:hint="eastAsia" w:ascii="宋体" w:hAnsi="宋体" w:cs="宋体"/>
          <w:b/>
          <w:bCs/>
          <w:snapToGrid w:val="0"/>
          <w:sz w:val="22"/>
          <w:szCs w:val="22"/>
        </w:rPr>
        <w:t>四、比选文件的购买</w:t>
      </w:r>
    </w:p>
    <w:p w14:paraId="1D1D41E5">
      <w:pPr>
        <w:adjustRightInd w:val="0"/>
        <w:snapToGrid w:val="0"/>
        <w:spacing w:line="480" w:lineRule="exact"/>
        <w:ind w:firstLine="409" w:firstLineChars="186"/>
        <w:jc w:val="left"/>
        <w:rPr>
          <w:rFonts w:cs="宋体" w:asciiTheme="minorEastAsia" w:hAnsiTheme="minorEastAsia" w:eastAsiaTheme="minorEastAsia"/>
          <w:snapToGrid w:val="0"/>
          <w:kern w:val="0"/>
          <w:szCs w:val="21"/>
        </w:rPr>
      </w:pPr>
      <w:r>
        <w:rPr>
          <w:rFonts w:hint="eastAsia" w:asciiTheme="minorEastAsia" w:hAnsiTheme="minorEastAsia" w:eastAsiaTheme="minorEastAsia"/>
          <w:snapToGrid w:val="0"/>
          <w:kern w:val="0"/>
          <w:sz w:val="22"/>
          <w:szCs w:val="22"/>
        </w:rPr>
        <w:t xml:space="preserve">4.1 </w:t>
      </w:r>
      <w:r>
        <w:rPr>
          <w:rFonts w:hint="eastAsia" w:ascii="宋体" w:hAnsi="宋体" w:cs="宋体"/>
          <w:snapToGrid w:val="0"/>
          <w:kern w:val="0"/>
          <w:szCs w:val="21"/>
        </w:rPr>
        <w:t>凡有意参加比选的比选申请人在行采家（https://www.gec123.com/）上获取竞争性比选文件以及补遗等开标前公布的所有项目资料，无论比选申请人领取或下载与否，均视为已知晓所有比选内容，并在</w:t>
      </w:r>
      <w:r>
        <w:rPr>
          <w:rFonts w:hint="eastAsia" w:ascii="宋体" w:hAnsi="宋体" w:cs="宋体"/>
          <w:snapToGrid w:val="0"/>
          <w:kern w:val="0"/>
          <w:szCs w:val="21"/>
          <w:u w:val="single"/>
        </w:rPr>
        <w:t xml:space="preserve"> 2025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5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ascii="宋体" w:hAnsi="宋体" w:cs="宋体"/>
          <w:snapToGrid w:val="0"/>
          <w:kern w:val="0"/>
          <w:szCs w:val="21"/>
          <w:u w:val="single"/>
        </w:rPr>
        <w:t>1</w:t>
      </w:r>
      <w:r>
        <w:rPr>
          <w:rFonts w:hint="eastAsia" w:ascii="宋体" w:hAnsi="宋体" w:cs="宋体"/>
          <w:snapToGrid w:val="0"/>
          <w:kern w:val="0"/>
          <w:szCs w:val="21"/>
          <w:u w:val="single"/>
        </w:rPr>
        <w:t xml:space="preserve">3 </w:t>
      </w:r>
      <w:r>
        <w:rPr>
          <w:rFonts w:hint="eastAsia" w:ascii="宋体" w:hAnsi="宋体" w:cs="宋体"/>
          <w:snapToGrid w:val="0"/>
          <w:kern w:val="0"/>
          <w:szCs w:val="21"/>
        </w:rPr>
        <w:t>日下午</w:t>
      </w:r>
      <w:r>
        <w:rPr>
          <w:rFonts w:hint="eastAsia" w:ascii="宋体" w:hAnsi="宋体" w:cs="宋体"/>
          <w:snapToGrid w:val="0"/>
          <w:kern w:val="0"/>
          <w:szCs w:val="21"/>
          <w:u w:val="single"/>
        </w:rPr>
        <w:t>17：00时前</w:t>
      </w:r>
      <w:r>
        <w:rPr>
          <w:rFonts w:hint="eastAsia" w:ascii="宋体" w:hAnsi="宋体" w:cs="宋体"/>
          <w:snapToGrid w:val="0"/>
          <w:kern w:val="0"/>
          <w:szCs w:val="21"/>
        </w:rPr>
        <w:t>持单位授权委托书至中资（重庆）工程咨询有限公司（地址：重庆市沙坪坝区龙湖光年2号楼14层）递交《登记表》（加盖投人公章）报名或《登记表》（加盖投人公章）的扫描件发至邮箱（</w:t>
      </w:r>
      <w:r>
        <w:rPr>
          <w:rFonts w:ascii="宋体" w:hAnsi="宋体" w:cs="宋体"/>
          <w:snapToGrid w:val="0"/>
          <w:kern w:val="0"/>
          <w:szCs w:val="21"/>
        </w:rPr>
        <w:t>1944310</w:t>
      </w:r>
      <w:r>
        <w:rPr>
          <w:rFonts w:hint="eastAsia" w:ascii="宋体" w:hAnsi="宋体" w:cs="宋体"/>
          <w:snapToGrid w:val="0"/>
          <w:kern w:val="0"/>
          <w:szCs w:val="21"/>
        </w:rPr>
        <w:t>@qq.com）报名。</w:t>
      </w:r>
    </w:p>
    <w:p w14:paraId="2587C078">
      <w:pPr>
        <w:adjustRightInd w:val="0"/>
        <w:snapToGrid w:val="0"/>
        <w:spacing w:line="480" w:lineRule="exact"/>
        <w:ind w:firstLine="390" w:firstLineChars="186"/>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4.2 本次竞争性比选不采用邮寄等方式报名。</w:t>
      </w:r>
    </w:p>
    <w:p w14:paraId="6C0CFA9A">
      <w:pPr>
        <w:adjustRightInd w:val="0"/>
        <w:snapToGrid w:val="0"/>
        <w:spacing w:line="480" w:lineRule="exact"/>
        <w:ind w:firstLine="390" w:firstLineChars="186"/>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4.3 比选文件每套售价</w:t>
      </w:r>
      <w:r>
        <w:rPr>
          <w:rFonts w:cs="宋体" w:asciiTheme="minorEastAsia" w:hAnsiTheme="minorEastAsia" w:eastAsiaTheme="minorEastAsia"/>
          <w:snapToGrid w:val="0"/>
          <w:kern w:val="0"/>
          <w:szCs w:val="21"/>
        </w:rPr>
        <w:t>5</w:t>
      </w:r>
      <w:r>
        <w:rPr>
          <w:rFonts w:hint="eastAsia" w:cs="宋体" w:asciiTheme="minorEastAsia" w:hAnsiTheme="minorEastAsia" w:eastAsiaTheme="minorEastAsia"/>
          <w:snapToGrid w:val="0"/>
          <w:kern w:val="0"/>
          <w:szCs w:val="21"/>
        </w:rPr>
        <w:t>00元/份，在递交比选文件时支付给代理机构，售后不退。</w:t>
      </w:r>
    </w:p>
    <w:p w14:paraId="2F7DBC93">
      <w:pPr>
        <w:adjustRightInd w:val="0"/>
        <w:snapToGrid w:val="0"/>
        <w:spacing w:line="480" w:lineRule="exact"/>
        <w:ind w:firstLine="390" w:firstLineChars="186"/>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4.4 比选申请人须满足以下要件，其比选申请文件才被接受：</w:t>
      </w:r>
    </w:p>
    <w:p w14:paraId="1D4A6E24">
      <w:pPr>
        <w:adjustRightInd w:val="0"/>
        <w:snapToGrid w:val="0"/>
        <w:spacing w:line="480" w:lineRule="exact"/>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4.4.1  按时递交了比选申请文件；</w:t>
      </w:r>
    </w:p>
    <w:p w14:paraId="06BC8A54">
      <w:pPr>
        <w:adjustRightInd w:val="0"/>
        <w:snapToGrid w:val="0"/>
        <w:spacing w:line="480" w:lineRule="exact"/>
        <w:ind w:firstLine="390" w:firstLineChars="186"/>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4.4.2  按时报名并签到。</w:t>
      </w:r>
    </w:p>
    <w:p w14:paraId="1D28E06B">
      <w:pPr>
        <w:pStyle w:val="17"/>
        <w:widowControl/>
        <w:snapToGrid w:val="0"/>
        <w:spacing w:beforeAutospacing="0" w:afterAutospacing="0" w:line="420" w:lineRule="exact"/>
        <w:jc w:val="both"/>
        <w:rPr>
          <w:rFonts w:ascii="宋体" w:hAnsi="宋体" w:cs="宋体"/>
          <w:sz w:val="22"/>
          <w:szCs w:val="22"/>
        </w:rPr>
      </w:pPr>
      <w:r>
        <w:rPr>
          <w:rFonts w:hint="eastAsia" w:ascii="宋体" w:hAnsi="宋体" w:cs="宋体"/>
          <w:b/>
          <w:snapToGrid w:val="0"/>
          <w:sz w:val="22"/>
          <w:szCs w:val="22"/>
        </w:rPr>
        <w:t>五、竞选文件的递交</w:t>
      </w:r>
    </w:p>
    <w:p w14:paraId="46E440AC">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cs="宋体"/>
          <w:snapToGrid w:val="0"/>
          <w:kern w:val="0"/>
          <w:szCs w:val="21"/>
        </w:rPr>
      </w:pPr>
      <w:r>
        <w:rPr>
          <w:rFonts w:hint="eastAsia" w:ascii="宋体" w:hAnsi="宋体" w:cs="宋体"/>
          <w:snapToGrid w:val="0"/>
          <w:kern w:val="0"/>
          <w:szCs w:val="21"/>
        </w:rPr>
        <w:t>5.1  竞选文件递交的截止时间（竞选截止时间，下同）为</w:t>
      </w:r>
      <w:r>
        <w:rPr>
          <w:rFonts w:hint="eastAsia" w:ascii="宋体" w:hAnsi="宋体" w:cs="宋体"/>
          <w:snapToGrid w:val="0"/>
          <w:kern w:val="0"/>
          <w:szCs w:val="21"/>
          <w:u w:val="single"/>
        </w:rPr>
        <w:t xml:space="preserve"> 2025</w:t>
      </w:r>
      <w:r>
        <w:rPr>
          <w:rFonts w:hint="eastAsia" w:ascii="宋体" w:hAnsi="宋体" w:cs="宋体"/>
          <w:snapToGrid w:val="0"/>
          <w:kern w:val="0"/>
          <w:szCs w:val="21"/>
        </w:rPr>
        <w:t>年</w:t>
      </w:r>
      <w:r>
        <w:rPr>
          <w:rFonts w:hint="eastAsia" w:ascii="宋体" w:hAnsi="宋体" w:cs="宋体"/>
          <w:snapToGrid w:val="0"/>
          <w:kern w:val="0"/>
          <w:szCs w:val="21"/>
          <w:u w:val="single"/>
        </w:rPr>
        <w:t xml:space="preserve"> 5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14 </w:t>
      </w:r>
      <w:r>
        <w:rPr>
          <w:rFonts w:hint="eastAsia" w:ascii="宋体" w:hAnsi="宋体" w:cs="宋体"/>
          <w:snapToGrid w:val="0"/>
          <w:kern w:val="0"/>
          <w:szCs w:val="21"/>
        </w:rPr>
        <w:t>日</w:t>
      </w:r>
      <w:r>
        <w:rPr>
          <w:rFonts w:hint="eastAsia" w:ascii="宋体" w:hAnsi="宋体" w:cs="宋体"/>
          <w:snapToGrid w:val="0"/>
          <w:kern w:val="0"/>
          <w:szCs w:val="21"/>
          <w:u w:val="single"/>
        </w:rPr>
        <w:t xml:space="preserve"> 10 </w:t>
      </w:r>
      <w:r>
        <w:rPr>
          <w:rFonts w:hint="eastAsia" w:ascii="宋体" w:hAnsi="宋体" w:cs="宋体"/>
          <w:snapToGrid w:val="0"/>
          <w:kern w:val="0"/>
          <w:szCs w:val="21"/>
        </w:rPr>
        <w:t>时</w:t>
      </w:r>
      <w:r>
        <w:rPr>
          <w:rFonts w:hint="eastAsia" w:ascii="宋体" w:hAnsi="宋体" w:cs="宋体"/>
          <w:snapToGrid w:val="0"/>
          <w:kern w:val="0"/>
          <w:szCs w:val="21"/>
          <w:u w:val="single"/>
        </w:rPr>
        <w:t xml:space="preserve"> 00 </w:t>
      </w:r>
      <w:r>
        <w:rPr>
          <w:rFonts w:hint="eastAsia" w:ascii="宋体" w:hAnsi="宋体" w:cs="宋体"/>
          <w:snapToGrid w:val="0"/>
          <w:kern w:val="0"/>
          <w:szCs w:val="21"/>
        </w:rPr>
        <w:t>分，地点为</w:t>
      </w:r>
      <w:r>
        <w:rPr>
          <w:rFonts w:hint="eastAsia" w:ascii="宋体" w:hAnsi="宋体" w:cs="宋体"/>
          <w:snapToGrid w:val="0"/>
          <w:kern w:val="0"/>
          <w:szCs w:val="21"/>
          <w:u w:val="single"/>
        </w:rPr>
        <w:t xml:space="preserve"> 重庆市南岸区行政服务中心B区3号楼</w:t>
      </w:r>
      <w:r>
        <w:rPr>
          <w:rFonts w:ascii="宋体" w:hAnsi="宋体" w:cs="宋体"/>
          <w:snapToGrid w:val="0"/>
          <w:kern w:val="0"/>
          <w:szCs w:val="21"/>
          <w:u w:val="single"/>
        </w:rPr>
        <w:t>2207</w:t>
      </w:r>
      <w:r>
        <w:rPr>
          <w:rFonts w:hint="eastAsia" w:ascii="宋体" w:hAnsi="宋体" w:cs="宋体"/>
          <w:snapToGrid w:val="0"/>
          <w:kern w:val="0"/>
          <w:szCs w:val="21"/>
          <w:u w:val="single"/>
        </w:rPr>
        <w:t xml:space="preserve">室 </w:t>
      </w:r>
      <w:r>
        <w:rPr>
          <w:rFonts w:hint="eastAsia" w:ascii="宋体" w:hAnsi="宋体" w:cs="宋体"/>
          <w:snapToGrid w:val="0"/>
          <w:kern w:val="0"/>
          <w:szCs w:val="21"/>
        </w:rPr>
        <w:t>。</w:t>
      </w:r>
    </w:p>
    <w:p w14:paraId="77D0F83C">
      <w:pPr>
        <w:autoSpaceDE w:val="0"/>
        <w:autoSpaceDN w:val="0"/>
        <w:adjustRightInd w:val="0"/>
        <w:snapToGrid w:val="0"/>
        <w:spacing w:line="450" w:lineRule="exact"/>
        <w:ind w:firstLine="420" w:firstLineChars="200"/>
        <w:rPr>
          <w:rFonts w:ascii="宋体" w:hAnsi="宋体" w:cs="宋体"/>
          <w:snapToGrid w:val="0"/>
          <w:kern w:val="0"/>
          <w:szCs w:val="21"/>
        </w:rPr>
      </w:pPr>
      <w:r>
        <w:rPr>
          <w:rFonts w:hint="eastAsia" w:ascii="宋体" w:hAnsi="宋体" w:cs="宋体"/>
          <w:snapToGrid w:val="0"/>
          <w:kern w:val="0"/>
          <w:szCs w:val="21"/>
        </w:rPr>
        <w:t>5.2  逾期送达的或者未送达指定地点的竞选文件，比选人不予受理。</w:t>
      </w:r>
    </w:p>
    <w:p w14:paraId="3D109C4F">
      <w:pPr>
        <w:pStyle w:val="17"/>
        <w:widowControl/>
        <w:snapToGrid w:val="0"/>
        <w:spacing w:beforeAutospacing="0" w:afterAutospacing="0" w:line="420" w:lineRule="exact"/>
        <w:jc w:val="both"/>
        <w:rPr>
          <w:rFonts w:ascii="宋体" w:hAnsi="宋体" w:cs="宋体"/>
          <w:b/>
          <w:snapToGrid w:val="0"/>
          <w:sz w:val="22"/>
          <w:szCs w:val="22"/>
        </w:rPr>
      </w:pPr>
      <w:r>
        <w:rPr>
          <w:rFonts w:hint="eastAsia" w:ascii="宋体" w:hAnsi="宋体" w:cs="宋体"/>
          <w:b/>
          <w:snapToGrid w:val="0"/>
          <w:sz w:val="22"/>
          <w:szCs w:val="22"/>
        </w:rPr>
        <w:t>六、发布公告的媒介</w:t>
      </w:r>
    </w:p>
    <w:p w14:paraId="6C9B4676">
      <w:pPr>
        <w:pStyle w:val="17"/>
        <w:widowControl/>
        <w:snapToGrid w:val="0"/>
        <w:spacing w:beforeAutospacing="0" w:afterAutospacing="0" w:line="480" w:lineRule="exact"/>
        <w:ind w:firstLine="420" w:firstLineChars="200"/>
        <w:jc w:val="both"/>
        <w:rPr>
          <w:rFonts w:ascii="宋体" w:hAnsi="宋体" w:cs="宋体"/>
          <w:sz w:val="21"/>
          <w:szCs w:val="21"/>
        </w:rPr>
      </w:pPr>
      <w:r>
        <w:rPr>
          <w:rFonts w:hint="eastAsia" w:ascii="宋体" w:hAnsi="宋体" w:cs="宋体"/>
          <w:snapToGrid w:val="0"/>
          <w:sz w:val="21"/>
          <w:szCs w:val="21"/>
        </w:rPr>
        <w:t>本次比选公告在“行采家”（https://www.gec123.com/）上发布。</w:t>
      </w:r>
    </w:p>
    <w:p w14:paraId="2D31301C">
      <w:pPr>
        <w:pStyle w:val="17"/>
        <w:widowControl/>
        <w:snapToGrid w:val="0"/>
        <w:spacing w:beforeAutospacing="0" w:afterAutospacing="0" w:line="420" w:lineRule="exact"/>
        <w:jc w:val="both"/>
      </w:pPr>
      <w:r>
        <w:rPr>
          <w:rFonts w:hint="eastAsia" w:ascii="宋体" w:hAnsi="宋体" w:cs="宋体"/>
          <w:b/>
          <w:snapToGrid w:val="0"/>
          <w:sz w:val="22"/>
          <w:szCs w:val="22"/>
        </w:rPr>
        <w:t>七、联系方式</w:t>
      </w:r>
    </w:p>
    <w:bookmarkEnd w:id="11"/>
    <w:bookmarkEnd w:id="22"/>
    <w:bookmarkEnd w:id="23"/>
    <w:bookmarkEnd w:id="24"/>
    <w:p w14:paraId="678C9BFF">
      <w:pPr>
        <w:tabs>
          <w:tab w:val="left" w:pos="5140"/>
          <w:tab w:val="left" w:pos="8520"/>
        </w:tabs>
        <w:autoSpaceDE w:val="0"/>
        <w:autoSpaceDN w:val="0"/>
        <w:adjustRightInd w:val="0"/>
        <w:snapToGrid w:val="0"/>
        <w:spacing w:line="420" w:lineRule="exact"/>
        <w:ind w:firstLine="210" w:firstLineChars="100"/>
        <w:jc w:val="left"/>
        <w:rPr>
          <w:rFonts w:ascii="宋体" w:hAnsi="宋体"/>
          <w:szCs w:val="21"/>
        </w:rPr>
      </w:pPr>
      <w:bookmarkStart w:id="25" w:name="_Toc430530432"/>
      <w:bookmarkStart w:id="26" w:name="_Toc1178"/>
      <w:bookmarkStart w:id="27" w:name="_Toc287620683"/>
      <w:bookmarkStart w:id="28" w:name="_Toc224103315"/>
      <w:bookmarkStart w:id="29" w:name="_Toc287607744"/>
      <w:bookmarkStart w:id="30" w:name="_Toc30449"/>
      <w:r>
        <w:rPr>
          <w:rFonts w:hint="eastAsia" w:ascii="宋体" w:hAnsi="宋体"/>
          <w:szCs w:val="21"/>
        </w:rPr>
        <w:t xml:space="preserve"> 比选人：重庆市城圆城市建设发展（集团）有限公司      </w:t>
      </w:r>
    </w:p>
    <w:p w14:paraId="1E39BDBA">
      <w:pPr>
        <w:tabs>
          <w:tab w:val="left" w:pos="5140"/>
          <w:tab w:val="left" w:pos="8520"/>
        </w:tabs>
        <w:autoSpaceDE w:val="0"/>
        <w:autoSpaceDN w:val="0"/>
        <w:adjustRightInd w:val="0"/>
        <w:snapToGrid w:val="0"/>
        <w:spacing w:line="420" w:lineRule="exact"/>
        <w:ind w:firstLine="210" w:firstLineChars="100"/>
        <w:jc w:val="left"/>
        <w:rPr>
          <w:rFonts w:ascii="宋体" w:hAnsi="宋体"/>
          <w:szCs w:val="21"/>
        </w:rPr>
      </w:pPr>
      <w:r>
        <w:rPr>
          <w:rFonts w:hint="eastAsia" w:ascii="宋体" w:hAnsi="宋体"/>
          <w:szCs w:val="21"/>
        </w:rPr>
        <w:t xml:space="preserve"> 地址：重庆市南岸区行政中心B区三号楼                        </w:t>
      </w:r>
    </w:p>
    <w:p w14:paraId="16CB9681">
      <w:pPr>
        <w:tabs>
          <w:tab w:val="left" w:pos="5140"/>
          <w:tab w:val="left" w:pos="8520"/>
        </w:tabs>
        <w:autoSpaceDE w:val="0"/>
        <w:autoSpaceDN w:val="0"/>
        <w:adjustRightInd w:val="0"/>
        <w:snapToGrid w:val="0"/>
        <w:spacing w:line="420" w:lineRule="exact"/>
        <w:ind w:firstLine="210" w:firstLineChars="100"/>
        <w:jc w:val="left"/>
        <w:rPr>
          <w:rFonts w:ascii="宋体" w:hAnsi="宋体"/>
          <w:szCs w:val="21"/>
        </w:rPr>
      </w:pPr>
      <w:r>
        <w:rPr>
          <w:rFonts w:hint="eastAsia" w:ascii="宋体" w:hAnsi="宋体"/>
          <w:szCs w:val="21"/>
        </w:rPr>
        <w:t xml:space="preserve"> 联系人：李老师                                           </w:t>
      </w:r>
    </w:p>
    <w:p w14:paraId="006B889D">
      <w:pPr>
        <w:tabs>
          <w:tab w:val="left" w:pos="5140"/>
          <w:tab w:val="left" w:pos="8520"/>
        </w:tabs>
        <w:autoSpaceDE w:val="0"/>
        <w:autoSpaceDN w:val="0"/>
        <w:adjustRightInd w:val="0"/>
        <w:snapToGrid w:val="0"/>
        <w:spacing w:line="420" w:lineRule="exact"/>
        <w:ind w:firstLine="210" w:firstLineChars="100"/>
        <w:jc w:val="left"/>
        <w:rPr>
          <w:rFonts w:ascii="宋体" w:hAnsi="宋体"/>
          <w:szCs w:val="21"/>
        </w:rPr>
      </w:pPr>
      <w:r>
        <w:rPr>
          <w:rFonts w:hint="eastAsia" w:ascii="宋体" w:hAnsi="宋体"/>
          <w:szCs w:val="21"/>
        </w:rPr>
        <w:t xml:space="preserve"> 电  话：023-62905607</w:t>
      </w:r>
    </w:p>
    <w:p w14:paraId="2409AF39">
      <w:pPr>
        <w:pStyle w:val="8"/>
        <w:spacing w:line="420" w:lineRule="exact"/>
        <w:rPr>
          <w:szCs w:val="21"/>
        </w:rPr>
      </w:pPr>
    </w:p>
    <w:p w14:paraId="12BC3A74">
      <w:pPr>
        <w:tabs>
          <w:tab w:val="left" w:pos="5140"/>
          <w:tab w:val="left" w:pos="8420"/>
        </w:tabs>
        <w:autoSpaceDE w:val="0"/>
        <w:autoSpaceDN w:val="0"/>
        <w:adjustRightInd w:val="0"/>
        <w:snapToGrid w:val="0"/>
        <w:spacing w:line="420" w:lineRule="exact"/>
        <w:ind w:firstLine="420" w:firstLineChars="200"/>
        <w:jc w:val="left"/>
        <w:rPr>
          <w:rFonts w:ascii="宋体" w:hAnsi="宋体"/>
          <w:szCs w:val="21"/>
        </w:rPr>
      </w:pPr>
      <w:r>
        <w:rPr>
          <w:rFonts w:hint="eastAsia" w:ascii="宋体" w:hAnsi="宋体"/>
          <w:szCs w:val="21"/>
        </w:rPr>
        <w:t>比选代理机构：中资（重庆）工程咨询有限公司</w:t>
      </w:r>
    </w:p>
    <w:p w14:paraId="13B9F091">
      <w:pPr>
        <w:tabs>
          <w:tab w:val="left" w:pos="5140"/>
          <w:tab w:val="left" w:pos="8420"/>
        </w:tabs>
        <w:autoSpaceDE w:val="0"/>
        <w:autoSpaceDN w:val="0"/>
        <w:adjustRightInd w:val="0"/>
        <w:snapToGrid w:val="0"/>
        <w:spacing w:line="420" w:lineRule="exact"/>
        <w:ind w:firstLine="420" w:firstLineChars="200"/>
        <w:jc w:val="left"/>
        <w:rPr>
          <w:rFonts w:ascii="宋体" w:hAnsi="宋体"/>
          <w:szCs w:val="21"/>
        </w:rPr>
      </w:pPr>
      <w:r>
        <w:rPr>
          <w:rFonts w:hint="eastAsia" w:ascii="宋体" w:hAnsi="宋体"/>
          <w:szCs w:val="21"/>
        </w:rPr>
        <w:t>地址：</w:t>
      </w:r>
      <w:r>
        <w:rPr>
          <w:rFonts w:hint="eastAsia" w:ascii="宋体" w:hAnsi="宋体" w:cs="宋体"/>
          <w:snapToGrid w:val="0"/>
          <w:kern w:val="0"/>
          <w:szCs w:val="21"/>
        </w:rPr>
        <w:t>重庆市沙坪坝区龙湖光年2号楼14层</w:t>
      </w:r>
    </w:p>
    <w:p w14:paraId="3A7E9B9B">
      <w:pPr>
        <w:tabs>
          <w:tab w:val="left" w:pos="5140"/>
          <w:tab w:val="left" w:pos="8420"/>
        </w:tabs>
        <w:autoSpaceDE w:val="0"/>
        <w:autoSpaceDN w:val="0"/>
        <w:adjustRightInd w:val="0"/>
        <w:snapToGrid w:val="0"/>
        <w:spacing w:line="420" w:lineRule="exact"/>
        <w:ind w:firstLine="420" w:firstLineChars="200"/>
        <w:jc w:val="left"/>
        <w:rPr>
          <w:rFonts w:ascii="宋体" w:hAnsi="宋体"/>
          <w:szCs w:val="21"/>
        </w:rPr>
      </w:pPr>
      <w:r>
        <w:rPr>
          <w:rFonts w:hint="eastAsia" w:ascii="宋体" w:hAnsi="宋体"/>
          <w:szCs w:val="21"/>
        </w:rPr>
        <w:t xml:space="preserve">联系人：冉老师  </w:t>
      </w:r>
    </w:p>
    <w:p w14:paraId="6DB4A8DC">
      <w:pPr>
        <w:autoSpaceDE w:val="0"/>
        <w:autoSpaceDN w:val="0"/>
        <w:adjustRightInd w:val="0"/>
        <w:snapToGrid w:val="0"/>
        <w:spacing w:line="440" w:lineRule="exact"/>
        <w:ind w:firstLine="420" w:firstLineChars="200"/>
        <w:rPr>
          <w:rFonts w:ascii="宋体" w:hAnsi="宋体"/>
          <w:snapToGrid w:val="0"/>
          <w:kern w:val="0"/>
          <w:sz w:val="20"/>
          <w:szCs w:val="20"/>
        </w:rPr>
      </w:pPr>
      <w:r>
        <w:rPr>
          <w:rFonts w:hint="eastAsia" w:ascii="宋体" w:hAnsi="宋体"/>
          <w:szCs w:val="21"/>
        </w:rPr>
        <w:t xml:space="preserve">电  话：18680861765 </w:t>
      </w:r>
      <w:r>
        <w:rPr>
          <w:rFonts w:hint="eastAsia" w:ascii="宋体" w:hAnsi="宋体"/>
          <w:snapToGrid w:val="0"/>
          <w:kern w:val="0"/>
          <w:szCs w:val="21"/>
        </w:rPr>
        <w:t xml:space="preserve">  </w:t>
      </w:r>
    </w:p>
    <w:p w14:paraId="3E4F08AF">
      <w:pPr>
        <w:rPr>
          <w:rFonts w:ascii="宋体" w:hAnsi="宋体" w:cs="宋体"/>
          <w:snapToGrid w:val="0"/>
          <w:kern w:val="0"/>
        </w:rPr>
      </w:pPr>
      <w:r>
        <w:rPr>
          <w:rFonts w:hint="eastAsia" w:ascii="宋体" w:hAnsi="宋体" w:cs="宋体"/>
          <w:snapToGrid w:val="0"/>
          <w:kern w:val="0"/>
        </w:rPr>
        <w:br w:type="page"/>
      </w:r>
    </w:p>
    <w:p w14:paraId="7529BA09">
      <w:pPr>
        <w:pStyle w:val="3"/>
        <w:spacing w:before="0" w:after="0" w:line="360" w:lineRule="auto"/>
        <w:jc w:val="center"/>
        <w:rPr>
          <w:rFonts w:ascii="宋体" w:hAnsi="宋体" w:cs="宋体"/>
          <w:bCs w:val="0"/>
          <w:snapToGrid w:val="0"/>
          <w:kern w:val="0"/>
        </w:rPr>
      </w:pPr>
      <w:r>
        <w:rPr>
          <w:rFonts w:hint="eastAsia" w:ascii="宋体" w:hAnsi="宋体" w:cs="宋体"/>
          <w:snapToGrid w:val="0"/>
          <w:kern w:val="0"/>
        </w:rPr>
        <w:t>第二章  竞选人须知</w:t>
      </w:r>
      <w:bookmarkEnd w:id="25"/>
      <w:bookmarkEnd w:id="26"/>
      <w:bookmarkEnd w:id="27"/>
      <w:bookmarkEnd w:id="28"/>
      <w:bookmarkEnd w:id="29"/>
      <w:bookmarkEnd w:id="30"/>
      <w:bookmarkStart w:id="31" w:name="_Toc287607745"/>
      <w:bookmarkStart w:id="32" w:name="_Toc277082551"/>
      <w:bookmarkStart w:id="33" w:name="_Toc224103316"/>
      <w:bookmarkStart w:id="34" w:name="_Toc430530433"/>
      <w:bookmarkStart w:id="35" w:name="_Toc287620684"/>
    </w:p>
    <w:p w14:paraId="13F914FC">
      <w:pPr>
        <w:pStyle w:val="4"/>
        <w:spacing w:before="100" w:after="100" w:line="360" w:lineRule="auto"/>
        <w:rPr>
          <w:rFonts w:ascii="宋体" w:hAnsi="宋体" w:cs="宋体"/>
        </w:rPr>
      </w:pPr>
      <w:bookmarkStart w:id="36" w:name="_Toc15182"/>
      <w:bookmarkStart w:id="37" w:name="_Toc4746"/>
      <w:bookmarkStart w:id="38" w:name="_Toc509218708"/>
      <w:bookmarkStart w:id="39" w:name="_Toc9850"/>
      <w:r>
        <w:rPr>
          <w:rFonts w:hint="eastAsia" w:ascii="宋体" w:hAnsi="宋体" w:cs="宋体"/>
        </w:rPr>
        <w:t>竞选人须知前附表</w:t>
      </w:r>
      <w:bookmarkEnd w:id="31"/>
      <w:bookmarkEnd w:id="32"/>
      <w:bookmarkEnd w:id="33"/>
      <w:bookmarkEnd w:id="34"/>
      <w:bookmarkEnd w:id="35"/>
      <w:bookmarkEnd w:id="36"/>
      <w:bookmarkEnd w:id="37"/>
      <w:bookmarkEnd w:id="38"/>
      <w:bookmarkEnd w:id="39"/>
    </w:p>
    <w:p w14:paraId="4E679EB6">
      <w:pPr>
        <w:spacing w:line="360" w:lineRule="auto"/>
        <w:ind w:firstLine="422" w:firstLineChars="200"/>
        <w:rPr>
          <w:rFonts w:ascii="宋体" w:hAnsi="宋体" w:cs="宋体"/>
          <w:szCs w:val="21"/>
        </w:rPr>
      </w:pPr>
      <w:r>
        <w:rPr>
          <w:rFonts w:hint="eastAsia" w:ascii="宋体" w:hAnsi="宋体" w:cs="宋体"/>
          <w:b/>
          <w:bCs/>
          <w:szCs w:val="21"/>
        </w:rPr>
        <w:t>若竞选人须知前附表与正文不一致的地方，以竞选人须知前附表为准。</w:t>
      </w:r>
    </w:p>
    <w:tbl>
      <w:tblPr>
        <w:tblStyle w:val="20"/>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64"/>
        <w:gridCol w:w="6372"/>
      </w:tblGrid>
      <w:tr w14:paraId="127FF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dxa"/>
            <w:vAlign w:val="center"/>
          </w:tcPr>
          <w:p w14:paraId="67E07C94">
            <w:pPr>
              <w:snapToGrid w:val="0"/>
              <w:spacing w:line="400" w:lineRule="exact"/>
              <w:jc w:val="center"/>
              <w:rPr>
                <w:rFonts w:ascii="宋体" w:hAnsi="宋体" w:cs="宋体"/>
                <w:b/>
                <w:kern w:val="0"/>
                <w:szCs w:val="21"/>
              </w:rPr>
            </w:pPr>
            <w:r>
              <w:rPr>
                <w:rFonts w:hint="eastAsia" w:ascii="宋体" w:hAnsi="宋体" w:cs="宋体"/>
                <w:b/>
                <w:kern w:val="0"/>
                <w:szCs w:val="21"/>
              </w:rPr>
              <w:t>条 款 号</w:t>
            </w:r>
          </w:p>
        </w:tc>
        <w:tc>
          <w:tcPr>
            <w:tcW w:w="1964" w:type="dxa"/>
            <w:vAlign w:val="center"/>
          </w:tcPr>
          <w:p w14:paraId="26390E49">
            <w:pPr>
              <w:snapToGrid w:val="0"/>
              <w:spacing w:line="400" w:lineRule="exact"/>
              <w:jc w:val="center"/>
              <w:rPr>
                <w:rFonts w:ascii="宋体" w:hAnsi="宋体" w:cs="宋体"/>
                <w:b/>
                <w:kern w:val="0"/>
                <w:szCs w:val="21"/>
              </w:rPr>
            </w:pPr>
            <w:r>
              <w:rPr>
                <w:rFonts w:hint="eastAsia" w:ascii="宋体" w:hAnsi="宋体" w:cs="宋体"/>
                <w:b/>
                <w:kern w:val="0"/>
                <w:szCs w:val="21"/>
              </w:rPr>
              <w:t>条款名称</w:t>
            </w:r>
          </w:p>
        </w:tc>
        <w:tc>
          <w:tcPr>
            <w:tcW w:w="6372" w:type="dxa"/>
            <w:vAlign w:val="center"/>
          </w:tcPr>
          <w:p w14:paraId="13B4D6B4">
            <w:pPr>
              <w:snapToGrid w:val="0"/>
              <w:spacing w:line="400" w:lineRule="exact"/>
              <w:jc w:val="center"/>
              <w:rPr>
                <w:rFonts w:ascii="宋体" w:hAnsi="宋体" w:cs="宋体"/>
                <w:b/>
                <w:kern w:val="0"/>
                <w:szCs w:val="21"/>
              </w:rPr>
            </w:pPr>
            <w:r>
              <w:rPr>
                <w:rFonts w:hint="eastAsia" w:ascii="宋体" w:hAnsi="宋体" w:cs="宋体"/>
                <w:b/>
                <w:kern w:val="0"/>
                <w:szCs w:val="21"/>
              </w:rPr>
              <w:t>编  列  内  容</w:t>
            </w:r>
          </w:p>
        </w:tc>
      </w:tr>
      <w:tr w14:paraId="59456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79775FA">
            <w:pPr>
              <w:snapToGrid w:val="0"/>
              <w:spacing w:line="400" w:lineRule="exact"/>
              <w:jc w:val="center"/>
              <w:rPr>
                <w:rFonts w:ascii="宋体" w:hAnsi="宋体" w:cs="宋体"/>
                <w:kern w:val="0"/>
                <w:szCs w:val="21"/>
              </w:rPr>
            </w:pPr>
            <w:r>
              <w:rPr>
                <w:rFonts w:hint="eastAsia" w:ascii="宋体" w:hAnsi="宋体" w:cs="宋体"/>
                <w:kern w:val="0"/>
                <w:szCs w:val="21"/>
              </w:rPr>
              <w:t>1.1.2</w:t>
            </w:r>
          </w:p>
        </w:tc>
        <w:tc>
          <w:tcPr>
            <w:tcW w:w="1964" w:type="dxa"/>
            <w:vAlign w:val="center"/>
          </w:tcPr>
          <w:p w14:paraId="317235A1">
            <w:pPr>
              <w:snapToGrid w:val="0"/>
              <w:spacing w:line="400" w:lineRule="exact"/>
              <w:jc w:val="center"/>
              <w:rPr>
                <w:rFonts w:ascii="宋体" w:hAnsi="宋体" w:cs="宋体"/>
                <w:kern w:val="0"/>
                <w:szCs w:val="21"/>
              </w:rPr>
            </w:pPr>
            <w:r>
              <w:rPr>
                <w:rFonts w:hint="eastAsia" w:ascii="宋体" w:hAnsi="宋体" w:cs="宋体"/>
                <w:kern w:val="0"/>
                <w:szCs w:val="21"/>
              </w:rPr>
              <w:t>比选人</w:t>
            </w:r>
          </w:p>
        </w:tc>
        <w:tc>
          <w:tcPr>
            <w:tcW w:w="6372" w:type="dxa"/>
          </w:tcPr>
          <w:p w14:paraId="7EFEAD7F">
            <w:pPr>
              <w:snapToGrid w:val="0"/>
              <w:spacing w:line="400" w:lineRule="exact"/>
              <w:rPr>
                <w:rFonts w:ascii="宋体" w:hAnsi="宋体"/>
                <w:kern w:val="0"/>
                <w:szCs w:val="21"/>
              </w:rPr>
            </w:pPr>
            <w:r>
              <w:rPr>
                <w:rFonts w:ascii="宋体" w:hAnsi="宋体"/>
                <w:kern w:val="0"/>
                <w:szCs w:val="21"/>
              </w:rPr>
              <w:t>名称：</w:t>
            </w:r>
            <w:r>
              <w:rPr>
                <w:rFonts w:hint="eastAsia" w:ascii="宋体" w:hAnsi="宋体"/>
                <w:kern w:val="0"/>
                <w:szCs w:val="21"/>
              </w:rPr>
              <w:t>重庆市城圆城市建设发展（集团）有限公司</w:t>
            </w:r>
          </w:p>
          <w:p w14:paraId="31E0FE60">
            <w:pPr>
              <w:snapToGrid w:val="0"/>
              <w:spacing w:line="400" w:lineRule="exact"/>
              <w:rPr>
                <w:rFonts w:ascii="宋体" w:hAnsi="宋体"/>
                <w:kern w:val="0"/>
                <w:szCs w:val="21"/>
              </w:rPr>
            </w:pPr>
            <w:r>
              <w:rPr>
                <w:rFonts w:ascii="宋体" w:hAnsi="宋体"/>
                <w:kern w:val="0"/>
                <w:szCs w:val="21"/>
              </w:rPr>
              <w:t>地址：</w:t>
            </w:r>
            <w:r>
              <w:rPr>
                <w:rFonts w:hint="eastAsia" w:ascii="宋体" w:hAnsi="宋体" w:cs="宋体"/>
                <w:kern w:val="0"/>
                <w:szCs w:val="21"/>
              </w:rPr>
              <w:t>重庆市南岸区行政中心B区三号楼</w:t>
            </w:r>
          </w:p>
          <w:p w14:paraId="07FC6F02">
            <w:pPr>
              <w:snapToGrid w:val="0"/>
              <w:spacing w:line="400" w:lineRule="exact"/>
              <w:rPr>
                <w:rFonts w:ascii="宋体" w:hAnsi="宋体"/>
                <w:kern w:val="0"/>
                <w:szCs w:val="21"/>
              </w:rPr>
            </w:pPr>
            <w:r>
              <w:rPr>
                <w:rFonts w:ascii="宋体" w:hAnsi="宋体"/>
                <w:kern w:val="0"/>
                <w:szCs w:val="21"/>
              </w:rPr>
              <w:t>联系人：</w:t>
            </w:r>
            <w:r>
              <w:rPr>
                <w:rFonts w:hint="eastAsia" w:ascii="宋体" w:hAnsi="宋体" w:cs="宋体"/>
                <w:kern w:val="0"/>
                <w:szCs w:val="21"/>
              </w:rPr>
              <w:t>李老师</w:t>
            </w:r>
          </w:p>
          <w:p w14:paraId="63F23AFD">
            <w:pPr>
              <w:snapToGrid w:val="0"/>
              <w:spacing w:line="400" w:lineRule="exact"/>
              <w:rPr>
                <w:rFonts w:ascii="宋体" w:hAnsi="宋体"/>
                <w:kern w:val="0"/>
                <w:szCs w:val="21"/>
              </w:rPr>
            </w:pPr>
            <w:r>
              <w:rPr>
                <w:rFonts w:ascii="宋体" w:hAnsi="宋体"/>
                <w:kern w:val="0"/>
                <w:szCs w:val="21"/>
              </w:rPr>
              <w:t>电话：</w:t>
            </w:r>
            <w:r>
              <w:rPr>
                <w:rFonts w:hint="eastAsia" w:ascii="宋体" w:hAnsi="宋体"/>
                <w:kern w:val="0"/>
                <w:szCs w:val="21"/>
              </w:rPr>
              <w:t>023-62905607</w:t>
            </w:r>
          </w:p>
        </w:tc>
      </w:tr>
      <w:tr w14:paraId="439B0C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46DF01F">
            <w:pPr>
              <w:snapToGrid w:val="0"/>
              <w:spacing w:line="400" w:lineRule="exact"/>
              <w:jc w:val="center"/>
              <w:rPr>
                <w:rFonts w:ascii="宋体" w:hAnsi="宋体" w:cs="宋体"/>
                <w:kern w:val="0"/>
                <w:szCs w:val="21"/>
              </w:rPr>
            </w:pPr>
            <w:r>
              <w:rPr>
                <w:rFonts w:hint="eastAsia" w:ascii="宋体" w:hAnsi="宋体" w:cs="宋体"/>
                <w:kern w:val="0"/>
                <w:szCs w:val="21"/>
              </w:rPr>
              <w:t>1.1.3</w:t>
            </w:r>
          </w:p>
        </w:tc>
        <w:tc>
          <w:tcPr>
            <w:tcW w:w="1964" w:type="dxa"/>
            <w:vAlign w:val="center"/>
          </w:tcPr>
          <w:p w14:paraId="579A345B">
            <w:pPr>
              <w:snapToGrid w:val="0"/>
              <w:spacing w:line="400" w:lineRule="exact"/>
              <w:jc w:val="center"/>
              <w:rPr>
                <w:rFonts w:ascii="宋体" w:hAnsi="宋体" w:cs="宋体"/>
                <w:kern w:val="0"/>
                <w:szCs w:val="21"/>
              </w:rPr>
            </w:pPr>
            <w:r>
              <w:rPr>
                <w:rFonts w:hint="eastAsia" w:ascii="宋体" w:hAnsi="宋体" w:cs="宋体"/>
                <w:kern w:val="0"/>
                <w:szCs w:val="21"/>
              </w:rPr>
              <w:t>比选代理机构</w:t>
            </w:r>
          </w:p>
        </w:tc>
        <w:tc>
          <w:tcPr>
            <w:tcW w:w="6372" w:type="dxa"/>
          </w:tcPr>
          <w:p w14:paraId="3343AE9B">
            <w:pPr>
              <w:snapToGrid w:val="0"/>
              <w:spacing w:line="400" w:lineRule="exact"/>
              <w:rPr>
                <w:rFonts w:ascii="宋体" w:hAnsi="宋体"/>
                <w:kern w:val="0"/>
                <w:szCs w:val="21"/>
              </w:rPr>
            </w:pPr>
            <w:r>
              <w:rPr>
                <w:rFonts w:ascii="宋体" w:hAnsi="宋体"/>
                <w:kern w:val="0"/>
                <w:szCs w:val="21"/>
              </w:rPr>
              <w:t>名称：</w:t>
            </w:r>
            <w:r>
              <w:fldChar w:fldCharType="begin"/>
            </w:r>
            <w:r>
              <w:instrText xml:space="preserve"> HYPERLINK "http://183.66.171.75:88/CQCollect/Qy_Query/Zjzxjg/javascript:__doPostBack('DataGrid1$_ctl2$_ctl0','')" </w:instrText>
            </w:r>
            <w:r>
              <w:fldChar w:fldCharType="separate"/>
            </w:r>
            <w:r>
              <w:rPr>
                <w:rFonts w:hint="eastAsia" w:ascii="宋体" w:hAnsi="宋体"/>
                <w:szCs w:val="21"/>
              </w:rPr>
              <w:t>中资（重庆）工程咨询有限公司</w:t>
            </w:r>
            <w:r>
              <w:rPr>
                <w:rFonts w:hint="eastAsia" w:ascii="宋体" w:hAnsi="宋体"/>
                <w:szCs w:val="21"/>
              </w:rPr>
              <w:fldChar w:fldCharType="end"/>
            </w:r>
          </w:p>
          <w:p w14:paraId="421FDB51">
            <w:pPr>
              <w:snapToGrid w:val="0"/>
              <w:spacing w:line="400" w:lineRule="exact"/>
              <w:rPr>
                <w:rFonts w:ascii="宋体" w:hAnsi="宋体"/>
                <w:kern w:val="0"/>
                <w:szCs w:val="21"/>
              </w:rPr>
            </w:pPr>
            <w:r>
              <w:rPr>
                <w:rFonts w:ascii="宋体" w:hAnsi="宋体"/>
                <w:kern w:val="0"/>
                <w:szCs w:val="21"/>
              </w:rPr>
              <w:t>地址：</w:t>
            </w:r>
            <w:r>
              <w:rPr>
                <w:rFonts w:hint="eastAsia" w:ascii="宋体" w:hAnsi="宋体" w:cs="宋体"/>
                <w:snapToGrid w:val="0"/>
                <w:kern w:val="0"/>
                <w:szCs w:val="21"/>
              </w:rPr>
              <w:t>重庆市沙坪坝区龙湖光年2号楼14层</w:t>
            </w:r>
          </w:p>
          <w:p w14:paraId="651A726B">
            <w:pPr>
              <w:snapToGrid w:val="0"/>
              <w:spacing w:line="400" w:lineRule="exact"/>
              <w:rPr>
                <w:rFonts w:ascii="宋体" w:hAnsi="宋体"/>
                <w:kern w:val="0"/>
                <w:szCs w:val="21"/>
              </w:rPr>
            </w:pPr>
            <w:r>
              <w:rPr>
                <w:rFonts w:ascii="宋体" w:hAnsi="宋体"/>
                <w:kern w:val="0"/>
                <w:szCs w:val="21"/>
              </w:rPr>
              <w:t>联系人：</w:t>
            </w:r>
            <w:r>
              <w:rPr>
                <w:rFonts w:hint="eastAsia" w:ascii="宋体" w:hAnsi="宋体"/>
                <w:szCs w:val="21"/>
              </w:rPr>
              <w:t>冉老师</w:t>
            </w:r>
          </w:p>
          <w:p w14:paraId="6303156A">
            <w:pPr>
              <w:snapToGrid w:val="0"/>
              <w:spacing w:line="400" w:lineRule="exact"/>
              <w:rPr>
                <w:rFonts w:ascii="宋体" w:hAnsi="宋体"/>
                <w:kern w:val="0"/>
                <w:szCs w:val="21"/>
              </w:rPr>
            </w:pPr>
            <w:r>
              <w:rPr>
                <w:rFonts w:ascii="宋体" w:hAnsi="宋体"/>
                <w:kern w:val="0"/>
                <w:szCs w:val="21"/>
              </w:rPr>
              <w:t>电话：</w:t>
            </w:r>
            <w:r>
              <w:rPr>
                <w:rFonts w:hint="eastAsia" w:ascii="宋体" w:hAnsi="宋体"/>
                <w:szCs w:val="21"/>
              </w:rPr>
              <w:t>18680861765</w:t>
            </w:r>
          </w:p>
        </w:tc>
      </w:tr>
      <w:tr w14:paraId="21FC4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EBFB9E1">
            <w:pPr>
              <w:snapToGrid w:val="0"/>
              <w:spacing w:line="400" w:lineRule="exact"/>
              <w:jc w:val="center"/>
              <w:rPr>
                <w:rFonts w:ascii="宋体" w:hAnsi="宋体" w:cs="宋体"/>
                <w:kern w:val="0"/>
                <w:szCs w:val="21"/>
              </w:rPr>
            </w:pPr>
            <w:r>
              <w:rPr>
                <w:rFonts w:hint="eastAsia" w:ascii="宋体" w:hAnsi="宋体" w:cs="宋体"/>
                <w:kern w:val="0"/>
                <w:szCs w:val="21"/>
              </w:rPr>
              <w:t>1.1.4</w:t>
            </w:r>
          </w:p>
        </w:tc>
        <w:tc>
          <w:tcPr>
            <w:tcW w:w="1964" w:type="dxa"/>
            <w:vAlign w:val="center"/>
          </w:tcPr>
          <w:p w14:paraId="203709D8">
            <w:pPr>
              <w:snapToGrid w:val="0"/>
              <w:spacing w:line="400" w:lineRule="exact"/>
              <w:jc w:val="center"/>
              <w:rPr>
                <w:rFonts w:ascii="宋体" w:hAnsi="宋体" w:cs="宋体"/>
                <w:kern w:val="0"/>
                <w:szCs w:val="21"/>
              </w:rPr>
            </w:pPr>
            <w:r>
              <w:rPr>
                <w:rFonts w:hint="eastAsia" w:ascii="宋体" w:hAnsi="宋体" w:cs="宋体"/>
                <w:kern w:val="0"/>
                <w:szCs w:val="21"/>
              </w:rPr>
              <w:t>项目名称</w:t>
            </w:r>
          </w:p>
        </w:tc>
        <w:tc>
          <w:tcPr>
            <w:tcW w:w="6372" w:type="dxa"/>
          </w:tcPr>
          <w:p w14:paraId="0BB98944">
            <w:pPr>
              <w:snapToGrid w:val="0"/>
              <w:spacing w:line="400" w:lineRule="exact"/>
              <w:rPr>
                <w:rFonts w:ascii="宋体" w:hAnsi="宋体"/>
                <w:kern w:val="0"/>
                <w:szCs w:val="21"/>
              </w:rPr>
            </w:pPr>
            <w:r>
              <w:rPr>
                <w:rFonts w:hint="eastAsia" w:ascii="宋体" w:hAnsi="宋体"/>
                <w:kern w:val="0"/>
                <w:szCs w:val="21"/>
              </w:rPr>
              <w:t xml:space="preserve">重庆市南岸区总工会职工服务阵地改建工程监理                </w:t>
            </w:r>
          </w:p>
        </w:tc>
      </w:tr>
      <w:tr w14:paraId="20034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9A1655A">
            <w:pPr>
              <w:snapToGrid w:val="0"/>
              <w:spacing w:line="400" w:lineRule="exact"/>
              <w:jc w:val="center"/>
              <w:rPr>
                <w:rFonts w:ascii="宋体" w:hAnsi="宋体" w:cs="宋体"/>
                <w:kern w:val="0"/>
                <w:szCs w:val="21"/>
              </w:rPr>
            </w:pPr>
            <w:r>
              <w:rPr>
                <w:rFonts w:hint="eastAsia" w:ascii="宋体" w:hAnsi="宋体" w:cs="宋体"/>
                <w:kern w:val="0"/>
                <w:szCs w:val="21"/>
              </w:rPr>
              <w:t>1.1.5</w:t>
            </w:r>
          </w:p>
        </w:tc>
        <w:tc>
          <w:tcPr>
            <w:tcW w:w="1964" w:type="dxa"/>
            <w:vAlign w:val="center"/>
          </w:tcPr>
          <w:p w14:paraId="64547C3F">
            <w:pPr>
              <w:snapToGrid w:val="0"/>
              <w:spacing w:line="400" w:lineRule="exact"/>
              <w:jc w:val="center"/>
              <w:rPr>
                <w:rFonts w:ascii="宋体" w:hAnsi="宋体" w:cs="宋体"/>
                <w:kern w:val="0"/>
                <w:szCs w:val="21"/>
              </w:rPr>
            </w:pPr>
            <w:r>
              <w:rPr>
                <w:rFonts w:hint="eastAsia" w:ascii="宋体" w:hAnsi="宋体" w:cs="宋体"/>
                <w:kern w:val="0"/>
                <w:szCs w:val="21"/>
              </w:rPr>
              <w:t>建设地点</w:t>
            </w:r>
          </w:p>
        </w:tc>
        <w:tc>
          <w:tcPr>
            <w:tcW w:w="6372" w:type="dxa"/>
          </w:tcPr>
          <w:p w14:paraId="044C9C5D">
            <w:r>
              <w:rPr>
                <w:rFonts w:hint="eastAsia"/>
              </w:rPr>
              <w:t>重庆市南岸区茶园广福大道13号附11号、莲池路11号；</w:t>
            </w:r>
          </w:p>
        </w:tc>
      </w:tr>
      <w:tr w14:paraId="591CF5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C64FA2A">
            <w:pPr>
              <w:snapToGrid w:val="0"/>
              <w:spacing w:line="400" w:lineRule="exact"/>
              <w:jc w:val="center"/>
              <w:rPr>
                <w:rFonts w:ascii="宋体" w:hAnsi="宋体" w:cs="宋体"/>
                <w:kern w:val="0"/>
                <w:szCs w:val="21"/>
              </w:rPr>
            </w:pPr>
            <w:r>
              <w:rPr>
                <w:rFonts w:hint="eastAsia" w:ascii="宋体" w:hAnsi="宋体" w:cs="宋体"/>
                <w:kern w:val="0"/>
                <w:szCs w:val="21"/>
              </w:rPr>
              <w:t>1.1.6</w:t>
            </w:r>
          </w:p>
        </w:tc>
        <w:tc>
          <w:tcPr>
            <w:tcW w:w="1964" w:type="dxa"/>
            <w:vAlign w:val="center"/>
          </w:tcPr>
          <w:p w14:paraId="15D8120D">
            <w:pPr>
              <w:snapToGrid w:val="0"/>
              <w:spacing w:line="400" w:lineRule="exact"/>
              <w:jc w:val="center"/>
              <w:rPr>
                <w:rFonts w:ascii="宋体" w:hAnsi="宋体"/>
                <w:snapToGrid w:val="0"/>
                <w:kern w:val="0"/>
                <w:szCs w:val="21"/>
              </w:rPr>
            </w:pPr>
            <w:r>
              <w:rPr>
                <w:rFonts w:hint="eastAsia" w:ascii="宋体" w:hAnsi="宋体"/>
                <w:snapToGrid w:val="0"/>
                <w:kern w:val="0"/>
                <w:szCs w:val="21"/>
              </w:rPr>
              <w:t>项目总投资及</w:t>
            </w:r>
          </w:p>
          <w:p w14:paraId="1FE606F9">
            <w:pPr>
              <w:snapToGrid w:val="0"/>
              <w:spacing w:line="400" w:lineRule="exact"/>
              <w:jc w:val="center"/>
              <w:rPr>
                <w:rFonts w:ascii="宋体" w:hAnsi="宋体" w:cs="宋体"/>
                <w:kern w:val="0"/>
                <w:szCs w:val="21"/>
              </w:rPr>
            </w:pPr>
            <w:r>
              <w:rPr>
                <w:rFonts w:hint="eastAsia" w:ascii="宋体" w:hAnsi="宋体"/>
                <w:snapToGrid w:val="0"/>
                <w:kern w:val="0"/>
                <w:szCs w:val="21"/>
              </w:rPr>
              <w:t>建设内容</w:t>
            </w:r>
          </w:p>
        </w:tc>
        <w:tc>
          <w:tcPr>
            <w:tcW w:w="6372" w:type="dxa"/>
            <w:vAlign w:val="center"/>
          </w:tcPr>
          <w:p w14:paraId="14D0B014">
            <w:pPr>
              <w:widowControl/>
              <w:shd w:val="clear" w:color="auto" w:fill="FFFFFF"/>
              <w:spacing w:line="420" w:lineRule="exact"/>
              <w:jc w:val="left"/>
              <w:rPr>
                <w:rFonts w:ascii="宋体" w:hAnsi="宋体"/>
                <w:snapToGrid w:val="0"/>
                <w:kern w:val="0"/>
                <w:szCs w:val="21"/>
              </w:rPr>
            </w:pPr>
            <w:r>
              <w:rPr>
                <w:rFonts w:hint="eastAsia" w:asciiTheme="minorEastAsia" w:hAnsiTheme="minorEastAsia" w:eastAsiaTheme="minorEastAsia"/>
                <w:szCs w:val="21"/>
                <w:u w:val="single"/>
              </w:rPr>
              <w:t>南岸区新职工服务阵地位于南岸区茶园广福路茶园江南小区七期餐饮街A区，面积约8640㎡，包含以下部分：（1）室内部分：负二层车库含消防电梯厅（约2840㎡）；一层室内（约1220㎡）；二层室内（约1240㎡）；三层室内（约1240㎡）；四层室内（约1020㎡）；五层室内（约650㎡）。（2）室外部分：四层露台（约120㎡）；五层露台1（约130㎡）；五层露台2（约180㎡）。</w:t>
            </w:r>
          </w:p>
        </w:tc>
      </w:tr>
      <w:tr w14:paraId="516DD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D248C67">
            <w:pPr>
              <w:snapToGrid w:val="0"/>
              <w:spacing w:line="400" w:lineRule="exact"/>
              <w:jc w:val="center"/>
              <w:rPr>
                <w:rFonts w:ascii="宋体" w:hAnsi="宋体" w:cs="宋体"/>
                <w:kern w:val="0"/>
                <w:szCs w:val="21"/>
              </w:rPr>
            </w:pPr>
            <w:r>
              <w:rPr>
                <w:rFonts w:hint="eastAsia" w:ascii="宋体" w:hAnsi="宋体" w:cs="宋体"/>
                <w:kern w:val="0"/>
                <w:szCs w:val="21"/>
              </w:rPr>
              <w:t>1.2.1</w:t>
            </w:r>
          </w:p>
        </w:tc>
        <w:tc>
          <w:tcPr>
            <w:tcW w:w="1964" w:type="dxa"/>
            <w:vAlign w:val="center"/>
          </w:tcPr>
          <w:p w14:paraId="13DBBFF4">
            <w:pPr>
              <w:snapToGrid w:val="0"/>
              <w:spacing w:line="400" w:lineRule="exact"/>
              <w:jc w:val="center"/>
              <w:rPr>
                <w:rFonts w:ascii="宋体" w:hAnsi="宋体" w:cs="宋体"/>
                <w:kern w:val="0"/>
                <w:szCs w:val="21"/>
              </w:rPr>
            </w:pPr>
            <w:r>
              <w:rPr>
                <w:rFonts w:hint="eastAsia" w:ascii="宋体" w:hAnsi="宋体" w:cs="宋体"/>
                <w:kern w:val="0"/>
                <w:szCs w:val="21"/>
              </w:rPr>
              <w:t>资金来源</w:t>
            </w:r>
          </w:p>
        </w:tc>
        <w:tc>
          <w:tcPr>
            <w:tcW w:w="6372" w:type="dxa"/>
            <w:vAlign w:val="center"/>
          </w:tcPr>
          <w:p w14:paraId="03328835">
            <w:pPr>
              <w:snapToGrid w:val="0"/>
              <w:spacing w:line="400" w:lineRule="exact"/>
              <w:rPr>
                <w:rFonts w:ascii="宋体" w:hAnsi="宋体" w:cs="宋体"/>
                <w:szCs w:val="21"/>
              </w:rPr>
            </w:pPr>
            <w:r>
              <w:rPr>
                <w:rFonts w:hint="eastAsia" w:ascii="宋体" w:hAnsi="宋体"/>
                <w:snapToGrid w:val="0"/>
                <w:kern w:val="0"/>
                <w:szCs w:val="21"/>
                <w:u w:val="single"/>
              </w:rPr>
              <w:t>业主自筹</w:t>
            </w:r>
          </w:p>
        </w:tc>
      </w:tr>
      <w:tr w14:paraId="76337E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8C40225">
            <w:pPr>
              <w:snapToGrid w:val="0"/>
              <w:spacing w:line="400" w:lineRule="exact"/>
              <w:jc w:val="center"/>
              <w:rPr>
                <w:rFonts w:ascii="宋体" w:hAnsi="宋体" w:cs="宋体"/>
                <w:kern w:val="0"/>
                <w:szCs w:val="21"/>
              </w:rPr>
            </w:pPr>
            <w:r>
              <w:rPr>
                <w:rFonts w:hint="eastAsia" w:ascii="宋体" w:hAnsi="宋体" w:cs="宋体"/>
                <w:kern w:val="0"/>
                <w:szCs w:val="21"/>
              </w:rPr>
              <w:t>1.2.2</w:t>
            </w:r>
          </w:p>
        </w:tc>
        <w:tc>
          <w:tcPr>
            <w:tcW w:w="1964" w:type="dxa"/>
            <w:vAlign w:val="center"/>
          </w:tcPr>
          <w:p w14:paraId="09E33EA6">
            <w:pPr>
              <w:snapToGrid w:val="0"/>
              <w:spacing w:line="400" w:lineRule="exact"/>
              <w:jc w:val="center"/>
              <w:rPr>
                <w:rFonts w:ascii="宋体" w:hAnsi="宋体" w:cs="宋体"/>
                <w:kern w:val="0"/>
                <w:szCs w:val="21"/>
              </w:rPr>
            </w:pPr>
            <w:r>
              <w:rPr>
                <w:rFonts w:hint="eastAsia" w:ascii="宋体" w:hAnsi="宋体" w:cs="宋体"/>
                <w:kern w:val="0"/>
                <w:szCs w:val="21"/>
              </w:rPr>
              <w:t>出资比例</w:t>
            </w:r>
          </w:p>
        </w:tc>
        <w:tc>
          <w:tcPr>
            <w:tcW w:w="6372" w:type="dxa"/>
            <w:vAlign w:val="center"/>
          </w:tcPr>
          <w:p w14:paraId="011CA349">
            <w:pPr>
              <w:snapToGrid w:val="0"/>
              <w:spacing w:line="400" w:lineRule="exact"/>
              <w:jc w:val="left"/>
              <w:rPr>
                <w:rFonts w:ascii="宋体" w:hAnsi="宋体" w:cs="宋体"/>
                <w:szCs w:val="21"/>
              </w:rPr>
            </w:pPr>
            <w:r>
              <w:rPr>
                <w:rFonts w:hint="eastAsia" w:ascii="宋体" w:hAnsi="宋体" w:cs="宋体"/>
                <w:szCs w:val="21"/>
              </w:rPr>
              <w:t>100%</w:t>
            </w:r>
          </w:p>
        </w:tc>
      </w:tr>
      <w:tr w14:paraId="3963F2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44EFF5E">
            <w:pPr>
              <w:snapToGrid w:val="0"/>
              <w:spacing w:line="400" w:lineRule="exact"/>
              <w:jc w:val="center"/>
              <w:rPr>
                <w:rFonts w:ascii="宋体" w:hAnsi="宋体" w:cs="宋体"/>
                <w:kern w:val="0"/>
                <w:szCs w:val="21"/>
              </w:rPr>
            </w:pPr>
            <w:r>
              <w:rPr>
                <w:rFonts w:hint="eastAsia" w:ascii="宋体" w:hAnsi="宋体" w:cs="宋体"/>
                <w:kern w:val="0"/>
                <w:szCs w:val="21"/>
              </w:rPr>
              <w:t>1.2.3</w:t>
            </w:r>
          </w:p>
        </w:tc>
        <w:tc>
          <w:tcPr>
            <w:tcW w:w="1964" w:type="dxa"/>
            <w:vAlign w:val="center"/>
          </w:tcPr>
          <w:p w14:paraId="55AFB0BA">
            <w:pPr>
              <w:snapToGrid w:val="0"/>
              <w:spacing w:line="400" w:lineRule="exact"/>
              <w:rPr>
                <w:rFonts w:ascii="宋体" w:hAnsi="宋体" w:cs="宋体"/>
                <w:kern w:val="0"/>
                <w:szCs w:val="21"/>
              </w:rPr>
            </w:pPr>
            <w:r>
              <w:rPr>
                <w:rFonts w:hint="eastAsia" w:ascii="宋体" w:hAnsi="宋体" w:cs="宋体"/>
                <w:kern w:val="0"/>
                <w:szCs w:val="21"/>
              </w:rPr>
              <w:t>资金落实情况</w:t>
            </w:r>
          </w:p>
        </w:tc>
        <w:tc>
          <w:tcPr>
            <w:tcW w:w="6372" w:type="dxa"/>
            <w:vAlign w:val="center"/>
          </w:tcPr>
          <w:p w14:paraId="7A29C674">
            <w:pPr>
              <w:snapToGrid w:val="0"/>
              <w:spacing w:line="400" w:lineRule="exact"/>
              <w:jc w:val="left"/>
              <w:rPr>
                <w:rFonts w:ascii="宋体" w:hAnsi="宋体" w:cs="宋体"/>
                <w:szCs w:val="21"/>
              </w:rPr>
            </w:pPr>
            <w:r>
              <w:rPr>
                <w:rFonts w:hint="eastAsia" w:ascii="宋体" w:hAnsi="宋体" w:cs="宋体"/>
                <w:szCs w:val="21"/>
              </w:rPr>
              <w:t>已落实</w:t>
            </w:r>
          </w:p>
        </w:tc>
      </w:tr>
      <w:tr w14:paraId="677761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F009407">
            <w:pPr>
              <w:snapToGrid w:val="0"/>
              <w:spacing w:line="400" w:lineRule="exact"/>
              <w:jc w:val="center"/>
              <w:rPr>
                <w:rFonts w:ascii="宋体" w:hAnsi="宋体" w:cs="宋体"/>
                <w:kern w:val="0"/>
                <w:szCs w:val="21"/>
              </w:rPr>
            </w:pPr>
            <w:r>
              <w:rPr>
                <w:rFonts w:hint="eastAsia" w:ascii="宋体" w:hAnsi="宋体" w:cs="宋体"/>
                <w:kern w:val="0"/>
                <w:szCs w:val="21"/>
              </w:rPr>
              <w:t>1.3.1</w:t>
            </w:r>
          </w:p>
        </w:tc>
        <w:tc>
          <w:tcPr>
            <w:tcW w:w="1964" w:type="dxa"/>
            <w:vAlign w:val="center"/>
          </w:tcPr>
          <w:p w14:paraId="639921F3">
            <w:pPr>
              <w:snapToGrid w:val="0"/>
              <w:spacing w:line="400" w:lineRule="exact"/>
              <w:jc w:val="center"/>
              <w:rPr>
                <w:rFonts w:ascii="宋体" w:hAnsi="宋体" w:cs="宋体"/>
                <w:kern w:val="0"/>
                <w:szCs w:val="21"/>
              </w:rPr>
            </w:pPr>
            <w:r>
              <w:rPr>
                <w:rFonts w:hint="eastAsia" w:ascii="宋体" w:hAnsi="宋体" w:cs="宋体"/>
                <w:kern w:val="0"/>
                <w:szCs w:val="21"/>
              </w:rPr>
              <w:t>比选范围</w:t>
            </w:r>
          </w:p>
        </w:tc>
        <w:tc>
          <w:tcPr>
            <w:tcW w:w="6372" w:type="dxa"/>
            <w:vAlign w:val="center"/>
          </w:tcPr>
          <w:p w14:paraId="4C4F2FCF">
            <w:pPr>
              <w:tabs>
                <w:tab w:val="left" w:pos="3840"/>
                <w:tab w:val="left" w:pos="5300"/>
              </w:tabs>
              <w:autoSpaceDE w:val="0"/>
              <w:autoSpaceDN w:val="0"/>
              <w:adjustRightInd w:val="0"/>
              <w:snapToGrid w:val="0"/>
              <w:spacing w:line="360" w:lineRule="auto"/>
              <w:ind w:firstLine="420" w:firstLineChars="200"/>
              <w:jc w:val="left"/>
              <w:rPr>
                <w:rFonts w:ascii="宋体" w:hAnsi="宋体"/>
                <w:i/>
                <w:snapToGrid w:val="0"/>
                <w:kern w:val="0"/>
                <w:szCs w:val="21"/>
              </w:rPr>
            </w:pPr>
            <w:r>
              <w:rPr>
                <w:rFonts w:hint="eastAsia" w:ascii="宋体" w:hAnsi="宋体" w:cs="宋体"/>
                <w:szCs w:val="21"/>
                <w:u w:val="single"/>
              </w:rPr>
              <w:t>包含施工、缺陷责任期内表现出的任何缺陷修复的监理服务。具体如下：</w:t>
            </w:r>
          </w:p>
          <w:p w14:paraId="4E9D57C4">
            <w:pPr>
              <w:tabs>
                <w:tab w:val="left" w:pos="3840"/>
                <w:tab w:val="left" w:pos="5300"/>
              </w:tabs>
              <w:autoSpaceDE w:val="0"/>
              <w:autoSpaceDN w:val="0"/>
              <w:adjustRightInd w:val="0"/>
              <w:snapToGrid w:val="0"/>
              <w:spacing w:line="360" w:lineRule="auto"/>
              <w:ind w:firstLine="420" w:firstLineChars="200"/>
              <w:jc w:val="left"/>
              <w:rPr>
                <w:rFonts w:ascii="宋体" w:hAnsi="宋体"/>
                <w:i/>
                <w:snapToGrid w:val="0"/>
                <w:kern w:val="0"/>
                <w:szCs w:val="21"/>
              </w:rPr>
            </w:pPr>
            <w:r>
              <w:rPr>
                <w:rFonts w:hint="eastAsia" w:ascii="宋体" w:hAnsi="宋体" w:cs="宋体"/>
                <w:szCs w:val="21"/>
                <w:u w:val="single"/>
              </w:rPr>
              <w:t>施工阶段：含施工图设计及清单范围内全部工程施工及竣工验收的监理服务，包括施工准备阶段，施工过程中的质量，进度，费用控制，安全、文明施工监理，合同、信息方面的协助管理等。</w:t>
            </w:r>
          </w:p>
          <w:p w14:paraId="6919AE10">
            <w:pPr>
              <w:tabs>
                <w:tab w:val="left" w:pos="3840"/>
                <w:tab w:val="left" w:pos="5300"/>
              </w:tabs>
              <w:autoSpaceDE w:val="0"/>
              <w:autoSpaceDN w:val="0"/>
              <w:adjustRightInd w:val="0"/>
              <w:snapToGrid w:val="0"/>
              <w:spacing w:line="360" w:lineRule="auto"/>
              <w:ind w:firstLine="420" w:firstLineChars="200"/>
              <w:jc w:val="left"/>
              <w:rPr>
                <w:rFonts w:ascii="宋体" w:hAnsi="宋体"/>
                <w:i/>
                <w:snapToGrid w:val="0"/>
                <w:kern w:val="0"/>
                <w:szCs w:val="21"/>
              </w:rPr>
            </w:pPr>
            <w:r>
              <w:rPr>
                <w:rFonts w:hint="eastAsia" w:ascii="宋体" w:hAnsi="宋体" w:cs="宋体"/>
                <w:szCs w:val="21"/>
                <w:u w:val="single"/>
              </w:rPr>
              <w:t>缺陷责任期阶段：检查和记录工程质量缺陷，对缺陷原因进行调查分析并确定责任归属，审核修复方案，监督修复过程并验收，审核修复费用等保修阶段的监理服务</w:t>
            </w:r>
            <w:r>
              <w:rPr>
                <w:rFonts w:hint="eastAsia" w:ascii="宋体" w:hAnsi="宋体" w:cs="宋体"/>
                <w:szCs w:val="21"/>
              </w:rPr>
              <w:t>。</w:t>
            </w:r>
          </w:p>
        </w:tc>
      </w:tr>
      <w:tr w14:paraId="19772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44B89D2">
            <w:pPr>
              <w:snapToGrid w:val="0"/>
              <w:spacing w:line="400" w:lineRule="exact"/>
              <w:jc w:val="center"/>
              <w:rPr>
                <w:rFonts w:ascii="宋体" w:hAnsi="宋体" w:cs="宋体"/>
                <w:kern w:val="0"/>
                <w:szCs w:val="21"/>
              </w:rPr>
            </w:pPr>
            <w:r>
              <w:rPr>
                <w:rFonts w:hint="eastAsia" w:ascii="宋体" w:hAnsi="宋体" w:cs="宋体"/>
                <w:kern w:val="0"/>
                <w:szCs w:val="21"/>
              </w:rPr>
              <w:t>1.3.2</w:t>
            </w:r>
          </w:p>
        </w:tc>
        <w:tc>
          <w:tcPr>
            <w:tcW w:w="1964" w:type="dxa"/>
            <w:vAlign w:val="center"/>
          </w:tcPr>
          <w:p w14:paraId="1300B755">
            <w:pPr>
              <w:snapToGrid w:val="0"/>
              <w:spacing w:line="400" w:lineRule="exact"/>
              <w:jc w:val="center"/>
              <w:rPr>
                <w:rFonts w:ascii="宋体" w:hAnsi="宋体" w:cs="宋体"/>
                <w:kern w:val="0"/>
                <w:szCs w:val="21"/>
              </w:rPr>
            </w:pPr>
            <w:r>
              <w:rPr>
                <w:rFonts w:hint="eastAsia" w:ascii="宋体" w:hAnsi="宋体" w:cs="宋体"/>
                <w:kern w:val="0"/>
                <w:szCs w:val="21"/>
              </w:rPr>
              <w:t>监理服务期</w:t>
            </w:r>
          </w:p>
        </w:tc>
        <w:tc>
          <w:tcPr>
            <w:tcW w:w="6372" w:type="dxa"/>
            <w:vAlign w:val="center"/>
          </w:tcPr>
          <w:p w14:paraId="01CECA7D">
            <w:pPr>
              <w:tabs>
                <w:tab w:val="left" w:pos="3840"/>
                <w:tab w:val="left" w:pos="5300"/>
              </w:tabs>
              <w:autoSpaceDE w:val="0"/>
              <w:autoSpaceDN w:val="0"/>
              <w:adjustRightInd w:val="0"/>
              <w:snapToGrid w:val="0"/>
              <w:spacing w:line="360" w:lineRule="auto"/>
              <w:ind w:firstLine="420" w:firstLineChars="200"/>
              <w:jc w:val="left"/>
              <w:rPr>
                <w:rFonts w:ascii="宋体" w:hAnsi="宋体" w:cs="宋体"/>
                <w:u w:val="single"/>
              </w:rPr>
            </w:pPr>
            <w:r>
              <w:rPr>
                <w:rFonts w:hint="eastAsia" w:asciiTheme="minorEastAsia" w:hAnsiTheme="minorEastAsia" w:eastAsiaTheme="minorEastAsia"/>
                <w:szCs w:val="21"/>
                <w:u w:val="single"/>
              </w:rPr>
              <w:t>从监理合同签订之日起至缺陷责任期满止，其中：计划施工工期:暂定施工阶段服务期80日历天，缺陷责任期：24个月，具体以招标人的书面进场通知为监理服务期的起始时间，以项目竣工验收合格且监理资料交接完成并协助建设单位取得工程备案验收证书且缺陷责任期满为监理服务期的完成时间。</w:t>
            </w:r>
          </w:p>
          <w:p w14:paraId="1B7E6C14">
            <w:pPr>
              <w:tabs>
                <w:tab w:val="left" w:pos="3840"/>
                <w:tab w:val="left" w:pos="5300"/>
              </w:tabs>
              <w:autoSpaceDE w:val="0"/>
              <w:autoSpaceDN w:val="0"/>
              <w:adjustRightInd w:val="0"/>
              <w:snapToGrid w:val="0"/>
              <w:spacing w:line="360" w:lineRule="auto"/>
              <w:ind w:firstLine="422" w:firstLineChars="200"/>
              <w:jc w:val="left"/>
              <w:rPr>
                <w:rFonts w:ascii="宋体" w:hAnsi="宋体"/>
                <w:b/>
                <w:bCs/>
                <w:snapToGrid w:val="0"/>
                <w:kern w:val="0"/>
                <w:szCs w:val="21"/>
              </w:rPr>
            </w:pPr>
            <w:r>
              <w:rPr>
                <w:rFonts w:hint="eastAsia" w:ascii="宋体" w:hAnsi="宋体"/>
                <w:b/>
                <w:bCs/>
                <w:snapToGrid w:val="0"/>
                <w:kern w:val="0"/>
                <w:szCs w:val="21"/>
              </w:rPr>
              <w:t>注：①如实际完工时间与计划完工时间有差异，将以实际完工时间为准。</w:t>
            </w:r>
          </w:p>
          <w:p w14:paraId="64450D7C">
            <w:pPr>
              <w:tabs>
                <w:tab w:val="left" w:pos="3840"/>
                <w:tab w:val="left" w:pos="5300"/>
              </w:tabs>
              <w:autoSpaceDE w:val="0"/>
              <w:autoSpaceDN w:val="0"/>
              <w:adjustRightInd w:val="0"/>
              <w:snapToGrid w:val="0"/>
              <w:spacing w:line="360" w:lineRule="auto"/>
              <w:ind w:firstLine="422" w:firstLineChars="200"/>
              <w:jc w:val="left"/>
              <w:rPr>
                <w:rFonts w:ascii="宋体" w:hAnsi="宋体"/>
                <w:i/>
                <w:snapToGrid w:val="0"/>
                <w:kern w:val="0"/>
                <w:szCs w:val="21"/>
              </w:rPr>
            </w:pPr>
            <w:r>
              <w:rPr>
                <w:rFonts w:hint="eastAsia" w:ascii="宋体" w:hAnsi="宋体"/>
                <w:b/>
                <w:bCs/>
                <w:snapToGrid w:val="0"/>
                <w:kern w:val="0"/>
                <w:szCs w:val="21"/>
              </w:rPr>
              <w:t>②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r w14:paraId="53730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127D908">
            <w:pPr>
              <w:snapToGrid w:val="0"/>
              <w:spacing w:line="400" w:lineRule="exact"/>
              <w:jc w:val="center"/>
              <w:rPr>
                <w:rFonts w:ascii="宋体" w:hAnsi="宋体"/>
                <w:kern w:val="0"/>
                <w:szCs w:val="21"/>
              </w:rPr>
            </w:pPr>
            <w:r>
              <w:rPr>
                <w:rFonts w:ascii="宋体" w:hAnsi="宋体"/>
                <w:kern w:val="0"/>
                <w:szCs w:val="21"/>
              </w:rPr>
              <w:t>1.3.3</w:t>
            </w:r>
          </w:p>
        </w:tc>
        <w:tc>
          <w:tcPr>
            <w:tcW w:w="1964" w:type="dxa"/>
            <w:vAlign w:val="center"/>
          </w:tcPr>
          <w:p w14:paraId="03EBDC25">
            <w:pPr>
              <w:pStyle w:val="39"/>
              <w:spacing w:line="400" w:lineRule="exact"/>
              <w:jc w:val="center"/>
              <w:rPr>
                <w:rFonts w:ascii="宋体" w:hAnsi="宋体"/>
                <w:szCs w:val="21"/>
              </w:rPr>
            </w:pPr>
            <w:r>
              <w:rPr>
                <w:rFonts w:hint="eastAsia"/>
                <w:szCs w:val="21"/>
              </w:rPr>
              <w:t>质量标准</w:t>
            </w:r>
          </w:p>
        </w:tc>
        <w:tc>
          <w:tcPr>
            <w:tcW w:w="6372" w:type="dxa"/>
            <w:vAlign w:val="center"/>
          </w:tcPr>
          <w:p w14:paraId="73F58BDC">
            <w:pPr>
              <w:pStyle w:val="39"/>
              <w:spacing w:line="400" w:lineRule="exact"/>
              <w:ind w:firstLine="420" w:firstLineChars="200"/>
              <w:rPr>
                <w:rFonts w:ascii="宋体" w:hAnsi="宋体"/>
                <w:szCs w:val="21"/>
              </w:rPr>
            </w:pPr>
            <w:r>
              <w:rPr>
                <w:rFonts w:hint="eastAsia" w:asciiTheme="minorEastAsia" w:hAnsiTheme="minorEastAsia" w:eastAsiaTheme="minorEastAsia"/>
                <w:szCs w:val="21"/>
                <w:u w:val="single"/>
              </w:rPr>
              <w:t>服务质量达到《建设工程监理规范》（GB/T50319—2013）等国家现行有关法规要求</w:t>
            </w:r>
            <w:r>
              <w:rPr>
                <w:rFonts w:hint="eastAsia"/>
                <w:snapToGrid w:val="0"/>
                <w:szCs w:val="21"/>
              </w:rPr>
              <w:t>。</w:t>
            </w:r>
          </w:p>
        </w:tc>
      </w:tr>
      <w:tr w14:paraId="151BC7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D6F0CF8">
            <w:pPr>
              <w:snapToGrid w:val="0"/>
              <w:spacing w:line="400" w:lineRule="exact"/>
              <w:jc w:val="center"/>
              <w:rPr>
                <w:rFonts w:ascii="宋体" w:hAnsi="宋体"/>
                <w:kern w:val="0"/>
                <w:szCs w:val="21"/>
              </w:rPr>
            </w:pPr>
            <w:r>
              <w:rPr>
                <w:rFonts w:ascii="宋体" w:hAnsi="宋体"/>
                <w:kern w:val="0"/>
                <w:szCs w:val="21"/>
              </w:rPr>
              <w:t>1.3.4</w:t>
            </w:r>
          </w:p>
        </w:tc>
        <w:tc>
          <w:tcPr>
            <w:tcW w:w="1964" w:type="dxa"/>
            <w:vAlign w:val="center"/>
          </w:tcPr>
          <w:p w14:paraId="51E2577E">
            <w:pPr>
              <w:pStyle w:val="39"/>
              <w:spacing w:line="400" w:lineRule="exact"/>
              <w:jc w:val="center"/>
              <w:rPr>
                <w:szCs w:val="21"/>
              </w:rPr>
            </w:pPr>
            <w:r>
              <w:rPr>
                <w:rFonts w:hint="eastAsia" w:ascii="宋体" w:hAnsi="宋体"/>
                <w:kern w:val="0"/>
                <w:szCs w:val="21"/>
              </w:rPr>
              <w:t>服务目标</w:t>
            </w:r>
          </w:p>
        </w:tc>
        <w:tc>
          <w:tcPr>
            <w:tcW w:w="6372" w:type="dxa"/>
            <w:vAlign w:val="center"/>
          </w:tcPr>
          <w:p w14:paraId="7D1A8198">
            <w:pPr>
              <w:spacing w:line="40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（1）质量控制目标：</w:t>
            </w:r>
            <w:r>
              <w:rPr>
                <w:rFonts w:hint="eastAsia" w:asciiTheme="minorEastAsia" w:hAnsiTheme="minorEastAsia" w:eastAsiaTheme="minorEastAsia"/>
                <w:szCs w:val="21"/>
                <w:u w:val="single"/>
              </w:rPr>
              <w:t>达到国家现行有关施工质量验收规范要求并验收合格</w:t>
            </w:r>
            <w:r>
              <w:rPr>
                <w:rFonts w:hint="eastAsia" w:asciiTheme="minorEastAsia" w:hAnsiTheme="minorEastAsia" w:eastAsiaTheme="minorEastAsia"/>
                <w:szCs w:val="21"/>
              </w:rPr>
              <w:t>。</w:t>
            </w:r>
          </w:p>
          <w:p w14:paraId="5F9C10EB">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（2）造价控制目标：</w:t>
            </w:r>
            <w:r>
              <w:rPr>
                <w:rFonts w:hint="eastAsia" w:asciiTheme="minorEastAsia" w:hAnsiTheme="minorEastAsia" w:eastAsiaTheme="minorEastAsia"/>
                <w:szCs w:val="21"/>
                <w:u w:val="single"/>
              </w:rPr>
              <w:t>控制在概算批复内，无超前支付发生，严格控制工程变更</w:t>
            </w:r>
            <w:r>
              <w:rPr>
                <w:rFonts w:hint="eastAsia" w:asciiTheme="minorEastAsia" w:hAnsiTheme="minorEastAsia" w:eastAsiaTheme="minorEastAsia"/>
                <w:szCs w:val="21"/>
              </w:rPr>
              <w:t>。</w:t>
            </w:r>
          </w:p>
          <w:p w14:paraId="3A437690">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（3）进度控制目标：</w:t>
            </w:r>
            <w:r>
              <w:rPr>
                <w:rFonts w:hint="eastAsia" w:asciiTheme="minorEastAsia" w:hAnsiTheme="minorEastAsia" w:eastAsiaTheme="minorEastAsia"/>
                <w:szCs w:val="21"/>
                <w:u w:val="single"/>
              </w:rPr>
              <w:t>督促施工单位采用合理的施工工艺和工序按期完工</w:t>
            </w:r>
            <w:r>
              <w:rPr>
                <w:rFonts w:hint="eastAsia" w:asciiTheme="minorEastAsia" w:hAnsiTheme="minorEastAsia" w:eastAsiaTheme="minorEastAsia"/>
                <w:szCs w:val="21"/>
              </w:rPr>
              <w:t>。</w:t>
            </w:r>
          </w:p>
          <w:p w14:paraId="011E3DE9">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（4）合同管理：</w:t>
            </w:r>
            <w:r>
              <w:rPr>
                <w:rFonts w:hint="eastAsia" w:asciiTheme="minorEastAsia" w:hAnsiTheme="minorEastAsia" w:eastAsiaTheme="minorEastAsia"/>
                <w:szCs w:val="21"/>
                <w:u w:val="single"/>
              </w:rPr>
              <w:t>正确处理项目有关的合同索赔和合同纠纷</w:t>
            </w:r>
            <w:r>
              <w:rPr>
                <w:rFonts w:hint="eastAsia" w:asciiTheme="minorEastAsia" w:hAnsiTheme="minorEastAsia" w:eastAsiaTheme="minorEastAsia"/>
                <w:szCs w:val="21"/>
              </w:rPr>
              <w:t>。</w:t>
            </w:r>
          </w:p>
          <w:p w14:paraId="541A4913">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（5）信息管理：</w:t>
            </w:r>
            <w:r>
              <w:rPr>
                <w:rFonts w:hint="eastAsia" w:asciiTheme="minorEastAsia" w:hAnsiTheme="minorEastAsia" w:eastAsiaTheme="minorEastAsia"/>
                <w:szCs w:val="21"/>
                <w:u w:val="single"/>
              </w:rPr>
              <w:t>对项目施工阶段的信息进行收集、整理和保管，保证过程中重要环节的可追溯性</w:t>
            </w:r>
            <w:r>
              <w:rPr>
                <w:rFonts w:hint="eastAsia" w:asciiTheme="minorEastAsia" w:hAnsiTheme="minorEastAsia" w:eastAsiaTheme="minorEastAsia"/>
                <w:szCs w:val="21"/>
              </w:rPr>
              <w:t>。</w:t>
            </w:r>
          </w:p>
          <w:p w14:paraId="2A887B64">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（6）协调管理：</w:t>
            </w:r>
            <w:r>
              <w:rPr>
                <w:rFonts w:hint="eastAsia" w:asciiTheme="minorEastAsia" w:hAnsiTheme="minorEastAsia" w:eastAsiaTheme="minorEastAsia"/>
                <w:szCs w:val="21"/>
                <w:u w:val="single"/>
              </w:rPr>
              <w:t>对工程建设相关方的关系进行协调</w:t>
            </w:r>
            <w:r>
              <w:rPr>
                <w:rFonts w:hint="eastAsia" w:asciiTheme="minorEastAsia" w:hAnsiTheme="minorEastAsia" w:eastAsiaTheme="minorEastAsia"/>
                <w:szCs w:val="21"/>
              </w:rPr>
              <w:t>。</w:t>
            </w:r>
          </w:p>
          <w:p w14:paraId="7E34F08D">
            <w:pPr>
              <w:pStyle w:val="39"/>
              <w:spacing w:line="40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（7）安全生产履职：</w:t>
            </w:r>
            <w:r>
              <w:rPr>
                <w:rFonts w:hint="eastAsia" w:asciiTheme="minorEastAsia" w:hAnsiTheme="minorEastAsia" w:eastAsiaTheme="minorEastAsia"/>
                <w:szCs w:val="21"/>
                <w:u w:val="single"/>
              </w:rPr>
              <w:t>履行建设工程安全生产管理法定职责</w:t>
            </w:r>
            <w:r>
              <w:rPr>
                <w:rFonts w:hint="eastAsia" w:asciiTheme="minorEastAsia" w:hAnsiTheme="minorEastAsia" w:eastAsiaTheme="minorEastAsia"/>
                <w:szCs w:val="21"/>
              </w:rPr>
              <w:t>。</w:t>
            </w:r>
          </w:p>
        </w:tc>
      </w:tr>
      <w:tr w14:paraId="22D50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3DFE022">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1.3.5</w:t>
            </w:r>
          </w:p>
        </w:tc>
        <w:tc>
          <w:tcPr>
            <w:tcW w:w="1964" w:type="dxa"/>
            <w:vAlign w:val="center"/>
          </w:tcPr>
          <w:p w14:paraId="2A9293FD">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监理工作内容</w:t>
            </w:r>
          </w:p>
        </w:tc>
        <w:tc>
          <w:tcPr>
            <w:tcW w:w="6372" w:type="dxa"/>
            <w:vAlign w:val="center"/>
          </w:tcPr>
          <w:p w14:paraId="10152622">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u w:val="single"/>
              </w:rPr>
              <w:t>施工阶段及缺陷责任期全过程监理，包括：“三控制、两管理、一协调、一履职”即：质量控制、造价控制、进度控制，合同管理、信息管理，对工程建设相关方的关系进行协调，履行建设工程安全生产管理法定职责</w:t>
            </w:r>
            <w:r>
              <w:rPr>
                <w:rFonts w:hint="eastAsia" w:asciiTheme="minorEastAsia" w:hAnsiTheme="minorEastAsia" w:eastAsiaTheme="minorEastAsia"/>
                <w:b/>
                <w:szCs w:val="21"/>
              </w:rPr>
              <w:t>。</w:t>
            </w:r>
          </w:p>
        </w:tc>
      </w:tr>
      <w:tr w14:paraId="7E5377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45A9910">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1.3.6</w:t>
            </w:r>
          </w:p>
        </w:tc>
        <w:tc>
          <w:tcPr>
            <w:tcW w:w="1964" w:type="dxa"/>
            <w:vAlign w:val="center"/>
          </w:tcPr>
          <w:p w14:paraId="25A7DA41">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监理工作的其他说明</w:t>
            </w:r>
          </w:p>
        </w:tc>
        <w:tc>
          <w:tcPr>
            <w:tcW w:w="6372" w:type="dxa"/>
            <w:vAlign w:val="center"/>
          </w:tcPr>
          <w:p w14:paraId="33631F73">
            <w:pPr>
              <w:adjustRightInd w:val="0"/>
              <w:snapToGrid w:val="0"/>
              <w:spacing w:line="360" w:lineRule="auto"/>
              <w:rPr>
                <w:rFonts w:ascii="宋体" w:hAnsi="宋体" w:cs="宋体"/>
                <w:szCs w:val="21"/>
              </w:rPr>
            </w:pPr>
            <w:r>
              <w:rPr>
                <w:rFonts w:hint="eastAsia" w:ascii="宋体" w:hAnsi="宋体" w:cs="宋体"/>
                <w:szCs w:val="21"/>
              </w:rPr>
              <w:t>中选人应按委托人批准的监理规划和监理细则开展监理工作：</w:t>
            </w:r>
          </w:p>
          <w:p w14:paraId="4A7B7B7B">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1、协助委托人编写开工报告；</w:t>
            </w:r>
          </w:p>
          <w:p w14:paraId="37CBE325">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kern w:val="0"/>
                <w:szCs w:val="21"/>
              </w:rPr>
              <w:t>审查承包人各项施工准备工作，下达开工通知书</w:t>
            </w:r>
            <w:r>
              <w:rPr>
                <w:rFonts w:hint="eastAsia" w:ascii="宋体" w:hAnsi="宋体" w:cs="宋体"/>
                <w:szCs w:val="21"/>
              </w:rPr>
              <w:t>；</w:t>
            </w:r>
          </w:p>
          <w:p w14:paraId="37C8F907">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pacing w:val="-10"/>
                <w:kern w:val="0"/>
                <w:szCs w:val="21"/>
              </w:rPr>
              <w:t>督促承包人施工管理制度和质量保证体系的建立、健全与实施；</w:t>
            </w:r>
          </w:p>
          <w:p w14:paraId="5B4C1ABA">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4、审查承包人提交的施工组织设计、施工技术方案、施工质量保证措施、安全文明施工措施和专项安全技术方案并督促实施；</w:t>
            </w:r>
          </w:p>
          <w:p w14:paraId="18FA22E8">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5、组织技术交底，图纸会审，审查设计变更；</w:t>
            </w:r>
          </w:p>
          <w:p w14:paraId="5F00DA09">
            <w:pPr>
              <w:adjustRightInd w:val="0"/>
              <w:snapToGrid w:val="0"/>
              <w:spacing w:line="360" w:lineRule="auto"/>
              <w:ind w:firstLine="420" w:firstLineChars="200"/>
              <w:rPr>
                <w:rFonts w:ascii="宋体" w:hAnsi="宋体" w:cs="宋体"/>
                <w:szCs w:val="21"/>
              </w:rPr>
            </w:pPr>
            <w:r>
              <w:rPr>
                <w:rFonts w:hint="eastAsia" w:ascii="宋体" w:hAnsi="宋体" w:cs="宋体"/>
                <w:szCs w:val="21"/>
              </w:rPr>
              <w:t>6、根据施工合同约定，审核承包人提出的分包工程项目及选择分包的单位；</w:t>
            </w:r>
          </w:p>
          <w:p w14:paraId="24842C1E">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7、编制投资目标控制计划，审核承包人的已完工程量及月进度报表，签署工程中期付款凭证，经招标人批准后支付；</w:t>
            </w:r>
          </w:p>
          <w:p w14:paraId="0E161D16">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8、设计变更经设计咨询单位审核、委托人批准后，发布施工工程变更令，检查工程变更执行情况并作出书面记录；</w:t>
            </w:r>
          </w:p>
          <w:p w14:paraId="3C2EBAA6">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9、检查施工现场原材料、构配件的采购、入库、保管、领用等管理制度及其执行情况；审查工程使用的原材料、半成品、成品、构配件和设备的实物质量和资料，并按规定进行检测和监控，对有疑问的必须进行复测；</w:t>
            </w:r>
          </w:p>
          <w:p w14:paraId="13ECD01B">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10、</w:t>
            </w:r>
            <w:r>
              <w:rPr>
                <w:rFonts w:hint="eastAsia"/>
              </w:rPr>
              <w:t>协助发包人进行材料设备的核价工作，对承包人提交的材料核价单进行审核。</w:t>
            </w:r>
          </w:p>
          <w:p w14:paraId="59D4857B">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11、监督承包人严格按技术和设计文件施工，控制工程质量，重要工程部位督促承包商实施预控措施；</w:t>
            </w:r>
          </w:p>
          <w:p w14:paraId="682DB07A">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12、抽查工程施工质量，对隐蔽工程进行复验签证，参与工程质量事故的分析及处理；</w:t>
            </w:r>
          </w:p>
          <w:p w14:paraId="3C19715F">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13、编制进度目标控制计划、审查承包商编制的网络进度计划，经招标人批准后组织实施；分阶段进行进度控制，及时提出调整意见；</w:t>
            </w:r>
          </w:p>
          <w:p w14:paraId="02EF2FC9">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14、对工程承发包合同实施管理；协助处理合同纠纷和索赔事宜，协调委托人与承包人之间的争议；</w:t>
            </w:r>
          </w:p>
          <w:p w14:paraId="2CB84615">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15、督促检查安全生产，文明施工；</w:t>
            </w:r>
          </w:p>
          <w:p w14:paraId="777EC395">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16、现场监理工程师如实填写监理日志并报总监审核。监理人如实编制监理工作月报、监理工作总结和质检运行报告，报委托人和市有关主管部门；</w:t>
            </w:r>
          </w:p>
          <w:p w14:paraId="72E28DF7">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17、督促承包人整理合同文件及施工技术档案资料；</w:t>
            </w:r>
          </w:p>
          <w:p w14:paraId="347F1B59">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18、组织对工程验收预备会，参与工程竣工验收，对施工质量提出评价意见；</w:t>
            </w:r>
          </w:p>
          <w:p w14:paraId="2385A786">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19、督促承包人按合同规定及要求整理施工技术档案资料；认真审核竣工图纸和其他技术文件资料；</w:t>
            </w:r>
          </w:p>
          <w:p w14:paraId="35C7413F">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20、编制监理工作竣工文件和项目工程最终总结；</w:t>
            </w:r>
          </w:p>
          <w:p w14:paraId="1C354A2E">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21、签发交工验收证书和工程缺陷责任终止证书；</w:t>
            </w:r>
          </w:p>
          <w:p w14:paraId="609A0C46">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严格按照《建筑工程安全施工管理条例》、《安全生产法》和《关于落实建设工程安全生产监理责任的若干意见》（建市[2006]248号）等国家、地方颁布的安全法律、法规开展安全监理工作，认真履行监理的安全责任；</w:t>
            </w:r>
          </w:p>
          <w:p w14:paraId="2D2FFFC2">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23、签发最终支付证书；</w:t>
            </w:r>
          </w:p>
          <w:p w14:paraId="3E22033A">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24、监理人可采用现场远程监控设备对现场各承包人进行管理；</w:t>
            </w:r>
          </w:p>
          <w:p w14:paraId="271FE659">
            <w:pPr>
              <w:adjustRightInd w:val="0"/>
              <w:snapToGrid w:val="0"/>
              <w:spacing w:line="360" w:lineRule="auto"/>
              <w:ind w:firstLine="420" w:firstLineChars="200"/>
              <w:rPr>
                <w:rFonts w:ascii="宋体" w:hAnsi="宋体" w:cs="宋体"/>
                <w:szCs w:val="21"/>
              </w:rPr>
            </w:pPr>
            <w:r>
              <w:rPr>
                <w:rFonts w:hint="eastAsia" w:ascii="宋体" w:hAnsi="宋体" w:cs="宋体"/>
                <w:szCs w:val="21"/>
              </w:rPr>
              <w:t>25、督促承包人施工管理制度和质量保证体系的建立、健全与实施；编制质量目标控制计划，对工程的重要部位督促承包人实施预控措施；</w:t>
            </w:r>
          </w:p>
          <w:p w14:paraId="0709C416">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26、每月提供监理月报，工程完工后，编制监理工作档案资料和项目监理工作总结； </w:t>
            </w:r>
          </w:p>
          <w:p w14:paraId="6E526AAC">
            <w:pPr>
              <w:adjustRightInd w:val="0"/>
              <w:snapToGrid w:val="0"/>
              <w:spacing w:line="360" w:lineRule="auto"/>
              <w:ind w:firstLine="420" w:firstLineChars="200"/>
              <w:rPr>
                <w:rFonts w:ascii="宋体" w:hAnsi="宋体" w:cs="宋体"/>
                <w:szCs w:val="21"/>
              </w:rPr>
            </w:pPr>
            <w:r>
              <w:rPr>
                <w:rFonts w:hint="eastAsia" w:ascii="宋体" w:hAnsi="宋体" w:cs="宋体"/>
                <w:szCs w:val="21"/>
              </w:rPr>
              <w:t>27、按照旁站监理规定进行旁站监理；完成《建设工程监理规范》（GB50319—2013）规定的其他相应监理工作内容；</w:t>
            </w:r>
          </w:p>
          <w:p w14:paraId="72C83694">
            <w:pPr>
              <w:adjustRightInd w:val="0"/>
              <w:snapToGrid w:val="0"/>
              <w:spacing w:line="360" w:lineRule="auto"/>
              <w:ind w:firstLine="420" w:firstLineChars="200"/>
            </w:pPr>
            <w:r>
              <w:rPr>
                <w:rFonts w:hint="eastAsia" w:ascii="宋体" w:hAnsi="宋体" w:cs="宋体"/>
                <w:bCs/>
                <w:szCs w:val="21"/>
              </w:rPr>
              <w:t>28、具体监理内容以签订合同时，发包人最终确认为准</w:t>
            </w:r>
            <w:r>
              <w:rPr>
                <w:rFonts w:hint="eastAsia" w:ascii="宋体" w:hAnsi="宋体" w:cs="宋体"/>
                <w:szCs w:val="21"/>
              </w:rPr>
              <w:t>。</w:t>
            </w:r>
          </w:p>
          <w:p w14:paraId="6717D0F6">
            <w:pPr>
              <w:spacing w:line="400" w:lineRule="exact"/>
              <w:ind w:firstLine="420" w:firstLineChars="200"/>
              <w:rPr>
                <w:rFonts w:asciiTheme="minorEastAsia" w:hAnsiTheme="minorEastAsia" w:eastAsiaTheme="minorEastAsia"/>
                <w:szCs w:val="21"/>
                <w:u w:val="single"/>
              </w:rPr>
            </w:pPr>
            <w:r>
              <w:rPr>
                <w:rFonts w:hint="eastAsia" w:ascii="宋体" w:hAnsi="宋体" w:cs="宋体"/>
                <w:szCs w:val="21"/>
              </w:rPr>
              <w:t>注：以上未尽事项，参照《建设工程监理规范》及房屋建筑工程监理实施细则执行。</w:t>
            </w:r>
          </w:p>
        </w:tc>
      </w:tr>
      <w:tr w14:paraId="78C95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Align w:val="center"/>
          </w:tcPr>
          <w:p w14:paraId="23D69AEF">
            <w:pPr>
              <w:snapToGrid w:val="0"/>
              <w:spacing w:line="400" w:lineRule="exact"/>
              <w:jc w:val="center"/>
              <w:rPr>
                <w:rFonts w:ascii="宋体" w:hAnsi="宋体" w:cs="宋体"/>
                <w:kern w:val="0"/>
                <w:szCs w:val="21"/>
              </w:rPr>
            </w:pPr>
          </w:p>
          <w:p w14:paraId="329AFF86">
            <w:pPr>
              <w:snapToGrid w:val="0"/>
              <w:spacing w:line="400" w:lineRule="exact"/>
              <w:jc w:val="center"/>
              <w:rPr>
                <w:rFonts w:ascii="宋体" w:hAnsi="宋体" w:cs="宋体"/>
                <w:kern w:val="0"/>
                <w:szCs w:val="21"/>
              </w:rPr>
            </w:pPr>
          </w:p>
          <w:p w14:paraId="1846AB7C">
            <w:pPr>
              <w:snapToGrid w:val="0"/>
              <w:spacing w:line="400" w:lineRule="exact"/>
              <w:jc w:val="center"/>
              <w:rPr>
                <w:rFonts w:ascii="宋体" w:hAnsi="宋体" w:cs="宋体"/>
                <w:kern w:val="0"/>
                <w:szCs w:val="21"/>
              </w:rPr>
            </w:pPr>
          </w:p>
          <w:p w14:paraId="74A908CD">
            <w:pPr>
              <w:snapToGrid w:val="0"/>
              <w:spacing w:line="400" w:lineRule="exact"/>
              <w:jc w:val="center"/>
              <w:rPr>
                <w:rFonts w:ascii="宋体" w:hAnsi="宋体" w:cs="宋体"/>
                <w:kern w:val="0"/>
                <w:szCs w:val="21"/>
              </w:rPr>
            </w:pPr>
          </w:p>
          <w:p w14:paraId="7D4F36C2">
            <w:pPr>
              <w:snapToGrid w:val="0"/>
              <w:spacing w:line="400" w:lineRule="exact"/>
              <w:jc w:val="center"/>
              <w:rPr>
                <w:rFonts w:ascii="宋体" w:hAnsi="宋体" w:cs="宋体"/>
                <w:kern w:val="0"/>
                <w:szCs w:val="21"/>
              </w:rPr>
            </w:pPr>
          </w:p>
          <w:p w14:paraId="55241482">
            <w:pPr>
              <w:snapToGrid w:val="0"/>
              <w:spacing w:line="400" w:lineRule="exact"/>
              <w:jc w:val="center"/>
              <w:rPr>
                <w:rFonts w:ascii="宋体" w:hAnsi="宋体" w:cs="宋体"/>
                <w:kern w:val="0"/>
                <w:szCs w:val="21"/>
              </w:rPr>
            </w:pPr>
          </w:p>
          <w:p w14:paraId="7E743E67">
            <w:pPr>
              <w:snapToGrid w:val="0"/>
              <w:spacing w:line="400" w:lineRule="exact"/>
              <w:jc w:val="center"/>
              <w:rPr>
                <w:rFonts w:ascii="宋体" w:hAnsi="宋体" w:cs="宋体"/>
                <w:kern w:val="0"/>
                <w:szCs w:val="21"/>
              </w:rPr>
            </w:pPr>
          </w:p>
          <w:p w14:paraId="57A7601C">
            <w:pPr>
              <w:snapToGrid w:val="0"/>
              <w:spacing w:line="400" w:lineRule="exact"/>
              <w:jc w:val="center"/>
              <w:rPr>
                <w:rFonts w:ascii="宋体" w:hAnsi="宋体" w:cs="宋体"/>
                <w:kern w:val="0"/>
                <w:szCs w:val="21"/>
              </w:rPr>
            </w:pPr>
          </w:p>
          <w:p w14:paraId="5F50233E">
            <w:pPr>
              <w:snapToGrid w:val="0"/>
              <w:spacing w:line="400" w:lineRule="exact"/>
              <w:jc w:val="center"/>
              <w:rPr>
                <w:rFonts w:ascii="宋体" w:hAnsi="宋体" w:cs="宋体"/>
                <w:kern w:val="0"/>
                <w:szCs w:val="21"/>
              </w:rPr>
            </w:pPr>
          </w:p>
          <w:p w14:paraId="7C0B40E4">
            <w:pPr>
              <w:snapToGrid w:val="0"/>
              <w:spacing w:line="400" w:lineRule="exact"/>
              <w:jc w:val="center"/>
              <w:rPr>
                <w:rFonts w:ascii="宋体" w:hAnsi="宋体" w:cs="宋体"/>
                <w:kern w:val="0"/>
                <w:szCs w:val="21"/>
              </w:rPr>
            </w:pPr>
          </w:p>
          <w:p w14:paraId="1E2D507B">
            <w:pPr>
              <w:snapToGrid w:val="0"/>
              <w:spacing w:line="400" w:lineRule="exact"/>
              <w:jc w:val="center"/>
              <w:rPr>
                <w:rFonts w:ascii="宋体" w:hAnsi="宋体" w:cs="宋体"/>
                <w:kern w:val="0"/>
                <w:szCs w:val="21"/>
              </w:rPr>
            </w:pPr>
          </w:p>
          <w:p w14:paraId="516D6470">
            <w:pPr>
              <w:snapToGrid w:val="0"/>
              <w:spacing w:line="400" w:lineRule="exact"/>
              <w:jc w:val="center"/>
              <w:rPr>
                <w:rFonts w:ascii="宋体" w:hAnsi="宋体" w:cs="宋体"/>
                <w:kern w:val="0"/>
                <w:szCs w:val="21"/>
              </w:rPr>
            </w:pPr>
          </w:p>
          <w:p w14:paraId="1A567B8E">
            <w:pPr>
              <w:snapToGrid w:val="0"/>
              <w:spacing w:line="400" w:lineRule="exact"/>
              <w:jc w:val="center"/>
              <w:rPr>
                <w:rFonts w:ascii="宋体" w:hAnsi="宋体" w:cs="宋体"/>
                <w:kern w:val="0"/>
                <w:szCs w:val="21"/>
              </w:rPr>
            </w:pPr>
          </w:p>
          <w:p w14:paraId="6CCC60A2">
            <w:pPr>
              <w:snapToGrid w:val="0"/>
              <w:spacing w:line="400" w:lineRule="exact"/>
              <w:jc w:val="center"/>
              <w:rPr>
                <w:rFonts w:ascii="宋体" w:hAnsi="宋体" w:cs="宋体"/>
                <w:kern w:val="0"/>
                <w:szCs w:val="21"/>
              </w:rPr>
            </w:pPr>
          </w:p>
          <w:p w14:paraId="21F10617">
            <w:pPr>
              <w:snapToGrid w:val="0"/>
              <w:spacing w:line="400" w:lineRule="exact"/>
              <w:jc w:val="center"/>
              <w:rPr>
                <w:rFonts w:ascii="宋体" w:hAnsi="宋体" w:cs="宋体"/>
                <w:kern w:val="0"/>
                <w:szCs w:val="21"/>
              </w:rPr>
            </w:pPr>
          </w:p>
          <w:p w14:paraId="09A9FBE9">
            <w:pPr>
              <w:snapToGrid w:val="0"/>
              <w:spacing w:line="400" w:lineRule="exact"/>
              <w:jc w:val="center"/>
              <w:rPr>
                <w:rFonts w:ascii="宋体" w:hAnsi="宋体" w:cs="宋体"/>
                <w:kern w:val="0"/>
                <w:szCs w:val="21"/>
              </w:rPr>
            </w:pPr>
          </w:p>
          <w:p w14:paraId="00C40977">
            <w:pPr>
              <w:snapToGrid w:val="0"/>
              <w:spacing w:line="400" w:lineRule="exact"/>
              <w:jc w:val="center"/>
              <w:rPr>
                <w:rFonts w:ascii="宋体" w:hAnsi="宋体" w:cs="宋体"/>
                <w:kern w:val="0"/>
                <w:szCs w:val="21"/>
              </w:rPr>
            </w:pPr>
          </w:p>
          <w:p w14:paraId="745BE09C">
            <w:pPr>
              <w:snapToGrid w:val="0"/>
              <w:spacing w:line="400" w:lineRule="exact"/>
              <w:jc w:val="center"/>
              <w:rPr>
                <w:rFonts w:ascii="宋体" w:hAnsi="宋体" w:cs="宋体"/>
                <w:kern w:val="0"/>
                <w:szCs w:val="21"/>
              </w:rPr>
            </w:pPr>
            <w:r>
              <w:rPr>
                <w:rFonts w:hint="eastAsia" w:ascii="宋体" w:hAnsi="宋体" w:cs="宋体"/>
                <w:kern w:val="0"/>
                <w:szCs w:val="21"/>
              </w:rPr>
              <w:t>1.4.1</w:t>
            </w:r>
          </w:p>
          <w:p w14:paraId="234440EE">
            <w:pPr>
              <w:snapToGrid w:val="0"/>
              <w:spacing w:line="400" w:lineRule="exact"/>
              <w:jc w:val="center"/>
              <w:rPr>
                <w:rFonts w:ascii="宋体" w:hAnsi="宋体" w:cs="宋体"/>
                <w:kern w:val="0"/>
                <w:szCs w:val="21"/>
              </w:rPr>
            </w:pPr>
          </w:p>
          <w:p w14:paraId="76BF147C">
            <w:pPr>
              <w:snapToGrid w:val="0"/>
              <w:spacing w:line="400" w:lineRule="exact"/>
              <w:jc w:val="center"/>
              <w:rPr>
                <w:rFonts w:ascii="宋体" w:hAnsi="宋体" w:cs="宋体"/>
                <w:kern w:val="0"/>
                <w:szCs w:val="21"/>
              </w:rPr>
            </w:pPr>
          </w:p>
          <w:p w14:paraId="7F581DDC">
            <w:pPr>
              <w:snapToGrid w:val="0"/>
              <w:spacing w:line="400" w:lineRule="exact"/>
              <w:jc w:val="center"/>
              <w:rPr>
                <w:rFonts w:ascii="宋体" w:hAnsi="宋体" w:cs="宋体"/>
                <w:kern w:val="0"/>
                <w:szCs w:val="21"/>
              </w:rPr>
            </w:pPr>
          </w:p>
          <w:p w14:paraId="165F78C0">
            <w:pPr>
              <w:snapToGrid w:val="0"/>
              <w:spacing w:line="400" w:lineRule="exact"/>
              <w:jc w:val="center"/>
              <w:rPr>
                <w:rFonts w:ascii="宋体" w:hAnsi="宋体" w:cs="宋体"/>
                <w:kern w:val="0"/>
                <w:szCs w:val="21"/>
              </w:rPr>
            </w:pPr>
          </w:p>
          <w:p w14:paraId="60005DE2">
            <w:pPr>
              <w:snapToGrid w:val="0"/>
              <w:spacing w:line="400" w:lineRule="exact"/>
              <w:jc w:val="center"/>
              <w:rPr>
                <w:rFonts w:ascii="宋体" w:hAnsi="宋体" w:cs="宋体"/>
                <w:kern w:val="0"/>
                <w:szCs w:val="21"/>
              </w:rPr>
            </w:pPr>
          </w:p>
          <w:p w14:paraId="5EAB3D43">
            <w:pPr>
              <w:snapToGrid w:val="0"/>
              <w:spacing w:line="400" w:lineRule="exact"/>
              <w:jc w:val="center"/>
              <w:rPr>
                <w:rFonts w:ascii="宋体" w:hAnsi="宋体" w:cs="宋体"/>
                <w:kern w:val="0"/>
                <w:szCs w:val="21"/>
              </w:rPr>
            </w:pPr>
          </w:p>
          <w:p w14:paraId="4B25F87F">
            <w:pPr>
              <w:snapToGrid w:val="0"/>
              <w:spacing w:line="400" w:lineRule="exact"/>
              <w:jc w:val="center"/>
              <w:rPr>
                <w:rFonts w:ascii="宋体" w:hAnsi="宋体" w:cs="宋体"/>
                <w:kern w:val="0"/>
                <w:szCs w:val="21"/>
              </w:rPr>
            </w:pPr>
          </w:p>
          <w:p w14:paraId="5CFB26EC">
            <w:pPr>
              <w:snapToGrid w:val="0"/>
              <w:spacing w:line="400" w:lineRule="exact"/>
              <w:jc w:val="center"/>
              <w:rPr>
                <w:rFonts w:ascii="宋体" w:hAnsi="宋体" w:cs="宋体"/>
                <w:kern w:val="0"/>
                <w:szCs w:val="21"/>
              </w:rPr>
            </w:pPr>
          </w:p>
          <w:p w14:paraId="2759D377">
            <w:pPr>
              <w:snapToGrid w:val="0"/>
              <w:spacing w:line="400" w:lineRule="exact"/>
              <w:jc w:val="center"/>
              <w:rPr>
                <w:rFonts w:ascii="宋体" w:hAnsi="宋体" w:cs="宋体"/>
                <w:kern w:val="0"/>
                <w:szCs w:val="21"/>
              </w:rPr>
            </w:pPr>
          </w:p>
          <w:p w14:paraId="0CF55F79">
            <w:pPr>
              <w:snapToGrid w:val="0"/>
              <w:spacing w:line="400" w:lineRule="exact"/>
              <w:jc w:val="center"/>
              <w:rPr>
                <w:rFonts w:ascii="宋体" w:hAnsi="宋体" w:cs="宋体"/>
                <w:kern w:val="0"/>
                <w:szCs w:val="21"/>
              </w:rPr>
            </w:pPr>
          </w:p>
          <w:p w14:paraId="220C8E99">
            <w:pPr>
              <w:snapToGrid w:val="0"/>
              <w:spacing w:line="400" w:lineRule="exact"/>
              <w:jc w:val="center"/>
              <w:rPr>
                <w:rFonts w:ascii="宋体" w:hAnsi="宋体" w:cs="宋体"/>
                <w:kern w:val="0"/>
                <w:szCs w:val="21"/>
              </w:rPr>
            </w:pPr>
          </w:p>
          <w:p w14:paraId="6CBBD187">
            <w:pPr>
              <w:snapToGrid w:val="0"/>
              <w:spacing w:line="400" w:lineRule="exact"/>
              <w:jc w:val="center"/>
              <w:rPr>
                <w:rFonts w:ascii="宋体" w:hAnsi="宋体" w:cs="宋体"/>
                <w:kern w:val="0"/>
                <w:szCs w:val="21"/>
              </w:rPr>
            </w:pPr>
          </w:p>
          <w:p w14:paraId="7F2E1044">
            <w:pPr>
              <w:snapToGrid w:val="0"/>
              <w:spacing w:line="400" w:lineRule="exact"/>
              <w:rPr>
                <w:rFonts w:ascii="宋体" w:hAnsi="宋体" w:cs="宋体"/>
                <w:kern w:val="0"/>
                <w:szCs w:val="21"/>
              </w:rPr>
            </w:pPr>
            <w:r>
              <w:rPr>
                <w:rFonts w:hint="eastAsia" w:ascii="宋体" w:hAnsi="宋体" w:cs="宋体"/>
                <w:kern w:val="0"/>
                <w:szCs w:val="21"/>
              </w:rPr>
              <w:t>1.4.1</w:t>
            </w:r>
          </w:p>
        </w:tc>
        <w:tc>
          <w:tcPr>
            <w:tcW w:w="1964" w:type="dxa"/>
            <w:vAlign w:val="center"/>
          </w:tcPr>
          <w:p w14:paraId="3815CDF4">
            <w:pPr>
              <w:snapToGrid w:val="0"/>
              <w:spacing w:line="400" w:lineRule="exact"/>
              <w:jc w:val="center"/>
              <w:rPr>
                <w:rFonts w:ascii="宋体" w:hAnsi="宋体" w:cs="宋体"/>
                <w:kern w:val="0"/>
                <w:szCs w:val="21"/>
              </w:rPr>
            </w:pPr>
          </w:p>
          <w:p w14:paraId="0C47E28F">
            <w:pPr>
              <w:snapToGrid w:val="0"/>
              <w:spacing w:line="400" w:lineRule="exact"/>
              <w:jc w:val="center"/>
              <w:rPr>
                <w:rFonts w:ascii="宋体" w:hAnsi="宋体" w:cs="宋体"/>
                <w:kern w:val="0"/>
                <w:szCs w:val="21"/>
              </w:rPr>
            </w:pPr>
          </w:p>
          <w:p w14:paraId="09639B97">
            <w:pPr>
              <w:snapToGrid w:val="0"/>
              <w:spacing w:line="400" w:lineRule="exact"/>
              <w:jc w:val="center"/>
              <w:rPr>
                <w:rFonts w:ascii="宋体" w:hAnsi="宋体" w:cs="宋体"/>
                <w:kern w:val="0"/>
                <w:szCs w:val="21"/>
              </w:rPr>
            </w:pPr>
          </w:p>
          <w:p w14:paraId="2981033B">
            <w:pPr>
              <w:snapToGrid w:val="0"/>
              <w:spacing w:line="400" w:lineRule="exact"/>
              <w:jc w:val="center"/>
              <w:rPr>
                <w:rFonts w:ascii="宋体" w:hAnsi="宋体" w:cs="宋体"/>
                <w:kern w:val="0"/>
                <w:szCs w:val="21"/>
              </w:rPr>
            </w:pPr>
          </w:p>
          <w:p w14:paraId="111BDC8A">
            <w:pPr>
              <w:snapToGrid w:val="0"/>
              <w:spacing w:line="400" w:lineRule="exact"/>
              <w:jc w:val="center"/>
              <w:rPr>
                <w:rFonts w:ascii="宋体" w:hAnsi="宋体" w:cs="宋体"/>
                <w:kern w:val="0"/>
                <w:szCs w:val="21"/>
              </w:rPr>
            </w:pPr>
          </w:p>
          <w:p w14:paraId="3FE37BA9">
            <w:pPr>
              <w:snapToGrid w:val="0"/>
              <w:spacing w:line="400" w:lineRule="exact"/>
              <w:jc w:val="center"/>
              <w:rPr>
                <w:rFonts w:ascii="宋体" w:hAnsi="宋体" w:cs="宋体"/>
                <w:kern w:val="0"/>
                <w:szCs w:val="21"/>
              </w:rPr>
            </w:pPr>
          </w:p>
          <w:p w14:paraId="7A13660C">
            <w:pPr>
              <w:snapToGrid w:val="0"/>
              <w:spacing w:line="400" w:lineRule="exact"/>
              <w:jc w:val="center"/>
              <w:rPr>
                <w:rFonts w:ascii="宋体" w:hAnsi="宋体" w:cs="宋体"/>
                <w:kern w:val="0"/>
                <w:szCs w:val="21"/>
              </w:rPr>
            </w:pPr>
          </w:p>
          <w:p w14:paraId="7BE74607">
            <w:pPr>
              <w:snapToGrid w:val="0"/>
              <w:spacing w:line="400" w:lineRule="exact"/>
              <w:jc w:val="center"/>
              <w:rPr>
                <w:rFonts w:ascii="宋体" w:hAnsi="宋体" w:cs="宋体"/>
                <w:kern w:val="0"/>
                <w:szCs w:val="21"/>
              </w:rPr>
            </w:pPr>
          </w:p>
          <w:p w14:paraId="6BCE9226">
            <w:pPr>
              <w:snapToGrid w:val="0"/>
              <w:spacing w:line="400" w:lineRule="exact"/>
              <w:jc w:val="center"/>
              <w:rPr>
                <w:rFonts w:ascii="宋体" w:hAnsi="宋体" w:cs="宋体"/>
                <w:kern w:val="0"/>
                <w:szCs w:val="21"/>
              </w:rPr>
            </w:pPr>
          </w:p>
          <w:p w14:paraId="43719AFC">
            <w:pPr>
              <w:snapToGrid w:val="0"/>
              <w:spacing w:line="400" w:lineRule="exact"/>
              <w:jc w:val="center"/>
              <w:rPr>
                <w:rFonts w:ascii="宋体" w:hAnsi="宋体" w:cs="宋体"/>
                <w:kern w:val="0"/>
                <w:szCs w:val="21"/>
              </w:rPr>
            </w:pPr>
          </w:p>
          <w:p w14:paraId="2174142A">
            <w:pPr>
              <w:snapToGrid w:val="0"/>
              <w:spacing w:line="400" w:lineRule="exact"/>
              <w:jc w:val="center"/>
              <w:rPr>
                <w:rFonts w:ascii="宋体" w:hAnsi="宋体" w:cs="宋体"/>
                <w:kern w:val="0"/>
                <w:szCs w:val="21"/>
              </w:rPr>
            </w:pPr>
          </w:p>
          <w:p w14:paraId="33B8F890">
            <w:pPr>
              <w:snapToGrid w:val="0"/>
              <w:spacing w:line="400" w:lineRule="exact"/>
              <w:jc w:val="center"/>
              <w:rPr>
                <w:rFonts w:ascii="宋体" w:hAnsi="宋体" w:cs="宋体"/>
                <w:kern w:val="0"/>
                <w:szCs w:val="21"/>
              </w:rPr>
            </w:pPr>
          </w:p>
          <w:p w14:paraId="6814BADD">
            <w:pPr>
              <w:snapToGrid w:val="0"/>
              <w:spacing w:line="400" w:lineRule="exact"/>
              <w:jc w:val="center"/>
              <w:rPr>
                <w:rFonts w:ascii="宋体" w:hAnsi="宋体" w:cs="宋体"/>
                <w:kern w:val="0"/>
                <w:szCs w:val="21"/>
              </w:rPr>
            </w:pPr>
          </w:p>
          <w:p w14:paraId="1653C318">
            <w:pPr>
              <w:snapToGrid w:val="0"/>
              <w:spacing w:line="400" w:lineRule="exact"/>
              <w:jc w:val="center"/>
              <w:rPr>
                <w:rFonts w:ascii="宋体" w:hAnsi="宋体" w:cs="宋体"/>
                <w:kern w:val="0"/>
                <w:szCs w:val="21"/>
              </w:rPr>
            </w:pPr>
          </w:p>
          <w:p w14:paraId="2ABB6C96">
            <w:pPr>
              <w:snapToGrid w:val="0"/>
              <w:spacing w:line="400" w:lineRule="exact"/>
              <w:jc w:val="center"/>
              <w:rPr>
                <w:rFonts w:ascii="宋体" w:hAnsi="宋体" w:cs="宋体"/>
                <w:kern w:val="0"/>
                <w:szCs w:val="21"/>
              </w:rPr>
            </w:pPr>
          </w:p>
          <w:p w14:paraId="2D477108">
            <w:pPr>
              <w:snapToGrid w:val="0"/>
              <w:spacing w:line="400" w:lineRule="exact"/>
              <w:jc w:val="center"/>
              <w:rPr>
                <w:rFonts w:ascii="宋体" w:hAnsi="宋体" w:cs="宋体"/>
                <w:kern w:val="0"/>
                <w:szCs w:val="21"/>
              </w:rPr>
            </w:pPr>
          </w:p>
          <w:p w14:paraId="1AF1CF39">
            <w:pPr>
              <w:snapToGrid w:val="0"/>
              <w:spacing w:line="400" w:lineRule="exact"/>
              <w:jc w:val="center"/>
              <w:rPr>
                <w:rFonts w:ascii="宋体" w:hAnsi="宋体" w:cs="宋体"/>
                <w:kern w:val="0"/>
                <w:szCs w:val="21"/>
              </w:rPr>
            </w:pPr>
          </w:p>
          <w:p w14:paraId="4BC961FF">
            <w:pPr>
              <w:snapToGrid w:val="0"/>
              <w:spacing w:line="400" w:lineRule="exact"/>
              <w:jc w:val="center"/>
              <w:rPr>
                <w:rFonts w:ascii="宋体" w:hAnsi="宋体" w:cs="宋体"/>
                <w:kern w:val="0"/>
                <w:szCs w:val="21"/>
              </w:rPr>
            </w:pPr>
            <w:r>
              <w:rPr>
                <w:rFonts w:hint="eastAsia" w:ascii="宋体" w:hAnsi="宋体" w:cs="宋体"/>
                <w:kern w:val="0"/>
                <w:szCs w:val="21"/>
              </w:rPr>
              <w:t>竞选人资质条件、能力和信誉</w:t>
            </w:r>
          </w:p>
          <w:p w14:paraId="4A9F5E76">
            <w:pPr>
              <w:snapToGrid w:val="0"/>
              <w:spacing w:line="400" w:lineRule="exact"/>
              <w:jc w:val="center"/>
              <w:rPr>
                <w:rFonts w:ascii="宋体" w:hAnsi="宋体" w:cs="宋体"/>
                <w:kern w:val="0"/>
                <w:szCs w:val="21"/>
              </w:rPr>
            </w:pPr>
          </w:p>
          <w:p w14:paraId="12B93087">
            <w:pPr>
              <w:snapToGrid w:val="0"/>
              <w:spacing w:line="400" w:lineRule="exact"/>
              <w:jc w:val="center"/>
              <w:rPr>
                <w:rFonts w:ascii="宋体" w:hAnsi="宋体" w:cs="宋体"/>
                <w:kern w:val="0"/>
                <w:szCs w:val="21"/>
              </w:rPr>
            </w:pPr>
          </w:p>
          <w:p w14:paraId="359DE064">
            <w:pPr>
              <w:snapToGrid w:val="0"/>
              <w:spacing w:line="400" w:lineRule="exact"/>
              <w:jc w:val="center"/>
              <w:rPr>
                <w:rFonts w:ascii="宋体" w:hAnsi="宋体" w:cs="宋体"/>
                <w:kern w:val="0"/>
                <w:szCs w:val="21"/>
              </w:rPr>
            </w:pPr>
          </w:p>
          <w:p w14:paraId="0FF8E0CF">
            <w:pPr>
              <w:snapToGrid w:val="0"/>
              <w:spacing w:line="400" w:lineRule="exact"/>
              <w:jc w:val="center"/>
              <w:rPr>
                <w:rFonts w:ascii="宋体" w:hAnsi="宋体" w:cs="宋体"/>
                <w:kern w:val="0"/>
                <w:szCs w:val="21"/>
              </w:rPr>
            </w:pPr>
          </w:p>
          <w:p w14:paraId="14F3699A">
            <w:pPr>
              <w:snapToGrid w:val="0"/>
              <w:spacing w:line="400" w:lineRule="exact"/>
              <w:jc w:val="center"/>
              <w:rPr>
                <w:rFonts w:ascii="宋体" w:hAnsi="宋体" w:cs="宋体"/>
                <w:kern w:val="0"/>
                <w:szCs w:val="21"/>
              </w:rPr>
            </w:pPr>
          </w:p>
          <w:p w14:paraId="5D93EC7C">
            <w:pPr>
              <w:snapToGrid w:val="0"/>
              <w:spacing w:line="400" w:lineRule="exact"/>
              <w:jc w:val="center"/>
              <w:rPr>
                <w:rFonts w:ascii="宋体" w:hAnsi="宋体" w:cs="宋体"/>
                <w:kern w:val="0"/>
                <w:szCs w:val="21"/>
              </w:rPr>
            </w:pPr>
          </w:p>
          <w:p w14:paraId="4A3346CD">
            <w:pPr>
              <w:snapToGrid w:val="0"/>
              <w:spacing w:line="400" w:lineRule="exact"/>
              <w:jc w:val="center"/>
              <w:rPr>
                <w:rFonts w:ascii="宋体" w:hAnsi="宋体" w:cs="宋体"/>
                <w:kern w:val="0"/>
                <w:szCs w:val="21"/>
              </w:rPr>
            </w:pPr>
          </w:p>
          <w:p w14:paraId="5B766729">
            <w:pPr>
              <w:snapToGrid w:val="0"/>
              <w:spacing w:line="400" w:lineRule="exact"/>
              <w:jc w:val="center"/>
              <w:rPr>
                <w:rFonts w:ascii="宋体" w:hAnsi="宋体" w:cs="宋体"/>
                <w:kern w:val="0"/>
                <w:szCs w:val="21"/>
              </w:rPr>
            </w:pPr>
          </w:p>
          <w:p w14:paraId="27C2FB06">
            <w:pPr>
              <w:snapToGrid w:val="0"/>
              <w:spacing w:line="400" w:lineRule="exact"/>
              <w:jc w:val="center"/>
              <w:rPr>
                <w:rFonts w:ascii="宋体" w:hAnsi="宋体" w:cs="宋体"/>
                <w:kern w:val="0"/>
                <w:szCs w:val="21"/>
              </w:rPr>
            </w:pPr>
          </w:p>
          <w:p w14:paraId="2A9836EA">
            <w:pPr>
              <w:snapToGrid w:val="0"/>
              <w:spacing w:line="400" w:lineRule="exact"/>
              <w:jc w:val="center"/>
              <w:rPr>
                <w:rFonts w:ascii="宋体" w:hAnsi="宋体" w:cs="宋体"/>
                <w:kern w:val="0"/>
                <w:szCs w:val="21"/>
              </w:rPr>
            </w:pPr>
          </w:p>
          <w:p w14:paraId="74A4AD42">
            <w:pPr>
              <w:snapToGrid w:val="0"/>
              <w:spacing w:line="400" w:lineRule="exact"/>
              <w:rPr>
                <w:rFonts w:ascii="宋体" w:hAnsi="宋体" w:cs="宋体"/>
                <w:kern w:val="0"/>
                <w:szCs w:val="21"/>
              </w:rPr>
            </w:pPr>
          </w:p>
          <w:p w14:paraId="096CEF8B">
            <w:pPr>
              <w:snapToGrid w:val="0"/>
              <w:spacing w:line="400" w:lineRule="exact"/>
              <w:rPr>
                <w:rFonts w:ascii="宋体" w:hAnsi="宋体" w:cs="宋体"/>
                <w:kern w:val="0"/>
                <w:szCs w:val="21"/>
              </w:rPr>
            </w:pPr>
            <w:r>
              <w:rPr>
                <w:rFonts w:hint="eastAsia" w:ascii="宋体" w:hAnsi="宋体" w:cs="宋体"/>
                <w:kern w:val="0"/>
                <w:szCs w:val="21"/>
              </w:rPr>
              <w:t>竞选人资质条件、能力和信誉</w:t>
            </w:r>
          </w:p>
        </w:tc>
        <w:tc>
          <w:tcPr>
            <w:tcW w:w="6372" w:type="dxa"/>
            <w:vAlign w:val="center"/>
          </w:tcPr>
          <w:p w14:paraId="530CF5B4">
            <w:pPr>
              <w:snapToGrid w:val="0"/>
              <w:spacing w:line="400" w:lineRule="exact"/>
              <w:ind w:firstLine="420" w:firstLineChars="200"/>
              <w:rPr>
                <w:rFonts w:ascii="宋体" w:hAnsi="宋体" w:cs="宋体"/>
              </w:rPr>
            </w:pPr>
            <w:bookmarkStart w:id="40" w:name="OLE_LINK1"/>
            <w:r>
              <w:rPr>
                <w:rFonts w:hint="eastAsia" w:ascii="宋体" w:hAnsi="宋体" w:cs="宋体"/>
              </w:rPr>
              <w:t>本次比选实行资格后审，</w:t>
            </w:r>
            <w:bookmarkStart w:id="41" w:name="一是"/>
            <w:bookmarkEnd w:id="41"/>
            <w:r>
              <w:rPr>
                <w:rFonts w:hint="eastAsia" w:ascii="宋体" w:hAnsi="宋体" w:cs="宋体"/>
              </w:rPr>
              <w:t>竞选人须具备以下资格条件：</w:t>
            </w:r>
          </w:p>
          <w:bookmarkEnd w:id="40"/>
          <w:p w14:paraId="50F14D62">
            <w:pPr>
              <w:snapToGrid w:val="0"/>
              <w:spacing w:line="400" w:lineRule="exact"/>
              <w:ind w:firstLine="422" w:firstLineChars="200"/>
              <w:rPr>
                <w:rFonts w:ascii="宋体" w:hAnsi="宋体" w:cs="宋体"/>
                <w:b/>
              </w:rPr>
            </w:pPr>
            <w:r>
              <w:rPr>
                <w:rFonts w:hint="eastAsia" w:ascii="宋体" w:hAnsi="宋体" w:cs="宋体"/>
                <w:b/>
              </w:rPr>
              <w:t>1.资质条件、营业执照</w:t>
            </w:r>
          </w:p>
          <w:p w14:paraId="594B2155">
            <w:pPr>
              <w:snapToGrid w:val="0"/>
              <w:spacing w:line="400" w:lineRule="exact"/>
              <w:ind w:firstLine="420" w:firstLineChars="200"/>
              <w:rPr>
                <w:rFonts w:ascii="宋体" w:hAnsi="宋体" w:cs="宋体"/>
              </w:rPr>
            </w:pPr>
            <w:r>
              <w:rPr>
                <w:rFonts w:hint="eastAsia" w:ascii="宋体" w:hAnsi="宋体" w:cs="宋体"/>
              </w:rPr>
              <w:t>（1）具备建设行政主管部门颁发的工程监理综合资质或房屋建筑工程监理</w:t>
            </w:r>
            <w:r>
              <w:rPr>
                <w:rFonts w:hint="eastAsia" w:ascii="宋体" w:hAnsi="宋体"/>
                <w:snapToGrid w:val="0"/>
                <w:kern w:val="0"/>
                <w:szCs w:val="21"/>
              </w:rPr>
              <w:t>乙</w:t>
            </w:r>
            <w:r>
              <w:rPr>
                <w:rFonts w:hint="eastAsia" w:ascii="宋体" w:hAnsi="宋体" w:cs="宋体"/>
              </w:rPr>
              <w:t>级及以上资质。</w:t>
            </w:r>
          </w:p>
          <w:p w14:paraId="4947A7DB">
            <w:pPr>
              <w:snapToGrid w:val="0"/>
              <w:spacing w:line="400" w:lineRule="exact"/>
              <w:ind w:firstLine="420" w:firstLineChars="200"/>
              <w:rPr>
                <w:rFonts w:ascii="宋体" w:hAnsi="宋体" w:cs="宋体"/>
                <w:b/>
                <w:bCs/>
              </w:rPr>
            </w:pPr>
            <w:r>
              <w:rPr>
                <w:rFonts w:hint="eastAsia" w:ascii="宋体" w:hAnsi="宋体" w:cs="宋体"/>
              </w:rPr>
              <w:t>竞选人须在竞选文件资格审查部分提供提供有效的资质证书。</w:t>
            </w:r>
          </w:p>
          <w:p w14:paraId="433142B3">
            <w:pPr>
              <w:snapToGrid w:val="0"/>
              <w:spacing w:line="400" w:lineRule="exact"/>
              <w:ind w:firstLine="420" w:firstLineChars="200"/>
              <w:rPr>
                <w:rFonts w:ascii="宋体" w:hAnsi="宋体" w:cs="宋体"/>
              </w:rPr>
            </w:pPr>
            <w:r>
              <w:rPr>
                <w:rFonts w:hint="eastAsia" w:ascii="宋体" w:hAnsi="宋体" w:cs="宋体"/>
              </w:rPr>
              <w:t>（2）具备有效的营业执照。</w:t>
            </w:r>
          </w:p>
          <w:p w14:paraId="2248623D">
            <w:pPr>
              <w:snapToGrid w:val="0"/>
              <w:spacing w:line="400" w:lineRule="exact"/>
              <w:ind w:firstLine="420" w:firstLineChars="200"/>
              <w:rPr>
                <w:rFonts w:ascii="宋体" w:hAnsi="宋体" w:cs="宋体"/>
              </w:rPr>
            </w:pPr>
            <w:r>
              <w:rPr>
                <w:rFonts w:hint="eastAsia" w:ascii="宋体" w:hAnsi="宋体" w:cs="宋体"/>
              </w:rPr>
              <w:t>竞选人须在竞选文件资格审查部分</w:t>
            </w:r>
            <w:r>
              <w:rPr>
                <w:rFonts w:hint="eastAsia" w:asciiTheme="minorEastAsia" w:hAnsiTheme="minorEastAsia" w:eastAsiaTheme="minorEastAsia" w:cstheme="minorEastAsia"/>
                <w:szCs w:val="21"/>
              </w:rPr>
              <w:t>提供有效的营业执照。注：不得将投标人营业执照记载的经营范围作为评审因素。</w:t>
            </w:r>
          </w:p>
          <w:p w14:paraId="48C64D1A">
            <w:pPr>
              <w:snapToGrid w:val="0"/>
              <w:spacing w:line="400" w:lineRule="exact"/>
              <w:ind w:firstLine="422" w:firstLineChars="200"/>
              <w:rPr>
                <w:rFonts w:ascii="宋体" w:hAnsi="宋体" w:cs="宋体"/>
              </w:rPr>
            </w:pPr>
            <w:r>
              <w:rPr>
                <w:rFonts w:hint="eastAsia" w:ascii="宋体" w:hAnsi="宋体" w:cs="宋体"/>
                <w:b/>
              </w:rPr>
              <w:t>2.财务要求：</w:t>
            </w:r>
            <w:r>
              <w:rPr>
                <w:rFonts w:hint="eastAsia" w:ascii="宋体" w:hAnsi="宋体" w:cs="宋体"/>
              </w:rPr>
              <w:t>2023年的年度财务状况不亏损。</w:t>
            </w:r>
          </w:p>
          <w:p w14:paraId="5E6FF30C">
            <w:pPr>
              <w:snapToGrid w:val="0"/>
              <w:spacing w:line="400" w:lineRule="exact"/>
              <w:ind w:firstLine="420" w:firstLineChars="200"/>
              <w:rPr>
                <w:rFonts w:ascii="宋体" w:hAnsi="宋体" w:cs="宋体"/>
              </w:rPr>
            </w:pPr>
            <w:r>
              <w:rPr>
                <w:rFonts w:hint="eastAsia" w:ascii="宋体" w:hAnsi="宋体" w:cs="宋体"/>
              </w:rPr>
              <w:t>竞选人须在竞选文件资格审查部分提供经会计师事务所或审计机构出具的合法有效的财务审计报告或财务报表复印件加盖竞选人公章，财务报表须至少包括现金流量表、资产负债表、利润表。</w:t>
            </w:r>
          </w:p>
          <w:p w14:paraId="7CA7492F">
            <w:pPr>
              <w:autoSpaceDE w:val="0"/>
              <w:autoSpaceDN w:val="0"/>
              <w:adjustRightInd w:val="0"/>
              <w:snapToGrid w:val="0"/>
              <w:spacing w:line="40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3.业绩要求</w:t>
            </w:r>
          </w:p>
          <w:p w14:paraId="5F22055A">
            <w:pPr>
              <w:autoSpaceDE w:val="0"/>
              <w:autoSpaceDN w:val="0"/>
              <w:adjustRightInd w:val="0"/>
              <w:snapToGrid w:val="0"/>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投标人提供的类似业绩应同时满足以下要求：</w:t>
            </w:r>
          </w:p>
          <w:p w14:paraId="31A2F51F">
            <w:pPr>
              <w:autoSpaceDE w:val="0"/>
              <w:autoSpaceDN w:val="0"/>
              <w:adjustRightInd w:val="0"/>
              <w:snapToGrid w:val="0"/>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3.1业绩时间要求：</w:t>
            </w:r>
          </w:p>
          <w:p w14:paraId="22BDB771">
            <w:pPr>
              <w:autoSpaceDE w:val="0"/>
              <w:autoSpaceDN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宋体" w:hAnsi="宋体" w:cs="宋体"/>
              </w:rPr>
              <w:t>竞选人</w:t>
            </w:r>
            <w:r>
              <w:rPr>
                <w:rFonts w:hint="eastAsia" w:asciiTheme="minorEastAsia" w:hAnsiTheme="minorEastAsia" w:eastAsiaTheme="minorEastAsia" w:cstheme="minorEastAsia"/>
                <w:szCs w:val="21"/>
              </w:rPr>
              <w:t>在</w:t>
            </w:r>
            <w:r>
              <w:rPr>
                <w:rFonts w:hint="eastAsia" w:asciiTheme="minorEastAsia" w:hAnsiTheme="minorEastAsia" w:eastAsiaTheme="minorEastAsia" w:cstheme="minorEastAsia"/>
                <w:szCs w:val="21"/>
                <w:u w:val="single"/>
              </w:rPr>
              <w:t>2022</w:t>
            </w:r>
            <w:r>
              <w:rPr>
                <w:rFonts w:hint="eastAsia" w:asciiTheme="minorEastAsia" w:hAnsiTheme="minorEastAsia" w:eastAsiaTheme="minorEastAsia" w:cstheme="minorEastAsia"/>
                <w:szCs w:val="21"/>
              </w:rPr>
              <w:t>年1月1日起至投标截止日止（以□交工□完工☑</w:t>
            </w:r>
            <w:r>
              <w:rPr>
                <w:rFonts w:asciiTheme="minorEastAsia" w:hAnsiTheme="minorEastAsia" w:eastAsiaTheme="minorEastAsia" w:cstheme="minorEastAsia"/>
                <w:szCs w:val="21"/>
              </w:rPr>
              <w:t>竣工</w:t>
            </w:r>
            <w:r>
              <w:rPr>
                <w:rFonts w:hint="eastAsia" w:asciiTheme="minorEastAsia" w:hAnsiTheme="minorEastAsia" w:eastAsiaTheme="minorEastAsia" w:cstheme="minorEastAsia"/>
                <w:szCs w:val="21"/>
              </w:rPr>
              <w:t>时间为准）完成的</w:t>
            </w:r>
            <w:r>
              <w:rPr>
                <w:rFonts w:hint="eastAsia" w:asciiTheme="minorEastAsia" w:hAnsiTheme="minorEastAsia" w:eastAsiaTheme="minorEastAsia" w:cstheme="minorEastAsia"/>
                <w:szCs w:val="21"/>
                <w:u w:val="single"/>
              </w:rPr>
              <w:t>1个</w:t>
            </w:r>
            <w:r>
              <w:rPr>
                <w:rFonts w:hint="eastAsia" w:asciiTheme="minorEastAsia" w:hAnsiTheme="minorEastAsia" w:eastAsiaTheme="minorEastAsia" w:cstheme="minorEastAsia"/>
                <w:szCs w:val="21"/>
              </w:rPr>
              <w:t>类似项目监理业绩，或</w:t>
            </w:r>
            <w:r>
              <w:rPr>
                <w:rFonts w:hint="eastAsia" w:asciiTheme="minorEastAsia" w:hAnsiTheme="minorEastAsia" w:eastAsiaTheme="minorEastAsia" w:cstheme="minorEastAsia"/>
                <w:szCs w:val="21"/>
                <w:u w:val="single"/>
              </w:rPr>
              <w:t>1个</w:t>
            </w:r>
            <w:r>
              <w:rPr>
                <w:rFonts w:hint="eastAsia" w:asciiTheme="minorEastAsia" w:hAnsiTheme="minorEastAsia" w:eastAsiaTheme="minorEastAsia" w:cstheme="minorEastAsia"/>
                <w:szCs w:val="21"/>
              </w:rPr>
              <w:t>包含类似监理工作的全过程咨询业绩。</w:t>
            </w:r>
          </w:p>
          <w:p w14:paraId="0304E2A3">
            <w:pPr>
              <w:autoSpaceDE w:val="0"/>
              <w:autoSpaceDN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3.2业绩规模要求：</w:t>
            </w:r>
          </w:p>
          <w:p w14:paraId="33998C6A">
            <w:pPr>
              <w:autoSpaceDE w:val="0"/>
              <w:autoSpaceDN w:val="0"/>
              <w:adjustRightInd w:val="0"/>
              <w:snapToGrid w:val="0"/>
              <w:spacing w:line="40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（1）工程类别：</w:t>
            </w:r>
            <w:r>
              <w:rPr>
                <w:rFonts w:hint="eastAsia" w:asciiTheme="minorEastAsia" w:hAnsiTheme="minorEastAsia" w:eastAsiaTheme="minorEastAsia" w:cstheme="minorEastAsia"/>
                <w:szCs w:val="21"/>
                <w:u w:val="single"/>
              </w:rPr>
              <w:t>房屋建筑工程</w:t>
            </w:r>
          </w:p>
          <w:p w14:paraId="7C09D3DA">
            <w:pPr>
              <w:autoSpaceDE w:val="0"/>
              <w:autoSpaceDN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（2）项目金额：</w:t>
            </w:r>
          </w:p>
          <w:p w14:paraId="0AF7D8D5">
            <w:pPr>
              <w:autoSpaceDE w:val="0"/>
              <w:autoSpaceDN w:val="0"/>
              <w:adjustRightInd w:val="0"/>
              <w:snapToGrid w:val="0"/>
              <w:spacing w:line="400" w:lineRule="exact"/>
              <w:ind w:firstLine="630" w:firstLineChars="3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监理合同金额：</w:t>
            </w:r>
            <w:r>
              <w:rPr>
                <w:rFonts w:hint="eastAsia" w:asciiTheme="minorEastAsia" w:hAnsiTheme="minorEastAsia" w:eastAsiaTheme="minorEastAsia" w:cstheme="minorEastAsia"/>
                <w:szCs w:val="21"/>
                <w:u w:val="single"/>
              </w:rPr>
              <w:t>15万元及以上</w:t>
            </w:r>
            <w:r>
              <w:rPr>
                <w:rFonts w:hint="eastAsia" w:asciiTheme="minorEastAsia" w:hAnsiTheme="minorEastAsia" w:eastAsiaTheme="minorEastAsia" w:cstheme="minorEastAsia"/>
                <w:szCs w:val="21"/>
              </w:rPr>
              <w:t>（注：提供全过程咨询业绩的，全过程咨询业绩中监理部分的合同金额须达到该金额要求。）</w:t>
            </w:r>
          </w:p>
          <w:p w14:paraId="494B6585">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3.3业绩证明材料要求：</w:t>
            </w:r>
          </w:p>
          <w:p w14:paraId="7E7E7F10">
            <w:pPr>
              <w:spacing w:line="400" w:lineRule="exact"/>
              <w:ind w:firstLine="420" w:firstLineChars="200"/>
              <w:rPr>
                <w:rFonts w:asciiTheme="minorEastAsia" w:hAnsiTheme="minorEastAsia" w:eastAsiaTheme="minorEastAsia" w:cstheme="minorEastAsia"/>
                <w:szCs w:val="21"/>
              </w:rPr>
            </w:pPr>
            <w:r>
              <w:rPr>
                <w:rFonts w:hint="eastAsia" w:ascii="宋体" w:hAnsi="宋体" w:cs="宋体"/>
              </w:rPr>
              <w:t>竞选人</w:t>
            </w:r>
            <w:r>
              <w:rPr>
                <w:rFonts w:hint="eastAsia" w:asciiTheme="minorEastAsia" w:hAnsiTheme="minorEastAsia" w:eastAsiaTheme="minorEastAsia" w:cstheme="minorEastAsia"/>
                <w:szCs w:val="21"/>
              </w:rPr>
              <w:t>须在竞选文件中提供该业绩的中标通知书（直接发包的项目可提供项目发包人出具的项目直接发包情况说明或证明文书代替）、合同协议书、竣工验收证明材料（或监理业务手册）。</w:t>
            </w:r>
          </w:p>
          <w:p w14:paraId="74312D5E">
            <w:pPr>
              <w:autoSpaceDE w:val="0"/>
              <w:autoSpaceDN w:val="0"/>
              <w:adjustRightInd w:val="0"/>
              <w:snapToGrid w:val="0"/>
              <w:spacing w:line="400" w:lineRule="exact"/>
              <w:ind w:firstLine="415" w:firstLineChars="19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w:t>
            </w:r>
            <w:r>
              <w:rPr>
                <w:rFonts w:hint="eastAsia" w:ascii="宋体" w:hAnsi="宋体" w:cs="宋体"/>
              </w:rPr>
              <w:t>竞选人</w:t>
            </w:r>
            <w:r>
              <w:rPr>
                <w:rFonts w:hint="eastAsia" w:asciiTheme="minorEastAsia" w:hAnsiTheme="minorEastAsia" w:eastAsiaTheme="minorEastAsia" w:cstheme="minorEastAsia"/>
                <w:szCs w:val="21"/>
              </w:rPr>
              <w:t>应对其提供的业绩证明材料的真实性负责。业绩证明材料应能体现□交工□完工☑</w:t>
            </w:r>
            <w:r>
              <w:rPr>
                <w:rFonts w:asciiTheme="minorEastAsia" w:hAnsiTheme="minorEastAsia" w:eastAsiaTheme="minorEastAsia" w:cstheme="minorEastAsia"/>
                <w:szCs w:val="21"/>
              </w:rPr>
              <w:t>竣工</w:t>
            </w:r>
            <w:r>
              <w:rPr>
                <w:rFonts w:hint="eastAsia" w:asciiTheme="minorEastAsia" w:hAnsiTheme="minorEastAsia" w:eastAsiaTheme="minorEastAsia" w:cstheme="minorEastAsia"/>
                <w:szCs w:val="21"/>
              </w:rPr>
              <w:t>时间、工程类别、项目金额（如有）、工程规模（如有）的信息，当上述资料中针对同一指标存在不一致时，以</w:t>
            </w:r>
            <w:r>
              <w:rPr>
                <w:rFonts w:hint="eastAsia" w:asciiTheme="minorEastAsia" w:hAnsiTheme="minorEastAsia" w:eastAsiaTheme="minorEastAsia" w:cstheme="minorEastAsia"/>
                <w:szCs w:val="21"/>
                <w:u w:val="single"/>
              </w:rPr>
              <w:t xml:space="preserve"> 以竣工验收证明材料  </w:t>
            </w:r>
            <w:r>
              <w:rPr>
                <w:rFonts w:hint="eastAsia" w:asciiTheme="minorEastAsia" w:hAnsiTheme="minorEastAsia" w:eastAsiaTheme="minorEastAsia" w:cstheme="minorEastAsia"/>
                <w:szCs w:val="21"/>
              </w:rPr>
              <w:t>体现的信息为准。</w:t>
            </w:r>
          </w:p>
          <w:p w14:paraId="2F5255A8">
            <w:pPr>
              <w:autoSpaceDE w:val="0"/>
              <w:autoSpaceDN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不满足上述业绩要求的视为业绩无效。</w:t>
            </w:r>
          </w:p>
          <w:p w14:paraId="6313E6BA">
            <w:pPr>
              <w:spacing w:line="400" w:lineRule="exact"/>
              <w:ind w:firstLine="420" w:firstLineChars="200"/>
              <w:rPr>
                <w:rFonts w:asciiTheme="minorEastAsia" w:hAnsiTheme="minorEastAsia" w:eastAsiaTheme="minorEastAsia" w:cstheme="minorEastAsia"/>
                <w:b/>
                <w:szCs w:val="21"/>
              </w:rPr>
            </w:pPr>
            <w:r>
              <w:rPr>
                <w:rFonts w:hint="eastAsia" w:ascii="宋体" w:hAnsi="宋体" w:cs="宋体"/>
              </w:rPr>
              <w:t>4.</w:t>
            </w:r>
            <w:r>
              <w:rPr>
                <w:rFonts w:hint="eastAsia" w:asciiTheme="minorEastAsia" w:hAnsiTheme="minorEastAsia" w:eastAsiaTheme="minorEastAsia" w:cstheme="minorEastAsia"/>
                <w:b/>
                <w:szCs w:val="21"/>
              </w:rPr>
              <w:t>投标截止日投标资格情况</w:t>
            </w:r>
          </w:p>
          <w:p w14:paraId="68A06985">
            <w:pPr>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竞标人须自行承诺（格式见第五章投标文件格式）投标截止日投标资格情况不得存在下列情形之一：</w:t>
            </w:r>
          </w:p>
          <w:p w14:paraId="1788519C">
            <w:pPr>
              <w:snapToGrid w:val="0"/>
              <w:spacing w:line="4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（1）被人民法院列入失信被执行人名单且在被执行期内；</w:t>
            </w:r>
          </w:p>
          <w:p w14:paraId="00BC3E0E">
            <w:pPr>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（2）被列入《重庆市工程建设领域招标投标信用管理暂行办法》规定的重点关注名单且记分达到12分且在记分有效期内；</w:t>
            </w:r>
          </w:p>
          <w:p w14:paraId="32E57221">
            <w:pPr>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（3）被列入《重庆市工程建设领域招标投标信用管理暂行办法》规定的重庆市工程建设领域招标投标失信惩戒对象名单（以下称黑名单）且在记分有效期内；</w:t>
            </w:r>
          </w:p>
          <w:p w14:paraId="2D3476CE">
            <w:pPr>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（4）被国家、重庆市（含市或任意区县）有关行政部门处以暂停投标资格行政处罚，且在处罚期限内；</w:t>
            </w:r>
          </w:p>
          <w:p w14:paraId="0B7230D9">
            <w:pPr>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（5）被重庆市市级有关行业主管部门暂停在渝承揽新业务且在暂停期内。</w:t>
            </w:r>
          </w:p>
          <w:p w14:paraId="7863B8AB">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竞标人须在</w:t>
            </w:r>
            <w:r>
              <w:rPr>
                <w:rFonts w:hint="eastAsia" w:ascii="宋体" w:hAnsi="宋体" w:cs="宋体"/>
              </w:rPr>
              <w:t>竞选文件</w:t>
            </w:r>
            <w:r>
              <w:rPr>
                <w:rFonts w:hint="eastAsia" w:asciiTheme="minorEastAsia" w:hAnsiTheme="minorEastAsia" w:eastAsiaTheme="minorEastAsia" w:cstheme="minorEastAsia"/>
                <w:szCs w:val="21"/>
              </w:rPr>
              <w:t>资格审查部分提供承诺。</w:t>
            </w:r>
          </w:p>
          <w:p w14:paraId="55B2B844">
            <w:pPr>
              <w:snapToGrid w:val="0"/>
              <w:spacing w:line="400" w:lineRule="exact"/>
              <w:ind w:firstLine="422" w:firstLineChars="200"/>
              <w:rPr>
                <w:rFonts w:ascii="宋体" w:hAnsi="宋体" w:cs="宋体"/>
                <w:b/>
              </w:rPr>
            </w:pPr>
            <w:r>
              <w:rPr>
                <w:rFonts w:hint="eastAsia" w:ascii="宋体" w:hAnsi="宋体" w:cs="宋体"/>
                <w:b/>
              </w:rPr>
              <w:t>5.拟派监理人员</w:t>
            </w:r>
          </w:p>
          <w:p w14:paraId="25961107">
            <w:pPr>
              <w:pStyle w:val="7"/>
              <w:spacing w:line="400" w:lineRule="exact"/>
              <w:ind w:firstLine="420" w:firstLineChars="200"/>
              <w:rPr>
                <w:rFonts w:ascii="宋体" w:hAnsi="宋体" w:cs="宋体"/>
              </w:rPr>
            </w:pPr>
            <w:r>
              <w:rPr>
                <w:rFonts w:hint="eastAsia" w:ascii="宋体" w:hAnsi="宋体" w:cs="宋体"/>
              </w:rPr>
              <w:t>5.1总监理工程师1名：应具备建设行政主管部门颁发的有效房屋</w:t>
            </w:r>
            <w:r>
              <w:rPr>
                <w:rFonts w:hint="eastAsia"/>
              </w:rPr>
              <w:t>建筑工程专业注册监理</w:t>
            </w:r>
            <w:r>
              <w:rPr>
                <w:rFonts w:hint="eastAsia" w:ascii="宋体" w:hAnsi="宋体" w:cs="宋体"/>
              </w:rPr>
              <w:t>工程师证书（必须在本单位注册），且具有工程类中级及以上职称。</w:t>
            </w:r>
          </w:p>
          <w:p w14:paraId="15B0E099">
            <w:pPr>
              <w:pStyle w:val="7"/>
              <w:spacing w:line="400" w:lineRule="exact"/>
              <w:ind w:firstLine="420" w:firstLineChars="200"/>
              <w:rPr>
                <w:rFonts w:ascii="宋体" w:hAnsi="宋体" w:cs="宋体"/>
              </w:rPr>
            </w:pPr>
            <w:r>
              <w:rPr>
                <w:rFonts w:hint="eastAsia" w:ascii="宋体" w:hAnsi="宋体" w:cs="宋体"/>
              </w:rPr>
              <w:t>5.2专业监理工程师1名：专业监理工程师提供全国注册监理工程师注册证书或监理工程师岗位证书复印件。</w:t>
            </w:r>
          </w:p>
          <w:p w14:paraId="7166FD91">
            <w:pPr>
              <w:pStyle w:val="7"/>
              <w:spacing w:line="400" w:lineRule="exact"/>
              <w:ind w:firstLine="420" w:firstLineChars="200"/>
              <w:rPr>
                <w:rFonts w:ascii="宋体" w:hAnsi="宋体" w:cs="宋体"/>
              </w:rPr>
            </w:pPr>
            <w:r>
              <w:rPr>
                <w:rFonts w:hint="eastAsia" w:ascii="宋体" w:hAnsi="宋体" w:cs="宋体"/>
              </w:rPr>
              <w:t>5.3监理员：</w:t>
            </w:r>
          </w:p>
          <w:p w14:paraId="22BEC2CA">
            <w:pPr>
              <w:pStyle w:val="7"/>
              <w:spacing w:line="400" w:lineRule="exact"/>
              <w:ind w:firstLine="420" w:firstLineChars="200"/>
              <w:rPr>
                <w:rFonts w:ascii="宋体" w:hAnsi="宋体" w:cs="宋体"/>
              </w:rPr>
            </w:pPr>
            <w:r>
              <w:rPr>
                <w:rFonts w:hint="eastAsia" w:ascii="宋体" w:hAnsi="宋体" w:cs="宋体"/>
              </w:rPr>
              <w:t>监理员至少2名：监理员提供全国注册监理工程师注册证书或监理工程师岗位证书或监理员上岗证书（或监理业务培训合格证书），且必须到场，由竞选人自行承诺。</w:t>
            </w:r>
            <w:r>
              <w:rPr>
                <w:rFonts w:hint="eastAsia" w:ascii="宋体" w:hAnsi="宋体"/>
                <w:kern w:val="0"/>
              </w:rPr>
              <w:t>（合格证为监理协会颁发）</w:t>
            </w:r>
          </w:p>
          <w:p w14:paraId="61E23946">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6.其他要求</w:t>
            </w:r>
          </w:p>
          <w:p w14:paraId="528B2652">
            <w:pPr>
              <w:autoSpaceDE w:val="0"/>
              <w:autoSpaceDN w:val="0"/>
              <w:adjustRightInd w:val="0"/>
              <w:snapToGrid w:val="0"/>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（1）委托代理人：</w:t>
            </w:r>
          </w:p>
          <w:p w14:paraId="05859216">
            <w:pPr>
              <w:autoSpaceDE w:val="0"/>
              <w:autoSpaceDN w:val="0"/>
              <w:adjustRightInd w:val="0"/>
              <w:snapToGrid w:val="0"/>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委托代理人必须为投标人本单位在职人员。</w:t>
            </w:r>
          </w:p>
          <w:p w14:paraId="498BB2D2">
            <w:pPr>
              <w:autoSpaceDE w:val="0"/>
              <w:autoSpaceDN w:val="0"/>
              <w:adjustRightInd w:val="0"/>
              <w:snapToGrid w:val="0"/>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竞选人须在</w:t>
            </w:r>
            <w:r>
              <w:rPr>
                <w:rFonts w:hint="eastAsia" w:ascii="宋体" w:hAnsi="宋体" w:cs="宋体"/>
              </w:rPr>
              <w:t>竞选文件</w:t>
            </w:r>
            <w:r>
              <w:rPr>
                <w:rFonts w:hint="eastAsia" w:asciiTheme="minorEastAsia" w:hAnsiTheme="minorEastAsia" w:eastAsiaTheme="minorEastAsia" w:cstheme="minorEastAsia"/>
                <w:kern w:val="0"/>
                <w:szCs w:val="21"/>
              </w:rPr>
              <w:t>资格审查部分提供投标人为该委托代理人缴纳的养老保险证明。否则，将由评选委员会作否决投标处理。</w:t>
            </w:r>
          </w:p>
          <w:p w14:paraId="0D343D7F">
            <w:pPr>
              <w:snapToGrid w:val="0"/>
              <w:spacing w:line="400" w:lineRule="exact"/>
              <w:ind w:firstLine="422" w:firstLineChars="200"/>
              <w:rPr>
                <w:rFonts w:ascii="宋体" w:hAnsi="宋体" w:cs="宋体"/>
                <w:b/>
              </w:rPr>
            </w:pPr>
            <w:r>
              <w:rPr>
                <w:rFonts w:hint="eastAsia" w:ascii="宋体" w:hAnsi="宋体" w:cs="宋体"/>
                <w:b/>
              </w:rPr>
              <w:t>特别说明：</w:t>
            </w:r>
          </w:p>
          <w:p w14:paraId="293B59CC">
            <w:pPr>
              <w:snapToGrid w:val="0"/>
              <w:spacing w:line="400" w:lineRule="exact"/>
              <w:ind w:firstLine="420" w:firstLineChars="200"/>
              <w:rPr>
                <w:b/>
                <w:bCs/>
              </w:rPr>
            </w:pPr>
            <w:r>
              <w:rPr>
                <w:rFonts w:hint="eastAsia" w:ascii="宋体" w:hAnsi="宋体" w:cs="宋体"/>
              </w:rPr>
              <w:t>（1）上述1～6条所须提交的相关证明材料复印件均应加盖竞选单位公章并装入竞选文件资格审查部分中。上述1～6条，有一条不满足，则竞选文件由评选委员会作否决投标处理；</w:t>
            </w:r>
          </w:p>
          <w:p w14:paraId="7854A5D1">
            <w:pPr>
              <w:snapToGrid w:val="0"/>
              <w:spacing w:line="400" w:lineRule="exact"/>
              <w:ind w:firstLine="420" w:firstLineChars="200"/>
              <w:rPr>
                <w:rFonts w:ascii="宋体" w:hAnsi="宋体" w:cs="宋体"/>
              </w:rPr>
            </w:pPr>
            <w:r>
              <w:rPr>
                <w:rFonts w:hint="eastAsia" w:ascii="宋体" w:hAnsi="宋体" w:cs="宋体"/>
              </w:rPr>
              <w:t xml:space="preserve">（2）比选人在合同签订前均有权对潜在竞选人提供的上述相关证明材料进行核实，若发现资料存在弄虚作假，按照相关法律法规处理， 其比选保证金不予退还，潜在竞选人承担因此造成的相关责任并赔偿相应损失。 </w:t>
            </w:r>
          </w:p>
          <w:p w14:paraId="643BAF9E">
            <w:pPr>
              <w:autoSpaceDE w:val="0"/>
              <w:autoSpaceDN w:val="0"/>
              <w:adjustRightInd w:val="0"/>
              <w:snapToGrid w:val="0"/>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kern w:val="0"/>
                <w:szCs w:val="21"/>
              </w:rPr>
              <w:t>（3）本竞选文件中所要求的人员养老保险证明要求如下：</w:t>
            </w:r>
          </w:p>
          <w:p w14:paraId="57D3DECE">
            <w:pPr>
              <w:autoSpaceDE w:val="0"/>
              <w:autoSpaceDN w:val="0"/>
              <w:adjustRightInd w:val="0"/>
              <w:snapToGrid w:val="0"/>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kern w:val="0"/>
                <w:szCs w:val="21"/>
              </w:rPr>
              <w:t>①企业提供养老保险证明，事业单位提供养老保险证明或行政主管部门在编证明。</w:t>
            </w:r>
          </w:p>
          <w:p w14:paraId="76251874">
            <w:pPr>
              <w:autoSpaceDE w:val="0"/>
              <w:autoSpaceDN w:val="0"/>
              <w:adjustRightInd w:val="0"/>
              <w:snapToGrid w:val="0"/>
              <w:spacing w:line="400" w:lineRule="exact"/>
              <w:ind w:firstLine="420" w:firstLineChars="200"/>
              <w:rPr>
                <w:rFonts w:ascii="宋体" w:hAnsi="宋体" w:cs="宋体"/>
                <w:kern w:val="0"/>
                <w:szCs w:val="21"/>
              </w:rPr>
            </w:pPr>
            <w:r>
              <w:rPr>
                <w:rFonts w:hint="eastAsia" w:asciiTheme="minorEastAsia" w:hAnsiTheme="minorEastAsia" w:eastAsiaTheme="minorEastAsia" w:cstheme="minorEastAsia"/>
                <w:bCs/>
                <w:kern w:val="0"/>
                <w:szCs w:val="21"/>
              </w:rPr>
              <w:t>②</w:t>
            </w:r>
            <w:r>
              <w:rPr>
                <w:rFonts w:hint="eastAsia" w:asciiTheme="minorEastAsia" w:hAnsiTheme="minorEastAsia" w:eastAsiaTheme="minorEastAsia" w:cstheme="minorEastAsia"/>
                <w:bCs/>
                <w:snapToGrid w:val="0"/>
                <w:kern w:val="0"/>
                <w:szCs w:val="21"/>
              </w:rPr>
              <w:t>总监理工程师、专业监理工程师、监理员和委托代理人的连续养老保险证明期限须包含</w:t>
            </w:r>
            <w:r>
              <w:rPr>
                <w:rFonts w:hint="eastAsia" w:asciiTheme="minorEastAsia" w:hAnsiTheme="minorEastAsia" w:eastAsiaTheme="minorEastAsia" w:cstheme="minorEastAsia"/>
                <w:bCs/>
                <w:snapToGrid w:val="0"/>
                <w:kern w:val="0"/>
                <w:szCs w:val="21"/>
                <w:u w:val="single"/>
              </w:rPr>
              <w:t xml:space="preserve"> 2024年11</w:t>
            </w:r>
            <w:r>
              <w:rPr>
                <w:rFonts w:hint="eastAsia" w:asciiTheme="minorEastAsia" w:hAnsiTheme="minorEastAsia" w:eastAsiaTheme="minorEastAsia" w:cstheme="minorEastAsia"/>
                <w:bCs/>
                <w:snapToGrid w:val="0"/>
                <w:kern w:val="0"/>
                <w:szCs w:val="21"/>
              </w:rPr>
              <w:t>月至</w:t>
            </w:r>
            <w:r>
              <w:rPr>
                <w:rFonts w:hint="eastAsia" w:asciiTheme="minorEastAsia" w:hAnsiTheme="minorEastAsia" w:eastAsiaTheme="minorEastAsia" w:cstheme="minorEastAsia"/>
                <w:bCs/>
                <w:snapToGrid w:val="0"/>
                <w:kern w:val="0"/>
                <w:szCs w:val="21"/>
                <w:u w:val="single"/>
              </w:rPr>
              <w:t xml:space="preserve">2025 </w:t>
            </w:r>
            <w:r>
              <w:rPr>
                <w:rFonts w:hint="eastAsia" w:asciiTheme="minorEastAsia" w:hAnsiTheme="minorEastAsia" w:eastAsiaTheme="minorEastAsia" w:cstheme="minorEastAsia"/>
                <w:bCs/>
                <w:snapToGrid w:val="0"/>
                <w:kern w:val="0"/>
                <w:szCs w:val="21"/>
              </w:rPr>
              <w:t>年</w:t>
            </w:r>
            <w:r>
              <w:rPr>
                <w:rFonts w:hint="eastAsia" w:asciiTheme="minorEastAsia" w:hAnsiTheme="minorEastAsia" w:eastAsiaTheme="minorEastAsia" w:cstheme="minorEastAsia"/>
                <w:bCs/>
                <w:snapToGrid w:val="0"/>
                <w:kern w:val="0"/>
                <w:szCs w:val="21"/>
                <w:u w:val="single"/>
              </w:rPr>
              <w:t>4</w:t>
            </w:r>
            <w:r>
              <w:rPr>
                <w:rFonts w:hint="eastAsia" w:asciiTheme="minorEastAsia" w:hAnsiTheme="minorEastAsia" w:eastAsiaTheme="minorEastAsia" w:cstheme="minorEastAsia"/>
                <w:bCs/>
                <w:snapToGrid w:val="0"/>
                <w:kern w:val="0"/>
                <w:szCs w:val="21"/>
              </w:rPr>
              <w:t>月</w:t>
            </w:r>
            <w:r>
              <w:rPr>
                <w:rFonts w:hint="eastAsia" w:asciiTheme="minorEastAsia" w:hAnsiTheme="minorEastAsia" w:eastAsiaTheme="minorEastAsia" w:cstheme="minorEastAsia"/>
                <w:bCs/>
                <w:szCs w:val="21"/>
              </w:rPr>
              <w:t>。提供的养老保险参保证明须体现上述人员的姓名、身份证号（或社保号）、单位名称、本单位参保时间（或起始参保时间），并带有社保部门公章或社保部门的有效电子印章。</w:t>
            </w:r>
          </w:p>
        </w:tc>
      </w:tr>
      <w:tr w14:paraId="54F0C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B3FACE2">
            <w:pPr>
              <w:snapToGrid w:val="0"/>
              <w:spacing w:line="400" w:lineRule="exact"/>
              <w:jc w:val="center"/>
              <w:rPr>
                <w:rFonts w:ascii="宋体" w:hAnsi="宋体" w:cs="宋体"/>
                <w:kern w:val="0"/>
                <w:szCs w:val="21"/>
              </w:rPr>
            </w:pPr>
            <w:r>
              <w:rPr>
                <w:rFonts w:hint="eastAsia" w:ascii="宋体" w:hAnsi="宋体" w:cs="宋体"/>
                <w:kern w:val="0"/>
                <w:szCs w:val="21"/>
              </w:rPr>
              <w:t>1.4.2</w:t>
            </w:r>
          </w:p>
        </w:tc>
        <w:tc>
          <w:tcPr>
            <w:tcW w:w="1964" w:type="dxa"/>
            <w:vAlign w:val="center"/>
          </w:tcPr>
          <w:p w14:paraId="1BF1C090">
            <w:pPr>
              <w:snapToGrid w:val="0"/>
              <w:spacing w:line="400" w:lineRule="exact"/>
              <w:jc w:val="center"/>
              <w:rPr>
                <w:rFonts w:ascii="宋体" w:hAnsi="宋体" w:cs="宋体"/>
                <w:kern w:val="0"/>
                <w:szCs w:val="21"/>
              </w:rPr>
            </w:pPr>
            <w:r>
              <w:rPr>
                <w:rFonts w:hint="eastAsia" w:ascii="宋体" w:hAnsi="宋体" w:cs="宋体"/>
                <w:kern w:val="0"/>
                <w:szCs w:val="21"/>
              </w:rPr>
              <w:t>是否接受</w:t>
            </w:r>
          </w:p>
          <w:p w14:paraId="5B504295">
            <w:pPr>
              <w:snapToGrid w:val="0"/>
              <w:spacing w:line="400" w:lineRule="exact"/>
              <w:jc w:val="center"/>
              <w:rPr>
                <w:rFonts w:ascii="宋体" w:hAnsi="宋体" w:cs="宋体"/>
                <w:kern w:val="0"/>
                <w:szCs w:val="21"/>
              </w:rPr>
            </w:pPr>
            <w:r>
              <w:rPr>
                <w:rFonts w:hint="eastAsia" w:ascii="宋体" w:hAnsi="宋体" w:cs="宋体"/>
                <w:kern w:val="0"/>
                <w:szCs w:val="21"/>
              </w:rPr>
              <w:t>联合体竞选</w:t>
            </w:r>
          </w:p>
        </w:tc>
        <w:tc>
          <w:tcPr>
            <w:tcW w:w="6372" w:type="dxa"/>
            <w:vAlign w:val="center"/>
          </w:tcPr>
          <w:p w14:paraId="5A650A74">
            <w:pPr>
              <w:snapToGrid w:val="0"/>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14:paraId="509A5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0F76B49">
            <w:pPr>
              <w:snapToGrid w:val="0"/>
              <w:spacing w:line="400" w:lineRule="exact"/>
              <w:jc w:val="center"/>
              <w:rPr>
                <w:rFonts w:ascii="宋体" w:hAnsi="宋体" w:cs="宋体"/>
                <w:kern w:val="0"/>
                <w:szCs w:val="21"/>
              </w:rPr>
            </w:pPr>
            <w:r>
              <w:rPr>
                <w:rFonts w:hint="eastAsia" w:ascii="宋体" w:hAnsi="宋体" w:cs="宋体"/>
                <w:kern w:val="0"/>
                <w:szCs w:val="21"/>
              </w:rPr>
              <w:t>1.9.1</w:t>
            </w:r>
          </w:p>
        </w:tc>
        <w:tc>
          <w:tcPr>
            <w:tcW w:w="1964" w:type="dxa"/>
            <w:vAlign w:val="center"/>
          </w:tcPr>
          <w:p w14:paraId="42C80346">
            <w:pPr>
              <w:snapToGrid w:val="0"/>
              <w:spacing w:line="400" w:lineRule="exact"/>
              <w:jc w:val="center"/>
              <w:rPr>
                <w:rFonts w:ascii="宋体" w:hAnsi="宋体" w:cs="宋体"/>
                <w:kern w:val="0"/>
                <w:szCs w:val="21"/>
              </w:rPr>
            </w:pPr>
            <w:r>
              <w:rPr>
                <w:rFonts w:hint="eastAsia" w:ascii="宋体" w:hAnsi="宋体" w:cs="宋体"/>
                <w:kern w:val="0"/>
                <w:szCs w:val="21"/>
              </w:rPr>
              <w:t>踏勘现场</w:t>
            </w:r>
          </w:p>
        </w:tc>
        <w:tc>
          <w:tcPr>
            <w:tcW w:w="6372" w:type="dxa"/>
            <w:vAlign w:val="center"/>
          </w:tcPr>
          <w:p w14:paraId="7729D631">
            <w:pPr>
              <w:snapToGrid w:val="0"/>
              <w:spacing w:line="400" w:lineRule="exact"/>
              <w:ind w:firstLine="420" w:firstLineChars="200"/>
              <w:rPr>
                <w:rFonts w:ascii="宋体" w:hAnsi="宋体" w:cs="宋体"/>
                <w:kern w:val="0"/>
                <w:szCs w:val="21"/>
              </w:rPr>
            </w:pPr>
            <w:r>
              <w:rPr>
                <w:rFonts w:hint="eastAsia" w:ascii="MS Gothic" w:hAnsi="MS Gothic" w:eastAsia="MS Gothic" w:cs="MS Gothic"/>
                <w:kern w:val="0"/>
                <w:szCs w:val="21"/>
              </w:rPr>
              <w:t>☑</w:t>
            </w:r>
            <w:r>
              <w:rPr>
                <w:rFonts w:hint="eastAsia" w:ascii="宋体" w:hAnsi="宋体" w:cs="宋体"/>
                <w:kern w:val="0"/>
                <w:szCs w:val="21"/>
              </w:rPr>
              <w:t>不组织，由竞选人自行踏勘现场。</w:t>
            </w:r>
          </w:p>
        </w:tc>
      </w:tr>
      <w:tr w14:paraId="3D2D1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710B6F5">
            <w:pPr>
              <w:snapToGrid w:val="0"/>
              <w:spacing w:line="400" w:lineRule="exact"/>
              <w:jc w:val="center"/>
              <w:rPr>
                <w:rFonts w:ascii="宋体" w:hAnsi="宋体" w:cs="宋体"/>
                <w:kern w:val="0"/>
                <w:szCs w:val="21"/>
              </w:rPr>
            </w:pPr>
            <w:r>
              <w:rPr>
                <w:rFonts w:hint="eastAsia" w:ascii="宋体" w:hAnsi="宋体" w:cs="宋体"/>
                <w:kern w:val="0"/>
                <w:szCs w:val="21"/>
              </w:rPr>
              <w:t>1.10.1</w:t>
            </w:r>
          </w:p>
        </w:tc>
        <w:tc>
          <w:tcPr>
            <w:tcW w:w="1964" w:type="dxa"/>
            <w:vAlign w:val="center"/>
          </w:tcPr>
          <w:p w14:paraId="0C244AC4">
            <w:pPr>
              <w:snapToGrid w:val="0"/>
              <w:spacing w:line="400" w:lineRule="exact"/>
              <w:jc w:val="center"/>
              <w:rPr>
                <w:rFonts w:ascii="宋体" w:hAnsi="宋体" w:cs="宋体"/>
                <w:kern w:val="0"/>
                <w:szCs w:val="21"/>
              </w:rPr>
            </w:pPr>
            <w:r>
              <w:rPr>
                <w:rFonts w:hint="eastAsia" w:ascii="宋体" w:hAnsi="宋体" w:cs="宋体"/>
                <w:kern w:val="0"/>
                <w:szCs w:val="21"/>
              </w:rPr>
              <w:t>比选预备会</w:t>
            </w:r>
          </w:p>
        </w:tc>
        <w:tc>
          <w:tcPr>
            <w:tcW w:w="6372" w:type="dxa"/>
            <w:vAlign w:val="center"/>
          </w:tcPr>
          <w:p w14:paraId="0BB5D821">
            <w:pPr>
              <w:snapToGrid w:val="0"/>
              <w:spacing w:line="400" w:lineRule="exact"/>
              <w:ind w:firstLine="420" w:firstLineChars="200"/>
              <w:rPr>
                <w:rFonts w:ascii="宋体" w:hAnsi="宋体" w:cs="宋体"/>
                <w:kern w:val="0"/>
                <w:szCs w:val="21"/>
              </w:rPr>
            </w:pPr>
            <w:r>
              <w:rPr>
                <w:rFonts w:hint="eastAsia" w:ascii="MS Gothic" w:hAnsi="MS Gothic" w:eastAsia="MS Gothic" w:cs="MS Gothic"/>
                <w:kern w:val="0"/>
                <w:szCs w:val="21"/>
              </w:rPr>
              <w:t>☑</w:t>
            </w:r>
            <w:r>
              <w:rPr>
                <w:rFonts w:hint="eastAsia" w:ascii="宋体" w:hAnsi="宋体" w:cs="宋体"/>
                <w:kern w:val="0"/>
                <w:szCs w:val="21"/>
              </w:rPr>
              <w:t>不召开</w:t>
            </w:r>
          </w:p>
        </w:tc>
      </w:tr>
      <w:tr w14:paraId="54703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FBA6A55">
            <w:pPr>
              <w:snapToGrid w:val="0"/>
              <w:spacing w:line="400" w:lineRule="exact"/>
              <w:jc w:val="center"/>
              <w:rPr>
                <w:rFonts w:ascii="宋体" w:hAnsi="宋体" w:cs="宋体"/>
                <w:kern w:val="0"/>
                <w:szCs w:val="21"/>
              </w:rPr>
            </w:pPr>
            <w:r>
              <w:rPr>
                <w:rFonts w:hint="eastAsia" w:ascii="宋体" w:hAnsi="宋体" w:cs="宋体"/>
                <w:kern w:val="0"/>
                <w:szCs w:val="21"/>
              </w:rPr>
              <w:t>1.11</w:t>
            </w:r>
          </w:p>
        </w:tc>
        <w:tc>
          <w:tcPr>
            <w:tcW w:w="1964" w:type="dxa"/>
            <w:vAlign w:val="center"/>
          </w:tcPr>
          <w:p w14:paraId="493F956A">
            <w:pPr>
              <w:snapToGrid w:val="0"/>
              <w:spacing w:line="400" w:lineRule="exact"/>
              <w:jc w:val="center"/>
              <w:rPr>
                <w:rFonts w:ascii="宋体" w:hAnsi="宋体" w:cs="宋体"/>
                <w:kern w:val="0"/>
                <w:szCs w:val="21"/>
              </w:rPr>
            </w:pPr>
            <w:r>
              <w:rPr>
                <w:rFonts w:hint="eastAsia" w:ascii="宋体" w:hAnsi="宋体" w:cs="宋体"/>
                <w:kern w:val="0"/>
                <w:szCs w:val="21"/>
              </w:rPr>
              <w:t>分包</w:t>
            </w:r>
          </w:p>
        </w:tc>
        <w:tc>
          <w:tcPr>
            <w:tcW w:w="6372" w:type="dxa"/>
            <w:vAlign w:val="center"/>
          </w:tcPr>
          <w:p w14:paraId="21548A1E">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不允许</w:t>
            </w:r>
          </w:p>
        </w:tc>
      </w:tr>
      <w:tr w14:paraId="4A574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47DEF7B">
            <w:pPr>
              <w:snapToGrid w:val="0"/>
              <w:spacing w:line="400" w:lineRule="exact"/>
              <w:jc w:val="center"/>
              <w:rPr>
                <w:rFonts w:ascii="宋体" w:hAnsi="宋体" w:cs="宋体"/>
                <w:kern w:val="0"/>
                <w:szCs w:val="21"/>
              </w:rPr>
            </w:pPr>
            <w:r>
              <w:rPr>
                <w:rFonts w:hint="eastAsia" w:ascii="宋体" w:hAnsi="宋体" w:cs="宋体"/>
                <w:kern w:val="0"/>
                <w:szCs w:val="21"/>
              </w:rPr>
              <w:t>2.1</w:t>
            </w:r>
          </w:p>
        </w:tc>
        <w:tc>
          <w:tcPr>
            <w:tcW w:w="1964" w:type="dxa"/>
            <w:vAlign w:val="center"/>
          </w:tcPr>
          <w:p w14:paraId="2DDCE473">
            <w:pPr>
              <w:snapToGrid w:val="0"/>
              <w:spacing w:after="15" w:afterLines="5" w:line="400" w:lineRule="exact"/>
              <w:jc w:val="center"/>
              <w:rPr>
                <w:rFonts w:ascii="宋体" w:hAnsi="宋体" w:cs="宋体"/>
                <w:kern w:val="0"/>
                <w:szCs w:val="21"/>
              </w:rPr>
            </w:pPr>
            <w:r>
              <w:rPr>
                <w:rFonts w:hint="eastAsia" w:ascii="宋体" w:hAnsi="宋体" w:cs="宋体"/>
                <w:kern w:val="0"/>
                <w:szCs w:val="21"/>
              </w:rPr>
              <w:t>构成比选文件的其他材料</w:t>
            </w:r>
          </w:p>
        </w:tc>
        <w:tc>
          <w:tcPr>
            <w:tcW w:w="6372" w:type="dxa"/>
            <w:vAlign w:val="center"/>
          </w:tcPr>
          <w:p w14:paraId="37257D91">
            <w:pPr>
              <w:snapToGrid w:val="0"/>
              <w:spacing w:line="400" w:lineRule="exact"/>
              <w:ind w:firstLine="420" w:firstLineChars="200"/>
              <w:rPr>
                <w:rFonts w:ascii="宋体" w:hAnsi="宋体" w:cs="宋体"/>
                <w:szCs w:val="21"/>
              </w:rPr>
            </w:pPr>
            <w:r>
              <w:rPr>
                <w:rFonts w:hint="eastAsia" w:ascii="宋体" w:hAnsi="宋体" w:cs="宋体"/>
                <w:szCs w:val="21"/>
              </w:rPr>
              <w:t>比选人发出的答疑及补遗书</w:t>
            </w:r>
          </w:p>
        </w:tc>
      </w:tr>
      <w:tr w14:paraId="6E698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FABC3B1">
            <w:pPr>
              <w:snapToGrid w:val="0"/>
              <w:spacing w:line="400" w:lineRule="exact"/>
              <w:jc w:val="center"/>
              <w:rPr>
                <w:rFonts w:ascii="宋体" w:hAnsi="宋体" w:cs="宋体"/>
                <w:kern w:val="0"/>
                <w:szCs w:val="21"/>
              </w:rPr>
            </w:pPr>
            <w:r>
              <w:rPr>
                <w:rFonts w:hint="eastAsia" w:ascii="宋体" w:hAnsi="宋体" w:cs="宋体"/>
                <w:kern w:val="0"/>
                <w:szCs w:val="21"/>
              </w:rPr>
              <w:t>2.2.1</w:t>
            </w:r>
          </w:p>
        </w:tc>
        <w:tc>
          <w:tcPr>
            <w:tcW w:w="1964" w:type="dxa"/>
            <w:tcBorders>
              <w:bottom w:val="single" w:color="auto" w:sz="4" w:space="0"/>
            </w:tcBorders>
            <w:vAlign w:val="center"/>
          </w:tcPr>
          <w:p w14:paraId="1B592D9B">
            <w:pPr>
              <w:snapToGrid w:val="0"/>
              <w:spacing w:line="400" w:lineRule="exact"/>
              <w:jc w:val="center"/>
              <w:rPr>
                <w:rFonts w:ascii="宋体" w:hAnsi="宋体" w:cs="宋体"/>
                <w:kern w:val="0"/>
                <w:szCs w:val="21"/>
              </w:rPr>
            </w:pPr>
            <w:r>
              <w:rPr>
                <w:rFonts w:hint="eastAsia" w:ascii="宋体" w:hAnsi="宋体" w:cs="宋体"/>
                <w:kern w:val="0"/>
                <w:szCs w:val="21"/>
              </w:rPr>
              <w:t>竞选人对比选文件提出疑问的</w:t>
            </w:r>
          </w:p>
          <w:p w14:paraId="699DC19C">
            <w:pPr>
              <w:snapToGrid w:val="0"/>
              <w:spacing w:line="400" w:lineRule="exact"/>
              <w:jc w:val="center"/>
              <w:rPr>
                <w:rFonts w:ascii="宋体" w:hAnsi="宋体" w:cs="宋体"/>
                <w:kern w:val="0"/>
                <w:szCs w:val="21"/>
              </w:rPr>
            </w:pPr>
            <w:r>
              <w:rPr>
                <w:rFonts w:hint="eastAsia" w:ascii="宋体" w:hAnsi="宋体" w:cs="宋体"/>
                <w:kern w:val="0"/>
                <w:szCs w:val="21"/>
              </w:rPr>
              <w:t>截止时间</w:t>
            </w:r>
          </w:p>
        </w:tc>
        <w:tc>
          <w:tcPr>
            <w:tcW w:w="6372" w:type="dxa"/>
            <w:vAlign w:val="center"/>
          </w:tcPr>
          <w:p w14:paraId="69C6D808">
            <w:pPr>
              <w:snapToGrid w:val="0"/>
              <w:spacing w:line="400" w:lineRule="exact"/>
              <w:ind w:firstLine="420" w:firstLineChars="200"/>
              <w:rPr>
                <w:rFonts w:ascii="宋体" w:hAnsi="宋体" w:cs="宋体"/>
                <w:kern w:val="0"/>
                <w:szCs w:val="21"/>
              </w:rPr>
            </w:pPr>
            <w:r>
              <w:rPr>
                <w:rFonts w:hint="eastAsia" w:ascii="宋体" w:hAnsi="宋体" w:cs="宋体"/>
                <w:kern w:val="0"/>
                <w:szCs w:val="21"/>
              </w:rPr>
              <w:t>竞选人在收到比选文件后，应仔细检查比选文件的所有内容，如有残缺或文字表述不清，图纸尺寸标注不明以及存在错、碰、漏、缺、概念模糊和有可能出现歧义或理解上的偏差的内容等应</w:t>
            </w:r>
            <w:r>
              <w:rPr>
                <w:rFonts w:hint="eastAsia" w:ascii="宋体" w:hAnsi="宋体" w:cs="宋体"/>
                <w:kern w:val="0"/>
                <w:szCs w:val="21"/>
                <w:u w:val="single"/>
              </w:rPr>
              <w:t xml:space="preserve"> 2025</w:t>
            </w:r>
            <w:r>
              <w:rPr>
                <w:rFonts w:hint="eastAsia" w:ascii="宋体" w:hAnsi="宋体" w:cs="宋体"/>
                <w:kern w:val="0"/>
                <w:szCs w:val="21"/>
              </w:rPr>
              <w:t>年</w:t>
            </w:r>
            <w:r>
              <w:rPr>
                <w:rFonts w:hint="eastAsia" w:ascii="宋体" w:hAnsi="宋体" w:cs="宋体"/>
                <w:kern w:val="0"/>
                <w:szCs w:val="21"/>
                <w:u w:val="single"/>
              </w:rPr>
              <w:t xml:space="preserve">  5</w:t>
            </w:r>
            <w:r>
              <w:rPr>
                <w:rFonts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11 </w:t>
            </w:r>
            <w:r>
              <w:rPr>
                <w:rFonts w:hint="eastAsia" w:ascii="宋体" w:hAnsi="宋体" w:cs="宋体"/>
                <w:kern w:val="0"/>
                <w:szCs w:val="21"/>
              </w:rPr>
              <w:t>日</w:t>
            </w:r>
            <w:r>
              <w:rPr>
                <w:rFonts w:hint="eastAsia" w:ascii="宋体" w:hAnsi="宋体" w:cs="宋体"/>
                <w:kern w:val="0"/>
                <w:szCs w:val="21"/>
                <w:u w:val="single"/>
              </w:rPr>
              <w:t xml:space="preserve"> 12 </w:t>
            </w:r>
            <w:r>
              <w:rPr>
                <w:rFonts w:hint="eastAsia" w:ascii="宋体" w:hAnsi="宋体" w:cs="宋体"/>
                <w:szCs w:val="21"/>
              </w:rPr>
              <w:t>时</w:t>
            </w:r>
            <w:r>
              <w:rPr>
                <w:rFonts w:hint="eastAsia" w:ascii="宋体" w:hAnsi="宋体" w:cs="宋体"/>
                <w:kern w:val="0"/>
                <w:szCs w:val="21"/>
                <w:u w:val="single"/>
              </w:rPr>
              <w:t xml:space="preserve"> 00 </w:t>
            </w:r>
            <w:r>
              <w:rPr>
                <w:rFonts w:hint="eastAsia" w:ascii="宋体" w:hAnsi="宋体" w:cs="宋体"/>
                <w:szCs w:val="21"/>
              </w:rPr>
              <w:t>分（北京时间）</w:t>
            </w:r>
            <w:r>
              <w:rPr>
                <w:rFonts w:hint="eastAsia" w:ascii="宋体" w:hAnsi="宋体" w:cs="宋体"/>
                <w:kern w:val="0"/>
                <w:szCs w:val="21"/>
              </w:rPr>
              <w:t>前以书面形式提交。</w:t>
            </w:r>
          </w:p>
        </w:tc>
      </w:tr>
      <w:tr w14:paraId="3C8A9A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Merge w:val="restart"/>
            <w:vAlign w:val="center"/>
          </w:tcPr>
          <w:p w14:paraId="42190611">
            <w:pPr>
              <w:snapToGrid w:val="0"/>
              <w:spacing w:line="400" w:lineRule="exact"/>
              <w:jc w:val="center"/>
              <w:rPr>
                <w:rFonts w:ascii="宋体" w:hAnsi="宋体" w:cs="宋体"/>
                <w:kern w:val="0"/>
                <w:szCs w:val="21"/>
              </w:rPr>
            </w:pPr>
            <w:r>
              <w:rPr>
                <w:rFonts w:hint="eastAsia" w:ascii="宋体" w:hAnsi="宋体" w:cs="宋体"/>
                <w:kern w:val="0"/>
                <w:szCs w:val="21"/>
              </w:rPr>
              <w:t>2.2.2</w:t>
            </w:r>
          </w:p>
        </w:tc>
        <w:tc>
          <w:tcPr>
            <w:tcW w:w="1964" w:type="dxa"/>
            <w:tcBorders>
              <w:top w:val="single" w:color="auto" w:sz="4" w:space="0"/>
            </w:tcBorders>
            <w:vAlign w:val="center"/>
          </w:tcPr>
          <w:p w14:paraId="7757B87F">
            <w:pPr>
              <w:snapToGrid w:val="0"/>
              <w:spacing w:line="400" w:lineRule="exact"/>
              <w:jc w:val="center"/>
              <w:rPr>
                <w:rFonts w:ascii="宋体" w:hAnsi="宋体" w:cs="宋体"/>
                <w:kern w:val="0"/>
                <w:szCs w:val="21"/>
              </w:rPr>
            </w:pPr>
            <w:r>
              <w:rPr>
                <w:rFonts w:hint="eastAsia" w:ascii="宋体" w:hAnsi="宋体" w:cs="宋体"/>
                <w:kern w:val="0"/>
                <w:szCs w:val="21"/>
              </w:rPr>
              <w:t>比选人对比选文件答疑的截止时间</w:t>
            </w:r>
          </w:p>
        </w:tc>
        <w:tc>
          <w:tcPr>
            <w:tcW w:w="6372" w:type="dxa"/>
            <w:vAlign w:val="center"/>
          </w:tcPr>
          <w:p w14:paraId="7E63AECB">
            <w:pPr>
              <w:snapToGrid w:val="0"/>
              <w:spacing w:line="400" w:lineRule="exact"/>
              <w:ind w:firstLine="420" w:firstLineChars="200"/>
              <w:rPr>
                <w:rFonts w:ascii="宋体" w:hAnsi="宋体" w:cs="宋体"/>
                <w:snapToGrid w:val="0"/>
                <w:kern w:val="0"/>
                <w:szCs w:val="21"/>
              </w:rPr>
            </w:pPr>
            <w:r>
              <w:rPr>
                <w:rFonts w:hint="eastAsia" w:cs="宋体" w:asciiTheme="minorEastAsia" w:hAnsiTheme="minorEastAsia" w:eastAsiaTheme="minorEastAsia"/>
                <w:szCs w:val="21"/>
                <w:u w:val="single"/>
              </w:rPr>
              <w:t>2025</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u w:val="single"/>
              </w:rPr>
              <w:t xml:space="preserve"> 5 </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u w:val="single"/>
              </w:rPr>
              <w:t xml:space="preserve"> 11 </w:t>
            </w:r>
            <w:r>
              <w:rPr>
                <w:rFonts w:hint="eastAsia" w:cs="宋体" w:asciiTheme="minorEastAsia" w:hAnsiTheme="minorEastAsia" w:eastAsiaTheme="minorEastAsia"/>
                <w:szCs w:val="21"/>
              </w:rPr>
              <w:t>日</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1</w:t>
            </w:r>
            <w:r>
              <w:rPr>
                <w:rFonts w:cs="宋体" w:asciiTheme="minorEastAsia" w:hAnsiTheme="minorEastAsia" w:eastAsiaTheme="minorEastAsia"/>
                <w:szCs w:val="21"/>
                <w:u w:val="single"/>
              </w:rPr>
              <w:t>7</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时</w:t>
            </w:r>
            <w:r>
              <w:rPr>
                <w:rFonts w:hint="eastAsia" w:cs="宋体" w:asciiTheme="minorEastAsia" w:hAnsiTheme="minorEastAsia" w:eastAsiaTheme="minorEastAsia"/>
                <w:szCs w:val="21"/>
                <w:u w:val="single"/>
              </w:rPr>
              <w:t xml:space="preserve"> </w:t>
            </w:r>
            <w:r>
              <w:rPr>
                <w:rFonts w:cs="宋体" w:asciiTheme="minorEastAsia" w:hAnsiTheme="minorEastAsia" w:eastAsiaTheme="minorEastAsia"/>
                <w:szCs w:val="21"/>
                <w:u w:val="single"/>
              </w:rPr>
              <w:t>3</w:t>
            </w:r>
            <w:r>
              <w:rPr>
                <w:rFonts w:hint="eastAsia" w:cs="宋体" w:asciiTheme="minorEastAsia" w:hAnsiTheme="minorEastAsia" w:eastAsiaTheme="minorEastAsia"/>
                <w:szCs w:val="21"/>
                <w:u w:val="single"/>
              </w:rPr>
              <w:t xml:space="preserve">0 </w:t>
            </w:r>
            <w:r>
              <w:rPr>
                <w:rFonts w:hint="eastAsia" w:cs="宋体" w:asciiTheme="minorEastAsia" w:hAnsiTheme="minorEastAsia" w:eastAsiaTheme="minorEastAsia"/>
                <w:szCs w:val="21"/>
              </w:rPr>
              <w:t>分（北京时间）</w:t>
            </w:r>
            <w:r>
              <w:rPr>
                <w:rFonts w:hint="eastAsia" w:cs="宋体" w:asciiTheme="minorEastAsia" w:hAnsiTheme="minorEastAsia" w:eastAsiaTheme="minorEastAsia"/>
                <w:kern w:val="0"/>
                <w:szCs w:val="21"/>
              </w:rPr>
              <w:t>前对所有比选申请人提出的问题在《行采家》https://www.gec123.com/发布，比选申请人在开标前因未随时关注发布的补遗通知而产生的一切后果由比选申请人自负。</w:t>
            </w:r>
            <w:r>
              <w:rPr>
                <w:rFonts w:hint="eastAsia" w:ascii="宋体" w:hAnsi="宋体" w:cs="宋体"/>
                <w:kern w:val="0"/>
              </w:rPr>
              <w:t xml:space="preserve"> </w:t>
            </w:r>
          </w:p>
        </w:tc>
      </w:tr>
      <w:tr w14:paraId="64278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Merge w:val="continue"/>
            <w:vAlign w:val="center"/>
          </w:tcPr>
          <w:p w14:paraId="4A101820">
            <w:pPr>
              <w:snapToGrid w:val="0"/>
              <w:spacing w:line="400" w:lineRule="exact"/>
              <w:jc w:val="center"/>
              <w:rPr>
                <w:rFonts w:ascii="宋体" w:hAnsi="宋体" w:cs="宋体"/>
                <w:kern w:val="0"/>
                <w:szCs w:val="21"/>
              </w:rPr>
            </w:pPr>
          </w:p>
        </w:tc>
        <w:tc>
          <w:tcPr>
            <w:tcW w:w="1964" w:type="dxa"/>
            <w:vAlign w:val="center"/>
          </w:tcPr>
          <w:p w14:paraId="2BA54E37">
            <w:pPr>
              <w:snapToGrid w:val="0"/>
              <w:spacing w:line="400" w:lineRule="exact"/>
              <w:jc w:val="center"/>
              <w:rPr>
                <w:rFonts w:ascii="宋体" w:hAnsi="宋体" w:cs="宋体"/>
                <w:kern w:val="0"/>
                <w:szCs w:val="21"/>
              </w:rPr>
            </w:pPr>
            <w:r>
              <w:rPr>
                <w:rFonts w:hint="eastAsia" w:ascii="宋体" w:hAnsi="宋体" w:cs="宋体"/>
                <w:kern w:val="0"/>
                <w:szCs w:val="21"/>
              </w:rPr>
              <w:t>竞选文件递交</w:t>
            </w:r>
          </w:p>
          <w:p w14:paraId="52EC7ACD">
            <w:pPr>
              <w:snapToGrid w:val="0"/>
              <w:spacing w:line="400" w:lineRule="exact"/>
              <w:jc w:val="center"/>
              <w:rPr>
                <w:rFonts w:ascii="宋体" w:hAnsi="宋体" w:cs="宋体"/>
                <w:kern w:val="0"/>
                <w:szCs w:val="21"/>
              </w:rPr>
            </w:pPr>
            <w:r>
              <w:rPr>
                <w:rFonts w:hint="eastAsia" w:ascii="宋体" w:hAnsi="宋体" w:cs="宋体"/>
                <w:kern w:val="0"/>
                <w:szCs w:val="21"/>
              </w:rPr>
              <w:t>截止时间</w:t>
            </w:r>
          </w:p>
        </w:tc>
        <w:tc>
          <w:tcPr>
            <w:tcW w:w="6372" w:type="dxa"/>
            <w:vAlign w:val="center"/>
          </w:tcPr>
          <w:p w14:paraId="307F5187">
            <w:pPr>
              <w:snapToGrid w:val="0"/>
              <w:spacing w:line="400" w:lineRule="exact"/>
              <w:ind w:firstLine="420" w:firstLineChars="200"/>
              <w:rPr>
                <w:rFonts w:ascii="宋体" w:hAnsi="宋体" w:cs="宋体"/>
                <w:szCs w:val="21"/>
                <w:u w:val="single"/>
              </w:rPr>
            </w:pPr>
            <w:r>
              <w:rPr>
                <w:rFonts w:hint="eastAsia" w:ascii="宋体" w:hAnsi="宋体" w:cs="宋体"/>
                <w:kern w:val="0"/>
                <w:szCs w:val="21"/>
                <w:u w:val="single"/>
              </w:rPr>
              <w:t>2025</w:t>
            </w:r>
            <w:r>
              <w:rPr>
                <w:rFonts w:hint="eastAsia" w:ascii="宋体" w:hAnsi="宋体" w:cs="宋体"/>
                <w:kern w:val="0"/>
                <w:szCs w:val="21"/>
              </w:rPr>
              <w:t>年</w:t>
            </w:r>
            <w:r>
              <w:rPr>
                <w:rFonts w:hint="eastAsia" w:ascii="宋体" w:hAnsi="宋体" w:cs="宋体"/>
                <w:kern w:val="0"/>
                <w:szCs w:val="21"/>
                <w:u w:val="single"/>
              </w:rPr>
              <w:t xml:space="preserve"> 5 </w:t>
            </w:r>
            <w:r>
              <w:rPr>
                <w:rFonts w:hint="eastAsia" w:ascii="宋体" w:hAnsi="宋体" w:cs="宋体"/>
                <w:kern w:val="0"/>
                <w:szCs w:val="21"/>
              </w:rPr>
              <w:t>月</w:t>
            </w:r>
            <w:r>
              <w:rPr>
                <w:rFonts w:hint="eastAsia" w:ascii="宋体" w:hAnsi="宋体" w:cs="宋体"/>
                <w:kern w:val="0"/>
                <w:szCs w:val="21"/>
                <w:u w:val="single"/>
              </w:rPr>
              <w:t xml:space="preserve"> </w:t>
            </w:r>
            <w:r>
              <w:rPr>
                <w:rFonts w:ascii="宋体" w:hAnsi="宋体" w:cs="宋体"/>
                <w:kern w:val="0"/>
                <w:szCs w:val="21"/>
                <w:u w:val="single"/>
              </w:rPr>
              <w:t>1</w:t>
            </w:r>
            <w:r>
              <w:rPr>
                <w:rFonts w:hint="eastAsia" w:ascii="宋体" w:hAnsi="宋体" w:cs="宋体"/>
                <w:kern w:val="0"/>
                <w:szCs w:val="21"/>
                <w:u w:val="single"/>
              </w:rPr>
              <w:t xml:space="preserve">4 </w:t>
            </w:r>
            <w:r>
              <w:rPr>
                <w:rFonts w:hint="eastAsia" w:ascii="宋体" w:hAnsi="宋体" w:cs="宋体"/>
                <w:kern w:val="0"/>
                <w:szCs w:val="21"/>
              </w:rPr>
              <w:t>日</w:t>
            </w:r>
            <w:r>
              <w:rPr>
                <w:rFonts w:hint="eastAsia" w:ascii="宋体" w:hAnsi="宋体" w:cs="宋体"/>
                <w:kern w:val="0"/>
                <w:szCs w:val="21"/>
                <w:u w:val="single"/>
              </w:rPr>
              <w:t xml:space="preserve"> 10 </w:t>
            </w:r>
            <w:r>
              <w:rPr>
                <w:rFonts w:hint="eastAsia" w:ascii="宋体" w:hAnsi="宋体" w:cs="宋体"/>
                <w:szCs w:val="21"/>
              </w:rPr>
              <w:t>时</w:t>
            </w:r>
            <w:r>
              <w:rPr>
                <w:rFonts w:hint="eastAsia" w:ascii="宋体" w:hAnsi="宋体" w:cs="宋体"/>
                <w:kern w:val="0"/>
                <w:szCs w:val="21"/>
                <w:u w:val="single"/>
              </w:rPr>
              <w:t xml:space="preserve"> 00</w:t>
            </w:r>
            <w:r>
              <w:rPr>
                <w:rFonts w:hint="eastAsia" w:ascii="宋体" w:hAnsi="宋体" w:cs="宋体"/>
                <w:szCs w:val="21"/>
              </w:rPr>
              <w:t>分（北京时间）</w:t>
            </w:r>
          </w:p>
        </w:tc>
      </w:tr>
      <w:tr w14:paraId="44DC7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A7AA057">
            <w:pPr>
              <w:snapToGrid w:val="0"/>
              <w:spacing w:line="400" w:lineRule="exact"/>
              <w:jc w:val="center"/>
              <w:rPr>
                <w:rFonts w:ascii="宋体" w:hAnsi="宋体" w:cs="宋体"/>
                <w:kern w:val="0"/>
                <w:szCs w:val="21"/>
              </w:rPr>
            </w:pPr>
            <w:r>
              <w:rPr>
                <w:rFonts w:hint="eastAsia" w:ascii="宋体" w:hAnsi="宋体" w:cs="宋体"/>
                <w:kern w:val="0"/>
                <w:szCs w:val="21"/>
              </w:rPr>
              <w:t>3.1.1</w:t>
            </w:r>
          </w:p>
        </w:tc>
        <w:tc>
          <w:tcPr>
            <w:tcW w:w="1964" w:type="dxa"/>
            <w:vAlign w:val="center"/>
          </w:tcPr>
          <w:p w14:paraId="36CC58EE">
            <w:pPr>
              <w:snapToGrid w:val="0"/>
              <w:spacing w:after="31" w:afterLines="10" w:line="400" w:lineRule="exact"/>
              <w:jc w:val="center"/>
              <w:rPr>
                <w:rFonts w:ascii="宋体" w:hAnsi="宋体" w:cs="宋体"/>
                <w:kern w:val="0"/>
                <w:szCs w:val="21"/>
              </w:rPr>
            </w:pPr>
            <w:r>
              <w:rPr>
                <w:rFonts w:hint="eastAsia" w:ascii="宋体" w:hAnsi="宋体" w:cs="宋体"/>
                <w:kern w:val="0"/>
                <w:szCs w:val="21"/>
              </w:rPr>
              <w:t>构成竞选文件</w:t>
            </w:r>
          </w:p>
          <w:p w14:paraId="74868F63">
            <w:pPr>
              <w:snapToGrid w:val="0"/>
              <w:spacing w:after="31" w:afterLines="10" w:line="400" w:lineRule="exact"/>
              <w:jc w:val="center"/>
              <w:rPr>
                <w:rFonts w:ascii="宋体" w:hAnsi="宋体" w:cs="宋体"/>
                <w:kern w:val="0"/>
                <w:szCs w:val="21"/>
              </w:rPr>
            </w:pPr>
            <w:r>
              <w:rPr>
                <w:rFonts w:hint="eastAsia" w:ascii="宋体" w:hAnsi="宋体" w:cs="宋体"/>
                <w:kern w:val="0"/>
                <w:szCs w:val="21"/>
              </w:rPr>
              <w:t>的其他材料</w:t>
            </w:r>
          </w:p>
        </w:tc>
        <w:tc>
          <w:tcPr>
            <w:tcW w:w="6372" w:type="dxa"/>
            <w:vAlign w:val="center"/>
          </w:tcPr>
          <w:p w14:paraId="36EAEA50">
            <w:pPr>
              <w:snapToGrid w:val="0"/>
              <w:spacing w:line="400" w:lineRule="exact"/>
              <w:ind w:firstLine="420" w:firstLineChars="200"/>
              <w:rPr>
                <w:rFonts w:ascii="宋体" w:hAnsi="宋体" w:cs="宋体"/>
                <w:szCs w:val="21"/>
              </w:rPr>
            </w:pPr>
            <w:r>
              <w:rPr>
                <w:rFonts w:hint="eastAsia" w:ascii="宋体" w:hAnsi="宋体" w:cs="宋体"/>
                <w:szCs w:val="21"/>
              </w:rPr>
              <w:t>竞选人的书面澄清、说明和补正（但不得改变竞选文件的实质性内容）</w:t>
            </w:r>
          </w:p>
        </w:tc>
      </w:tr>
      <w:tr w14:paraId="54BC6C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79927DF">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w:t>
            </w:r>
          </w:p>
        </w:tc>
        <w:tc>
          <w:tcPr>
            <w:tcW w:w="1964" w:type="dxa"/>
            <w:vAlign w:val="center"/>
          </w:tcPr>
          <w:p w14:paraId="41429E8A">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增值税税金的计算方式</w:t>
            </w:r>
          </w:p>
        </w:tc>
        <w:tc>
          <w:tcPr>
            <w:tcW w:w="6372" w:type="dxa"/>
            <w:vAlign w:val="center"/>
          </w:tcPr>
          <w:p w14:paraId="75DD2850">
            <w:pPr>
              <w:pStyle w:val="8"/>
              <w:tabs>
                <w:tab w:val="left" w:pos="546"/>
                <w:tab w:val="left" w:pos="711"/>
              </w:tabs>
              <w:snapToGrid w:val="0"/>
              <w:spacing w:after="0" w:line="400" w:lineRule="exact"/>
              <w:ind w:left="6" w:leftChars="3"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增值税计税方法由招标人依据国家税法规定选择：</w:t>
            </w:r>
          </w:p>
          <w:p w14:paraId="38C0BB4F">
            <w:pPr>
              <w:pStyle w:val="8"/>
              <w:tabs>
                <w:tab w:val="left" w:pos="546"/>
                <w:tab w:val="left" w:pos="711"/>
              </w:tabs>
              <w:snapToGrid w:val="0"/>
              <w:spacing w:after="0" w:line="400" w:lineRule="exact"/>
              <w:ind w:left="6" w:leftChars="3" w:firstLine="420" w:firstLineChars="200"/>
              <w:rPr>
                <w:rFonts w:asciiTheme="minorEastAsia" w:hAnsiTheme="minorEastAsia" w:eastAsiaTheme="minorEastAsia" w:cstheme="minorEastAsia"/>
                <w:szCs w:val="21"/>
              </w:rPr>
            </w:pPr>
            <w:r>
              <w:rPr>
                <w:rFonts w:hint="eastAsia" w:ascii="MS Gothic" w:hAnsi="MS Gothic" w:eastAsia="MS Gothic" w:cs="MS Gothic"/>
                <w:snapToGrid w:val="0"/>
                <w:kern w:val="0"/>
                <w:szCs w:val="21"/>
              </w:rPr>
              <w:t>☑</w:t>
            </w:r>
            <w:r>
              <w:rPr>
                <w:rFonts w:hint="eastAsia" w:asciiTheme="minorEastAsia" w:hAnsiTheme="minorEastAsia" w:eastAsiaTheme="minorEastAsia" w:cstheme="minorEastAsia"/>
                <w:szCs w:val="21"/>
              </w:rPr>
              <w:t>一般计税法</w:t>
            </w:r>
          </w:p>
          <w:p w14:paraId="5D97E1BF">
            <w:pPr>
              <w:pStyle w:val="8"/>
              <w:tabs>
                <w:tab w:val="left" w:pos="546"/>
                <w:tab w:val="left" w:pos="711"/>
              </w:tabs>
              <w:snapToGrid w:val="0"/>
              <w:spacing w:after="0" w:line="400" w:lineRule="exact"/>
              <w:ind w:left="6" w:leftChars="3"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□简易计税法</w:t>
            </w:r>
          </w:p>
        </w:tc>
      </w:tr>
      <w:tr w14:paraId="1AB8E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34AD9C9">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w:t>
            </w:r>
          </w:p>
        </w:tc>
        <w:tc>
          <w:tcPr>
            <w:tcW w:w="1964" w:type="dxa"/>
            <w:vAlign w:val="center"/>
          </w:tcPr>
          <w:p w14:paraId="2194561D">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报价方式</w:t>
            </w:r>
          </w:p>
        </w:tc>
        <w:tc>
          <w:tcPr>
            <w:tcW w:w="6372" w:type="dxa"/>
            <w:vAlign w:val="center"/>
          </w:tcPr>
          <w:p w14:paraId="07E9CB93">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本次招标采用的报价方式为：取费比例报价，暂定总价。</w:t>
            </w:r>
          </w:p>
        </w:tc>
      </w:tr>
      <w:tr w14:paraId="26E02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1539112">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w:t>
            </w:r>
          </w:p>
        </w:tc>
        <w:tc>
          <w:tcPr>
            <w:tcW w:w="1964" w:type="dxa"/>
            <w:vAlign w:val="center"/>
          </w:tcPr>
          <w:p w14:paraId="48DD6BCC">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最高投标限价</w:t>
            </w:r>
          </w:p>
        </w:tc>
        <w:tc>
          <w:tcPr>
            <w:tcW w:w="6372" w:type="dxa"/>
            <w:vAlign w:val="center"/>
          </w:tcPr>
          <w:p w14:paraId="0B2ADF7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本项目监理服务计算基数暂按</w:t>
            </w:r>
            <w:r>
              <w:rPr>
                <w:rFonts w:hint="eastAsia" w:asciiTheme="minorEastAsia" w:hAnsiTheme="minorEastAsia" w:eastAsiaTheme="minorEastAsia" w:cstheme="minorEastAsia"/>
                <w:szCs w:val="21"/>
                <w:u w:val="single"/>
              </w:rPr>
              <w:t>1400万</w:t>
            </w:r>
            <w:r>
              <w:rPr>
                <w:rFonts w:hint="eastAsia" w:asciiTheme="minorEastAsia" w:hAnsiTheme="minorEastAsia" w:eastAsiaTheme="minorEastAsia" w:cstheme="minorEastAsia"/>
                <w:szCs w:val="21"/>
              </w:rPr>
              <w:t>元计算；本项目监理费率最高限价为</w:t>
            </w:r>
            <w:r>
              <w:rPr>
                <w:rFonts w:hint="eastAsia" w:asciiTheme="minorEastAsia" w:hAnsiTheme="minorEastAsia" w:eastAsiaTheme="minorEastAsia" w:cstheme="minorEastAsia"/>
                <w:szCs w:val="21"/>
                <w:u w:val="single"/>
              </w:rPr>
              <w:t xml:space="preserve"> 1.69 </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，暂定监理费用最高限价为</w:t>
            </w:r>
            <w:r>
              <w:rPr>
                <w:rFonts w:hint="eastAsia" w:eastAsiaTheme="minorEastAsia"/>
                <w:szCs w:val="21"/>
                <w:u w:val="single"/>
              </w:rPr>
              <w:t xml:space="preserve"> </w:t>
            </w:r>
            <w:r>
              <w:rPr>
                <w:rFonts w:hint="eastAsia" w:asciiTheme="minorEastAsia" w:hAnsiTheme="minorEastAsia" w:eastAsiaTheme="minorEastAsia" w:cstheme="minorEastAsia"/>
                <w:szCs w:val="21"/>
                <w:u w:val="single"/>
              </w:rPr>
              <w:t>23.62</w:t>
            </w:r>
            <w:r>
              <w:rPr>
                <w:rFonts w:hint="eastAsia" w:eastAsiaTheme="minorEastAsia"/>
                <w:szCs w:val="21"/>
                <w:u w:val="single"/>
              </w:rPr>
              <w:t xml:space="preserve"> 万</w:t>
            </w:r>
            <w:r>
              <w:rPr>
                <w:rFonts w:hint="eastAsia" w:asciiTheme="minorEastAsia" w:hAnsiTheme="minorEastAsia" w:eastAsiaTheme="minorEastAsia" w:cstheme="minorEastAsia"/>
                <w:szCs w:val="21"/>
              </w:rPr>
              <w:t>元；投标报价不得高于最高限价，监理服务费比例百分号前保留小数点后两位数，第三位四舍五入。否则按否决投标处理。</w:t>
            </w:r>
          </w:p>
          <w:p w14:paraId="7EEC95EE">
            <w:pPr>
              <w:spacing w:line="400" w:lineRule="exact"/>
              <w:ind w:firstLine="420" w:firstLineChars="200"/>
              <w:rPr>
                <w:szCs w:val="21"/>
              </w:rPr>
            </w:pPr>
            <w:r>
              <w:rPr>
                <w:rFonts w:hint="eastAsia" w:asciiTheme="minorEastAsia" w:hAnsiTheme="minorEastAsia" w:eastAsiaTheme="minorEastAsia" w:cstheme="minorEastAsia"/>
                <w:szCs w:val="21"/>
              </w:rPr>
              <w:t>注：评标委员会发现投标人的投标费率明显低于其他投标投标费率，使得其投标费率可能低于其个别成本的，应要求该投标人作出书面说明并提供相应的证明材料。投标人不能合理说明或不能提供相应证明材料的，评标委员会应认定该投标人以低</w:t>
            </w:r>
            <w:r>
              <w:rPr>
                <w:rFonts w:hint="eastAsia"/>
              </w:rPr>
              <w:t>于成本报价竞标，并否决其投标。</w:t>
            </w:r>
          </w:p>
        </w:tc>
      </w:tr>
      <w:tr w14:paraId="66D6D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351454F">
            <w:pPr>
              <w:snapToGrid w:val="0"/>
              <w:spacing w:line="400" w:lineRule="exact"/>
              <w:jc w:val="center"/>
              <w:rPr>
                <w:rFonts w:ascii="宋体" w:hAnsi="宋体" w:cs="宋体"/>
                <w:kern w:val="0"/>
                <w:szCs w:val="21"/>
              </w:rPr>
            </w:pPr>
            <w:r>
              <w:rPr>
                <w:rFonts w:hint="eastAsia" w:ascii="宋体" w:hAnsi="宋体" w:cs="宋体"/>
                <w:kern w:val="0"/>
                <w:szCs w:val="21"/>
              </w:rPr>
              <w:t>3.2</w:t>
            </w:r>
          </w:p>
        </w:tc>
        <w:tc>
          <w:tcPr>
            <w:tcW w:w="1964" w:type="dxa"/>
            <w:vAlign w:val="center"/>
          </w:tcPr>
          <w:p w14:paraId="5C3B05E2">
            <w:pPr>
              <w:snapToGrid w:val="0"/>
              <w:spacing w:line="400" w:lineRule="exact"/>
              <w:jc w:val="center"/>
              <w:rPr>
                <w:rFonts w:ascii="宋体" w:hAnsi="宋体" w:cs="宋体"/>
                <w:kern w:val="0"/>
                <w:szCs w:val="21"/>
              </w:rPr>
            </w:pPr>
            <w:r>
              <w:rPr>
                <w:rFonts w:hint="eastAsia" w:ascii="宋体" w:hAnsi="宋体" w:cs="宋体"/>
                <w:kern w:val="0"/>
                <w:szCs w:val="21"/>
              </w:rPr>
              <w:t>竞选报价</w:t>
            </w:r>
          </w:p>
        </w:tc>
        <w:tc>
          <w:tcPr>
            <w:tcW w:w="6372" w:type="dxa"/>
            <w:vAlign w:val="center"/>
          </w:tcPr>
          <w:p w14:paraId="35C0E9E9">
            <w:pPr>
              <w:spacing w:line="400" w:lineRule="exact"/>
              <w:ind w:firstLine="420" w:firstLineChars="200"/>
              <w:rPr>
                <w:rFonts w:ascii="宋体" w:hAnsi="宋体"/>
                <w:kern w:val="0"/>
                <w:szCs w:val="21"/>
              </w:rPr>
            </w:pPr>
            <w:r>
              <w:rPr>
                <w:rFonts w:hint="eastAsia" w:ascii="宋体" w:hAnsi="宋体"/>
                <w:kern w:val="0"/>
                <w:szCs w:val="21"/>
              </w:rPr>
              <w:t>1.竞选人的竞选报价为完成本次比选确定的监理范围和监理工作内容所需的全部费用（含施工准备阶段、施工阶段及缺陷责任期）。具体包括为实施和完成本项目全部监理工作所需的劳务费、技术服务费、设备的使用和管理、检测和试验费用、办公家具、办公设施、通讯工具、通讯费用、生活用房、生活设施及生活费用、交通工具、保险、税费、利润及协调费等实施工程监理所产生的一切费用。比选人除此以外不支付其它费用，竞选人也不得与本项目的承包人发生任何经济关系。</w:t>
            </w:r>
          </w:p>
          <w:p w14:paraId="7FA5D66C">
            <w:pPr>
              <w:spacing w:line="400" w:lineRule="exact"/>
              <w:ind w:firstLine="420" w:firstLineChars="200"/>
            </w:pPr>
            <w:r>
              <w:rPr>
                <w:rFonts w:ascii="宋体" w:hAnsi="宋体"/>
                <w:kern w:val="0"/>
                <w:szCs w:val="21"/>
              </w:rPr>
              <w:t>竞选人的监理报酬包含监理机构按相关规范及要求利用必要的检查、检测手段或委托专业实验单位在监理单位自检的基础上，按比例独立进行平行抽检的相关费用及相应的试验检测费。</w:t>
            </w:r>
          </w:p>
          <w:p w14:paraId="2AC10B98">
            <w:pPr>
              <w:spacing w:line="400" w:lineRule="exact"/>
              <w:ind w:firstLine="420" w:firstLineChars="200"/>
              <w:rPr>
                <w:rFonts w:ascii="宋体" w:hAnsi="宋体"/>
                <w:kern w:val="0"/>
                <w:szCs w:val="21"/>
              </w:rPr>
            </w:pPr>
            <w:r>
              <w:rPr>
                <w:rFonts w:hint="eastAsia" w:ascii="宋体" w:hAnsi="宋体"/>
                <w:kern w:val="0"/>
                <w:szCs w:val="21"/>
              </w:rPr>
              <w:t>2.</w:t>
            </w:r>
            <w:r>
              <w:rPr>
                <w:rFonts w:hint="eastAsia" w:asciiTheme="minorEastAsia" w:hAnsiTheme="minorEastAsia" w:eastAsiaTheme="minorEastAsia" w:cstheme="minorEastAsia"/>
                <w:szCs w:val="21"/>
              </w:rPr>
              <w:t xml:space="preserve"> 监理费竞选报价包括在施工准备阶段、施工阶段及完工验收、</w:t>
            </w:r>
            <w:r>
              <w:rPr>
                <w:rFonts w:hint="eastAsia" w:ascii="宋体" w:hAnsi="宋体"/>
                <w:kern w:val="0"/>
                <w:szCs w:val="21"/>
              </w:rPr>
              <w:t>竣工验收、办理</w:t>
            </w:r>
            <w:r>
              <w:rPr>
                <w:rFonts w:hint="eastAsia" w:asciiTheme="minorEastAsia" w:hAnsiTheme="minorEastAsia" w:eastAsiaTheme="minorEastAsia" w:cstheme="minorEastAsia"/>
                <w:szCs w:val="21"/>
              </w:rPr>
              <w:t>结算、缺陷责任期（含配合审计工作）期间的总费用。在监理服务合同有效期内无论物价变动、国家或地方政府的法律法规的变动，均不增减监理费。</w:t>
            </w:r>
            <w:r>
              <w:rPr>
                <w:rFonts w:asciiTheme="minorEastAsia" w:hAnsiTheme="minorEastAsia" w:eastAsiaTheme="minorEastAsia" w:cstheme="minorEastAsia"/>
                <w:szCs w:val="21"/>
              </w:rPr>
              <w:t>非监理人的原因导致工程延期</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监理合同</w:t>
            </w:r>
            <w:r>
              <w:rPr>
                <w:rFonts w:hint="eastAsia" w:asciiTheme="minorEastAsia" w:hAnsiTheme="minorEastAsia" w:eastAsiaTheme="minorEastAsia" w:cstheme="minorEastAsia"/>
                <w:szCs w:val="21"/>
              </w:rPr>
              <w:t>相</w:t>
            </w:r>
            <w:r>
              <w:rPr>
                <w:rFonts w:asciiTheme="minorEastAsia" w:hAnsiTheme="minorEastAsia" w:eastAsiaTheme="minorEastAsia" w:cstheme="minorEastAsia"/>
                <w:szCs w:val="21"/>
              </w:rPr>
              <w:t>应延期</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延期的监理报酬计算方式：</w:t>
            </w:r>
            <w:r>
              <w:rPr>
                <w:rFonts w:hint="eastAsia" w:asciiTheme="minorEastAsia" w:hAnsiTheme="minorEastAsia" w:eastAsiaTheme="minorEastAsia" w:cstheme="minorEastAsia"/>
                <w:szCs w:val="21"/>
                <w:u w:val="single"/>
              </w:rPr>
              <w:t xml:space="preserve">不调整 </w:t>
            </w:r>
            <w:r>
              <w:rPr>
                <w:rFonts w:hint="eastAsia" w:ascii="宋体" w:hAnsi="宋体"/>
                <w:kern w:val="0"/>
                <w:szCs w:val="21"/>
              </w:rPr>
              <w:t>。</w:t>
            </w:r>
          </w:p>
          <w:p w14:paraId="3E0C7B06">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3.结算原则</w:t>
            </w:r>
          </w:p>
          <w:p w14:paraId="1EE37770">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本项目监理服务费结算价=工程监理收费基价（按项目最终结算审定金额计取）×中标固定费率。</w:t>
            </w:r>
          </w:p>
        </w:tc>
      </w:tr>
      <w:tr w14:paraId="4B986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57F8E3F">
            <w:pPr>
              <w:snapToGrid w:val="0"/>
              <w:spacing w:line="400" w:lineRule="exact"/>
              <w:jc w:val="center"/>
              <w:rPr>
                <w:rFonts w:ascii="宋体" w:hAnsi="宋体" w:cs="宋体"/>
                <w:kern w:val="0"/>
                <w:szCs w:val="21"/>
              </w:rPr>
            </w:pPr>
            <w:r>
              <w:rPr>
                <w:rFonts w:hint="eastAsia" w:ascii="宋体" w:hAnsi="宋体" w:cs="宋体"/>
                <w:kern w:val="0"/>
                <w:szCs w:val="21"/>
              </w:rPr>
              <w:t>3.3.1</w:t>
            </w:r>
          </w:p>
        </w:tc>
        <w:tc>
          <w:tcPr>
            <w:tcW w:w="1964" w:type="dxa"/>
            <w:vAlign w:val="center"/>
          </w:tcPr>
          <w:p w14:paraId="4AA2EA31">
            <w:pPr>
              <w:snapToGrid w:val="0"/>
              <w:spacing w:line="400" w:lineRule="exact"/>
              <w:jc w:val="center"/>
              <w:rPr>
                <w:rFonts w:ascii="宋体" w:hAnsi="宋体" w:cs="宋体"/>
                <w:kern w:val="0"/>
                <w:szCs w:val="21"/>
              </w:rPr>
            </w:pPr>
            <w:r>
              <w:rPr>
                <w:rFonts w:hint="eastAsia" w:ascii="宋体" w:hAnsi="宋体" w:cs="宋体"/>
                <w:kern w:val="0"/>
                <w:szCs w:val="21"/>
              </w:rPr>
              <w:t>比选有效期</w:t>
            </w:r>
          </w:p>
        </w:tc>
        <w:tc>
          <w:tcPr>
            <w:tcW w:w="6372" w:type="dxa"/>
            <w:vAlign w:val="center"/>
          </w:tcPr>
          <w:p w14:paraId="010D356D">
            <w:pPr>
              <w:snapToGrid w:val="0"/>
              <w:spacing w:line="400" w:lineRule="exact"/>
              <w:ind w:firstLine="420" w:firstLineChars="200"/>
              <w:rPr>
                <w:rFonts w:ascii="宋体" w:hAnsi="宋体" w:cs="宋体"/>
                <w:szCs w:val="21"/>
              </w:rPr>
            </w:pPr>
            <w:r>
              <w:rPr>
                <w:rFonts w:hint="eastAsia" w:ascii="宋体" w:hAnsi="宋体" w:cs="宋体"/>
                <w:szCs w:val="21"/>
                <w:u w:val="single"/>
              </w:rPr>
              <w:t xml:space="preserve"> 90</w:t>
            </w:r>
            <w:r>
              <w:rPr>
                <w:rFonts w:hint="eastAsia" w:ascii="宋体" w:hAnsi="宋体" w:cs="宋体"/>
                <w:szCs w:val="21"/>
              </w:rPr>
              <w:t>日历天（从提交竞选文件截止日起计算）</w:t>
            </w:r>
          </w:p>
        </w:tc>
      </w:tr>
      <w:tr w14:paraId="56F23F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A31C5A6">
            <w:pPr>
              <w:snapToGrid w:val="0"/>
              <w:spacing w:line="400" w:lineRule="exact"/>
              <w:jc w:val="center"/>
              <w:rPr>
                <w:rFonts w:ascii="宋体" w:hAnsi="宋体" w:cs="宋体"/>
                <w:kern w:val="0"/>
                <w:szCs w:val="21"/>
              </w:rPr>
            </w:pPr>
            <w:r>
              <w:rPr>
                <w:rFonts w:hint="eastAsia" w:ascii="宋体" w:hAnsi="宋体" w:cs="宋体"/>
                <w:kern w:val="0"/>
                <w:szCs w:val="21"/>
              </w:rPr>
              <w:t>3.4</w:t>
            </w:r>
          </w:p>
        </w:tc>
        <w:tc>
          <w:tcPr>
            <w:tcW w:w="1964" w:type="dxa"/>
            <w:vAlign w:val="center"/>
          </w:tcPr>
          <w:p w14:paraId="195A5A77">
            <w:pPr>
              <w:snapToGrid w:val="0"/>
              <w:spacing w:line="400" w:lineRule="exact"/>
              <w:jc w:val="center"/>
              <w:rPr>
                <w:rFonts w:ascii="宋体" w:hAnsi="宋体" w:cs="宋体"/>
                <w:kern w:val="0"/>
                <w:szCs w:val="21"/>
              </w:rPr>
            </w:pPr>
            <w:r>
              <w:rPr>
                <w:rFonts w:hint="eastAsia" w:ascii="宋体" w:hAnsi="宋体" w:cs="宋体"/>
                <w:kern w:val="0"/>
                <w:szCs w:val="21"/>
              </w:rPr>
              <w:t>比选保证金</w:t>
            </w:r>
          </w:p>
        </w:tc>
        <w:tc>
          <w:tcPr>
            <w:tcW w:w="6372" w:type="dxa"/>
            <w:vAlign w:val="center"/>
          </w:tcPr>
          <w:p w14:paraId="602575AC">
            <w:pPr>
              <w:snapToGrid w:val="0"/>
              <w:spacing w:line="400" w:lineRule="exact"/>
              <w:ind w:firstLine="420" w:firstLineChars="200"/>
              <w:rPr>
                <w:rFonts w:ascii="宋体" w:hAnsi="宋体" w:cs="宋体"/>
              </w:rPr>
            </w:pPr>
            <w:r>
              <w:rPr>
                <w:rFonts w:hint="eastAsia" w:ascii="宋体" w:hAnsi="宋体" w:cs="宋体"/>
              </w:rPr>
              <w:t>投标保证金的交纳方式：投标人可选择以下二种方式之一。</w:t>
            </w:r>
          </w:p>
          <w:p w14:paraId="370E8DA8">
            <w:pPr>
              <w:snapToGrid w:val="0"/>
              <w:spacing w:line="400" w:lineRule="exact"/>
              <w:ind w:firstLine="422" w:firstLineChars="200"/>
              <w:rPr>
                <w:rFonts w:ascii="宋体" w:hAnsi="宋体" w:cs="宋体"/>
                <w:b/>
                <w:bCs/>
              </w:rPr>
            </w:pPr>
            <w:r>
              <w:rPr>
                <w:rFonts w:hint="eastAsia" w:ascii="宋体" w:hAnsi="宋体" w:cs="宋体"/>
                <w:b/>
                <w:bCs/>
              </w:rPr>
              <w:t>方式一</w:t>
            </w:r>
          </w:p>
          <w:p w14:paraId="6DADBA85">
            <w:pPr>
              <w:snapToGrid w:val="0"/>
              <w:spacing w:line="400" w:lineRule="exact"/>
              <w:ind w:firstLine="420" w:firstLineChars="200"/>
              <w:rPr>
                <w:rFonts w:ascii="宋体" w:hAnsi="宋体" w:cs="宋体"/>
              </w:rPr>
            </w:pPr>
            <w:r>
              <w:rPr>
                <w:rFonts w:hint="eastAsia" w:ascii="宋体" w:hAnsi="宋体" w:cs="宋体"/>
              </w:rPr>
              <w:t>一、以转账支票或电汇形式交纳投标保证金</w:t>
            </w:r>
          </w:p>
          <w:p w14:paraId="47121916">
            <w:pPr>
              <w:snapToGrid w:val="0"/>
              <w:spacing w:line="400" w:lineRule="exact"/>
              <w:ind w:firstLine="420" w:firstLineChars="200"/>
              <w:rPr>
                <w:rFonts w:ascii="宋体" w:hAnsi="宋体" w:cs="宋体"/>
              </w:rPr>
            </w:pPr>
            <w:r>
              <w:rPr>
                <w:rFonts w:hint="eastAsia" w:ascii="宋体" w:hAnsi="宋体" w:cs="宋体"/>
              </w:rPr>
              <w:t>1. 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s="宋体"/>
                <w:kern w:val="0"/>
                <w:szCs w:val="21"/>
              </w:rPr>
              <w:t>不满足上述要求的投标保证金无效。</w:t>
            </w:r>
          </w:p>
          <w:p w14:paraId="4A8C9E49">
            <w:pPr>
              <w:snapToGrid w:val="0"/>
              <w:spacing w:line="400" w:lineRule="exact"/>
              <w:ind w:firstLine="420" w:firstLineChars="200"/>
              <w:rPr>
                <w:rFonts w:ascii="宋体" w:hAnsi="宋体" w:cs="宋体"/>
              </w:rPr>
            </w:pPr>
            <w:r>
              <w:rPr>
                <w:rFonts w:hint="eastAsia" w:ascii="宋体" w:hAnsi="宋体" w:cs="宋体"/>
              </w:rPr>
              <w:t>投标人自行考虑汇入时间风险，如同城汇入、异地汇入、跨行汇入的时间要求。</w:t>
            </w:r>
          </w:p>
          <w:p w14:paraId="1C863371">
            <w:pPr>
              <w:numPr>
                <w:ilvl w:val="0"/>
                <w:numId w:val="2"/>
              </w:numPr>
              <w:snapToGrid w:val="0"/>
              <w:spacing w:line="400" w:lineRule="exact"/>
              <w:ind w:firstLine="420" w:firstLineChars="200"/>
              <w:rPr>
                <w:rFonts w:ascii="宋体" w:hAnsi="宋体" w:cs="宋体"/>
              </w:rPr>
            </w:pPr>
            <w:r>
              <w:rPr>
                <w:rFonts w:hint="eastAsia" w:ascii="宋体" w:hAnsi="宋体" w:cs="宋体"/>
              </w:rPr>
              <w:t>以转账支票或电汇形式提交投标保证金的金额：</w:t>
            </w:r>
            <w:r>
              <w:rPr>
                <w:rFonts w:hint="eastAsia" w:ascii="宋体" w:hAnsi="宋体" w:cs="宋体"/>
                <w:u w:val="single"/>
              </w:rPr>
              <w:t>4000</w:t>
            </w:r>
            <w:r>
              <w:rPr>
                <w:rFonts w:ascii="宋体" w:hAnsi="宋体" w:cs="宋体"/>
                <w:u w:val="single"/>
              </w:rPr>
              <w:t>.00</w:t>
            </w:r>
            <w:r>
              <w:rPr>
                <w:rFonts w:hint="eastAsia" w:ascii="宋体" w:hAnsi="宋体" w:cs="宋体"/>
              </w:rPr>
              <w:t>元整（人民币）。</w:t>
            </w:r>
          </w:p>
          <w:p w14:paraId="6AF6797D">
            <w:pPr>
              <w:snapToGrid w:val="0"/>
              <w:spacing w:line="400" w:lineRule="exact"/>
              <w:ind w:firstLine="420" w:firstLineChars="200"/>
              <w:rPr>
                <w:rFonts w:ascii="宋体" w:hAnsi="宋体" w:cs="宋体"/>
              </w:rPr>
            </w:pPr>
            <w:r>
              <w:rPr>
                <w:rFonts w:hint="eastAsia" w:ascii="宋体" w:hAnsi="宋体" w:cs="宋体"/>
              </w:rPr>
              <w:t>3. 投标保证金账户及账号：</w:t>
            </w:r>
          </w:p>
          <w:p w14:paraId="213A86FE">
            <w:pPr>
              <w:snapToGrid w:val="0"/>
              <w:spacing w:line="400" w:lineRule="exact"/>
              <w:ind w:firstLine="420" w:firstLineChars="200"/>
              <w:rPr>
                <w:rFonts w:ascii="宋体" w:hAnsi="宋体" w:cs="宋体"/>
              </w:rPr>
            </w:pPr>
            <w:r>
              <w:rPr>
                <w:rFonts w:hint="eastAsia" w:ascii="宋体" w:hAnsi="宋体" w:cs="宋体"/>
              </w:rPr>
              <w:t>开户名：中资（重庆）工程咨询有限公司</w:t>
            </w:r>
          </w:p>
          <w:p w14:paraId="47B485D8">
            <w:pPr>
              <w:snapToGrid w:val="0"/>
              <w:spacing w:line="400" w:lineRule="exact"/>
              <w:ind w:firstLine="420" w:firstLineChars="200"/>
              <w:rPr>
                <w:rFonts w:ascii="宋体" w:hAnsi="宋体" w:cs="宋体"/>
              </w:rPr>
            </w:pPr>
            <w:r>
              <w:rPr>
                <w:rFonts w:hint="eastAsia" w:ascii="宋体" w:hAnsi="宋体" w:cs="宋体"/>
              </w:rPr>
              <w:t>开户行：中国银行股份有限公司重庆空港支行</w:t>
            </w:r>
          </w:p>
          <w:p w14:paraId="5BE44A2B">
            <w:pPr>
              <w:snapToGrid w:val="0"/>
              <w:spacing w:line="400" w:lineRule="exact"/>
              <w:ind w:firstLine="420" w:firstLineChars="200"/>
              <w:rPr>
                <w:rFonts w:ascii="宋体" w:hAnsi="宋体" w:cs="宋体"/>
              </w:rPr>
            </w:pPr>
            <w:r>
              <w:rPr>
                <w:rFonts w:hint="eastAsia" w:ascii="宋体" w:hAnsi="宋体" w:cs="宋体"/>
              </w:rPr>
              <w:t>帐  号：108885534992</w:t>
            </w:r>
          </w:p>
          <w:p w14:paraId="6AABC7E6">
            <w:pPr>
              <w:snapToGrid w:val="0"/>
              <w:spacing w:line="400" w:lineRule="exact"/>
              <w:ind w:firstLine="420" w:firstLineChars="200"/>
              <w:rPr>
                <w:rFonts w:ascii="宋体" w:hAnsi="宋体" w:cs="宋体"/>
              </w:rPr>
            </w:pPr>
            <w:r>
              <w:rPr>
                <w:rFonts w:hint="eastAsia" w:ascii="宋体" w:hAnsi="宋体" w:cs="宋体"/>
              </w:rPr>
              <w:t>投标保证金以开标现场展示的保证金交纳情况为准。投标人须在投标文件资格审查部分</w:t>
            </w:r>
            <w:r>
              <w:rPr>
                <w:rFonts w:hint="eastAsia" w:ascii="宋体" w:hAnsi="宋体" w:cs="宋体"/>
                <w:kern w:val="0"/>
                <w:szCs w:val="21"/>
              </w:rPr>
              <w:t>“其他资料”中</w:t>
            </w:r>
            <w:r>
              <w:rPr>
                <w:rFonts w:hint="eastAsia" w:ascii="宋体" w:hAnsi="宋体" w:cs="宋体"/>
              </w:rPr>
              <w:t>提供企业基本账户开户证明文件。</w:t>
            </w:r>
          </w:p>
          <w:p w14:paraId="27159DC5">
            <w:pPr>
              <w:snapToGrid w:val="0"/>
              <w:spacing w:line="400" w:lineRule="exact"/>
              <w:ind w:firstLine="420" w:firstLineChars="200"/>
              <w:rPr>
                <w:rFonts w:ascii="宋体" w:hAnsi="宋体" w:cs="宋体"/>
                <w:u w:val="single"/>
              </w:rPr>
            </w:pPr>
            <w:r>
              <w:rPr>
                <w:rFonts w:hint="eastAsia" w:ascii="宋体" w:hAnsi="宋体" w:cs="宋体"/>
              </w:rPr>
              <w:t>4. 投标人必须在付款凭证备注栏中注明是“</w:t>
            </w:r>
            <w:r>
              <w:rPr>
                <w:rFonts w:hint="eastAsia" w:ascii="宋体" w:hAnsi="宋体" w:cs="宋体"/>
                <w:u w:val="single"/>
              </w:rPr>
              <w:t>重庆市南岸区总工会职工服务阵地改建工程监理</w:t>
            </w:r>
            <w:r>
              <w:rPr>
                <w:rFonts w:hint="eastAsia" w:ascii="宋体" w:hAnsi="宋体" w:cs="宋体"/>
              </w:rPr>
              <w:t>项目投标保证金”。项目名称可简写成：</w:t>
            </w:r>
            <w:r>
              <w:rPr>
                <w:rFonts w:hint="eastAsia" w:ascii="宋体" w:hAnsi="宋体" w:cs="宋体"/>
                <w:u w:val="single"/>
              </w:rPr>
              <w:t>南岸总工会改建工程监理</w:t>
            </w:r>
            <w:r>
              <w:rPr>
                <w:rFonts w:hint="eastAsia" w:ascii="宋体" w:hAnsi="宋体" w:cs="宋体"/>
              </w:rPr>
              <w:t>。</w:t>
            </w:r>
          </w:p>
          <w:p w14:paraId="59763ED8">
            <w:pPr>
              <w:snapToGrid w:val="0"/>
              <w:spacing w:line="400" w:lineRule="exact"/>
              <w:ind w:firstLine="420" w:firstLineChars="200"/>
              <w:rPr>
                <w:rFonts w:ascii="宋体" w:hAnsi="宋体" w:cs="宋体"/>
              </w:rPr>
            </w:pPr>
            <w:r>
              <w:rPr>
                <w:rFonts w:hint="eastAsia" w:ascii="宋体" w:hAnsi="宋体" w:cs="宋体"/>
              </w:rPr>
              <w:t>5. 投标保证金有效期与投标有效期一致。</w:t>
            </w:r>
          </w:p>
          <w:p w14:paraId="6129CFDC">
            <w:pPr>
              <w:snapToGrid w:val="0"/>
              <w:spacing w:line="400" w:lineRule="exact"/>
              <w:ind w:firstLine="420" w:firstLineChars="200"/>
              <w:rPr>
                <w:rFonts w:ascii="宋体" w:hAnsi="宋体" w:cs="宋体"/>
                <w:u w:val="single"/>
              </w:rPr>
            </w:pPr>
            <w:r>
              <w:rPr>
                <w:rFonts w:hint="eastAsia" w:ascii="宋体" w:hAnsi="宋体" w:cs="宋体"/>
                <w:u w:val="single"/>
              </w:rPr>
              <w:t>6. 评标过程中由评标委员会根据投标人在投标文件中提供的企业基本账户开户证明文件核实其投标保证金是否由基本账户转入，未从基本账户转入的，由评标委员会作否决投标处理。</w:t>
            </w:r>
          </w:p>
          <w:p w14:paraId="01B99836">
            <w:pPr>
              <w:snapToGrid w:val="0"/>
              <w:spacing w:line="400" w:lineRule="exact"/>
              <w:ind w:firstLine="420" w:firstLineChars="200"/>
              <w:rPr>
                <w:rFonts w:ascii="宋体" w:hAnsi="宋体" w:cs="宋体"/>
              </w:rPr>
            </w:pPr>
            <w:r>
              <w:rPr>
                <w:rFonts w:hint="eastAsia" w:ascii="宋体" w:hAnsi="宋体" w:cs="宋体"/>
              </w:rPr>
              <w:t>二、投标保证金的退还</w:t>
            </w:r>
          </w:p>
          <w:p w14:paraId="0B40138E">
            <w:pPr>
              <w:snapToGrid w:val="0"/>
              <w:spacing w:line="400" w:lineRule="exact"/>
              <w:ind w:firstLine="420" w:firstLineChars="200"/>
              <w:rPr>
                <w:rFonts w:ascii="宋体" w:hAnsi="宋体" w:cs="宋体"/>
              </w:rPr>
            </w:pPr>
            <w:r>
              <w:rPr>
                <w:rFonts w:hint="eastAsia" w:ascii="宋体" w:hAnsi="宋体" w:cs="宋体"/>
              </w:rPr>
              <w:t>招标人应当在法定时间内确定中标人。招标人应当在中标通知书发出后2个工作日内退还。</w:t>
            </w:r>
          </w:p>
          <w:p w14:paraId="47421062">
            <w:pPr>
              <w:snapToGrid w:val="0"/>
              <w:spacing w:line="400" w:lineRule="exact"/>
              <w:ind w:firstLine="420" w:firstLineChars="200"/>
              <w:rPr>
                <w:rFonts w:ascii="宋体" w:hAnsi="宋体" w:cs="宋体"/>
                <w:bCs/>
                <w:kern w:val="0"/>
                <w:szCs w:val="21"/>
              </w:rPr>
            </w:pPr>
            <w:r>
              <w:rPr>
                <w:rFonts w:hint="eastAsia" w:ascii="宋体" w:hAnsi="宋体" w:cs="宋体"/>
              </w:rPr>
              <w:t>招标人应当在法定时间内和中标人签订合同。招标人应当在合同生效后2个工作日内退还。</w:t>
            </w:r>
          </w:p>
          <w:p w14:paraId="37095C16">
            <w:pPr>
              <w:snapToGrid w:val="0"/>
              <w:spacing w:line="400" w:lineRule="exact"/>
              <w:ind w:firstLine="422" w:firstLineChars="200"/>
              <w:rPr>
                <w:rFonts w:ascii="宋体" w:hAnsi="宋体" w:cs="宋体"/>
                <w:b/>
                <w:kern w:val="0"/>
                <w:szCs w:val="21"/>
              </w:rPr>
            </w:pPr>
            <w:r>
              <w:rPr>
                <w:rFonts w:hint="eastAsia" w:ascii="宋体" w:hAnsi="宋体" w:cs="宋体"/>
                <w:b/>
                <w:kern w:val="0"/>
                <w:szCs w:val="21"/>
              </w:rPr>
              <w:t>方式二</w:t>
            </w:r>
          </w:p>
          <w:p w14:paraId="5551CCF2">
            <w:pPr>
              <w:snapToGrid w:val="0"/>
              <w:spacing w:line="400" w:lineRule="exact"/>
              <w:ind w:firstLine="420" w:firstLineChars="200"/>
              <w:rPr>
                <w:rFonts w:ascii="宋体" w:hAnsi="宋体" w:cs="宋体"/>
                <w:kern w:val="0"/>
                <w:szCs w:val="21"/>
              </w:rPr>
            </w:pPr>
            <w:r>
              <w:rPr>
                <w:rFonts w:hint="eastAsia" w:ascii="宋体" w:hAnsi="宋体" w:cs="宋体"/>
                <w:kern w:val="0"/>
                <w:szCs w:val="21"/>
              </w:rPr>
              <w:t>一、以纸质投标保函形式交纳投标保证金</w:t>
            </w:r>
          </w:p>
          <w:p w14:paraId="084BCAD8">
            <w:pPr>
              <w:snapToGrid w:val="0"/>
              <w:spacing w:line="400" w:lineRule="exact"/>
              <w:ind w:firstLine="420" w:firstLineChars="200"/>
              <w:rPr>
                <w:rFonts w:ascii="宋体" w:hAnsi="宋体" w:cs="宋体"/>
                <w:kern w:val="0"/>
                <w:szCs w:val="21"/>
              </w:rPr>
            </w:pPr>
            <w:r>
              <w:rPr>
                <w:rFonts w:hint="eastAsia" w:ascii="宋体" w:hAnsi="宋体" w:cs="宋体"/>
                <w:kern w:val="0"/>
                <w:szCs w:val="21"/>
              </w:rPr>
              <w:t>1. 纸质投标保函交纳形式及要求：</w:t>
            </w:r>
          </w:p>
          <w:p w14:paraId="76ADE1D6">
            <w:pPr>
              <w:snapToGrid w:val="0"/>
              <w:spacing w:line="400" w:lineRule="exact"/>
              <w:ind w:firstLine="420" w:firstLineChars="200"/>
              <w:rPr>
                <w:rFonts w:ascii="宋体" w:hAnsi="宋体" w:cs="宋体"/>
                <w:kern w:val="0"/>
                <w:szCs w:val="21"/>
              </w:rPr>
            </w:pPr>
            <w:r>
              <w:rPr>
                <w:rFonts w:hint="eastAsia" w:ascii="宋体" w:hAnsi="宋体" w:cs="宋体"/>
                <w:kern w:val="0"/>
                <w:szCs w:val="21"/>
              </w:rPr>
              <w:t>（1）缴纳形式：纸质投标保函包括银行保函、保证保险和担保保函，其示范文本详见第八章投标文件格式。投标人提交的纸质投标保函应严格执行其示范文本，不得对示范文本中的实质性内容进行修改。</w:t>
            </w:r>
          </w:p>
          <w:p w14:paraId="7579B66B">
            <w:pPr>
              <w:snapToGrid w:val="0"/>
              <w:spacing w:line="400" w:lineRule="exact"/>
              <w:ind w:firstLine="420" w:firstLineChars="200"/>
              <w:rPr>
                <w:rFonts w:ascii="宋体" w:hAnsi="宋体" w:cs="宋体"/>
                <w:kern w:val="0"/>
                <w:szCs w:val="21"/>
              </w:rPr>
            </w:pPr>
            <w:r>
              <w:rPr>
                <w:rFonts w:hint="eastAsia" w:ascii="宋体" w:hAnsi="宋体" w:cs="宋体"/>
                <w:kern w:val="0"/>
                <w:szCs w:val="21"/>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14:paraId="6B7807A0">
            <w:pPr>
              <w:snapToGrid w:val="0"/>
              <w:spacing w:line="400" w:lineRule="exact"/>
              <w:ind w:firstLine="420" w:firstLineChars="200"/>
              <w:rPr>
                <w:rFonts w:ascii="宋体" w:hAnsi="宋体" w:cs="宋体"/>
                <w:kern w:val="0"/>
                <w:szCs w:val="21"/>
              </w:rPr>
            </w:pPr>
            <w:r>
              <w:rPr>
                <w:rFonts w:hint="eastAsia" w:ascii="宋体" w:hAnsi="宋体" w:cs="宋体"/>
                <w:kern w:val="0"/>
                <w:szCs w:val="21"/>
              </w:rPr>
              <w:t>投标人须在投标文件资格审查部分“其他资料”中提供纸质投标保函扫描件，纸质投标保函原件应当于投标截止时间前在开标现场递交招标人保管。</w:t>
            </w:r>
          </w:p>
          <w:p w14:paraId="13AFA54B">
            <w:pPr>
              <w:snapToGrid w:val="0"/>
              <w:spacing w:line="400" w:lineRule="exact"/>
              <w:ind w:firstLine="420" w:firstLineChars="200"/>
              <w:rPr>
                <w:rFonts w:ascii="宋体" w:hAnsi="宋体" w:cs="宋体"/>
              </w:rPr>
            </w:pPr>
            <w:r>
              <w:rPr>
                <w:rFonts w:hint="eastAsia" w:ascii="宋体" w:hAnsi="宋体" w:cs="宋体"/>
              </w:rPr>
              <w:t>若投标截止时间延期，则纸质投标保函递交的截止时间和投标截止时间保持一致。</w:t>
            </w:r>
          </w:p>
          <w:p w14:paraId="5EBBF414">
            <w:pPr>
              <w:snapToGrid w:val="0"/>
              <w:spacing w:line="400" w:lineRule="exact"/>
              <w:ind w:firstLine="420" w:firstLineChars="200"/>
              <w:rPr>
                <w:rFonts w:ascii="宋体" w:hAnsi="宋体" w:cs="宋体"/>
              </w:rPr>
            </w:pPr>
            <w:r>
              <w:rPr>
                <w:rFonts w:hint="eastAsia" w:ascii="宋体" w:hAnsi="宋体" w:cs="宋体"/>
                <w:kern w:val="0"/>
                <w:szCs w:val="21"/>
              </w:rPr>
              <w:t>不满足上述要求的纸质投标保函无效。</w:t>
            </w:r>
          </w:p>
          <w:p w14:paraId="57220276">
            <w:pPr>
              <w:numPr>
                <w:ilvl w:val="0"/>
                <w:numId w:val="2"/>
              </w:numPr>
              <w:snapToGrid w:val="0"/>
              <w:spacing w:line="400" w:lineRule="exact"/>
              <w:ind w:firstLine="420" w:firstLineChars="200"/>
              <w:rPr>
                <w:rFonts w:ascii="宋体" w:hAnsi="宋体" w:cs="宋体"/>
              </w:rPr>
            </w:pPr>
            <w:r>
              <w:rPr>
                <w:rFonts w:hint="eastAsia" w:ascii="宋体" w:hAnsi="宋体" w:cs="宋体"/>
              </w:rPr>
              <w:t>以纸质投标保函形式担保的投标保证金的金额</w:t>
            </w:r>
            <w:r>
              <w:rPr>
                <w:rFonts w:hint="eastAsia" w:ascii="宋体" w:hAnsi="宋体" w:cs="宋体"/>
                <w:kern w:val="0"/>
                <w:szCs w:val="21"/>
              </w:rPr>
              <w:t>：</w:t>
            </w:r>
            <w:r>
              <w:rPr>
                <w:rFonts w:hint="eastAsia" w:ascii="宋体" w:hAnsi="宋体" w:cs="宋体"/>
                <w:kern w:val="0"/>
                <w:szCs w:val="21"/>
                <w:u w:val="single"/>
              </w:rPr>
              <w:t>4000</w:t>
            </w:r>
            <w:r>
              <w:rPr>
                <w:rFonts w:ascii="宋体" w:hAnsi="宋体" w:cs="宋体"/>
                <w:kern w:val="0"/>
                <w:szCs w:val="21"/>
                <w:u w:val="single"/>
              </w:rPr>
              <w:t>.00</w:t>
            </w:r>
            <w:r>
              <w:rPr>
                <w:rFonts w:hint="eastAsia" w:ascii="宋体" w:hAnsi="宋体" w:cs="宋体"/>
                <w:kern w:val="0"/>
                <w:szCs w:val="21"/>
              </w:rPr>
              <w:t>元整（人民币）</w:t>
            </w:r>
            <w:r>
              <w:rPr>
                <w:rFonts w:hint="eastAsia" w:ascii="宋体" w:hAnsi="宋体" w:cs="宋体"/>
              </w:rPr>
              <w:t>。</w:t>
            </w:r>
          </w:p>
          <w:p w14:paraId="308CA59C">
            <w:pPr>
              <w:snapToGrid w:val="0"/>
              <w:spacing w:line="400" w:lineRule="exact"/>
              <w:ind w:firstLine="420" w:firstLineChars="200"/>
              <w:rPr>
                <w:rFonts w:ascii="宋体" w:hAnsi="宋体" w:cs="宋体"/>
                <w:kern w:val="0"/>
                <w:szCs w:val="21"/>
              </w:rPr>
            </w:pPr>
            <w:r>
              <w:rPr>
                <w:rFonts w:hint="eastAsia" w:ascii="宋体" w:hAnsi="宋体" w:cs="宋体"/>
                <w:kern w:val="0"/>
                <w:szCs w:val="21"/>
              </w:rPr>
              <w:t>3. 投标人须</w:t>
            </w:r>
            <w:r>
              <w:rPr>
                <w:rFonts w:hint="eastAsia" w:ascii="宋体" w:hAnsi="宋体" w:cs="宋体"/>
              </w:rPr>
              <w:t>在</w:t>
            </w:r>
            <w:r>
              <w:rPr>
                <w:rFonts w:hint="eastAsia" w:ascii="宋体" w:hAnsi="宋体" w:cs="宋体"/>
                <w:kern w:val="0"/>
                <w:szCs w:val="21"/>
              </w:rPr>
              <w:t>纸质投标保函中注明在重庆市辖区范围内的核验地址和核验方式，并确保其递交的纸质投标保函能在开立人在渝的总部或者分支机构进行核验。</w:t>
            </w:r>
          </w:p>
          <w:p w14:paraId="176DDC0D">
            <w:pPr>
              <w:snapToGrid w:val="0"/>
              <w:spacing w:line="400" w:lineRule="exact"/>
              <w:ind w:firstLine="420" w:firstLineChars="200"/>
              <w:rPr>
                <w:rFonts w:ascii="宋体" w:hAnsi="宋体" w:cs="宋体"/>
                <w:kern w:val="0"/>
                <w:szCs w:val="21"/>
              </w:rPr>
            </w:pPr>
            <w:r>
              <w:rPr>
                <w:rFonts w:hint="eastAsia" w:ascii="宋体" w:hAnsi="宋体" w:cs="宋体"/>
                <w:kern w:val="0"/>
                <w:szCs w:val="21"/>
              </w:rPr>
              <w:t>4. 投标人在开标现场递交的纸质投标保函原件应与投标文件中提供的纸质投标保函扫描件一致，否则由评标委员会作否决投标处理。</w:t>
            </w:r>
          </w:p>
          <w:p w14:paraId="6C1BF2F8">
            <w:pPr>
              <w:snapToGrid w:val="0"/>
              <w:spacing w:line="400" w:lineRule="exact"/>
              <w:ind w:firstLine="420" w:firstLineChars="200"/>
              <w:rPr>
                <w:rFonts w:ascii="宋体" w:hAnsi="宋体" w:cs="宋体"/>
                <w:kern w:val="0"/>
                <w:szCs w:val="21"/>
              </w:rPr>
            </w:pPr>
            <w:r>
              <w:rPr>
                <w:rFonts w:hint="eastAsia" w:ascii="宋体" w:hAnsi="宋体" w:cs="宋体"/>
                <w:kern w:val="0"/>
                <w:szCs w:val="21"/>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cs="宋体"/>
                <w:szCs w:val="21"/>
              </w:rPr>
              <w:t>已取得中标候选人资格或中标资格的投标人，按相关规定取消中标候选人资格或中标资格</w:t>
            </w:r>
            <w:r>
              <w:rPr>
                <w:rFonts w:hint="eastAsia" w:ascii="宋体" w:hAnsi="宋体" w:cs="宋体"/>
                <w:kern w:val="0"/>
                <w:szCs w:val="21"/>
              </w:rPr>
              <w:t>，</w:t>
            </w:r>
            <w:r>
              <w:rPr>
                <w:rFonts w:hint="eastAsia" w:ascii="宋体" w:hAnsi="宋体" w:cs="宋体"/>
                <w:szCs w:val="21"/>
              </w:rPr>
              <w:t>给招标人造成损失的，投标人依法承担赔偿责任。</w:t>
            </w:r>
            <w:r>
              <w:rPr>
                <w:rFonts w:hint="eastAsia" w:ascii="宋体" w:hAnsi="宋体" w:cs="宋体"/>
                <w:kern w:val="0"/>
                <w:szCs w:val="21"/>
              </w:rPr>
              <w:t>投标人提交的纸质投标</w:t>
            </w:r>
            <w:r>
              <w:rPr>
                <w:rFonts w:hint="eastAsia" w:ascii="宋体" w:hAnsi="宋体" w:cs="宋体"/>
                <w:szCs w:val="21"/>
              </w:rPr>
              <w:t>保函涉及弄虚作假或其他违法违规情形的，移送相关部门处理</w:t>
            </w:r>
            <w:r>
              <w:rPr>
                <w:rFonts w:hint="eastAsia" w:ascii="宋体" w:hAnsi="宋体" w:cs="宋体"/>
                <w:kern w:val="0"/>
                <w:szCs w:val="21"/>
              </w:rPr>
              <w:t>。</w:t>
            </w:r>
          </w:p>
          <w:p w14:paraId="6CDD6662">
            <w:pPr>
              <w:snapToGrid w:val="0"/>
              <w:spacing w:line="400" w:lineRule="exact"/>
              <w:ind w:firstLine="420" w:firstLineChars="200"/>
              <w:rPr>
                <w:rFonts w:ascii="宋体" w:hAnsi="宋体" w:cs="宋体"/>
                <w:kern w:val="0"/>
                <w:szCs w:val="21"/>
              </w:rPr>
            </w:pPr>
            <w:r>
              <w:rPr>
                <w:rFonts w:hint="eastAsia" w:ascii="宋体" w:hAnsi="宋体" w:cs="宋体"/>
                <w:kern w:val="0"/>
                <w:szCs w:val="21"/>
              </w:rPr>
              <w:t>二、纸质投标保函的退还、注销</w:t>
            </w:r>
          </w:p>
          <w:p w14:paraId="0EB3AE00">
            <w:pPr>
              <w:snapToGrid w:val="0"/>
              <w:spacing w:line="400" w:lineRule="exact"/>
              <w:ind w:firstLine="420" w:firstLineChars="200"/>
              <w:rPr>
                <w:rFonts w:ascii="宋体" w:hAnsi="宋体" w:cs="宋体"/>
                <w:kern w:val="0"/>
                <w:szCs w:val="21"/>
              </w:rPr>
            </w:pPr>
            <w:r>
              <w:rPr>
                <w:rFonts w:hint="eastAsia" w:ascii="宋体" w:hAnsi="宋体" w:cs="宋体"/>
                <w:kern w:val="0"/>
                <w:szCs w:val="21"/>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14:paraId="2540F757">
            <w:pPr>
              <w:pStyle w:val="8"/>
              <w:spacing w:after="0" w:line="360" w:lineRule="auto"/>
              <w:ind w:firstLine="420" w:firstLineChars="200"/>
              <w:rPr>
                <w:rFonts w:ascii="宋体" w:hAnsi="宋体" w:cs="宋体"/>
                <w:kern w:val="0"/>
                <w:szCs w:val="21"/>
              </w:rPr>
            </w:pPr>
            <w:r>
              <w:rPr>
                <w:rFonts w:hint="eastAsia" w:ascii="宋体" w:hAnsi="宋体" w:cs="宋体"/>
                <w:kern w:val="0"/>
                <w:szCs w:val="21"/>
              </w:rPr>
              <w:t>招标人应在法定时间内和中标人签订合同，并同时书面通知相关金融机构向中标人和其他中标候选人注销纸质投标保函。具体注销事宜由投标人与金融机构协商。</w:t>
            </w:r>
          </w:p>
        </w:tc>
      </w:tr>
      <w:tr w14:paraId="427A02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BD9B7CA">
            <w:pPr>
              <w:snapToGrid w:val="0"/>
              <w:spacing w:line="400" w:lineRule="exact"/>
              <w:jc w:val="center"/>
              <w:rPr>
                <w:rFonts w:ascii="宋体" w:hAnsi="宋体" w:cs="宋体"/>
                <w:kern w:val="0"/>
                <w:szCs w:val="21"/>
              </w:rPr>
            </w:pPr>
            <w:r>
              <w:rPr>
                <w:rFonts w:hint="eastAsia" w:ascii="宋体" w:hAnsi="宋体" w:cs="宋体"/>
                <w:kern w:val="0"/>
                <w:szCs w:val="21"/>
              </w:rPr>
              <w:t>3.5.1</w:t>
            </w:r>
          </w:p>
        </w:tc>
        <w:tc>
          <w:tcPr>
            <w:tcW w:w="1964" w:type="dxa"/>
            <w:vAlign w:val="center"/>
          </w:tcPr>
          <w:p w14:paraId="1C33C612">
            <w:pPr>
              <w:snapToGrid w:val="0"/>
              <w:spacing w:line="400" w:lineRule="exact"/>
              <w:jc w:val="center"/>
              <w:rPr>
                <w:rFonts w:ascii="宋体" w:hAnsi="宋体" w:cs="宋体"/>
                <w:kern w:val="0"/>
                <w:szCs w:val="21"/>
              </w:rPr>
            </w:pPr>
            <w:r>
              <w:rPr>
                <w:rFonts w:hint="eastAsia" w:ascii="宋体" w:hAnsi="宋体" w:cs="宋体"/>
                <w:kern w:val="0"/>
                <w:szCs w:val="21"/>
              </w:rPr>
              <w:t>资格审查资料</w:t>
            </w:r>
          </w:p>
        </w:tc>
        <w:tc>
          <w:tcPr>
            <w:tcW w:w="6372" w:type="dxa"/>
            <w:vAlign w:val="center"/>
          </w:tcPr>
          <w:p w14:paraId="640552C2">
            <w:pPr>
              <w:snapToGrid w:val="0"/>
              <w:spacing w:after="93" w:afterLines="30" w:line="400" w:lineRule="exact"/>
              <w:ind w:firstLine="420" w:firstLineChars="200"/>
              <w:rPr>
                <w:rFonts w:ascii="宋体" w:hAnsi="宋体" w:cs="宋体"/>
                <w:kern w:val="0"/>
                <w:szCs w:val="21"/>
              </w:rPr>
            </w:pPr>
            <w:r>
              <w:rPr>
                <w:rFonts w:hint="eastAsia" w:ascii="宋体" w:hAnsi="宋体" w:cs="宋体"/>
                <w:kern w:val="0"/>
                <w:szCs w:val="21"/>
              </w:rPr>
              <w:t>按1.4.1要求提供</w:t>
            </w:r>
          </w:p>
        </w:tc>
      </w:tr>
      <w:tr w14:paraId="36D05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8F465AD">
            <w:pPr>
              <w:snapToGrid w:val="0"/>
              <w:spacing w:line="400" w:lineRule="exact"/>
              <w:jc w:val="center"/>
              <w:rPr>
                <w:rFonts w:ascii="宋体" w:hAnsi="宋体" w:cs="宋体"/>
                <w:kern w:val="0"/>
                <w:szCs w:val="21"/>
              </w:rPr>
            </w:pPr>
            <w:r>
              <w:rPr>
                <w:rFonts w:hint="eastAsia" w:ascii="宋体" w:hAnsi="宋体" w:cs="宋体"/>
                <w:kern w:val="0"/>
                <w:szCs w:val="21"/>
              </w:rPr>
              <w:t>3.5.2</w:t>
            </w:r>
          </w:p>
        </w:tc>
        <w:tc>
          <w:tcPr>
            <w:tcW w:w="1964" w:type="dxa"/>
            <w:vAlign w:val="center"/>
          </w:tcPr>
          <w:p w14:paraId="45945D48">
            <w:pPr>
              <w:snapToGrid w:val="0"/>
              <w:spacing w:line="400" w:lineRule="exact"/>
              <w:jc w:val="center"/>
              <w:rPr>
                <w:rFonts w:ascii="宋体" w:hAnsi="宋体" w:cs="宋体"/>
                <w:kern w:val="0"/>
                <w:szCs w:val="21"/>
              </w:rPr>
            </w:pPr>
            <w:r>
              <w:rPr>
                <w:rFonts w:hint="eastAsia" w:ascii="宋体" w:hAnsi="宋体" w:cs="宋体"/>
                <w:kern w:val="0"/>
                <w:szCs w:val="21"/>
              </w:rPr>
              <w:t>近年财务状况</w:t>
            </w:r>
          </w:p>
          <w:p w14:paraId="38167DF0">
            <w:pPr>
              <w:snapToGrid w:val="0"/>
              <w:spacing w:line="400" w:lineRule="exact"/>
              <w:jc w:val="center"/>
              <w:rPr>
                <w:rFonts w:ascii="宋体" w:hAnsi="宋体" w:cs="宋体"/>
                <w:kern w:val="0"/>
                <w:szCs w:val="21"/>
              </w:rPr>
            </w:pPr>
            <w:r>
              <w:rPr>
                <w:rFonts w:hint="eastAsia" w:ascii="宋体" w:hAnsi="宋体" w:cs="宋体"/>
                <w:kern w:val="0"/>
                <w:szCs w:val="21"/>
              </w:rPr>
              <w:t>的年份要求</w:t>
            </w:r>
          </w:p>
        </w:tc>
        <w:tc>
          <w:tcPr>
            <w:tcW w:w="6372" w:type="dxa"/>
            <w:vAlign w:val="center"/>
          </w:tcPr>
          <w:p w14:paraId="445191C2">
            <w:pPr>
              <w:snapToGrid w:val="0"/>
              <w:spacing w:after="93" w:afterLines="30" w:line="400" w:lineRule="exact"/>
              <w:ind w:firstLine="420" w:firstLineChars="200"/>
              <w:rPr>
                <w:rFonts w:ascii="宋体" w:hAnsi="宋体" w:cs="宋体"/>
                <w:szCs w:val="21"/>
              </w:rPr>
            </w:pPr>
            <w:r>
              <w:rPr>
                <w:rFonts w:hint="eastAsia" w:ascii="宋体" w:hAnsi="宋体" w:cs="宋体"/>
                <w:kern w:val="0"/>
                <w:szCs w:val="21"/>
              </w:rPr>
              <w:t>按1.4.1要求提供</w:t>
            </w:r>
          </w:p>
        </w:tc>
      </w:tr>
      <w:tr w14:paraId="3E09A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A56FAB7">
            <w:pPr>
              <w:snapToGrid w:val="0"/>
              <w:spacing w:line="400" w:lineRule="exact"/>
              <w:jc w:val="center"/>
              <w:rPr>
                <w:rFonts w:ascii="宋体" w:hAnsi="宋体" w:cs="宋体"/>
                <w:kern w:val="0"/>
                <w:szCs w:val="21"/>
              </w:rPr>
            </w:pPr>
            <w:r>
              <w:rPr>
                <w:rFonts w:hint="eastAsia" w:ascii="宋体" w:hAnsi="宋体" w:cs="宋体"/>
                <w:kern w:val="0"/>
                <w:szCs w:val="21"/>
              </w:rPr>
              <w:t>3.6</w:t>
            </w:r>
          </w:p>
        </w:tc>
        <w:tc>
          <w:tcPr>
            <w:tcW w:w="1964" w:type="dxa"/>
            <w:vAlign w:val="center"/>
          </w:tcPr>
          <w:p w14:paraId="452F1988">
            <w:pPr>
              <w:snapToGrid w:val="0"/>
              <w:spacing w:line="400" w:lineRule="exact"/>
              <w:jc w:val="center"/>
              <w:rPr>
                <w:rFonts w:ascii="宋体" w:hAnsi="宋体" w:cs="宋体"/>
                <w:kern w:val="0"/>
                <w:szCs w:val="21"/>
              </w:rPr>
            </w:pPr>
            <w:r>
              <w:rPr>
                <w:rFonts w:hint="eastAsia" w:ascii="宋体" w:hAnsi="宋体" w:cs="宋体"/>
                <w:kern w:val="0"/>
                <w:szCs w:val="21"/>
              </w:rPr>
              <w:t>是否允许递交</w:t>
            </w:r>
          </w:p>
          <w:p w14:paraId="4A404007">
            <w:pPr>
              <w:snapToGrid w:val="0"/>
              <w:spacing w:after="93" w:afterLines="30" w:line="400" w:lineRule="exact"/>
              <w:jc w:val="center"/>
              <w:rPr>
                <w:rFonts w:ascii="宋体" w:hAnsi="宋体" w:cs="宋体"/>
                <w:kern w:val="0"/>
                <w:szCs w:val="21"/>
              </w:rPr>
            </w:pPr>
            <w:r>
              <w:rPr>
                <w:rFonts w:hint="eastAsia" w:ascii="宋体" w:hAnsi="宋体" w:cs="宋体"/>
                <w:kern w:val="0"/>
                <w:szCs w:val="21"/>
              </w:rPr>
              <w:t>备选竞选方案</w:t>
            </w:r>
          </w:p>
        </w:tc>
        <w:tc>
          <w:tcPr>
            <w:tcW w:w="6372" w:type="dxa"/>
            <w:vAlign w:val="center"/>
          </w:tcPr>
          <w:p w14:paraId="55CC3E0E">
            <w:pPr>
              <w:snapToGrid w:val="0"/>
              <w:spacing w:line="400" w:lineRule="exact"/>
              <w:ind w:firstLine="420" w:firstLineChars="200"/>
              <w:rPr>
                <w:rFonts w:ascii="宋体" w:hAnsi="宋体" w:cs="宋体"/>
                <w:kern w:val="0"/>
                <w:szCs w:val="21"/>
              </w:rPr>
            </w:pPr>
            <w:r>
              <w:rPr>
                <w:rFonts w:hint="eastAsia" w:ascii="MS Gothic" w:hAnsi="MS Gothic" w:eastAsia="MS Gothic" w:cs="MS Gothic"/>
                <w:kern w:val="0"/>
                <w:szCs w:val="21"/>
              </w:rPr>
              <w:t>☑</w:t>
            </w:r>
            <w:r>
              <w:rPr>
                <w:rFonts w:hint="eastAsia" w:ascii="宋体" w:hAnsi="宋体" w:cs="宋体"/>
                <w:kern w:val="0"/>
                <w:szCs w:val="21"/>
              </w:rPr>
              <w:t>不允许</w:t>
            </w:r>
          </w:p>
        </w:tc>
      </w:tr>
      <w:tr w14:paraId="032D2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32B50A3">
            <w:pPr>
              <w:snapToGrid w:val="0"/>
              <w:spacing w:line="400" w:lineRule="exact"/>
              <w:jc w:val="center"/>
              <w:rPr>
                <w:rFonts w:ascii="宋体" w:hAnsi="宋体" w:cs="宋体"/>
                <w:kern w:val="0"/>
                <w:szCs w:val="21"/>
              </w:rPr>
            </w:pPr>
            <w:r>
              <w:rPr>
                <w:rFonts w:hint="eastAsia" w:ascii="宋体" w:hAnsi="宋体" w:cs="宋体"/>
                <w:kern w:val="0"/>
                <w:szCs w:val="21"/>
              </w:rPr>
              <w:t>3.7.3</w:t>
            </w:r>
          </w:p>
        </w:tc>
        <w:tc>
          <w:tcPr>
            <w:tcW w:w="1964" w:type="dxa"/>
            <w:vAlign w:val="center"/>
          </w:tcPr>
          <w:p w14:paraId="231A3DC3">
            <w:pPr>
              <w:snapToGrid w:val="0"/>
              <w:spacing w:line="400" w:lineRule="exact"/>
              <w:jc w:val="center"/>
              <w:rPr>
                <w:rFonts w:ascii="宋体" w:hAnsi="宋体" w:cs="宋体"/>
                <w:kern w:val="0"/>
                <w:szCs w:val="21"/>
              </w:rPr>
            </w:pPr>
            <w:r>
              <w:rPr>
                <w:rFonts w:hint="eastAsia" w:ascii="宋体" w:hAnsi="宋体" w:cs="宋体"/>
                <w:kern w:val="0"/>
                <w:szCs w:val="21"/>
              </w:rPr>
              <w:t>签字盖章要求</w:t>
            </w:r>
          </w:p>
        </w:tc>
        <w:tc>
          <w:tcPr>
            <w:tcW w:w="6372" w:type="dxa"/>
            <w:vAlign w:val="center"/>
          </w:tcPr>
          <w:p w14:paraId="0E0C5C33">
            <w:pPr>
              <w:snapToGrid w:val="0"/>
              <w:spacing w:line="400" w:lineRule="exact"/>
              <w:ind w:firstLine="420" w:firstLineChars="200"/>
              <w:rPr>
                <w:rFonts w:ascii="宋体" w:hAnsi="宋体" w:cs="宋体"/>
                <w:szCs w:val="21"/>
              </w:rPr>
            </w:pPr>
            <w:r>
              <w:rPr>
                <w:rFonts w:hint="eastAsia" w:ascii="宋体" w:hAnsi="宋体" w:cs="宋体"/>
                <w:szCs w:val="21"/>
              </w:rPr>
              <w:t>竞选文件应用不褪色的材料书写或打印，并由竞选人的法定代表人或其委托代理人在比选文件规定的位置按比选文件要求签字或盖章、盖单位公章。委托代理人签字的，竞选文件应附法定代表人签署的授权委托书。竞选文件应尽量避免涂改、行间插字或删除。如果出现上述情况，改动之处应加盖单位公章或由竞选人的法定代表人或其授权的代理人签字确认。</w:t>
            </w:r>
          </w:p>
          <w:p w14:paraId="0D644F0C">
            <w:pPr>
              <w:snapToGrid w:val="0"/>
              <w:spacing w:line="400" w:lineRule="exact"/>
              <w:ind w:firstLine="420" w:firstLineChars="200"/>
              <w:rPr>
                <w:rFonts w:ascii="宋体" w:hAnsi="宋体" w:cs="宋体"/>
                <w:i/>
                <w:szCs w:val="21"/>
              </w:rPr>
            </w:pPr>
            <w:r>
              <w:rPr>
                <w:rFonts w:hint="eastAsia" w:ascii="宋体" w:hAnsi="宋体" w:cs="宋体"/>
                <w:szCs w:val="21"/>
              </w:rPr>
              <w:t>未按上述规定执行的，交由评选委员会作否决竞选处理。</w:t>
            </w:r>
          </w:p>
        </w:tc>
      </w:tr>
      <w:tr w14:paraId="254117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DD84DA9">
            <w:pPr>
              <w:snapToGrid w:val="0"/>
              <w:spacing w:line="400" w:lineRule="exact"/>
              <w:jc w:val="center"/>
              <w:rPr>
                <w:rFonts w:ascii="宋体" w:hAnsi="宋体" w:cs="宋体"/>
                <w:kern w:val="0"/>
                <w:szCs w:val="21"/>
              </w:rPr>
            </w:pPr>
            <w:r>
              <w:rPr>
                <w:rFonts w:hint="eastAsia" w:ascii="宋体" w:hAnsi="宋体" w:cs="宋体"/>
                <w:kern w:val="0"/>
                <w:szCs w:val="21"/>
              </w:rPr>
              <w:t>3.7.4</w:t>
            </w:r>
          </w:p>
        </w:tc>
        <w:tc>
          <w:tcPr>
            <w:tcW w:w="1964" w:type="dxa"/>
            <w:vAlign w:val="center"/>
          </w:tcPr>
          <w:p w14:paraId="3C9D1959">
            <w:pPr>
              <w:snapToGrid w:val="0"/>
              <w:spacing w:line="400" w:lineRule="exact"/>
              <w:rPr>
                <w:rFonts w:ascii="宋体" w:hAnsi="宋体" w:cs="宋体"/>
                <w:spacing w:val="-6"/>
                <w:kern w:val="0"/>
                <w:szCs w:val="21"/>
              </w:rPr>
            </w:pPr>
            <w:r>
              <w:rPr>
                <w:rFonts w:hint="eastAsia" w:ascii="宋体" w:hAnsi="宋体" w:cs="宋体"/>
                <w:spacing w:val="-6"/>
                <w:kern w:val="0"/>
                <w:szCs w:val="21"/>
              </w:rPr>
              <w:t>竞选文件的份数</w:t>
            </w:r>
          </w:p>
        </w:tc>
        <w:tc>
          <w:tcPr>
            <w:tcW w:w="6372" w:type="dxa"/>
            <w:vAlign w:val="center"/>
          </w:tcPr>
          <w:p w14:paraId="0C7D3E63">
            <w:pPr>
              <w:pStyle w:val="46"/>
              <w:snapToGrid w:val="0"/>
              <w:spacing w:before="105" w:line="400" w:lineRule="exact"/>
              <w:ind w:right="74" w:firstLine="420" w:firstLineChars="200"/>
              <w:rPr>
                <w:rFonts w:cs="宋体"/>
                <w:kern w:val="0"/>
                <w:szCs w:val="21"/>
              </w:rPr>
            </w:pPr>
            <w:r>
              <w:rPr>
                <w:rStyle w:val="47"/>
                <w:rFonts w:hint="eastAsia"/>
              </w:rPr>
              <w:t>竞选文件</w:t>
            </w:r>
            <w:r>
              <w:rPr>
                <w:rStyle w:val="47"/>
              </w:rPr>
              <w:t>正本</w:t>
            </w:r>
            <w:r>
              <w:rPr>
                <w:rStyle w:val="47"/>
                <w:rFonts w:hint="eastAsia"/>
              </w:rPr>
              <w:t>一</w:t>
            </w:r>
            <w:r>
              <w:rPr>
                <w:rStyle w:val="47"/>
              </w:rPr>
              <w:t>份</w:t>
            </w:r>
            <w:r>
              <w:rPr>
                <w:rStyle w:val="47"/>
                <w:rFonts w:hint="eastAsia"/>
              </w:rPr>
              <w:t>，副本</w:t>
            </w:r>
            <w:r>
              <w:rPr>
                <w:rStyle w:val="47"/>
                <w:rFonts w:hint="eastAsia"/>
                <w:lang w:val="en-US"/>
              </w:rPr>
              <w:t>2份，</w:t>
            </w:r>
            <w:r>
              <w:rPr>
                <w:rStyle w:val="47"/>
              </w:rPr>
              <w:t>电子文档（U盘</w:t>
            </w:r>
            <w:r>
              <w:rPr>
                <w:rStyle w:val="47"/>
                <w:rFonts w:hint="eastAsia"/>
              </w:rPr>
              <w:t>或光盘为载体）</w:t>
            </w:r>
            <w:r>
              <w:rPr>
                <w:rStyle w:val="47"/>
              </w:rPr>
              <w:t>1</w:t>
            </w:r>
            <w:r>
              <w:rPr>
                <w:rStyle w:val="47"/>
                <w:rFonts w:hint="eastAsia"/>
              </w:rPr>
              <w:t>个</w:t>
            </w:r>
            <w:r>
              <w:rPr>
                <w:rStyle w:val="47"/>
              </w:rPr>
              <w:t>，包含</w:t>
            </w:r>
            <w:r>
              <w:rPr>
                <w:rStyle w:val="47"/>
                <w:rFonts w:hint="eastAsia"/>
              </w:rPr>
              <w:t>竞选函</w:t>
            </w:r>
            <w:r>
              <w:rPr>
                <w:rStyle w:val="47"/>
              </w:rPr>
              <w:t>部分、资格审查部分、技术部分的所有资料的电子版，U盘需标明项目名称、</w:t>
            </w:r>
            <w:r>
              <w:rPr>
                <w:rStyle w:val="47"/>
                <w:rFonts w:hint="eastAsia"/>
              </w:rPr>
              <w:t>竞选单位</w:t>
            </w:r>
            <w:r>
              <w:rPr>
                <w:rStyle w:val="47"/>
              </w:rPr>
              <w:t>名称并加盖公章），装入</w:t>
            </w:r>
            <w:r>
              <w:rPr>
                <w:rStyle w:val="47"/>
                <w:rFonts w:hint="eastAsia"/>
              </w:rPr>
              <w:t>竞选函</w:t>
            </w:r>
            <w:r>
              <w:rPr>
                <w:rStyle w:val="47"/>
              </w:rPr>
              <w:t>袋中提交。</w:t>
            </w:r>
          </w:p>
        </w:tc>
      </w:tr>
      <w:tr w14:paraId="1ECA0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9B71BDD">
            <w:pPr>
              <w:snapToGrid w:val="0"/>
              <w:spacing w:line="400" w:lineRule="exact"/>
              <w:jc w:val="center"/>
              <w:rPr>
                <w:rFonts w:ascii="宋体" w:hAnsi="宋体" w:cs="宋体"/>
                <w:kern w:val="0"/>
                <w:szCs w:val="21"/>
              </w:rPr>
            </w:pPr>
            <w:r>
              <w:rPr>
                <w:rFonts w:hint="eastAsia" w:ascii="宋体" w:hAnsi="宋体" w:cs="宋体"/>
                <w:kern w:val="0"/>
                <w:szCs w:val="21"/>
              </w:rPr>
              <w:t>3.7.5</w:t>
            </w:r>
          </w:p>
        </w:tc>
        <w:tc>
          <w:tcPr>
            <w:tcW w:w="1964" w:type="dxa"/>
            <w:vAlign w:val="center"/>
          </w:tcPr>
          <w:p w14:paraId="2F593316">
            <w:pPr>
              <w:snapToGrid w:val="0"/>
              <w:spacing w:line="400" w:lineRule="exact"/>
              <w:jc w:val="center"/>
              <w:rPr>
                <w:rFonts w:ascii="宋体" w:hAnsi="宋体" w:cs="宋体"/>
                <w:kern w:val="0"/>
                <w:szCs w:val="21"/>
              </w:rPr>
            </w:pPr>
            <w:r>
              <w:rPr>
                <w:rFonts w:hint="eastAsia" w:ascii="宋体" w:hAnsi="宋体" w:cs="宋体"/>
                <w:kern w:val="0"/>
                <w:szCs w:val="21"/>
              </w:rPr>
              <w:t>装订要求</w:t>
            </w:r>
          </w:p>
        </w:tc>
        <w:tc>
          <w:tcPr>
            <w:tcW w:w="6372" w:type="dxa"/>
            <w:vAlign w:val="center"/>
          </w:tcPr>
          <w:p w14:paraId="2AD545E5">
            <w:pPr>
              <w:adjustRightInd w:val="0"/>
              <w:snapToGrid w:val="0"/>
              <w:spacing w:line="360" w:lineRule="auto"/>
              <w:ind w:firstLine="420" w:firstLineChars="200"/>
            </w:pPr>
            <w:r>
              <w:rPr>
                <w:rFonts w:hint="eastAsia"/>
              </w:rPr>
              <w:t>1、资格审查资料、竞选函部分、技术部分资料各自分别装订成册。</w:t>
            </w:r>
          </w:p>
          <w:p w14:paraId="68E5B32C">
            <w:pPr>
              <w:adjustRightInd w:val="0"/>
              <w:snapToGrid w:val="0"/>
              <w:spacing w:line="360" w:lineRule="auto"/>
              <w:ind w:firstLine="420" w:firstLineChars="200"/>
            </w:pPr>
            <w:r>
              <w:rPr>
                <w:rFonts w:hint="eastAsia"/>
              </w:rPr>
              <w:t>2、装订</w:t>
            </w:r>
          </w:p>
          <w:p w14:paraId="5BDC8824">
            <w:pPr>
              <w:adjustRightInd w:val="0"/>
              <w:snapToGrid w:val="0"/>
              <w:spacing w:line="360" w:lineRule="auto"/>
              <w:ind w:firstLine="420" w:firstLineChars="200"/>
            </w:pPr>
            <w:r>
              <w:rPr>
                <w:rFonts w:hint="eastAsia"/>
              </w:rPr>
              <w:t>（1）资格审查资料的装订要求</w:t>
            </w:r>
          </w:p>
          <w:p w14:paraId="54F8FE35">
            <w:pPr>
              <w:adjustRightInd w:val="0"/>
              <w:snapToGrid w:val="0"/>
              <w:spacing w:line="360" w:lineRule="auto"/>
              <w:ind w:firstLine="420" w:firstLineChars="200"/>
            </w:pPr>
            <w:r>
              <w:rPr>
                <w:rFonts w:hint="eastAsia"/>
              </w:rPr>
              <w:t>按照第五章规定格式装订成册。</w:t>
            </w:r>
          </w:p>
          <w:p w14:paraId="37CF7A46">
            <w:pPr>
              <w:adjustRightInd w:val="0"/>
              <w:snapToGrid w:val="0"/>
              <w:spacing w:line="360" w:lineRule="auto"/>
              <w:ind w:firstLine="420" w:firstLineChars="200"/>
            </w:pPr>
            <w:r>
              <w:rPr>
                <w:rFonts w:hint="eastAsia"/>
              </w:rPr>
              <w:t>（2）竞选函部分资料的装订要求</w:t>
            </w:r>
          </w:p>
          <w:p w14:paraId="5755C416">
            <w:pPr>
              <w:adjustRightInd w:val="0"/>
              <w:snapToGrid w:val="0"/>
              <w:spacing w:line="360" w:lineRule="auto"/>
              <w:ind w:firstLine="420" w:firstLineChars="200"/>
            </w:pPr>
            <w:r>
              <w:rPr>
                <w:rFonts w:hint="eastAsia"/>
              </w:rPr>
              <w:t>按照第五章规定格式装订成册。</w:t>
            </w:r>
          </w:p>
          <w:p w14:paraId="77CDCD6C">
            <w:pPr>
              <w:numPr>
                <w:ilvl w:val="0"/>
                <w:numId w:val="3"/>
              </w:numPr>
              <w:snapToGrid w:val="0"/>
              <w:spacing w:line="360" w:lineRule="auto"/>
              <w:ind w:firstLine="420" w:firstLineChars="200"/>
            </w:pPr>
            <w:r>
              <w:rPr>
                <w:rFonts w:hint="eastAsia"/>
              </w:rPr>
              <w:t>技术部分的装订要求</w:t>
            </w:r>
          </w:p>
          <w:p w14:paraId="50FA43D7">
            <w:pPr>
              <w:snapToGrid w:val="0"/>
              <w:spacing w:line="360" w:lineRule="auto"/>
              <w:ind w:firstLine="420" w:firstLineChars="200"/>
            </w:pPr>
            <w:r>
              <w:rPr>
                <w:rFonts w:hint="eastAsia"/>
              </w:rPr>
              <w:t>按照第五章规定格式装订成册。(技术部分采用明标评审，原则上不得超过200页)</w:t>
            </w:r>
          </w:p>
        </w:tc>
      </w:tr>
      <w:tr w14:paraId="34514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3613271">
            <w:pPr>
              <w:snapToGrid w:val="0"/>
              <w:spacing w:line="400" w:lineRule="exact"/>
              <w:jc w:val="center"/>
              <w:rPr>
                <w:rFonts w:ascii="宋体" w:hAnsi="宋体" w:cs="宋体"/>
                <w:kern w:val="0"/>
                <w:szCs w:val="21"/>
              </w:rPr>
            </w:pPr>
            <w:r>
              <w:rPr>
                <w:rFonts w:hint="eastAsia" w:ascii="宋体" w:hAnsi="宋体" w:cs="宋体"/>
                <w:kern w:val="0"/>
                <w:szCs w:val="21"/>
              </w:rPr>
              <w:t>4.1.1</w:t>
            </w:r>
          </w:p>
        </w:tc>
        <w:tc>
          <w:tcPr>
            <w:tcW w:w="1964" w:type="dxa"/>
            <w:vAlign w:val="center"/>
          </w:tcPr>
          <w:p w14:paraId="7C83E3A9">
            <w:pPr>
              <w:snapToGrid w:val="0"/>
              <w:spacing w:line="400" w:lineRule="exact"/>
              <w:jc w:val="center"/>
              <w:rPr>
                <w:rFonts w:ascii="宋体" w:hAnsi="宋体" w:cs="宋体"/>
                <w:spacing w:val="-6"/>
                <w:kern w:val="0"/>
                <w:szCs w:val="21"/>
              </w:rPr>
            </w:pPr>
            <w:r>
              <w:rPr>
                <w:rFonts w:hint="eastAsia" w:ascii="宋体" w:hAnsi="宋体" w:cs="宋体"/>
                <w:spacing w:val="-6"/>
                <w:kern w:val="0"/>
                <w:szCs w:val="21"/>
              </w:rPr>
              <w:t>竞选文件的密封</w:t>
            </w:r>
          </w:p>
        </w:tc>
        <w:tc>
          <w:tcPr>
            <w:tcW w:w="6372" w:type="dxa"/>
            <w:vAlign w:val="center"/>
          </w:tcPr>
          <w:p w14:paraId="72E9ED84">
            <w:pPr>
              <w:adjustRightInd w:val="0"/>
              <w:snapToGrid w:val="0"/>
              <w:spacing w:line="400" w:lineRule="exact"/>
              <w:ind w:firstLine="420" w:firstLineChars="200"/>
              <w:rPr>
                <w:rFonts w:ascii="宋体" w:hAnsi="宋体" w:cs="宋体"/>
                <w:szCs w:val="21"/>
              </w:rPr>
            </w:pPr>
            <w:r>
              <w:rPr>
                <w:rFonts w:hint="eastAsia" w:ascii="宋体" w:hAnsi="宋体" w:cs="宋体"/>
                <w:szCs w:val="21"/>
              </w:rPr>
              <w:t>竞选文件的正本、副本、电子文档均应密封送达递交地点，应按本表第4.1.2项的规定在封套上写明相应内容。若正本、副本、电子文档分别进行密封的，还应在封套上注明“正本”、“副本”、“电子文档”字样。封套的封口处应加盖竞选人公章或由法定代表人授权代表签字。</w:t>
            </w:r>
          </w:p>
          <w:p w14:paraId="20ACBD0A">
            <w:pPr>
              <w:adjustRightInd w:val="0"/>
              <w:snapToGrid w:val="0"/>
              <w:spacing w:line="400" w:lineRule="exact"/>
              <w:ind w:firstLine="420" w:firstLineChars="200"/>
              <w:rPr>
                <w:rFonts w:ascii="宋体" w:hAnsi="宋体" w:cs="宋体"/>
                <w:szCs w:val="21"/>
              </w:rPr>
            </w:pPr>
            <w:r>
              <w:rPr>
                <w:rFonts w:hint="eastAsia" w:ascii="宋体" w:hAnsi="宋体" w:cs="宋体"/>
                <w:szCs w:val="21"/>
              </w:rPr>
              <w:t>如果未按上述规定进行密封和标记，比选代理机构对竞选文件误投、丢失或提前拆封不负责任。</w:t>
            </w:r>
          </w:p>
        </w:tc>
      </w:tr>
      <w:tr w14:paraId="0B9E9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B4A90CA">
            <w:pPr>
              <w:snapToGrid w:val="0"/>
              <w:spacing w:line="400" w:lineRule="exact"/>
              <w:jc w:val="center"/>
              <w:rPr>
                <w:rFonts w:ascii="宋体" w:hAnsi="宋体" w:cs="宋体"/>
                <w:kern w:val="0"/>
                <w:szCs w:val="21"/>
              </w:rPr>
            </w:pPr>
            <w:r>
              <w:rPr>
                <w:rFonts w:hint="eastAsia" w:ascii="宋体" w:hAnsi="宋体" w:cs="宋体"/>
                <w:kern w:val="0"/>
                <w:szCs w:val="21"/>
              </w:rPr>
              <w:t>4.1.2</w:t>
            </w:r>
          </w:p>
        </w:tc>
        <w:tc>
          <w:tcPr>
            <w:tcW w:w="1964" w:type="dxa"/>
            <w:vAlign w:val="center"/>
          </w:tcPr>
          <w:p w14:paraId="268E922D">
            <w:pPr>
              <w:snapToGrid w:val="0"/>
              <w:spacing w:line="400" w:lineRule="exact"/>
              <w:jc w:val="center"/>
              <w:rPr>
                <w:rFonts w:ascii="宋体" w:hAnsi="宋体" w:cs="宋体"/>
                <w:kern w:val="0"/>
                <w:szCs w:val="21"/>
              </w:rPr>
            </w:pPr>
            <w:r>
              <w:rPr>
                <w:rFonts w:hint="eastAsia" w:ascii="宋体" w:hAnsi="宋体" w:cs="宋体"/>
                <w:kern w:val="0"/>
                <w:szCs w:val="21"/>
              </w:rPr>
              <w:t>封套上写明</w:t>
            </w:r>
          </w:p>
        </w:tc>
        <w:tc>
          <w:tcPr>
            <w:tcW w:w="6372" w:type="dxa"/>
            <w:vAlign w:val="center"/>
          </w:tcPr>
          <w:p w14:paraId="11BC4036">
            <w:pPr>
              <w:snapToGrid w:val="0"/>
              <w:spacing w:line="400" w:lineRule="exact"/>
              <w:ind w:firstLine="420" w:firstLineChars="200"/>
              <w:rPr>
                <w:rFonts w:ascii="宋体" w:hAnsi="宋体" w:cs="宋体"/>
                <w:kern w:val="0"/>
                <w:szCs w:val="21"/>
              </w:rPr>
            </w:pPr>
            <w:r>
              <w:rPr>
                <w:rFonts w:hint="eastAsia" w:ascii="宋体" w:hAnsi="宋体" w:cs="宋体"/>
                <w:kern w:val="0"/>
                <w:szCs w:val="21"/>
              </w:rPr>
              <w:t>应在封套上写明如下内容：</w:t>
            </w:r>
          </w:p>
          <w:p w14:paraId="3B7CBA9B">
            <w:pPr>
              <w:snapToGrid w:val="0"/>
              <w:spacing w:line="400" w:lineRule="exact"/>
              <w:ind w:firstLine="420" w:firstLineChars="200"/>
              <w:rPr>
                <w:rFonts w:ascii="宋体" w:hAnsi="宋体" w:cs="宋体"/>
                <w:kern w:val="0"/>
                <w:szCs w:val="21"/>
              </w:rPr>
            </w:pPr>
            <w:r>
              <w:rPr>
                <w:rFonts w:hint="eastAsia" w:ascii="宋体" w:hAnsi="宋体" w:cs="宋体"/>
                <w:kern w:val="0"/>
                <w:szCs w:val="21"/>
              </w:rPr>
              <w:t>竞选人名称：</w:t>
            </w:r>
          </w:p>
          <w:p w14:paraId="3B715C18">
            <w:pPr>
              <w:snapToGrid w:val="0"/>
              <w:spacing w:line="400" w:lineRule="exact"/>
              <w:ind w:firstLine="420" w:firstLineChars="20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cs="宋体"/>
                <w:kern w:val="0"/>
                <w:szCs w:val="21"/>
                <w:u w:val="single"/>
              </w:rPr>
              <w:t xml:space="preserve">     </w:t>
            </w:r>
            <w:r>
              <w:rPr>
                <w:rFonts w:hint="eastAsia" w:ascii="宋体" w:hAnsi="宋体" w:cs="宋体"/>
                <w:kern w:val="0"/>
                <w:szCs w:val="21"/>
              </w:rPr>
              <w:t>竞选文件</w:t>
            </w:r>
          </w:p>
          <w:p w14:paraId="0E1142C6">
            <w:pPr>
              <w:snapToGrid w:val="0"/>
              <w:spacing w:line="400" w:lineRule="exact"/>
              <w:ind w:firstLine="420" w:firstLineChars="200"/>
              <w:rPr>
                <w:rFonts w:ascii="宋体" w:hAnsi="宋体" w:cs="宋体"/>
                <w:szCs w:val="21"/>
              </w:rPr>
            </w:pPr>
            <w:r>
              <w:rPr>
                <w:rFonts w:hint="eastAsia" w:ascii="宋体" w:hAnsi="宋体" w:cs="宋体"/>
                <w:kern w:val="0"/>
                <w:szCs w:val="21"/>
              </w:rPr>
              <w:t>在</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分前不得开启</w:t>
            </w:r>
          </w:p>
        </w:tc>
      </w:tr>
      <w:tr w14:paraId="5F447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DDFE04F">
            <w:pPr>
              <w:snapToGrid w:val="0"/>
              <w:spacing w:line="400" w:lineRule="exact"/>
              <w:jc w:val="center"/>
              <w:rPr>
                <w:rFonts w:ascii="宋体" w:hAnsi="宋体" w:cs="宋体"/>
                <w:kern w:val="0"/>
                <w:szCs w:val="21"/>
              </w:rPr>
            </w:pPr>
            <w:r>
              <w:rPr>
                <w:rFonts w:hint="eastAsia" w:ascii="宋体" w:hAnsi="宋体" w:cs="宋体"/>
                <w:kern w:val="0"/>
                <w:szCs w:val="21"/>
              </w:rPr>
              <w:t>4.2.2</w:t>
            </w:r>
          </w:p>
        </w:tc>
        <w:tc>
          <w:tcPr>
            <w:tcW w:w="1964" w:type="dxa"/>
            <w:vAlign w:val="center"/>
          </w:tcPr>
          <w:p w14:paraId="3DBE879A">
            <w:pPr>
              <w:snapToGrid w:val="0"/>
              <w:spacing w:line="400" w:lineRule="exact"/>
              <w:jc w:val="center"/>
              <w:rPr>
                <w:rFonts w:ascii="宋体" w:hAnsi="宋体" w:cs="宋体"/>
                <w:kern w:val="0"/>
                <w:szCs w:val="21"/>
              </w:rPr>
            </w:pPr>
            <w:r>
              <w:rPr>
                <w:rFonts w:hint="eastAsia" w:ascii="宋体" w:hAnsi="宋体" w:cs="宋体"/>
                <w:kern w:val="0"/>
                <w:szCs w:val="21"/>
              </w:rPr>
              <w:t>递交竞选文件截止时间和地点</w:t>
            </w:r>
          </w:p>
        </w:tc>
        <w:tc>
          <w:tcPr>
            <w:tcW w:w="6372" w:type="dxa"/>
            <w:vAlign w:val="center"/>
          </w:tcPr>
          <w:p w14:paraId="7A40DD3D">
            <w:pPr>
              <w:adjustRightInd w:val="0"/>
              <w:snapToGrid w:val="0"/>
              <w:spacing w:line="400" w:lineRule="exact"/>
              <w:ind w:firstLine="420" w:firstLineChars="200"/>
              <w:rPr>
                <w:rFonts w:ascii="宋体" w:hAnsi="宋体" w:cs="宋体"/>
                <w:szCs w:val="21"/>
              </w:rPr>
            </w:pPr>
            <w:r>
              <w:rPr>
                <w:rFonts w:ascii="宋体" w:hAnsi="宋体" w:cs="宋体"/>
                <w:szCs w:val="21"/>
                <w:u w:val="single"/>
              </w:rPr>
              <w:t>202</w:t>
            </w:r>
            <w:r>
              <w:rPr>
                <w:rFonts w:hint="eastAsia" w:ascii="宋体" w:hAnsi="宋体" w:cs="宋体"/>
                <w:szCs w:val="21"/>
                <w:u w:val="single"/>
              </w:rPr>
              <w:t>5</w:t>
            </w:r>
            <w:r>
              <w:rPr>
                <w:rFonts w:ascii="宋体" w:hAnsi="宋体" w:cs="宋体"/>
                <w:szCs w:val="21"/>
              </w:rPr>
              <w:t>年</w:t>
            </w:r>
            <w:r>
              <w:rPr>
                <w:rFonts w:hint="eastAsia" w:ascii="宋体" w:hAnsi="宋体" w:cs="宋体"/>
                <w:kern w:val="0"/>
                <w:szCs w:val="21"/>
                <w:u w:val="single"/>
              </w:rPr>
              <w:t xml:space="preserve"> 5 </w:t>
            </w:r>
            <w:r>
              <w:rPr>
                <w:rFonts w:ascii="宋体" w:hAnsi="宋体" w:cs="宋体"/>
                <w:szCs w:val="21"/>
              </w:rPr>
              <w:t xml:space="preserve">月 </w:t>
            </w:r>
            <w:r>
              <w:rPr>
                <w:rFonts w:ascii="宋体" w:hAnsi="宋体" w:cs="宋体"/>
                <w:szCs w:val="21"/>
                <w:u w:val="single"/>
              </w:rPr>
              <w:t xml:space="preserve"> </w:t>
            </w:r>
            <w:r>
              <w:rPr>
                <w:rFonts w:hint="eastAsia" w:ascii="宋体" w:hAnsi="宋体" w:cs="宋体"/>
                <w:szCs w:val="21"/>
                <w:u w:val="single"/>
              </w:rPr>
              <w:t xml:space="preserve">14 </w:t>
            </w:r>
            <w:r>
              <w:rPr>
                <w:rFonts w:ascii="宋体" w:hAnsi="宋体" w:cs="宋体"/>
                <w:szCs w:val="21"/>
              </w:rPr>
              <w:t xml:space="preserve"> 日</w:t>
            </w:r>
            <w:r>
              <w:rPr>
                <w:rFonts w:hint="eastAsia" w:ascii="宋体" w:hAnsi="宋体" w:cs="宋体"/>
                <w:szCs w:val="21"/>
                <w:u w:val="single"/>
              </w:rPr>
              <w:t xml:space="preserve"> 10 </w:t>
            </w:r>
            <w:r>
              <w:rPr>
                <w:rFonts w:ascii="宋体" w:hAnsi="宋体" w:cs="宋体"/>
                <w:szCs w:val="21"/>
              </w:rPr>
              <w:t>时</w:t>
            </w:r>
            <w:r>
              <w:rPr>
                <w:rFonts w:hint="eastAsia" w:ascii="宋体" w:hAnsi="宋体" w:cs="宋体"/>
                <w:szCs w:val="21"/>
                <w:u w:val="single"/>
              </w:rPr>
              <w:t xml:space="preserve"> 00 </w:t>
            </w:r>
            <w:r>
              <w:rPr>
                <w:rFonts w:ascii="宋体" w:hAnsi="宋体" w:cs="宋体"/>
                <w:szCs w:val="21"/>
              </w:rPr>
              <w:t>分（北京时间）。</w:t>
            </w:r>
          </w:p>
          <w:p w14:paraId="2071636C">
            <w:pPr>
              <w:adjustRightInd w:val="0"/>
              <w:snapToGrid w:val="0"/>
              <w:spacing w:line="400" w:lineRule="exact"/>
              <w:ind w:firstLine="420" w:firstLineChars="200"/>
              <w:rPr>
                <w:rFonts w:ascii="宋体" w:hAnsi="宋体" w:cs="宋体"/>
                <w:bCs/>
                <w:i/>
                <w:szCs w:val="21"/>
              </w:rPr>
            </w:pPr>
            <w:r>
              <w:rPr>
                <w:rFonts w:hint="eastAsia" w:cs="宋体" w:asciiTheme="minorEastAsia" w:hAnsiTheme="minorEastAsia" w:eastAsiaTheme="minorEastAsia"/>
                <w:szCs w:val="21"/>
              </w:rPr>
              <w:t>重庆市南岸区行政服务中心B区3号楼2207室</w:t>
            </w:r>
            <w:bookmarkStart w:id="833" w:name="_GoBack"/>
            <w:bookmarkEnd w:id="833"/>
          </w:p>
        </w:tc>
      </w:tr>
      <w:tr w14:paraId="5F048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FFAEC36">
            <w:pPr>
              <w:snapToGrid w:val="0"/>
              <w:spacing w:line="400" w:lineRule="exact"/>
              <w:jc w:val="center"/>
              <w:rPr>
                <w:rFonts w:ascii="宋体" w:hAnsi="宋体" w:cs="宋体"/>
                <w:kern w:val="0"/>
                <w:szCs w:val="21"/>
              </w:rPr>
            </w:pPr>
            <w:r>
              <w:rPr>
                <w:rFonts w:hint="eastAsia" w:ascii="宋体" w:hAnsi="宋体" w:cs="宋体"/>
                <w:kern w:val="0"/>
                <w:szCs w:val="21"/>
              </w:rPr>
              <w:t>4.2.3</w:t>
            </w:r>
          </w:p>
        </w:tc>
        <w:tc>
          <w:tcPr>
            <w:tcW w:w="1964" w:type="dxa"/>
            <w:vAlign w:val="center"/>
          </w:tcPr>
          <w:p w14:paraId="059AB305">
            <w:pPr>
              <w:snapToGrid w:val="0"/>
              <w:spacing w:line="400" w:lineRule="exact"/>
              <w:jc w:val="center"/>
              <w:rPr>
                <w:rFonts w:ascii="宋体" w:hAnsi="宋体" w:cs="宋体"/>
                <w:kern w:val="0"/>
                <w:szCs w:val="21"/>
              </w:rPr>
            </w:pPr>
            <w:r>
              <w:rPr>
                <w:rFonts w:hint="eastAsia" w:ascii="宋体" w:hAnsi="宋体" w:cs="宋体"/>
                <w:kern w:val="0"/>
                <w:szCs w:val="21"/>
              </w:rPr>
              <w:t>是否退还竞选文件</w:t>
            </w:r>
          </w:p>
        </w:tc>
        <w:tc>
          <w:tcPr>
            <w:tcW w:w="6372" w:type="dxa"/>
            <w:vAlign w:val="center"/>
          </w:tcPr>
          <w:p w14:paraId="380F2074">
            <w:pPr>
              <w:spacing w:line="400" w:lineRule="exact"/>
              <w:ind w:firstLine="210" w:firstLineChars="100"/>
              <w:rPr>
                <w:rFonts w:ascii="宋体" w:hAnsi="宋体" w:cs="宋体"/>
                <w:kern w:val="0"/>
                <w:szCs w:val="21"/>
              </w:rPr>
            </w:pPr>
            <w:r>
              <w:rPr>
                <w:rFonts w:hint="eastAsia" w:ascii="MS Gothic" w:hAnsi="MS Gothic" w:eastAsia="MS Gothic" w:cs="MS Gothic"/>
                <w:szCs w:val="21"/>
              </w:rPr>
              <w:t>☑</w:t>
            </w:r>
            <w:r>
              <w:rPr>
                <w:rFonts w:hint="eastAsia" w:ascii="宋体" w:hAnsi="宋体" w:cs="宋体"/>
                <w:szCs w:val="21"/>
              </w:rPr>
              <w:t>否</w:t>
            </w:r>
          </w:p>
        </w:tc>
      </w:tr>
      <w:tr w14:paraId="15F12A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71389B3">
            <w:pPr>
              <w:snapToGrid w:val="0"/>
              <w:spacing w:line="400" w:lineRule="exact"/>
              <w:jc w:val="center"/>
              <w:rPr>
                <w:rFonts w:ascii="宋体" w:hAnsi="宋体" w:cs="宋体"/>
                <w:kern w:val="0"/>
                <w:szCs w:val="21"/>
              </w:rPr>
            </w:pPr>
            <w:r>
              <w:rPr>
                <w:rFonts w:hint="eastAsia" w:ascii="宋体" w:hAnsi="宋体" w:cs="宋体"/>
                <w:kern w:val="0"/>
                <w:szCs w:val="21"/>
              </w:rPr>
              <w:t>5.1.1</w:t>
            </w:r>
          </w:p>
        </w:tc>
        <w:tc>
          <w:tcPr>
            <w:tcW w:w="1964" w:type="dxa"/>
            <w:vAlign w:val="center"/>
          </w:tcPr>
          <w:p w14:paraId="2A38C3E7">
            <w:pPr>
              <w:snapToGrid w:val="0"/>
              <w:spacing w:line="400" w:lineRule="exact"/>
              <w:jc w:val="center"/>
              <w:rPr>
                <w:rFonts w:ascii="宋体" w:hAnsi="宋体" w:cs="宋体"/>
                <w:kern w:val="0"/>
                <w:szCs w:val="21"/>
              </w:rPr>
            </w:pPr>
            <w:r>
              <w:rPr>
                <w:rFonts w:hint="eastAsia" w:ascii="宋体" w:hAnsi="宋体" w:cs="宋体"/>
                <w:kern w:val="0"/>
                <w:szCs w:val="21"/>
              </w:rPr>
              <w:t>评选时间和地点</w:t>
            </w:r>
          </w:p>
        </w:tc>
        <w:tc>
          <w:tcPr>
            <w:tcW w:w="6372" w:type="dxa"/>
            <w:vAlign w:val="center"/>
          </w:tcPr>
          <w:p w14:paraId="20B99C64">
            <w:pPr>
              <w:snapToGrid w:val="0"/>
              <w:spacing w:line="400" w:lineRule="exact"/>
              <w:ind w:firstLine="420" w:firstLineChars="200"/>
              <w:rPr>
                <w:rFonts w:ascii="宋体" w:hAnsi="宋体" w:cs="宋体"/>
                <w:bCs/>
                <w:i/>
                <w:szCs w:val="21"/>
              </w:rPr>
            </w:pPr>
            <w:r>
              <w:rPr>
                <w:rFonts w:hint="eastAsia" w:ascii="宋体" w:hAnsi="宋体" w:cs="宋体"/>
                <w:kern w:val="0"/>
                <w:szCs w:val="21"/>
              </w:rPr>
              <w:t>同竞选文件递交截止时间和地点</w:t>
            </w:r>
          </w:p>
        </w:tc>
      </w:tr>
      <w:tr w14:paraId="0A1EE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70CA7BF">
            <w:pPr>
              <w:snapToGrid w:val="0"/>
              <w:spacing w:line="400" w:lineRule="exact"/>
              <w:jc w:val="center"/>
              <w:rPr>
                <w:rFonts w:ascii="宋体" w:hAnsi="宋体" w:cs="宋体"/>
                <w:szCs w:val="21"/>
              </w:rPr>
            </w:pPr>
            <w:r>
              <w:rPr>
                <w:rFonts w:hint="eastAsia" w:ascii="宋体" w:hAnsi="宋体" w:cs="宋体"/>
                <w:szCs w:val="21"/>
              </w:rPr>
              <w:t>5.2</w:t>
            </w:r>
          </w:p>
        </w:tc>
        <w:tc>
          <w:tcPr>
            <w:tcW w:w="1964" w:type="dxa"/>
            <w:vAlign w:val="center"/>
          </w:tcPr>
          <w:p w14:paraId="1D8F03B6">
            <w:pPr>
              <w:snapToGrid w:val="0"/>
              <w:spacing w:line="400" w:lineRule="exact"/>
              <w:jc w:val="center"/>
              <w:rPr>
                <w:rFonts w:ascii="宋体" w:hAnsi="宋体" w:cs="宋体"/>
                <w:szCs w:val="21"/>
              </w:rPr>
            </w:pPr>
            <w:r>
              <w:rPr>
                <w:rFonts w:hint="eastAsia" w:ascii="宋体" w:hAnsi="宋体" w:cs="宋体"/>
                <w:szCs w:val="21"/>
              </w:rPr>
              <w:t>竞选文件开启</w:t>
            </w:r>
          </w:p>
          <w:p w14:paraId="7D5AB626">
            <w:pPr>
              <w:snapToGrid w:val="0"/>
              <w:spacing w:line="400" w:lineRule="exact"/>
              <w:jc w:val="center"/>
              <w:rPr>
                <w:rFonts w:ascii="宋体" w:hAnsi="宋体" w:cs="宋体"/>
                <w:szCs w:val="21"/>
              </w:rPr>
            </w:pPr>
            <w:r>
              <w:rPr>
                <w:rFonts w:hint="eastAsia" w:ascii="宋体" w:hAnsi="宋体" w:cs="宋体"/>
                <w:szCs w:val="21"/>
              </w:rPr>
              <w:t>及唱标程序</w:t>
            </w:r>
          </w:p>
        </w:tc>
        <w:tc>
          <w:tcPr>
            <w:tcW w:w="6372" w:type="dxa"/>
            <w:vAlign w:val="center"/>
          </w:tcPr>
          <w:p w14:paraId="6A8C6A03">
            <w:pPr>
              <w:snapToGrid w:val="0"/>
              <w:spacing w:line="400" w:lineRule="exact"/>
              <w:ind w:firstLine="420" w:firstLineChars="200"/>
              <w:rPr>
                <w:rFonts w:ascii="宋体" w:hAnsi="宋体"/>
                <w:szCs w:val="21"/>
              </w:rPr>
            </w:pPr>
            <w:r>
              <w:rPr>
                <w:rFonts w:hint="eastAsia" w:ascii="宋体" w:hAnsi="宋体"/>
                <w:szCs w:val="21"/>
              </w:rPr>
              <w:t>1. 宣布评选纪律；</w:t>
            </w:r>
          </w:p>
          <w:p w14:paraId="7B1B0D6A">
            <w:pPr>
              <w:snapToGrid w:val="0"/>
              <w:spacing w:line="400" w:lineRule="exact"/>
              <w:ind w:firstLine="420" w:firstLineChars="200"/>
              <w:rPr>
                <w:rFonts w:ascii="宋体" w:hAnsi="宋体"/>
                <w:szCs w:val="21"/>
              </w:rPr>
            </w:pPr>
            <w:r>
              <w:rPr>
                <w:rFonts w:hint="eastAsia" w:ascii="宋体" w:hAnsi="宋体"/>
                <w:szCs w:val="21"/>
              </w:rPr>
              <w:t>2. 公布在竞选文件递交截止时间前递交竞选文件的竞选人名称，并点名确认竞选人是否派人到场；竞选人如未派人到场，视作其默认所有唱标及评审结果。</w:t>
            </w:r>
          </w:p>
          <w:p w14:paraId="225962AA">
            <w:pPr>
              <w:snapToGrid w:val="0"/>
              <w:spacing w:line="400" w:lineRule="exact"/>
              <w:ind w:firstLine="420" w:firstLineChars="200"/>
              <w:rPr>
                <w:rFonts w:ascii="宋体" w:hAnsi="宋体"/>
                <w:szCs w:val="21"/>
              </w:rPr>
            </w:pPr>
            <w:r>
              <w:rPr>
                <w:rFonts w:hint="eastAsia" w:ascii="宋体" w:hAnsi="宋体"/>
                <w:szCs w:val="21"/>
              </w:rPr>
              <w:t>3. 核验竞选单位法定代表人或授权委托人本人身份证（原件），以确认其身份合法有效；核验身份未通过的人员不得参加文件袋开启和唱标程序，视作该竞选单位未派人到场处理。</w:t>
            </w:r>
          </w:p>
          <w:p w14:paraId="1AF5C7E4">
            <w:pPr>
              <w:snapToGrid w:val="0"/>
              <w:spacing w:line="400" w:lineRule="exact"/>
              <w:ind w:firstLine="420" w:firstLineChars="200"/>
              <w:rPr>
                <w:rFonts w:ascii="宋体" w:hAnsi="宋体"/>
                <w:szCs w:val="21"/>
              </w:rPr>
            </w:pPr>
            <w:r>
              <w:rPr>
                <w:rFonts w:hint="eastAsia" w:ascii="宋体" w:hAnsi="宋体"/>
                <w:szCs w:val="21"/>
              </w:rPr>
              <w:t>4. 密封情况检查：竞选人或者其推选的代表检查竞选文件的密封情况并确认。密封检查不合格的竞选文件当场退还，拒绝其参与本次比选。</w:t>
            </w:r>
          </w:p>
          <w:p w14:paraId="58AB2179">
            <w:pPr>
              <w:snapToGrid w:val="0"/>
              <w:spacing w:line="400" w:lineRule="exact"/>
              <w:ind w:firstLine="420" w:firstLineChars="200"/>
              <w:rPr>
                <w:rFonts w:ascii="宋体" w:hAnsi="宋体"/>
                <w:szCs w:val="21"/>
              </w:rPr>
            </w:pPr>
            <w:r>
              <w:rPr>
                <w:rFonts w:hint="eastAsia" w:ascii="宋体" w:hAnsi="宋体"/>
                <w:szCs w:val="21"/>
              </w:rPr>
              <w:t>5. 开启竞选文件顺序：随机开启；</w:t>
            </w:r>
          </w:p>
          <w:p w14:paraId="08DEB6F8">
            <w:pPr>
              <w:snapToGrid w:val="0"/>
              <w:spacing w:line="400" w:lineRule="exact"/>
              <w:ind w:firstLine="420" w:firstLineChars="200"/>
              <w:rPr>
                <w:rFonts w:ascii="宋体" w:hAnsi="宋体"/>
                <w:szCs w:val="21"/>
              </w:rPr>
            </w:pPr>
            <w:r>
              <w:rPr>
                <w:rFonts w:hint="eastAsia" w:ascii="宋体" w:hAnsi="宋体"/>
                <w:szCs w:val="21"/>
              </w:rPr>
              <w:t>6.当众开启竞选文件袋，公布竞选人名称、项目名称、竞选总报价、监理服务期及其他竞选函上内容；</w:t>
            </w:r>
          </w:p>
          <w:p w14:paraId="316C15E3">
            <w:pPr>
              <w:snapToGrid w:val="0"/>
              <w:spacing w:line="400" w:lineRule="exact"/>
              <w:ind w:firstLine="420" w:firstLineChars="200"/>
              <w:rPr>
                <w:rFonts w:ascii="宋体" w:hAnsi="宋体"/>
                <w:szCs w:val="21"/>
              </w:rPr>
            </w:pPr>
            <w:r>
              <w:rPr>
                <w:rFonts w:hint="eastAsia" w:ascii="宋体" w:hAnsi="宋体"/>
                <w:szCs w:val="21"/>
              </w:rPr>
              <w:t>7. 竞选人代表、比选人代表、监督人员、记录人员等有关人员在报价记录上签字确认；</w:t>
            </w:r>
          </w:p>
          <w:p w14:paraId="09545888">
            <w:pPr>
              <w:snapToGrid w:val="0"/>
              <w:spacing w:line="400" w:lineRule="exact"/>
              <w:ind w:firstLine="420" w:firstLineChars="200"/>
              <w:rPr>
                <w:rFonts w:ascii="宋体" w:hAnsi="宋体" w:cs="宋体"/>
                <w:szCs w:val="21"/>
              </w:rPr>
            </w:pPr>
            <w:r>
              <w:rPr>
                <w:rFonts w:hint="eastAsia" w:ascii="宋体" w:hAnsi="宋体"/>
                <w:szCs w:val="21"/>
              </w:rPr>
              <w:t>8. 唱标结束。</w:t>
            </w:r>
          </w:p>
        </w:tc>
      </w:tr>
      <w:tr w14:paraId="4E33B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C4F6CAC">
            <w:pPr>
              <w:snapToGrid w:val="0"/>
              <w:spacing w:line="400" w:lineRule="exact"/>
              <w:jc w:val="center"/>
              <w:rPr>
                <w:rFonts w:ascii="宋体" w:hAnsi="宋体" w:cs="宋体"/>
                <w:kern w:val="0"/>
                <w:szCs w:val="21"/>
              </w:rPr>
            </w:pPr>
            <w:r>
              <w:rPr>
                <w:rFonts w:hint="eastAsia" w:ascii="宋体" w:hAnsi="宋体" w:cs="宋体"/>
                <w:kern w:val="0"/>
                <w:szCs w:val="21"/>
              </w:rPr>
              <w:t>6.1.1</w:t>
            </w:r>
          </w:p>
        </w:tc>
        <w:tc>
          <w:tcPr>
            <w:tcW w:w="1964" w:type="dxa"/>
            <w:vAlign w:val="center"/>
          </w:tcPr>
          <w:p w14:paraId="68728E47">
            <w:pPr>
              <w:snapToGrid w:val="0"/>
              <w:spacing w:line="400" w:lineRule="exact"/>
              <w:jc w:val="center"/>
              <w:rPr>
                <w:rFonts w:ascii="宋体" w:hAnsi="宋体" w:cs="宋体"/>
                <w:kern w:val="0"/>
                <w:szCs w:val="21"/>
              </w:rPr>
            </w:pPr>
            <w:r>
              <w:rPr>
                <w:rFonts w:hint="eastAsia" w:ascii="宋体" w:hAnsi="宋体" w:cs="宋体"/>
                <w:kern w:val="0"/>
                <w:szCs w:val="21"/>
              </w:rPr>
              <w:t>评选委员会的组建</w:t>
            </w:r>
          </w:p>
        </w:tc>
        <w:tc>
          <w:tcPr>
            <w:tcW w:w="6372" w:type="dxa"/>
            <w:vAlign w:val="center"/>
          </w:tcPr>
          <w:p w14:paraId="5B70803B">
            <w:pPr>
              <w:snapToGrid w:val="0"/>
              <w:spacing w:line="400" w:lineRule="exact"/>
              <w:ind w:firstLine="420" w:firstLineChars="200"/>
              <w:rPr>
                <w:rFonts w:ascii="宋体" w:hAnsi="宋体"/>
                <w:szCs w:val="21"/>
              </w:rPr>
            </w:pPr>
            <w:r>
              <w:rPr>
                <w:rFonts w:hint="eastAsia" w:ascii="宋体" w:hAnsi="宋体"/>
                <w:szCs w:val="21"/>
              </w:rPr>
              <w:t>1、评选委员会构成：</w:t>
            </w:r>
            <w:r>
              <w:rPr>
                <w:rFonts w:ascii="宋体" w:hAnsi="宋体"/>
                <w:szCs w:val="21"/>
              </w:rPr>
              <w:t>3</w:t>
            </w:r>
            <w:r>
              <w:rPr>
                <w:rFonts w:hint="eastAsia" w:ascii="宋体" w:hAnsi="宋体"/>
                <w:szCs w:val="21"/>
              </w:rPr>
              <w:t>人。</w:t>
            </w:r>
          </w:p>
          <w:p w14:paraId="41B9050A">
            <w:pPr>
              <w:pStyle w:val="8"/>
              <w:spacing w:line="400" w:lineRule="exact"/>
              <w:ind w:firstLine="420" w:firstLineChars="200"/>
            </w:pPr>
            <w:r>
              <w:rPr>
                <w:rFonts w:hint="eastAsia" w:ascii="宋体" w:hAnsi="宋体"/>
                <w:szCs w:val="21"/>
              </w:rPr>
              <w:t>2、评选专家确定方式：由比选人按法律法规及相关规定依法组建评标委员会。</w:t>
            </w:r>
          </w:p>
        </w:tc>
      </w:tr>
      <w:tr w14:paraId="6CF4A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0034D2F">
            <w:pPr>
              <w:snapToGrid w:val="0"/>
              <w:spacing w:line="400" w:lineRule="exact"/>
              <w:jc w:val="center"/>
              <w:rPr>
                <w:rFonts w:ascii="宋体" w:hAnsi="宋体" w:cs="宋体"/>
                <w:kern w:val="0"/>
                <w:szCs w:val="21"/>
              </w:rPr>
            </w:pPr>
            <w:r>
              <w:rPr>
                <w:rFonts w:hint="eastAsia" w:ascii="宋体" w:hAnsi="宋体" w:cs="宋体"/>
                <w:kern w:val="0"/>
                <w:szCs w:val="21"/>
              </w:rPr>
              <w:t>7.1</w:t>
            </w:r>
          </w:p>
        </w:tc>
        <w:tc>
          <w:tcPr>
            <w:tcW w:w="1964" w:type="dxa"/>
            <w:vAlign w:val="center"/>
          </w:tcPr>
          <w:p w14:paraId="3465A0B3">
            <w:pPr>
              <w:snapToGrid w:val="0"/>
              <w:spacing w:after="62" w:afterLines="20" w:line="400" w:lineRule="exact"/>
              <w:jc w:val="center"/>
              <w:rPr>
                <w:rFonts w:ascii="宋体" w:hAnsi="宋体" w:cs="宋体"/>
                <w:kern w:val="0"/>
                <w:szCs w:val="21"/>
              </w:rPr>
            </w:pPr>
            <w:r>
              <w:rPr>
                <w:rFonts w:hint="eastAsia" w:ascii="宋体" w:hAnsi="宋体" w:cs="宋体"/>
                <w:kern w:val="0"/>
                <w:szCs w:val="21"/>
              </w:rPr>
              <w:t>是否授权评选委员会确定中选人</w:t>
            </w:r>
          </w:p>
        </w:tc>
        <w:tc>
          <w:tcPr>
            <w:tcW w:w="6372" w:type="dxa"/>
            <w:vAlign w:val="center"/>
          </w:tcPr>
          <w:p w14:paraId="7B307CA8">
            <w:pPr>
              <w:snapToGrid w:val="0"/>
              <w:spacing w:line="400" w:lineRule="exact"/>
              <w:ind w:firstLine="210" w:firstLineChars="100"/>
              <w:rPr>
                <w:rFonts w:ascii="宋体" w:hAnsi="宋体" w:cs="宋体"/>
                <w:i/>
                <w:kern w:val="0"/>
                <w:szCs w:val="21"/>
              </w:rPr>
            </w:pPr>
            <w:r>
              <w:rPr>
                <w:rFonts w:hint="eastAsia" w:ascii="宋体" w:hAnsi="宋体" w:cs="宋体"/>
                <w:kern w:val="0"/>
                <w:szCs w:val="21"/>
              </w:rPr>
              <w:t>☑否，</w:t>
            </w:r>
            <w:r>
              <w:rPr>
                <w:rFonts w:ascii="宋体" w:hAnsi="宋体" w:cs="宋体"/>
                <w:szCs w:val="21"/>
              </w:rPr>
              <w:t>推荐经评审综合得分由高到低排名前三名为</w:t>
            </w:r>
            <w:r>
              <w:rPr>
                <w:rFonts w:hint="eastAsia" w:ascii="宋体" w:hAnsi="宋体" w:cs="宋体"/>
                <w:szCs w:val="21"/>
              </w:rPr>
              <w:t>中选</w:t>
            </w:r>
            <w:r>
              <w:rPr>
                <w:rFonts w:ascii="宋体" w:hAnsi="宋体" w:cs="宋体"/>
                <w:szCs w:val="21"/>
              </w:rPr>
              <w:t>候选人</w:t>
            </w:r>
            <w:r>
              <w:rPr>
                <w:rFonts w:hint="eastAsia" w:ascii="宋体" w:hAnsi="宋体" w:cs="宋体"/>
                <w:kern w:val="0"/>
                <w:szCs w:val="21"/>
              </w:rPr>
              <w:t>。</w:t>
            </w:r>
            <w:r>
              <w:rPr>
                <w:rFonts w:hint="eastAsia" w:ascii="宋体" w:hAnsi="宋体" w:cs="宋体"/>
                <w:i/>
                <w:kern w:val="0"/>
                <w:szCs w:val="21"/>
              </w:rPr>
              <w:t xml:space="preserve"> </w:t>
            </w:r>
          </w:p>
        </w:tc>
      </w:tr>
      <w:tr w14:paraId="315E2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0A1B5F2">
            <w:pPr>
              <w:snapToGrid w:val="0"/>
              <w:spacing w:line="400" w:lineRule="exact"/>
              <w:jc w:val="center"/>
              <w:rPr>
                <w:rFonts w:ascii="宋体" w:hAnsi="宋体" w:cs="宋体"/>
                <w:kern w:val="0"/>
                <w:szCs w:val="21"/>
              </w:rPr>
            </w:pPr>
            <w:r>
              <w:rPr>
                <w:rFonts w:hint="eastAsia" w:ascii="宋体" w:hAnsi="宋体" w:cs="宋体"/>
                <w:kern w:val="0"/>
                <w:szCs w:val="21"/>
              </w:rPr>
              <w:t>7.2</w:t>
            </w:r>
          </w:p>
        </w:tc>
        <w:tc>
          <w:tcPr>
            <w:tcW w:w="1964" w:type="dxa"/>
            <w:vAlign w:val="center"/>
          </w:tcPr>
          <w:p w14:paraId="235E5B18">
            <w:pPr>
              <w:snapToGrid w:val="0"/>
              <w:spacing w:after="62" w:afterLines="20" w:line="400" w:lineRule="exact"/>
              <w:jc w:val="center"/>
              <w:rPr>
                <w:rFonts w:ascii="宋体" w:hAnsi="宋体" w:cs="宋体"/>
                <w:kern w:val="0"/>
                <w:szCs w:val="21"/>
              </w:rPr>
            </w:pPr>
            <w:r>
              <w:rPr>
                <w:rFonts w:hint="eastAsia" w:ascii="宋体" w:hAnsi="宋体" w:cs="宋体"/>
                <w:kern w:val="0"/>
                <w:szCs w:val="21"/>
              </w:rPr>
              <w:t>中选结果公告</w:t>
            </w:r>
          </w:p>
        </w:tc>
        <w:tc>
          <w:tcPr>
            <w:tcW w:w="6372" w:type="dxa"/>
            <w:vAlign w:val="center"/>
          </w:tcPr>
          <w:p w14:paraId="0DEDF0A5">
            <w:pPr>
              <w:snapToGrid w:val="0"/>
              <w:spacing w:line="400" w:lineRule="exact"/>
              <w:ind w:firstLine="420" w:firstLineChars="200"/>
              <w:rPr>
                <w:rFonts w:ascii="宋体" w:hAnsi="宋体" w:cs="宋体"/>
                <w:szCs w:val="21"/>
              </w:rPr>
            </w:pPr>
            <w:r>
              <w:rPr>
                <w:rFonts w:hint="eastAsia" w:ascii="宋体" w:hAnsi="宋体" w:cs="宋体"/>
                <w:szCs w:val="21"/>
              </w:rPr>
              <w:t>评选结果在“</w:t>
            </w:r>
            <w:r>
              <w:rPr>
                <w:rFonts w:hint="eastAsia" w:ascii="宋体" w:hAnsi="宋体"/>
                <w:snapToGrid w:val="0"/>
                <w:kern w:val="0"/>
                <w:szCs w:val="21"/>
              </w:rPr>
              <w:t>行采家”网站（https://www.gec123.com/）上</w:t>
            </w:r>
            <w:r>
              <w:rPr>
                <w:rFonts w:hint="eastAsia" w:ascii="宋体" w:hAnsi="宋体" w:cs="宋体"/>
                <w:szCs w:val="21"/>
              </w:rPr>
              <w:t>进行公告。</w:t>
            </w:r>
          </w:p>
        </w:tc>
      </w:tr>
      <w:tr w14:paraId="37CAE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4339F85">
            <w:pPr>
              <w:snapToGrid w:val="0"/>
              <w:spacing w:line="400" w:lineRule="exact"/>
              <w:jc w:val="center"/>
              <w:rPr>
                <w:rFonts w:ascii="宋体" w:hAnsi="宋体" w:cs="宋体"/>
                <w:kern w:val="0"/>
                <w:szCs w:val="21"/>
              </w:rPr>
            </w:pPr>
            <w:r>
              <w:rPr>
                <w:rFonts w:hint="eastAsia" w:ascii="宋体" w:hAnsi="宋体" w:cs="宋体"/>
                <w:kern w:val="0"/>
                <w:szCs w:val="21"/>
              </w:rPr>
              <w:t>7.3.1</w:t>
            </w:r>
          </w:p>
        </w:tc>
        <w:tc>
          <w:tcPr>
            <w:tcW w:w="1964" w:type="dxa"/>
            <w:vAlign w:val="center"/>
          </w:tcPr>
          <w:p w14:paraId="35D4445B">
            <w:pPr>
              <w:snapToGrid w:val="0"/>
              <w:spacing w:line="400" w:lineRule="exact"/>
              <w:jc w:val="center"/>
              <w:rPr>
                <w:rFonts w:ascii="宋体" w:hAnsi="宋体" w:cs="宋体"/>
                <w:kern w:val="0"/>
                <w:szCs w:val="21"/>
              </w:rPr>
            </w:pPr>
            <w:r>
              <w:rPr>
                <w:rFonts w:hint="eastAsia" w:ascii="宋体" w:hAnsi="宋体" w:cs="宋体"/>
                <w:kern w:val="0"/>
                <w:szCs w:val="21"/>
              </w:rPr>
              <w:t>履约担保</w:t>
            </w:r>
          </w:p>
        </w:tc>
        <w:tc>
          <w:tcPr>
            <w:tcW w:w="6372" w:type="dxa"/>
            <w:vAlign w:val="center"/>
          </w:tcPr>
          <w:p w14:paraId="40EA63F9">
            <w:pPr>
              <w:snapToGrid w:val="0"/>
              <w:spacing w:after="48" w:line="400" w:lineRule="exact"/>
              <w:ind w:firstLine="420" w:firstLineChars="200"/>
              <w:rPr>
                <w:rStyle w:val="47"/>
                <w:rFonts w:ascii="宋体" w:hAnsi="宋体" w:cs="宋体"/>
                <w:kern w:val="0"/>
                <w:szCs w:val="21"/>
              </w:rPr>
            </w:pPr>
            <w:r>
              <w:rPr>
                <w:rStyle w:val="47"/>
                <w:rFonts w:hint="eastAsia" w:ascii="宋体" w:hAnsi="宋体" w:cs="宋体"/>
                <w:kern w:val="0"/>
                <w:szCs w:val="21"/>
              </w:rPr>
              <w:t>1.担保形式：</w:t>
            </w:r>
            <w:r>
              <w:rPr>
                <w:rStyle w:val="47"/>
                <w:rFonts w:hint="eastAsia" w:ascii="宋体" w:hAnsi="宋体" w:cs="宋体"/>
                <w:kern w:val="0"/>
                <w:szCs w:val="21"/>
                <w:u w:val="single"/>
              </w:rPr>
              <w:t>经委托人认可的商业担保、现金均可</w:t>
            </w:r>
            <w:r>
              <w:rPr>
                <w:rStyle w:val="47"/>
                <w:rFonts w:hint="eastAsia" w:ascii="宋体" w:hAnsi="宋体" w:cs="宋体"/>
                <w:kern w:val="0"/>
                <w:szCs w:val="21"/>
              </w:rPr>
              <w:t>；</w:t>
            </w:r>
          </w:p>
          <w:p w14:paraId="342DF83A">
            <w:pPr>
              <w:snapToGrid w:val="0"/>
              <w:spacing w:after="48" w:line="400" w:lineRule="exact"/>
              <w:ind w:firstLine="420" w:firstLineChars="200"/>
              <w:rPr>
                <w:rStyle w:val="47"/>
                <w:rFonts w:ascii="宋体" w:hAnsi="宋体" w:cs="宋体"/>
                <w:kern w:val="0"/>
                <w:szCs w:val="21"/>
              </w:rPr>
            </w:pPr>
            <w:r>
              <w:rPr>
                <w:rStyle w:val="47"/>
                <w:rFonts w:hint="eastAsia" w:ascii="宋体" w:hAnsi="宋体" w:cs="宋体"/>
                <w:kern w:val="0"/>
                <w:szCs w:val="21"/>
              </w:rPr>
              <w:t>2.担保金额：</w:t>
            </w:r>
            <w:r>
              <w:rPr>
                <w:rStyle w:val="47"/>
                <w:rFonts w:hint="eastAsia" w:ascii="宋体" w:hAnsi="宋体" w:cs="宋体"/>
                <w:kern w:val="0"/>
                <w:szCs w:val="21"/>
                <w:u w:val="single"/>
              </w:rPr>
              <w:t xml:space="preserve"> 合同签约金额的10% ；</w:t>
            </w:r>
          </w:p>
          <w:p w14:paraId="5C6888B5">
            <w:pPr>
              <w:snapToGrid w:val="0"/>
              <w:spacing w:after="48" w:line="400" w:lineRule="exact"/>
              <w:ind w:firstLine="420" w:firstLineChars="200"/>
              <w:rPr>
                <w:rStyle w:val="47"/>
                <w:rFonts w:ascii="宋体" w:hAnsi="宋体" w:cs="宋体"/>
                <w:kern w:val="0"/>
                <w:szCs w:val="21"/>
              </w:rPr>
            </w:pPr>
            <w:r>
              <w:rPr>
                <w:rStyle w:val="47"/>
                <w:rFonts w:hint="eastAsia" w:ascii="宋体" w:hAnsi="宋体" w:cs="宋体"/>
                <w:kern w:val="0"/>
                <w:szCs w:val="21"/>
              </w:rPr>
              <w:t>3.提交时间：承包人领取中选通知书后，并作为签订合同的必备条件。其中：</w:t>
            </w:r>
          </w:p>
          <w:p w14:paraId="3FB33F95">
            <w:pPr>
              <w:snapToGrid w:val="0"/>
              <w:spacing w:after="48" w:line="400" w:lineRule="exact"/>
              <w:ind w:firstLine="420" w:firstLineChars="200"/>
              <w:rPr>
                <w:rStyle w:val="47"/>
                <w:rFonts w:ascii="宋体" w:hAnsi="宋体" w:cs="宋体"/>
                <w:kern w:val="0"/>
                <w:szCs w:val="21"/>
              </w:rPr>
            </w:pPr>
            <w:r>
              <w:rPr>
                <w:rStyle w:val="47"/>
                <w:rFonts w:hint="eastAsia" w:ascii="宋体" w:hAnsi="宋体" w:cs="宋体"/>
                <w:kern w:val="0"/>
                <w:szCs w:val="21"/>
              </w:rPr>
              <w:t>①履约担保采用商业担保的，保函必须为发包人认可的担保公司或银行提供的不可撤销且见索即付，且应选择在渝依法设立总部或者设有分支机构的金融机构开具履约保函（包括纸质保函或电子保函）；</w:t>
            </w:r>
          </w:p>
          <w:p w14:paraId="75FE7C86">
            <w:pPr>
              <w:snapToGrid w:val="0"/>
              <w:spacing w:after="48" w:line="400" w:lineRule="exact"/>
              <w:ind w:firstLine="420" w:firstLineChars="200"/>
              <w:rPr>
                <w:rStyle w:val="47"/>
                <w:rFonts w:ascii="宋体" w:hAnsi="宋体" w:cs="宋体"/>
                <w:kern w:val="0"/>
                <w:szCs w:val="21"/>
              </w:rPr>
            </w:pPr>
            <w:r>
              <w:rPr>
                <w:rStyle w:val="47"/>
                <w:rFonts w:hint="eastAsia" w:ascii="宋体" w:hAnsi="宋体" w:cs="宋体"/>
                <w:kern w:val="0"/>
                <w:szCs w:val="21"/>
              </w:rPr>
              <w:t>②履约担保为银行转账的，承包人须从其企业基本账户将相应的履约担保金额打入比选人下述指定账户。</w:t>
            </w:r>
          </w:p>
          <w:p w14:paraId="4C677117">
            <w:pPr>
              <w:snapToGrid w:val="0"/>
              <w:spacing w:after="48" w:line="400" w:lineRule="exact"/>
              <w:ind w:firstLine="420" w:firstLineChars="200"/>
              <w:rPr>
                <w:rStyle w:val="47"/>
                <w:rFonts w:ascii="宋体" w:hAnsi="宋体" w:cs="宋体"/>
              </w:rPr>
            </w:pPr>
            <w:r>
              <w:rPr>
                <w:rStyle w:val="47"/>
                <w:rFonts w:hint="eastAsia" w:ascii="宋体" w:hAnsi="宋体" w:cs="宋体"/>
              </w:rPr>
              <w:t>4.退还时间：施工完成后通过审核并经发包人认可后退还（履约保证金不计算利息）。</w:t>
            </w:r>
          </w:p>
          <w:p w14:paraId="0074D462">
            <w:pPr>
              <w:snapToGrid w:val="0"/>
              <w:spacing w:after="48" w:line="400" w:lineRule="exact"/>
              <w:ind w:firstLine="420" w:firstLineChars="200"/>
              <w:rPr>
                <w:rStyle w:val="47"/>
                <w:rFonts w:ascii="宋体" w:hAnsi="宋体" w:cs="宋体"/>
                <w:kern w:val="0"/>
                <w:szCs w:val="21"/>
              </w:rPr>
            </w:pPr>
            <w:r>
              <w:rPr>
                <w:rStyle w:val="47"/>
                <w:rFonts w:hint="eastAsia" w:ascii="宋体" w:hAnsi="宋体" w:cs="宋体"/>
                <w:kern w:val="0"/>
                <w:szCs w:val="21"/>
              </w:rPr>
              <w:t>5.贯彻落实上级文件精神，进一步减轻企业负担，主要推行以保函方式缴纳，由承包人根据自身情况自行选择缴纳方式。</w:t>
            </w:r>
          </w:p>
          <w:p w14:paraId="4B16911A">
            <w:pPr>
              <w:overflowPunct w:val="0"/>
              <w:autoSpaceDE w:val="0"/>
              <w:autoSpaceDN w:val="0"/>
              <w:adjustRightInd w:val="0"/>
              <w:snapToGrid w:val="0"/>
              <w:spacing w:line="360" w:lineRule="auto"/>
              <w:ind w:firstLine="422" w:firstLineChars="200"/>
              <w:jc w:val="left"/>
              <w:rPr>
                <w:rFonts w:ascii="宋体" w:hAnsi="宋体"/>
                <w:kern w:val="0"/>
                <w:szCs w:val="21"/>
              </w:rPr>
            </w:pPr>
            <w:r>
              <w:rPr>
                <w:rStyle w:val="47"/>
                <w:rFonts w:hint="eastAsia" w:ascii="宋体" w:hAnsi="宋体"/>
                <w:b/>
                <w:bCs/>
                <w:kern w:val="0"/>
                <w:szCs w:val="21"/>
              </w:rPr>
              <w:t>注：1.承包人提供虚假银行保函的，发包人取消其中选资格，比选保证金不予退还，同时由比选人将其不良行为上报监督部门记分处理并纳入黑名单。2.中选通知书发出之日起30日内，比选人与承包人须完成合同签订事宜。</w:t>
            </w:r>
          </w:p>
        </w:tc>
      </w:tr>
      <w:tr w14:paraId="15C65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876F30D">
            <w:pPr>
              <w:snapToGrid w:val="0"/>
              <w:spacing w:line="400" w:lineRule="exact"/>
              <w:jc w:val="center"/>
              <w:rPr>
                <w:rFonts w:ascii="宋体" w:hAnsi="宋体" w:cs="宋体"/>
                <w:kern w:val="0"/>
                <w:szCs w:val="21"/>
              </w:rPr>
            </w:pPr>
            <w:r>
              <w:rPr>
                <w:rFonts w:hint="eastAsia" w:ascii="宋体" w:hAnsi="宋体" w:cs="宋体"/>
                <w:kern w:val="0"/>
                <w:szCs w:val="21"/>
              </w:rPr>
              <w:t>8.1</w:t>
            </w:r>
          </w:p>
        </w:tc>
        <w:tc>
          <w:tcPr>
            <w:tcW w:w="1964" w:type="dxa"/>
            <w:vAlign w:val="center"/>
          </w:tcPr>
          <w:p w14:paraId="14ECE073">
            <w:pPr>
              <w:snapToGrid w:val="0"/>
              <w:spacing w:line="400" w:lineRule="exact"/>
              <w:jc w:val="center"/>
              <w:rPr>
                <w:rFonts w:ascii="宋体" w:hAnsi="宋体" w:cs="宋体"/>
                <w:kern w:val="0"/>
                <w:szCs w:val="21"/>
              </w:rPr>
            </w:pPr>
            <w:r>
              <w:rPr>
                <w:rFonts w:hint="eastAsia" w:ascii="宋体" w:hAnsi="宋体" w:cs="宋体"/>
                <w:kern w:val="0"/>
                <w:szCs w:val="21"/>
              </w:rPr>
              <w:t>重新比选</w:t>
            </w:r>
          </w:p>
        </w:tc>
        <w:tc>
          <w:tcPr>
            <w:tcW w:w="6372" w:type="dxa"/>
            <w:vAlign w:val="center"/>
          </w:tcPr>
          <w:p w14:paraId="0F95EA1A">
            <w:pPr>
              <w:autoSpaceDE w:val="0"/>
              <w:autoSpaceDN w:val="0"/>
              <w:adjustRightInd w:val="0"/>
              <w:snapToGrid w:val="0"/>
              <w:spacing w:after="62" w:afterLines="20"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1.按竞选人须知第8.1（1）执行；</w:t>
            </w:r>
          </w:p>
          <w:p w14:paraId="44093DE1">
            <w:pPr>
              <w:autoSpaceDE w:val="0"/>
              <w:autoSpaceDN w:val="0"/>
              <w:adjustRightInd w:val="0"/>
              <w:snapToGrid w:val="0"/>
              <w:spacing w:after="62" w:afterLines="20"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2.按竞选人须知第8.1（2）执行；</w:t>
            </w:r>
          </w:p>
          <w:p w14:paraId="79D25AA9">
            <w:pPr>
              <w:autoSpaceDE w:val="0"/>
              <w:autoSpaceDN w:val="0"/>
              <w:adjustRightInd w:val="0"/>
              <w:snapToGrid w:val="0"/>
              <w:spacing w:after="62" w:afterLines="20"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3.按竞选人须知第8.1（3）执行；</w:t>
            </w:r>
          </w:p>
          <w:p w14:paraId="45F2A908">
            <w:pPr>
              <w:autoSpaceDE w:val="0"/>
              <w:autoSpaceDN w:val="0"/>
              <w:adjustRightInd w:val="0"/>
              <w:snapToGrid w:val="0"/>
              <w:spacing w:after="62" w:afterLines="20"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4.按竞选人须知第8.1（4）执行。</w:t>
            </w:r>
          </w:p>
        </w:tc>
      </w:tr>
      <w:tr w14:paraId="554E05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9AB398E">
            <w:pPr>
              <w:snapToGrid w:val="0"/>
              <w:spacing w:line="400" w:lineRule="exact"/>
              <w:jc w:val="center"/>
              <w:rPr>
                <w:rFonts w:ascii="宋体" w:hAnsi="宋体" w:cs="宋体"/>
                <w:kern w:val="0"/>
                <w:szCs w:val="21"/>
              </w:rPr>
            </w:pPr>
            <w:r>
              <w:rPr>
                <w:rFonts w:hint="eastAsia" w:ascii="宋体" w:hAnsi="宋体" w:cs="宋体"/>
                <w:kern w:val="0"/>
                <w:szCs w:val="21"/>
              </w:rPr>
              <w:t>9</w:t>
            </w:r>
          </w:p>
        </w:tc>
        <w:tc>
          <w:tcPr>
            <w:tcW w:w="8336" w:type="dxa"/>
            <w:gridSpan w:val="2"/>
            <w:vAlign w:val="center"/>
          </w:tcPr>
          <w:p w14:paraId="346F9915">
            <w:pPr>
              <w:snapToGrid w:val="0"/>
              <w:spacing w:line="400" w:lineRule="exact"/>
              <w:jc w:val="center"/>
              <w:rPr>
                <w:rFonts w:ascii="宋体" w:hAnsi="宋体" w:cs="宋体"/>
                <w:kern w:val="0"/>
                <w:szCs w:val="21"/>
              </w:rPr>
            </w:pPr>
            <w:r>
              <w:rPr>
                <w:rFonts w:hint="eastAsia" w:ascii="宋体" w:hAnsi="宋体" w:cs="宋体"/>
                <w:kern w:val="0"/>
                <w:szCs w:val="21"/>
              </w:rPr>
              <w:t>需要补充的其他内容</w:t>
            </w:r>
          </w:p>
        </w:tc>
      </w:tr>
      <w:tr w14:paraId="70EE5A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A23C88B">
            <w:pPr>
              <w:spacing w:line="400" w:lineRule="exact"/>
              <w:jc w:val="center"/>
              <w:rPr>
                <w:rFonts w:ascii="宋体" w:hAnsi="宋体" w:cs="宋体"/>
                <w:szCs w:val="21"/>
              </w:rPr>
            </w:pPr>
            <w:r>
              <w:rPr>
                <w:rFonts w:hint="eastAsia" w:ascii="宋体" w:hAnsi="宋体" w:cs="宋体"/>
                <w:szCs w:val="21"/>
              </w:rPr>
              <w:t>9.1</w:t>
            </w:r>
          </w:p>
        </w:tc>
        <w:tc>
          <w:tcPr>
            <w:tcW w:w="1964" w:type="dxa"/>
            <w:vAlign w:val="center"/>
          </w:tcPr>
          <w:p w14:paraId="789792E6">
            <w:pPr>
              <w:spacing w:line="400" w:lineRule="exact"/>
              <w:jc w:val="center"/>
              <w:rPr>
                <w:rFonts w:ascii="宋体" w:hAnsi="宋体" w:cs="宋体"/>
                <w:szCs w:val="21"/>
              </w:rPr>
            </w:pPr>
            <w:r>
              <w:rPr>
                <w:rFonts w:hint="eastAsia" w:ascii="宋体" w:hAnsi="宋体" w:cs="宋体"/>
                <w:szCs w:val="21"/>
              </w:rPr>
              <w:t>关于对比选文件及竞选文件理解争议的解释</w:t>
            </w:r>
          </w:p>
        </w:tc>
        <w:tc>
          <w:tcPr>
            <w:tcW w:w="6372" w:type="dxa"/>
            <w:vAlign w:val="center"/>
          </w:tcPr>
          <w:p w14:paraId="678F62A2">
            <w:pPr>
              <w:spacing w:line="400" w:lineRule="exact"/>
              <w:ind w:firstLine="420"/>
              <w:rPr>
                <w:rFonts w:ascii="宋体" w:hAnsi="宋体" w:cs="宋体"/>
                <w:szCs w:val="21"/>
              </w:rPr>
            </w:pPr>
            <w:r>
              <w:rPr>
                <w:rFonts w:hint="eastAsia" w:ascii="宋体" w:hAnsi="宋体" w:cs="宋体"/>
                <w:szCs w:val="21"/>
              </w:rPr>
              <w:t>对比选文件的评选标准和方法，以及资格审查和否决条款理解有争议的，应当作出不利于比选人的解释，但违背国家利益、社会公共利益的除外。</w:t>
            </w:r>
          </w:p>
          <w:p w14:paraId="7B91F319">
            <w:pPr>
              <w:spacing w:line="400" w:lineRule="exact"/>
              <w:ind w:firstLine="420"/>
              <w:rPr>
                <w:rFonts w:ascii="宋体" w:hAnsi="宋体" w:cs="宋体"/>
                <w:szCs w:val="21"/>
              </w:rPr>
            </w:pPr>
            <w:r>
              <w:rPr>
                <w:rFonts w:hint="eastAsia" w:ascii="宋体" w:hAnsi="宋体" w:cs="宋体"/>
                <w:szCs w:val="21"/>
              </w:rPr>
              <w:t>对竞选文件理解有争议的，应当作出不利于提交该竞选文件的竞选人的解释。</w:t>
            </w:r>
          </w:p>
        </w:tc>
      </w:tr>
      <w:tr w14:paraId="529E3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D1D1534">
            <w:pPr>
              <w:snapToGrid w:val="0"/>
              <w:spacing w:line="400" w:lineRule="exact"/>
              <w:jc w:val="center"/>
              <w:rPr>
                <w:rFonts w:ascii="宋体" w:hAnsi="宋体" w:cs="宋体"/>
                <w:kern w:val="0"/>
                <w:szCs w:val="21"/>
              </w:rPr>
            </w:pPr>
            <w:r>
              <w:rPr>
                <w:rFonts w:hint="eastAsia" w:ascii="宋体" w:hAnsi="宋体" w:cs="宋体"/>
              </w:rPr>
              <w:t>9.2</w:t>
            </w:r>
          </w:p>
        </w:tc>
        <w:tc>
          <w:tcPr>
            <w:tcW w:w="1964" w:type="dxa"/>
            <w:vAlign w:val="center"/>
          </w:tcPr>
          <w:p w14:paraId="545EFD0F">
            <w:pPr>
              <w:snapToGrid w:val="0"/>
              <w:spacing w:line="400" w:lineRule="exact"/>
              <w:jc w:val="center"/>
              <w:rPr>
                <w:rFonts w:ascii="宋体" w:hAnsi="宋体" w:cs="宋体"/>
                <w:kern w:val="0"/>
                <w:szCs w:val="21"/>
              </w:rPr>
            </w:pPr>
            <w:r>
              <w:rPr>
                <w:rFonts w:hint="eastAsia" w:ascii="宋体" w:hAnsi="宋体"/>
                <w:kern w:val="0"/>
                <w:szCs w:val="21"/>
              </w:rPr>
              <w:t xml:space="preserve">支付原则 </w:t>
            </w:r>
          </w:p>
        </w:tc>
        <w:tc>
          <w:tcPr>
            <w:tcW w:w="6372" w:type="dxa"/>
            <w:vAlign w:val="center"/>
          </w:tcPr>
          <w:p w14:paraId="441E7F24">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本项目监理费用按施工进度付款：</w:t>
            </w:r>
          </w:p>
          <w:p w14:paraId="1981CBC1">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①委托人按每季度审核完成进度支付监理酬金，每期实际支付为：委托人确认的</w:t>
            </w:r>
            <w:r>
              <w:rPr>
                <w:rFonts w:hint="eastAsia"/>
              </w:rPr>
              <w:t>建筑安装工程费×中标监理费费率</w:t>
            </w:r>
            <w:r>
              <w:rPr>
                <w:rFonts w:hint="eastAsia" w:ascii="宋体" w:hAnsi="宋体"/>
                <w:szCs w:val="21"/>
              </w:rPr>
              <w:t>×70%。监理人于次月提出申请，委托人自收到监理人提出的申请经确认且收到等额的增值税专用发票后的28日内，支付上一个季度的监理酬金；</w:t>
            </w:r>
          </w:p>
          <w:p w14:paraId="46B69865">
            <w:pPr>
              <w:overflowPunct w:val="0"/>
              <w:autoSpaceDE w:val="0"/>
              <w:autoSpaceDN w:val="0"/>
              <w:adjustRightInd w:val="0"/>
              <w:snapToGrid w:val="0"/>
              <w:spacing w:line="360" w:lineRule="auto"/>
              <w:ind w:firstLine="420" w:firstLineChars="200"/>
              <w:jc w:val="left"/>
              <w:textAlignment w:val="baseline"/>
              <w:rPr>
                <w:rFonts w:ascii="宋体" w:hAnsi="宋体" w:cs="宋体"/>
              </w:rPr>
            </w:pPr>
            <w:r>
              <w:rPr>
                <w:rFonts w:hint="eastAsia" w:ascii="宋体" w:hAnsi="宋体"/>
                <w:szCs w:val="21"/>
              </w:rPr>
              <w:t>②项目竣工验收合格、监理人提出申请经确认且收到等额的增值税专用发票后的【60】日内后支付至</w:t>
            </w:r>
            <w:r>
              <w:rPr>
                <w:rFonts w:hint="eastAsia"/>
              </w:rPr>
              <w:t>合同计算酬金</w:t>
            </w:r>
            <w:r>
              <w:rPr>
                <w:rFonts w:hint="eastAsia" w:ascii="宋体" w:hAnsi="宋体"/>
                <w:szCs w:val="21"/>
              </w:rPr>
              <w:t>的70%；所有监理资料按规范整理完毕并移交、监理人提出申请经确认且收到等额的增值税专用发票后的【60】日内支付至</w:t>
            </w:r>
            <w:r>
              <w:rPr>
                <w:rFonts w:hint="eastAsia"/>
              </w:rPr>
              <w:t>合同计算酬金</w:t>
            </w:r>
            <w:r>
              <w:rPr>
                <w:rFonts w:hint="eastAsia" w:ascii="宋体" w:hAnsi="宋体"/>
                <w:szCs w:val="21"/>
              </w:rPr>
              <w:t>的</w:t>
            </w:r>
            <w:r>
              <w:rPr>
                <w:rFonts w:hint="eastAsia" w:ascii="宋体" w:hAnsi="宋体" w:cs="宋体"/>
                <w:szCs w:val="21"/>
              </w:rPr>
              <w:t>80%；办理完结算审定最终监理酬金</w:t>
            </w:r>
            <w:r>
              <w:rPr>
                <w:rFonts w:hint="eastAsia" w:ascii="宋体" w:hAnsi="宋体"/>
                <w:szCs w:val="21"/>
              </w:rPr>
              <w:t>、监理人提出申请经确认且收到等额的增值税专用发票后的【60】日内</w:t>
            </w:r>
            <w:r>
              <w:rPr>
                <w:rFonts w:hint="eastAsia" w:ascii="宋体" w:hAnsi="宋体" w:cs="宋体"/>
                <w:szCs w:val="21"/>
              </w:rPr>
              <w:t>支付至结算金额的95%；</w:t>
            </w:r>
            <w:r>
              <w:rPr>
                <w:rFonts w:ascii="宋体" w:hAnsi="宋体" w:cs="宋体"/>
              </w:rPr>
              <w:t xml:space="preserve"> </w:t>
            </w:r>
          </w:p>
          <w:p w14:paraId="3F46A2EC">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ascii="宋体" w:hAnsi="宋体"/>
                <w:szCs w:val="21"/>
              </w:rPr>
              <w:t>保修阶段服务</w:t>
            </w:r>
            <w:r>
              <w:rPr>
                <w:rFonts w:hint="eastAsia" w:ascii="宋体" w:hAnsi="宋体"/>
                <w:szCs w:val="21"/>
              </w:rPr>
              <w:t>（5%）</w:t>
            </w:r>
            <w:r>
              <w:rPr>
                <w:rFonts w:ascii="宋体" w:hAnsi="宋体"/>
                <w:szCs w:val="21"/>
              </w:rPr>
              <w:t>：缺陷责任期满</w:t>
            </w:r>
            <w:r>
              <w:rPr>
                <w:rFonts w:hint="eastAsia" w:ascii="宋体" w:hAnsi="宋体"/>
                <w:szCs w:val="21"/>
              </w:rPr>
              <w:t>，验收合格、监理人提出申请经确认且收到等额的增值税专用发票后的【60】日内</w:t>
            </w:r>
            <w:r>
              <w:rPr>
                <w:rFonts w:ascii="宋体" w:hAnsi="宋体"/>
                <w:szCs w:val="21"/>
              </w:rPr>
              <w:t>内一次性支付</w:t>
            </w:r>
            <w:r>
              <w:rPr>
                <w:rFonts w:hint="eastAsia" w:ascii="宋体" w:hAnsi="宋体"/>
                <w:szCs w:val="21"/>
              </w:rPr>
              <w:t>剩余5%</w:t>
            </w:r>
            <w:r>
              <w:rPr>
                <w:rFonts w:ascii="宋体" w:hAnsi="宋体"/>
                <w:szCs w:val="21"/>
              </w:rPr>
              <w:t>（无息）；</w:t>
            </w:r>
          </w:p>
          <w:p w14:paraId="7A042763">
            <w:pPr>
              <w:overflowPunct w:val="0"/>
              <w:autoSpaceDE w:val="0"/>
              <w:autoSpaceDN w:val="0"/>
              <w:adjustRightInd w:val="0"/>
              <w:snapToGrid w:val="0"/>
              <w:spacing w:line="360" w:lineRule="auto"/>
              <w:ind w:firstLine="420"/>
              <w:jc w:val="left"/>
              <w:textAlignment w:val="baseline"/>
              <w:rPr>
                <w:rFonts w:ascii="宋体" w:hAnsi="宋体" w:cs="宋体"/>
                <w:kern w:val="1"/>
                <w:szCs w:val="21"/>
              </w:rPr>
            </w:pPr>
            <w:r>
              <w:rPr>
                <w:rFonts w:hint="eastAsia" w:ascii="宋体" w:hAnsi="宋体" w:cs="宋体"/>
                <w:kern w:val="1"/>
                <w:szCs w:val="21"/>
              </w:rPr>
              <w:t>注：若存在下列情形时，下列情形作为付款条件之一，同时适用，若涉及进度款则不包括下列情形第4种：</w:t>
            </w:r>
          </w:p>
          <w:p w14:paraId="6FA788B1">
            <w:pPr>
              <w:overflowPunct w:val="0"/>
              <w:autoSpaceDE w:val="0"/>
              <w:autoSpaceDN w:val="0"/>
              <w:adjustRightInd w:val="0"/>
              <w:snapToGrid w:val="0"/>
              <w:spacing w:line="360" w:lineRule="auto"/>
              <w:ind w:firstLine="420"/>
              <w:jc w:val="left"/>
              <w:textAlignment w:val="baseline"/>
              <w:rPr>
                <w:rFonts w:ascii="宋体" w:hAnsi="宋体"/>
              </w:rPr>
            </w:pPr>
            <w:r>
              <w:rPr>
                <w:rFonts w:hint="eastAsia" w:ascii="宋体" w:hAnsi="宋体" w:cs="宋体"/>
                <w:kern w:val="1"/>
                <w:szCs w:val="21"/>
              </w:rPr>
              <w:t>（1）每次付款前，监理单位须向委托人提供有效等额增值税专用发票。</w:t>
            </w:r>
            <w:r>
              <w:rPr>
                <w:rFonts w:hint="eastAsia" w:ascii="宋体" w:hAnsi="宋体"/>
              </w:rPr>
              <w:t>在付款前监理人应当提供等额增值税发票，未足额提供的发票的，委托人有权拒绝付款；</w:t>
            </w:r>
          </w:p>
          <w:p w14:paraId="2CB2C972">
            <w:pPr>
              <w:overflowPunct w:val="0"/>
              <w:autoSpaceDE w:val="0"/>
              <w:autoSpaceDN w:val="0"/>
              <w:adjustRightInd w:val="0"/>
              <w:snapToGrid w:val="0"/>
              <w:spacing w:line="360" w:lineRule="auto"/>
              <w:ind w:firstLine="420"/>
              <w:jc w:val="left"/>
              <w:textAlignment w:val="baseline"/>
              <w:rPr>
                <w:rFonts w:ascii="宋体" w:hAnsi="宋体"/>
              </w:rPr>
            </w:pPr>
            <w:r>
              <w:rPr>
                <w:rFonts w:hint="eastAsia" w:ascii="宋体" w:hAnsi="宋体"/>
              </w:rPr>
              <w:t>（2）若合同计算酬金在支付款项时尚无法确定，则以本合同载明工程暂定的建筑安装工程费为基数乘以中标费率做为酬金；</w:t>
            </w:r>
          </w:p>
          <w:p w14:paraId="679581A8">
            <w:pPr>
              <w:overflowPunct w:val="0"/>
              <w:autoSpaceDE w:val="0"/>
              <w:autoSpaceDN w:val="0"/>
              <w:adjustRightInd w:val="0"/>
              <w:snapToGrid w:val="0"/>
              <w:spacing w:line="360" w:lineRule="auto"/>
              <w:ind w:firstLine="420"/>
              <w:jc w:val="left"/>
              <w:textAlignment w:val="baseline"/>
              <w:rPr>
                <w:rFonts w:ascii="宋体" w:hAnsi="宋体"/>
              </w:rPr>
            </w:pPr>
            <w:r>
              <w:rPr>
                <w:rFonts w:hint="eastAsia" w:ascii="宋体" w:hAnsi="宋体"/>
              </w:rPr>
              <w:t>（3）若本合同涉及财政资金或专项资金支持，在委托人未收到财政资金或专项资金的情形下，委托人有权迟延付款且不承担违约责任，在符合其他付款条件且收到财政资金或专项资金后付款；</w:t>
            </w:r>
          </w:p>
          <w:p w14:paraId="287EDB86">
            <w:pPr>
              <w:overflowPunct w:val="0"/>
              <w:autoSpaceDE w:val="0"/>
              <w:autoSpaceDN w:val="0"/>
              <w:adjustRightInd w:val="0"/>
              <w:snapToGrid w:val="0"/>
              <w:spacing w:line="360" w:lineRule="auto"/>
              <w:ind w:firstLine="420"/>
              <w:jc w:val="left"/>
              <w:textAlignment w:val="baseline"/>
              <w:rPr>
                <w:rFonts w:ascii="宋体" w:hAnsi="宋体"/>
              </w:rPr>
            </w:pPr>
            <w:r>
              <w:rPr>
                <w:rFonts w:hint="eastAsia" w:ascii="宋体" w:hAnsi="宋体"/>
              </w:rPr>
              <w:t>（4）若需对工程进行审计或财评，则在审计或财评结果未出之前，委托人有权迟延付款且不承担违约责任。</w:t>
            </w:r>
          </w:p>
          <w:p w14:paraId="26C3A58A">
            <w:pPr>
              <w:spacing w:line="400" w:lineRule="exact"/>
              <w:ind w:firstLine="420" w:firstLineChars="200"/>
              <w:rPr>
                <w:rFonts w:ascii="宋体" w:hAnsi="宋体" w:cs="宋体"/>
                <w:szCs w:val="21"/>
              </w:rPr>
            </w:pPr>
            <w:r>
              <w:rPr>
                <w:rFonts w:hint="eastAsia" w:ascii="宋体" w:hAnsi="宋体"/>
              </w:rPr>
              <w:t>本合同的审计包括委托人委托第三方审计、重庆市南岸区财政局审计或重庆市南岸区审计局审计，若需重庆市南岸区财政局审计或重庆市南岸区审计局审计，则以重庆市南岸区财政局审计或重庆市南岸区审计局审计结果为准。</w:t>
            </w:r>
          </w:p>
        </w:tc>
      </w:tr>
      <w:tr w14:paraId="555E3C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7B415FA">
            <w:pPr>
              <w:snapToGrid w:val="0"/>
              <w:spacing w:line="400" w:lineRule="exact"/>
              <w:jc w:val="center"/>
              <w:rPr>
                <w:rFonts w:ascii="宋体" w:hAnsi="宋体"/>
                <w:kern w:val="0"/>
                <w:szCs w:val="21"/>
              </w:rPr>
            </w:pPr>
            <w:r>
              <w:rPr>
                <w:rFonts w:hint="eastAsia" w:ascii="宋体" w:hAnsi="宋体"/>
                <w:kern w:val="0"/>
                <w:szCs w:val="21"/>
              </w:rPr>
              <w:t>9.3</w:t>
            </w:r>
          </w:p>
        </w:tc>
        <w:tc>
          <w:tcPr>
            <w:tcW w:w="1964" w:type="dxa"/>
            <w:vAlign w:val="center"/>
          </w:tcPr>
          <w:p w14:paraId="03E9C4A3">
            <w:pPr>
              <w:snapToGrid w:val="0"/>
              <w:spacing w:line="400" w:lineRule="exact"/>
              <w:jc w:val="center"/>
              <w:rPr>
                <w:rFonts w:ascii="宋体" w:hAnsi="宋体"/>
                <w:kern w:val="0"/>
                <w:szCs w:val="21"/>
              </w:rPr>
            </w:pPr>
            <w:r>
              <w:rPr>
                <w:rFonts w:hint="eastAsia" w:ascii="宋体" w:hAnsi="宋体"/>
                <w:kern w:val="0"/>
                <w:szCs w:val="21"/>
              </w:rPr>
              <w:t>中选候选人和中选人无故放弃中选或不签订合同的后果</w:t>
            </w:r>
          </w:p>
        </w:tc>
        <w:tc>
          <w:tcPr>
            <w:tcW w:w="6372" w:type="dxa"/>
            <w:vAlign w:val="center"/>
          </w:tcPr>
          <w:p w14:paraId="77D7887B">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1.不予退还比选保证金；</w:t>
            </w:r>
          </w:p>
          <w:p w14:paraId="6D36C9E4">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2.给比选人造成经济损失的，要赔偿比选人合理损失；</w:t>
            </w:r>
          </w:p>
          <w:p w14:paraId="3EF4CD30">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3.由比选人将其不良行为上报监督部门记分处理并纳入黑名单。</w:t>
            </w:r>
          </w:p>
        </w:tc>
      </w:tr>
      <w:tr w14:paraId="30887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8A7821B">
            <w:pPr>
              <w:snapToGrid w:val="0"/>
              <w:spacing w:line="400" w:lineRule="exact"/>
              <w:jc w:val="center"/>
              <w:rPr>
                <w:rFonts w:ascii="宋体" w:hAnsi="宋体"/>
                <w:kern w:val="0"/>
                <w:szCs w:val="21"/>
              </w:rPr>
            </w:pPr>
            <w:r>
              <w:rPr>
                <w:rFonts w:hint="eastAsia" w:ascii="宋体" w:hAnsi="宋体"/>
                <w:kern w:val="0"/>
                <w:szCs w:val="21"/>
              </w:rPr>
              <w:t>9</w:t>
            </w:r>
            <w:r>
              <w:rPr>
                <w:rFonts w:ascii="宋体" w:hAnsi="宋体"/>
                <w:kern w:val="0"/>
                <w:szCs w:val="21"/>
              </w:rPr>
              <w:t>.4</w:t>
            </w:r>
          </w:p>
        </w:tc>
        <w:tc>
          <w:tcPr>
            <w:tcW w:w="1964" w:type="dxa"/>
            <w:vAlign w:val="center"/>
          </w:tcPr>
          <w:p w14:paraId="4E3CA532">
            <w:pPr>
              <w:snapToGrid w:val="0"/>
              <w:spacing w:line="400" w:lineRule="exact"/>
              <w:jc w:val="center"/>
              <w:rPr>
                <w:rFonts w:ascii="宋体" w:hAnsi="宋体"/>
                <w:kern w:val="0"/>
                <w:szCs w:val="21"/>
              </w:rPr>
            </w:pPr>
            <w:r>
              <w:rPr>
                <w:rFonts w:hint="eastAsia" w:ascii="宋体" w:hAnsi="宋体"/>
                <w:kern w:val="0"/>
                <w:szCs w:val="21"/>
              </w:rPr>
              <w:t>低价风险担保</w:t>
            </w:r>
          </w:p>
        </w:tc>
        <w:tc>
          <w:tcPr>
            <w:tcW w:w="6372" w:type="dxa"/>
            <w:vAlign w:val="center"/>
          </w:tcPr>
          <w:p w14:paraId="0854C5FC">
            <w:pPr>
              <w:autoSpaceDE w:val="0"/>
              <w:autoSpaceDN w:val="0"/>
              <w:adjustRightInd w:val="0"/>
              <w:snapToGrid w:val="0"/>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1、低价风险担保：中标价低于最高限价的85%时提供，如不按时足额提供，视为中标人放弃中标，招标人有权不退还其投标保证金，</w:t>
            </w:r>
            <w:r>
              <w:rPr>
                <w:rFonts w:hint="eastAsia" w:asciiTheme="minorEastAsia" w:hAnsiTheme="minorEastAsia" w:eastAsiaTheme="minorEastAsia" w:cstheme="minorEastAsia"/>
                <w:szCs w:val="21"/>
              </w:rPr>
              <w:t>并报招标投标行政监督部门按照信用管理办法的规定处理，对中标人的不良行为直接记12分，纳入重点关注名单。</w:t>
            </w:r>
          </w:p>
          <w:p w14:paraId="6E948C80">
            <w:pPr>
              <w:autoSpaceDE w:val="0"/>
              <w:autoSpaceDN w:val="0"/>
              <w:adjustRightInd w:val="0"/>
              <w:snapToGrid w:val="0"/>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2、中标人提供低价风险担保的形式、金额及期限：</w:t>
            </w:r>
          </w:p>
          <w:p w14:paraId="70124F37">
            <w:pPr>
              <w:autoSpaceDE w:val="0"/>
              <w:autoSpaceDN w:val="0"/>
              <w:adjustRightInd w:val="0"/>
              <w:snapToGrid w:val="0"/>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（1）低价风险担保的形式：现金或银行保函</w:t>
            </w:r>
            <w:r>
              <w:rPr>
                <w:rFonts w:hint="eastAsia" w:asciiTheme="minorEastAsia" w:hAnsiTheme="minorEastAsia" w:eastAsiaTheme="minorEastAsia" w:cstheme="minorEastAsia"/>
                <w:szCs w:val="21"/>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Theme="minorEastAsia" w:hAnsiTheme="minorEastAsia" w:eastAsiaTheme="minorEastAsia" w:cstheme="minorEastAsia"/>
                <w:kern w:val="0"/>
                <w:szCs w:val="21"/>
              </w:rPr>
              <w:t>。</w:t>
            </w:r>
          </w:p>
          <w:p w14:paraId="4834F1A5">
            <w:pPr>
              <w:autoSpaceDE w:val="0"/>
              <w:autoSpaceDN w:val="0"/>
              <w:adjustRightInd w:val="0"/>
              <w:snapToGrid w:val="0"/>
              <w:spacing w:line="400" w:lineRule="exact"/>
              <w:ind w:firstLine="420" w:firstLineChars="200"/>
              <w:rPr>
                <w:rFonts w:asciiTheme="minorEastAsia" w:hAnsiTheme="minorEastAsia" w:eastAsiaTheme="minorEastAsia" w:cstheme="minorEastAsia"/>
                <w:i/>
                <w:iCs/>
                <w:kern w:val="0"/>
                <w:szCs w:val="21"/>
              </w:rPr>
            </w:pPr>
            <w:r>
              <w:rPr>
                <w:rFonts w:hint="eastAsia" w:asciiTheme="minorEastAsia" w:hAnsiTheme="minorEastAsia" w:eastAsiaTheme="minorEastAsia" w:cstheme="minorEastAsia"/>
                <w:kern w:val="0"/>
                <w:szCs w:val="21"/>
              </w:rPr>
              <w:t>（2）低价风险担保的金额：（最高限价×85%-中标价）×3</w:t>
            </w:r>
            <w:r>
              <w:rPr>
                <w:rStyle w:val="32"/>
                <w:rFonts w:hint="eastAsia" w:asciiTheme="minorEastAsia" w:hAnsiTheme="minorEastAsia" w:eastAsiaTheme="minorEastAsia" w:cstheme="minorEastAsia"/>
              </w:rPr>
              <w:t>，且最高不超过最高限价的85%。</w:t>
            </w:r>
          </w:p>
          <w:p w14:paraId="768BE3D9">
            <w:pPr>
              <w:autoSpaceDE w:val="0"/>
              <w:autoSpaceDN w:val="0"/>
              <w:adjustRightInd w:val="0"/>
              <w:snapToGrid w:val="0"/>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（3）低价风险担保送达招标人的时间：</w:t>
            </w:r>
            <w:r>
              <w:rPr>
                <w:rFonts w:hint="eastAsia" w:asciiTheme="minorEastAsia" w:hAnsiTheme="minorEastAsia" w:eastAsiaTheme="minorEastAsia" w:cstheme="minorEastAsia"/>
                <w:szCs w:val="21"/>
              </w:rPr>
              <w:t>从招标人中标通知书送达拟中标人之日起</w:t>
            </w:r>
            <w:r>
              <w:rPr>
                <w:rFonts w:hint="eastAsia" w:asciiTheme="minorEastAsia" w:hAnsiTheme="minorEastAsia" w:eastAsiaTheme="minorEastAsia" w:cstheme="minorEastAsia"/>
                <w:szCs w:val="21"/>
                <w:u w:val="single"/>
              </w:rPr>
              <w:t xml:space="preserve"> 10 </w:t>
            </w:r>
            <w:r>
              <w:rPr>
                <w:rFonts w:hint="eastAsia" w:asciiTheme="minorEastAsia" w:hAnsiTheme="minorEastAsia" w:eastAsiaTheme="minorEastAsia" w:cstheme="minorEastAsia"/>
                <w:szCs w:val="21"/>
              </w:rPr>
              <w:t>工作日内</w:t>
            </w:r>
            <w:r>
              <w:rPr>
                <w:rFonts w:hint="eastAsia" w:asciiTheme="minorEastAsia" w:hAnsiTheme="minorEastAsia" w:eastAsiaTheme="minorEastAsia" w:cstheme="minorEastAsia"/>
                <w:kern w:val="0"/>
                <w:szCs w:val="21"/>
              </w:rPr>
              <w:t>；</w:t>
            </w:r>
          </w:p>
          <w:p w14:paraId="27552497">
            <w:pPr>
              <w:autoSpaceDE w:val="0"/>
              <w:autoSpaceDN w:val="0"/>
              <w:adjustRightInd w:val="0"/>
              <w:snapToGrid w:val="0"/>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（4）中标人因自身原因未按中标通知书规定的时限与招标人签订合同的，招标人有权扣除其低价风险担保并取消中标资格。</w:t>
            </w:r>
          </w:p>
          <w:p w14:paraId="0FFF3566">
            <w:pPr>
              <w:autoSpaceDE w:val="0"/>
              <w:autoSpaceDN w:val="0"/>
              <w:adjustRightInd w:val="0"/>
              <w:snapToGrid w:val="0"/>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（5）低价风险担保的期限：</w:t>
            </w:r>
            <w:r>
              <w:rPr>
                <w:rFonts w:hint="eastAsia" w:asciiTheme="minorEastAsia" w:hAnsiTheme="minorEastAsia" w:eastAsiaTheme="minorEastAsia" w:cstheme="minorEastAsia"/>
                <w:kern w:val="0"/>
                <w:szCs w:val="21"/>
                <w:u w:val="single"/>
              </w:rPr>
              <w:t>自低价风险担保生效之日起至竣工验收合格之日止</w:t>
            </w:r>
            <w:r>
              <w:rPr>
                <w:rFonts w:hint="eastAsia" w:asciiTheme="minorEastAsia" w:hAnsiTheme="minorEastAsia" w:eastAsiaTheme="minorEastAsia" w:cstheme="minorEastAsia"/>
                <w:kern w:val="0"/>
                <w:szCs w:val="21"/>
              </w:rPr>
              <w:t>。</w:t>
            </w:r>
          </w:p>
          <w:p w14:paraId="1A9325C8">
            <w:pPr>
              <w:widowControl/>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3、低价风险担保的退还时间：采用现金担保的，工程竣工验收合格后14天内退还，合同履行期间允许承包人用符合要求的银行保函进行置换；采用银行保函的，工程竣工验收合格后14天内退还。</w:t>
            </w:r>
          </w:p>
          <w:p w14:paraId="697D67E4">
            <w:pPr>
              <w:widowControl/>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4D6D318B">
            <w:pPr>
              <w:widowControl/>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备注：当中标人或拟中标人未按时提交低价风险担保，且属于可以延长低价风险担保提交期限的特殊情形时，经招标人同意，可适当延长低价风险担保的提交期限。</w:t>
            </w:r>
          </w:p>
          <w:p w14:paraId="573A5FFD">
            <w:pPr>
              <w:autoSpaceDE w:val="0"/>
              <w:autoSpaceDN w:val="0"/>
              <w:adjustRightInd w:val="0"/>
              <w:snapToGrid w:val="0"/>
              <w:spacing w:line="400" w:lineRule="exact"/>
              <w:ind w:firstLine="420" w:firstLineChars="200"/>
              <w:rPr>
                <w:rFonts w:ascii="宋体" w:hAnsi="宋体"/>
                <w:kern w:val="0"/>
                <w:szCs w:val="21"/>
              </w:rPr>
            </w:pPr>
            <w:r>
              <w:rPr>
                <w:rFonts w:hint="eastAsia" w:asciiTheme="minorEastAsia" w:hAnsiTheme="minorEastAsia" w:eastAsiaTheme="minorEastAsia" w:cstheme="minorEastAsia"/>
                <w:szCs w:val="21"/>
              </w:rPr>
              <w:t>5、投标总报价低于最高限价85%的，投标人应在编制投标文件时，在投标函部分中递交低价风险担保提交承诺书。承诺书格式详见第五章投标文件格式。</w:t>
            </w:r>
          </w:p>
        </w:tc>
      </w:tr>
      <w:tr w14:paraId="67C64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D8662FA">
            <w:pPr>
              <w:snapToGrid w:val="0"/>
              <w:spacing w:line="400" w:lineRule="exact"/>
              <w:jc w:val="center"/>
              <w:rPr>
                <w:rFonts w:ascii="宋体" w:hAnsi="宋体" w:eastAsiaTheme="minorEastAsia"/>
                <w:kern w:val="0"/>
                <w:szCs w:val="21"/>
              </w:rPr>
            </w:pPr>
            <w:r>
              <w:rPr>
                <w:rFonts w:hint="eastAsia" w:asciiTheme="minorEastAsia" w:hAnsiTheme="minorEastAsia" w:eastAsiaTheme="minorEastAsia"/>
                <w:kern w:val="0"/>
                <w:szCs w:val="21"/>
              </w:rPr>
              <w:t>9.</w:t>
            </w:r>
            <w:r>
              <w:rPr>
                <w:rFonts w:asciiTheme="minorEastAsia" w:hAnsiTheme="minorEastAsia" w:eastAsiaTheme="minorEastAsia"/>
                <w:kern w:val="0"/>
                <w:szCs w:val="21"/>
              </w:rPr>
              <w:t>5</w:t>
            </w:r>
          </w:p>
        </w:tc>
        <w:tc>
          <w:tcPr>
            <w:tcW w:w="1964" w:type="dxa"/>
            <w:vAlign w:val="center"/>
          </w:tcPr>
          <w:p w14:paraId="02AF119B">
            <w:pPr>
              <w:snapToGrid w:val="0"/>
              <w:spacing w:line="400" w:lineRule="exact"/>
              <w:jc w:val="center"/>
              <w:rPr>
                <w:rFonts w:ascii="宋体" w:hAnsi="宋体"/>
                <w:kern w:val="0"/>
                <w:szCs w:val="21"/>
              </w:rPr>
            </w:pPr>
            <w:r>
              <w:rPr>
                <w:rFonts w:hint="eastAsia" w:asciiTheme="minorEastAsia" w:hAnsiTheme="minorEastAsia" w:eastAsiaTheme="minorEastAsia"/>
                <w:kern w:val="0"/>
                <w:szCs w:val="21"/>
              </w:rPr>
              <w:t>代理服务费</w:t>
            </w:r>
          </w:p>
        </w:tc>
        <w:tc>
          <w:tcPr>
            <w:tcW w:w="6372" w:type="dxa"/>
            <w:vAlign w:val="center"/>
          </w:tcPr>
          <w:p w14:paraId="7668F413">
            <w:pPr>
              <w:autoSpaceDE w:val="0"/>
              <w:autoSpaceDN w:val="0"/>
              <w:adjustRightInd w:val="0"/>
              <w:snapToGrid w:val="0"/>
              <w:spacing w:line="400" w:lineRule="exact"/>
              <w:ind w:firstLine="420" w:firstLineChars="200"/>
              <w:rPr>
                <w:rFonts w:ascii="宋体" w:hAnsi="宋体"/>
                <w:kern w:val="0"/>
                <w:szCs w:val="21"/>
              </w:rPr>
            </w:pPr>
            <w:r>
              <w:rPr>
                <w:rFonts w:hint="eastAsia" w:asciiTheme="minorEastAsia" w:hAnsiTheme="minorEastAsia" w:eastAsiaTheme="minorEastAsia"/>
                <w:kern w:val="0"/>
                <w:szCs w:val="21"/>
              </w:rPr>
              <w:t>比选代理服务费：按照《招标代理服务收费管理暂行办法》（计价格[2002]1980号）收费标准70%计算；计算金额如低于6000.00元则按照6000.00元计。由中标人在领取中标通知书时一次性支付。</w:t>
            </w:r>
          </w:p>
        </w:tc>
      </w:tr>
      <w:tr w14:paraId="5A828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921C9B3">
            <w:pPr>
              <w:snapToGrid w:val="0"/>
              <w:spacing w:line="400" w:lineRule="exact"/>
              <w:jc w:val="center"/>
              <w:rPr>
                <w:rFonts w:ascii="宋体" w:hAnsi="宋体"/>
                <w:kern w:val="0"/>
                <w:szCs w:val="21"/>
              </w:rPr>
            </w:pPr>
            <w:r>
              <w:rPr>
                <w:rFonts w:hint="eastAsia" w:ascii="宋体" w:hAnsi="宋体"/>
                <w:kern w:val="0"/>
                <w:szCs w:val="21"/>
              </w:rPr>
              <w:t>9.</w:t>
            </w:r>
            <w:r>
              <w:rPr>
                <w:rFonts w:ascii="宋体" w:hAnsi="宋体"/>
                <w:kern w:val="0"/>
                <w:szCs w:val="21"/>
              </w:rPr>
              <w:t>6</w:t>
            </w:r>
          </w:p>
        </w:tc>
        <w:tc>
          <w:tcPr>
            <w:tcW w:w="1964" w:type="dxa"/>
            <w:vAlign w:val="center"/>
          </w:tcPr>
          <w:p w14:paraId="39C24B33">
            <w:pPr>
              <w:snapToGrid w:val="0"/>
              <w:spacing w:line="400" w:lineRule="exact"/>
              <w:jc w:val="center"/>
              <w:rPr>
                <w:rFonts w:ascii="宋体" w:hAnsi="宋体"/>
                <w:kern w:val="0"/>
                <w:szCs w:val="21"/>
              </w:rPr>
            </w:pPr>
            <w:r>
              <w:rPr>
                <w:rFonts w:hint="eastAsia" w:ascii="宋体" w:hAnsi="宋体"/>
                <w:b/>
                <w:bCs/>
                <w:kern w:val="0"/>
                <w:szCs w:val="21"/>
              </w:rPr>
              <w:t>特别提醒</w:t>
            </w:r>
          </w:p>
        </w:tc>
        <w:tc>
          <w:tcPr>
            <w:tcW w:w="6372" w:type="dxa"/>
            <w:vAlign w:val="center"/>
          </w:tcPr>
          <w:p w14:paraId="3E796E98">
            <w:pPr>
              <w:autoSpaceDE w:val="0"/>
              <w:autoSpaceDN w:val="0"/>
              <w:adjustRightInd w:val="0"/>
              <w:snapToGrid w:val="0"/>
              <w:spacing w:line="400" w:lineRule="exact"/>
              <w:ind w:firstLine="422" w:firstLineChars="200"/>
              <w:rPr>
                <w:rFonts w:ascii="宋体" w:hAnsi="宋体" w:cs="宋体"/>
                <w:b/>
                <w:bCs/>
                <w:kern w:val="0"/>
                <w:szCs w:val="21"/>
              </w:rPr>
            </w:pPr>
            <w:r>
              <w:rPr>
                <w:rFonts w:hint="eastAsia" w:ascii="宋体" w:hAnsi="宋体" w:cs="宋体"/>
                <w:b/>
                <w:bCs/>
                <w:kern w:val="0"/>
                <w:szCs w:val="21"/>
              </w:rPr>
              <w:t>1.中选候选人或中选人放弃中选项目，无正当理由不与比选人签订合同，在签订合同时向比选人提出附加条件或者更改合同实质性内容，或者拒不提交履约担保的，取消其中选资格，比选保证金不予退还，给比选人的损失超过比选保证金数额的，中选候选人或中选人应对超过部分予以赔偿。竞选人应对上述要求在竞选文件中无条件予以响应，否则由评选委员会作否决竞选处理。</w:t>
            </w:r>
          </w:p>
          <w:p w14:paraId="0BF7EEDE">
            <w:pPr>
              <w:autoSpaceDE w:val="0"/>
              <w:autoSpaceDN w:val="0"/>
              <w:adjustRightInd w:val="0"/>
              <w:snapToGrid w:val="0"/>
              <w:spacing w:line="400" w:lineRule="exact"/>
              <w:ind w:firstLine="422" w:firstLineChars="200"/>
              <w:rPr>
                <w:rFonts w:ascii="宋体" w:hAnsi="宋体" w:cs="宋体"/>
                <w:b/>
                <w:bCs/>
                <w:kern w:val="0"/>
                <w:szCs w:val="21"/>
              </w:rPr>
            </w:pPr>
            <w:r>
              <w:rPr>
                <w:rFonts w:hint="eastAsia" w:ascii="宋体" w:hAnsi="宋体" w:cs="宋体"/>
                <w:b/>
                <w:bCs/>
                <w:kern w:val="0"/>
                <w:szCs w:val="21"/>
              </w:rPr>
              <w:t>2.中选单位派驻项目现场的监理人员必须与竞选文件承诺的人员一致，除特殊原因不得更换。凡发现派驻的监理人员和与竞选文件不同的，建设单位视为监理单位存在违法挂靠承包行为，责令改正，并给予相应经济处罚，并将该处理情况上报监督部门纳入信用考核，相关信息纳入全市信用监管平台。</w:t>
            </w:r>
          </w:p>
          <w:p w14:paraId="2815BA37">
            <w:pPr>
              <w:autoSpaceDE w:val="0"/>
              <w:autoSpaceDN w:val="0"/>
              <w:adjustRightInd w:val="0"/>
              <w:snapToGrid w:val="0"/>
              <w:spacing w:line="400" w:lineRule="exact"/>
              <w:ind w:firstLine="422" w:firstLineChars="200"/>
              <w:rPr>
                <w:rFonts w:ascii="宋体" w:hAnsi="宋体" w:cs="宋体"/>
                <w:b/>
                <w:bCs/>
                <w:kern w:val="0"/>
                <w:szCs w:val="21"/>
              </w:rPr>
            </w:pPr>
            <w:r>
              <w:rPr>
                <w:rFonts w:hint="eastAsia" w:ascii="宋体" w:hAnsi="宋体" w:cs="宋体"/>
                <w:b/>
                <w:bCs/>
                <w:kern w:val="0"/>
                <w:szCs w:val="21"/>
              </w:rPr>
              <w:t>3.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bl>
    <w:p w14:paraId="59BF916F">
      <w:pPr>
        <w:pStyle w:val="8"/>
        <w:rPr>
          <w:rFonts w:ascii="宋体" w:hAnsi="宋体" w:cs="宋体"/>
          <w:bCs/>
          <w:snapToGrid w:val="0"/>
          <w:sz w:val="24"/>
        </w:rPr>
      </w:pPr>
      <w:bookmarkStart w:id="42" w:name="_Toc430530435"/>
      <w:bookmarkStart w:id="43" w:name="_Toc277082552"/>
      <w:bookmarkStart w:id="44" w:name="_Toc287607746"/>
      <w:bookmarkStart w:id="45" w:name="_Toc509218710"/>
      <w:bookmarkStart w:id="46" w:name="_Toc224103317"/>
      <w:bookmarkStart w:id="47" w:name="_Toc287620685"/>
      <w:bookmarkStart w:id="48" w:name="_Toc200513126"/>
    </w:p>
    <w:p w14:paraId="3480EB8F">
      <w:pPr>
        <w:pStyle w:val="8"/>
        <w:rPr>
          <w:rFonts w:ascii="宋体" w:hAnsi="宋体" w:cs="宋体"/>
          <w:bCs/>
          <w:snapToGrid w:val="0"/>
          <w:sz w:val="24"/>
        </w:rPr>
      </w:pPr>
    </w:p>
    <w:p w14:paraId="6F3A9DB4">
      <w:pPr>
        <w:pStyle w:val="8"/>
        <w:rPr>
          <w:rFonts w:ascii="宋体" w:hAnsi="宋体" w:cs="宋体"/>
          <w:bCs/>
          <w:snapToGrid w:val="0"/>
          <w:sz w:val="24"/>
        </w:rPr>
      </w:pPr>
    </w:p>
    <w:p w14:paraId="3910539F">
      <w:pPr>
        <w:pStyle w:val="8"/>
        <w:rPr>
          <w:rFonts w:ascii="宋体" w:hAnsi="宋体" w:cs="宋体"/>
          <w:bCs/>
          <w:snapToGrid w:val="0"/>
          <w:sz w:val="24"/>
        </w:rPr>
      </w:pPr>
    </w:p>
    <w:p w14:paraId="301DA2E0">
      <w:pPr>
        <w:pStyle w:val="8"/>
        <w:rPr>
          <w:rFonts w:ascii="宋体" w:hAnsi="宋体" w:cs="宋体"/>
          <w:bCs/>
          <w:snapToGrid w:val="0"/>
          <w:sz w:val="24"/>
        </w:rPr>
      </w:pPr>
    </w:p>
    <w:p w14:paraId="42A241FD">
      <w:pPr>
        <w:pStyle w:val="8"/>
        <w:rPr>
          <w:rFonts w:ascii="宋体" w:hAnsi="宋体" w:cs="宋体"/>
          <w:bCs/>
          <w:snapToGrid w:val="0"/>
          <w:sz w:val="24"/>
        </w:rPr>
      </w:pPr>
    </w:p>
    <w:p w14:paraId="0C14728C">
      <w:pPr>
        <w:rPr>
          <w:rFonts w:ascii="宋体" w:hAnsi="宋体" w:cs="宋体"/>
          <w:bCs/>
          <w:snapToGrid w:val="0"/>
          <w:sz w:val="24"/>
        </w:rPr>
      </w:pPr>
      <w:r>
        <w:rPr>
          <w:rFonts w:hint="eastAsia" w:ascii="宋体" w:hAnsi="宋体" w:cs="宋体"/>
          <w:bCs/>
          <w:snapToGrid w:val="0"/>
          <w:sz w:val="24"/>
        </w:rPr>
        <w:br w:type="page"/>
      </w:r>
    </w:p>
    <w:p w14:paraId="115726A8">
      <w:pPr>
        <w:pStyle w:val="8"/>
        <w:rPr>
          <w:rFonts w:ascii="宋体" w:hAnsi="宋体" w:cs="宋体"/>
          <w:bCs/>
          <w:snapToGrid w:val="0"/>
          <w:sz w:val="24"/>
        </w:rPr>
      </w:pPr>
      <w:r>
        <w:rPr>
          <w:rFonts w:hint="eastAsia" w:ascii="宋体" w:hAnsi="宋体" w:cs="宋体"/>
          <w:bCs/>
          <w:snapToGrid w:val="0"/>
          <w:sz w:val="24"/>
        </w:rPr>
        <w:t>1.  总则</w:t>
      </w:r>
      <w:bookmarkEnd w:id="42"/>
      <w:bookmarkEnd w:id="43"/>
      <w:bookmarkEnd w:id="44"/>
      <w:bookmarkEnd w:id="45"/>
      <w:bookmarkEnd w:id="46"/>
      <w:bookmarkEnd w:id="47"/>
      <w:bookmarkEnd w:id="48"/>
    </w:p>
    <w:p w14:paraId="1D8F0AF2">
      <w:pPr>
        <w:pStyle w:val="5"/>
        <w:snapToGrid w:val="0"/>
        <w:spacing w:before="0" w:after="0" w:line="360" w:lineRule="auto"/>
        <w:rPr>
          <w:rFonts w:ascii="宋体" w:hAnsi="宋体" w:cs="宋体"/>
          <w:b w:val="0"/>
          <w:snapToGrid w:val="0"/>
          <w:sz w:val="24"/>
          <w:szCs w:val="24"/>
        </w:rPr>
      </w:pPr>
      <w:bookmarkStart w:id="49" w:name="_Toc509218711"/>
      <w:bookmarkStart w:id="50" w:name="_Toc40569141"/>
      <w:bookmarkStart w:id="51" w:name="_Toc287607747"/>
      <w:bookmarkStart w:id="52" w:name="_Toc224103318"/>
      <w:bookmarkStart w:id="53" w:name="_Toc3411"/>
      <w:bookmarkStart w:id="54" w:name="_Toc277082553"/>
      <w:bookmarkStart w:id="55" w:name="_Toc200513127"/>
      <w:bookmarkStart w:id="56" w:name="_Toc32083"/>
      <w:bookmarkStart w:id="57" w:name="_Toc287620686"/>
      <w:bookmarkStart w:id="58" w:name="_Toc40569046"/>
      <w:bookmarkStart w:id="59" w:name="_Toc430530436"/>
      <w:bookmarkStart w:id="60" w:name="_Toc10890"/>
      <w:r>
        <w:rPr>
          <w:rFonts w:hint="eastAsia" w:ascii="宋体" w:hAnsi="宋体" w:cs="宋体"/>
          <w:b w:val="0"/>
          <w:snapToGrid w:val="0"/>
          <w:sz w:val="24"/>
          <w:szCs w:val="24"/>
        </w:rPr>
        <w:t>1.1  项目概况</w:t>
      </w:r>
      <w:bookmarkEnd w:id="49"/>
      <w:bookmarkEnd w:id="50"/>
      <w:bookmarkEnd w:id="51"/>
      <w:bookmarkEnd w:id="52"/>
      <w:bookmarkEnd w:id="53"/>
      <w:bookmarkEnd w:id="54"/>
      <w:bookmarkEnd w:id="55"/>
      <w:bookmarkEnd w:id="56"/>
      <w:bookmarkEnd w:id="57"/>
      <w:bookmarkEnd w:id="58"/>
      <w:bookmarkEnd w:id="59"/>
      <w:bookmarkEnd w:id="60"/>
    </w:p>
    <w:p w14:paraId="1F1ED2D3">
      <w:pPr>
        <w:autoSpaceDE w:val="0"/>
        <w:autoSpaceDN w:val="0"/>
        <w:adjustRightInd w:val="0"/>
        <w:snapToGrid w:val="0"/>
        <w:spacing w:line="360" w:lineRule="auto"/>
        <w:ind w:firstLine="357" w:firstLineChars="170"/>
        <w:rPr>
          <w:rFonts w:ascii="宋体" w:hAnsi="宋体" w:cs="宋体"/>
          <w:snapToGrid w:val="0"/>
          <w:kern w:val="0"/>
          <w:szCs w:val="21"/>
        </w:rPr>
      </w:pPr>
      <w:r>
        <w:rPr>
          <w:rFonts w:hint="eastAsia" w:ascii="宋体" w:hAnsi="宋体" w:cs="宋体"/>
          <w:snapToGrid w:val="0"/>
          <w:kern w:val="0"/>
          <w:szCs w:val="21"/>
        </w:rPr>
        <w:t>1.1.1  根据《中华人民共和国招标投标法》等有关法律、法规和规章的规定，本发包项目已具备比选条件，现对本项目监理进行竞争性比选。</w:t>
      </w:r>
    </w:p>
    <w:p w14:paraId="15D2BB78">
      <w:pPr>
        <w:autoSpaceDE w:val="0"/>
        <w:autoSpaceDN w:val="0"/>
        <w:adjustRightInd w:val="0"/>
        <w:snapToGrid w:val="0"/>
        <w:spacing w:line="360" w:lineRule="auto"/>
        <w:ind w:firstLine="357" w:firstLineChars="170"/>
        <w:rPr>
          <w:rFonts w:ascii="宋体" w:hAnsi="宋体" w:cs="宋体"/>
          <w:snapToGrid w:val="0"/>
          <w:kern w:val="0"/>
          <w:szCs w:val="21"/>
        </w:rPr>
      </w:pPr>
      <w:r>
        <w:rPr>
          <w:rFonts w:hint="eastAsia" w:ascii="宋体" w:hAnsi="宋体" w:cs="宋体"/>
          <w:snapToGrid w:val="0"/>
          <w:kern w:val="0"/>
          <w:szCs w:val="21"/>
        </w:rPr>
        <w:t>1.1.2  本发包项目比选人：见竞选人须知前附表。</w:t>
      </w:r>
    </w:p>
    <w:p w14:paraId="5D90D860">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1.1.3  本项目比选代理机构：见竞选人须知前附表。</w:t>
      </w:r>
    </w:p>
    <w:p w14:paraId="5059B021">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1.1.4  本发包项目名称：见竞选人须知前附表。</w:t>
      </w:r>
    </w:p>
    <w:p w14:paraId="7DEE3BA4">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1.1.5  本项目建设地点：见竞选人须知前附表。</w:t>
      </w:r>
    </w:p>
    <w:p w14:paraId="08C42E33">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1.1.6  本项目建设规模：见竞选人须知前附表。</w:t>
      </w:r>
    </w:p>
    <w:p w14:paraId="3FDAA4AF">
      <w:pPr>
        <w:pStyle w:val="5"/>
        <w:snapToGrid w:val="0"/>
        <w:spacing w:before="0" w:after="0" w:line="360" w:lineRule="auto"/>
        <w:rPr>
          <w:rFonts w:ascii="宋体" w:hAnsi="宋体" w:cs="宋体"/>
          <w:b w:val="0"/>
          <w:snapToGrid w:val="0"/>
          <w:sz w:val="24"/>
          <w:szCs w:val="24"/>
        </w:rPr>
      </w:pPr>
      <w:bookmarkStart w:id="61" w:name="_Toc25629"/>
      <w:bookmarkStart w:id="62" w:name="_Toc509218712"/>
      <w:bookmarkStart w:id="63" w:name="_Toc200513128"/>
      <w:bookmarkStart w:id="64" w:name="_Toc40569047"/>
      <w:bookmarkStart w:id="65" w:name="_Toc430530437"/>
      <w:bookmarkStart w:id="66" w:name="_Toc2933"/>
      <w:bookmarkStart w:id="67" w:name="_Toc287607748"/>
      <w:bookmarkStart w:id="68" w:name="_Toc277082554"/>
      <w:bookmarkStart w:id="69" w:name="_Toc224103319"/>
      <w:bookmarkStart w:id="70" w:name="_Toc287620687"/>
      <w:bookmarkStart w:id="71" w:name="_Toc40569142"/>
      <w:bookmarkStart w:id="72" w:name="_Toc21234"/>
      <w:r>
        <w:rPr>
          <w:rFonts w:hint="eastAsia" w:ascii="宋体" w:hAnsi="宋体" w:cs="宋体"/>
          <w:b w:val="0"/>
          <w:snapToGrid w:val="0"/>
          <w:sz w:val="24"/>
          <w:szCs w:val="24"/>
        </w:rPr>
        <w:t>1.2  资金来源和落实情况</w:t>
      </w:r>
      <w:bookmarkEnd w:id="61"/>
      <w:bookmarkEnd w:id="62"/>
      <w:bookmarkEnd w:id="63"/>
      <w:bookmarkEnd w:id="64"/>
      <w:bookmarkEnd w:id="65"/>
      <w:bookmarkEnd w:id="66"/>
      <w:bookmarkEnd w:id="67"/>
      <w:bookmarkEnd w:id="68"/>
      <w:bookmarkEnd w:id="69"/>
      <w:bookmarkEnd w:id="70"/>
      <w:bookmarkEnd w:id="71"/>
      <w:bookmarkEnd w:id="72"/>
    </w:p>
    <w:p w14:paraId="596A7C4C">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1.2.1  本发包项目的资金来源：见竞选人须知前附表。</w:t>
      </w:r>
    </w:p>
    <w:p w14:paraId="27113D7E">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1.2.2  本发包项目的出资比例：见竞选人须知前附表。</w:t>
      </w:r>
    </w:p>
    <w:p w14:paraId="63CAC721">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1.2.3  本发包项目的资金落实情况：见竞选人须知前附表。</w:t>
      </w:r>
    </w:p>
    <w:p w14:paraId="027E0742">
      <w:pPr>
        <w:pStyle w:val="5"/>
        <w:snapToGrid w:val="0"/>
        <w:spacing w:before="0" w:after="0" w:line="360" w:lineRule="auto"/>
        <w:rPr>
          <w:rFonts w:ascii="宋体" w:hAnsi="宋体" w:cs="宋体"/>
          <w:b w:val="0"/>
          <w:snapToGrid w:val="0"/>
          <w:sz w:val="24"/>
          <w:szCs w:val="24"/>
        </w:rPr>
      </w:pPr>
      <w:bookmarkStart w:id="73" w:name="_Toc200513129"/>
      <w:bookmarkStart w:id="74" w:name="_Toc3621"/>
      <w:bookmarkStart w:id="75" w:name="_Toc224103320"/>
      <w:bookmarkStart w:id="76" w:name="_Toc40569143"/>
      <w:bookmarkStart w:id="77" w:name="_Toc287607749"/>
      <w:bookmarkStart w:id="78" w:name="_Toc430530438"/>
      <w:bookmarkStart w:id="79" w:name="_Toc40569048"/>
      <w:bookmarkStart w:id="80" w:name="_Toc23212"/>
      <w:bookmarkStart w:id="81" w:name="_Toc509218713"/>
      <w:bookmarkStart w:id="82" w:name="_Toc287620688"/>
      <w:bookmarkStart w:id="83" w:name="_Toc21182"/>
      <w:bookmarkStart w:id="84" w:name="_Toc277082555"/>
      <w:r>
        <w:rPr>
          <w:rFonts w:hint="eastAsia" w:ascii="宋体" w:hAnsi="宋体" w:cs="宋体"/>
          <w:b w:val="0"/>
          <w:snapToGrid w:val="0"/>
          <w:sz w:val="24"/>
          <w:szCs w:val="24"/>
        </w:rPr>
        <w:t>1.3  比选范围、监理服务期和质量要求</w:t>
      </w:r>
      <w:bookmarkEnd w:id="73"/>
      <w:bookmarkEnd w:id="74"/>
      <w:bookmarkEnd w:id="75"/>
      <w:bookmarkEnd w:id="76"/>
      <w:bookmarkEnd w:id="77"/>
      <w:bookmarkEnd w:id="78"/>
      <w:bookmarkEnd w:id="79"/>
      <w:bookmarkEnd w:id="80"/>
      <w:bookmarkEnd w:id="81"/>
      <w:bookmarkEnd w:id="82"/>
      <w:bookmarkEnd w:id="83"/>
      <w:bookmarkEnd w:id="84"/>
    </w:p>
    <w:p w14:paraId="0E7AC70D">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1.3.1  本次比选范围：见竞选人须知前附表。</w:t>
      </w:r>
    </w:p>
    <w:p w14:paraId="164BB7A1">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1.3.2  本项目的监理服务期：见竞选人须知前附表。</w:t>
      </w:r>
    </w:p>
    <w:p w14:paraId="4AC5A7DA">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1.3.3  本项目的质量要求：见竞选人须知前附表。</w:t>
      </w:r>
    </w:p>
    <w:p w14:paraId="0F63E5EA">
      <w:pPr>
        <w:pStyle w:val="5"/>
        <w:snapToGrid w:val="0"/>
        <w:spacing w:before="0" w:after="0" w:line="360" w:lineRule="auto"/>
        <w:rPr>
          <w:rFonts w:ascii="宋体" w:hAnsi="宋体" w:cs="宋体"/>
          <w:b w:val="0"/>
          <w:snapToGrid w:val="0"/>
          <w:sz w:val="24"/>
          <w:szCs w:val="24"/>
        </w:rPr>
      </w:pPr>
      <w:bookmarkStart w:id="85" w:name="_Toc277082556"/>
      <w:bookmarkStart w:id="86" w:name="_Toc509218714"/>
      <w:bookmarkStart w:id="87" w:name="_Toc224103321"/>
      <w:bookmarkStart w:id="88" w:name="_Toc430530439"/>
      <w:bookmarkStart w:id="89" w:name="_Toc200513130"/>
      <w:bookmarkStart w:id="90" w:name="_Toc287607750"/>
      <w:bookmarkStart w:id="91" w:name="_Toc287620689"/>
      <w:bookmarkStart w:id="92" w:name="_Toc40569144"/>
      <w:bookmarkStart w:id="93" w:name="_Toc40569049"/>
      <w:bookmarkStart w:id="94" w:name="_Toc5712"/>
      <w:bookmarkStart w:id="95" w:name="_Toc30002"/>
      <w:bookmarkStart w:id="96" w:name="_Toc28521"/>
      <w:r>
        <w:rPr>
          <w:rFonts w:hint="eastAsia" w:ascii="宋体" w:hAnsi="宋体" w:cs="宋体"/>
          <w:b w:val="0"/>
          <w:snapToGrid w:val="0"/>
          <w:sz w:val="24"/>
          <w:szCs w:val="24"/>
        </w:rPr>
        <w:t xml:space="preserve">1.4  </w:t>
      </w:r>
      <w:bookmarkEnd w:id="85"/>
      <w:bookmarkEnd w:id="86"/>
      <w:bookmarkEnd w:id="87"/>
      <w:bookmarkEnd w:id="88"/>
      <w:bookmarkEnd w:id="89"/>
      <w:bookmarkEnd w:id="90"/>
      <w:bookmarkEnd w:id="91"/>
      <w:bookmarkStart w:id="97" w:name="_Toc287620690"/>
      <w:bookmarkStart w:id="98" w:name="_Toc224103322"/>
      <w:bookmarkStart w:id="99" w:name="_Toc430530440"/>
      <w:bookmarkStart w:id="100" w:name="_Toc509218715"/>
      <w:bookmarkStart w:id="101" w:name="_Toc287607751"/>
      <w:bookmarkStart w:id="102" w:name="_Toc200513131"/>
      <w:bookmarkStart w:id="103" w:name="_Toc277082557"/>
      <w:r>
        <w:rPr>
          <w:rFonts w:hint="eastAsia" w:ascii="宋体" w:hAnsi="宋体" w:cs="宋体"/>
          <w:b w:val="0"/>
          <w:snapToGrid w:val="0"/>
          <w:sz w:val="24"/>
          <w:szCs w:val="24"/>
        </w:rPr>
        <w:t>竞选人资格要求</w:t>
      </w:r>
      <w:bookmarkEnd w:id="92"/>
      <w:bookmarkEnd w:id="93"/>
      <w:bookmarkEnd w:id="94"/>
      <w:bookmarkEnd w:id="95"/>
      <w:bookmarkEnd w:id="96"/>
      <w:bookmarkEnd w:id="97"/>
      <w:bookmarkEnd w:id="98"/>
      <w:bookmarkEnd w:id="99"/>
      <w:bookmarkEnd w:id="100"/>
      <w:bookmarkEnd w:id="101"/>
      <w:bookmarkEnd w:id="102"/>
      <w:bookmarkEnd w:id="103"/>
    </w:p>
    <w:p w14:paraId="4D78B6D3">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1.4.1 竞选人应具备承担本项目的资质条件、能力和信誉。</w:t>
      </w:r>
    </w:p>
    <w:p w14:paraId="5CA3BF8A">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（1）资质条件、营业执照：见竞选人须知前附表；</w:t>
      </w:r>
    </w:p>
    <w:p w14:paraId="780EB421">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（2）财务要求：见竞选人须知前附表；</w:t>
      </w:r>
    </w:p>
    <w:p w14:paraId="2E6A526F">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（3）业绩要求：见竞选人须知前附表；</w:t>
      </w:r>
    </w:p>
    <w:p w14:paraId="35FE2781">
      <w:pPr>
        <w:autoSpaceDE w:val="0"/>
        <w:autoSpaceDN w:val="0"/>
        <w:adjustRightInd w:val="0"/>
        <w:snapToGrid w:val="0"/>
        <w:spacing w:line="360" w:lineRule="auto"/>
        <w:ind w:firstLine="359" w:firstLineChars="171"/>
        <w:rPr>
          <w:rFonts w:ascii="宋体" w:hAnsi="宋体" w:cs="宋体"/>
          <w:snapToGrid w:val="0"/>
          <w:kern w:val="0"/>
          <w:szCs w:val="21"/>
        </w:rPr>
      </w:pPr>
      <w:r>
        <w:rPr>
          <w:rFonts w:ascii="宋体" w:hAnsi="宋体" w:cs="宋体"/>
          <w:snapToGrid w:val="0"/>
          <w:kern w:val="0"/>
          <w:szCs w:val="21"/>
        </w:rPr>
        <w:t>（</w:t>
      </w:r>
      <w:r>
        <w:rPr>
          <w:rFonts w:hint="eastAsia" w:ascii="宋体" w:hAnsi="宋体" w:cs="宋体"/>
          <w:snapToGrid w:val="0"/>
          <w:kern w:val="0"/>
          <w:szCs w:val="21"/>
        </w:rPr>
        <w:t>4</w:t>
      </w:r>
      <w:r>
        <w:rPr>
          <w:rFonts w:ascii="宋体" w:hAnsi="宋体" w:cs="宋体"/>
          <w:snapToGrid w:val="0"/>
          <w:kern w:val="0"/>
          <w:szCs w:val="21"/>
        </w:rPr>
        <w:t>）</w:t>
      </w:r>
      <w:r>
        <w:rPr>
          <w:rFonts w:hint="eastAsia" w:ascii="宋体" w:hAnsi="宋体" w:cs="宋体"/>
          <w:snapToGrid w:val="0"/>
          <w:kern w:val="0"/>
          <w:szCs w:val="21"/>
        </w:rPr>
        <w:t>竞选截止日竞选资格情况</w:t>
      </w:r>
      <w:r>
        <w:rPr>
          <w:rFonts w:ascii="宋体" w:hAnsi="宋体" w:cs="宋体"/>
          <w:snapToGrid w:val="0"/>
          <w:kern w:val="0"/>
          <w:szCs w:val="21"/>
        </w:rPr>
        <w:t>要求：见</w:t>
      </w:r>
      <w:r>
        <w:rPr>
          <w:rFonts w:hint="eastAsia" w:ascii="宋体" w:hAnsi="宋体" w:cs="宋体"/>
          <w:snapToGrid w:val="0"/>
          <w:kern w:val="0"/>
          <w:szCs w:val="21"/>
        </w:rPr>
        <w:t>竞选人</w:t>
      </w:r>
      <w:r>
        <w:rPr>
          <w:rFonts w:ascii="宋体" w:hAnsi="宋体" w:cs="宋体"/>
          <w:snapToGrid w:val="0"/>
          <w:kern w:val="0"/>
          <w:szCs w:val="21"/>
        </w:rPr>
        <w:t>须知前附表；</w:t>
      </w:r>
    </w:p>
    <w:p w14:paraId="42530131">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（5）监理人员要求：见竞选人须知前附表；</w:t>
      </w:r>
    </w:p>
    <w:p w14:paraId="39FF3755">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（6）其他要求：见竞选人须知前附表。</w:t>
      </w:r>
    </w:p>
    <w:p w14:paraId="4E8438FB">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1.4.2  竞选人须知前附表规定接受联合体参与竞选的，除应符合本章第1.4.1项和竞选人须知前附表的要求外，还应遵守以下规定：</w:t>
      </w:r>
    </w:p>
    <w:p w14:paraId="717535BB">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（1）联合体各方应按比选文件提供的格式签订联合体协议书，明确联合体牵头人和各方权利义务；</w:t>
      </w:r>
    </w:p>
    <w:p w14:paraId="007F4625">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（2）联合体各方均应当具备承担竞选项目的相应能力；联合体协议约定同一专业分工由两个及以上单位共同承担的，按照就低不就高的原则确定联合体资质；</w:t>
      </w:r>
    </w:p>
    <w:p w14:paraId="1EFF6F20">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（3）联合体各方不得再以自己名义单独或参加其他联合体在同一标段中竞选。</w:t>
      </w:r>
    </w:p>
    <w:p w14:paraId="47BFC330">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1.4.3  竞选人不得存在下列情形之一：</w:t>
      </w:r>
    </w:p>
    <w:p w14:paraId="6CDF6B16">
      <w:pPr>
        <w:spacing w:line="400" w:lineRule="exact"/>
        <w:ind w:firstLine="420" w:firstLineChars="200"/>
        <w:rPr>
          <w:rFonts w:ascii="宋体" w:hAnsi="宋体"/>
          <w:szCs w:val="21"/>
        </w:rPr>
      </w:pPr>
      <w:bookmarkStart w:id="104" w:name="_Toc40569145"/>
      <w:bookmarkStart w:id="105" w:name="_Toc509218716"/>
      <w:bookmarkStart w:id="106" w:name="_Toc224103323"/>
      <w:bookmarkStart w:id="107" w:name="_Toc287607752"/>
      <w:bookmarkStart w:id="108" w:name="_Toc9192"/>
      <w:bookmarkStart w:id="109" w:name="_Toc7266"/>
      <w:bookmarkStart w:id="110" w:name="_Toc40569050"/>
      <w:bookmarkStart w:id="111" w:name="_Toc430530441"/>
      <w:bookmarkStart w:id="112" w:name="_Toc277082558"/>
      <w:bookmarkStart w:id="113" w:name="_Toc5221"/>
      <w:bookmarkStart w:id="114" w:name="_Toc287620691"/>
      <w:bookmarkStart w:id="115" w:name="_Toc200513132"/>
      <w:r>
        <w:rPr>
          <w:rFonts w:hint="eastAsia" w:ascii="宋体" w:hAnsi="宋体"/>
          <w:szCs w:val="21"/>
        </w:rPr>
        <w:t>（1）与比选人存在利害关系可能影响招标公正性的法人、其他组织或者个人；</w:t>
      </w:r>
    </w:p>
    <w:p w14:paraId="2E10DB49">
      <w:pPr>
        <w:spacing w:line="400" w:lineRule="exact"/>
        <w:ind w:firstLine="420" w:firstLineChars="200"/>
        <w:rPr>
          <w:rFonts w:ascii="宋体" w:hAnsi="宋体"/>
          <w:szCs w:val="21"/>
        </w:rPr>
      </w:pPr>
      <w:r>
        <w:rPr>
          <w:rFonts w:hint="eastAsia" w:ascii="宋体" w:hAnsi="宋体"/>
          <w:szCs w:val="21"/>
        </w:rPr>
        <w:t>（2）为本项目的代理人；</w:t>
      </w:r>
    </w:p>
    <w:p w14:paraId="2230BB01">
      <w:pPr>
        <w:spacing w:line="400" w:lineRule="exact"/>
        <w:ind w:firstLine="420" w:firstLineChars="200"/>
        <w:rPr>
          <w:rFonts w:ascii="宋体" w:hAnsi="宋体"/>
          <w:szCs w:val="21"/>
        </w:rPr>
      </w:pPr>
      <w:r>
        <w:rPr>
          <w:rFonts w:hint="eastAsia" w:ascii="宋体" w:hAnsi="宋体"/>
          <w:szCs w:val="21"/>
        </w:rPr>
        <w:t>（3）为本项目的代建人；</w:t>
      </w:r>
    </w:p>
    <w:p w14:paraId="4531F31C">
      <w:pPr>
        <w:spacing w:line="400" w:lineRule="exact"/>
        <w:ind w:firstLine="420" w:firstLineChars="200"/>
        <w:rPr>
          <w:rFonts w:ascii="宋体" w:hAnsi="宋体"/>
          <w:szCs w:val="21"/>
        </w:rPr>
      </w:pPr>
      <w:r>
        <w:rPr>
          <w:rFonts w:hint="eastAsia" w:ascii="宋体" w:hAnsi="宋体"/>
          <w:szCs w:val="21"/>
        </w:rPr>
        <w:t>（4）为本项目提供比选代理服务的；</w:t>
      </w:r>
    </w:p>
    <w:p w14:paraId="43CA6DDF">
      <w:pPr>
        <w:spacing w:line="400" w:lineRule="exact"/>
        <w:ind w:firstLine="420" w:firstLineChars="200"/>
        <w:rPr>
          <w:rFonts w:ascii="宋体" w:hAnsi="宋体"/>
          <w:szCs w:val="21"/>
        </w:rPr>
      </w:pPr>
      <w:r>
        <w:rPr>
          <w:rFonts w:hint="eastAsia" w:ascii="宋体" w:hAnsi="宋体"/>
          <w:szCs w:val="21"/>
        </w:rPr>
        <w:t>（5）与本项目的代建人或比选代理机构同为一个法定代表人的；</w:t>
      </w:r>
    </w:p>
    <w:p w14:paraId="56D27FB4">
      <w:pPr>
        <w:spacing w:line="400" w:lineRule="exact"/>
        <w:ind w:firstLine="420" w:firstLineChars="200"/>
        <w:rPr>
          <w:rFonts w:ascii="宋体" w:hAnsi="宋体"/>
          <w:szCs w:val="21"/>
        </w:rPr>
      </w:pPr>
      <w:r>
        <w:rPr>
          <w:rFonts w:hint="eastAsia" w:ascii="宋体" w:hAnsi="宋体"/>
          <w:szCs w:val="21"/>
        </w:rPr>
        <w:t>（6）与本项目的代建人或比选代理机构相互控股或参股的；</w:t>
      </w:r>
    </w:p>
    <w:p w14:paraId="0D2384C3">
      <w:pPr>
        <w:spacing w:line="400" w:lineRule="exact"/>
        <w:ind w:firstLine="420" w:firstLineChars="200"/>
        <w:rPr>
          <w:rFonts w:ascii="宋体" w:hAnsi="宋体"/>
          <w:szCs w:val="21"/>
        </w:rPr>
      </w:pPr>
      <w:r>
        <w:rPr>
          <w:rFonts w:hint="eastAsia" w:ascii="宋体" w:hAnsi="宋体"/>
          <w:szCs w:val="21"/>
        </w:rPr>
        <w:t>（7）与本项目的代建人或比选代理机构相互任职或工作的；</w:t>
      </w:r>
    </w:p>
    <w:p w14:paraId="27044355">
      <w:pPr>
        <w:spacing w:line="400" w:lineRule="exact"/>
        <w:ind w:firstLine="420" w:firstLineChars="200"/>
        <w:rPr>
          <w:rFonts w:ascii="宋体" w:hAnsi="宋体"/>
          <w:szCs w:val="21"/>
        </w:rPr>
      </w:pPr>
      <w:r>
        <w:rPr>
          <w:rFonts w:hint="eastAsia" w:ascii="宋体" w:hAnsi="宋体"/>
          <w:szCs w:val="21"/>
        </w:rPr>
        <w:t>（8）被责令停业的；</w:t>
      </w:r>
    </w:p>
    <w:p w14:paraId="200A3458">
      <w:pPr>
        <w:spacing w:line="400" w:lineRule="exact"/>
        <w:ind w:firstLine="420" w:firstLineChars="200"/>
        <w:rPr>
          <w:rFonts w:ascii="宋体" w:hAnsi="宋体"/>
          <w:szCs w:val="21"/>
        </w:rPr>
      </w:pPr>
      <w:r>
        <w:rPr>
          <w:rFonts w:hint="eastAsia" w:ascii="宋体" w:hAnsi="宋体"/>
          <w:szCs w:val="21"/>
        </w:rPr>
        <w:t>（9）被暂停或取消投标资格的；</w:t>
      </w:r>
    </w:p>
    <w:p w14:paraId="6956D897">
      <w:pPr>
        <w:spacing w:line="400" w:lineRule="exact"/>
        <w:ind w:firstLine="420" w:firstLineChars="200"/>
        <w:rPr>
          <w:rFonts w:ascii="宋体" w:hAnsi="宋体"/>
          <w:szCs w:val="21"/>
        </w:rPr>
      </w:pPr>
      <w:r>
        <w:rPr>
          <w:rFonts w:hint="eastAsia" w:ascii="宋体" w:hAnsi="宋体"/>
          <w:szCs w:val="21"/>
        </w:rPr>
        <w:t>（10）财产被接管或冻结的；</w:t>
      </w:r>
    </w:p>
    <w:p w14:paraId="542826B4">
      <w:pPr>
        <w:spacing w:line="400" w:lineRule="exact"/>
        <w:ind w:firstLine="420" w:firstLineChars="200"/>
        <w:rPr>
          <w:rFonts w:ascii="宋体" w:hAnsi="宋体"/>
          <w:szCs w:val="21"/>
        </w:rPr>
      </w:pPr>
      <w:r>
        <w:rPr>
          <w:rFonts w:hint="eastAsia" w:ascii="宋体" w:hAnsi="宋体"/>
          <w:szCs w:val="21"/>
        </w:rPr>
        <w:t>（11）单位负责人为同一人或者存在控股、管理关系的不同单位，不得在同一标段中同时参与竞选。</w:t>
      </w:r>
    </w:p>
    <w:p w14:paraId="1C52B33C">
      <w:pPr>
        <w:pStyle w:val="5"/>
        <w:snapToGrid w:val="0"/>
        <w:spacing w:before="0" w:after="0" w:line="360" w:lineRule="auto"/>
        <w:rPr>
          <w:rFonts w:ascii="宋体" w:hAnsi="宋体" w:cs="宋体"/>
          <w:b w:val="0"/>
          <w:snapToGrid w:val="0"/>
          <w:sz w:val="24"/>
          <w:szCs w:val="24"/>
        </w:rPr>
      </w:pPr>
      <w:r>
        <w:rPr>
          <w:rFonts w:hint="eastAsia" w:ascii="宋体" w:hAnsi="宋体" w:cs="宋体"/>
          <w:b w:val="0"/>
          <w:snapToGrid w:val="0"/>
          <w:sz w:val="24"/>
          <w:szCs w:val="24"/>
        </w:rPr>
        <w:t>1.5  费用承担</w:t>
      </w:r>
      <w:bookmarkEnd w:id="104"/>
      <w:bookmarkEnd w:id="105"/>
      <w:bookmarkEnd w:id="106"/>
      <w:bookmarkEnd w:id="107"/>
      <w:bookmarkEnd w:id="108"/>
      <w:bookmarkEnd w:id="109"/>
      <w:bookmarkEnd w:id="110"/>
      <w:bookmarkEnd w:id="111"/>
      <w:bookmarkEnd w:id="112"/>
      <w:bookmarkEnd w:id="113"/>
      <w:bookmarkEnd w:id="114"/>
      <w:bookmarkEnd w:id="115"/>
    </w:p>
    <w:p w14:paraId="0FAD3DD0">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竞选人准备和参加竞选活动发生的费用自理。</w:t>
      </w:r>
    </w:p>
    <w:p w14:paraId="2021AF4F">
      <w:pPr>
        <w:pStyle w:val="5"/>
        <w:snapToGrid w:val="0"/>
        <w:spacing w:before="0" w:after="0" w:line="360" w:lineRule="auto"/>
        <w:rPr>
          <w:rFonts w:ascii="宋体" w:hAnsi="宋体" w:cs="宋体"/>
          <w:b w:val="0"/>
          <w:snapToGrid w:val="0"/>
          <w:sz w:val="24"/>
          <w:szCs w:val="24"/>
        </w:rPr>
      </w:pPr>
      <w:bookmarkStart w:id="116" w:name="_Toc5781"/>
      <w:bookmarkStart w:id="117" w:name="_Toc509218717"/>
      <w:bookmarkStart w:id="118" w:name="_Toc287607753"/>
      <w:bookmarkStart w:id="119" w:name="_Toc40569146"/>
      <w:bookmarkStart w:id="120" w:name="_Toc5293"/>
      <w:bookmarkStart w:id="121" w:name="_Toc224103324"/>
      <w:bookmarkStart w:id="122" w:name="_Toc287620692"/>
      <w:bookmarkStart w:id="123" w:name="_Toc430530442"/>
      <w:bookmarkStart w:id="124" w:name="_Toc40569051"/>
      <w:bookmarkStart w:id="125" w:name="_Toc277082559"/>
      <w:bookmarkStart w:id="126" w:name="_Toc20139"/>
      <w:bookmarkStart w:id="127" w:name="_Toc200513133"/>
      <w:r>
        <w:rPr>
          <w:rFonts w:hint="eastAsia" w:ascii="宋体" w:hAnsi="宋体" w:cs="宋体"/>
          <w:b w:val="0"/>
          <w:snapToGrid w:val="0"/>
          <w:sz w:val="24"/>
          <w:szCs w:val="24"/>
        </w:rPr>
        <w:t>1.6  保密</w:t>
      </w:r>
      <w:bookmarkEnd w:id="116"/>
      <w:bookmarkEnd w:id="117"/>
      <w:bookmarkEnd w:id="118"/>
      <w:bookmarkEnd w:id="119"/>
      <w:bookmarkEnd w:id="120"/>
      <w:bookmarkEnd w:id="121"/>
      <w:bookmarkEnd w:id="122"/>
      <w:bookmarkEnd w:id="123"/>
      <w:bookmarkEnd w:id="124"/>
      <w:bookmarkEnd w:id="125"/>
      <w:bookmarkEnd w:id="126"/>
      <w:bookmarkEnd w:id="127"/>
    </w:p>
    <w:p w14:paraId="1B506419">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参与比选活动的各方应对比选文件和竞选文件中的商业和技术等秘密保密，违者应对由此造成的后果承担法律责任。</w:t>
      </w:r>
    </w:p>
    <w:p w14:paraId="712A0525">
      <w:pPr>
        <w:pStyle w:val="5"/>
        <w:snapToGrid w:val="0"/>
        <w:spacing w:before="0" w:after="0" w:line="360" w:lineRule="auto"/>
        <w:rPr>
          <w:rFonts w:ascii="宋体" w:hAnsi="宋体" w:cs="宋体"/>
          <w:b w:val="0"/>
          <w:snapToGrid w:val="0"/>
          <w:sz w:val="24"/>
          <w:szCs w:val="24"/>
        </w:rPr>
      </w:pPr>
      <w:bookmarkStart w:id="128" w:name="_Toc40569052"/>
      <w:bookmarkStart w:id="129" w:name="_Toc509218718"/>
      <w:bookmarkStart w:id="130" w:name="_Toc200513134"/>
      <w:bookmarkStart w:id="131" w:name="_Toc287620693"/>
      <w:bookmarkStart w:id="132" w:name="_Toc32367"/>
      <w:bookmarkStart w:id="133" w:name="_Toc287607754"/>
      <w:bookmarkStart w:id="134" w:name="_Toc224103325"/>
      <w:bookmarkStart w:id="135" w:name="_Toc40569147"/>
      <w:bookmarkStart w:id="136" w:name="_Toc7317"/>
      <w:bookmarkStart w:id="137" w:name="_Toc430530443"/>
      <w:bookmarkStart w:id="138" w:name="_Toc10589"/>
      <w:bookmarkStart w:id="139" w:name="_Toc277082560"/>
      <w:r>
        <w:rPr>
          <w:rFonts w:hint="eastAsia" w:ascii="宋体" w:hAnsi="宋体" w:cs="宋体"/>
          <w:b w:val="0"/>
          <w:snapToGrid w:val="0"/>
          <w:sz w:val="24"/>
          <w:szCs w:val="24"/>
        </w:rPr>
        <w:t>1.7  语言文字</w:t>
      </w:r>
      <w:bookmarkEnd w:id="128"/>
      <w:bookmarkEnd w:id="129"/>
      <w:bookmarkEnd w:id="130"/>
      <w:bookmarkEnd w:id="131"/>
      <w:bookmarkEnd w:id="132"/>
      <w:bookmarkEnd w:id="133"/>
      <w:bookmarkEnd w:id="134"/>
      <w:bookmarkEnd w:id="135"/>
      <w:bookmarkEnd w:id="136"/>
      <w:bookmarkEnd w:id="137"/>
      <w:bookmarkEnd w:id="138"/>
      <w:bookmarkEnd w:id="139"/>
    </w:p>
    <w:p w14:paraId="4E3A6593">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除专用术语外，与比选有关的语言均使用中文。必要时专用术语应附有中文注释。</w:t>
      </w:r>
    </w:p>
    <w:p w14:paraId="45210245">
      <w:pPr>
        <w:pStyle w:val="5"/>
        <w:snapToGrid w:val="0"/>
        <w:spacing w:before="0" w:after="0" w:line="360" w:lineRule="auto"/>
        <w:rPr>
          <w:rFonts w:ascii="宋体" w:hAnsi="宋体" w:cs="宋体"/>
          <w:b w:val="0"/>
          <w:snapToGrid w:val="0"/>
          <w:sz w:val="24"/>
          <w:szCs w:val="24"/>
        </w:rPr>
      </w:pPr>
      <w:bookmarkStart w:id="140" w:name="_Toc7911"/>
      <w:bookmarkStart w:id="141" w:name="_Toc277082561"/>
      <w:bookmarkStart w:id="142" w:name="_Toc287607755"/>
      <w:bookmarkStart w:id="143" w:name="_Toc224103326"/>
      <w:bookmarkStart w:id="144" w:name="_Toc430530444"/>
      <w:bookmarkStart w:id="145" w:name="_Toc287620694"/>
      <w:bookmarkStart w:id="146" w:name="_Toc200513135"/>
      <w:bookmarkStart w:id="147" w:name="_Toc40569053"/>
      <w:bookmarkStart w:id="148" w:name="_Toc509218719"/>
      <w:bookmarkStart w:id="149" w:name="_Toc1276"/>
      <w:bookmarkStart w:id="150" w:name="_Toc40569148"/>
      <w:bookmarkStart w:id="151" w:name="_Toc23841"/>
      <w:r>
        <w:rPr>
          <w:rFonts w:hint="eastAsia" w:ascii="宋体" w:hAnsi="宋体" w:cs="宋体"/>
          <w:b w:val="0"/>
          <w:snapToGrid w:val="0"/>
          <w:sz w:val="24"/>
          <w:szCs w:val="24"/>
        </w:rPr>
        <w:t>1.8  计量单位</w:t>
      </w:r>
      <w:bookmarkEnd w:id="140"/>
      <w:bookmarkEnd w:id="141"/>
      <w:bookmarkEnd w:id="142"/>
      <w:bookmarkEnd w:id="143"/>
      <w:bookmarkEnd w:id="144"/>
      <w:bookmarkEnd w:id="145"/>
      <w:bookmarkEnd w:id="146"/>
      <w:bookmarkEnd w:id="147"/>
      <w:bookmarkEnd w:id="148"/>
      <w:bookmarkEnd w:id="149"/>
      <w:bookmarkEnd w:id="150"/>
      <w:bookmarkEnd w:id="151"/>
    </w:p>
    <w:p w14:paraId="305564E9">
      <w:pPr>
        <w:autoSpaceDE w:val="0"/>
        <w:autoSpaceDN w:val="0"/>
        <w:adjustRightInd w:val="0"/>
        <w:snapToGrid w:val="0"/>
        <w:spacing w:line="360" w:lineRule="auto"/>
        <w:ind w:firstLine="424" w:firstLineChars="202"/>
        <w:rPr>
          <w:rFonts w:ascii="宋体" w:hAnsi="宋体" w:cs="宋体"/>
          <w:snapToGrid w:val="0"/>
          <w:kern w:val="0"/>
          <w:szCs w:val="21"/>
        </w:rPr>
      </w:pPr>
      <w:r>
        <w:rPr>
          <w:rFonts w:hint="eastAsia" w:ascii="宋体" w:hAnsi="宋体" w:cs="宋体"/>
          <w:snapToGrid w:val="0"/>
          <w:kern w:val="0"/>
          <w:szCs w:val="21"/>
        </w:rPr>
        <w:t>所有计量均采用中华人民共和国法定计量单位。</w:t>
      </w:r>
    </w:p>
    <w:p w14:paraId="2475A426">
      <w:pPr>
        <w:pStyle w:val="5"/>
        <w:snapToGrid w:val="0"/>
        <w:spacing w:before="0" w:after="0" w:line="360" w:lineRule="auto"/>
        <w:rPr>
          <w:rFonts w:ascii="宋体" w:hAnsi="宋体" w:cs="宋体"/>
          <w:b w:val="0"/>
          <w:snapToGrid w:val="0"/>
          <w:sz w:val="24"/>
          <w:szCs w:val="24"/>
        </w:rPr>
      </w:pPr>
      <w:bookmarkStart w:id="152" w:name="_Toc430530445"/>
      <w:bookmarkStart w:id="153" w:name="_Toc287620695"/>
      <w:bookmarkStart w:id="154" w:name="_Toc277082562"/>
      <w:bookmarkStart w:id="155" w:name="_Toc40569054"/>
      <w:bookmarkStart w:id="156" w:name="_Toc5120"/>
      <w:bookmarkStart w:id="157" w:name="_Toc11881"/>
      <w:bookmarkStart w:id="158" w:name="_Toc200513136"/>
      <w:bookmarkStart w:id="159" w:name="_Toc5390"/>
      <w:bookmarkStart w:id="160" w:name="_Toc287607756"/>
      <w:bookmarkStart w:id="161" w:name="_Toc224103327"/>
      <w:bookmarkStart w:id="162" w:name="_Toc509218720"/>
      <w:bookmarkStart w:id="163" w:name="_Toc40569149"/>
      <w:r>
        <w:rPr>
          <w:rFonts w:hint="eastAsia" w:ascii="宋体" w:hAnsi="宋体" w:cs="宋体"/>
          <w:b w:val="0"/>
          <w:snapToGrid w:val="0"/>
          <w:sz w:val="24"/>
          <w:szCs w:val="24"/>
        </w:rPr>
        <w:t>1.9  踏勘现场</w:t>
      </w:r>
      <w:bookmarkEnd w:id="152"/>
      <w:bookmarkEnd w:id="153"/>
      <w:bookmarkEnd w:id="154"/>
      <w:bookmarkEnd w:id="155"/>
      <w:bookmarkEnd w:id="156"/>
      <w:bookmarkEnd w:id="157"/>
      <w:bookmarkEnd w:id="158"/>
      <w:bookmarkEnd w:id="159"/>
      <w:bookmarkEnd w:id="160"/>
      <w:bookmarkEnd w:id="161"/>
      <w:bookmarkEnd w:id="162"/>
      <w:bookmarkEnd w:id="163"/>
    </w:p>
    <w:p w14:paraId="050CE4E4">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1.9.1  竞选人须知前附表规定组织踏勘现场的，比选人按竞选人须知前附表规定的时间、 地点组织竞选人踏勘项目现场。</w:t>
      </w:r>
    </w:p>
    <w:p w14:paraId="77C5F9D3">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1.9.2  竞选人踏勘现场发生的费用自理。</w:t>
      </w:r>
    </w:p>
    <w:p w14:paraId="11912801">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1.9.3  除比选人的原因外，竞选人自行负责在踏勘现场中所发生的人员伤亡和财产损失。</w:t>
      </w:r>
    </w:p>
    <w:p w14:paraId="099D49AA">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1.9.4  比选人在踏勘现场中介绍的工程场地和相关的周边环境情况，供竞选人在编制竞选文件时参考，比选人不对竞选人据此做出的判断和决策负责。</w:t>
      </w:r>
    </w:p>
    <w:p w14:paraId="6CBB5CAB">
      <w:pPr>
        <w:pStyle w:val="5"/>
        <w:snapToGrid w:val="0"/>
        <w:spacing w:before="0" w:after="0" w:line="360" w:lineRule="auto"/>
        <w:rPr>
          <w:rFonts w:ascii="宋体" w:hAnsi="宋体" w:cs="宋体"/>
          <w:b w:val="0"/>
          <w:snapToGrid w:val="0"/>
          <w:sz w:val="24"/>
          <w:szCs w:val="24"/>
        </w:rPr>
      </w:pPr>
      <w:bookmarkStart w:id="164" w:name="_Toc277082563"/>
      <w:bookmarkStart w:id="165" w:name="_Toc509218721"/>
      <w:bookmarkStart w:id="166" w:name="_Toc14731"/>
      <w:bookmarkStart w:id="167" w:name="_Toc430530446"/>
      <w:bookmarkStart w:id="168" w:name="_Toc287607757"/>
      <w:bookmarkStart w:id="169" w:name="_Toc40569055"/>
      <w:bookmarkStart w:id="170" w:name="_Toc10229"/>
      <w:bookmarkStart w:id="171" w:name="_Toc27798"/>
      <w:bookmarkStart w:id="172" w:name="_Toc40569150"/>
      <w:bookmarkStart w:id="173" w:name="_Toc287620696"/>
      <w:bookmarkStart w:id="174" w:name="_Toc200513137"/>
      <w:bookmarkStart w:id="175" w:name="_Toc224103328"/>
      <w:r>
        <w:rPr>
          <w:rFonts w:hint="eastAsia" w:ascii="宋体" w:hAnsi="宋体" w:cs="宋体"/>
          <w:b w:val="0"/>
          <w:snapToGrid w:val="0"/>
          <w:sz w:val="24"/>
          <w:szCs w:val="24"/>
        </w:rPr>
        <w:t>1.10  比选预备会</w:t>
      </w:r>
      <w:bookmarkEnd w:id="164"/>
      <w:bookmarkEnd w:id="165"/>
      <w:bookmarkEnd w:id="166"/>
      <w:bookmarkEnd w:id="167"/>
      <w:bookmarkEnd w:id="168"/>
      <w:bookmarkEnd w:id="169"/>
      <w:bookmarkEnd w:id="170"/>
      <w:bookmarkEnd w:id="171"/>
      <w:bookmarkEnd w:id="172"/>
      <w:bookmarkEnd w:id="173"/>
      <w:bookmarkEnd w:id="174"/>
      <w:bookmarkEnd w:id="175"/>
    </w:p>
    <w:p w14:paraId="2263CB2D">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1.10.1  竞选人须知前附表规定召开比选预备会的，比选人按竞选人须知前附表规定的时间和地点召开预备会，澄清竞选人提出的问题。</w:t>
      </w:r>
    </w:p>
    <w:p w14:paraId="5909B8E8">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1.10.2  竞选人应在竞选人须知前附表</w:t>
      </w:r>
      <w:r>
        <w:rPr>
          <w:rFonts w:hint="eastAsia" w:ascii="宋体" w:hAnsi="宋体" w:cs="宋体"/>
          <w:kern w:val="0"/>
          <w:szCs w:val="21"/>
        </w:rPr>
        <w:t>2.2.4</w:t>
      </w:r>
      <w:r>
        <w:rPr>
          <w:rFonts w:hint="eastAsia" w:ascii="宋体" w:hAnsi="宋体" w:cs="宋体"/>
          <w:snapToGrid w:val="0"/>
          <w:kern w:val="0"/>
          <w:szCs w:val="21"/>
        </w:rPr>
        <w:t>规定的时间前，以书面形式将提出的问题送达比选人，以便比选人澄清。</w:t>
      </w:r>
    </w:p>
    <w:p w14:paraId="76FF4088">
      <w:pPr>
        <w:autoSpaceDE w:val="0"/>
        <w:autoSpaceDN w:val="0"/>
        <w:adjustRightInd w:val="0"/>
        <w:snapToGrid w:val="0"/>
        <w:spacing w:line="360" w:lineRule="auto"/>
        <w:ind w:firstLine="424" w:firstLineChars="202"/>
        <w:rPr>
          <w:rFonts w:ascii="宋体" w:hAnsi="宋体" w:cs="宋体"/>
          <w:snapToGrid w:val="0"/>
          <w:kern w:val="0"/>
          <w:szCs w:val="21"/>
        </w:rPr>
      </w:pPr>
      <w:r>
        <w:rPr>
          <w:rFonts w:hint="eastAsia" w:ascii="宋体" w:hAnsi="宋体" w:cs="宋体"/>
          <w:snapToGrid w:val="0"/>
          <w:kern w:val="0"/>
          <w:szCs w:val="21"/>
        </w:rPr>
        <w:t>1.10.3  比选人在竞选人须知前附表规定的时间内，将对竞选人所提</w:t>
      </w:r>
      <w:r>
        <w:rPr>
          <w:rFonts w:hint="eastAsia" w:ascii="宋体" w:hAnsi="宋体" w:cs="宋体"/>
          <w:snapToGrid w:val="0"/>
          <w:kern w:val="0"/>
          <w:position w:val="-2"/>
          <w:szCs w:val="21"/>
        </w:rPr>
        <w:t>的</w:t>
      </w:r>
      <w:r>
        <w:rPr>
          <w:rFonts w:hint="eastAsia" w:ascii="宋体" w:hAnsi="宋体" w:cs="宋体"/>
          <w:snapToGrid w:val="0"/>
          <w:kern w:val="0"/>
          <w:szCs w:val="21"/>
        </w:rPr>
        <w:t>问题</w:t>
      </w:r>
      <w:r>
        <w:rPr>
          <w:rFonts w:hint="eastAsia" w:ascii="宋体" w:hAnsi="宋体" w:cs="宋体"/>
          <w:snapToGrid w:val="0"/>
          <w:kern w:val="0"/>
          <w:position w:val="-2"/>
          <w:szCs w:val="21"/>
        </w:rPr>
        <w:t>进行澄清。该澄清内容为比选文件的组成部分。</w:t>
      </w:r>
    </w:p>
    <w:p w14:paraId="7A5DFA2C">
      <w:pPr>
        <w:pStyle w:val="5"/>
        <w:snapToGrid w:val="0"/>
        <w:spacing w:before="0" w:after="0" w:line="360" w:lineRule="auto"/>
        <w:rPr>
          <w:rFonts w:ascii="宋体" w:hAnsi="宋体" w:cs="宋体"/>
          <w:b w:val="0"/>
          <w:snapToGrid w:val="0"/>
          <w:sz w:val="24"/>
          <w:szCs w:val="24"/>
        </w:rPr>
      </w:pPr>
      <w:bookmarkStart w:id="176" w:name="_Toc200513138"/>
      <w:bookmarkStart w:id="177" w:name="_Toc40569056"/>
      <w:bookmarkStart w:id="178" w:name="_Toc277082564"/>
      <w:bookmarkStart w:id="179" w:name="_Toc40569151"/>
      <w:bookmarkStart w:id="180" w:name="_Toc287607758"/>
      <w:bookmarkStart w:id="181" w:name="_Toc224103329"/>
      <w:bookmarkStart w:id="182" w:name="_Toc509218722"/>
      <w:bookmarkStart w:id="183" w:name="_Toc287620697"/>
      <w:bookmarkStart w:id="184" w:name="_Toc21877"/>
      <w:bookmarkStart w:id="185" w:name="_Toc28064"/>
      <w:bookmarkStart w:id="186" w:name="_Toc7176"/>
      <w:bookmarkStart w:id="187" w:name="_Toc430530447"/>
      <w:r>
        <w:rPr>
          <w:rFonts w:hint="eastAsia" w:ascii="宋体" w:hAnsi="宋体" w:cs="宋体"/>
          <w:b w:val="0"/>
          <w:snapToGrid w:val="0"/>
          <w:sz w:val="24"/>
          <w:szCs w:val="24"/>
        </w:rPr>
        <w:t>1.11  分包</w:t>
      </w:r>
      <w:bookmarkEnd w:id="176"/>
      <w:bookmarkEnd w:id="177"/>
      <w:bookmarkEnd w:id="178"/>
      <w:bookmarkEnd w:id="179"/>
      <w:bookmarkEnd w:id="180"/>
      <w:bookmarkEnd w:id="181"/>
      <w:bookmarkEnd w:id="182"/>
      <w:bookmarkEnd w:id="183"/>
      <w:bookmarkEnd w:id="184"/>
      <w:bookmarkEnd w:id="185"/>
      <w:bookmarkEnd w:id="186"/>
      <w:bookmarkEnd w:id="187"/>
    </w:p>
    <w:p w14:paraId="26C85687">
      <w:pPr>
        <w:autoSpaceDE w:val="0"/>
        <w:autoSpaceDN w:val="0"/>
        <w:adjustRightInd w:val="0"/>
        <w:snapToGrid w:val="0"/>
        <w:spacing w:line="360" w:lineRule="auto"/>
        <w:ind w:firstLine="426"/>
        <w:rPr>
          <w:rFonts w:ascii="宋体" w:hAnsi="宋体" w:cs="宋体"/>
          <w:snapToGrid w:val="0"/>
          <w:kern w:val="0"/>
          <w:szCs w:val="21"/>
        </w:rPr>
      </w:pPr>
      <w:r>
        <w:rPr>
          <w:rFonts w:hint="eastAsia" w:ascii="宋体" w:hAnsi="宋体" w:cs="宋体"/>
          <w:snapToGrid w:val="0"/>
          <w:kern w:val="0"/>
          <w:szCs w:val="21"/>
        </w:rPr>
        <w:t>竞选人拟在中选后将中选项目的部分非主体、非关键性工作进行分包的，应符合竞选人须知前附表规定的分包内容、分包金额和接受分包的第三人资质要求等限制性条件。</w:t>
      </w:r>
    </w:p>
    <w:p w14:paraId="108E4044">
      <w:pPr>
        <w:pStyle w:val="5"/>
        <w:snapToGrid w:val="0"/>
        <w:spacing w:before="0" w:after="0" w:line="360" w:lineRule="auto"/>
        <w:rPr>
          <w:rFonts w:ascii="宋体" w:hAnsi="宋体" w:cs="宋体"/>
          <w:b w:val="0"/>
          <w:snapToGrid w:val="0"/>
          <w:sz w:val="24"/>
          <w:szCs w:val="24"/>
        </w:rPr>
      </w:pPr>
      <w:bookmarkStart w:id="188" w:name="_Toc40569152"/>
      <w:bookmarkStart w:id="189" w:name="_Toc277082565"/>
      <w:bookmarkStart w:id="190" w:name="_Toc5934"/>
      <w:bookmarkStart w:id="191" w:name="_Toc40569057"/>
      <w:bookmarkStart w:id="192" w:name="_Toc200513139"/>
      <w:bookmarkStart w:id="193" w:name="_Toc224103330"/>
      <w:bookmarkStart w:id="194" w:name="_Toc23307"/>
      <w:bookmarkStart w:id="195" w:name="_Toc29373"/>
      <w:bookmarkStart w:id="196" w:name="_Toc509218723"/>
      <w:bookmarkStart w:id="197" w:name="_Toc287620698"/>
      <w:bookmarkStart w:id="198" w:name="_Toc287607759"/>
      <w:bookmarkStart w:id="199" w:name="_Toc430530448"/>
      <w:r>
        <w:rPr>
          <w:rFonts w:hint="eastAsia" w:ascii="宋体" w:hAnsi="宋体" w:cs="宋体"/>
          <w:b w:val="0"/>
          <w:snapToGrid w:val="0"/>
          <w:sz w:val="24"/>
          <w:szCs w:val="24"/>
        </w:rPr>
        <w:t>1.12  偏离</w:t>
      </w:r>
      <w:bookmarkEnd w:id="188"/>
      <w:bookmarkEnd w:id="189"/>
      <w:bookmarkEnd w:id="190"/>
      <w:bookmarkEnd w:id="191"/>
      <w:bookmarkEnd w:id="192"/>
      <w:bookmarkEnd w:id="193"/>
      <w:bookmarkEnd w:id="194"/>
      <w:bookmarkEnd w:id="195"/>
      <w:bookmarkEnd w:id="196"/>
      <w:bookmarkEnd w:id="197"/>
      <w:bookmarkEnd w:id="198"/>
      <w:bookmarkEnd w:id="199"/>
    </w:p>
    <w:p w14:paraId="2120D785">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竞选人须知前附表允许竞选文件偏离比选文件某些要求的，偏离应当符合比选文件规定的偏离范围和幅度。</w:t>
      </w:r>
    </w:p>
    <w:p w14:paraId="6D9C40CA">
      <w:pPr>
        <w:pStyle w:val="4"/>
        <w:spacing w:before="0" w:after="0" w:line="360" w:lineRule="auto"/>
        <w:rPr>
          <w:rFonts w:ascii="宋体" w:hAnsi="宋体" w:cs="宋体"/>
          <w:b w:val="0"/>
          <w:snapToGrid w:val="0"/>
          <w:sz w:val="24"/>
          <w:szCs w:val="24"/>
        </w:rPr>
      </w:pPr>
      <w:bookmarkStart w:id="200" w:name="_Toc23017"/>
      <w:bookmarkStart w:id="201" w:name="_Toc287607760"/>
      <w:bookmarkStart w:id="202" w:name="_Toc277082566"/>
      <w:bookmarkStart w:id="203" w:name="_Toc430530449"/>
      <w:bookmarkStart w:id="204" w:name="_Toc200513140"/>
      <w:bookmarkStart w:id="205" w:name="_Toc7676"/>
      <w:bookmarkStart w:id="206" w:name="_Toc287620699"/>
      <w:bookmarkStart w:id="207" w:name="_Toc509218724"/>
      <w:bookmarkStart w:id="208" w:name="_Toc224103331"/>
      <w:bookmarkStart w:id="209" w:name="_Toc10764"/>
      <w:r>
        <w:rPr>
          <w:rFonts w:hint="eastAsia" w:ascii="宋体" w:hAnsi="宋体" w:cs="宋体"/>
          <w:b w:val="0"/>
          <w:snapToGrid w:val="0"/>
          <w:sz w:val="24"/>
          <w:szCs w:val="24"/>
        </w:rPr>
        <w:t>2.  比选文件</w:t>
      </w:r>
      <w:bookmarkEnd w:id="200"/>
      <w:bookmarkEnd w:id="201"/>
      <w:bookmarkEnd w:id="202"/>
      <w:bookmarkEnd w:id="203"/>
      <w:bookmarkEnd w:id="204"/>
      <w:bookmarkEnd w:id="205"/>
      <w:bookmarkEnd w:id="206"/>
      <w:bookmarkEnd w:id="207"/>
      <w:bookmarkEnd w:id="208"/>
      <w:bookmarkEnd w:id="209"/>
    </w:p>
    <w:p w14:paraId="296F3507">
      <w:pPr>
        <w:pStyle w:val="5"/>
        <w:snapToGrid w:val="0"/>
        <w:spacing w:before="0" w:after="0" w:line="360" w:lineRule="auto"/>
        <w:rPr>
          <w:rFonts w:ascii="宋体" w:hAnsi="宋体" w:cs="宋体"/>
          <w:b w:val="0"/>
          <w:snapToGrid w:val="0"/>
          <w:sz w:val="24"/>
          <w:szCs w:val="24"/>
        </w:rPr>
      </w:pPr>
      <w:bookmarkStart w:id="210" w:name="_Toc430530450"/>
      <w:bookmarkStart w:id="211" w:name="_Toc21327"/>
      <w:bookmarkStart w:id="212" w:name="_Toc1329"/>
      <w:bookmarkStart w:id="213" w:name="_Toc277082567"/>
      <w:bookmarkStart w:id="214" w:name="_Toc40569154"/>
      <w:bookmarkStart w:id="215" w:name="_Toc287620700"/>
      <w:bookmarkStart w:id="216" w:name="_Toc287607761"/>
      <w:bookmarkStart w:id="217" w:name="_Toc200513141"/>
      <w:bookmarkStart w:id="218" w:name="_Toc509218725"/>
      <w:bookmarkStart w:id="219" w:name="_Toc40569059"/>
      <w:bookmarkStart w:id="220" w:name="_Toc224103332"/>
      <w:bookmarkStart w:id="221" w:name="_Toc31485"/>
      <w:r>
        <w:rPr>
          <w:rFonts w:hint="eastAsia" w:ascii="宋体" w:hAnsi="宋体" w:cs="宋体"/>
          <w:b w:val="0"/>
          <w:snapToGrid w:val="0"/>
          <w:sz w:val="24"/>
          <w:szCs w:val="24"/>
        </w:rPr>
        <w:t>2.1  比选文件的组成</w:t>
      </w:r>
      <w:bookmarkEnd w:id="210"/>
      <w:bookmarkEnd w:id="211"/>
      <w:bookmarkEnd w:id="212"/>
      <w:bookmarkEnd w:id="213"/>
      <w:bookmarkEnd w:id="214"/>
      <w:bookmarkEnd w:id="215"/>
      <w:bookmarkEnd w:id="216"/>
      <w:bookmarkEnd w:id="217"/>
      <w:bookmarkEnd w:id="218"/>
      <w:bookmarkEnd w:id="219"/>
      <w:bookmarkEnd w:id="220"/>
      <w:bookmarkEnd w:id="221"/>
    </w:p>
    <w:p w14:paraId="2E52768C">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本比选文件包括：</w:t>
      </w:r>
    </w:p>
    <w:p w14:paraId="02150847">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（1）比选公告；</w:t>
      </w:r>
    </w:p>
    <w:p w14:paraId="5D2A67AB">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（2）竞选人须知；</w:t>
      </w:r>
    </w:p>
    <w:p w14:paraId="7B931B34">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（3）评选办法；</w:t>
      </w:r>
    </w:p>
    <w:p w14:paraId="6219FF7A">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（4）合同条款及格式；</w:t>
      </w:r>
    </w:p>
    <w:p w14:paraId="185BB3BE">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（5）监理工作规范及技术标准；</w:t>
      </w:r>
    </w:p>
    <w:p w14:paraId="7A59814A">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（6）竞选文件格式；</w:t>
      </w:r>
    </w:p>
    <w:p w14:paraId="25FF40C4">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（7）竞选人须知前附表规定的其他材料。</w:t>
      </w:r>
    </w:p>
    <w:p w14:paraId="058B32D9">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根据本章第1.10款、第2.2款和第2.3款对比选文件所作的澄清、修改，构成比选文件的组成部分。</w:t>
      </w:r>
    </w:p>
    <w:p w14:paraId="5F9FFD13">
      <w:pPr>
        <w:pStyle w:val="5"/>
        <w:snapToGrid w:val="0"/>
        <w:spacing w:before="0" w:after="0" w:line="360" w:lineRule="auto"/>
        <w:rPr>
          <w:rFonts w:ascii="宋体" w:hAnsi="宋体" w:cs="宋体"/>
          <w:b w:val="0"/>
          <w:snapToGrid w:val="0"/>
          <w:sz w:val="24"/>
          <w:szCs w:val="24"/>
        </w:rPr>
      </w:pPr>
      <w:bookmarkStart w:id="222" w:name="_Toc430530451"/>
      <w:bookmarkStart w:id="223" w:name="_Toc20393"/>
      <w:bookmarkStart w:id="224" w:name="_Toc5751"/>
      <w:bookmarkStart w:id="225" w:name="_Toc509218726"/>
      <w:bookmarkStart w:id="226" w:name="_Toc40569060"/>
      <w:bookmarkStart w:id="227" w:name="_Toc40569155"/>
      <w:bookmarkStart w:id="228" w:name="_Toc25357"/>
      <w:r>
        <w:rPr>
          <w:rFonts w:hint="eastAsia" w:ascii="宋体" w:hAnsi="宋体" w:cs="宋体"/>
          <w:b w:val="0"/>
          <w:snapToGrid w:val="0"/>
          <w:sz w:val="24"/>
          <w:szCs w:val="24"/>
        </w:rPr>
        <w:t>2.2  比选文件的澄清</w:t>
      </w:r>
      <w:bookmarkEnd w:id="222"/>
      <w:bookmarkEnd w:id="223"/>
      <w:bookmarkEnd w:id="224"/>
      <w:bookmarkEnd w:id="225"/>
      <w:bookmarkEnd w:id="226"/>
      <w:bookmarkEnd w:id="227"/>
      <w:bookmarkEnd w:id="228"/>
    </w:p>
    <w:p w14:paraId="483290F4">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2.2.1  竞选人应仔细阅读和检查比选文件的全部内容。如发现缺页或附件不全，应及时向比选人提出，以便补齐。如有疑问，应在竞选人须知前附表规定的时间前</w:t>
      </w:r>
      <w:r>
        <w:rPr>
          <w:rFonts w:hint="eastAsia" w:ascii="宋体" w:hAnsi="宋体" w:cs="宋体"/>
          <w:kern w:val="0"/>
          <w:szCs w:val="21"/>
        </w:rPr>
        <w:t>以书面形式向比选人或代理机构提出</w:t>
      </w:r>
      <w:r>
        <w:rPr>
          <w:rFonts w:hint="eastAsia" w:ascii="宋体" w:hAnsi="宋体" w:cs="宋体"/>
          <w:snapToGrid w:val="0"/>
          <w:kern w:val="0"/>
          <w:szCs w:val="21"/>
        </w:rPr>
        <w:t>，要求比选人对比选文件予以澄清。</w:t>
      </w:r>
    </w:p>
    <w:p w14:paraId="3B2417D1">
      <w:pPr>
        <w:pStyle w:val="5"/>
        <w:snapToGrid w:val="0"/>
        <w:spacing w:before="0" w:after="0" w:line="360" w:lineRule="auto"/>
        <w:rPr>
          <w:rFonts w:ascii="宋体" w:hAnsi="宋体" w:cs="宋体"/>
          <w:b w:val="0"/>
          <w:snapToGrid w:val="0"/>
          <w:sz w:val="24"/>
          <w:szCs w:val="24"/>
        </w:rPr>
      </w:pPr>
      <w:bookmarkStart w:id="229" w:name="_Toc287607763"/>
      <w:bookmarkStart w:id="230" w:name="_Toc8378"/>
      <w:bookmarkStart w:id="231" w:name="_Toc40569156"/>
      <w:bookmarkStart w:id="232" w:name="_Toc430530452"/>
      <w:bookmarkStart w:id="233" w:name="_Toc14087"/>
      <w:bookmarkStart w:id="234" w:name="_Toc40569061"/>
      <w:bookmarkStart w:id="235" w:name="_Toc287620702"/>
      <w:bookmarkStart w:id="236" w:name="_Toc224103334"/>
      <w:bookmarkStart w:id="237" w:name="_Toc277082569"/>
      <w:bookmarkStart w:id="238" w:name="_Toc509218727"/>
      <w:bookmarkStart w:id="239" w:name="_Toc26098"/>
      <w:bookmarkStart w:id="240" w:name="_Toc200513143"/>
      <w:r>
        <w:rPr>
          <w:rFonts w:hint="eastAsia" w:ascii="宋体" w:hAnsi="宋体" w:cs="宋体"/>
          <w:b w:val="0"/>
          <w:snapToGrid w:val="0"/>
          <w:sz w:val="24"/>
          <w:szCs w:val="24"/>
        </w:rPr>
        <w:t>2.3  比选文件的修改</w:t>
      </w:r>
      <w:bookmarkEnd w:id="229"/>
      <w:bookmarkEnd w:id="230"/>
      <w:bookmarkEnd w:id="231"/>
      <w:bookmarkEnd w:id="232"/>
      <w:bookmarkEnd w:id="233"/>
      <w:bookmarkEnd w:id="234"/>
      <w:bookmarkEnd w:id="235"/>
      <w:bookmarkEnd w:id="236"/>
      <w:bookmarkEnd w:id="237"/>
      <w:bookmarkEnd w:id="238"/>
      <w:bookmarkEnd w:id="239"/>
      <w:bookmarkEnd w:id="240"/>
    </w:p>
    <w:p w14:paraId="5640D43D">
      <w:pPr>
        <w:autoSpaceDE w:val="0"/>
        <w:autoSpaceDN w:val="0"/>
        <w:adjustRightInd w:val="0"/>
        <w:snapToGrid w:val="0"/>
        <w:spacing w:line="360" w:lineRule="auto"/>
        <w:ind w:firstLine="420"/>
        <w:rPr>
          <w:rFonts w:ascii="宋体" w:hAnsi="宋体" w:cs="宋体"/>
          <w:snapToGrid w:val="0"/>
        </w:rPr>
      </w:pPr>
      <w:bookmarkStart w:id="241" w:name="_Toc287607764"/>
      <w:bookmarkStart w:id="242" w:name="_Toc224103335"/>
      <w:bookmarkStart w:id="243" w:name="_Toc200513144"/>
      <w:bookmarkStart w:id="244" w:name="_Toc287620703"/>
      <w:bookmarkStart w:id="245" w:name="_Toc277082570"/>
      <w:r>
        <w:rPr>
          <w:rFonts w:hint="eastAsia" w:ascii="宋体" w:hAnsi="宋体" w:cs="宋体"/>
          <w:snapToGrid w:val="0"/>
        </w:rPr>
        <w:t>按照本章2.2比选文件的澄清相关内容及方式执行。</w:t>
      </w:r>
    </w:p>
    <w:p w14:paraId="03D833B1">
      <w:pPr>
        <w:pStyle w:val="4"/>
        <w:spacing w:before="0" w:after="0" w:line="360" w:lineRule="auto"/>
        <w:rPr>
          <w:rFonts w:ascii="宋体" w:hAnsi="宋体" w:cs="宋体"/>
          <w:b w:val="0"/>
          <w:snapToGrid w:val="0"/>
          <w:sz w:val="24"/>
          <w:szCs w:val="24"/>
        </w:rPr>
      </w:pPr>
      <w:bookmarkStart w:id="246" w:name="_Toc6009"/>
      <w:bookmarkStart w:id="247" w:name="_Toc430530453"/>
      <w:bookmarkStart w:id="248" w:name="_Toc509218728"/>
      <w:bookmarkStart w:id="249" w:name="_Toc22016"/>
      <w:bookmarkStart w:id="250" w:name="_Toc5400"/>
      <w:r>
        <w:rPr>
          <w:rFonts w:hint="eastAsia" w:ascii="宋体" w:hAnsi="宋体" w:cs="宋体"/>
          <w:b w:val="0"/>
          <w:snapToGrid w:val="0"/>
          <w:sz w:val="24"/>
          <w:szCs w:val="24"/>
        </w:rPr>
        <w:t xml:space="preserve">3.  </w:t>
      </w:r>
      <w:bookmarkEnd w:id="241"/>
      <w:bookmarkEnd w:id="242"/>
      <w:bookmarkEnd w:id="243"/>
      <w:bookmarkEnd w:id="244"/>
      <w:bookmarkEnd w:id="245"/>
      <w:bookmarkEnd w:id="246"/>
      <w:bookmarkEnd w:id="247"/>
      <w:bookmarkEnd w:id="248"/>
      <w:bookmarkEnd w:id="249"/>
      <w:bookmarkEnd w:id="250"/>
      <w:r>
        <w:rPr>
          <w:rFonts w:hint="eastAsia" w:ascii="宋体" w:hAnsi="宋体" w:cs="宋体"/>
          <w:b w:val="0"/>
          <w:snapToGrid w:val="0"/>
          <w:sz w:val="24"/>
          <w:szCs w:val="24"/>
        </w:rPr>
        <w:t>竞选文件</w:t>
      </w:r>
    </w:p>
    <w:p w14:paraId="0281E42B">
      <w:pPr>
        <w:pStyle w:val="5"/>
        <w:snapToGrid w:val="0"/>
        <w:spacing w:before="0" w:after="0" w:line="360" w:lineRule="auto"/>
        <w:rPr>
          <w:rFonts w:ascii="宋体" w:hAnsi="宋体" w:cs="宋体"/>
          <w:b w:val="0"/>
          <w:snapToGrid w:val="0"/>
          <w:sz w:val="24"/>
          <w:szCs w:val="24"/>
        </w:rPr>
      </w:pPr>
      <w:bookmarkStart w:id="251" w:name="_Toc29196"/>
      <w:bookmarkStart w:id="252" w:name="_Toc509218729"/>
      <w:bookmarkStart w:id="253" w:name="_Toc277082571"/>
      <w:bookmarkStart w:id="254" w:name="_Toc13714"/>
      <w:bookmarkStart w:id="255" w:name="_Toc200513145"/>
      <w:bookmarkStart w:id="256" w:name="_Toc287620704"/>
      <w:bookmarkStart w:id="257" w:name="_Toc224103336"/>
      <w:bookmarkStart w:id="258" w:name="_Toc430530454"/>
      <w:bookmarkStart w:id="259" w:name="_Toc40569158"/>
      <w:bookmarkStart w:id="260" w:name="_Toc40569063"/>
      <w:bookmarkStart w:id="261" w:name="_Toc7795"/>
      <w:bookmarkStart w:id="262" w:name="_Toc287607765"/>
      <w:r>
        <w:rPr>
          <w:rFonts w:hint="eastAsia" w:ascii="宋体" w:hAnsi="宋体" w:cs="宋体"/>
          <w:b w:val="0"/>
          <w:snapToGrid w:val="0"/>
          <w:sz w:val="24"/>
          <w:szCs w:val="24"/>
        </w:rPr>
        <w:t>3.1  竞选文件的组成</w:t>
      </w:r>
      <w:bookmarkEnd w:id="251"/>
      <w:bookmarkEnd w:id="252"/>
      <w:bookmarkEnd w:id="253"/>
      <w:bookmarkEnd w:id="254"/>
      <w:bookmarkEnd w:id="255"/>
      <w:bookmarkEnd w:id="256"/>
      <w:bookmarkEnd w:id="257"/>
      <w:bookmarkEnd w:id="258"/>
      <w:bookmarkEnd w:id="259"/>
      <w:bookmarkEnd w:id="260"/>
      <w:bookmarkEnd w:id="261"/>
      <w:bookmarkEnd w:id="262"/>
    </w:p>
    <w:p w14:paraId="324A2276">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3.1.1 竞选文件应包括下列内容：</w:t>
      </w:r>
    </w:p>
    <w:p w14:paraId="4D2E9E80">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（1）竞选函及竞选函附录；</w:t>
      </w:r>
    </w:p>
    <w:p w14:paraId="70C84516">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（2）法定代表人身份证明或附有法定代表人身份证明的授权委托书；</w:t>
      </w:r>
    </w:p>
    <w:p w14:paraId="7498E53D">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（3）比选保证金；</w:t>
      </w:r>
    </w:p>
    <w:p w14:paraId="4FB5AFA9">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（4）监理大纲；</w:t>
      </w:r>
    </w:p>
    <w:p w14:paraId="71322BF3">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（5）资格审查资料；</w:t>
      </w:r>
    </w:p>
    <w:p w14:paraId="4CFCAD7D">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（6）竞选人须知前附表规定的其他材料。</w:t>
      </w:r>
    </w:p>
    <w:p w14:paraId="09F1D77C">
      <w:pPr>
        <w:pStyle w:val="5"/>
        <w:snapToGrid w:val="0"/>
        <w:spacing w:before="0" w:after="0" w:line="360" w:lineRule="auto"/>
        <w:rPr>
          <w:rFonts w:ascii="宋体" w:hAnsi="宋体" w:cs="宋体"/>
          <w:b w:val="0"/>
          <w:snapToGrid w:val="0"/>
          <w:sz w:val="24"/>
          <w:szCs w:val="24"/>
        </w:rPr>
      </w:pPr>
      <w:bookmarkStart w:id="263" w:name="_Toc430530455"/>
      <w:bookmarkStart w:id="264" w:name="_Toc40569064"/>
      <w:bookmarkStart w:id="265" w:name="_Toc200513146"/>
      <w:bookmarkStart w:id="266" w:name="_Toc2578"/>
      <w:bookmarkStart w:id="267" w:name="_Toc3265"/>
      <w:bookmarkStart w:id="268" w:name="_Toc40569159"/>
      <w:bookmarkStart w:id="269" w:name="_Toc5935"/>
      <w:bookmarkStart w:id="270" w:name="_Toc287607766"/>
      <w:bookmarkStart w:id="271" w:name="_Toc509218730"/>
      <w:bookmarkStart w:id="272" w:name="_Toc287620705"/>
      <w:bookmarkStart w:id="273" w:name="_Toc277082572"/>
      <w:bookmarkStart w:id="274" w:name="_Toc224103337"/>
      <w:r>
        <w:rPr>
          <w:rFonts w:hint="eastAsia" w:ascii="宋体" w:hAnsi="宋体" w:cs="宋体"/>
          <w:b w:val="0"/>
          <w:snapToGrid w:val="0"/>
          <w:sz w:val="24"/>
          <w:szCs w:val="24"/>
        </w:rPr>
        <w:t>3.2  竞选报价</w:t>
      </w:r>
      <w:bookmarkEnd w:id="263"/>
      <w:bookmarkEnd w:id="264"/>
      <w:bookmarkEnd w:id="265"/>
      <w:bookmarkEnd w:id="266"/>
      <w:bookmarkEnd w:id="267"/>
      <w:bookmarkEnd w:id="268"/>
      <w:bookmarkEnd w:id="269"/>
      <w:bookmarkEnd w:id="270"/>
      <w:bookmarkEnd w:id="271"/>
      <w:bookmarkEnd w:id="272"/>
      <w:bookmarkEnd w:id="273"/>
      <w:bookmarkEnd w:id="274"/>
    </w:p>
    <w:p w14:paraId="5E8208C3">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3.2.1  竞选人应按第五章“竞选文件格式”的要求填写相应表格。</w:t>
      </w:r>
    </w:p>
    <w:p w14:paraId="36766E47">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3.2.2  竞选人应认真阅读比选文件规定的计价、结算要求，自行填报报价。</w:t>
      </w:r>
    </w:p>
    <w:p w14:paraId="1510E4FC">
      <w:pPr>
        <w:pStyle w:val="5"/>
        <w:snapToGrid w:val="0"/>
        <w:spacing w:before="0" w:after="0" w:line="360" w:lineRule="auto"/>
        <w:rPr>
          <w:rFonts w:ascii="宋体" w:hAnsi="宋体" w:cs="宋体"/>
          <w:b w:val="0"/>
          <w:snapToGrid w:val="0"/>
          <w:sz w:val="24"/>
          <w:szCs w:val="24"/>
        </w:rPr>
      </w:pPr>
      <w:bookmarkStart w:id="275" w:name="_Toc40569065"/>
      <w:bookmarkStart w:id="276" w:name="_Toc27583"/>
      <w:bookmarkStart w:id="277" w:name="_Toc40569160"/>
      <w:bookmarkStart w:id="278" w:name="_Toc509218731"/>
      <w:bookmarkStart w:id="279" w:name="_Toc277082573"/>
      <w:bookmarkStart w:id="280" w:name="_Toc915"/>
      <w:bookmarkStart w:id="281" w:name="_Toc15462"/>
      <w:bookmarkStart w:id="282" w:name="_Toc200513147"/>
      <w:bookmarkStart w:id="283" w:name="_Toc287620706"/>
      <w:bookmarkStart w:id="284" w:name="_Toc224103338"/>
      <w:bookmarkStart w:id="285" w:name="_Toc430530456"/>
      <w:bookmarkStart w:id="286" w:name="_Toc287607767"/>
      <w:r>
        <w:rPr>
          <w:rFonts w:hint="eastAsia" w:ascii="宋体" w:hAnsi="宋体" w:cs="宋体"/>
          <w:b w:val="0"/>
          <w:snapToGrid w:val="0"/>
          <w:sz w:val="24"/>
          <w:szCs w:val="24"/>
        </w:rPr>
        <w:t>3.3  比选有效期</w:t>
      </w:r>
      <w:bookmarkEnd w:id="275"/>
      <w:bookmarkEnd w:id="276"/>
      <w:bookmarkEnd w:id="277"/>
      <w:bookmarkEnd w:id="278"/>
      <w:bookmarkEnd w:id="279"/>
      <w:bookmarkEnd w:id="280"/>
      <w:bookmarkEnd w:id="281"/>
      <w:bookmarkEnd w:id="282"/>
      <w:bookmarkEnd w:id="283"/>
      <w:bookmarkEnd w:id="284"/>
      <w:bookmarkEnd w:id="285"/>
      <w:bookmarkEnd w:id="286"/>
    </w:p>
    <w:p w14:paraId="34A5CD86">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3.3.1  在竞选人须知前附表规定的比选有效期内，竞选人不得要求撤销或修改其竞选文件。</w:t>
      </w:r>
    </w:p>
    <w:p w14:paraId="1D0435AB">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3.3.2  出现特殊情况需要延长比选有效期的，比选人以书面形式通知所有竞选人延长比选有效期。竞选人同意延长的，应相应延长其保证金或保函的有效期，但不得要求或被允许修改或撤销其竞选文件；竞选人拒绝延长的，其竞选文件失效，但竞选人有权收回其保函。（适用于比选保证金采用保函形式的）</w:t>
      </w:r>
    </w:p>
    <w:p w14:paraId="004E75D4">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出现特殊情况需要延长比选有效期的，比选人以书面形式通知所有竞选人延长比选有效期。竞选人同意延长的，应相应延长其比选保证金的有效期，但不得要求或被允许修改或撤销其竞选文件；竞选人拒绝延长的，其竞选文件失效，但竞选人有权收回其比选保证金。（适用于比选保证金采用银行转账形式的）</w:t>
      </w:r>
    </w:p>
    <w:p w14:paraId="272210ED">
      <w:pPr>
        <w:pStyle w:val="5"/>
        <w:keepNext w:val="0"/>
        <w:keepLines w:val="0"/>
        <w:snapToGrid w:val="0"/>
        <w:spacing w:before="0" w:after="0" w:line="360" w:lineRule="auto"/>
        <w:rPr>
          <w:rFonts w:ascii="宋体" w:hAnsi="宋体" w:cs="宋体"/>
          <w:b w:val="0"/>
          <w:snapToGrid w:val="0"/>
          <w:sz w:val="24"/>
          <w:szCs w:val="24"/>
        </w:rPr>
      </w:pPr>
      <w:bookmarkStart w:id="287" w:name="_Toc224103339"/>
      <w:bookmarkStart w:id="288" w:name="_Toc277082574"/>
      <w:bookmarkStart w:id="289" w:name="_Toc40569161"/>
      <w:bookmarkStart w:id="290" w:name="_Toc26206"/>
      <w:bookmarkStart w:id="291" w:name="_Toc14235"/>
      <w:bookmarkStart w:id="292" w:name="_Toc200513148"/>
      <w:bookmarkStart w:id="293" w:name="_Toc287620707"/>
      <w:bookmarkStart w:id="294" w:name="_Toc287607768"/>
      <w:bookmarkStart w:id="295" w:name="_Toc430530457"/>
      <w:bookmarkStart w:id="296" w:name="_Toc509218732"/>
      <w:bookmarkStart w:id="297" w:name="_Toc40569066"/>
      <w:bookmarkStart w:id="298" w:name="_Toc19857"/>
      <w:r>
        <w:rPr>
          <w:rFonts w:hint="eastAsia" w:ascii="宋体" w:hAnsi="宋体" w:cs="宋体"/>
          <w:b w:val="0"/>
          <w:snapToGrid w:val="0"/>
          <w:sz w:val="24"/>
          <w:szCs w:val="24"/>
        </w:rPr>
        <w:t xml:space="preserve">3.4  </w:t>
      </w:r>
      <w:bookmarkEnd w:id="287"/>
      <w:bookmarkEnd w:id="288"/>
      <w:bookmarkEnd w:id="289"/>
      <w:bookmarkEnd w:id="290"/>
      <w:bookmarkEnd w:id="291"/>
      <w:bookmarkEnd w:id="292"/>
      <w:bookmarkEnd w:id="293"/>
      <w:bookmarkEnd w:id="294"/>
      <w:bookmarkEnd w:id="295"/>
      <w:bookmarkEnd w:id="296"/>
      <w:bookmarkEnd w:id="297"/>
      <w:bookmarkEnd w:id="298"/>
      <w:r>
        <w:rPr>
          <w:rFonts w:hint="eastAsia" w:ascii="宋体" w:hAnsi="宋体" w:cs="宋体"/>
          <w:b w:val="0"/>
          <w:snapToGrid w:val="0"/>
          <w:sz w:val="24"/>
          <w:szCs w:val="24"/>
        </w:rPr>
        <w:t>比选保证金</w:t>
      </w:r>
    </w:p>
    <w:p w14:paraId="20746847">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3.4.1  竞选人在递交竞选文件前，应按竞选人须知前附表规定的金额、担保形式递交比选保证金，并作为其竞选文件的组成部分。联合体竞选的，其比选保证金由牵头人递交，并应符合竞选人须知前附表的规定。</w:t>
      </w:r>
    </w:p>
    <w:p w14:paraId="04BE1AF3">
      <w:pPr>
        <w:autoSpaceDE w:val="0"/>
        <w:autoSpaceDN w:val="0"/>
        <w:adjustRightInd w:val="0"/>
        <w:snapToGrid w:val="0"/>
        <w:spacing w:line="360" w:lineRule="auto"/>
        <w:ind w:left="13" w:leftChars="6" w:firstLine="405" w:firstLineChars="193"/>
        <w:rPr>
          <w:rFonts w:ascii="宋体" w:hAnsi="宋体" w:cs="宋体"/>
          <w:snapToGrid w:val="0"/>
          <w:kern w:val="0"/>
          <w:szCs w:val="21"/>
        </w:rPr>
      </w:pPr>
      <w:r>
        <w:rPr>
          <w:rFonts w:hint="eastAsia" w:ascii="宋体" w:hAnsi="宋体" w:cs="宋体"/>
          <w:snapToGrid w:val="0"/>
          <w:kern w:val="0"/>
          <w:szCs w:val="21"/>
        </w:rPr>
        <w:t>3.4.2  竞选人不按本章第 3.4.1 项要求提交比选保证金的，其竞选文件作否决竞选处理。</w:t>
      </w:r>
    </w:p>
    <w:p w14:paraId="0208F9FF">
      <w:pPr>
        <w:autoSpaceDE w:val="0"/>
        <w:autoSpaceDN w:val="0"/>
        <w:adjustRightInd w:val="0"/>
        <w:snapToGrid w:val="0"/>
        <w:spacing w:line="360" w:lineRule="auto"/>
        <w:ind w:left="13" w:leftChars="6" w:firstLine="405" w:firstLineChars="193"/>
        <w:rPr>
          <w:rFonts w:ascii="宋体" w:hAnsi="宋体" w:cs="宋体"/>
          <w:snapToGrid w:val="0"/>
          <w:kern w:val="0"/>
          <w:szCs w:val="21"/>
        </w:rPr>
      </w:pPr>
      <w:r>
        <w:rPr>
          <w:rFonts w:hint="eastAsia" w:ascii="宋体" w:hAnsi="宋体" w:cs="宋体"/>
          <w:snapToGrid w:val="0"/>
          <w:kern w:val="0"/>
          <w:szCs w:val="21"/>
        </w:rPr>
        <w:t>3.4.3  比选保证金（保函）退还：见竞选人须知前附表</w:t>
      </w:r>
      <w:r>
        <w:rPr>
          <w:rFonts w:hint="eastAsia" w:ascii="宋体" w:hAnsi="宋体" w:cs="宋体"/>
          <w:snapToGrid w:val="0"/>
          <w:kern w:val="0"/>
          <w:position w:val="-2"/>
          <w:szCs w:val="21"/>
        </w:rPr>
        <w:t>。</w:t>
      </w:r>
    </w:p>
    <w:p w14:paraId="71877EA6">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3.4.4  有下列情形之一的，比选保证金将不予退还：</w:t>
      </w:r>
    </w:p>
    <w:p w14:paraId="1FAE3AB6">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（1）竞选人在规定的比选有效期内撤销或修改其竞选文件；</w:t>
      </w:r>
    </w:p>
    <w:p w14:paraId="715DED13">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（2）中选人在收到中选通知书后，无正当理由拒签合同协议书或未按比选文件规定提交履约担保；</w:t>
      </w:r>
    </w:p>
    <w:p w14:paraId="5743E356">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（3）违反本章9.2条对竞选人的纪律要求的；</w:t>
      </w:r>
    </w:p>
    <w:p w14:paraId="22F708B5">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（4）法律法规和本比选文件规定的其他情形。</w:t>
      </w:r>
    </w:p>
    <w:p w14:paraId="27695CC1">
      <w:pPr>
        <w:tabs>
          <w:tab w:val="left" w:pos="611"/>
          <w:tab w:val="left" w:pos="669"/>
        </w:tabs>
        <w:snapToGrid w:val="0"/>
        <w:spacing w:line="360" w:lineRule="auto"/>
        <w:ind w:firstLine="420" w:firstLineChars="200"/>
        <w:rPr>
          <w:rFonts w:ascii="宋体" w:hAnsi="宋体" w:cs="宋体"/>
          <w:kern w:val="0"/>
        </w:rPr>
      </w:pPr>
      <w:r>
        <w:rPr>
          <w:rFonts w:hint="eastAsia" w:ascii="宋体" w:hAnsi="宋体" w:cs="宋体"/>
          <w:snapToGrid w:val="0"/>
          <w:kern w:val="0"/>
          <w:szCs w:val="21"/>
        </w:rPr>
        <w:t>3.4.5</w:t>
      </w:r>
      <w:r>
        <w:rPr>
          <w:rFonts w:hint="eastAsia" w:ascii="宋体" w:hAnsi="宋体" w:cs="宋体"/>
          <w:kern w:val="0"/>
        </w:rPr>
        <w:t>（1）比选保证金为无条件担保；</w:t>
      </w:r>
    </w:p>
    <w:p w14:paraId="1F3A1446">
      <w:pPr>
        <w:tabs>
          <w:tab w:val="left" w:pos="611"/>
          <w:tab w:val="left" w:pos="669"/>
        </w:tabs>
        <w:snapToGrid w:val="0"/>
        <w:spacing w:line="360" w:lineRule="auto"/>
        <w:ind w:firstLine="945" w:firstLineChars="450"/>
        <w:rPr>
          <w:rFonts w:ascii="宋体" w:hAnsi="宋体" w:cs="宋体"/>
          <w:kern w:val="0"/>
        </w:rPr>
      </w:pPr>
      <w:r>
        <w:rPr>
          <w:rFonts w:hint="eastAsia" w:ascii="宋体" w:hAnsi="宋体" w:cs="宋体"/>
          <w:kern w:val="0"/>
        </w:rPr>
        <w:t>（2）比选保证金的受益人为比选人。</w:t>
      </w:r>
    </w:p>
    <w:p w14:paraId="1C86623E">
      <w:pPr>
        <w:pStyle w:val="5"/>
        <w:keepNext w:val="0"/>
        <w:keepLines w:val="0"/>
        <w:snapToGrid w:val="0"/>
        <w:spacing w:before="0" w:after="0" w:line="360" w:lineRule="auto"/>
        <w:rPr>
          <w:rFonts w:ascii="宋体" w:hAnsi="宋体" w:cs="宋体"/>
          <w:b w:val="0"/>
          <w:snapToGrid w:val="0"/>
          <w:sz w:val="24"/>
          <w:szCs w:val="24"/>
        </w:rPr>
      </w:pPr>
      <w:bookmarkStart w:id="299" w:name="_Toc7055"/>
      <w:bookmarkStart w:id="300" w:name="_Toc200513150"/>
      <w:bookmarkStart w:id="301" w:name="_Toc8188"/>
      <w:bookmarkStart w:id="302" w:name="_Toc224103341"/>
      <w:bookmarkStart w:id="303" w:name="_Toc30972"/>
      <w:bookmarkStart w:id="304" w:name="_Toc509218734"/>
      <w:bookmarkStart w:id="305" w:name="_Toc287620709"/>
      <w:bookmarkStart w:id="306" w:name="_Toc277082576"/>
      <w:bookmarkStart w:id="307" w:name="_Toc430530459"/>
      <w:bookmarkStart w:id="308" w:name="_Toc40569067"/>
      <w:bookmarkStart w:id="309" w:name="_Toc40569162"/>
      <w:bookmarkStart w:id="310" w:name="_Toc287607770"/>
      <w:r>
        <w:rPr>
          <w:rFonts w:hint="eastAsia" w:ascii="宋体" w:hAnsi="宋体" w:cs="宋体"/>
          <w:b w:val="0"/>
          <w:snapToGrid w:val="0"/>
          <w:sz w:val="24"/>
          <w:szCs w:val="24"/>
        </w:rPr>
        <w:t>3.5  资格审查资料</w:t>
      </w:r>
      <w:bookmarkEnd w:id="299"/>
      <w:bookmarkEnd w:id="300"/>
      <w:bookmarkEnd w:id="301"/>
      <w:bookmarkEnd w:id="302"/>
      <w:bookmarkEnd w:id="303"/>
      <w:bookmarkEnd w:id="304"/>
      <w:bookmarkEnd w:id="305"/>
      <w:bookmarkEnd w:id="306"/>
      <w:bookmarkEnd w:id="307"/>
      <w:bookmarkEnd w:id="308"/>
      <w:bookmarkEnd w:id="309"/>
      <w:bookmarkEnd w:id="310"/>
    </w:p>
    <w:p w14:paraId="4A8AB084">
      <w:pPr>
        <w:autoSpaceDE w:val="0"/>
        <w:autoSpaceDN w:val="0"/>
        <w:adjustRightInd w:val="0"/>
        <w:snapToGrid w:val="0"/>
        <w:spacing w:line="360" w:lineRule="auto"/>
        <w:ind w:left="103" w:leftChars="49" w:right="37" w:firstLine="420" w:firstLineChars="200"/>
        <w:rPr>
          <w:rFonts w:ascii="宋体" w:hAnsi="宋体" w:cs="宋体"/>
          <w:szCs w:val="21"/>
        </w:rPr>
      </w:pPr>
      <w:r>
        <w:rPr>
          <w:rFonts w:hint="eastAsia" w:ascii="宋体" w:hAnsi="宋体" w:cs="宋体"/>
          <w:szCs w:val="21"/>
        </w:rPr>
        <w:t>详见</w:t>
      </w:r>
      <w:r>
        <w:rPr>
          <w:rFonts w:hint="eastAsia" w:ascii="宋体" w:hAnsi="宋体" w:cs="宋体"/>
          <w:kern w:val="0"/>
          <w:szCs w:val="21"/>
        </w:rPr>
        <w:t>竞选人须知前附表</w:t>
      </w:r>
      <w:r>
        <w:rPr>
          <w:rFonts w:hint="eastAsia" w:ascii="宋体" w:hAnsi="宋体" w:cs="宋体"/>
          <w:szCs w:val="21"/>
        </w:rPr>
        <w:t>。</w:t>
      </w:r>
    </w:p>
    <w:p w14:paraId="3A4CC9F9">
      <w:pPr>
        <w:autoSpaceDE w:val="0"/>
        <w:autoSpaceDN w:val="0"/>
        <w:adjustRightInd w:val="0"/>
        <w:snapToGrid w:val="0"/>
        <w:spacing w:line="360" w:lineRule="auto"/>
        <w:ind w:left="103" w:leftChars="49" w:right="37" w:firstLine="420" w:firstLineChars="200"/>
        <w:rPr>
          <w:rFonts w:ascii="宋体" w:hAnsi="宋体" w:cs="宋体"/>
          <w:snapToGrid w:val="0"/>
          <w:kern w:val="0"/>
          <w:szCs w:val="21"/>
        </w:rPr>
      </w:pPr>
      <w:r>
        <w:rPr>
          <w:rFonts w:hint="eastAsia" w:ascii="宋体" w:hAnsi="宋体" w:cs="宋体"/>
          <w:snapToGrid w:val="0"/>
          <w:kern w:val="0"/>
          <w:szCs w:val="21"/>
        </w:rPr>
        <w:t>联合体竞选的，详见竞选人须知前附表联合体竞选相关内容。</w:t>
      </w:r>
    </w:p>
    <w:p w14:paraId="5EEE6E17">
      <w:pPr>
        <w:pStyle w:val="5"/>
        <w:snapToGrid w:val="0"/>
        <w:spacing w:before="0" w:after="0" w:line="360" w:lineRule="auto"/>
        <w:rPr>
          <w:rFonts w:ascii="宋体" w:hAnsi="宋体" w:cs="宋体"/>
          <w:b w:val="0"/>
          <w:snapToGrid w:val="0"/>
          <w:sz w:val="24"/>
          <w:szCs w:val="24"/>
        </w:rPr>
      </w:pPr>
      <w:bookmarkStart w:id="311" w:name="_Toc40569163"/>
      <w:bookmarkStart w:id="312" w:name="_Toc430530460"/>
      <w:bookmarkStart w:id="313" w:name="_Toc509218735"/>
      <w:bookmarkStart w:id="314" w:name="_Toc277082577"/>
      <w:bookmarkStart w:id="315" w:name="_Toc26526"/>
      <w:bookmarkStart w:id="316" w:name="_Toc200513151"/>
      <w:bookmarkStart w:id="317" w:name="_Toc9341"/>
      <w:bookmarkStart w:id="318" w:name="_Toc40569068"/>
      <w:bookmarkStart w:id="319" w:name="_Toc287620710"/>
      <w:bookmarkStart w:id="320" w:name="_Toc287607771"/>
      <w:bookmarkStart w:id="321" w:name="_Toc224103342"/>
      <w:bookmarkStart w:id="322" w:name="_Toc7522"/>
      <w:r>
        <w:rPr>
          <w:rFonts w:hint="eastAsia" w:ascii="宋体" w:hAnsi="宋体" w:cs="宋体"/>
          <w:b w:val="0"/>
          <w:snapToGrid w:val="0"/>
          <w:sz w:val="24"/>
          <w:szCs w:val="24"/>
        </w:rPr>
        <w:t>3.6  备选竞选方案</w:t>
      </w:r>
      <w:bookmarkEnd w:id="311"/>
      <w:bookmarkEnd w:id="312"/>
      <w:bookmarkEnd w:id="313"/>
      <w:bookmarkEnd w:id="314"/>
      <w:bookmarkEnd w:id="315"/>
      <w:bookmarkEnd w:id="316"/>
      <w:bookmarkEnd w:id="317"/>
      <w:bookmarkEnd w:id="318"/>
      <w:bookmarkEnd w:id="319"/>
      <w:bookmarkEnd w:id="320"/>
      <w:bookmarkEnd w:id="321"/>
      <w:bookmarkEnd w:id="322"/>
    </w:p>
    <w:p w14:paraId="4D615816">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除竞选人须知前附表另有规定外，竞选人不得递交备选竞选方案。允许竞选人递交备选竞选方案的，只有中选人所递交的备选竞选方案方可予以考虑。评选委员会认为中选人的备选竞选方案优于其按照比选文件要求编制的竞选方案的，比选人可以接受该备选竞选方案。</w:t>
      </w:r>
    </w:p>
    <w:p w14:paraId="785B61B6">
      <w:pPr>
        <w:pStyle w:val="5"/>
        <w:snapToGrid w:val="0"/>
        <w:spacing w:before="0" w:after="0" w:line="360" w:lineRule="auto"/>
        <w:rPr>
          <w:rFonts w:ascii="宋体" w:hAnsi="宋体" w:cs="宋体"/>
          <w:b w:val="0"/>
          <w:snapToGrid w:val="0"/>
          <w:sz w:val="24"/>
          <w:szCs w:val="24"/>
        </w:rPr>
      </w:pPr>
      <w:bookmarkStart w:id="323" w:name="_Toc287607772"/>
      <w:bookmarkStart w:id="324" w:name="_Toc287620711"/>
      <w:bookmarkStart w:id="325" w:name="_Toc224103343"/>
      <w:bookmarkStart w:id="326" w:name="_Toc200513152"/>
      <w:bookmarkStart w:id="327" w:name="_Toc25048"/>
      <w:bookmarkStart w:id="328" w:name="_Toc430530461"/>
      <w:bookmarkStart w:id="329" w:name="_Toc29274"/>
      <w:bookmarkStart w:id="330" w:name="_Toc40569164"/>
      <w:bookmarkStart w:id="331" w:name="_Toc40569069"/>
      <w:bookmarkStart w:id="332" w:name="_Toc277082578"/>
      <w:bookmarkStart w:id="333" w:name="_Toc29561"/>
      <w:bookmarkStart w:id="334" w:name="_Toc509218736"/>
      <w:r>
        <w:rPr>
          <w:rFonts w:hint="eastAsia" w:ascii="宋体" w:hAnsi="宋体" w:cs="宋体"/>
          <w:b w:val="0"/>
          <w:snapToGrid w:val="0"/>
          <w:sz w:val="24"/>
          <w:szCs w:val="24"/>
        </w:rPr>
        <w:t>3.7  竞选文件的编制</w:t>
      </w:r>
      <w:bookmarkEnd w:id="323"/>
      <w:bookmarkEnd w:id="324"/>
      <w:bookmarkEnd w:id="325"/>
      <w:bookmarkEnd w:id="326"/>
      <w:bookmarkEnd w:id="327"/>
      <w:bookmarkEnd w:id="328"/>
      <w:bookmarkEnd w:id="329"/>
      <w:bookmarkEnd w:id="330"/>
      <w:bookmarkEnd w:id="331"/>
      <w:bookmarkEnd w:id="332"/>
      <w:bookmarkEnd w:id="333"/>
      <w:bookmarkEnd w:id="334"/>
    </w:p>
    <w:p w14:paraId="350B8ACA">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3.7.1  竞选文件应按第五章“竞选文件格式”进行编写，如有必要，可以增加附页，作为竞选文件的组成部分。其中，竞选函附录在满足比选文件实质性要求的基础上，可以提出高于比选文件要求且更有利于比选人的承诺。</w:t>
      </w:r>
    </w:p>
    <w:p w14:paraId="465BBD59">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3.7.2  竞选文件应当对比选文件有关监理服务期、比选有效期、质量要求、</w:t>
      </w:r>
      <w:r>
        <w:rPr>
          <w:rFonts w:hint="eastAsia" w:ascii="宋体" w:hAnsi="宋体"/>
        </w:rPr>
        <w:t>监理工作规范和技术标准</w:t>
      </w:r>
      <w:r>
        <w:rPr>
          <w:rFonts w:hint="eastAsia" w:ascii="宋体" w:hAnsi="宋体" w:cs="宋体"/>
          <w:snapToGrid w:val="0"/>
          <w:kern w:val="0"/>
          <w:szCs w:val="21"/>
        </w:rPr>
        <w:t>、比选范围等实质性内容做出响应。</w:t>
      </w:r>
    </w:p>
    <w:p w14:paraId="41FC67D5">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position w:val="-2"/>
          <w:szCs w:val="21"/>
        </w:rPr>
        <w:t>3.7.3  签字盖章要求按竞选人须知前附表3.7.3款执行。</w:t>
      </w:r>
    </w:p>
    <w:p w14:paraId="7BF57675">
      <w:pPr>
        <w:autoSpaceDE w:val="0"/>
        <w:autoSpaceDN w:val="0"/>
        <w:adjustRightInd w:val="0"/>
        <w:snapToGrid w:val="0"/>
        <w:spacing w:line="360" w:lineRule="auto"/>
        <w:ind w:right="-164" w:firstLine="420" w:firstLineChars="200"/>
        <w:rPr>
          <w:rFonts w:ascii="宋体" w:hAnsi="宋体" w:cs="宋体"/>
          <w:i/>
          <w:snapToGrid w:val="0"/>
          <w:kern w:val="0"/>
          <w:szCs w:val="21"/>
        </w:rPr>
      </w:pPr>
      <w:r>
        <w:rPr>
          <w:rFonts w:hint="eastAsia" w:ascii="宋体" w:hAnsi="宋体" w:cs="宋体"/>
          <w:snapToGrid w:val="0"/>
          <w:kern w:val="0"/>
          <w:szCs w:val="21"/>
        </w:rPr>
        <w:t>3.7.4  竞选文件的份数见竞选人须知前附表，不按规定递交足够份数的竞选文件作否决处理。</w:t>
      </w:r>
    </w:p>
    <w:p w14:paraId="69A35CDE">
      <w:pPr>
        <w:autoSpaceDE w:val="0"/>
        <w:autoSpaceDN w:val="0"/>
        <w:adjustRightInd w:val="0"/>
        <w:snapToGrid w:val="0"/>
        <w:spacing w:line="360" w:lineRule="auto"/>
        <w:ind w:right="-109" w:firstLine="420" w:firstLineChars="200"/>
        <w:rPr>
          <w:rFonts w:ascii="宋体" w:hAnsi="宋体" w:cs="宋体"/>
          <w:snapToGrid w:val="0"/>
          <w:kern w:val="0"/>
          <w:szCs w:val="21"/>
        </w:rPr>
      </w:pPr>
      <w:r>
        <w:rPr>
          <w:rFonts w:hint="eastAsia" w:ascii="宋体" w:hAnsi="宋体" w:cs="宋体"/>
          <w:snapToGrid w:val="0"/>
          <w:kern w:val="0"/>
          <w:szCs w:val="21"/>
        </w:rPr>
        <w:t>3.7.5  竞选文件应装订成册，并编制目录，具体装订要求见竞选人须知前附表规定。</w:t>
      </w:r>
    </w:p>
    <w:p w14:paraId="647F56A0">
      <w:pPr>
        <w:pStyle w:val="4"/>
        <w:spacing w:before="0" w:after="0" w:line="360" w:lineRule="auto"/>
        <w:rPr>
          <w:rFonts w:ascii="宋体" w:hAnsi="宋体" w:cs="宋体"/>
          <w:b w:val="0"/>
          <w:snapToGrid w:val="0"/>
          <w:sz w:val="24"/>
          <w:szCs w:val="24"/>
        </w:rPr>
      </w:pPr>
      <w:bookmarkStart w:id="335" w:name="_Toc31627"/>
      <w:bookmarkStart w:id="336" w:name="_Toc287607773"/>
      <w:bookmarkStart w:id="337" w:name="_Toc509218737"/>
      <w:bookmarkStart w:id="338" w:name="_Toc200513153"/>
      <w:bookmarkStart w:id="339" w:name="_Toc430530462"/>
      <w:bookmarkStart w:id="340" w:name="_Toc287620712"/>
      <w:bookmarkStart w:id="341" w:name="_Toc17781"/>
      <w:bookmarkStart w:id="342" w:name="_Toc224103344"/>
      <w:bookmarkStart w:id="343" w:name="_Toc277082579"/>
      <w:bookmarkStart w:id="344" w:name="_Toc26662"/>
      <w:r>
        <w:rPr>
          <w:rFonts w:hint="eastAsia" w:ascii="宋体" w:hAnsi="宋体" w:cs="宋体"/>
          <w:b w:val="0"/>
          <w:snapToGrid w:val="0"/>
          <w:sz w:val="24"/>
          <w:szCs w:val="24"/>
        </w:rPr>
        <w:t>4.  投标</w:t>
      </w:r>
      <w:bookmarkEnd w:id="335"/>
      <w:bookmarkEnd w:id="336"/>
      <w:bookmarkEnd w:id="337"/>
      <w:bookmarkEnd w:id="338"/>
      <w:bookmarkEnd w:id="339"/>
      <w:bookmarkEnd w:id="340"/>
      <w:bookmarkEnd w:id="341"/>
      <w:bookmarkEnd w:id="342"/>
      <w:bookmarkEnd w:id="343"/>
      <w:bookmarkEnd w:id="344"/>
    </w:p>
    <w:p w14:paraId="79AFE766">
      <w:pPr>
        <w:pStyle w:val="5"/>
        <w:keepNext w:val="0"/>
        <w:keepLines w:val="0"/>
        <w:snapToGrid w:val="0"/>
        <w:spacing w:before="0" w:after="0" w:line="360" w:lineRule="auto"/>
        <w:rPr>
          <w:rFonts w:ascii="宋体" w:hAnsi="宋体" w:cs="宋体"/>
          <w:b w:val="0"/>
          <w:snapToGrid w:val="0"/>
          <w:sz w:val="24"/>
          <w:szCs w:val="24"/>
        </w:rPr>
      </w:pPr>
      <w:bookmarkStart w:id="345" w:name="_Toc40569071"/>
      <w:bookmarkStart w:id="346" w:name="_Toc1906"/>
      <w:bookmarkStart w:id="347" w:name="_Toc40569166"/>
      <w:bookmarkStart w:id="348" w:name="_Toc287607774"/>
      <w:bookmarkStart w:id="349" w:name="_Toc224103345"/>
      <w:bookmarkStart w:id="350" w:name="_Toc287620713"/>
      <w:bookmarkStart w:id="351" w:name="_Toc509218738"/>
      <w:bookmarkStart w:id="352" w:name="_Toc21526"/>
      <w:bookmarkStart w:id="353" w:name="_Toc30123"/>
      <w:bookmarkStart w:id="354" w:name="_Toc200513154"/>
      <w:bookmarkStart w:id="355" w:name="_Toc277082580"/>
      <w:bookmarkStart w:id="356" w:name="_Toc430530463"/>
      <w:r>
        <w:rPr>
          <w:rFonts w:hint="eastAsia" w:ascii="宋体" w:hAnsi="宋体" w:cs="宋体"/>
          <w:b w:val="0"/>
          <w:snapToGrid w:val="0"/>
          <w:sz w:val="24"/>
          <w:szCs w:val="24"/>
        </w:rPr>
        <w:t>4.1  竞选文件的密封和标记</w:t>
      </w:r>
      <w:bookmarkEnd w:id="345"/>
      <w:bookmarkEnd w:id="346"/>
      <w:bookmarkEnd w:id="347"/>
      <w:bookmarkEnd w:id="348"/>
      <w:bookmarkEnd w:id="349"/>
      <w:bookmarkEnd w:id="350"/>
      <w:bookmarkEnd w:id="351"/>
      <w:bookmarkEnd w:id="352"/>
      <w:bookmarkEnd w:id="353"/>
      <w:bookmarkEnd w:id="354"/>
      <w:bookmarkEnd w:id="355"/>
      <w:bookmarkEnd w:id="356"/>
    </w:p>
    <w:p w14:paraId="08A96016">
      <w:pPr>
        <w:autoSpaceDE w:val="0"/>
        <w:autoSpaceDN w:val="0"/>
        <w:adjustRightInd w:val="0"/>
        <w:snapToGrid w:val="0"/>
        <w:spacing w:line="360" w:lineRule="auto"/>
        <w:ind w:firstLine="420" w:firstLineChars="200"/>
        <w:rPr>
          <w:rFonts w:ascii="宋体" w:hAnsi="宋体" w:cs="宋体"/>
          <w:snapToGrid w:val="0"/>
          <w:kern w:val="0"/>
          <w:szCs w:val="21"/>
        </w:rPr>
      </w:pPr>
      <w:bookmarkStart w:id="357" w:name="_Toc200513155"/>
      <w:r>
        <w:rPr>
          <w:rFonts w:hint="eastAsia" w:ascii="宋体" w:hAnsi="宋体" w:cs="宋体"/>
          <w:snapToGrid w:val="0"/>
          <w:kern w:val="0"/>
          <w:szCs w:val="21"/>
        </w:rPr>
        <w:t>4.1.1  竞选文件的正本密封见竞选人须知前附表。</w:t>
      </w:r>
    </w:p>
    <w:p w14:paraId="3BF94801">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4.1.2  竞选文件的封套上应写明的内容见竞选人须知前附表。</w:t>
      </w:r>
    </w:p>
    <w:p w14:paraId="25BD3445">
      <w:pPr>
        <w:pStyle w:val="5"/>
        <w:keepNext w:val="0"/>
        <w:keepLines w:val="0"/>
        <w:snapToGrid w:val="0"/>
        <w:spacing w:before="0" w:after="0" w:line="360" w:lineRule="auto"/>
        <w:rPr>
          <w:rFonts w:ascii="宋体" w:hAnsi="宋体" w:cs="宋体"/>
          <w:b w:val="0"/>
          <w:snapToGrid w:val="0"/>
          <w:sz w:val="24"/>
          <w:szCs w:val="24"/>
        </w:rPr>
      </w:pPr>
      <w:bookmarkStart w:id="358" w:name="_Toc287620714"/>
      <w:bookmarkStart w:id="359" w:name="_Toc277082581"/>
      <w:bookmarkStart w:id="360" w:name="_Toc509218739"/>
      <w:bookmarkStart w:id="361" w:name="_Toc7699"/>
      <w:bookmarkStart w:id="362" w:name="_Toc224103346"/>
      <w:bookmarkStart w:id="363" w:name="_Toc40569072"/>
      <w:bookmarkStart w:id="364" w:name="_Toc287607775"/>
      <w:bookmarkStart w:id="365" w:name="_Toc11740"/>
      <w:bookmarkStart w:id="366" w:name="_Toc40569167"/>
      <w:bookmarkStart w:id="367" w:name="_Toc430530464"/>
      <w:bookmarkStart w:id="368" w:name="_Toc26108"/>
      <w:r>
        <w:rPr>
          <w:rFonts w:hint="eastAsia" w:ascii="宋体" w:hAnsi="宋体" w:cs="宋体"/>
          <w:b w:val="0"/>
          <w:snapToGrid w:val="0"/>
          <w:sz w:val="24"/>
          <w:szCs w:val="24"/>
        </w:rPr>
        <w:t>4.2  竞选文件的递交</w:t>
      </w:r>
      <w:bookmarkEnd w:id="357"/>
      <w:bookmarkEnd w:id="358"/>
      <w:bookmarkEnd w:id="359"/>
      <w:bookmarkEnd w:id="360"/>
      <w:bookmarkEnd w:id="361"/>
      <w:bookmarkEnd w:id="362"/>
      <w:bookmarkEnd w:id="363"/>
      <w:bookmarkEnd w:id="364"/>
      <w:bookmarkEnd w:id="365"/>
      <w:bookmarkEnd w:id="366"/>
      <w:bookmarkEnd w:id="367"/>
      <w:bookmarkEnd w:id="368"/>
    </w:p>
    <w:p w14:paraId="066E3AE1">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4.2.1  竞选人应在竞选人须知前附表第 2.2.2 项规定的竞选文件递交截止时间前递交竞选文件。</w:t>
      </w:r>
    </w:p>
    <w:p w14:paraId="634DE01D">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4.2.2  竞选人递交竞选文件的地点：见竞选人须知前附表。</w:t>
      </w:r>
    </w:p>
    <w:p w14:paraId="0048D149">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4.2.3  除竞选人须知前附表另有规定外，竞选人所递交的竞选文件不予退还。</w:t>
      </w:r>
    </w:p>
    <w:p w14:paraId="3AC1B4E8">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4.2.4  比选人收到竞选文件后，向竞选人出具签收凭证。</w:t>
      </w:r>
    </w:p>
    <w:p w14:paraId="401DCA21">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4.2.5  逾期送达的或者未送达指定地点的竞选文件，比选人不予受理。</w:t>
      </w:r>
    </w:p>
    <w:p w14:paraId="72F710BD">
      <w:pPr>
        <w:pStyle w:val="5"/>
        <w:keepNext w:val="0"/>
        <w:keepLines w:val="0"/>
        <w:snapToGrid w:val="0"/>
        <w:spacing w:before="0" w:after="0" w:line="360" w:lineRule="auto"/>
        <w:rPr>
          <w:rFonts w:ascii="宋体" w:hAnsi="宋体" w:cs="宋体"/>
          <w:b w:val="0"/>
          <w:snapToGrid w:val="0"/>
          <w:sz w:val="24"/>
          <w:szCs w:val="24"/>
        </w:rPr>
      </w:pPr>
      <w:bookmarkStart w:id="369" w:name="_Toc509218740"/>
      <w:bookmarkStart w:id="370" w:name="_Toc40569168"/>
      <w:bookmarkStart w:id="371" w:name="_Toc40569073"/>
      <w:bookmarkStart w:id="372" w:name="_Toc277082582"/>
      <w:bookmarkStart w:id="373" w:name="_Toc287620715"/>
      <w:bookmarkStart w:id="374" w:name="_Toc287607776"/>
      <w:bookmarkStart w:id="375" w:name="_Toc430530465"/>
      <w:bookmarkStart w:id="376" w:name="_Toc23344"/>
      <w:bookmarkStart w:id="377" w:name="_Toc200513156"/>
      <w:bookmarkStart w:id="378" w:name="_Toc224103347"/>
      <w:bookmarkStart w:id="379" w:name="_Toc13850"/>
      <w:bookmarkStart w:id="380" w:name="_Toc30961"/>
      <w:r>
        <w:rPr>
          <w:rFonts w:hint="eastAsia" w:ascii="宋体" w:hAnsi="宋体" w:cs="宋体"/>
          <w:b w:val="0"/>
          <w:snapToGrid w:val="0"/>
          <w:sz w:val="24"/>
          <w:szCs w:val="24"/>
        </w:rPr>
        <w:t>4.3  竞选文件的修改与撤回</w:t>
      </w:r>
      <w:bookmarkEnd w:id="369"/>
      <w:bookmarkEnd w:id="370"/>
      <w:bookmarkEnd w:id="371"/>
      <w:bookmarkEnd w:id="372"/>
      <w:bookmarkEnd w:id="373"/>
      <w:bookmarkEnd w:id="374"/>
      <w:bookmarkEnd w:id="375"/>
      <w:bookmarkEnd w:id="376"/>
      <w:bookmarkEnd w:id="377"/>
      <w:bookmarkEnd w:id="378"/>
      <w:bookmarkEnd w:id="379"/>
      <w:bookmarkEnd w:id="380"/>
    </w:p>
    <w:p w14:paraId="4933EAC9">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4.3.1  在竞选人须知前附表第2.2.2项规定的竞选文件递交截止时间前，竞选人可以修改或撤回已递交的竞选文件，但应以书面形式通知比选人。</w:t>
      </w:r>
    </w:p>
    <w:p w14:paraId="1D935B12">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4.3.2  竞选人修改或撤回已递交竞选文件的书面通知应按照本章第3.7.3项的要求签字或盖章。比选人收到书面通知后，向竞选人出具签收凭证。</w:t>
      </w:r>
    </w:p>
    <w:p w14:paraId="022079C4">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4.3.3  修改的内容为竞选文件的组成部分。修改的竞选文件应按照本章第3条、第4条规定进行编制、密封、标记和递交，并标明“修改”字样。</w:t>
      </w:r>
    </w:p>
    <w:p w14:paraId="151498FF">
      <w:pPr>
        <w:pStyle w:val="4"/>
        <w:spacing w:before="0" w:after="0" w:line="360" w:lineRule="auto"/>
        <w:rPr>
          <w:rFonts w:ascii="宋体" w:hAnsi="宋体" w:cs="宋体"/>
          <w:b w:val="0"/>
          <w:snapToGrid w:val="0"/>
          <w:sz w:val="24"/>
          <w:szCs w:val="24"/>
        </w:rPr>
      </w:pPr>
      <w:bookmarkStart w:id="381" w:name="_Toc287607777"/>
      <w:bookmarkStart w:id="382" w:name="_Toc24445"/>
      <w:bookmarkStart w:id="383" w:name="_Toc509218741"/>
      <w:bookmarkStart w:id="384" w:name="_Toc224103348"/>
      <w:bookmarkStart w:id="385" w:name="_Toc18092"/>
      <w:bookmarkStart w:id="386" w:name="_Toc277082583"/>
      <w:bookmarkStart w:id="387" w:name="_Toc7310"/>
      <w:bookmarkStart w:id="388" w:name="_Toc287620716"/>
      <w:bookmarkStart w:id="389" w:name="_Toc430530466"/>
      <w:bookmarkStart w:id="390" w:name="_Toc200513157"/>
      <w:r>
        <w:rPr>
          <w:rFonts w:hint="eastAsia" w:ascii="宋体" w:hAnsi="宋体" w:cs="宋体"/>
          <w:b w:val="0"/>
          <w:snapToGrid w:val="0"/>
          <w:sz w:val="24"/>
          <w:szCs w:val="24"/>
        </w:rPr>
        <w:t>5.  开标</w:t>
      </w:r>
      <w:bookmarkEnd w:id="381"/>
      <w:bookmarkEnd w:id="382"/>
      <w:bookmarkEnd w:id="383"/>
      <w:bookmarkEnd w:id="384"/>
      <w:bookmarkEnd w:id="385"/>
      <w:bookmarkEnd w:id="386"/>
      <w:bookmarkEnd w:id="387"/>
      <w:bookmarkEnd w:id="388"/>
      <w:bookmarkEnd w:id="389"/>
      <w:bookmarkEnd w:id="390"/>
    </w:p>
    <w:p w14:paraId="5042DEB5">
      <w:pPr>
        <w:pStyle w:val="5"/>
        <w:keepNext w:val="0"/>
        <w:keepLines w:val="0"/>
        <w:snapToGrid w:val="0"/>
        <w:spacing w:before="0" w:after="0" w:line="360" w:lineRule="auto"/>
        <w:rPr>
          <w:rFonts w:ascii="宋体" w:hAnsi="宋体" w:cs="宋体"/>
          <w:b w:val="0"/>
          <w:snapToGrid w:val="0"/>
          <w:sz w:val="24"/>
          <w:szCs w:val="24"/>
        </w:rPr>
      </w:pPr>
      <w:bookmarkStart w:id="391" w:name="_Toc287620717"/>
      <w:bookmarkStart w:id="392" w:name="_Toc21647"/>
      <w:bookmarkStart w:id="393" w:name="_Toc40569075"/>
      <w:bookmarkStart w:id="394" w:name="_Toc287607778"/>
      <w:bookmarkStart w:id="395" w:name="_Toc277082584"/>
      <w:bookmarkStart w:id="396" w:name="_Toc40569170"/>
      <w:bookmarkStart w:id="397" w:name="_Toc509218742"/>
      <w:bookmarkStart w:id="398" w:name="_Toc23360"/>
      <w:bookmarkStart w:id="399" w:name="_Toc21177"/>
      <w:bookmarkStart w:id="400" w:name="_Toc430530467"/>
      <w:bookmarkStart w:id="401" w:name="_Toc200513158"/>
      <w:bookmarkStart w:id="402" w:name="_Toc224103349"/>
      <w:r>
        <w:rPr>
          <w:rFonts w:hint="eastAsia" w:ascii="宋体" w:hAnsi="宋体" w:cs="宋体"/>
          <w:b w:val="0"/>
          <w:snapToGrid w:val="0"/>
          <w:sz w:val="24"/>
          <w:szCs w:val="24"/>
        </w:rPr>
        <w:t>5.1  开标时间和地点</w:t>
      </w:r>
      <w:bookmarkEnd w:id="391"/>
      <w:bookmarkEnd w:id="392"/>
      <w:bookmarkEnd w:id="393"/>
      <w:bookmarkEnd w:id="394"/>
      <w:bookmarkEnd w:id="395"/>
      <w:bookmarkEnd w:id="396"/>
      <w:bookmarkEnd w:id="397"/>
      <w:bookmarkEnd w:id="398"/>
      <w:bookmarkEnd w:id="399"/>
      <w:bookmarkEnd w:id="400"/>
      <w:bookmarkEnd w:id="401"/>
      <w:bookmarkEnd w:id="402"/>
    </w:p>
    <w:p w14:paraId="261D5B4E">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比选人在竞选人须知前附表第 2.2.2 项规定的竞选文件递交截止时间和竞选人须知前附表规定的地点公开开标，并邀请所有竞选人的法定代表人或其委托代理人准时参加。</w:t>
      </w:r>
    </w:p>
    <w:p w14:paraId="01B62894">
      <w:pPr>
        <w:pStyle w:val="5"/>
        <w:keepNext w:val="0"/>
        <w:keepLines w:val="0"/>
        <w:snapToGrid w:val="0"/>
        <w:spacing w:before="0" w:after="0" w:line="360" w:lineRule="auto"/>
        <w:rPr>
          <w:rFonts w:ascii="宋体" w:hAnsi="宋体" w:cs="宋体"/>
          <w:b w:val="0"/>
          <w:snapToGrid w:val="0"/>
          <w:sz w:val="24"/>
          <w:szCs w:val="24"/>
        </w:rPr>
      </w:pPr>
      <w:bookmarkStart w:id="403" w:name="_Toc4086"/>
      <w:bookmarkStart w:id="404" w:name="_Toc200513159"/>
      <w:bookmarkStart w:id="405" w:name="_Toc9819"/>
      <w:bookmarkStart w:id="406" w:name="_Toc40569171"/>
      <w:bookmarkStart w:id="407" w:name="_Toc430530468"/>
      <w:bookmarkStart w:id="408" w:name="_Toc287620718"/>
      <w:bookmarkStart w:id="409" w:name="_Toc287607779"/>
      <w:bookmarkStart w:id="410" w:name="_Toc224103350"/>
      <w:bookmarkStart w:id="411" w:name="_Toc40569076"/>
      <w:bookmarkStart w:id="412" w:name="_Toc277082585"/>
      <w:bookmarkStart w:id="413" w:name="_Toc509218743"/>
      <w:bookmarkStart w:id="414" w:name="_Toc2116"/>
      <w:r>
        <w:rPr>
          <w:rFonts w:hint="eastAsia" w:ascii="宋体" w:hAnsi="宋体" w:cs="宋体"/>
          <w:b w:val="0"/>
          <w:snapToGrid w:val="0"/>
          <w:sz w:val="24"/>
          <w:szCs w:val="24"/>
        </w:rPr>
        <w:t>5.2  开标程序</w:t>
      </w:r>
      <w:bookmarkEnd w:id="403"/>
      <w:bookmarkEnd w:id="404"/>
      <w:bookmarkEnd w:id="405"/>
      <w:bookmarkEnd w:id="406"/>
      <w:bookmarkEnd w:id="407"/>
      <w:bookmarkEnd w:id="408"/>
      <w:bookmarkEnd w:id="409"/>
      <w:bookmarkEnd w:id="410"/>
      <w:bookmarkEnd w:id="411"/>
      <w:bookmarkEnd w:id="412"/>
      <w:bookmarkEnd w:id="413"/>
      <w:bookmarkEnd w:id="414"/>
    </w:p>
    <w:p w14:paraId="104802F0">
      <w:pPr>
        <w:autoSpaceDE w:val="0"/>
        <w:autoSpaceDN w:val="0"/>
        <w:adjustRightInd w:val="0"/>
        <w:snapToGrid w:val="0"/>
        <w:spacing w:line="360" w:lineRule="auto"/>
        <w:ind w:firstLine="420" w:firstLineChars="200"/>
        <w:rPr>
          <w:rFonts w:ascii="宋体" w:hAnsi="宋体" w:cs="宋体"/>
          <w:szCs w:val="21"/>
        </w:rPr>
      </w:pPr>
      <w:bookmarkStart w:id="415" w:name="_Toc277082586"/>
      <w:bookmarkStart w:id="416" w:name="_Toc287607780"/>
      <w:bookmarkStart w:id="417" w:name="_Toc287620719"/>
      <w:bookmarkStart w:id="418" w:name="_Toc224103351"/>
      <w:bookmarkStart w:id="419" w:name="_Toc200513160"/>
      <w:r>
        <w:rPr>
          <w:rFonts w:hint="eastAsia" w:ascii="宋体" w:hAnsi="宋体" w:cs="宋体"/>
          <w:szCs w:val="21"/>
        </w:rPr>
        <w:t>详见竞选人须知前附表5.2开标程序。</w:t>
      </w:r>
    </w:p>
    <w:p w14:paraId="7F6E36BD">
      <w:pPr>
        <w:pStyle w:val="4"/>
        <w:spacing w:before="0" w:after="0" w:line="360" w:lineRule="auto"/>
        <w:rPr>
          <w:rFonts w:ascii="宋体" w:hAnsi="宋体" w:cs="宋体"/>
          <w:b w:val="0"/>
          <w:snapToGrid w:val="0"/>
          <w:sz w:val="24"/>
          <w:szCs w:val="24"/>
        </w:rPr>
      </w:pPr>
      <w:bookmarkStart w:id="420" w:name="_Toc509218744"/>
      <w:bookmarkStart w:id="421" w:name="_Toc28222"/>
      <w:bookmarkStart w:id="422" w:name="_Toc20444"/>
      <w:bookmarkStart w:id="423" w:name="_Toc29670"/>
      <w:bookmarkStart w:id="424" w:name="_Toc430530469"/>
      <w:r>
        <w:rPr>
          <w:rFonts w:hint="eastAsia" w:ascii="宋体" w:hAnsi="宋体" w:cs="宋体"/>
          <w:b w:val="0"/>
          <w:snapToGrid w:val="0"/>
          <w:sz w:val="24"/>
          <w:szCs w:val="24"/>
        </w:rPr>
        <w:t xml:space="preserve">6.  </w:t>
      </w:r>
      <w:bookmarkEnd w:id="415"/>
      <w:bookmarkEnd w:id="416"/>
      <w:bookmarkEnd w:id="417"/>
      <w:bookmarkEnd w:id="418"/>
      <w:bookmarkEnd w:id="419"/>
      <w:bookmarkEnd w:id="420"/>
      <w:bookmarkEnd w:id="421"/>
      <w:bookmarkEnd w:id="422"/>
      <w:bookmarkEnd w:id="423"/>
      <w:bookmarkEnd w:id="424"/>
      <w:r>
        <w:rPr>
          <w:rFonts w:hint="eastAsia" w:ascii="宋体" w:hAnsi="宋体" w:cs="宋体"/>
          <w:b w:val="0"/>
          <w:snapToGrid w:val="0"/>
          <w:sz w:val="24"/>
          <w:szCs w:val="24"/>
        </w:rPr>
        <w:t>评选</w:t>
      </w:r>
    </w:p>
    <w:p w14:paraId="5D8170D0">
      <w:pPr>
        <w:pStyle w:val="5"/>
        <w:keepNext w:val="0"/>
        <w:keepLines w:val="0"/>
        <w:snapToGrid w:val="0"/>
        <w:spacing w:before="0" w:after="0" w:line="360" w:lineRule="auto"/>
        <w:rPr>
          <w:rFonts w:ascii="宋体" w:hAnsi="宋体" w:cs="宋体"/>
          <w:b w:val="0"/>
          <w:snapToGrid w:val="0"/>
          <w:sz w:val="24"/>
          <w:szCs w:val="24"/>
        </w:rPr>
      </w:pPr>
      <w:bookmarkStart w:id="425" w:name="_Toc224103352"/>
      <w:bookmarkStart w:id="426" w:name="_Toc430530470"/>
      <w:bookmarkStart w:id="427" w:name="_Toc287607781"/>
      <w:bookmarkStart w:id="428" w:name="_Toc509218745"/>
      <w:bookmarkStart w:id="429" w:name="_Toc1171"/>
      <w:bookmarkStart w:id="430" w:name="_Toc11628"/>
      <w:bookmarkStart w:id="431" w:name="_Toc8411"/>
      <w:bookmarkStart w:id="432" w:name="_Toc277082587"/>
      <w:bookmarkStart w:id="433" w:name="_Toc287620720"/>
      <w:bookmarkStart w:id="434" w:name="_Toc200513161"/>
      <w:bookmarkStart w:id="435" w:name="_Toc40569078"/>
      <w:bookmarkStart w:id="436" w:name="_Toc40569173"/>
      <w:r>
        <w:rPr>
          <w:rFonts w:hint="eastAsia" w:ascii="宋体" w:hAnsi="宋体" w:cs="宋体"/>
          <w:b w:val="0"/>
          <w:snapToGrid w:val="0"/>
          <w:sz w:val="24"/>
          <w:szCs w:val="24"/>
        </w:rPr>
        <w:t>6.1  评选委员会</w:t>
      </w:r>
      <w:bookmarkEnd w:id="425"/>
      <w:bookmarkEnd w:id="426"/>
      <w:bookmarkEnd w:id="427"/>
      <w:bookmarkEnd w:id="428"/>
      <w:bookmarkEnd w:id="429"/>
      <w:bookmarkEnd w:id="430"/>
      <w:bookmarkEnd w:id="431"/>
      <w:bookmarkEnd w:id="432"/>
      <w:bookmarkEnd w:id="433"/>
      <w:bookmarkEnd w:id="434"/>
      <w:bookmarkEnd w:id="435"/>
      <w:bookmarkEnd w:id="436"/>
    </w:p>
    <w:p w14:paraId="66DE203D">
      <w:pPr>
        <w:autoSpaceDE w:val="0"/>
        <w:autoSpaceDN w:val="0"/>
        <w:adjustRightInd w:val="0"/>
        <w:snapToGrid w:val="0"/>
        <w:spacing w:line="360" w:lineRule="auto"/>
        <w:ind w:firstLine="420" w:firstLineChars="200"/>
        <w:rPr>
          <w:rFonts w:ascii="宋体" w:hAnsi="宋体" w:cs="宋体"/>
          <w:b/>
          <w:snapToGrid w:val="0"/>
          <w:kern w:val="0"/>
          <w:szCs w:val="21"/>
        </w:rPr>
      </w:pPr>
      <w:r>
        <w:rPr>
          <w:rFonts w:hint="eastAsia" w:ascii="宋体" w:hAnsi="宋体" w:cs="宋体"/>
          <w:snapToGrid w:val="0"/>
          <w:kern w:val="0"/>
          <w:szCs w:val="21"/>
        </w:rPr>
        <w:t>6.1.1  评选由比选人依据法律法规和相关规范性文件组建的评选委员会负责。</w:t>
      </w:r>
    </w:p>
    <w:p w14:paraId="1588E0C4">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6.1.2  评选委员会成员有下列情形之一的，应当回避：</w:t>
      </w:r>
    </w:p>
    <w:p w14:paraId="73DFB852">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（1）竞选人或竞选人的主要负责人的近亲属；</w:t>
      </w:r>
    </w:p>
    <w:p w14:paraId="2754E3D2">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（2）项目主管部门或者行政监督部门的人员；</w:t>
      </w:r>
    </w:p>
    <w:p w14:paraId="01AD2B42">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（3）与竞选人有利害关系，可能影响对竞选公正评审的；</w:t>
      </w:r>
    </w:p>
    <w:p w14:paraId="7F9713C5">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（4）曾因在招标、评选以及其他与招标投标有关活动中从事违法行为而受过行政处罚或刑事处罚的。</w:t>
      </w:r>
    </w:p>
    <w:p w14:paraId="5AFBB820">
      <w:pPr>
        <w:pStyle w:val="5"/>
        <w:snapToGrid w:val="0"/>
        <w:spacing w:before="0" w:after="0" w:line="360" w:lineRule="auto"/>
        <w:rPr>
          <w:rFonts w:ascii="宋体" w:hAnsi="宋体" w:cs="宋体"/>
          <w:b w:val="0"/>
          <w:snapToGrid w:val="0"/>
          <w:sz w:val="24"/>
          <w:szCs w:val="24"/>
        </w:rPr>
      </w:pPr>
      <w:bookmarkStart w:id="437" w:name="_Toc277082588"/>
      <w:bookmarkStart w:id="438" w:name="_Toc287607782"/>
      <w:bookmarkStart w:id="439" w:name="_Toc1737"/>
      <w:bookmarkStart w:id="440" w:name="_Toc430530471"/>
      <w:bookmarkStart w:id="441" w:name="_Toc224103353"/>
      <w:bookmarkStart w:id="442" w:name="_Toc40569174"/>
      <w:bookmarkStart w:id="443" w:name="_Toc200513162"/>
      <w:bookmarkStart w:id="444" w:name="_Toc40569079"/>
      <w:bookmarkStart w:id="445" w:name="_Toc19907"/>
      <w:bookmarkStart w:id="446" w:name="_Toc287620721"/>
      <w:bookmarkStart w:id="447" w:name="_Toc5380"/>
      <w:bookmarkStart w:id="448" w:name="_Toc509218746"/>
      <w:r>
        <w:rPr>
          <w:rFonts w:hint="eastAsia" w:ascii="宋体" w:hAnsi="宋体" w:cs="宋体"/>
          <w:b w:val="0"/>
          <w:snapToGrid w:val="0"/>
          <w:sz w:val="24"/>
          <w:szCs w:val="24"/>
        </w:rPr>
        <w:t>6.2  评选原则</w:t>
      </w:r>
      <w:bookmarkEnd w:id="437"/>
      <w:bookmarkEnd w:id="438"/>
      <w:bookmarkEnd w:id="439"/>
      <w:bookmarkEnd w:id="440"/>
      <w:bookmarkEnd w:id="441"/>
      <w:bookmarkEnd w:id="442"/>
      <w:bookmarkEnd w:id="443"/>
      <w:bookmarkEnd w:id="444"/>
      <w:bookmarkEnd w:id="445"/>
      <w:bookmarkEnd w:id="446"/>
      <w:bookmarkEnd w:id="447"/>
      <w:bookmarkEnd w:id="448"/>
    </w:p>
    <w:p w14:paraId="66A716C2">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评选活动遵循公平、公正、科学和择优的原则。</w:t>
      </w:r>
    </w:p>
    <w:p w14:paraId="6BDBA0A0">
      <w:pPr>
        <w:pStyle w:val="5"/>
        <w:snapToGrid w:val="0"/>
        <w:spacing w:before="0" w:after="0" w:line="360" w:lineRule="auto"/>
        <w:rPr>
          <w:rFonts w:ascii="宋体" w:hAnsi="宋体" w:cs="宋体"/>
          <w:b w:val="0"/>
          <w:snapToGrid w:val="0"/>
          <w:sz w:val="24"/>
          <w:szCs w:val="24"/>
        </w:rPr>
      </w:pPr>
      <w:bookmarkStart w:id="449" w:name="_Toc287620722"/>
      <w:bookmarkStart w:id="450" w:name="_Toc200513163"/>
      <w:bookmarkStart w:id="451" w:name="_Toc32653"/>
      <w:bookmarkStart w:id="452" w:name="_Toc509218747"/>
      <w:bookmarkStart w:id="453" w:name="_Toc430530472"/>
      <w:bookmarkStart w:id="454" w:name="_Toc40569080"/>
      <w:bookmarkStart w:id="455" w:name="_Toc287607783"/>
      <w:bookmarkStart w:id="456" w:name="_Toc224103354"/>
      <w:bookmarkStart w:id="457" w:name="_Toc277082589"/>
      <w:bookmarkStart w:id="458" w:name="_Toc17901"/>
      <w:bookmarkStart w:id="459" w:name="_Toc29814"/>
      <w:bookmarkStart w:id="460" w:name="_Toc40569175"/>
      <w:r>
        <w:rPr>
          <w:rFonts w:hint="eastAsia" w:ascii="宋体" w:hAnsi="宋体" w:cs="宋体"/>
          <w:b w:val="0"/>
          <w:snapToGrid w:val="0"/>
          <w:sz w:val="24"/>
          <w:szCs w:val="24"/>
        </w:rPr>
        <w:t xml:space="preserve">6.3  </w:t>
      </w:r>
      <w:bookmarkEnd w:id="449"/>
      <w:bookmarkEnd w:id="450"/>
      <w:bookmarkEnd w:id="451"/>
      <w:bookmarkEnd w:id="452"/>
      <w:bookmarkEnd w:id="453"/>
      <w:bookmarkEnd w:id="454"/>
      <w:bookmarkEnd w:id="455"/>
      <w:bookmarkEnd w:id="456"/>
      <w:bookmarkEnd w:id="457"/>
      <w:bookmarkEnd w:id="458"/>
      <w:bookmarkEnd w:id="459"/>
      <w:bookmarkEnd w:id="460"/>
      <w:r>
        <w:rPr>
          <w:rFonts w:hint="eastAsia" w:ascii="宋体" w:hAnsi="宋体" w:cs="宋体"/>
          <w:b w:val="0"/>
          <w:snapToGrid w:val="0"/>
          <w:sz w:val="24"/>
          <w:szCs w:val="24"/>
        </w:rPr>
        <w:t>评选</w:t>
      </w:r>
    </w:p>
    <w:p w14:paraId="637D411C">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评选委员会按照第三章“评选办法”规定的方法、评审因素、标准和程序对竞选文件进行评审。第三章“评选办法”没有规定的方法、评审因素和标准，不得作为评选依据。</w:t>
      </w:r>
    </w:p>
    <w:p w14:paraId="47047A52">
      <w:pPr>
        <w:pStyle w:val="4"/>
        <w:spacing w:before="0" w:after="0" w:line="360" w:lineRule="auto"/>
        <w:rPr>
          <w:rFonts w:ascii="宋体" w:hAnsi="宋体" w:cs="宋体"/>
          <w:b w:val="0"/>
          <w:snapToGrid w:val="0"/>
          <w:sz w:val="24"/>
          <w:szCs w:val="24"/>
        </w:rPr>
      </w:pPr>
      <w:bookmarkStart w:id="461" w:name="_Toc200513164"/>
      <w:bookmarkStart w:id="462" w:name="_Toc287607784"/>
      <w:bookmarkStart w:id="463" w:name="_Toc430530473"/>
      <w:bookmarkStart w:id="464" w:name="_Toc509218748"/>
      <w:bookmarkStart w:id="465" w:name="_Toc23357"/>
      <w:bookmarkStart w:id="466" w:name="_Toc27760"/>
      <w:bookmarkStart w:id="467" w:name="_Toc677"/>
      <w:bookmarkStart w:id="468" w:name="_Toc287620723"/>
      <w:bookmarkStart w:id="469" w:name="_Toc224103355"/>
      <w:bookmarkStart w:id="470" w:name="_Toc277082590"/>
      <w:r>
        <w:rPr>
          <w:rFonts w:hint="eastAsia" w:ascii="宋体" w:hAnsi="宋体" w:cs="宋体"/>
          <w:b w:val="0"/>
          <w:snapToGrid w:val="0"/>
          <w:sz w:val="24"/>
          <w:szCs w:val="24"/>
        </w:rPr>
        <w:t>7.  合同授予</w:t>
      </w:r>
      <w:bookmarkEnd w:id="461"/>
      <w:bookmarkEnd w:id="462"/>
      <w:bookmarkEnd w:id="463"/>
      <w:bookmarkEnd w:id="464"/>
      <w:bookmarkEnd w:id="465"/>
      <w:bookmarkEnd w:id="466"/>
      <w:bookmarkEnd w:id="467"/>
      <w:bookmarkEnd w:id="468"/>
      <w:bookmarkEnd w:id="469"/>
      <w:bookmarkEnd w:id="470"/>
    </w:p>
    <w:p w14:paraId="76D44214">
      <w:pPr>
        <w:pStyle w:val="5"/>
        <w:snapToGrid w:val="0"/>
        <w:spacing w:before="0" w:after="0" w:line="360" w:lineRule="auto"/>
        <w:rPr>
          <w:rFonts w:ascii="宋体" w:hAnsi="宋体" w:cs="宋体"/>
          <w:b w:val="0"/>
          <w:snapToGrid w:val="0"/>
          <w:sz w:val="24"/>
          <w:szCs w:val="24"/>
        </w:rPr>
      </w:pPr>
      <w:bookmarkStart w:id="471" w:name="_Toc509218749"/>
      <w:bookmarkStart w:id="472" w:name="_Toc40569082"/>
      <w:bookmarkStart w:id="473" w:name="_Toc224103356"/>
      <w:bookmarkStart w:id="474" w:name="_Toc200513165"/>
      <w:bookmarkStart w:id="475" w:name="_Toc12616"/>
      <w:bookmarkStart w:id="476" w:name="_Toc430530474"/>
      <w:bookmarkStart w:id="477" w:name="_Toc287607785"/>
      <w:bookmarkStart w:id="478" w:name="_Toc277082591"/>
      <w:bookmarkStart w:id="479" w:name="_Toc12014"/>
      <w:bookmarkStart w:id="480" w:name="_Toc14144"/>
      <w:bookmarkStart w:id="481" w:name="_Toc40569177"/>
      <w:bookmarkStart w:id="482" w:name="_Toc287620724"/>
      <w:r>
        <w:rPr>
          <w:rFonts w:hint="eastAsia" w:ascii="宋体" w:hAnsi="宋体" w:cs="宋体"/>
          <w:b w:val="0"/>
          <w:snapToGrid w:val="0"/>
          <w:sz w:val="24"/>
          <w:szCs w:val="24"/>
        </w:rPr>
        <w:t>7.1  定标方式</w:t>
      </w:r>
      <w:bookmarkEnd w:id="471"/>
      <w:bookmarkEnd w:id="472"/>
      <w:bookmarkEnd w:id="473"/>
      <w:bookmarkEnd w:id="474"/>
      <w:bookmarkEnd w:id="475"/>
      <w:bookmarkEnd w:id="476"/>
      <w:bookmarkEnd w:id="477"/>
      <w:bookmarkEnd w:id="478"/>
      <w:bookmarkEnd w:id="479"/>
      <w:bookmarkEnd w:id="480"/>
      <w:bookmarkEnd w:id="481"/>
      <w:bookmarkEnd w:id="482"/>
    </w:p>
    <w:p w14:paraId="6ACC0EB4">
      <w:pPr>
        <w:spacing w:line="360" w:lineRule="auto"/>
        <w:ind w:firstLine="420" w:firstLineChars="200"/>
        <w:rPr>
          <w:rFonts w:ascii="宋体" w:hAnsi="宋体" w:cs="宋体"/>
          <w:szCs w:val="21"/>
        </w:rPr>
      </w:pPr>
      <w:r>
        <w:rPr>
          <w:rFonts w:hint="eastAsia" w:ascii="宋体" w:hAnsi="宋体" w:cs="宋体"/>
          <w:szCs w:val="21"/>
        </w:rPr>
        <w:t>国有资金占控股或者主导地位的依法必须进行招标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选委员会提出的中选候选人名单排序依次确定其他中选候选人为中选人，也可以重新比选。</w:t>
      </w:r>
    </w:p>
    <w:p w14:paraId="07D189C2">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评选委员会推荐中选候选人的人数见竞选人须知前附表。</w:t>
      </w:r>
    </w:p>
    <w:p w14:paraId="314DF640">
      <w:pPr>
        <w:pStyle w:val="5"/>
        <w:snapToGrid w:val="0"/>
        <w:spacing w:before="0" w:after="0" w:line="360" w:lineRule="auto"/>
        <w:rPr>
          <w:rFonts w:ascii="宋体" w:hAnsi="宋体" w:cs="宋体"/>
          <w:b w:val="0"/>
          <w:snapToGrid w:val="0"/>
          <w:sz w:val="24"/>
          <w:szCs w:val="24"/>
        </w:rPr>
      </w:pPr>
      <w:bookmarkStart w:id="483" w:name="_Toc757"/>
      <w:bookmarkStart w:id="484" w:name="_Toc3480"/>
      <w:bookmarkStart w:id="485" w:name="_Toc430530475"/>
      <w:bookmarkStart w:id="486" w:name="_Toc23600"/>
      <w:bookmarkStart w:id="487" w:name="_Toc509218750"/>
      <w:bookmarkStart w:id="488" w:name="_Toc40569178"/>
      <w:bookmarkStart w:id="489" w:name="_Toc40569083"/>
      <w:r>
        <w:rPr>
          <w:rFonts w:hint="eastAsia" w:ascii="宋体" w:hAnsi="宋体" w:cs="宋体"/>
          <w:b w:val="0"/>
          <w:snapToGrid w:val="0"/>
          <w:sz w:val="24"/>
          <w:szCs w:val="24"/>
        </w:rPr>
        <w:t>7.2  中选公示及中选通知</w:t>
      </w:r>
      <w:bookmarkEnd w:id="483"/>
      <w:bookmarkEnd w:id="484"/>
      <w:bookmarkEnd w:id="485"/>
      <w:bookmarkEnd w:id="486"/>
      <w:bookmarkEnd w:id="487"/>
      <w:bookmarkEnd w:id="488"/>
      <w:bookmarkEnd w:id="489"/>
    </w:p>
    <w:p w14:paraId="6E796B98">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详见竞选人须知前附表。</w:t>
      </w:r>
    </w:p>
    <w:p w14:paraId="771FB3BD">
      <w:pPr>
        <w:pStyle w:val="5"/>
        <w:snapToGrid w:val="0"/>
        <w:spacing w:before="0" w:after="0" w:line="360" w:lineRule="auto"/>
        <w:rPr>
          <w:rFonts w:ascii="宋体" w:hAnsi="宋体" w:cs="宋体"/>
          <w:b w:val="0"/>
          <w:snapToGrid w:val="0"/>
          <w:sz w:val="24"/>
          <w:szCs w:val="24"/>
        </w:rPr>
      </w:pPr>
      <w:bookmarkStart w:id="490" w:name="_Toc40569179"/>
      <w:bookmarkStart w:id="491" w:name="_Toc200513167"/>
      <w:bookmarkStart w:id="492" w:name="_Toc40569084"/>
      <w:bookmarkStart w:id="493" w:name="_Toc31150"/>
      <w:bookmarkStart w:id="494" w:name="_Toc1444"/>
      <w:bookmarkStart w:id="495" w:name="_Toc20679"/>
      <w:bookmarkStart w:id="496" w:name="_Toc509218751"/>
      <w:bookmarkStart w:id="497" w:name="_Toc287607787"/>
      <w:bookmarkStart w:id="498" w:name="_Toc277082593"/>
      <w:bookmarkStart w:id="499" w:name="_Toc287620726"/>
      <w:bookmarkStart w:id="500" w:name="_Toc224103358"/>
      <w:bookmarkStart w:id="501" w:name="_Toc430530476"/>
      <w:r>
        <w:rPr>
          <w:rFonts w:hint="eastAsia" w:ascii="宋体" w:hAnsi="宋体" w:cs="宋体"/>
          <w:b w:val="0"/>
          <w:snapToGrid w:val="0"/>
          <w:sz w:val="24"/>
          <w:szCs w:val="24"/>
        </w:rPr>
        <w:t>7.3  履约担保</w:t>
      </w:r>
      <w:bookmarkEnd w:id="490"/>
      <w:bookmarkEnd w:id="491"/>
      <w:bookmarkEnd w:id="492"/>
      <w:bookmarkEnd w:id="493"/>
      <w:bookmarkEnd w:id="494"/>
      <w:bookmarkEnd w:id="495"/>
      <w:bookmarkEnd w:id="496"/>
      <w:bookmarkEnd w:id="497"/>
      <w:bookmarkEnd w:id="498"/>
      <w:bookmarkEnd w:id="499"/>
      <w:bookmarkEnd w:id="500"/>
      <w:bookmarkEnd w:id="501"/>
    </w:p>
    <w:p w14:paraId="0E6E55E6">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7.3.1  在签订合同前，中选人应按竞选人须知前附表规定的金额、担保形式和比选文件第四章“合同条款及格式”规定的履约担保格式向比选人提交履约担保。联合体中选的，其履约担保由牵头人递交，并应符合竞选人须知前附表规定的金额、担保形式和比选文件第四章“合同条款及格式”规定的履约担保格式要求。</w:t>
      </w:r>
    </w:p>
    <w:p w14:paraId="5135ED01">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7.3.2  中选人不能按本章第 7.3.1 项要求提交履约担保的，视为放弃中选，其比选保证金不予退还，给比选人造成的损失超过比选保证金数额的，中选人还应当对超过部分予以赔偿。</w:t>
      </w:r>
    </w:p>
    <w:p w14:paraId="4D09A94E">
      <w:pPr>
        <w:pStyle w:val="5"/>
        <w:snapToGrid w:val="0"/>
        <w:spacing w:before="0" w:after="0" w:line="360" w:lineRule="auto"/>
        <w:rPr>
          <w:rFonts w:ascii="宋体" w:hAnsi="宋体" w:cs="宋体"/>
          <w:b w:val="0"/>
          <w:snapToGrid w:val="0"/>
          <w:sz w:val="24"/>
          <w:szCs w:val="24"/>
        </w:rPr>
      </w:pPr>
      <w:bookmarkStart w:id="502" w:name="_Toc40569180"/>
      <w:bookmarkStart w:id="503" w:name="_Toc224103359"/>
      <w:bookmarkStart w:id="504" w:name="_Toc430530477"/>
      <w:bookmarkStart w:id="505" w:name="_Toc277082594"/>
      <w:bookmarkStart w:id="506" w:name="_Toc40569085"/>
      <w:bookmarkStart w:id="507" w:name="_Toc23731"/>
      <w:bookmarkStart w:id="508" w:name="_Toc3209"/>
      <w:bookmarkStart w:id="509" w:name="_Toc509218752"/>
      <w:bookmarkStart w:id="510" w:name="_Toc1871"/>
      <w:bookmarkStart w:id="511" w:name="_Toc287620727"/>
      <w:bookmarkStart w:id="512" w:name="_Toc200513168"/>
      <w:bookmarkStart w:id="513" w:name="_Toc287607788"/>
      <w:r>
        <w:rPr>
          <w:rFonts w:hint="eastAsia" w:ascii="宋体" w:hAnsi="宋体" w:cs="宋体"/>
          <w:b w:val="0"/>
          <w:snapToGrid w:val="0"/>
          <w:sz w:val="24"/>
          <w:szCs w:val="24"/>
        </w:rPr>
        <w:t>7.4  签订合同</w:t>
      </w:r>
      <w:bookmarkEnd w:id="502"/>
      <w:bookmarkEnd w:id="503"/>
      <w:bookmarkEnd w:id="504"/>
      <w:bookmarkEnd w:id="505"/>
      <w:bookmarkEnd w:id="506"/>
      <w:bookmarkEnd w:id="507"/>
      <w:bookmarkEnd w:id="508"/>
      <w:bookmarkEnd w:id="509"/>
      <w:bookmarkEnd w:id="510"/>
      <w:bookmarkEnd w:id="511"/>
      <w:bookmarkEnd w:id="512"/>
      <w:bookmarkEnd w:id="513"/>
    </w:p>
    <w:p w14:paraId="3AB366ED">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7.4.1 比选人和中选人应当自中选通知书发出之日起 30 天内，根据比选文件和中选人的竞选文件订立书面合同。中选人无正当理由拒签合同的，比选人取消其中选资格，其比选保证金不予退还；给比选人造成的损失超过比选保证金数额的，中选人还应当对超过部分予以赔偿。</w:t>
      </w:r>
    </w:p>
    <w:p w14:paraId="3C866034">
      <w:pPr>
        <w:pStyle w:val="4"/>
        <w:spacing w:before="0" w:after="0" w:line="360" w:lineRule="auto"/>
        <w:rPr>
          <w:rFonts w:ascii="宋体" w:hAnsi="宋体" w:cs="宋体"/>
          <w:b w:val="0"/>
          <w:snapToGrid w:val="0"/>
          <w:sz w:val="24"/>
          <w:szCs w:val="24"/>
        </w:rPr>
      </w:pPr>
      <w:bookmarkStart w:id="514" w:name="_Toc509218753"/>
      <w:bookmarkStart w:id="515" w:name="_Toc287620728"/>
      <w:bookmarkStart w:id="516" w:name="_Toc277082595"/>
      <w:bookmarkStart w:id="517" w:name="_Toc224103360"/>
      <w:bookmarkStart w:id="518" w:name="_Toc4906"/>
      <w:bookmarkStart w:id="519" w:name="_Toc32452"/>
      <w:bookmarkStart w:id="520" w:name="_Toc287607789"/>
      <w:bookmarkStart w:id="521" w:name="_Toc387"/>
      <w:bookmarkStart w:id="522" w:name="_Toc430530478"/>
      <w:bookmarkStart w:id="523" w:name="_Toc200513169"/>
      <w:r>
        <w:rPr>
          <w:rFonts w:hint="eastAsia" w:ascii="宋体" w:hAnsi="宋体" w:cs="宋体"/>
          <w:b w:val="0"/>
          <w:snapToGrid w:val="0"/>
          <w:sz w:val="24"/>
          <w:szCs w:val="24"/>
        </w:rPr>
        <w:t>8.  重新</w:t>
      </w:r>
      <w:bookmarkEnd w:id="514"/>
      <w:bookmarkEnd w:id="515"/>
      <w:bookmarkEnd w:id="516"/>
      <w:bookmarkEnd w:id="517"/>
      <w:bookmarkEnd w:id="518"/>
      <w:bookmarkEnd w:id="519"/>
      <w:bookmarkEnd w:id="520"/>
      <w:bookmarkEnd w:id="521"/>
      <w:bookmarkEnd w:id="522"/>
      <w:bookmarkEnd w:id="523"/>
      <w:r>
        <w:rPr>
          <w:rFonts w:hint="eastAsia" w:ascii="宋体" w:hAnsi="宋体" w:cs="宋体"/>
          <w:b w:val="0"/>
          <w:snapToGrid w:val="0"/>
          <w:sz w:val="24"/>
          <w:szCs w:val="24"/>
        </w:rPr>
        <w:t>比选</w:t>
      </w:r>
    </w:p>
    <w:p w14:paraId="1685B9DF">
      <w:pPr>
        <w:pStyle w:val="5"/>
        <w:snapToGrid w:val="0"/>
        <w:spacing w:before="0" w:after="0" w:line="360" w:lineRule="auto"/>
        <w:rPr>
          <w:rFonts w:ascii="宋体" w:hAnsi="宋体" w:cs="宋体"/>
          <w:b w:val="0"/>
          <w:snapToGrid w:val="0"/>
          <w:sz w:val="24"/>
          <w:szCs w:val="24"/>
        </w:rPr>
      </w:pPr>
      <w:bookmarkStart w:id="524" w:name="_Toc40569182"/>
      <w:bookmarkStart w:id="525" w:name="_Toc200513170"/>
      <w:bookmarkStart w:id="526" w:name="_Toc287620729"/>
      <w:bookmarkStart w:id="527" w:name="_Toc5411"/>
      <w:bookmarkStart w:id="528" w:name="_Toc40569087"/>
      <w:bookmarkStart w:id="529" w:name="_Toc224103361"/>
      <w:bookmarkStart w:id="530" w:name="_Toc430530479"/>
      <w:bookmarkStart w:id="531" w:name="_Toc287607790"/>
      <w:bookmarkStart w:id="532" w:name="_Toc509218754"/>
      <w:bookmarkStart w:id="533" w:name="_Toc16710"/>
      <w:bookmarkStart w:id="534" w:name="_Toc277082596"/>
      <w:bookmarkStart w:id="535" w:name="_Toc23599"/>
      <w:r>
        <w:rPr>
          <w:rFonts w:hint="eastAsia" w:ascii="宋体" w:hAnsi="宋体" w:cs="宋体"/>
          <w:b w:val="0"/>
          <w:snapToGrid w:val="0"/>
          <w:sz w:val="24"/>
          <w:szCs w:val="24"/>
        </w:rPr>
        <w:t>8.1  重新</w:t>
      </w:r>
      <w:bookmarkEnd w:id="524"/>
      <w:bookmarkEnd w:id="525"/>
      <w:bookmarkEnd w:id="526"/>
      <w:bookmarkEnd w:id="527"/>
      <w:bookmarkEnd w:id="528"/>
      <w:bookmarkEnd w:id="529"/>
      <w:bookmarkEnd w:id="530"/>
      <w:bookmarkEnd w:id="531"/>
      <w:bookmarkEnd w:id="532"/>
      <w:bookmarkEnd w:id="533"/>
      <w:bookmarkEnd w:id="534"/>
      <w:bookmarkEnd w:id="535"/>
      <w:r>
        <w:rPr>
          <w:rFonts w:hint="eastAsia" w:ascii="宋体" w:hAnsi="宋体" w:cs="宋体"/>
          <w:b w:val="0"/>
          <w:snapToGrid w:val="0"/>
          <w:sz w:val="24"/>
          <w:szCs w:val="24"/>
        </w:rPr>
        <w:t>比选</w:t>
      </w:r>
    </w:p>
    <w:p w14:paraId="55816F3E">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有下列情形之一的，比选人将重新开展比选活动：</w:t>
      </w:r>
    </w:p>
    <w:p w14:paraId="4B52A467">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（1）竞选文件递交截止时间为止，竞选人少于3个的；</w:t>
      </w:r>
    </w:p>
    <w:p w14:paraId="04AD37B3">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（2）经评选委员会评审后否决所有竞选人的；</w:t>
      </w:r>
    </w:p>
    <w:p w14:paraId="5B117E17">
      <w:pPr>
        <w:widowControl/>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经评选委员会评审后部分竞选人被否决，导致有效竞选人不足3个的，原则上应否决全部竞选。但是有效竞选人的经济、技术等指标仍然具有市场竞争力，能够满足比选文件要求的，评选委员会可以继续评选并确定中选候选人。</w:t>
      </w:r>
    </w:p>
    <w:p w14:paraId="0BB76503">
      <w:pPr>
        <w:widowControl/>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（4）法律法规规定的其他情形。</w:t>
      </w:r>
    </w:p>
    <w:p w14:paraId="6B4806C2">
      <w:pPr>
        <w:pStyle w:val="4"/>
        <w:spacing w:before="0" w:after="0" w:line="360" w:lineRule="auto"/>
        <w:rPr>
          <w:rFonts w:ascii="宋体" w:hAnsi="宋体" w:cs="宋体"/>
          <w:b w:val="0"/>
          <w:snapToGrid w:val="0"/>
          <w:sz w:val="24"/>
          <w:szCs w:val="24"/>
        </w:rPr>
      </w:pPr>
      <w:bookmarkStart w:id="536" w:name="_Toc32459"/>
      <w:bookmarkStart w:id="537" w:name="_Toc200513172"/>
      <w:bookmarkStart w:id="538" w:name="_Toc287607792"/>
      <w:bookmarkStart w:id="539" w:name="_Toc509218756"/>
      <w:bookmarkStart w:id="540" w:name="_Toc7059"/>
      <w:bookmarkStart w:id="541" w:name="_Toc430530481"/>
      <w:bookmarkStart w:id="542" w:name="_Toc30342"/>
      <w:bookmarkStart w:id="543" w:name="_Toc277082598"/>
      <w:bookmarkStart w:id="544" w:name="_Toc287620731"/>
      <w:bookmarkStart w:id="545" w:name="_Toc224103363"/>
      <w:r>
        <w:rPr>
          <w:rFonts w:hint="eastAsia" w:ascii="宋体" w:hAnsi="宋体" w:cs="宋体"/>
          <w:b w:val="0"/>
          <w:snapToGrid w:val="0"/>
          <w:sz w:val="24"/>
          <w:szCs w:val="24"/>
        </w:rPr>
        <w:t>9.  纪律和监督</w:t>
      </w:r>
      <w:bookmarkEnd w:id="536"/>
      <w:bookmarkEnd w:id="537"/>
      <w:bookmarkEnd w:id="538"/>
      <w:bookmarkEnd w:id="539"/>
      <w:bookmarkEnd w:id="540"/>
      <w:bookmarkEnd w:id="541"/>
      <w:bookmarkEnd w:id="542"/>
      <w:bookmarkEnd w:id="543"/>
      <w:bookmarkEnd w:id="544"/>
      <w:bookmarkEnd w:id="545"/>
    </w:p>
    <w:p w14:paraId="37AD31E9">
      <w:pPr>
        <w:pStyle w:val="5"/>
        <w:snapToGrid w:val="0"/>
        <w:spacing w:before="0" w:after="0" w:line="360" w:lineRule="auto"/>
        <w:rPr>
          <w:rFonts w:ascii="宋体" w:hAnsi="宋体" w:cs="宋体"/>
          <w:b w:val="0"/>
          <w:snapToGrid w:val="0"/>
          <w:sz w:val="24"/>
          <w:szCs w:val="24"/>
        </w:rPr>
      </w:pPr>
      <w:bookmarkStart w:id="546" w:name="_Toc200513173"/>
      <w:bookmarkStart w:id="547" w:name="_Toc20555"/>
      <w:bookmarkStart w:id="548" w:name="_Toc509218757"/>
      <w:bookmarkStart w:id="549" w:name="_Toc40569090"/>
      <w:bookmarkStart w:id="550" w:name="_Toc15838"/>
      <w:bookmarkStart w:id="551" w:name="_Toc40569185"/>
      <w:bookmarkStart w:id="552" w:name="_Toc287620732"/>
      <w:bookmarkStart w:id="553" w:name="_Toc430530482"/>
      <w:bookmarkStart w:id="554" w:name="_Toc277082599"/>
      <w:bookmarkStart w:id="555" w:name="_Toc14823"/>
      <w:bookmarkStart w:id="556" w:name="_Toc287607793"/>
      <w:bookmarkStart w:id="557" w:name="_Toc224103364"/>
      <w:r>
        <w:rPr>
          <w:rFonts w:hint="eastAsia" w:ascii="宋体" w:hAnsi="宋体" w:cs="宋体"/>
          <w:b w:val="0"/>
          <w:snapToGrid w:val="0"/>
          <w:sz w:val="24"/>
          <w:szCs w:val="24"/>
        </w:rPr>
        <w:t>9.1  对比选人的纪律要求</w:t>
      </w:r>
      <w:bookmarkEnd w:id="546"/>
      <w:bookmarkEnd w:id="547"/>
      <w:bookmarkEnd w:id="548"/>
      <w:bookmarkEnd w:id="549"/>
      <w:bookmarkEnd w:id="550"/>
      <w:bookmarkEnd w:id="551"/>
      <w:bookmarkEnd w:id="552"/>
      <w:bookmarkEnd w:id="553"/>
      <w:bookmarkEnd w:id="554"/>
      <w:bookmarkEnd w:id="555"/>
      <w:bookmarkEnd w:id="556"/>
      <w:bookmarkEnd w:id="557"/>
    </w:p>
    <w:p w14:paraId="00B72A74">
      <w:pPr>
        <w:autoSpaceDE w:val="0"/>
        <w:autoSpaceDN w:val="0"/>
        <w:adjustRightInd w:val="0"/>
        <w:snapToGrid w:val="0"/>
        <w:spacing w:line="360" w:lineRule="auto"/>
        <w:ind w:firstLine="420"/>
        <w:rPr>
          <w:rFonts w:ascii="宋体" w:hAnsi="宋体" w:cs="宋体"/>
        </w:rPr>
      </w:pPr>
      <w:r>
        <w:rPr>
          <w:rFonts w:hint="eastAsia" w:ascii="宋体" w:hAnsi="宋体" w:cs="宋体"/>
          <w:snapToGrid w:val="0"/>
          <w:kern w:val="0"/>
          <w:szCs w:val="21"/>
        </w:rPr>
        <w:t>比选人不得泄漏比选活动中应当保密的情况和资料，不得与竞选人串通损害国家利益、社会公共利益或者他人合法权益，</w:t>
      </w:r>
      <w:r>
        <w:rPr>
          <w:rFonts w:hint="eastAsia" w:ascii="宋体" w:hAnsi="宋体" w:cs="宋体"/>
        </w:rPr>
        <w:t>禁止比选人与竞选人串通投标。</w:t>
      </w:r>
    </w:p>
    <w:p w14:paraId="7DB06DCD">
      <w:pPr>
        <w:autoSpaceDE w:val="0"/>
        <w:autoSpaceDN w:val="0"/>
        <w:adjustRightInd w:val="0"/>
        <w:snapToGrid w:val="0"/>
        <w:spacing w:line="360" w:lineRule="auto"/>
        <w:ind w:firstLine="420"/>
        <w:rPr>
          <w:rFonts w:ascii="宋体" w:hAnsi="宋体" w:cs="宋体"/>
        </w:rPr>
      </w:pPr>
      <w:r>
        <w:rPr>
          <w:rFonts w:hint="eastAsia" w:ascii="宋体" w:hAnsi="宋体" w:cs="宋体"/>
        </w:rPr>
        <w:t>有下列情形之一的，属于比选人与竞选人串通投标：</w:t>
      </w:r>
    </w:p>
    <w:p w14:paraId="112D786D">
      <w:pPr>
        <w:autoSpaceDE w:val="0"/>
        <w:autoSpaceDN w:val="0"/>
        <w:adjustRightInd w:val="0"/>
        <w:snapToGrid w:val="0"/>
        <w:spacing w:line="360" w:lineRule="auto"/>
        <w:ind w:firstLine="420"/>
        <w:rPr>
          <w:rFonts w:ascii="宋体" w:hAnsi="宋体" w:cs="宋体"/>
        </w:rPr>
      </w:pPr>
      <w:r>
        <w:rPr>
          <w:rFonts w:hint="eastAsia" w:ascii="宋体" w:hAnsi="宋体" w:cs="宋体"/>
        </w:rPr>
        <w:t>（1）比选人在评选开始前开启竞选文件并将有关信息泄露给其他竞选人；</w:t>
      </w:r>
    </w:p>
    <w:p w14:paraId="56365875">
      <w:pPr>
        <w:autoSpaceDE w:val="0"/>
        <w:autoSpaceDN w:val="0"/>
        <w:adjustRightInd w:val="0"/>
        <w:snapToGrid w:val="0"/>
        <w:spacing w:line="360" w:lineRule="auto"/>
        <w:ind w:firstLine="420"/>
        <w:rPr>
          <w:rFonts w:ascii="宋体" w:hAnsi="宋体" w:cs="宋体"/>
        </w:rPr>
      </w:pPr>
      <w:r>
        <w:rPr>
          <w:rFonts w:hint="eastAsia" w:ascii="宋体" w:hAnsi="宋体" w:cs="宋体"/>
        </w:rPr>
        <w:t>（2）比选人直接或者间接向竞选人泄露标底、评选委员会成员等信息；</w:t>
      </w:r>
    </w:p>
    <w:p w14:paraId="21DCB6E9">
      <w:pPr>
        <w:autoSpaceDE w:val="0"/>
        <w:autoSpaceDN w:val="0"/>
        <w:adjustRightInd w:val="0"/>
        <w:snapToGrid w:val="0"/>
        <w:spacing w:line="360" w:lineRule="auto"/>
        <w:ind w:firstLine="420"/>
        <w:rPr>
          <w:rFonts w:ascii="宋体" w:hAnsi="宋体" w:cs="宋体"/>
        </w:rPr>
      </w:pPr>
      <w:r>
        <w:rPr>
          <w:rFonts w:hint="eastAsia" w:ascii="宋体" w:hAnsi="宋体" w:cs="宋体"/>
        </w:rPr>
        <w:t>（3）比选人明示或者暗示竞选人压低或者抬高竞选总报价；</w:t>
      </w:r>
    </w:p>
    <w:p w14:paraId="201E08AC">
      <w:pPr>
        <w:autoSpaceDE w:val="0"/>
        <w:autoSpaceDN w:val="0"/>
        <w:adjustRightInd w:val="0"/>
        <w:snapToGrid w:val="0"/>
        <w:spacing w:line="360" w:lineRule="auto"/>
        <w:ind w:firstLine="420"/>
        <w:rPr>
          <w:rFonts w:ascii="宋体" w:hAnsi="宋体" w:cs="宋体"/>
        </w:rPr>
      </w:pPr>
      <w:r>
        <w:rPr>
          <w:rFonts w:hint="eastAsia" w:ascii="宋体" w:hAnsi="宋体" w:cs="宋体"/>
        </w:rPr>
        <w:t>（4）比选人授意竞选人撤换、修改竞选文件；</w:t>
      </w:r>
    </w:p>
    <w:p w14:paraId="42B61A9B">
      <w:pPr>
        <w:autoSpaceDE w:val="0"/>
        <w:autoSpaceDN w:val="0"/>
        <w:adjustRightInd w:val="0"/>
        <w:snapToGrid w:val="0"/>
        <w:spacing w:line="360" w:lineRule="auto"/>
        <w:ind w:firstLine="420"/>
        <w:rPr>
          <w:rFonts w:ascii="宋体" w:hAnsi="宋体" w:cs="宋体"/>
        </w:rPr>
      </w:pPr>
      <w:r>
        <w:rPr>
          <w:rFonts w:hint="eastAsia" w:ascii="宋体" w:hAnsi="宋体" w:cs="宋体"/>
        </w:rPr>
        <w:t>（5）比选人明示或者暗示竞选人为特定竞选人中选提供方便；</w:t>
      </w:r>
    </w:p>
    <w:p w14:paraId="12752848">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rPr>
        <w:t>（6）比选人与竞选人为谋求特定竞选人中选而采取的其他串通行为。</w:t>
      </w:r>
    </w:p>
    <w:p w14:paraId="674934BC">
      <w:pPr>
        <w:pStyle w:val="5"/>
        <w:snapToGrid w:val="0"/>
        <w:spacing w:before="0" w:after="0" w:line="360" w:lineRule="auto"/>
        <w:rPr>
          <w:rFonts w:ascii="宋体" w:hAnsi="宋体" w:cs="宋体"/>
          <w:b w:val="0"/>
          <w:snapToGrid w:val="0"/>
          <w:sz w:val="24"/>
          <w:szCs w:val="24"/>
        </w:rPr>
      </w:pPr>
      <w:bookmarkStart w:id="558" w:name="_Toc224103365"/>
      <w:bookmarkStart w:id="559" w:name="_Toc200513174"/>
      <w:bookmarkStart w:id="560" w:name="_Toc40569091"/>
      <w:bookmarkStart w:id="561" w:name="_Toc287620733"/>
      <w:bookmarkStart w:id="562" w:name="_Toc13914"/>
      <w:bookmarkStart w:id="563" w:name="_Toc1612"/>
      <w:bookmarkStart w:id="564" w:name="_Toc287607794"/>
      <w:bookmarkStart w:id="565" w:name="_Toc430530483"/>
      <w:bookmarkStart w:id="566" w:name="_Toc509218758"/>
      <w:bookmarkStart w:id="567" w:name="_Toc26842"/>
      <w:bookmarkStart w:id="568" w:name="_Toc40569186"/>
      <w:bookmarkStart w:id="569" w:name="_Toc277082600"/>
      <w:r>
        <w:rPr>
          <w:rFonts w:hint="eastAsia" w:ascii="宋体" w:hAnsi="宋体" w:cs="宋体"/>
          <w:b w:val="0"/>
          <w:snapToGrid w:val="0"/>
          <w:sz w:val="24"/>
          <w:szCs w:val="24"/>
        </w:rPr>
        <w:t>9.2  对竞选人的纪律要求</w:t>
      </w:r>
      <w:bookmarkEnd w:id="558"/>
      <w:bookmarkEnd w:id="559"/>
      <w:bookmarkEnd w:id="560"/>
      <w:bookmarkEnd w:id="561"/>
      <w:bookmarkEnd w:id="562"/>
      <w:bookmarkEnd w:id="563"/>
      <w:bookmarkEnd w:id="564"/>
      <w:bookmarkEnd w:id="565"/>
      <w:bookmarkEnd w:id="566"/>
      <w:bookmarkEnd w:id="567"/>
      <w:bookmarkEnd w:id="568"/>
      <w:bookmarkEnd w:id="569"/>
    </w:p>
    <w:p w14:paraId="3F13F057">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snapToGrid w:val="0"/>
          <w:kern w:val="0"/>
          <w:szCs w:val="21"/>
        </w:rPr>
        <w:t>竞选人不得相互串通投标或者与比选人串通投标，不得向比选人或者评选委员会成员行贿谋取中选，不得以他人名义投标或者以其他方式弄虚作假骗取中选；竞选人不得以任何方式干扰、影响评选工作。</w:t>
      </w:r>
      <w:r>
        <w:rPr>
          <w:rFonts w:hint="eastAsia" w:ascii="宋体" w:hAnsi="宋体" w:cs="宋体"/>
        </w:rPr>
        <w:t>有下列情形之一的，属于竞选人相互串通投标：</w:t>
      </w:r>
    </w:p>
    <w:p w14:paraId="3E950E43">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（1）竞选人之间协商竞选总报价等竞选文件的实质性内容；</w:t>
      </w:r>
    </w:p>
    <w:p w14:paraId="5E4DBCCF">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（2）竞选人之间约定中选人；</w:t>
      </w:r>
    </w:p>
    <w:p w14:paraId="4BDD0F84">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（3）竞选人之间约定部分竞选人放弃投标或者中选；</w:t>
      </w:r>
    </w:p>
    <w:p w14:paraId="1370FB19">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（4）属于同一集团、协会、商会等组织成员的竞选人按照该组织要求协同投标；</w:t>
      </w:r>
    </w:p>
    <w:p w14:paraId="5080F366">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（5）竞选人之间为谋取中选或者排斥特定竞选人而采取的其他联合行动。</w:t>
      </w:r>
    </w:p>
    <w:p w14:paraId="53DEFD8D">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有下列情形之一的，视为竞选人相互串通投标：</w:t>
      </w:r>
    </w:p>
    <w:p w14:paraId="06EE0FE0">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（1）不同竞选人的竞选文件由同一单位或者个人编制；</w:t>
      </w:r>
    </w:p>
    <w:p w14:paraId="32CB810F">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（2）不同竞选人委托同一单位或者个人办理投标事宜；</w:t>
      </w:r>
    </w:p>
    <w:p w14:paraId="2866B13A">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（3）不同竞选人的竞选文件载明的项目管理成员为同一人；</w:t>
      </w:r>
    </w:p>
    <w:p w14:paraId="503C8A0B">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（4）不同竞选人的竞选文件异常一致或者竞选总报价呈规律性差异；</w:t>
      </w:r>
    </w:p>
    <w:p w14:paraId="5832DD54">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（5）不同竞选人的竞选文件相互混装；</w:t>
      </w:r>
    </w:p>
    <w:p w14:paraId="69FC5D96">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（6）不同竞选人的比选保证金从同一单位或者个人的账户转出。</w:t>
      </w:r>
    </w:p>
    <w:p w14:paraId="3E8D6781">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使用通过受让或者租借等方式获取的资格、资质证书投标的，属于以他人名义投标。</w:t>
      </w:r>
    </w:p>
    <w:p w14:paraId="660382DE">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竞选人有下列情形之一的，属于以其他方式弄虚作假的行为：</w:t>
      </w:r>
    </w:p>
    <w:p w14:paraId="551CCC9B">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（一）使用伪造、变造的许可证件；</w:t>
      </w:r>
    </w:p>
    <w:p w14:paraId="06D0950D">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（二）提供虚假的财务状况或者业绩；</w:t>
      </w:r>
    </w:p>
    <w:p w14:paraId="00C44BB8">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（三）提供虚假的项目负责人或者主要技术人员简历、劳动关系证明；</w:t>
      </w:r>
    </w:p>
    <w:p w14:paraId="2935B310">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（四）提供虚假的信用状况；</w:t>
      </w:r>
    </w:p>
    <w:p w14:paraId="23BC912B">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rPr>
        <w:t>（五）其他弄虚作假的行为。</w:t>
      </w:r>
    </w:p>
    <w:p w14:paraId="4EF1D4E3">
      <w:pPr>
        <w:pStyle w:val="5"/>
        <w:snapToGrid w:val="0"/>
        <w:spacing w:before="0" w:after="0" w:line="360" w:lineRule="auto"/>
        <w:rPr>
          <w:rFonts w:ascii="宋体" w:hAnsi="宋体" w:cs="宋体"/>
          <w:b w:val="0"/>
          <w:snapToGrid w:val="0"/>
          <w:sz w:val="24"/>
          <w:szCs w:val="24"/>
        </w:rPr>
      </w:pPr>
      <w:bookmarkStart w:id="570" w:name="_Toc287620734"/>
      <w:bookmarkStart w:id="571" w:name="_Toc277082601"/>
      <w:bookmarkStart w:id="572" w:name="_Toc287607795"/>
      <w:bookmarkStart w:id="573" w:name="_Toc40569187"/>
      <w:bookmarkStart w:id="574" w:name="_Toc200513175"/>
      <w:bookmarkStart w:id="575" w:name="_Toc224103366"/>
      <w:bookmarkStart w:id="576" w:name="_Toc509218759"/>
      <w:bookmarkStart w:id="577" w:name="_Toc30347"/>
      <w:bookmarkStart w:id="578" w:name="_Toc15322"/>
      <w:bookmarkStart w:id="579" w:name="_Toc430530484"/>
      <w:bookmarkStart w:id="580" w:name="_Toc40569092"/>
      <w:bookmarkStart w:id="581" w:name="_Toc3385"/>
      <w:r>
        <w:rPr>
          <w:rFonts w:hint="eastAsia" w:ascii="宋体" w:hAnsi="宋体" w:cs="宋体"/>
          <w:b w:val="0"/>
          <w:snapToGrid w:val="0"/>
          <w:sz w:val="24"/>
          <w:szCs w:val="24"/>
        </w:rPr>
        <w:t>9.3  对评选委员会成员的纪律要求</w:t>
      </w:r>
      <w:bookmarkEnd w:id="570"/>
      <w:bookmarkEnd w:id="571"/>
      <w:bookmarkEnd w:id="572"/>
      <w:bookmarkEnd w:id="573"/>
      <w:bookmarkEnd w:id="574"/>
      <w:bookmarkEnd w:id="575"/>
      <w:bookmarkEnd w:id="576"/>
      <w:bookmarkEnd w:id="577"/>
      <w:bookmarkEnd w:id="578"/>
      <w:bookmarkEnd w:id="579"/>
      <w:bookmarkEnd w:id="580"/>
      <w:bookmarkEnd w:id="581"/>
    </w:p>
    <w:p w14:paraId="71617FC9">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评选委员会成员不得收受他人的财物或者其他好处，不得向他人透漏对竞选文件的评审和比较、中选候选人的推荐情况以及评选有关的其他情况。在评选活动中，评选委员会成员不得擅离职守，影响评选程序正常进行，不得使用第三章“评选办法”没有规定的评审因素和标准进行评选。</w:t>
      </w:r>
    </w:p>
    <w:p w14:paraId="4647748B">
      <w:pPr>
        <w:pStyle w:val="5"/>
        <w:snapToGrid w:val="0"/>
        <w:spacing w:before="0" w:after="0" w:line="360" w:lineRule="auto"/>
        <w:rPr>
          <w:rFonts w:ascii="宋体" w:hAnsi="宋体" w:cs="宋体"/>
          <w:b w:val="0"/>
          <w:snapToGrid w:val="0"/>
          <w:sz w:val="24"/>
          <w:szCs w:val="24"/>
        </w:rPr>
      </w:pPr>
      <w:bookmarkStart w:id="582" w:name="_Toc509218760"/>
      <w:bookmarkStart w:id="583" w:name="_Toc277082602"/>
      <w:bookmarkStart w:id="584" w:name="_Toc40569093"/>
      <w:bookmarkStart w:id="585" w:name="_Toc430530485"/>
      <w:bookmarkStart w:id="586" w:name="_Toc200513176"/>
      <w:bookmarkStart w:id="587" w:name="_Toc224103367"/>
      <w:bookmarkStart w:id="588" w:name="_Toc24901"/>
      <w:bookmarkStart w:id="589" w:name="_Toc287620735"/>
      <w:bookmarkStart w:id="590" w:name="_Toc40569188"/>
      <w:bookmarkStart w:id="591" w:name="_Toc287607796"/>
      <w:bookmarkStart w:id="592" w:name="_Toc14712"/>
      <w:bookmarkStart w:id="593" w:name="_Toc19795"/>
      <w:r>
        <w:rPr>
          <w:rFonts w:hint="eastAsia" w:ascii="宋体" w:hAnsi="宋体" w:cs="宋体"/>
          <w:b w:val="0"/>
          <w:snapToGrid w:val="0"/>
          <w:sz w:val="24"/>
          <w:szCs w:val="24"/>
        </w:rPr>
        <w:t>9.4  对与评选活动有关的工作人员的纪律要求</w:t>
      </w:r>
      <w:bookmarkEnd w:id="582"/>
      <w:bookmarkEnd w:id="583"/>
      <w:bookmarkEnd w:id="584"/>
      <w:bookmarkEnd w:id="585"/>
      <w:bookmarkEnd w:id="586"/>
      <w:bookmarkEnd w:id="587"/>
      <w:bookmarkEnd w:id="588"/>
      <w:bookmarkEnd w:id="589"/>
      <w:bookmarkEnd w:id="590"/>
      <w:bookmarkEnd w:id="591"/>
      <w:bookmarkEnd w:id="592"/>
      <w:bookmarkEnd w:id="593"/>
    </w:p>
    <w:p w14:paraId="319650E6">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与评选活动有关的工作人员不得收受他人的财物或者其他好处，不得向他人透漏对竞选文件的评审和比较、中选候选人的推荐情况以及与评选有关的其他情况。在评选活动中，与评选活动有关的工作人员不得擅离职守，影响评选程序正常进行。</w:t>
      </w:r>
    </w:p>
    <w:p w14:paraId="08D45A03">
      <w:pPr>
        <w:pStyle w:val="5"/>
        <w:snapToGrid w:val="0"/>
        <w:spacing w:before="0" w:after="0" w:line="360" w:lineRule="auto"/>
        <w:rPr>
          <w:rFonts w:ascii="宋体" w:hAnsi="宋体" w:cs="宋体"/>
          <w:b w:val="0"/>
          <w:snapToGrid w:val="0"/>
          <w:sz w:val="24"/>
          <w:szCs w:val="24"/>
        </w:rPr>
      </w:pPr>
      <w:bookmarkStart w:id="594" w:name="_Toc40569189"/>
      <w:bookmarkStart w:id="595" w:name="_Toc7152"/>
      <w:bookmarkStart w:id="596" w:name="_Toc224103368"/>
      <w:bookmarkStart w:id="597" w:name="_Toc287607797"/>
      <w:bookmarkStart w:id="598" w:name="_Toc287620736"/>
      <w:bookmarkStart w:id="599" w:name="_Toc24405"/>
      <w:bookmarkStart w:id="600" w:name="_Toc40569094"/>
      <w:bookmarkStart w:id="601" w:name="_Toc509218761"/>
      <w:bookmarkStart w:id="602" w:name="_Toc430530486"/>
      <w:bookmarkStart w:id="603" w:name="_Toc200513177"/>
      <w:bookmarkStart w:id="604" w:name="_Toc9443"/>
      <w:bookmarkStart w:id="605" w:name="_Toc277082603"/>
      <w:r>
        <w:rPr>
          <w:rFonts w:hint="eastAsia" w:ascii="宋体" w:hAnsi="宋体" w:cs="宋体"/>
          <w:b w:val="0"/>
          <w:snapToGrid w:val="0"/>
          <w:sz w:val="24"/>
          <w:szCs w:val="24"/>
        </w:rPr>
        <w:t>9.5  投诉</w:t>
      </w:r>
      <w:bookmarkEnd w:id="594"/>
      <w:bookmarkEnd w:id="595"/>
      <w:bookmarkEnd w:id="596"/>
      <w:bookmarkEnd w:id="597"/>
      <w:bookmarkEnd w:id="598"/>
      <w:bookmarkEnd w:id="599"/>
      <w:bookmarkEnd w:id="600"/>
      <w:bookmarkEnd w:id="601"/>
      <w:bookmarkEnd w:id="602"/>
      <w:bookmarkEnd w:id="603"/>
      <w:bookmarkEnd w:id="604"/>
      <w:bookmarkEnd w:id="605"/>
    </w:p>
    <w:p w14:paraId="05569068">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竞选人和其他利害关系人认为本次比选活动违反法律、法规和规章规定的，有权向有关行政监督部门投诉。</w:t>
      </w:r>
    </w:p>
    <w:p w14:paraId="73479E3A">
      <w:pPr>
        <w:pStyle w:val="5"/>
        <w:snapToGrid w:val="0"/>
        <w:spacing w:before="0" w:after="0" w:line="360" w:lineRule="auto"/>
        <w:rPr>
          <w:rFonts w:ascii="宋体" w:hAnsi="宋体" w:cs="宋体"/>
          <w:b w:val="0"/>
          <w:snapToGrid w:val="0"/>
          <w:sz w:val="24"/>
          <w:szCs w:val="24"/>
        </w:rPr>
      </w:pPr>
      <w:bookmarkStart w:id="606" w:name="_Toc277082604"/>
      <w:bookmarkStart w:id="607" w:name="_Toc287620737"/>
      <w:bookmarkStart w:id="608" w:name="_Toc509218762"/>
      <w:bookmarkStart w:id="609" w:name="_Toc287607798"/>
      <w:bookmarkStart w:id="610" w:name="_Toc32650"/>
      <w:bookmarkStart w:id="611" w:name="_Toc430530487"/>
      <w:bookmarkStart w:id="612" w:name="_Toc18945"/>
      <w:bookmarkStart w:id="613" w:name="_Toc200513178"/>
      <w:bookmarkStart w:id="614" w:name="_Toc224103369"/>
      <w:bookmarkStart w:id="615" w:name="_Toc6297"/>
      <w:r>
        <w:rPr>
          <w:rFonts w:hint="eastAsia" w:ascii="宋体" w:hAnsi="宋体" w:cs="宋体"/>
          <w:b w:val="0"/>
          <w:snapToGrid w:val="0"/>
          <w:sz w:val="24"/>
          <w:szCs w:val="24"/>
        </w:rPr>
        <w:t>10. 需要补充的其他内容</w:t>
      </w:r>
      <w:bookmarkEnd w:id="606"/>
      <w:bookmarkEnd w:id="607"/>
      <w:bookmarkEnd w:id="608"/>
      <w:bookmarkEnd w:id="609"/>
      <w:bookmarkEnd w:id="610"/>
      <w:bookmarkEnd w:id="611"/>
      <w:bookmarkEnd w:id="612"/>
      <w:bookmarkEnd w:id="613"/>
      <w:bookmarkEnd w:id="614"/>
      <w:bookmarkEnd w:id="615"/>
    </w:p>
    <w:p w14:paraId="18096B1A">
      <w:pPr>
        <w:pStyle w:val="5"/>
        <w:snapToGrid w:val="0"/>
        <w:spacing w:before="0" w:after="0" w:line="360" w:lineRule="auto"/>
        <w:ind w:firstLine="480" w:firstLineChars="200"/>
        <w:rPr>
          <w:rFonts w:ascii="宋体" w:hAnsi="宋体" w:cs="宋体"/>
          <w:b w:val="0"/>
          <w:snapToGrid w:val="0"/>
          <w:sz w:val="24"/>
          <w:szCs w:val="24"/>
        </w:rPr>
      </w:pPr>
      <w:r>
        <w:rPr>
          <w:rFonts w:hint="eastAsia" w:ascii="宋体" w:hAnsi="宋体" w:cs="宋体"/>
          <w:b w:val="0"/>
          <w:snapToGrid w:val="0"/>
          <w:sz w:val="24"/>
          <w:szCs w:val="24"/>
        </w:rPr>
        <w:t>见竞选人须知前附表。</w:t>
      </w:r>
    </w:p>
    <w:p w14:paraId="20B9B8BE"/>
    <w:p w14:paraId="0F10FE93">
      <w:pPr>
        <w:autoSpaceDE w:val="0"/>
        <w:autoSpaceDN w:val="0"/>
        <w:adjustRightInd w:val="0"/>
        <w:snapToGrid w:val="0"/>
        <w:spacing w:line="360" w:lineRule="auto"/>
        <w:jc w:val="left"/>
        <w:rPr>
          <w:rFonts w:ascii="宋体" w:hAnsi="宋体" w:cs="宋体"/>
          <w:b/>
          <w:snapToGrid w:val="0"/>
          <w:kern w:val="0"/>
        </w:rPr>
      </w:pPr>
    </w:p>
    <w:p w14:paraId="2A779CC9">
      <w:pPr>
        <w:autoSpaceDE w:val="0"/>
        <w:autoSpaceDN w:val="0"/>
        <w:adjustRightInd w:val="0"/>
        <w:snapToGrid w:val="0"/>
        <w:spacing w:line="360" w:lineRule="auto"/>
        <w:jc w:val="left"/>
        <w:rPr>
          <w:rFonts w:ascii="宋体" w:hAnsi="宋体" w:cs="宋体"/>
          <w:b/>
          <w:snapToGrid w:val="0"/>
          <w:kern w:val="0"/>
        </w:rPr>
      </w:pPr>
    </w:p>
    <w:p w14:paraId="5FC40B46">
      <w:pPr>
        <w:pStyle w:val="2"/>
        <w:rPr>
          <w:rFonts w:ascii="宋体" w:hAnsi="宋体" w:cs="宋体"/>
          <w:b/>
          <w:snapToGrid w:val="0"/>
          <w:kern w:val="0"/>
        </w:rPr>
      </w:pPr>
    </w:p>
    <w:p w14:paraId="06216FE2">
      <w:pPr>
        <w:rPr>
          <w:rFonts w:ascii="宋体" w:hAnsi="宋体" w:cs="宋体"/>
          <w:b/>
          <w:snapToGrid w:val="0"/>
          <w:kern w:val="0"/>
        </w:rPr>
      </w:pPr>
    </w:p>
    <w:p w14:paraId="106EFA7D">
      <w:pPr>
        <w:pStyle w:val="2"/>
        <w:rPr>
          <w:rFonts w:ascii="宋体" w:hAnsi="宋体" w:cs="宋体"/>
          <w:b/>
          <w:snapToGrid w:val="0"/>
          <w:kern w:val="0"/>
        </w:rPr>
      </w:pPr>
    </w:p>
    <w:p w14:paraId="2BB8D956">
      <w:pPr>
        <w:rPr>
          <w:rFonts w:ascii="宋体" w:hAnsi="宋体" w:cs="宋体"/>
          <w:b/>
          <w:snapToGrid w:val="0"/>
          <w:kern w:val="0"/>
        </w:rPr>
      </w:pPr>
    </w:p>
    <w:p w14:paraId="41A1AF1D">
      <w:pPr>
        <w:pStyle w:val="2"/>
        <w:rPr>
          <w:rFonts w:ascii="宋体" w:hAnsi="宋体" w:cs="宋体"/>
          <w:b/>
          <w:snapToGrid w:val="0"/>
          <w:kern w:val="0"/>
        </w:rPr>
      </w:pPr>
    </w:p>
    <w:p w14:paraId="4F167AE4">
      <w:pPr>
        <w:rPr>
          <w:rFonts w:ascii="宋体" w:hAnsi="宋体" w:cs="宋体"/>
          <w:b/>
          <w:snapToGrid w:val="0"/>
          <w:kern w:val="0"/>
        </w:rPr>
      </w:pPr>
    </w:p>
    <w:p w14:paraId="7A04F46A">
      <w:pPr>
        <w:pStyle w:val="2"/>
        <w:rPr>
          <w:rFonts w:ascii="宋体" w:hAnsi="宋体" w:cs="宋体"/>
          <w:b/>
          <w:snapToGrid w:val="0"/>
          <w:kern w:val="0"/>
        </w:rPr>
      </w:pPr>
    </w:p>
    <w:p w14:paraId="00CC0240">
      <w:pPr>
        <w:rPr>
          <w:rFonts w:ascii="宋体" w:hAnsi="宋体" w:cs="宋体"/>
          <w:b/>
          <w:snapToGrid w:val="0"/>
          <w:kern w:val="0"/>
        </w:rPr>
      </w:pPr>
    </w:p>
    <w:p w14:paraId="264196F3">
      <w:pPr>
        <w:rPr>
          <w:rFonts w:ascii="宋体" w:hAnsi="宋体" w:cs="宋体"/>
          <w:b/>
          <w:snapToGrid w:val="0"/>
          <w:kern w:val="0"/>
        </w:rPr>
      </w:pPr>
    </w:p>
    <w:p w14:paraId="775C486C">
      <w:pPr>
        <w:rPr>
          <w:rFonts w:ascii="宋体" w:hAnsi="宋体" w:cs="宋体"/>
          <w:b/>
          <w:snapToGrid w:val="0"/>
          <w:kern w:val="0"/>
        </w:rPr>
      </w:pPr>
    </w:p>
    <w:p w14:paraId="7D830549">
      <w:pPr>
        <w:rPr>
          <w:rFonts w:ascii="宋体" w:hAnsi="宋体" w:cs="宋体"/>
          <w:b/>
          <w:snapToGrid w:val="0"/>
          <w:kern w:val="0"/>
        </w:rPr>
      </w:pPr>
    </w:p>
    <w:p w14:paraId="65B30BD7">
      <w:pPr>
        <w:rPr>
          <w:rFonts w:ascii="宋体" w:hAnsi="宋体" w:cs="宋体"/>
          <w:b/>
          <w:snapToGrid w:val="0"/>
          <w:kern w:val="0"/>
        </w:rPr>
      </w:pPr>
    </w:p>
    <w:p w14:paraId="68C0E046">
      <w:pPr>
        <w:rPr>
          <w:rFonts w:ascii="宋体" w:hAnsi="宋体" w:cs="宋体"/>
          <w:b/>
          <w:snapToGrid w:val="0"/>
          <w:kern w:val="0"/>
        </w:rPr>
      </w:pPr>
    </w:p>
    <w:p w14:paraId="2E50B0F7">
      <w:pPr>
        <w:rPr>
          <w:rFonts w:ascii="宋体" w:hAnsi="宋体" w:cs="宋体"/>
          <w:b/>
          <w:snapToGrid w:val="0"/>
          <w:kern w:val="0"/>
        </w:rPr>
      </w:pPr>
    </w:p>
    <w:p w14:paraId="16D0A2A2">
      <w:pPr>
        <w:rPr>
          <w:rFonts w:ascii="宋体" w:hAnsi="宋体" w:cs="宋体"/>
          <w:b/>
          <w:snapToGrid w:val="0"/>
          <w:kern w:val="0"/>
        </w:rPr>
      </w:pPr>
    </w:p>
    <w:p w14:paraId="5BA5192A">
      <w:pPr>
        <w:rPr>
          <w:rFonts w:ascii="宋体" w:hAnsi="宋体" w:cs="宋体"/>
          <w:b/>
          <w:snapToGrid w:val="0"/>
          <w:kern w:val="0"/>
        </w:rPr>
      </w:pPr>
    </w:p>
    <w:p w14:paraId="2A3B48CF">
      <w:pPr>
        <w:rPr>
          <w:rFonts w:ascii="宋体" w:hAnsi="宋体" w:cs="宋体"/>
          <w:b/>
          <w:snapToGrid w:val="0"/>
          <w:kern w:val="0"/>
        </w:rPr>
      </w:pPr>
    </w:p>
    <w:p w14:paraId="219DFC53">
      <w:pPr>
        <w:pStyle w:val="2"/>
        <w:rPr>
          <w:rFonts w:ascii="宋体" w:hAnsi="宋体" w:cs="宋体"/>
          <w:b/>
          <w:snapToGrid w:val="0"/>
          <w:kern w:val="0"/>
        </w:rPr>
      </w:pPr>
    </w:p>
    <w:p w14:paraId="409EC8FF">
      <w:pPr>
        <w:rPr>
          <w:rFonts w:ascii="宋体" w:hAnsi="宋体" w:cs="宋体"/>
          <w:b/>
          <w:snapToGrid w:val="0"/>
          <w:kern w:val="0"/>
        </w:rPr>
      </w:pPr>
    </w:p>
    <w:p w14:paraId="3E5A0394">
      <w:pPr>
        <w:pStyle w:val="2"/>
      </w:pPr>
    </w:p>
    <w:p w14:paraId="349924C7">
      <w:pPr>
        <w:autoSpaceDE w:val="0"/>
        <w:autoSpaceDN w:val="0"/>
        <w:adjustRightInd w:val="0"/>
        <w:snapToGrid w:val="0"/>
        <w:spacing w:line="360" w:lineRule="auto"/>
        <w:jc w:val="left"/>
        <w:rPr>
          <w:rFonts w:ascii="宋体" w:hAnsi="宋体" w:cs="宋体"/>
          <w:b/>
          <w:snapToGrid w:val="0"/>
          <w:kern w:val="0"/>
        </w:rPr>
      </w:pPr>
    </w:p>
    <w:p w14:paraId="4AD5416A">
      <w:pPr>
        <w:autoSpaceDE w:val="0"/>
        <w:autoSpaceDN w:val="0"/>
        <w:adjustRightInd w:val="0"/>
        <w:snapToGrid w:val="0"/>
        <w:spacing w:line="360" w:lineRule="auto"/>
        <w:jc w:val="left"/>
        <w:outlineLvl w:val="2"/>
        <w:rPr>
          <w:rFonts w:ascii="宋体" w:hAnsi="宋体" w:cs="宋体"/>
          <w:b/>
          <w:snapToGrid w:val="0"/>
          <w:kern w:val="0"/>
        </w:rPr>
      </w:pPr>
      <w:r>
        <w:rPr>
          <w:rFonts w:hint="eastAsia" w:ascii="宋体" w:hAnsi="宋体" w:cs="宋体"/>
          <w:b/>
          <w:snapToGrid w:val="0"/>
          <w:kern w:val="0"/>
        </w:rPr>
        <w:t>附表一：报价记录表</w:t>
      </w:r>
    </w:p>
    <w:p w14:paraId="5B4DFEDF">
      <w:pPr>
        <w:autoSpaceDE w:val="0"/>
        <w:autoSpaceDN w:val="0"/>
        <w:adjustRightInd w:val="0"/>
        <w:snapToGrid w:val="0"/>
        <w:spacing w:line="360" w:lineRule="auto"/>
        <w:jc w:val="left"/>
        <w:rPr>
          <w:rFonts w:ascii="宋体" w:hAnsi="宋体" w:cs="宋体"/>
          <w:b/>
          <w:snapToGrid w:val="0"/>
          <w:kern w:val="0"/>
        </w:rPr>
      </w:pPr>
    </w:p>
    <w:p w14:paraId="65D6E5BD">
      <w:pPr>
        <w:spacing w:line="360" w:lineRule="auto"/>
        <w:rPr>
          <w:rFonts w:ascii="宋体" w:hAnsi="宋体" w:cs="宋体"/>
          <w:b/>
          <w:snapToGrid w:val="0"/>
          <w:kern w:val="0"/>
          <w:sz w:val="28"/>
          <w:szCs w:val="28"/>
        </w:rPr>
      </w:pPr>
      <w:r>
        <w:rPr>
          <w:rFonts w:hint="eastAsia" w:ascii="宋体" w:hAnsi="宋体" w:cs="宋体"/>
          <w:snapToGrid w:val="0"/>
          <w:w w:val="198"/>
          <w:kern w:val="0"/>
          <w:sz w:val="28"/>
          <w:szCs w:val="28"/>
          <w:u w:val="single"/>
        </w:rPr>
        <w:t xml:space="preserve">              </w:t>
      </w:r>
      <w:r>
        <w:rPr>
          <w:rFonts w:hint="eastAsia" w:ascii="宋体" w:hAnsi="宋体" w:cs="宋体"/>
          <w:snapToGrid w:val="0"/>
          <w:kern w:val="0"/>
          <w:sz w:val="28"/>
          <w:szCs w:val="28"/>
          <w:u w:val="single"/>
        </w:rPr>
        <w:t xml:space="preserve"> </w:t>
      </w:r>
      <w:r>
        <w:rPr>
          <w:rFonts w:hint="eastAsia" w:ascii="宋体" w:hAnsi="宋体" w:cs="宋体"/>
          <w:b/>
          <w:snapToGrid w:val="0"/>
          <w:w w:val="99"/>
          <w:kern w:val="0"/>
          <w:sz w:val="28"/>
          <w:szCs w:val="28"/>
        </w:rPr>
        <w:t>（项目名称）报价记录表</w:t>
      </w:r>
    </w:p>
    <w:p w14:paraId="6B288767">
      <w:pPr>
        <w:tabs>
          <w:tab w:val="left" w:pos="2260"/>
          <w:tab w:val="left" w:pos="5060"/>
        </w:tabs>
        <w:autoSpaceDE w:val="0"/>
        <w:autoSpaceDN w:val="0"/>
        <w:adjustRightInd w:val="0"/>
        <w:snapToGrid w:val="0"/>
        <w:spacing w:line="360" w:lineRule="auto"/>
        <w:jc w:val="right"/>
        <w:rPr>
          <w:rFonts w:ascii="宋体" w:hAnsi="宋体" w:cs="宋体"/>
          <w:snapToGrid w:val="0"/>
          <w:kern w:val="0"/>
          <w:szCs w:val="21"/>
        </w:rPr>
      </w:pPr>
      <w:r>
        <w:rPr>
          <w:rFonts w:hint="eastAsia" w:ascii="宋体" w:hAnsi="宋体" w:cs="宋体"/>
          <w:b/>
          <w:snapToGrid w:val="0"/>
          <w:kern w:val="0"/>
          <w:sz w:val="28"/>
          <w:szCs w:val="28"/>
        </w:rPr>
        <w:t xml:space="preserve">                             </w:t>
      </w:r>
      <w:r>
        <w:rPr>
          <w:rFonts w:hint="eastAsia" w:ascii="宋体" w:hAnsi="宋体" w:cs="宋体"/>
          <w:snapToGrid w:val="0"/>
          <w:kern w:val="0"/>
          <w:szCs w:val="21"/>
        </w:rPr>
        <w:t>时间：</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r>
        <w:rPr>
          <w:rFonts w:hint="eastAsia" w:ascii="宋体" w:hAnsi="宋体" w:cs="宋体"/>
          <w:snapToGrid w:val="0"/>
          <w:kern w:val="0"/>
          <w:szCs w:val="21"/>
          <w:u w:val="single"/>
        </w:rPr>
        <w:t xml:space="preserve">     </w:t>
      </w:r>
      <w:r>
        <w:rPr>
          <w:rFonts w:hint="eastAsia" w:ascii="宋体" w:hAnsi="宋体" w:cs="宋体"/>
          <w:snapToGrid w:val="0"/>
          <w:kern w:val="0"/>
          <w:szCs w:val="21"/>
        </w:rPr>
        <w:t>时</w:t>
      </w:r>
      <w:r>
        <w:rPr>
          <w:rFonts w:hint="eastAsia" w:ascii="宋体" w:hAnsi="宋体" w:cs="宋体"/>
          <w:snapToGrid w:val="0"/>
          <w:kern w:val="0"/>
          <w:szCs w:val="21"/>
          <w:u w:val="single"/>
        </w:rPr>
        <w:t xml:space="preserve">     </w:t>
      </w:r>
      <w:r>
        <w:rPr>
          <w:rFonts w:hint="eastAsia" w:ascii="宋体" w:hAnsi="宋体" w:cs="宋体"/>
          <w:snapToGrid w:val="0"/>
          <w:kern w:val="0"/>
          <w:szCs w:val="21"/>
        </w:rPr>
        <w:t>分</w:t>
      </w:r>
    </w:p>
    <w:tbl>
      <w:tblPr>
        <w:tblStyle w:val="20"/>
        <w:tblW w:w="837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27"/>
        <w:gridCol w:w="708"/>
        <w:gridCol w:w="784"/>
        <w:gridCol w:w="712"/>
        <w:gridCol w:w="914"/>
        <w:gridCol w:w="1212"/>
        <w:gridCol w:w="982"/>
        <w:gridCol w:w="961"/>
        <w:gridCol w:w="1618"/>
        <w:gridCol w:w="54"/>
      </w:tblGrid>
      <w:tr w14:paraId="443F1E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851" w:hRule="exact"/>
          <w:jc w:val="center"/>
        </w:trPr>
        <w:tc>
          <w:tcPr>
            <w:tcW w:w="427" w:type="dxa"/>
            <w:vAlign w:val="center"/>
          </w:tcPr>
          <w:p w14:paraId="5B936743">
            <w:pPr>
              <w:autoSpaceDE w:val="0"/>
              <w:autoSpaceDN w:val="0"/>
              <w:adjustRightInd w:val="0"/>
              <w:snapToGrid w:val="0"/>
              <w:spacing w:line="360" w:lineRule="auto"/>
              <w:jc w:val="center"/>
              <w:rPr>
                <w:rFonts w:ascii="宋体" w:hAnsi="宋体" w:cs="宋体"/>
                <w:snapToGrid w:val="0"/>
                <w:kern w:val="0"/>
                <w:szCs w:val="21"/>
              </w:rPr>
            </w:pPr>
            <w:r>
              <w:rPr>
                <w:rFonts w:hint="eastAsia" w:ascii="宋体" w:hAnsi="宋体" w:cs="宋体"/>
                <w:snapToGrid w:val="0"/>
                <w:kern w:val="0"/>
                <w:szCs w:val="21"/>
              </w:rPr>
              <w:t>序号</w:t>
            </w:r>
          </w:p>
        </w:tc>
        <w:tc>
          <w:tcPr>
            <w:tcW w:w="708" w:type="dxa"/>
            <w:vAlign w:val="center"/>
          </w:tcPr>
          <w:p w14:paraId="368E55F7">
            <w:pPr>
              <w:autoSpaceDE w:val="0"/>
              <w:autoSpaceDN w:val="0"/>
              <w:adjustRightInd w:val="0"/>
              <w:snapToGrid w:val="0"/>
              <w:spacing w:line="360" w:lineRule="auto"/>
              <w:jc w:val="center"/>
              <w:rPr>
                <w:rFonts w:ascii="宋体" w:hAnsi="宋体" w:cs="宋体"/>
                <w:snapToGrid w:val="0"/>
                <w:kern w:val="0"/>
                <w:szCs w:val="21"/>
              </w:rPr>
            </w:pPr>
            <w:r>
              <w:rPr>
                <w:rFonts w:hint="eastAsia" w:ascii="宋体" w:hAnsi="宋体" w:cs="宋体"/>
                <w:snapToGrid w:val="0"/>
                <w:kern w:val="0"/>
                <w:szCs w:val="21"/>
              </w:rPr>
              <w:t>竞选人</w:t>
            </w:r>
          </w:p>
        </w:tc>
        <w:tc>
          <w:tcPr>
            <w:tcW w:w="784" w:type="dxa"/>
            <w:vAlign w:val="center"/>
          </w:tcPr>
          <w:p w14:paraId="5A37AB7D">
            <w:pPr>
              <w:autoSpaceDE w:val="0"/>
              <w:autoSpaceDN w:val="0"/>
              <w:adjustRightInd w:val="0"/>
              <w:snapToGrid w:val="0"/>
              <w:spacing w:line="360" w:lineRule="auto"/>
              <w:jc w:val="center"/>
              <w:rPr>
                <w:rFonts w:ascii="宋体" w:hAnsi="宋体" w:cs="宋体"/>
                <w:snapToGrid w:val="0"/>
                <w:kern w:val="0"/>
                <w:szCs w:val="21"/>
              </w:rPr>
            </w:pPr>
            <w:r>
              <w:rPr>
                <w:rFonts w:hint="eastAsia" w:ascii="宋体" w:hAnsi="宋体" w:cs="宋体"/>
                <w:snapToGrid w:val="0"/>
                <w:kern w:val="0"/>
                <w:szCs w:val="21"/>
              </w:rPr>
              <w:t>密封</w:t>
            </w:r>
          </w:p>
          <w:p w14:paraId="6FD5291B">
            <w:pPr>
              <w:autoSpaceDE w:val="0"/>
              <w:autoSpaceDN w:val="0"/>
              <w:adjustRightInd w:val="0"/>
              <w:snapToGrid w:val="0"/>
              <w:spacing w:line="360" w:lineRule="auto"/>
              <w:jc w:val="center"/>
              <w:rPr>
                <w:rFonts w:ascii="宋体" w:hAnsi="宋体" w:cs="宋体"/>
                <w:snapToGrid w:val="0"/>
                <w:kern w:val="0"/>
                <w:szCs w:val="21"/>
              </w:rPr>
            </w:pPr>
            <w:r>
              <w:rPr>
                <w:rFonts w:hint="eastAsia" w:ascii="宋体" w:hAnsi="宋体" w:cs="宋体"/>
                <w:snapToGrid w:val="0"/>
                <w:kern w:val="0"/>
                <w:szCs w:val="21"/>
              </w:rPr>
              <w:t>情况</w:t>
            </w:r>
          </w:p>
        </w:tc>
        <w:tc>
          <w:tcPr>
            <w:tcW w:w="712" w:type="dxa"/>
            <w:vAlign w:val="center"/>
          </w:tcPr>
          <w:p w14:paraId="35B1C1CF">
            <w:pPr>
              <w:autoSpaceDE w:val="0"/>
              <w:autoSpaceDN w:val="0"/>
              <w:adjustRightInd w:val="0"/>
              <w:snapToGrid w:val="0"/>
              <w:spacing w:line="360" w:lineRule="auto"/>
              <w:jc w:val="center"/>
              <w:rPr>
                <w:rFonts w:ascii="宋体" w:hAnsi="宋体" w:cs="宋体"/>
                <w:snapToGrid w:val="0"/>
                <w:kern w:val="0"/>
                <w:szCs w:val="21"/>
              </w:rPr>
            </w:pPr>
            <w:r>
              <w:rPr>
                <w:rFonts w:hint="eastAsia" w:ascii="宋体" w:hAnsi="宋体" w:cs="宋体"/>
                <w:snapToGrid w:val="0"/>
                <w:kern w:val="0"/>
                <w:szCs w:val="21"/>
              </w:rPr>
              <w:t>比选保</w:t>
            </w:r>
          </w:p>
          <w:p w14:paraId="0D02FC43">
            <w:pPr>
              <w:autoSpaceDE w:val="0"/>
              <w:autoSpaceDN w:val="0"/>
              <w:adjustRightInd w:val="0"/>
              <w:snapToGrid w:val="0"/>
              <w:spacing w:line="360" w:lineRule="auto"/>
              <w:jc w:val="center"/>
              <w:rPr>
                <w:rFonts w:ascii="宋体" w:hAnsi="宋体" w:cs="宋体"/>
                <w:snapToGrid w:val="0"/>
                <w:kern w:val="0"/>
                <w:szCs w:val="21"/>
              </w:rPr>
            </w:pPr>
            <w:r>
              <w:rPr>
                <w:rFonts w:hint="eastAsia" w:ascii="宋体" w:hAnsi="宋体" w:cs="宋体"/>
                <w:snapToGrid w:val="0"/>
                <w:kern w:val="0"/>
                <w:szCs w:val="21"/>
              </w:rPr>
              <w:t>证金</w:t>
            </w:r>
          </w:p>
        </w:tc>
        <w:tc>
          <w:tcPr>
            <w:tcW w:w="914" w:type="dxa"/>
            <w:tcBorders>
              <w:right w:val="single" w:color="auto" w:sz="4" w:space="0"/>
            </w:tcBorders>
            <w:vAlign w:val="center"/>
          </w:tcPr>
          <w:p w14:paraId="35D75589">
            <w:pPr>
              <w:autoSpaceDE w:val="0"/>
              <w:autoSpaceDN w:val="0"/>
              <w:adjustRightInd w:val="0"/>
              <w:snapToGrid w:val="0"/>
              <w:spacing w:line="360" w:lineRule="auto"/>
              <w:jc w:val="center"/>
              <w:rPr>
                <w:rFonts w:ascii="宋体" w:hAnsi="宋体" w:cs="宋体"/>
                <w:snapToGrid w:val="0"/>
                <w:kern w:val="0"/>
                <w:szCs w:val="21"/>
              </w:rPr>
            </w:pPr>
            <w:r>
              <w:rPr>
                <w:rFonts w:hint="eastAsia" w:ascii="宋体" w:hAnsi="宋体" w:cs="宋体"/>
                <w:snapToGrid w:val="0"/>
                <w:kern w:val="0"/>
                <w:szCs w:val="21"/>
              </w:rPr>
              <w:t>竞选报价</w:t>
            </w:r>
          </w:p>
        </w:tc>
        <w:tc>
          <w:tcPr>
            <w:tcW w:w="1212" w:type="dxa"/>
            <w:tcBorders>
              <w:left w:val="single" w:color="auto" w:sz="4" w:space="0"/>
            </w:tcBorders>
            <w:vAlign w:val="center"/>
          </w:tcPr>
          <w:p w14:paraId="7C493D96">
            <w:pPr>
              <w:autoSpaceDE w:val="0"/>
              <w:autoSpaceDN w:val="0"/>
              <w:adjustRightInd w:val="0"/>
              <w:snapToGrid w:val="0"/>
              <w:spacing w:line="360" w:lineRule="auto"/>
              <w:jc w:val="center"/>
              <w:rPr>
                <w:rFonts w:ascii="宋体" w:hAnsi="宋体" w:cs="宋体"/>
                <w:snapToGrid w:val="0"/>
                <w:kern w:val="0"/>
                <w:szCs w:val="21"/>
              </w:rPr>
            </w:pPr>
            <w:r>
              <w:rPr>
                <w:rFonts w:hint="eastAsia" w:ascii="宋体" w:hAnsi="宋体" w:cs="宋体"/>
                <w:snapToGrid w:val="0"/>
                <w:kern w:val="0"/>
                <w:szCs w:val="21"/>
              </w:rPr>
              <w:t>质量</w:t>
            </w:r>
          </w:p>
          <w:p w14:paraId="48287D10">
            <w:pPr>
              <w:autoSpaceDE w:val="0"/>
              <w:autoSpaceDN w:val="0"/>
              <w:adjustRightInd w:val="0"/>
              <w:snapToGrid w:val="0"/>
              <w:spacing w:line="360" w:lineRule="auto"/>
              <w:jc w:val="center"/>
              <w:rPr>
                <w:rFonts w:ascii="宋体" w:hAnsi="宋体" w:cs="宋体"/>
                <w:snapToGrid w:val="0"/>
                <w:kern w:val="0"/>
                <w:szCs w:val="21"/>
              </w:rPr>
            </w:pPr>
            <w:r>
              <w:rPr>
                <w:rFonts w:hint="eastAsia" w:ascii="宋体" w:hAnsi="宋体" w:cs="宋体"/>
                <w:snapToGrid w:val="0"/>
                <w:kern w:val="0"/>
                <w:szCs w:val="21"/>
              </w:rPr>
              <w:t>目标</w:t>
            </w:r>
          </w:p>
        </w:tc>
        <w:tc>
          <w:tcPr>
            <w:tcW w:w="982" w:type="dxa"/>
            <w:vAlign w:val="center"/>
          </w:tcPr>
          <w:p w14:paraId="12B2D6C7">
            <w:pPr>
              <w:autoSpaceDE w:val="0"/>
              <w:autoSpaceDN w:val="0"/>
              <w:adjustRightInd w:val="0"/>
              <w:snapToGrid w:val="0"/>
              <w:spacing w:line="360" w:lineRule="auto"/>
              <w:jc w:val="center"/>
              <w:rPr>
                <w:rFonts w:ascii="宋体" w:hAnsi="宋体" w:cs="宋体"/>
                <w:snapToGrid w:val="0"/>
                <w:kern w:val="0"/>
                <w:szCs w:val="21"/>
              </w:rPr>
            </w:pPr>
            <w:r>
              <w:rPr>
                <w:rFonts w:hint="eastAsia" w:ascii="宋体" w:hAnsi="宋体" w:cs="宋体"/>
                <w:snapToGrid w:val="0"/>
                <w:kern w:val="0"/>
                <w:szCs w:val="21"/>
              </w:rPr>
              <w:t>监理</w:t>
            </w:r>
          </w:p>
          <w:p w14:paraId="0D5D7E90">
            <w:pPr>
              <w:autoSpaceDE w:val="0"/>
              <w:autoSpaceDN w:val="0"/>
              <w:adjustRightInd w:val="0"/>
              <w:snapToGrid w:val="0"/>
              <w:spacing w:line="360" w:lineRule="auto"/>
              <w:jc w:val="center"/>
              <w:rPr>
                <w:rFonts w:ascii="宋体" w:hAnsi="宋体" w:cs="宋体"/>
                <w:snapToGrid w:val="0"/>
                <w:kern w:val="0"/>
                <w:szCs w:val="21"/>
              </w:rPr>
            </w:pPr>
            <w:r>
              <w:rPr>
                <w:rFonts w:hint="eastAsia" w:ascii="宋体" w:hAnsi="宋体" w:cs="宋体"/>
                <w:snapToGrid w:val="0"/>
                <w:kern w:val="0"/>
                <w:szCs w:val="21"/>
              </w:rPr>
              <w:t>服务期</w:t>
            </w:r>
          </w:p>
        </w:tc>
        <w:tc>
          <w:tcPr>
            <w:tcW w:w="961" w:type="dxa"/>
            <w:vAlign w:val="center"/>
          </w:tcPr>
          <w:p w14:paraId="1709C8A1">
            <w:pPr>
              <w:autoSpaceDE w:val="0"/>
              <w:autoSpaceDN w:val="0"/>
              <w:adjustRightInd w:val="0"/>
              <w:snapToGrid w:val="0"/>
              <w:spacing w:line="360" w:lineRule="auto"/>
              <w:jc w:val="center"/>
              <w:rPr>
                <w:rFonts w:ascii="宋体" w:hAnsi="宋体" w:cs="宋体"/>
                <w:snapToGrid w:val="0"/>
                <w:kern w:val="0"/>
                <w:szCs w:val="21"/>
              </w:rPr>
            </w:pPr>
            <w:r>
              <w:rPr>
                <w:rFonts w:hint="eastAsia" w:ascii="宋体" w:hAnsi="宋体" w:cs="宋体"/>
                <w:snapToGrid w:val="0"/>
                <w:kern w:val="0"/>
                <w:szCs w:val="21"/>
              </w:rPr>
              <w:t>备注</w:t>
            </w:r>
          </w:p>
        </w:tc>
        <w:tc>
          <w:tcPr>
            <w:tcW w:w="1618" w:type="dxa"/>
            <w:vAlign w:val="center"/>
          </w:tcPr>
          <w:p w14:paraId="13E3A2AB">
            <w:pPr>
              <w:autoSpaceDE w:val="0"/>
              <w:autoSpaceDN w:val="0"/>
              <w:adjustRightInd w:val="0"/>
              <w:snapToGrid w:val="0"/>
              <w:spacing w:line="360" w:lineRule="auto"/>
              <w:jc w:val="center"/>
              <w:rPr>
                <w:rFonts w:ascii="宋体" w:hAnsi="宋体" w:cs="宋体"/>
                <w:snapToGrid w:val="0"/>
                <w:kern w:val="0"/>
                <w:szCs w:val="21"/>
              </w:rPr>
            </w:pPr>
            <w:r>
              <w:rPr>
                <w:rFonts w:hint="eastAsia" w:ascii="宋体" w:hAnsi="宋体" w:cs="宋体"/>
                <w:snapToGrid w:val="0"/>
                <w:kern w:val="0"/>
                <w:szCs w:val="21"/>
              </w:rPr>
              <w:t>签名</w:t>
            </w:r>
          </w:p>
        </w:tc>
      </w:tr>
      <w:tr w14:paraId="22CACC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47C8A941">
            <w:pPr>
              <w:autoSpaceDE w:val="0"/>
              <w:autoSpaceDN w:val="0"/>
              <w:adjustRightInd w:val="0"/>
              <w:snapToGrid w:val="0"/>
              <w:spacing w:line="360" w:lineRule="auto"/>
              <w:jc w:val="left"/>
              <w:rPr>
                <w:rFonts w:ascii="宋体" w:hAnsi="宋体" w:cs="宋体"/>
                <w:snapToGrid w:val="0"/>
                <w:kern w:val="0"/>
                <w:sz w:val="28"/>
                <w:szCs w:val="28"/>
              </w:rPr>
            </w:pPr>
          </w:p>
        </w:tc>
        <w:tc>
          <w:tcPr>
            <w:tcW w:w="708" w:type="dxa"/>
            <w:vAlign w:val="center"/>
          </w:tcPr>
          <w:p w14:paraId="7B00211C">
            <w:pPr>
              <w:autoSpaceDE w:val="0"/>
              <w:autoSpaceDN w:val="0"/>
              <w:adjustRightInd w:val="0"/>
              <w:snapToGrid w:val="0"/>
              <w:spacing w:line="360" w:lineRule="auto"/>
              <w:jc w:val="left"/>
              <w:rPr>
                <w:rFonts w:ascii="宋体" w:hAnsi="宋体" w:cs="宋体"/>
                <w:snapToGrid w:val="0"/>
                <w:kern w:val="0"/>
                <w:sz w:val="28"/>
                <w:szCs w:val="28"/>
              </w:rPr>
            </w:pPr>
          </w:p>
        </w:tc>
        <w:tc>
          <w:tcPr>
            <w:tcW w:w="784" w:type="dxa"/>
            <w:vAlign w:val="center"/>
          </w:tcPr>
          <w:p w14:paraId="29FB645A">
            <w:pPr>
              <w:autoSpaceDE w:val="0"/>
              <w:autoSpaceDN w:val="0"/>
              <w:adjustRightInd w:val="0"/>
              <w:snapToGrid w:val="0"/>
              <w:spacing w:line="360" w:lineRule="auto"/>
              <w:jc w:val="left"/>
              <w:rPr>
                <w:rFonts w:ascii="宋体" w:hAnsi="宋体" w:cs="宋体"/>
                <w:snapToGrid w:val="0"/>
                <w:kern w:val="0"/>
                <w:sz w:val="28"/>
                <w:szCs w:val="28"/>
              </w:rPr>
            </w:pPr>
          </w:p>
        </w:tc>
        <w:tc>
          <w:tcPr>
            <w:tcW w:w="712" w:type="dxa"/>
            <w:vAlign w:val="center"/>
          </w:tcPr>
          <w:p w14:paraId="7E1FAF9E">
            <w:pPr>
              <w:autoSpaceDE w:val="0"/>
              <w:autoSpaceDN w:val="0"/>
              <w:adjustRightInd w:val="0"/>
              <w:snapToGrid w:val="0"/>
              <w:spacing w:line="360" w:lineRule="auto"/>
              <w:jc w:val="left"/>
              <w:rPr>
                <w:rFonts w:ascii="宋体" w:hAnsi="宋体" w:cs="宋体"/>
                <w:snapToGrid w:val="0"/>
                <w:kern w:val="0"/>
                <w:szCs w:val="21"/>
              </w:rPr>
            </w:pPr>
          </w:p>
        </w:tc>
        <w:tc>
          <w:tcPr>
            <w:tcW w:w="914" w:type="dxa"/>
            <w:tcBorders>
              <w:right w:val="single" w:color="auto" w:sz="4" w:space="0"/>
            </w:tcBorders>
            <w:vAlign w:val="center"/>
          </w:tcPr>
          <w:p w14:paraId="13D8E7B1">
            <w:pPr>
              <w:autoSpaceDE w:val="0"/>
              <w:autoSpaceDN w:val="0"/>
              <w:adjustRightInd w:val="0"/>
              <w:snapToGrid w:val="0"/>
              <w:spacing w:line="360" w:lineRule="auto"/>
              <w:jc w:val="left"/>
              <w:rPr>
                <w:rFonts w:ascii="宋体" w:hAnsi="宋体" w:cs="宋体"/>
                <w:snapToGrid w:val="0"/>
                <w:kern w:val="0"/>
                <w:sz w:val="28"/>
                <w:szCs w:val="28"/>
              </w:rPr>
            </w:pPr>
          </w:p>
        </w:tc>
        <w:tc>
          <w:tcPr>
            <w:tcW w:w="1212" w:type="dxa"/>
            <w:tcBorders>
              <w:left w:val="single" w:color="auto" w:sz="4" w:space="0"/>
            </w:tcBorders>
            <w:vAlign w:val="center"/>
          </w:tcPr>
          <w:p w14:paraId="02E728C5">
            <w:pPr>
              <w:autoSpaceDE w:val="0"/>
              <w:autoSpaceDN w:val="0"/>
              <w:adjustRightInd w:val="0"/>
              <w:snapToGrid w:val="0"/>
              <w:spacing w:line="360" w:lineRule="auto"/>
              <w:jc w:val="left"/>
              <w:rPr>
                <w:rFonts w:ascii="宋体" w:hAnsi="宋体" w:cs="宋体"/>
                <w:snapToGrid w:val="0"/>
                <w:kern w:val="0"/>
                <w:sz w:val="28"/>
                <w:szCs w:val="28"/>
              </w:rPr>
            </w:pPr>
          </w:p>
        </w:tc>
        <w:tc>
          <w:tcPr>
            <w:tcW w:w="982" w:type="dxa"/>
            <w:vAlign w:val="center"/>
          </w:tcPr>
          <w:p w14:paraId="4512EB67">
            <w:pPr>
              <w:autoSpaceDE w:val="0"/>
              <w:autoSpaceDN w:val="0"/>
              <w:adjustRightInd w:val="0"/>
              <w:snapToGrid w:val="0"/>
              <w:spacing w:line="360" w:lineRule="auto"/>
              <w:jc w:val="left"/>
              <w:rPr>
                <w:rFonts w:ascii="宋体" w:hAnsi="宋体" w:cs="宋体"/>
                <w:snapToGrid w:val="0"/>
                <w:kern w:val="0"/>
                <w:sz w:val="28"/>
                <w:szCs w:val="28"/>
              </w:rPr>
            </w:pPr>
          </w:p>
        </w:tc>
        <w:tc>
          <w:tcPr>
            <w:tcW w:w="961" w:type="dxa"/>
            <w:vAlign w:val="center"/>
          </w:tcPr>
          <w:p w14:paraId="2FC83B1B">
            <w:pPr>
              <w:autoSpaceDE w:val="0"/>
              <w:autoSpaceDN w:val="0"/>
              <w:adjustRightInd w:val="0"/>
              <w:snapToGrid w:val="0"/>
              <w:spacing w:line="360" w:lineRule="auto"/>
              <w:jc w:val="left"/>
              <w:rPr>
                <w:rFonts w:ascii="宋体" w:hAnsi="宋体" w:cs="宋体"/>
                <w:snapToGrid w:val="0"/>
                <w:kern w:val="0"/>
                <w:sz w:val="28"/>
                <w:szCs w:val="28"/>
              </w:rPr>
            </w:pPr>
          </w:p>
        </w:tc>
        <w:tc>
          <w:tcPr>
            <w:tcW w:w="1618" w:type="dxa"/>
            <w:vAlign w:val="center"/>
          </w:tcPr>
          <w:p w14:paraId="5480829C">
            <w:pPr>
              <w:autoSpaceDE w:val="0"/>
              <w:autoSpaceDN w:val="0"/>
              <w:adjustRightInd w:val="0"/>
              <w:snapToGrid w:val="0"/>
              <w:spacing w:line="360" w:lineRule="auto"/>
              <w:jc w:val="left"/>
              <w:rPr>
                <w:rFonts w:ascii="宋体" w:hAnsi="宋体" w:cs="宋体"/>
                <w:snapToGrid w:val="0"/>
                <w:kern w:val="0"/>
                <w:sz w:val="28"/>
                <w:szCs w:val="28"/>
              </w:rPr>
            </w:pPr>
          </w:p>
        </w:tc>
      </w:tr>
      <w:tr w14:paraId="15B404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467A19EB">
            <w:pPr>
              <w:autoSpaceDE w:val="0"/>
              <w:autoSpaceDN w:val="0"/>
              <w:adjustRightInd w:val="0"/>
              <w:snapToGrid w:val="0"/>
              <w:spacing w:line="360" w:lineRule="auto"/>
              <w:jc w:val="left"/>
              <w:rPr>
                <w:rFonts w:ascii="宋体" w:hAnsi="宋体" w:cs="宋体"/>
                <w:snapToGrid w:val="0"/>
                <w:kern w:val="0"/>
                <w:sz w:val="28"/>
                <w:szCs w:val="28"/>
              </w:rPr>
            </w:pPr>
          </w:p>
        </w:tc>
        <w:tc>
          <w:tcPr>
            <w:tcW w:w="708" w:type="dxa"/>
            <w:vAlign w:val="center"/>
          </w:tcPr>
          <w:p w14:paraId="515B7B5B">
            <w:pPr>
              <w:autoSpaceDE w:val="0"/>
              <w:autoSpaceDN w:val="0"/>
              <w:adjustRightInd w:val="0"/>
              <w:snapToGrid w:val="0"/>
              <w:spacing w:line="360" w:lineRule="auto"/>
              <w:jc w:val="left"/>
              <w:rPr>
                <w:rFonts w:ascii="宋体" w:hAnsi="宋体" w:cs="宋体"/>
                <w:snapToGrid w:val="0"/>
                <w:kern w:val="0"/>
                <w:sz w:val="28"/>
                <w:szCs w:val="28"/>
              </w:rPr>
            </w:pPr>
          </w:p>
        </w:tc>
        <w:tc>
          <w:tcPr>
            <w:tcW w:w="784" w:type="dxa"/>
            <w:vAlign w:val="center"/>
          </w:tcPr>
          <w:p w14:paraId="58C5B49F">
            <w:pPr>
              <w:autoSpaceDE w:val="0"/>
              <w:autoSpaceDN w:val="0"/>
              <w:adjustRightInd w:val="0"/>
              <w:snapToGrid w:val="0"/>
              <w:spacing w:line="360" w:lineRule="auto"/>
              <w:jc w:val="left"/>
              <w:rPr>
                <w:rFonts w:ascii="宋体" w:hAnsi="宋体" w:cs="宋体"/>
                <w:snapToGrid w:val="0"/>
                <w:kern w:val="0"/>
                <w:sz w:val="28"/>
                <w:szCs w:val="28"/>
              </w:rPr>
            </w:pPr>
          </w:p>
        </w:tc>
        <w:tc>
          <w:tcPr>
            <w:tcW w:w="712" w:type="dxa"/>
            <w:vAlign w:val="center"/>
          </w:tcPr>
          <w:p w14:paraId="1EA5D6B4">
            <w:pPr>
              <w:autoSpaceDE w:val="0"/>
              <w:autoSpaceDN w:val="0"/>
              <w:adjustRightInd w:val="0"/>
              <w:snapToGrid w:val="0"/>
              <w:spacing w:line="360" w:lineRule="auto"/>
              <w:jc w:val="left"/>
              <w:rPr>
                <w:rFonts w:ascii="宋体" w:hAnsi="宋体" w:cs="宋体"/>
                <w:snapToGrid w:val="0"/>
                <w:kern w:val="0"/>
                <w:szCs w:val="21"/>
              </w:rPr>
            </w:pPr>
          </w:p>
        </w:tc>
        <w:tc>
          <w:tcPr>
            <w:tcW w:w="914" w:type="dxa"/>
            <w:tcBorders>
              <w:right w:val="single" w:color="auto" w:sz="4" w:space="0"/>
            </w:tcBorders>
            <w:vAlign w:val="center"/>
          </w:tcPr>
          <w:p w14:paraId="50FE93F7">
            <w:pPr>
              <w:autoSpaceDE w:val="0"/>
              <w:autoSpaceDN w:val="0"/>
              <w:adjustRightInd w:val="0"/>
              <w:snapToGrid w:val="0"/>
              <w:spacing w:line="360" w:lineRule="auto"/>
              <w:jc w:val="left"/>
              <w:rPr>
                <w:rFonts w:ascii="宋体" w:hAnsi="宋体" w:cs="宋体"/>
                <w:snapToGrid w:val="0"/>
                <w:kern w:val="0"/>
                <w:sz w:val="28"/>
                <w:szCs w:val="28"/>
              </w:rPr>
            </w:pPr>
          </w:p>
        </w:tc>
        <w:tc>
          <w:tcPr>
            <w:tcW w:w="1212" w:type="dxa"/>
            <w:tcBorders>
              <w:left w:val="single" w:color="auto" w:sz="4" w:space="0"/>
            </w:tcBorders>
            <w:vAlign w:val="center"/>
          </w:tcPr>
          <w:p w14:paraId="6C38CE48">
            <w:pPr>
              <w:autoSpaceDE w:val="0"/>
              <w:autoSpaceDN w:val="0"/>
              <w:adjustRightInd w:val="0"/>
              <w:snapToGrid w:val="0"/>
              <w:spacing w:line="360" w:lineRule="auto"/>
              <w:jc w:val="left"/>
              <w:rPr>
                <w:rFonts w:ascii="宋体" w:hAnsi="宋体" w:cs="宋体"/>
                <w:snapToGrid w:val="0"/>
                <w:kern w:val="0"/>
                <w:sz w:val="28"/>
                <w:szCs w:val="28"/>
              </w:rPr>
            </w:pPr>
          </w:p>
        </w:tc>
        <w:tc>
          <w:tcPr>
            <w:tcW w:w="982" w:type="dxa"/>
            <w:vAlign w:val="center"/>
          </w:tcPr>
          <w:p w14:paraId="1565E432">
            <w:pPr>
              <w:autoSpaceDE w:val="0"/>
              <w:autoSpaceDN w:val="0"/>
              <w:adjustRightInd w:val="0"/>
              <w:snapToGrid w:val="0"/>
              <w:spacing w:line="360" w:lineRule="auto"/>
              <w:jc w:val="left"/>
              <w:rPr>
                <w:rFonts w:ascii="宋体" w:hAnsi="宋体" w:cs="宋体"/>
                <w:snapToGrid w:val="0"/>
                <w:kern w:val="0"/>
                <w:sz w:val="28"/>
                <w:szCs w:val="28"/>
              </w:rPr>
            </w:pPr>
          </w:p>
        </w:tc>
        <w:tc>
          <w:tcPr>
            <w:tcW w:w="961" w:type="dxa"/>
            <w:vAlign w:val="center"/>
          </w:tcPr>
          <w:p w14:paraId="7BE4FE6D">
            <w:pPr>
              <w:autoSpaceDE w:val="0"/>
              <w:autoSpaceDN w:val="0"/>
              <w:adjustRightInd w:val="0"/>
              <w:snapToGrid w:val="0"/>
              <w:spacing w:line="360" w:lineRule="auto"/>
              <w:jc w:val="left"/>
              <w:rPr>
                <w:rFonts w:ascii="宋体" w:hAnsi="宋体" w:cs="宋体"/>
                <w:snapToGrid w:val="0"/>
                <w:kern w:val="0"/>
                <w:sz w:val="28"/>
                <w:szCs w:val="28"/>
              </w:rPr>
            </w:pPr>
          </w:p>
        </w:tc>
        <w:tc>
          <w:tcPr>
            <w:tcW w:w="1618" w:type="dxa"/>
            <w:vAlign w:val="center"/>
          </w:tcPr>
          <w:p w14:paraId="67B67901">
            <w:pPr>
              <w:autoSpaceDE w:val="0"/>
              <w:autoSpaceDN w:val="0"/>
              <w:adjustRightInd w:val="0"/>
              <w:snapToGrid w:val="0"/>
              <w:spacing w:line="360" w:lineRule="auto"/>
              <w:jc w:val="left"/>
              <w:rPr>
                <w:rFonts w:ascii="宋体" w:hAnsi="宋体" w:cs="宋体"/>
                <w:snapToGrid w:val="0"/>
                <w:kern w:val="0"/>
                <w:sz w:val="28"/>
                <w:szCs w:val="28"/>
              </w:rPr>
            </w:pPr>
          </w:p>
        </w:tc>
      </w:tr>
      <w:tr w14:paraId="7B512B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70820BE7">
            <w:pPr>
              <w:autoSpaceDE w:val="0"/>
              <w:autoSpaceDN w:val="0"/>
              <w:adjustRightInd w:val="0"/>
              <w:snapToGrid w:val="0"/>
              <w:spacing w:line="360" w:lineRule="auto"/>
              <w:jc w:val="left"/>
              <w:rPr>
                <w:rFonts w:ascii="宋体" w:hAnsi="宋体" w:cs="宋体"/>
                <w:snapToGrid w:val="0"/>
                <w:kern w:val="0"/>
                <w:sz w:val="28"/>
                <w:szCs w:val="28"/>
              </w:rPr>
            </w:pPr>
          </w:p>
        </w:tc>
        <w:tc>
          <w:tcPr>
            <w:tcW w:w="708" w:type="dxa"/>
            <w:vAlign w:val="center"/>
          </w:tcPr>
          <w:p w14:paraId="3501DE2A">
            <w:pPr>
              <w:autoSpaceDE w:val="0"/>
              <w:autoSpaceDN w:val="0"/>
              <w:adjustRightInd w:val="0"/>
              <w:snapToGrid w:val="0"/>
              <w:spacing w:line="360" w:lineRule="auto"/>
              <w:jc w:val="left"/>
              <w:rPr>
                <w:rFonts w:ascii="宋体" w:hAnsi="宋体" w:cs="宋体"/>
                <w:snapToGrid w:val="0"/>
                <w:kern w:val="0"/>
                <w:sz w:val="28"/>
                <w:szCs w:val="28"/>
              </w:rPr>
            </w:pPr>
          </w:p>
        </w:tc>
        <w:tc>
          <w:tcPr>
            <w:tcW w:w="784" w:type="dxa"/>
            <w:vAlign w:val="center"/>
          </w:tcPr>
          <w:p w14:paraId="5C90886F">
            <w:pPr>
              <w:autoSpaceDE w:val="0"/>
              <w:autoSpaceDN w:val="0"/>
              <w:adjustRightInd w:val="0"/>
              <w:snapToGrid w:val="0"/>
              <w:spacing w:line="360" w:lineRule="auto"/>
              <w:jc w:val="left"/>
              <w:rPr>
                <w:rFonts w:ascii="宋体" w:hAnsi="宋体" w:cs="宋体"/>
                <w:snapToGrid w:val="0"/>
                <w:kern w:val="0"/>
                <w:sz w:val="28"/>
                <w:szCs w:val="28"/>
              </w:rPr>
            </w:pPr>
          </w:p>
        </w:tc>
        <w:tc>
          <w:tcPr>
            <w:tcW w:w="712" w:type="dxa"/>
            <w:vAlign w:val="center"/>
          </w:tcPr>
          <w:p w14:paraId="62D27308">
            <w:pPr>
              <w:autoSpaceDE w:val="0"/>
              <w:autoSpaceDN w:val="0"/>
              <w:adjustRightInd w:val="0"/>
              <w:snapToGrid w:val="0"/>
              <w:spacing w:line="360" w:lineRule="auto"/>
              <w:jc w:val="left"/>
              <w:rPr>
                <w:rFonts w:ascii="宋体" w:hAnsi="宋体" w:cs="宋体"/>
                <w:snapToGrid w:val="0"/>
                <w:kern w:val="0"/>
                <w:sz w:val="28"/>
                <w:szCs w:val="28"/>
              </w:rPr>
            </w:pPr>
          </w:p>
        </w:tc>
        <w:tc>
          <w:tcPr>
            <w:tcW w:w="914" w:type="dxa"/>
            <w:tcBorders>
              <w:right w:val="single" w:color="auto" w:sz="4" w:space="0"/>
            </w:tcBorders>
            <w:vAlign w:val="center"/>
          </w:tcPr>
          <w:p w14:paraId="75139AA6">
            <w:pPr>
              <w:autoSpaceDE w:val="0"/>
              <w:autoSpaceDN w:val="0"/>
              <w:adjustRightInd w:val="0"/>
              <w:snapToGrid w:val="0"/>
              <w:spacing w:line="360" w:lineRule="auto"/>
              <w:jc w:val="left"/>
              <w:rPr>
                <w:rFonts w:ascii="宋体" w:hAnsi="宋体" w:cs="宋体"/>
                <w:snapToGrid w:val="0"/>
                <w:kern w:val="0"/>
                <w:sz w:val="28"/>
                <w:szCs w:val="28"/>
              </w:rPr>
            </w:pPr>
          </w:p>
        </w:tc>
        <w:tc>
          <w:tcPr>
            <w:tcW w:w="1212" w:type="dxa"/>
            <w:tcBorders>
              <w:left w:val="single" w:color="auto" w:sz="4" w:space="0"/>
            </w:tcBorders>
            <w:vAlign w:val="center"/>
          </w:tcPr>
          <w:p w14:paraId="39406E58">
            <w:pPr>
              <w:autoSpaceDE w:val="0"/>
              <w:autoSpaceDN w:val="0"/>
              <w:adjustRightInd w:val="0"/>
              <w:snapToGrid w:val="0"/>
              <w:spacing w:line="360" w:lineRule="auto"/>
              <w:jc w:val="left"/>
              <w:rPr>
                <w:rFonts w:ascii="宋体" w:hAnsi="宋体" w:cs="宋体"/>
                <w:snapToGrid w:val="0"/>
                <w:kern w:val="0"/>
                <w:sz w:val="28"/>
                <w:szCs w:val="28"/>
              </w:rPr>
            </w:pPr>
          </w:p>
        </w:tc>
        <w:tc>
          <w:tcPr>
            <w:tcW w:w="982" w:type="dxa"/>
            <w:vAlign w:val="center"/>
          </w:tcPr>
          <w:p w14:paraId="3F7A8F01">
            <w:pPr>
              <w:autoSpaceDE w:val="0"/>
              <w:autoSpaceDN w:val="0"/>
              <w:adjustRightInd w:val="0"/>
              <w:snapToGrid w:val="0"/>
              <w:spacing w:line="360" w:lineRule="auto"/>
              <w:jc w:val="left"/>
              <w:rPr>
                <w:rFonts w:ascii="宋体" w:hAnsi="宋体" w:cs="宋体"/>
                <w:snapToGrid w:val="0"/>
                <w:kern w:val="0"/>
                <w:sz w:val="28"/>
                <w:szCs w:val="28"/>
              </w:rPr>
            </w:pPr>
          </w:p>
        </w:tc>
        <w:tc>
          <w:tcPr>
            <w:tcW w:w="961" w:type="dxa"/>
            <w:vAlign w:val="center"/>
          </w:tcPr>
          <w:p w14:paraId="6D5313C9">
            <w:pPr>
              <w:autoSpaceDE w:val="0"/>
              <w:autoSpaceDN w:val="0"/>
              <w:adjustRightInd w:val="0"/>
              <w:snapToGrid w:val="0"/>
              <w:spacing w:line="360" w:lineRule="auto"/>
              <w:jc w:val="left"/>
              <w:rPr>
                <w:rFonts w:ascii="宋体" w:hAnsi="宋体" w:cs="宋体"/>
                <w:snapToGrid w:val="0"/>
                <w:kern w:val="0"/>
                <w:sz w:val="28"/>
                <w:szCs w:val="28"/>
              </w:rPr>
            </w:pPr>
          </w:p>
        </w:tc>
        <w:tc>
          <w:tcPr>
            <w:tcW w:w="1618" w:type="dxa"/>
            <w:vAlign w:val="center"/>
          </w:tcPr>
          <w:p w14:paraId="719E39AA">
            <w:pPr>
              <w:autoSpaceDE w:val="0"/>
              <w:autoSpaceDN w:val="0"/>
              <w:adjustRightInd w:val="0"/>
              <w:snapToGrid w:val="0"/>
              <w:spacing w:line="360" w:lineRule="auto"/>
              <w:jc w:val="left"/>
              <w:rPr>
                <w:rFonts w:ascii="宋体" w:hAnsi="宋体" w:cs="宋体"/>
                <w:snapToGrid w:val="0"/>
                <w:kern w:val="0"/>
                <w:sz w:val="28"/>
                <w:szCs w:val="28"/>
              </w:rPr>
            </w:pPr>
          </w:p>
        </w:tc>
      </w:tr>
      <w:tr w14:paraId="583048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0C1940B0">
            <w:pPr>
              <w:autoSpaceDE w:val="0"/>
              <w:autoSpaceDN w:val="0"/>
              <w:adjustRightInd w:val="0"/>
              <w:snapToGrid w:val="0"/>
              <w:spacing w:line="360" w:lineRule="auto"/>
              <w:jc w:val="left"/>
              <w:rPr>
                <w:rFonts w:ascii="宋体" w:hAnsi="宋体" w:cs="宋体"/>
                <w:snapToGrid w:val="0"/>
                <w:kern w:val="0"/>
                <w:sz w:val="28"/>
                <w:szCs w:val="28"/>
              </w:rPr>
            </w:pPr>
          </w:p>
        </w:tc>
        <w:tc>
          <w:tcPr>
            <w:tcW w:w="708" w:type="dxa"/>
            <w:vAlign w:val="center"/>
          </w:tcPr>
          <w:p w14:paraId="44185A51">
            <w:pPr>
              <w:autoSpaceDE w:val="0"/>
              <w:autoSpaceDN w:val="0"/>
              <w:adjustRightInd w:val="0"/>
              <w:snapToGrid w:val="0"/>
              <w:spacing w:line="360" w:lineRule="auto"/>
              <w:jc w:val="left"/>
              <w:rPr>
                <w:rFonts w:ascii="宋体" w:hAnsi="宋体" w:cs="宋体"/>
                <w:snapToGrid w:val="0"/>
                <w:kern w:val="0"/>
                <w:sz w:val="28"/>
                <w:szCs w:val="28"/>
              </w:rPr>
            </w:pPr>
          </w:p>
        </w:tc>
        <w:tc>
          <w:tcPr>
            <w:tcW w:w="784" w:type="dxa"/>
            <w:vAlign w:val="center"/>
          </w:tcPr>
          <w:p w14:paraId="221E2232">
            <w:pPr>
              <w:autoSpaceDE w:val="0"/>
              <w:autoSpaceDN w:val="0"/>
              <w:adjustRightInd w:val="0"/>
              <w:snapToGrid w:val="0"/>
              <w:spacing w:line="360" w:lineRule="auto"/>
              <w:jc w:val="left"/>
              <w:rPr>
                <w:rFonts w:ascii="宋体" w:hAnsi="宋体" w:cs="宋体"/>
                <w:snapToGrid w:val="0"/>
                <w:kern w:val="0"/>
                <w:sz w:val="28"/>
                <w:szCs w:val="28"/>
              </w:rPr>
            </w:pPr>
          </w:p>
        </w:tc>
        <w:tc>
          <w:tcPr>
            <w:tcW w:w="712" w:type="dxa"/>
            <w:vAlign w:val="center"/>
          </w:tcPr>
          <w:p w14:paraId="5409437D">
            <w:pPr>
              <w:autoSpaceDE w:val="0"/>
              <w:autoSpaceDN w:val="0"/>
              <w:adjustRightInd w:val="0"/>
              <w:snapToGrid w:val="0"/>
              <w:spacing w:line="360" w:lineRule="auto"/>
              <w:jc w:val="left"/>
              <w:rPr>
                <w:rFonts w:ascii="宋体" w:hAnsi="宋体" w:cs="宋体"/>
                <w:snapToGrid w:val="0"/>
                <w:kern w:val="0"/>
                <w:sz w:val="28"/>
                <w:szCs w:val="28"/>
              </w:rPr>
            </w:pPr>
          </w:p>
        </w:tc>
        <w:tc>
          <w:tcPr>
            <w:tcW w:w="914" w:type="dxa"/>
            <w:tcBorders>
              <w:right w:val="single" w:color="auto" w:sz="4" w:space="0"/>
            </w:tcBorders>
            <w:vAlign w:val="center"/>
          </w:tcPr>
          <w:p w14:paraId="4D8A3410">
            <w:pPr>
              <w:autoSpaceDE w:val="0"/>
              <w:autoSpaceDN w:val="0"/>
              <w:adjustRightInd w:val="0"/>
              <w:snapToGrid w:val="0"/>
              <w:spacing w:line="360" w:lineRule="auto"/>
              <w:jc w:val="left"/>
              <w:rPr>
                <w:rFonts w:ascii="宋体" w:hAnsi="宋体" w:cs="宋体"/>
                <w:snapToGrid w:val="0"/>
                <w:kern w:val="0"/>
                <w:sz w:val="28"/>
                <w:szCs w:val="28"/>
              </w:rPr>
            </w:pPr>
          </w:p>
        </w:tc>
        <w:tc>
          <w:tcPr>
            <w:tcW w:w="1212" w:type="dxa"/>
            <w:tcBorders>
              <w:left w:val="single" w:color="auto" w:sz="4" w:space="0"/>
            </w:tcBorders>
            <w:vAlign w:val="center"/>
          </w:tcPr>
          <w:p w14:paraId="69DF9E45">
            <w:pPr>
              <w:autoSpaceDE w:val="0"/>
              <w:autoSpaceDN w:val="0"/>
              <w:adjustRightInd w:val="0"/>
              <w:snapToGrid w:val="0"/>
              <w:spacing w:line="360" w:lineRule="auto"/>
              <w:jc w:val="left"/>
              <w:rPr>
                <w:rFonts w:ascii="宋体" w:hAnsi="宋体" w:cs="宋体"/>
                <w:snapToGrid w:val="0"/>
                <w:kern w:val="0"/>
                <w:sz w:val="28"/>
                <w:szCs w:val="28"/>
              </w:rPr>
            </w:pPr>
          </w:p>
        </w:tc>
        <w:tc>
          <w:tcPr>
            <w:tcW w:w="982" w:type="dxa"/>
            <w:vAlign w:val="center"/>
          </w:tcPr>
          <w:p w14:paraId="7CBE3579">
            <w:pPr>
              <w:autoSpaceDE w:val="0"/>
              <w:autoSpaceDN w:val="0"/>
              <w:adjustRightInd w:val="0"/>
              <w:snapToGrid w:val="0"/>
              <w:spacing w:line="360" w:lineRule="auto"/>
              <w:jc w:val="left"/>
              <w:rPr>
                <w:rFonts w:ascii="宋体" w:hAnsi="宋体" w:cs="宋体"/>
                <w:snapToGrid w:val="0"/>
                <w:kern w:val="0"/>
                <w:sz w:val="28"/>
                <w:szCs w:val="28"/>
              </w:rPr>
            </w:pPr>
          </w:p>
        </w:tc>
        <w:tc>
          <w:tcPr>
            <w:tcW w:w="961" w:type="dxa"/>
            <w:vAlign w:val="center"/>
          </w:tcPr>
          <w:p w14:paraId="6A007FC9">
            <w:pPr>
              <w:autoSpaceDE w:val="0"/>
              <w:autoSpaceDN w:val="0"/>
              <w:adjustRightInd w:val="0"/>
              <w:snapToGrid w:val="0"/>
              <w:spacing w:line="360" w:lineRule="auto"/>
              <w:jc w:val="left"/>
              <w:rPr>
                <w:rFonts w:ascii="宋体" w:hAnsi="宋体" w:cs="宋体"/>
                <w:snapToGrid w:val="0"/>
                <w:kern w:val="0"/>
                <w:sz w:val="28"/>
                <w:szCs w:val="28"/>
              </w:rPr>
            </w:pPr>
          </w:p>
        </w:tc>
        <w:tc>
          <w:tcPr>
            <w:tcW w:w="1618" w:type="dxa"/>
            <w:vAlign w:val="center"/>
          </w:tcPr>
          <w:p w14:paraId="595DC737">
            <w:pPr>
              <w:autoSpaceDE w:val="0"/>
              <w:autoSpaceDN w:val="0"/>
              <w:adjustRightInd w:val="0"/>
              <w:snapToGrid w:val="0"/>
              <w:spacing w:line="360" w:lineRule="auto"/>
              <w:jc w:val="left"/>
              <w:rPr>
                <w:rFonts w:ascii="宋体" w:hAnsi="宋体" w:cs="宋体"/>
                <w:snapToGrid w:val="0"/>
                <w:kern w:val="0"/>
                <w:sz w:val="28"/>
                <w:szCs w:val="28"/>
              </w:rPr>
            </w:pPr>
          </w:p>
        </w:tc>
      </w:tr>
      <w:tr w14:paraId="72C938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11D2AE2B">
            <w:pPr>
              <w:autoSpaceDE w:val="0"/>
              <w:autoSpaceDN w:val="0"/>
              <w:adjustRightInd w:val="0"/>
              <w:snapToGrid w:val="0"/>
              <w:spacing w:line="360" w:lineRule="auto"/>
              <w:jc w:val="left"/>
              <w:rPr>
                <w:rFonts w:ascii="宋体" w:hAnsi="宋体" w:cs="宋体"/>
                <w:snapToGrid w:val="0"/>
                <w:kern w:val="0"/>
                <w:sz w:val="28"/>
                <w:szCs w:val="28"/>
              </w:rPr>
            </w:pPr>
          </w:p>
        </w:tc>
        <w:tc>
          <w:tcPr>
            <w:tcW w:w="708" w:type="dxa"/>
            <w:vAlign w:val="center"/>
          </w:tcPr>
          <w:p w14:paraId="5919D91F">
            <w:pPr>
              <w:autoSpaceDE w:val="0"/>
              <w:autoSpaceDN w:val="0"/>
              <w:adjustRightInd w:val="0"/>
              <w:snapToGrid w:val="0"/>
              <w:spacing w:line="360" w:lineRule="auto"/>
              <w:jc w:val="left"/>
              <w:rPr>
                <w:rFonts w:ascii="宋体" w:hAnsi="宋体" w:cs="宋体"/>
                <w:snapToGrid w:val="0"/>
                <w:kern w:val="0"/>
                <w:sz w:val="28"/>
                <w:szCs w:val="28"/>
              </w:rPr>
            </w:pPr>
          </w:p>
        </w:tc>
        <w:tc>
          <w:tcPr>
            <w:tcW w:w="784" w:type="dxa"/>
            <w:vAlign w:val="center"/>
          </w:tcPr>
          <w:p w14:paraId="33983F18">
            <w:pPr>
              <w:autoSpaceDE w:val="0"/>
              <w:autoSpaceDN w:val="0"/>
              <w:adjustRightInd w:val="0"/>
              <w:snapToGrid w:val="0"/>
              <w:spacing w:line="360" w:lineRule="auto"/>
              <w:jc w:val="left"/>
              <w:rPr>
                <w:rFonts w:ascii="宋体" w:hAnsi="宋体" w:cs="宋体"/>
                <w:snapToGrid w:val="0"/>
                <w:kern w:val="0"/>
                <w:sz w:val="28"/>
                <w:szCs w:val="28"/>
              </w:rPr>
            </w:pPr>
          </w:p>
        </w:tc>
        <w:tc>
          <w:tcPr>
            <w:tcW w:w="712" w:type="dxa"/>
            <w:vAlign w:val="center"/>
          </w:tcPr>
          <w:p w14:paraId="468B6F47">
            <w:pPr>
              <w:autoSpaceDE w:val="0"/>
              <w:autoSpaceDN w:val="0"/>
              <w:adjustRightInd w:val="0"/>
              <w:snapToGrid w:val="0"/>
              <w:spacing w:line="360" w:lineRule="auto"/>
              <w:jc w:val="left"/>
              <w:rPr>
                <w:rFonts w:ascii="宋体" w:hAnsi="宋体" w:cs="宋体"/>
                <w:snapToGrid w:val="0"/>
                <w:kern w:val="0"/>
                <w:sz w:val="28"/>
                <w:szCs w:val="28"/>
              </w:rPr>
            </w:pPr>
          </w:p>
        </w:tc>
        <w:tc>
          <w:tcPr>
            <w:tcW w:w="914" w:type="dxa"/>
            <w:tcBorders>
              <w:right w:val="single" w:color="auto" w:sz="4" w:space="0"/>
            </w:tcBorders>
            <w:vAlign w:val="center"/>
          </w:tcPr>
          <w:p w14:paraId="0829ADBD">
            <w:pPr>
              <w:autoSpaceDE w:val="0"/>
              <w:autoSpaceDN w:val="0"/>
              <w:adjustRightInd w:val="0"/>
              <w:snapToGrid w:val="0"/>
              <w:spacing w:line="360" w:lineRule="auto"/>
              <w:jc w:val="left"/>
              <w:rPr>
                <w:rFonts w:ascii="宋体" w:hAnsi="宋体" w:cs="宋体"/>
                <w:snapToGrid w:val="0"/>
                <w:kern w:val="0"/>
                <w:sz w:val="28"/>
                <w:szCs w:val="28"/>
              </w:rPr>
            </w:pPr>
          </w:p>
        </w:tc>
        <w:tc>
          <w:tcPr>
            <w:tcW w:w="1212" w:type="dxa"/>
            <w:tcBorders>
              <w:left w:val="single" w:color="auto" w:sz="4" w:space="0"/>
            </w:tcBorders>
            <w:vAlign w:val="center"/>
          </w:tcPr>
          <w:p w14:paraId="2D616D1B">
            <w:pPr>
              <w:autoSpaceDE w:val="0"/>
              <w:autoSpaceDN w:val="0"/>
              <w:adjustRightInd w:val="0"/>
              <w:snapToGrid w:val="0"/>
              <w:spacing w:line="360" w:lineRule="auto"/>
              <w:jc w:val="left"/>
              <w:rPr>
                <w:rFonts w:ascii="宋体" w:hAnsi="宋体" w:cs="宋体"/>
                <w:snapToGrid w:val="0"/>
                <w:kern w:val="0"/>
                <w:sz w:val="28"/>
                <w:szCs w:val="28"/>
              </w:rPr>
            </w:pPr>
          </w:p>
        </w:tc>
        <w:tc>
          <w:tcPr>
            <w:tcW w:w="982" w:type="dxa"/>
            <w:vAlign w:val="center"/>
          </w:tcPr>
          <w:p w14:paraId="00DFF5CF">
            <w:pPr>
              <w:autoSpaceDE w:val="0"/>
              <w:autoSpaceDN w:val="0"/>
              <w:adjustRightInd w:val="0"/>
              <w:snapToGrid w:val="0"/>
              <w:spacing w:line="360" w:lineRule="auto"/>
              <w:jc w:val="left"/>
              <w:rPr>
                <w:rFonts w:ascii="宋体" w:hAnsi="宋体" w:cs="宋体"/>
                <w:snapToGrid w:val="0"/>
                <w:kern w:val="0"/>
                <w:sz w:val="28"/>
                <w:szCs w:val="28"/>
              </w:rPr>
            </w:pPr>
          </w:p>
        </w:tc>
        <w:tc>
          <w:tcPr>
            <w:tcW w:w="961" w:type="dxa"/>
            <w:vAlign w:val="center"/>
          </w:tcPr>
          <w:p w14:paraId="22959F48">
            <w:pPr>
              <w:autoSpaceDE w:val="0"/>
              <w:autoSpaceDN w:val="0"/>
              <w:adjustRightInd w:val="0"/>
              <w:snapToGrid w:val="0"/>
              <w:spacing w:line="360" w:lineRule="auto"/>
              <w:jc w:val="left"/>
              <w:rPr>
                <w:rFonts w:ascii="宋体" w:hAnsi="宋体" w:cs="宋体"/>
                <w:snapToGrid w:val="0"/>
                <w:kern w:val="0"/>
                <w:sz w:val="28"/>
                <w:szCs w:val="28"/>
              </w:rPr>
            </w:pPr>
          </w:p>
        </w:tc>
        <w:tc>
          <w:tcPr>
            <w:tcW w:w="1618" w:type="dxa"/>
            <w:vAlign w:val="center"/>
          </w:tcPr>
          <w:p w14:paraId="28F1C08E">
            <w:pPr>
              <w:autoSpaceDE w:val="0"/>
              <w:autoSpaceDN w:val="0"/>
              <w:adjustRightInd w:val="0"/>
              <w:snapToGrid w:val="0"/>
              <w:spacing w:line="360" w:lineRule="auto"/>
              <w:jc w:val="left"/>
              <w:rPr>
                <w:rFonts w:ascii="宋体" w:hAnsi="宋体" w:cs="宋体"/>
                <w:snapToGrid w:val="0"/>
                <w:kern w:val="0"/>
                <w:sz w:val="28"/>
                <w:szCs w:val="28"/>
              </w:rPr>
            </w:pPr>
          </w:p>
        </w:tc>
      </w:tr>
      <w:tr w14:paraId="2E3A97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082C428E">
            <w:pPr>
              <w:autoSpaceDE w:val="0"/>
              <w:autoSpaceDN w:val="0"/>
              <w:adjustRightInd w:val="0"/>
              <w:snapToGrid w:val="0"/>
              <w:spacing w:line="360" w:lineRule="auto"/>
              <w:jc w:val="left"/>
              <w:rPr>
                <w:rFonts w:ascii="宋体" w:hAnsi="宋体" w:cs="宋体"/>
                <w:snapToGrid w:val="0"/>
                <w:kern w:val="0"/>
                <w:sz w:val="28"/>
                <w:szCs w:val="28"/>
              </w:rPr>
            </w:pPr>
          </w:p>
        </w:tc>
        <w:tc>
          <w:tcPr>
            <w:tcW w:w="708" w:type="dxa"/>
            <w:vAlign w:val="center"/>
          </w:tcPr>
          <w:p w14:paraId="13B4E8E1">
            <w:pPr>
              <w:autoSpaceDE w:val="0"/>
              <w:autoSpaceDN w:val="0"/>
              <w:adjustRightInd w:val="0"/>
              <w:snapToGrid w:val="0"/>
              <w:spacing w:line="360" w:lineRule="auto"/>
              <w:jc w:val="left"/>
              <w:rPr>
                <w:rFonts w:ascii="宋体" w:hAnsi="宋体" w:cs="宋体"/>
                <w:snapToGrid w:val="0"/>
                <w:kern w:val="0"/>
                <w:sz w:val="28"/>
                <w:szCs w:val="28"/>
              </w:rPr>
            </w:pPr>
          </w:p>
        </w:tc>
        <w:tc>
          <w:tcPr>
            <w:tcW w:w="784" w:type="dxa"/>
            <w:vAlign w:val="center"/>
          </w:tcPr>
          <w:p w14:paraId="69E0D0D1">
            <w:pPr>
              <w:autoSpaceDE w:val="0"/>
              <w:autoSpaceDN w:val="0"/>
              <w:adjustRightInd w:val="0"/>
              <w:snapToGrid w:val="0"/>
              <w:spacing w:line="360" w:lineRule="auto"/>
              <w:jc w:val="left"/>
              <w:rPr>
                <w:rFonts w:ascii="宋体" w:hAnsi="宋体" w:cs="宋体"/>
                <w:snapToGrid w:val="0"/>
                <w:kern w:val="0"/>
                <w:sz w:val="28"/>
                <w:szCs w:val="28"/>
              </w:rPr>
            </w:pPr>
          </w:p>
        </w:tc>
        <w:tc>
          <w:tcPr>
            <w:tcW w:w="712" w:type="dxa"/>
            <w:vAlign w:val="center"/>
          </w:tcPr>
          <w:p w14:paraId="176691CE">
            <w:pPr>
              <w:autoSpaceDE w:val="0"/>
              <w:autoSpaceDN w:val="0"/>
              <w:adjustRightInd w:val="0"/>
              <w:snapToGrid w:val="0"/>
              <w:spacing w:line="360" w:lineRule="auto"/>
              <w:jc w:val="left"/>
              <w:rPr>
                <w:rFonts w:ascii="宋体" w:hAnsi="宋体" w:cs="宋体"/>
                <w:snapToGrid w:val="0"/>
                <w:kern w:val="0"/>
                <w:sz w:val="28"/>
                <w:szCs w:val="28"/>
              </w:rPr>
            </w:pPr>
          </w:p>
        </w:tc>
        <w:tc>
          <w:tcPr>
            <w:tcW w:w="914" w:type="dxa"/>
            <w:tcBorders>
              <w:right w:val="single" w:color="auto" w:sz="4" w:space="0"/>
            </w:tcBorders>
            <w:vAlign w:val="center"/>
          </w:tcPr>
          <w:p w14:paraId="20A62C48">
            <w:pPr>
              <w:autoSpaceDE w:val="0"/>
              <w:autoSpaceDN w:val="0"/>
              <w:adjustRightInd w:val="0"/>
              <w:snapToGrid w:val="0"/>
              <w:spacing w:line="360" w:lineRule="auto"/>
              <w:jc w:val="left"/>
              <w:rPr>
                <w:rFonts w:ascii="宋体" w:hAnsi="宋体" w:cs="宋体"/>
                <w:snapToGrid w:val="0"/>
                <w:kern w:val="0"/>
                <w:sz w:val="28"/>
                <w:szCs w:val="28"/>
              </w:rPr>
            </w:pPr>
          </w:p>
        </w:tc>
        <w:tc>
          <w:tcPr>
            <w:tcW w:w="1212" w:type="dxa"/>
            <w:tcBorders>
              <w:left w:val="single" w:color="auto" w:sz="4" w:space="0"/>
            </w:tcBorders>
            <w:vAlign w:val="center"/>
          </w:tcPr>
          <w:p w14:paraId="4B57C721">
            <w:pPr>
              <w:autoSpaceDE w:val="0"/>
              <w:autoSpaceDN w:val="0"/>
              <w:adjustRightInd w:val="0"/>
              <w:snapToGrid w:val="0"/>
              <w:spacing w:line="360" w:lineRule="auto"/>
              <w:jc w:val="left"/>
              <w:rPr>
                <w:rFonts w:ascii="宋体" w:hAnsi="宋体" w:cs="宋体"/>
                <w:snapToGrid w:val="0"/>
                <w:kern w:val="0"/>
                <w:sz w:val="28"/>
                <w:szCs w:val="28"/>
              </w:rPr>
            </w:pPr>
          </w:p>
        </w:tc>
        <w:tc>
          <w:tcPr>
            <w:tcW w:w="982" w:type="dxa"/>
            <w:vAlign w:val="center"/>
          </w:tcPr>
          <w:p w14:paraId="2578D1DD">
            <w:pPr>
              <w:autoSpaceDE w:val="0"/>
              <w:autoSpaceDN w:val="0"/>
              <w:adjustRightInd w:val="0"/>
              <w:snapToGrid w:val="0"/>
              <w:spacing w:line="360" w:lineRule="auto"/>
              <w:jc w:val="left"/>
              <w:rPr>
                <w:rFonts w:ascii="宋体" w:hAnsi="宋体" w:cs="宋体"/>
                <w:snapToGrid w:val="0"/>
                <w:kern w:val="0"/>
                <w:sz w:val="28"/>
                <w:szCs w:val="28"/>
              </w:rPr>
            </w:pPr>
          </w:p>
        </w:tc>
        <w:tc>
          <w:tcPr>
            <w:tcW w:w="961" w:type="dxa"/>
            <w:vAlign w:val="center"/>
          </w:tcPr>
          <w:p w14:paraId="43B93D84">
            <w:pPr>
              <w:autoSpaceDE w:val="0"/>
              <w:autoSpaceDN w:val="0"/>
              <w:adjustRightInd w:val="0"/>
              <w:snapToGrid w:val="0"/>
              <w:spacing w:line="360" w:lineRule="auto"/>
              <w:jc w:val="left"/>
              <w:rPr>
                <w:rFonts w:ascii="宋体" w:hAnsi="宋体" w:cs="宋体"/>
                <w:snapToGrid w:val="0"/>
                <w:kern w:val="0"/>
                <w:sz w:val="28"/>
                <w:szCs w:val="28"/>
              </w:rPr>
            </w:pPr>
          </w:p>
        </w:tc>
        <w:tc>
          <w:tcPr>
            <w:tcW w:w="1618" w:type="dxa"/>
            <w:vAlign w:val="center"/>
          </w:tcPr>
          <w:p w14:paraId="41BCFDD0">
            <w:pPr>
              <w:autoSpaceDE w:val="0"/>
              <w:autoSpaceDN w:val="0"/>
              <w:adjustRightInd w:val="0"/>
              <w:snapToGrid w:val="0"/>
              <w:spacing w:line="360" w:lineRule="auto"/>
              <w:jc w:val="left"/>
              <w:rPr>
                <w:rFonts w:ascii="宋体" w:hAnsi="宋体" w:cs="宋体"/>
                <w:snapToGrid w:val="0"/>
                <w:kern w:val="0"/>
                <w:sz w:val="28"/>
                <w:szCs w:val="28"/>
              </w:rPr>
            </w:pPr>
          </w:p>
        </w:tc>
      </w:tr>
      <w:tr w14:paraId="372150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35ACDE87">
            <w:pPr>
              <w:autoSpaceDE w:val="0"/>
              <w:autoSpaceDN w:val="0"/>
              <w:adjustRightInd w:val="0"/>
              <w:snapToGrid w:val="0"/>
              <w:spacing w:line="360" w:lineRule="auto"/>
              <w:jc w:val="left"/>
              <w:rPr>
                <w:rFonts w:ascii="宋体" w:hAnsi="宋体" w:cs="宋体"/>
                <w:snapToGrid w:val="0"/>
                <w:kern w:val="0"/>
                <w:sz w:val="28"/>
                <w:szCs w:val="28"/>
              </w:rPr>
            </w:pPr>
          </w:p>
        </w:tc>
        <w:tc>
          <w:tcPr>
            <w:tcW w:w="708" w:type="dxa"/>
            <w:vAlign w:val="center"/>
          </w:tcPr>
          <w:p w14:paraId="2A2BE821">
            <w:pPr>
              <w:autoSpaceDE w:val="0"/>
              <w:autoSpaceDN w:val="0"/>
              <w:adjustRightInd w:val="0"/>
              <w:snapToGrid w:val="0"/>
              <w:spacing w:line="360" w:lineRule="auto"/>
              <w:jc w:val="left"/>
              <w:rPr>
                <w:rFonts w:ascii="宋体" w:hAnsi="宋体" w:cs="宋体"/>
                <w:snapToGrid w:val="0"/>
                <w:kern w:val="0"/>
                <w:sz w:val="28"/>
                <w:szCs w:val="28"/>
              </w:rPr>
            </w:pPr>
          </w:p>
        </w:tc>
        <w:tc>
          <w:tcPr>
            <w:tcW w:w="784" w:type="dxa"/>
            <w:vAlign w:val="center"/>
          </w:tcPr>
          <w:p w14:paraId="19A51FDA">
            <w:pPr>
              <w:autoSpaceDE w:val="0"/>
              <w:autoSpaceDN w:val="0"/>
              <w:adjustRightInd w:val="0"/>
              <w:snapToGrid w:val="0"/>
              <w:spacing w:line="360" w:lineRule="auto"/>
              <w:jc w:val="left"/>
              <w:rPr>
                <w:rFonts w:ascii="宋体" w:hAnsi="宋体" w:cs="宋体"/>
                <w:snapToGrid w:val="0"/>
                <w:kern w:val="0"/>
                <w:sz w:val="28"/>
                <w:szCs w:val="28"/>
              </w:rPr>
            </w:pPr>
          </w:p>
        </w:tc>
        <w:tc>
          <w:tcPr>
            <w:tcW w:w="712" w:type="dxa"/>
            <w:vAlign w:val="center"/>
          </w:tcPr>
          <w:p w14:paraId="0B9EE71A">
            <w:pPr>
              <w:autoSpaceDE w:val="0"/>
              <w:autoSpaceDN w:val="0"/>
              <w:adjustRightInd w:val="0"/>
              <w:snapToGrid w:val="0"/>
              <w:spacing w:line="360" w:lineRule="auto"/>
              <w:jc w:val="left"/>
              <w:rPr>
                <w:rFonts w:ascii="宋体" w:hAnsi="宋体" w:cs="宋体"/>
                <w:snapToGrid w:val="0"/>
                <w:kern w:val="0"/>
                <w:sz w:val="28"/>
                <w:szCs w:val="28"/>
              </w:rPr>
            </w:pPr>
          </w:p>
        </w:tc>
        <w:tc>
          <w:tcPr>
            <w:tcW w:w="914" w:type="dxa"/>
            <w:tcBorders>
              <w:right w:val="single" w:color="auto" w:sz="4" w:space="0"/>
            </w:tcBorders>
            <w:vAlign w:val="center"/>
          </w:tcPr>
          <w:p w14:paraId="2814597F">
            <w:pPr>
              <w:autoSpaceDE w:val="0"/>
              <w:autoSpaceDN w:val="0"/>
              <w:adjustRightInd w:val="0"/>
              <w:snapToGrid w:val="0"/>
              <w:spacing w:line="360" w:lineRule="auto"/>
              <w:jc w:val="left"/>
              <w:rPr>
                <w:rFonts w:ascii="宋体" w:hAnsi="宋体" w:cs="宋体"/>
                <w:snapToGrid w:val="0"/>
                <w:kern w:val="0"/>
                <w:sz w:val="28"/>
                <w:szCs w:val="28"/>
              </w:rPr>
            </w:pPr>
          </w:p>
        </w:tc>
        <w:tc>
          <w:tcPr>
            <w:tcW w:w="1212" w:type="dxa"/>
            <w:tcBorders>
              <w:left w:val="single" w:color="auto" w:sz="4" w:space="0"/>
            </w:tcBorders>
            <w:vAlign w:val="center"/>
          </w:tcPr>
          <w:p w14:paraId="6791CDFF">
            <w:pPr>
              <w:autoSpaceDE w:val="0"/>
              <w:autoSpaceDN w:val="0"/>
              <w:adjustRightInd w:val="0"/>
              <w:snapToGrid w:val="0"/>
              <w:spacing w:line="360" w:lineRule="auto"/>
              <w:jc w:val="left"/>
              <w:rPr>
                <w:rFonts w:ascii="宋体" w:hAnsi="宋体" w:cs="宋体"/>
                <w:snapToGrid w:val="0"/>
                <w:kern w:val="0"/>
                <w:sz w:val="28"/>
                <w:szCs w:val="28"/>
              </w:rPr>
            </w:pPr>
          </w:p>
        </w:tc>
        <w:tc>
          <w:tcPr>
            <w:tcW w:w="982" w:type="dxa"/>
            <w:vAlign w:val="center"/>
          </w:tcPr>
          <w:p w14:paraId="2483A9B0">
            <w:pPr>
              <w:autoSpaceDE w:val="0"/>
              <w:autoSpaceDN w:val="0"/>
              <w:adjustRightInd w:val="0"/>
              <w:snapToGrid w:val="0"/>
              <w:spacing w:line="360" w:lineRule="auto"/>
              <w:jc w:val="left"/>
              <w:rPr>
                <w:rFonts w:ascii="宋体" w:hAnsi="宋体" w:cs="宋体"/>
                <w:snapToGrid w:val="0"/>
                <w:kern w:val="0"/>
                <w:sz w:val="28"/>
                <w:szCs w:val="28"/>
              </w:rPr>
            </w:pPr>
          </w:p>
        </w:tc>
        <w:tc>
          <w:tcPr>
            <w:tcW w:w="961" w:type="dxa"/>
            <w:vAlign w:val="center"/>
          </w:tcPr>
          <w:p w14:paraId="54A062B4">
            <w:pPr>
              <w:autoSpaceDE w:val="0"/>
              <w:autoSpaceDN w:val="0"/>
              <w:adjustRightInd w:val="0"/>
              <w:snapToGrid w:val="0"/>
              <w:spacing w:line="360" w:lineRule="auto"/>
              <w:jc w:val="left"/>
              <w:rPr>
                <w:rFonts w:ascii="宋体" w:hAnsi="宋体" w:cs="宋体"/>
                <w:snapToGrid w:val="0"/>
                <w:kern w:val="0"/>
                <w:sz w:val="28"/>
                <w:szCs w:val="28"/>
              </w:rPr>
            </w:pPr>
          </w:p>
        </w:tc>
        <w:tc>
          <w:tcPr>
            <w:tcW w:w="1618" w:type="dxa"/>
            <w:vAlign w:val="center"/>
          </w:tcPr>
          <w:p w14:paraId="459D484F">
            <w:pPr>
              <w:autoSpaceDE w:val="0"/>
              <w:autoSpaceDN w:val="0"/>
              <w:adjustRightInd w:val="0"/>
              <w:snapToGrid w:val="0"/>
              <w:spacing w:line="360" w:lineRule="auto"/>
              <w:jc w:val="left"/>
              <w:rPr>
                <w:rFonts w:ascii="宋体" w:hAnsi="宋体" w:cs="宋体"/>
                <w:snapToGrid w:val="0"/>
                <w:kern w:val="0"/>
                <w:sz w:val="28"/>
                <w:szCs w:val="28"/>
              </w:rPr>
            </w:pPr>
          </w:p>
        </w:tc>
      </w:tr>
      <w:tr w14:paraId="640F4C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734EE0A3">
            <w:pPr>
              <w:autoSpaceDE w:val="0"/>
              <w:autoSpaceDN w:val="0"/>
              <w:adjustRightInd w:val="0"/>
              <w:snapToGrid w:val="0"/>
              <w:spacing w:line="360" w:lineRule="auto"/>
              <w:jc w:val="left"/>
              <w:rPr>
                <w:rFonts w:ascii="宋体" w:hAnsi="宋体" w:cs="宋体"/>
                <w:snapToGrid w:val="0"/>
                <w:kern w:val="0"/>
                <w:sz w:val="28"/>
                <w:szCs w:val="28"/>
              </w:rPr>
            </w:pPr>
          </w:p>
        </w:tc>
        <w:tc>
          <w:tcPr>
            <w:tcW w:w="708" w:type="dxa"/>
            <w:vAlign w:val="center"/>
          </w:tcPr>
          <w:p w14:paraId="1A142694">
            <w:pPr>
              <w:autoSpaceDE w:val="0"/>
              <w:autoSpaceDN w:val="0"/>
              <w:adjustRightInd w:val="0"/>
              <w:snapToGrid w:val="0"/>
              <w:spacing w:line="360" w:lineRule="auto"/>
              <w:jc w:val="left"/>
              <w:rPr>
                <w:rFonts w:ascii="宋体" w:hAnsi="宋体" w:cs="宋体"/>
                <w:snapToGrid w:val="0"/>
                <w:kern w:val="0"/>
                <w:sz w:val="28"/>
                <w:szCs w:val="28"/>
              </w:rPr>
            </w:pPr>
          </w:p>
        </w:tc>
        <w:tc>
          <w:tcPr>
            <w:tcW w:w="784" w:type="dxa"/>
            <w:vAlign w:val="center"/>
          </w:tcPr>
          <w:p w14:paraId="1D7BCD79">
            <w:pPr>
              <w:autoSpaceDE w:val="0"/>
              <w:autoSpaceDN w:val="0"/>
              <w:adjustRightInd w:val="0"/>
              <w:snapToGrid w:val="0"/>
              <w:spacing w:line="360" w:lineRule="auto"/>
              <w:jc w:val="left"/>
              <w:rPr>
                <w:rFonts w:ascii="宋体" w:hAnsi="宋体" w:cs="宋体"/>
                <w:snapToGrid w:val="0"/>
                <w:kern w:val="0"/>
                <w:sz w:val="28"/>
                <w:szCs w:val="28"/>
              </w:rPr>
            </w:pPr>
          </w:p>
        </w:tc>
        <w:tc>
          <w:tcPr>
            <w:tcW w:w="712" w:type="dxa"/>
            <w:vAlign w:val="center"/>
          </w:tcPr>
          <w:p w14:paraId="77FC0E3B">
            <w:pPr>
              <w:autoSpaceDE w:val="0"/>
              <w:autoSpaceDN w:val="0"/>
              <w:adjustRightInd w:val="0"/>
              <w:snapToGrid w:val="0"/>
              <w:spacing w:line="360" w:lineRule="auto"/>
              <w:jc w:val="left"/>
              <w:rPr>
                <w:rFonts w:ascii="宋体" w:hAnsi="宋体" w:cs="宋体"/>
                <w:snapToGrid w:val="0"/>
                <w:kern w:val="0"/>
                <w:sz w:val="28"/>
                <w:szCs w:val="28"/>
              </w:rPr>
            </w:pPr>
          </w:p>
        </w:tc>
        <w:tc>
          <w:tcPr>
            <w:tcW w:w="914" w:type="dxa"/>
            <w:tcBorders>
              <w:right w:val="single" w:color="auto" w:sz="4" w:space="0"/>
            </w:tcBorders>
            <w:vAlign w:val="center"/>
          </w:tcPr>
          <w:p w14:paraId="70EF4DDB">
            <w:pPr>
              <w:autoSpaceDE w:val="0"/>
              <w:autoSpaceDN w:val="0"/>
              <w:adjustRightInd w:val="0"/>
              <w:snapToGrid w:val="0"/>
              <w:spacing w:line="360" w:lineRule="auto"/>
              <w:jc w:val="left"/>
              <w:rPr>
                <w:rFonts w:ascii="宋体" w:hAnsi="宋体" w:cs="宋体"/>
                <w:snapToGrid w:val="0"/>
                <w:kern w:val="0"/>
                <w:sz w:val="28"/>
                <w:szCs w:val="28"/>
              </w:rPr>
            </w:pPr>
          </w:p>
        </w:tc>
        <w:tc>
          <w:tcPr>
            <w:tcW w:w="1212" w:type="dxa"/>
            <w:tcBorders>
              <w:left w:val="single" w:color="auto" w:sz="4" w:space="0"/>
            </w:tcBorders>
            <w:vAlign w:val="center"/>
          </w:tcPr>
          <w:p w14:paraId="38AA0289">
            <w:pPr>
              <w:autoSpaceDE w:val="0"/>
              <w:autoSpaceDN w:val="0"/>
              <w:adjustRightInd w:val="0"/>
              <w:snapToGrid w:val="0"/>
              <w:spacing w:line="360" w:lineRule="auto"/>
              <w:jc w:val="left"/>
              <w:rPr>
                <w:rFonts w:ascii="宋体" w:hAnsi="宋体" w:cs="宋体"/>
                <w:snapToGrid w:val="0"/>
                <w:kern w:val="0"/>
                <w:sz w:val="28"/>
                <w:szCs w:val="28"/>
              </w:rPr>
            </w:pPr>
          </w:p>
        </w:tc>
        <w:tc>
          <w:tcPr>
            <w:tcW w:w="982" w:type="dxa"/>
            <w:vAlign w:val="center"/>
          </w:tcPr>
          <w:p w14:paraId="5887CE88">
            <w:pPr>
              <w:autoSpaceDE w:val="0"/>
              <w:autoSpaceDN w:val="0"/>
              <w:adjustRightInd w:val="0"/>
              <w:snapToGrid w:val="0"/>
              <w:spacing w:line="360" w:lineRule="auto"/>
              <w:jc w:val="left"/>
              <w:rPr>
                <w:rFonts w:ascii="宋体" w:hAnsi="宋体" w:cs="宋体"/>
                <w:snapToGrid w:val="0"/>
                <w:kern w:val="0"/>
                <w:sz w:val="28"/>
                <w:szCs w:val="28"/>
              </w:rPr>
            </w:pPr>
          </w:p>
        </w:tc>
        <w:tc>
          <w:tcPr>
            <w:tcW w:w="961" w:type="dxa"/>
            <w:vAlign w:val="center"/>
          </w:tcPr>
          <w:p w14:paraId="28AF6A7E">
            <w:pPr>
              <w:autoSpaceDE w:val="0"/>
              <w:autoSpaceDN w:val="0"/>
              <w:adjustRightInd w:val="0"/>
              <w:snapToGrid w:val="0"/>
              <w:spacing w:line="360" w:lineRule="auto"/>
              <w:jc w:val="left"/>
              <w:rPr>
                <w:rFonts w:ascii="宋体" w:hAnsi="宋体" w:cs="宋体"/>
                <w:snapToGrid w:val="0"/>
                <w:kern w:val="0"/>
                <w:sz w:val="28"/>
                <w:szCs w:val="28"/>
              </w:rPr>
            </w:pPr>
          </w:p>
        </w:tc>
        <w:tc>
          <w:tcPr>
            <w:tcW w:w="1618" w:type="dxa"/>
            <w:vAlign w:val="center"/>
          </w:tcPr>
          <w:p w14:paraId="7CFFEDD9">
            <w:pPr>
              <w:autoSpaceDE w:val="0"/>
              <w:autoSpaceDN w:val="0"/>
              <w:adjustRightInd w:val="0"/>
              <w:snapToGrid w:val="0"/>
              <w:spacing w:line="360" w:lineRule="auto"/>
              <w:jc w:val="left"/>
              <w:rPr>
                <w:rFonts w:ascii="宋体" w:hAnsi="宋体" w:cs="宋体"/>
                <w:snapToGrid w:val="0"/>
                <w:kern w:val="0"/>
                <w:sz w:val="28"/>
                <w:szCs w:val="28"/>
              </w:rPr>
            </w:pPr>
          </w:p>
        </w:tc>
      </w:tr>
      <w:tr w14:paraId="060F7C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52FA6EB3">
            <w:pPr>
              <w:autoSpaceDE w:val="0"/>
              <w:autoSpaceDN w:val="0"/>
              <w:adjustRightInd w:val="0"/>
              <w:snapToGrid w:val="0"/>
              <w:spacing w:line="360" w:lineRule="auto"/>
              <w:jc w:val="left"/>
              <w:rPr>
                <w:rFonts w:ascii="宋体" w:hAnsi="宋体" w:cs="宋体"/>
                <w:snapToGrid w:val="0"/>
                <w:kern w:val="0"/>
                <w:sz w:val="28"/>
                <w:szCs w:val="28"/>
              </w:rPr>
            </w:pPr>
          </w:p>
        </w:tc>
        <w:tc>
          <w:tcPr>
            <w:tcW w:w="708" w:type="dxa"/>
            <w:vAlign w:val="center"/>
          </w:tcPr>
          <w:p w14:paraId="127D5DD7">
            <w:pPr>
              <w:autoSpaceDE w:val="0"/>
              <w:autoSpaceDN w:val="0"/>
              <w:adjustRightInd w:val="0"/>
              <w:snapToGrid w:val="0"/>
              <w:spacing w:line="360" w:lineRule="auto"/>
              <w:jc w:val="left"/>
              <w:rPr>
                <w:rFonts w:ascii="宋体" w:hAnsi="宋体" w:cs="宋体"/>
                <w:snapToGrid w:val="0"/>
                <w:kern w:val="0"/>
                <w:sz w:val="28"/>
                <w:szCs w:val="28"/>
              </w:rPr>
            </w:pPr>
          </w:p>
        </w:tc>
        <w:tc>
          <w:tcPr>
            <w:tcW w:w="784" w:type="dxa"/>
            <w:vAlign w:val="center"/>
          </w:tcPr>
          <w:p w14:paraId="24BE094A">
            <w:pPr>
              <w:autoSpaceDE w:val="0"/>
              <w:autoSpaceDN w:val="0"/>
              <w:adjustRightInd w:val="0"/>
              <w:snapToGrid w:val="0"/>
              <w:spacing w:line="360" w:lineRule="auto"/>
              <w:jc w:val="left"/>
              <w:rPr>
                <w:rFonts w:ascii="宋体" w:hAnsi="宋体" w:cs="宋体"/>
                <w:snapToGrid w:val="0"/>
                <w:kern w:val="0"/>
                <w:sz w:val="28"/>
                <w:szCs w:val="28"/>
              </w:rPr>
            </w:pPr>
          </w:p>
        </w:tc>
        <w:tc>
          <w:tcPr>
            <w:tcW w:w="712" w:type="dxa"/>
            <w:vAlign w:val="center"/>
          </w:tcPr>
          <w:p w14:paraId="70A90F0A">
            <w:pPr>
              <w:autoSpaceDE w:val="0"/>
              <w:autoSpaceDN w:val="0"/>
              <w:adjustRightInd w:val="0"/>
              <w:snapToGrid w:val="0"/>
              <w:spacing w:line="360" w:lineRule="auto"/>
              <w:jc w:val="left"/>
              <w:rPr>
                <w:rFonts w:ascii="宋体" w:hAnsi="宋体" w:cs="宋体"/>
                <w:snapToGrid w:val="0"/>
                <w:kern w:val="0"/>
                <w:sz w:val="28"/>
                <w:szCs w:val="28"/>
              </w:rPr>
            </w:pPr>
          </w:p>
        </w:tc>
        <w:tc>
          <w:tcPr>
            <w:tcW w:w="914" w:type="dxa"/>
            <w:tcBorders>
              <w:right w:val="single" w:color="auto" w:sz="4" w:space="0"/>
            </w:tcBorders>
            <w:vAlign w:val="center"/>
          </w:tcPr>
          <w:p w14:paraId="682CD140">
            <w:pPr>
              <w:autoSpaceDE w:val="0"/>
              <w:autoSpaceDN w:val="0"/>
              <w:adjustRightInd w:val="0"/>
              <w:snapToGrid w:val="0"/>
              <w:spacing w:line="360" w:lineRule="auto"/>
              <w:jc w:val="left"/>
              <w:rPr>
                <w:rFonts w:ascii="宋体" w:hAnsi="宋体" w:cs="宋体"/>
                <w:snapToGrid w:val="0"/>
                <w:kern w:val="0"/>
                <w:sz w:val="28"/>
                <w:szCs w:val="28"/>
              </w:rPr>
            </w:pPr>
          </w:p>
        </w:tc>
        <w:tc>
          <w:tcPr>
            <w:tcW w:w="1212" w:type="dxa"/>
            <w:tcBorders>
              <w:left w:val="single" w:color="auto" w:sz="4" w:space="0"/>
            </w:tcBorders>
            <w:vAlign w:val="center"/>
          </w:tcPr>
          <w:p w14:paraId="1D7C699B">
            <w:pPr>
              <w:autoSpaceDE w:val="0"/>
              <w:autoSpaceDN w:val="0"/>
              <w:adjustRightInd w:val="0"/>
              <w:snapToGrid w:val="0"/>
              <w:spacing w:line="360" w:lineRule="auto"/>
              <w:jc w:val="left"/>
              <w:rPr>
                <w:rFonts w:ascii="宋体" w:hAnsi="宋体" w:cs="宋体"/>
                <w:snapToGrid w:val="0"/>
                <w:kern w:val="0"/>
                <w:sz w:val="28"/>
                <w:szCs w:val="28"/>
              </w:rPr>
            </w:pPr>
          </w:p>
        </w:tc>
        <w:tc>
          <w:tcPr>
            <w:tcW w:w="982" w:type="dxa"/>
            <w:vAlign w:val="center"/>
          </w:tcPr>
          <w:p w14:paraId="12ED655C">
            <w:pPr>
              <w:autoSpaceDE w:val="0"/>
              <w:autoSpaceDN w:val="0"/>
              <w:adjustRightInd w:val="0"/>
              <w:snapToGrid w:val="0"/>
              <w:spacing w:line="360" w:lineRule="auto"/>
              <w:jc w:val="left"/>
              <w:rPr>
                <w:rFonts w:ascii="宋体" w:hAnsi="宋体" w:cs="宋体"/>
                <w:snapToGrid w:val="0"/>
                <w:kern w:val="0"/>
                <w:sz w:val="28"/>
                <w:szCs w:val="28"/>
              </w:rPr>
            </w:pPr>
          </w:p>
        </w:tc>
        <w:tc>
          <w:tcPr>
            <w:tcW w:w="961" w:type="dxa"/>
            <w:vAlign w:val="center"/>
          </w:tcPr>
          <w:p w14:paraId="07AA8EBE">
            <w:pPr>
              <w:autoSpaceDE w:val="0"/>
              <w:autoSpaceDN w:val="0"/>
              <w:adjustRightInd w:val="0"/>
              <w:snapToGrid w:val="0"/>
              <w:spacing w:line="360" w:lineRule="auto"/>
              <w:jc w:val="left"/>
              <w:rPr>
                <w:rFonts w:ascii="宋体" w:hAnsi="宋体" w:cs="宋体"/>
                <w:snapToGrid w:val="0"/>
                <w:kern w:val="0"/>
                <w:sz w:val="28"/>
                <w:szCs w:val="28"/>
              </w:rPr>
            </w:pPr>
          </w:p>
        </w:tc>
        <w:tc>
          <w:tcPr>
            <w:tcW w:w="1618" w:type="dxa"/>
            <w:vAlign w:val="center"/>
          </w:tcPr>
          <w:p w14:paraId="3DE755EF">
            <w:pPr>
              <w:autoSpaceDE w:val="0"/>
              <w:autoSpaceDN w:val="0"/>
              <w:adjustRightInd w:val="0"/>
              <w:snapToGrid w:val="0"/>
              <w:spacing w:line="360" w:lineRule="auto"/>
              <w:jc w:val="left"/>
              <w:rPr>
                <w:rFonts w:ascii="宋体" w:hAnsi="宋体" w:cs="宋体"/>
                <w:snapToGrid w:val="0"/>
                <w:kern w:val="0"/>
                <w:sz w:val="28"/>
                <w:szCs w:val="28"/>
              </w:rPr>
            </w:pPr>
          </w:p>
        </w:tc>
      </w:tr>
      <w:tr w14:paraId="267B52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4E66A701">
            <w:pPr>
              <w:autoSpaceDE w:val="0"/>
              <w:autoSpaceDN w:val="0"/>
              <w:adjustRightInd w:val="0"/>
              <w:snapToGrid w:val="0"/>
              <w:spacing w:line="360" w:lineRule="auto"/>
              <w:jc w:val="left"/>
              <w:rPr>
                <w:rFonts w:ascii="宋体" w:hAnsi="宋体" w:cs="宋体"/>
                <w:snapToGrid w:val="0"/>
                <w:kern w:val="0"/>
                <w:sz w:val="28"/>
                <w:szCs w:val="28"/>
              </w:rPr>
            </w:pPr>
          </w:p>
        </w:tc>
        <w:tc>
          <w:tcPr>
            <w:tcW w:w="708" w:type="dxa"/>
            <w:vAlign w:val="center"/>
          </w:tcPr>
          <w:p w14:paraId="2DED50E7">
            <w:pPr>
              <w:autoSpaceDE w:val="0"/>
              <w:autoSpaceDN w:val="0"/>
              <w:adjustRightInd w:val="0"/>
              <w:snapToGrid w:val="0"/>
              <w:spacing w:line="360" w:lineRule="auto"/>
              <w:jc w:val="left"/>
              <w:rPr>
                <w:rFonts w:ascii="宋体" w:hAnsi="宋体" w:cs="宋体"/>
                <w:snapToGrid w:val="0"/>
                <w:kern w:val="0"/>
                <w:sz w:val="28"/>
                <w:szCs w:val="28"/>
              </w:rPr>
            </w:pPr>
          </w:p>
        </w:tc>
        <w:tc>
          <w:tcPr>
            <w:tcW w:w="784" w:type="dxa"/>
            <w:vAlign w:val="center"/>
          </w:tcPr>
          <w:p w14:paraId="79EFB38D">
            <w:pPr>
              <w:autoSpaceDE w:val="0"/>
              <w:autoSpaceDN w:val="0"/>
              <w:adjustRightInd w:val="0"/>
              <w:snapToGrid w:val="0"/>
              <w:spacing w:line="360" w:lineRule="auto"/>
              <w:jc w:val="left"/>
              <w:rPr>
                <w:rFonts w:ascii="宋体" w:hAnsi="宋体" w:cs="宋体"/>
                <w:snapToGrid w:val="0"/>
                <w:kern w:val="0"/>
                <w:sz w:val="28"/>
                <w:szCs w:val="28"/>
              </w:rPr>
            </w:pPr>
          </w:p>
        </w:tc>
        <w:tc>
          <w:tcPr>
            <w:tcW w:w="712" w:type="dxa"/>
            <w:vAlign w:val="center"/>
          </w:tcPr>
          <w:p w14:paraId="58F38430">
            <w:pPr>
              <w:autoSpaceDE w:val="0"/>
              <w:autoSpaceDN w:val="0"/>
              <w:adjustRightInd w:val="0"/>
              <w:snapToGrid w:val="0"/>
              <w:spacing w:line="360" w:lineRule="auto"/>
              <w:jc w:val="left"/>
              <w:rPr>
                <w:rFonts w:ascii="宋体" w:hAnsi="宋体" w:cs="宋体"/>
                <w:snapToGrid w:val="0"/>
                <w:kern w:val="0"/>
                <w:sz w:val="28"/>
                <w:szCs w:val="28"/>
              </w:rPr>
            </w:pPr>
          </w:p>
        </w:tc>
        <w:tc>
          <w:tcPr>
            <w:tcW w:w="914" w:type="dxa"/>
            <w:tcBorders>
              <w:right w:val="single" w:color="auto" w:sz="4" w:space="0"/>
            </w:tcBorders>
            <w:vAlign w:val="center"/>
          </w:tcPr>
          <w:p w14:paraId="5CF33250">
            <w:pPr>
              <w:autoSpaceDE w:val="0"/>
              <w:autoSpaceDN w:val="0"/>
              <w:adjustRightInd w:val="0"/>
              <w:snapToGrid w:val="0"/>
              <w:spacing w:line="360" w:lineRule="auto"/>
              <w:jc w:val="left"/>
              <w:rPr>
                <w:rFonts w:ascii="宋体" w:hAnsi="宋体" w:cs="宋体"/>
                <w:snapToGrid w:val="0"/>
                <w:kern w:val="0"/>
                <w:sz w:val="28"/>
                <w:szCs w:val="28"/>
              </w:rPr>
            </w:pPr>
          </w:p>
        </w:tc>
        <w:tc>
          <w:tcPr>
            <w:tcW w:w="1212" w:type="dxa"/>
            <w:tcBorders>
              <w:left w:val="single" w:color="auto" w:sz="4" w:space="0"/>
            </w:tcBorders>
            <w:vAlign w:val="center"/>
          </w:tcPr>
          <w:p w14:paraId="588D35B9">
            <w:pPr>
              <w:autoSpaceDE w:val="0"/>
              <w:autoSpaceDN w:val="0"/>
              <w:adjustRightInd w:val="0"/>
              <w:snapToGrid w:val="0"/>
              <w:spacing w:line="360" w:lineRule="auto"/>
              <w:jc w:val="left"/>
              <w:rPr>
                <w:rFonts w:ascii="宋体" w:hAnsi="宋体" w:cs="宋体"/>
                <w:snapToGrid w:val="0"/>
                <w:kern w:val="0"/>
                <w:sz w:val="28"/>
                <w:szCs w:val="28"/>
              </w:rPr>
            </w:pPr>
          </w:p>
        </w:tc>
        <w:tc>
          <w:tcPr>
            <w:tcW w:w="982" w:type="dxa"/>
            <w:vAlign w:val="center"/>
          </w:tcPr>
          <w:p w14:paraId="417983C0">
            <w:pPr>
              <w:autoSpaceDE w:val="0"/>
              <w:autoSpaceDN w:val="0"/>
              <w:adjustRightInd w:val="0"/>
              <w:snapToGrid w:val="0"/>
              <w:spacing w:line="360" w:lineRule="auto"/>
              <w:jc w:val="left"/>
              <w:rPr>
                <w:rFonts w:ascii="宋体" w:hAnsi="宋体" w:cs="宋体"/>
                <w:snapToGrid w:val="0"/>
                <w:kern w:val="0"/>
                <w:sz w:val="28"/>
                <w:szCs w:val="28"/>
              </w:rPr>
            </w:pPr>
          </w:p>
        </w:tc>
        <w:tc>
          <w:tcPr>
            <w:tcW w:w="961" w:type="dxa"/>
            <w:vAlign w:val="center"/>
          </w:tcPr>
          <w:p w14:paraId="6D83DEA1">
            <w:pPr>
              <w:autoSpaceDE w:val="0"/>
              <w:autoSpaceDN w:val="0"/>
              <w:adjustRightInd w:val="0"/>
              <w:snapToGrid w:val="0"/>
              <w:spacing w:line="360" w:lineRule="auto"/>
              <w:jc w:val="left"/>
              <w:rPr>
                <w:rFonts w:ascii="宋体" w:hAnsi="宋体" w:cs="宋体"/>
                <w:snapToGrid w:val="0"/>
                <w:kern w:val="0"/>
                <w:sz w:val="28"/>
                <w:szCs w:val="28"/>
              </w:rPr>
            </w:pPr>
          </w:p>
        </w:tc>
        <w:tc>
          <w:tcPr>
            <w:tcW w:w="1618" w:type="dxa"/>
            <w:vAlign w:val="center"/>
          </w:tcPr>
          <w:p w14:paraId="555100C6">
            <w:pPr>
              <w:autoSpaceDE w:val="0"/>
              <w:autoSpaceDN w:val="0"/>
              <w:adjustRightInd w:val="0"/>
              <w:snapToGrid w:val="0"/>
              <w:spacing w:line="360" w:lineRule="auto"/>
              <w:jc w:val="left"/>
              <w:rPr>
                <w:rFonts w:ascii="宋体" w:hAnsi="宋体" w:cs="宋体"/>
                <w:snapToGrid w:val="0"/>
                <w:kern w:val="0"/>
                <w:sz w:val="28"/>
                <w:szCs w:val="28"/>
              </w:rPr>
            </w:pPr>
          </w:p>
        </w:tc>
      </w:tr>
      <w:tr w14:paraId="232B0C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6DD62526">
            <w:pPr>
              <w:autoSpaceDE w:val="0"/>
              <w:autoSpaceDN w:val="0"/>
              <w:adjustRightInd w:val="0"/>
              <w:snapToGrid w:val="0"/>
              <w:spacing w:line="360" w:lineRule="auto"/>
              <w:jc w:val="left"/>
              <w:rPr>
                <w:rFonts w:ascii="宋体" w:hAnsi="宋体" w:cs="宋体"/>
                <w:snapToGrid w:val="0"/>
                <w:kern w:val="0"/>
                <w:sz w:val="28"/>
                <w:szCs w:val="28"/>
              </w:rPr>
            </w:pPr>
          </w:p>
        </w:tc>
        <w:tc>
          <w:tcPr>
            <w:tcW w:w="708" w:type="dxa"/>
            <w:vAlign w:val="center"/>
          </w:tcPr>
          <w:p w14:paraId="42E93B00">
            <w:pPr>
              <w:autoSpaceDE w:val="0"/>
              <w:autoSpaceDN w:val="0"/>
              <w:adjustRightInd w:val="0"/>
              <w:snapToGrid w:val="0"/>
              <w:spacing w:line="360" w:lineRule="auto"/>
              <w:jc w:val="left"/>
              <w:rPr>
                <w:rFonts w:ascii="宋体" w:hAnsi="宋体" w:cs="宋体"/>
                <w:snapToGrid w:val="0"/>
                <w:kern w:val="0"/>
                <w:sz w:val="28"/>
                <w:szCs w:val="28"/>
              </w:rPr>
            </w:pPr>
          </w:p>
        </w:tc>
        <w:tc>
          <w:tcPr>
            <w:tcW w:w="784" w:type="dxa"/>
            <w:vAlign w:val="center"/>
          </w:tcPr>
          <w:p w14:paraId="7EE4CCD6">
            <w:pPr>
              <w:autoSpaceDE w:val="0"/>
              <w:autoSpaceDN w:val="0"/>
              <w:adjustRightInd w:val="0"/>
              <w:snapToGrid w:val="0"/>
              <w:spacing w:line="360" w:lineRule="auto"/>
              <w:jc w:val="left"/>
              <w:rPr>
                <w:rFonts w:ascii="宋体" w:hAnsi="宋体" w:cs="宋体"/>
                <w:snapToGrid w:val="0"/>
                <w:kern w:val="0"/>
                <w:sz w:val="28"/>
                <w:szCs w:val="28"/>
              </w:rPr>
            </w:pPr>
          </w:p>
        </w:tc>
        <w:tc>
          <w:tcPr>
            <w:tcW w:w="712" w:type="dxa"/>
            <w:vAlign w:val="center"/>
          </w:tcPr>
          <w:p w14:paraId="534D173C">
            <w:pPr>
              <w:autoSpaceDE w:val="0"/>
              <w:autoSpaceDN w:val="0"/>
              <w:adjustRightInd w:val="0"/>
              <w:snapToGrid w:val="0"/>
              <w:spacing w:line="360" w:lineRule="auto"/>
              <w:jc w:val="left"/>
              <w:rPr>
                <w:rFonts w:ascii="宋体" w:hAnsi="宋体" w:cs="宋体"/>
                <w:snapToGrid w:val="0"/>
                <w:kern w:val="0"/>
                <w:sz w:val="28"/>
                <w:szCs w:val="28"/>
              </w:rPr>
            </w:pPr>
          </w:p>
        </w:tc>
        <w:tc>
          <w:tcPr>
            <w:tcW w:w="914" w:type="dxa"/>
            <w:tcBorders>
              <w:right w:val="single" w:color="auto" w:sz="4" w:space="0"/>
            </w:tcBorders>
            <w:vAlign w:val="center"/>
          </w:tcPr>
          <w:p w14:paraId="096FC145">
            <w:pPr>
              <w:autoSpaceDE w:val="0"/>
              <w:autoSpaceDN w:val="0"/>
              <w:adjustRightInd w:val="0"/>
              <w:snapToGrid w:val="0"/>
              <w:spacing w:line="360" w:lineRule="auto"/>
              <w:jc w:val="left"/>
              <w:rPr>
                <w:rFonts w:ascii="宋体" w:hAnsi="宋体" w:cs="宋体"/>
                <w:snapToGrid w:val="0"/>
                <w:kern w:val="0"/>
                <w:sz w:val="28"/>
                <w:szCs w:val="28"/>
              </w:rPr>
            </w:pPr>
          </w:p>
        </w:tc>
        <w:tc>
          <w:tcPr>
            <w:tcW w:w="1212" w:type="dxa"/>
            <w:tcBorders>
              <w:left w:val="single" w:color="auto" w:sz="4" w:space="0"/>
            </w:tcBorders>
            <w:vAlign w:val="center"/>
          </w:tcPr>
          <w:p w14:paraId="1EE9AFE7">
            <w:pPr>
              <w:autoSpaceDE w:val="0"/>
              <w:autoSpaceDN w:val="0"/>
              <w:adjustRightInd w:val="0"/>
              <w:snapToGrid w:val="0"/>
              <w:spacing w:line="360" w:lineRule="auto"/>
              <w:jc w:val="left"/>
              <w:rPr>
                <w:rFonts w:ascii="宋体" w:hAnsi="宋体" w:cs="宋体"/>
                <w:snapToGrid w:val="0"/>
                <w:kern w:val="0"/>
                <w:sz w:val="28"/>
                <w:szCs w:val="28"/>
              </w:rPr>
            </w:pPr>
          </w:p>
        </w:tc>
        <w:tc>
          <w:tcPr>
            <w:tcW w:w="982" w:type="dxa"/>
            <w:vAlign w:val="center"/>
          </w:tcPr>
          <w:p w14:paraId="55616BE0">
            <w:pPr>
              <w:autoSpaceDE w:val="0"/>
              <w:autoSpaceDN w:val="0"/>
              <w:adjustRightInd w:val="0"/>
              <w:snapToGrid w:val="0"/>
              <w:spacing w:line="360" w:lineRule="auto"/>
              <w:jc w:val="left"/>
              <w:rPr>
                <w:rFonts w:ascii="宋体" w:hAnsi="宋体" w:cs="宋体"/>
                <w:snapToGrid w:val="0"/>
                <w:kern w:val="0"/>
                <w:sz w:val="28"/>
                <w:szCs w:val="28"/>
              </w:rPr>
            </w:pPr>
          </w:p>
        </w:tc>
        <w:tc>
          <w:tcPr>
            <w:tcW w:w="961" w:type="dxa"/>
            <w:vAlign w:val="center"/>
          </w:tcPr>
          <w:p w14:paraId="11F68FE0">
            <w:pPr>
              <w:autoSpaceDE w:val="0"/>
              <w:autoSpaceDN w:val="0"/>
              <w:adjustRightInd w:val="0"/>
              <w:snapToGrid w:val="0"/>
              <w:spacing w:line="360" w:lineRule="auto"/>
              <w:jc w:val="left"/>
              <w:rPr>
                <w:rFonts w:ascii="宋体" w:hAnsi="宋体" w:cs="宋体"/>
                <w:snapToGrid w:val="0"/>
                <w:kern w:val="0"/>
                <w:sz w:val="28"/>
                <w:szCs w:val="28"/>
              </w:rPr>
            </w:pPr>
          </w:p>
        </w:tc>
        <w:tc>
          <w:tcPr>
            <w:tcW w:w="1618" w:type="dxa"/>
            <w:vAlign w:val="center"/>
          </w:tcPr>
          <w:p w14:paraId="7F8C6BD4">
            <w:pPr>
              <w:autoSpaceDE w:val="0"/>
              <w:autoSpaceDN w:val="0"/>
              <w:adjustRightInd w:val="0"/>
              <w:snapToGrid w:val="0"/>
              <w:spacing w:line="360" w:lineRule="auto"/>
              <w:jc w:val="left"/>
              <w:rPr>
                <w:rFonts w:ascii="宋体" w:hAnsi="宋体" w:cs="宋体"/>
                <w:snapToGrid w:val="0"/>
                <w:kern w:val="0"/>
                <w:sz w:val="28"/>
                <w:szCs w:val="28"/>
              </w:rPr>
            </w:pPr>
          </w:p>
        </w:tc>
      </w:tr>
      <w:tr w14:paraId="13730F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1742F4DA">
            <w:pPr>
              <w:autoSpaceDE w:val="0"/>
              <w:autoSpaceDN w:val="0"/>
              <w:adjustRightInd w:val="0"/>
              <w:snapToGrid w:val="0"/>
              <w:spacing w:line="360" w:lineRule="auto"/>
              <w:jc w:val="left"/>
              <w:rPr>
                <w:rFonts w:ascii="宋体" w:hAnsi="宋体" w:cs="宋体"/>
                <w:snapToGrid w:val="0"/>
                <w:kern w:val="0"/>
                <w:sz w:val="28"/>
                <w:szCs w:val="28"/>
              </w:rPr>
            </w:pPr>
          </w:p>
        </w:tc>
        <w:tc>
          <w:tcPr>
            <w:tcW w:w="708" w:type="dxa"/>
            <w:vAlign w:val="center"/>
          </w:tcPr>
          <w:p w14:paraId="77548595">
            <w:pPr>
              <w:autoSpaceDE w:val="0"/>
              <w:autoSpaceDN w:val="0"/>
              <w:adjustRightInd w:val="0"/>
              <w:snapToGrid w:val="0"/>
              <w:spacing w:line="360" w:lineRule="auto"/>
              <w:jc w:val="left"/>
              <w:rPr>
                <w:rFonts w:ascii="宋体" w:hAnsi="宋体" w:cs="宋体"/>
                <w:snapToGrid w:val="0"/>
                <w:kern w:val="0"/>
                <w:sz w:val="28"/>
                <w:szCs w:val="28"/>
              </w:rPr>
            </w:pPr>
          </w:p>
        </w:tc>
        <w:tc>
          <w:tcPr>
            <w:tcW w:w="784" w:type="dxa"/>
            <w:vAlign w:val="center"/>
          </w:tcPr>
          <w:p w14:paraId="37F6C9AB">
            <w:pPr>
              <w:autoSpaceDE w:val="0"/>
              <w:autoSpaceDN w:val="0"/>
              <w:adjustRightInd w:val="0"/>
              <w:snapToGrid w:val="0"/>
              <w:spacing w:line="360" w:lineRule="auto"/>
              <w:jc w:val="left"/>
              <w:rPr>
                <w:rFonts w:ascii="宋体" w:hAnsi="宋体" w:cs="宋体"/>
                <w:snapToGrid w:val="0"/>
                <w:kern w:val="0"/>
                <w:sz w:val="28"/>
                <w:szCs w:val="28"/>
              </w:rPr>
            </w:pPr>
          </w:p>
        </w:tc>
        <w:tc>
          <w:tcPr>
            <w:tcW w:w="712" w:type="dxa"/>
            <w:vAlign w:val="center"/>
          </w:tcPr>
          <w:p w14:paraId="1FD145D2">
            <w:pPr>
              <w:autoSpaceDE w:val="0"/>
              <w:autoSpaceDN w:val="0"/>
              <w:adjustRightInd w:val="0"/>
              <w:snapToGrid w:val="0"/>
              <w:spacing w:line="360" w:lineRule="auto"/>
              <w:jc w:val="left"/>
              <w:rPr>
                <w:rFonts w:ascii="宋体" w:hAnsi="宋体" w:cs="宋体"/>
                <w:snapToGrid w:val="0"/>
                <w:kern w:val="0"/>
                <w:sz w:val="28"/>
                <w:szCs w:val="28"/>
              </w:rPr>
            </w:pPr>
          </w:p>
        </w:tc>
        <w:tc>
          <w:tcPr>
            <w:tcW w:w="914" w:type="dxa"/>
            <w:tcBorders>
              <w:right w:val="single" w:color="auto" w:sz="4" w:space="0"/>
            </w:tcBorders>
            <w:vAlign w:val="center"/>
          </w:tcPr>
          <w:p w14:paraId="6D667520">
            <w:pPr>
              <w:autoSpaceDE w:val="0"/>
              <w:autoSpaceDN w:val="0"/>
              <w:adjustRightInd w:val="0"/>
              <w:snapToGrid w:val="0"/>
              <w:spacing w:line="360" w:lineRule="auto"/>
              <w:jc w:val="left"/>
              <w:rPr>
                <w:rFonts w:ascii="宋体" w:hAnsi="宋体" w:cs="宋体"/>
                <w:snapToGrid w:val="0"/>
                <w:kern w:val="0"/>
                <w:sz w:val="28"/>
                <w:szCs w:val="28"/>
              </w:rPr>
            </w:pPr>
          </w:p>
        </w:tc>
        <w:tc>
          <w:tcPr>
            <w:tcW w:w="1212" w:type="dxa"/>
            <w:tcBorders>
              <w:left w:val="single" w:color="auto" w:sz="4" w:space="0"/>
            </w:tcBorders>
            <w:vAlign w:val="center"/>
          </w:tcPr>
          <w:p w14:paraId="152597FE">
            <w:pPr>
              <w:autoSpaceDE w:val="0"/>
              <w:autoSpaceDN w:val="0"/>
              <w:adjustRightInd w:val="0"/>
              <w:snapToGrid w:val="0"/>
              <w:spacing w:line="360" w:lineRule="auto"/>
              <w:jc w:val="left"/>
              <w:rPr>
                <w:rFonts w:ascii="宋体" w:hAnsi="宋体" w:cs="宋体"/>
                <w:snapToGrid w:val="0"/>
                <w:kern w:val="0"/>
                <w:sz w:val="28"/>
                <w:szCs w:val="28"/>
              </w:rPr>
            </w:pPr>
          </w:p>
        </w:tc>
        <w:tc>
          <w:tcPr>
            <w:tcW w:w="982" w:type="dxa"/>
            <w:vAlign w:val="center"/>
          </w:tcPr>
          <w:p w14:paraId="6DD3F431">
            <w:pPr>
              <w:autoSpaceDE w:val="0"/>
              <w:autoSpaceDN w:val="0"/>
              <w:adjustRightInd w:val="0"/>
              <w:snapToGrid w:val="0"/>
              <w:spacing w:line="360" w:lineRule="auto"/>
              <w:jc w:val="left"/>
              <w:rPr>
                <w:rFonts w:ascii="宋体" w:hAnsi="宋体" w:cs="宋体"/>
                <w:snapToGrid w:val="0"/>
                <w:kern w:val="0"/>
                <w:sz w:val="28"/>
                <w:szCs w:val="28"/>
              </w:rPr>
            </w:pPr>
          </w:p>
        </w:tc>
        <w:tc>
          <w:tcPr>
            <w:tcW w:w="961" w:type="dxa"/>
            <w:vAlign w:val="center"/>
          </w:tcPr>
          <w:p w14:paraId="26A76490">
            <w:pPr>
              <w:autoSpaceDE w:val="0"/>
              <w:autoSpaceDN w:val="0"/>
              <w:adjustRightInd w:val="0"/>
              <w:snapToGrid w:val="0"/>
              <w:spacing w:line="360" w:lineRule="auto"/>
              <w:jc w:val="left"/>
              <w:rPr>
                <w:rFonts w:ascii="宋体" w:hAnsi="宋体" w:cs="宋体"/>
                <w:snapToGrid w:val="0"/>
                <w:kern w:val="0"/>
                <w:sz w:val="28"/>
                <w:szCs w:val="28"/>
              </w:rPr>
            </w:pPr>
          </w:p>
        </w:tc>
        <w:tc>
          <w:tcPr>
            <w:tcW w:w="1618" w:type="dxa"/>
            <w:vAlign w:val="center"/>
          </w:tcPr>
          <w:p w14:paraId="27A49A98">
            <w:pPr>
              <w:autoSpaceDE w:val="0"/>
              <w:autoSpaceDN w:val="0"/>
              <w:adjustRightInd w:val="0"/>
              <w:snapToGrid w:val="0"/>
              <w:spacing w:line="360" w:lineRule="auto"/>
              <w:jc w:val="left"/>
              <w:rPr>
                <w:rFonts w:ascii="宋体" w:hAnsi="宋体" w:cs="宋体"/>
                <w:snapToGrid w:val="0"/>
                <w:kern w:val="0"/>
                <w:sz w:val="28"/>
                <w:szCs w:val="28"/>
              </w:rPr>
            </w:pPr>
          </w:p>
        </w:tc>
      </w:tr>
      <w:tr w14:paraId="7DE9B0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528805E7">
            <w:pPr>
              <w:autoSpaceDE w:val="0"/>
              <w:autoSpaceDN w:val="0"/>
              <w:adjustRightInd w:val="0"/>
              <w:snapToGrid w:val="0"/>
              <w:spacing w:line="360" w:lineRule="auto"/>
              <w:jc w:val="left"/>
              <w:rPr>
                <w:rFonts w:ascii="宋体" w:hAnsi="宋体" w:cs="宋体"/>
                <w:snapToGrid w:val="0"/>
                <w:kern w:val="0"/>
                <w:sz w:val="28"/>
                <w:szCs w:val="28"/>
              </w:rPr>
            </w:pPr>
          </w:p>
        </w:tc>
        <w:tc>
          <w:tcPr>
            <w:tcW w:w="708" w:type="dxa"/>
            <w:vAlign w:val="center"/>
          </w:tcPr>
          <w:p w14:paraId="451A0869">
            <w:pPr>
              <w:autoSpaceDE w:val="0"/>
              <w:autoSpaceDN w:val="0"/>
              <w:adjustRightInd w:val="0"/>
              <w:snapToGrid w:val="0"/>
              <w:spacing w:line="360" w:lineRule="auto"/>
              <w:jc w:val="left"/>
              <w:rPr>
                <w:rFonts w:ascii="宋体" w:hAnsi="宋体" w:cs="宋体"/>
                <w:snapToGrid w:val="0"/>
                <w:kern w:val="0"/>
                <w:sz w:val="28"/>
                <w:szCs w:val="28"/>
              </w:rPr>
            </w:pPr>
          </w:p>
        </w:tc>
        <w:tc>
          <w:tcPr>
            <w:tcW w:w="784" w:type="dxa"/>
            <w:vAlign w:val="center"/>
          </w:tcPr>
          <w:p w14:paraId="5CD02C62">
            <w:pPr>
              <w:autoSpaceDE w:val="0"/>
              <w:autoSpaceDN w:val="0"/>
              <w:adjustRightInd w:val="0"/>
              <w:snapToGrid w:val="0"/>
              <w:spacing w:line="360" w:lineRule="auto"/>
              <w:jc w:val="left"/>
              <w:rPr>
                <w:rFonts w:ascii="宋体" w:hAnsi="宋体" w:cs="宋体"/>
                <w:snapToGrid w:val="0"/>
                <w:kern w:val="0"/>
                <w:sz w:val="28"/>
                <w:szCs w:val="28"/>
              </w:rPr>
            </w:pPr>
          </w:p>
        </w:tc>
        <w:tc>
          <w:tcPr>
            <w:tcW w:w="712" w:type="dxa"/>
            <w:vAlign w:val="center"/>
          </w:tcPr>
          <w:p w14:paraId="25B51576">
            <w:pPr>
              <w:autoSpaceDE w:val="0"/>
              <w:autoSpaceDN w:val="0"/>
              <w:adjustRightInd w:val="0"/>
              <w:snapToGrid w:val="0"/>
              <w:spacing w:line="360" w:lineRule="auto"/>
              <w:jc w:val="left"/>
              <w:rPr>
                <w:rFonts w:ascii="宋体" w:hAnsi="宋体" w:cs="宋体"/>
                <w:snapToGrid w:val="0"/>
                <w:kern w:val="0"/>
                <w:sz w:val="28"/>
                <w:szCs w:val="28"/>
              </w:rPr>
            </w:pPr>
          </w:p>
        </w:tc>
        <w:tc>
          <w:tcPr>
            <w:tcW w:w="914" w:type="dxa"/>
            <w:tcBorders>
              <w:right w:val="single" w:color="auto" w:sz="4" w:space="0"/>
            </w:tcBorders>
            <w:vAlign w:val="center"/>
          </w:tcPr>
          <w:p w14:paraId="77D0FC7F">
            <w:pPr>
              <w:autoSpaceDE w:val="0"/>
              <w:autoSpaceDN w:val="0"/>
              <w:adjustRightInd w:val="0"/>
              <w:snapToGrid w:val="0"/>
              <w:spacing w:line="360" w:lineRule="auto"/>
              <w:jc w:val="left"/>
              <w:rPr>
                <w:rFonts w:ascii="宋体" w:hAnsi="宋体" w:cs="宋体"/>
                <w:snapToGrid w:val="0"/>
                <w:kern w:val="0"/>
                <w:sz w:val="28"/>
                <w:szCs w:val="28"/>
              </w:rPr>
            </w:pPr>
          </w:p>
        </w:tc>
        <w:tc>
          <w:tcPr>
            <w:tcW w:w="1212" w:type="dxa"/>
            <w:tcBorders>
              <w:left w:val="single" w:color="auto" w:sz="4" w:space="0"/>
            </w:tcBorders>
            <w:vAlign w:val="center"/>
          </w:tcPr>
          <w:p w14:paraId="58FAD6A4">
            <w:pPr>
              <w:autoSpaceDE w:val="0"/>
              <w:autoSpaceDN w:val="0"/>
              <w:adjustRightInd w:val="0"/>
              <w:snapToGrid w:val="0"/>
              <w:spacing w:line="360" w:lineRule="auto"/>
              <w:jc w:val="left"/>
              <w:rPr>
                <w:rFonts w:ascii="宋体" w:hAnsi="宋体" w:cs="宋体"/>
                <w:snapToGrid w:val="0"/>
                <w:kern w:val="0"/>
                <w:sz w:val="28"/>
                <w:szCs w:val="28"/>
              </w:rPr>
            </w:pPr>
          </w:p>
        </w:tc>
        <w:tc>
          <w:tcPr>
            <w:tcW w:w="982" w:type="dxa"/>
            <w:vAlign w:val="center"/>
          </w:tcPr>
          <w:p w14:paraId="10D8743A">
            <w:pPr>
              <w:autoSpaceDE w:val="0"/>
              <w:autoSpaceDN w:val="0"/>
              <w:adjustRightInd w:val="0"/>
              <w:snapToGrid w:val="0"/>
              <w:spacing w:line="360" w:lineRule="auto"/>
              <w:jc w:val="left"/>
              <w:rPr>
                <w:rFonts w:ascii="宋体" w:hAnsi="宋体" w:cs="宋体"/>
                <w:snapToGrid w:val="0"/>
                <w:kern w:val="0"/>
                <w:sz w:val="28"/>
                <w:szCs w:val="28"/>
              </w:rPr>
            </w:pPr>
          </w:p>
        </w:tc>
        <w:tc>
          <w:tcPr>
            <w:tcW w:w="961" w:type="dxa"/>
            <w:vAlign w:val="center"/>
          </w:tcPr>
          <w:p w14:paraId="589FB99A">
            <w:pPr>
              <w:autoSpaceDE w:val="0"/>
              <w:autoSpaceDN w:val="0"/>
              <w:adjustRightInd w:val="0"/>
              <w:snapToGrid w:val="0"/>
              <w:spacing w:line="360" w:lineRule="auto"/>
              <w:jc w:val="left"/>
              <w:rPr>
                <w:rFonts w:ascii="宋体" w:hAnsi="宋体" w:cs="宋体"/>
                <w:snapToGrid w:val="0"/>
                <w:kern w:val="0"/>
                <w:sz w:val="28"/>
                <w:szCs w:val="28"/>
              </w:rPr>
            </w:pPr>
          </w:p>
        </w:tc>
        <w:tc>
          <w:tcPr>
            <w:tcW w:w="1618" w:type="dxa"/>
            <w:vAlign w:val="center"/>
          </w:tcPr>
          <w:p w14:paraId="5EDD7979">
            <w:pPr>
              <w:autoSpaceDE w:val="0"/>
              <w:autoSpaceDN w:val="0"/>
              <w:adjustRightInd w:val="0"/>
              <w:snapToGrid w:val="0"/>
              <w:spacing w:line="360" w:lineRule="auto"/>
              <w:jc w:val="left"/>
              <w:rPr>
                <w:rFonts w:ascii="宋体" w:hAnsi="宋体" w:cs="宋体"/>
                <w:snapToGrid w:val="0"/>
                <w:kern w:val="0"/>
                <w:sz w:val="28"/>
                <w:szCs w:val="28"/>
              </w:rPr>
            </w:pPr>
          </w:p>
        </w:tc>
      </w:tr>
      <w:tr w14:paraId="4C50CF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23B75508">
            <w:pPr>
              <w:autoSpaceDE w:val="0"/>
              <w:autoSpaceDN w:val="0"/>
              <w:adjustRightInd w:val="0"/>
              <w:snapToGrid w:val="0"/>
              <w:spacing w:line="360" w:lineRule="auto"/>
              <w:jc w:val="left"/>
              <w:rPr>
                <w:rFonts w:ascii="宋体" w:hAnsi="宋体" w:cs="宋体"/>
                <w:snapToGrid w:val="0"/>
                <w:kern w:val="0"/>
                <w:sz w:val="28"/>
                <w:szCs w:val="28"/>
              </w:rPr>
            </w:pPr>
          </w:p>
        </w:tc>
        <w:tc>
          <w:tcPr>
            <w:tcW w:w="708" w:type="dxa"/>
            <w:vAlign w:val="center"/>
          </w:tcPr>
          <w:p w14:paraId="1CE342E2">
            <w:pPr>
              <w:autoSpaceDE w:val="0"/>
              <w:autoSpaceDN w:val="0"/>
              <w:adjustRightInd w:val="0"/>
              <w:snapToGrid w:val="0"/>
              <w:spacing w:line="360" w:lineRule="auto"/>
              <w:jc w:val="left"/>
              <w:rPr>
                <w:rFonts w:ascii="宋体" w:hAnsi="宋体" w:cs="宋体"/>
                <w:snapToGrid w:val="0"/>
                <w:kern w:val="0"/>
                <w:sz w:val="28"/>
                <w:szCs w:val="28"/>
              </w:rPr>
            </w:pPr>
          </w:p>
        </w:tc>
        <w:tc>
          <w:tcPr>
            <w:tcW w:w="784" w:type="dxa"/>
            <w:vAlign w:val="center"/>
          </w:tcPr>
          <w:p w14:paraId="1D22DD20">
            <w:pPr>
              <w:autoSpaceDE w:val="0"/>
              <w:autoSpaceDN w:val="0"/>
              <w:adjustRightInd w:val="0"/>
              <w:snapToGrid w:val="0"/>
              <w:spacing w:line="360" w:lineRule="auto"/>
              <w:jc w:val="left"/>
              <w:rPr>
                <w:rFonts w:ascii="宋体" w:hAnsi="宋体" w:cs="宋体"/>
                <w:snapToGrid w:val="0"/>
                <w:kern w:val="0"/>
                <w:sz w:val="28"/>
                <w:szCs w:val="28"/>
              </w:rPr>
            </w:pPr>
          </w:p>
        </w:tc>
        <w:tc>
          <w:tcPr>
            <w:tcW w:w="712" w:type="dxa"/>
            <w:vAlign w:val="center"/>
          </w:tcPr>
          <w:p w14:paraId="0EDC2025">
            <w:pPr>
              <w:autoSpaceDE w:val="0"/>
              <w:autoSpaceDN w:val="0"/>
              <w:adjustRightInd w:val="0"/>
              <w:snapToGrid w:val="0"/>
              <w:spacing w:line="360" w:lineRule="auto"/>
              <w:jc w:val="left"/>
              <w:rPr>
                <w:rFonts w:ascii="宋体" w:hAnsi="宋体" w:cs="宋体"/>
                <w:snapToGrid w:val="0"/>
                <w:kern w:val="0"/>
                <w:sz w:val="28"/>
                <w:szCs w:val="28"/>
              </w:rPr>
            </w:pPr>
          </w:p>
        </w:tc>
        <w:tc>
          <w:tcPr>
            <w:tcW w:w="914" w:type="dxa"/>
            <w:tcBorders>
              <w:right w:val="single" w:color="auto" w:sz="4" w:space="0"/>
            </w:tcBorders>
            <w:vAlign w:val="center"/>
          </w:tcPr>
          <w:p w14:paraId="6F8F5BC2">
            <w:pPr>
              <w:autoSpaceDE w:val="0"/>
              <w:autoSpaceDN w:val="0"/>
              <w:adjustRightInd w:val="0"/>
              <w:snapToGrid w:val="0"/>
              <w:spacing w:line="360" w:lineRule="auto"/>
              <w:jc w:val="left"/>
              <w:rPr>
                <w:rFonts w:ascii="宋体" w:hAnsi="宋体" w:cs="宋体"/>
                <w:snapToGrid w:val="0"/>
                <w:kern w:val="0"/>
                <w:sz w:val="28"/>
                <w:szCs w:val="28"/>
              </w:rPr>
            </w:pPr>
          </w:p>
        </w:tc>
        <w:tc>
          <w:tcPr>
            <w:tcW w:w="1212" w:type="dxa"/>
            <w:tcBorders>
              <w:left w:val="single" w:color="auto" w:sz="4" w:space="0"/>
            </w:tcBorders>
            <w:vAlign w:val="center"/>
          </w:tcPr>
          <w:p w14:paraId="29E02585">
            <w:pPr>
              <w:autoSpaceDE w:val="0"/>
              <w:autoSpaceDN w:val="0"/>
              <w:adjustRightInd w:val="0"/>
              <w:snapToGrid w:val="0"/>
              <w:spacing w:line="360" w:lineRule="auto"/>
              <w:jc w:val="left"/>
              <w:rPr>
                <w:rFonts w:ascii="宋体" w:hAnsi="宋体" w:cs="宋体"/>
                <w:snapToGrid w:val="0"/>
                <w:kern w:val="0"/>
                <w:sz w:val="28"/>
                <w:szCs w:val="28"/>
              </w:rPr>
            </w:pPr>
          </w:p>
        </w:tc>
        <w:tc>
          <w:tcPr>
            <w:tcW w:w="982" w:type="dxa"/>
            <w:vAlign w:val="center"/>
          </w:tcPr>
          <w:p w14:paraId="4EF9708E">
            <w:pPr>
              <w:autoSpaceDE w:val="0"/>
              <w:autoSpaceDN w:val="0"/>
              <w:adjustRightInd w:val="0"/>
              <w:snapToGrid w:val="0"/>
              <w:spacing w:line="360" w:lineRule="auto"/>
              <w:jc w:val="left"/>
              <w:rPr>
                <w:rFonts w:ascii="宋体" w:hAnsi="宋体" w:cs="宋体"/>
                <w:snapToGrid w:val="0"/>
                <w:kern w:val="0"/>
                <w:sz w:val="28"/>
                <w:szCs w:val="28"/>
              </w:rPr>
            </w:pPr>
          </w:p>
        </w:tc>
        <w:tc>
          <w:tcPr>
            <w:tcW w:w="961" w:type="dxa"/>
            <w:vAlign w:val="center"/>
          </w:tcPr>
          <w:p w14:paraId="397B2648">
            <w:pPr>
              <w:autoSpaceDE w:val="0"/>
              <w:autoSpaceDN w:val="0"/>
              <w:adjustRightInd w:val="0"/>
              <w:snapToGrid w:val="0"/>
              <w:spacing w:line="360" w:lineRule="auto"/>
              <w:jc w:val="left"/>
              <w:rPr>
                <w:rFonts w:ascii="宋体" w:hAnsi="宋体" w:cs="宋体"/>
                <w:snapToGrid w:val="0"/>
                <w:kern w:val="0"/>
                <w:sz w:val="28"/>
                <w:szCs w:val="28"/>
              </w:rPr>
            </w:pPr>
          </w:p>
        </w:tc>
        <w:tc>
          <w:tcPr>
            <w:tcW w:w="1618" w:type="dxa"/>
            <w:vAlign w:val="center"/>
          </w:tcPr>
          <w:p w14:paraId="625E5925">
            <w:pPr>
              <w:autoSpaceDE w:val="0"/>
              <w:autoSpaceDN w:val="0"/>
              <w:adjustRightInd w:val="0"/>
              <w:snapToGrid w:val="0"/>
              <w:spacing w:line="360" w:lineRule="auto"/>
              <w:jc w:val="left"/>
              <w:rPr>
                <w:rFonts w:ascii="宋体" w:hAnsi="宋体" w:cs="宋体"/>
                <w:snapToGrid w:val="0"/>
                <w:kern w:val="0"/>
                <w:sz w:val="28"/>
                <w:szCs w:val="28"/>
              </w:rPr>
            </w:pPr>
          </w:p>
        </w:tc>
      </w:tr>
      <w:tr w14:paraId="382107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6FBE9CEE">
            <w:pPr>
              <w:autoSpaceDE w:val="0"/>
              <w:autoSpaceDN w:val="0"/>
              <w:adjustRightInd w:val="0"/>
              <w:snapToGrid w:val="0"/>
              <w:spacing w:line="360" w:lineRule="auto"/>
              <w:jc w:val="left"/>
              <w:rPr>
                <w:rFonts w:ascii="宋体" w:hAnsi="宋体" w:cs="宋体"/>
                <w:snapToGrid w:val="0"/>
                <w:kern w:val="0"/>
                <w:sz w:val="28"/>
                <w:szCs w:val="28"/>
              </w:rPr>
            </w:pPr>
          </w:p>
        </w:tc>
        <w:tc>
          <w:tcPr>
            <w:tcW w:w="708" w:type="dxa"/>
            <w:vAlign w:val="center"/>
          </w:tcPr>
          <w:p w14:paraId="47AF45C9">
            <w:pPr>
              <w:autoSpaceDE w:val="0"/>
              <w:autoSpaceDN w:val="0"/>
              <w:adjustRightInd w:val="0"/>
              <w:snapToGrid w:val="0"/>
              <w:spacing w:line="360" w:lineRule="auto"/>
              <w:jc w:val="left"/>
              <w:rPr>
                <w:rFonts w:ascii="宋体" w:hAnsi="宋体" w:cs="宋体"/>
                <w:snapToGrid w:val="0"/>
                <w:kern w:val="0"/>
                <w:sz w:val="28"/>
                <w:szCs w:val="28"/>
              </w:rPr>
            </w:pPr>
          </w:p>
        </w:tc>
        <w:tc>
          <w:tcPr>
            <w:tcW w:w="784" w:type="dxa"/>
            <w:vAlign w:val="center"/>
          </w:tcPr>
          <w:p w14:paraId="785289C9">
            <w:pPr>
              <w:autoSpaceDE w:val="0"/>
              <w:autoSpaceDN w:val="0"/>
              <w:adjustRightInd w:val="0"/>
              <w:snapToGrid w:val="0"/>
              <w:spacing w:line="360" w:lineRule="auto"/>
              <w:jc w:val="left"/>
              <w:rPr>
                <w:rFonts w:ascii="宋体" w:hAnsi="宋体" w:cs="宋体"/>
                <w:snapToGrid w:val="0"/>
                <w:kern w:val="0"/>
                <w:sz w:val="28"/>
                <w:szCs w:val="28"/>
              </w:rPr>
            </w:pPr>
          </w:p>
        </w:tc>
        <w:tc>
          <w:tcPr>
            <w:tcW w:w="712" w:type="dxa"/>
            <w:vAlign w:val="center"/>
          </w:tcPr>
          <w:p w14:paraId="4999F6E4">
            <w:pPr>
              <w:autoSpaceDE w:val="0"/>
              <w:autoSpaceDN w:val="0"/>
              <w:adjustRightInd w:val="0"/>
              <w:snapToGrid w:val="0"/>
              <w:spacing w:line="360" w:lineRule="auto"/>
              <w:jc w:val="left"/>
              <w:rPr>
                <w:rFonts w:ascii="宋体" w:hAnsi="宋体" w:cs="宋体"/>
                <w:snapToGrid w:val="0"/>
                <w:kern w:val="0"/>
                <w:sz w:val="28"/>
                <w:szCs w:val="28"/>
              </w:rPr>
            </w:pPr>
          </w:p>
        </w:tc>
        <w:tc>
          <w:tcPr>
            <w:tcW w:w="914" w:type="dxa"/>
            <w:tcBorders>
              <w:right w:val="single" w:color="auto" w:sz="4" w:space="0"/>
            </w:tcBorders>
            <w:vAlign w:val="center"/>
          </w:tcPr>
          <w:p w14:paraId="3A87D6A4">
            <w:pPr>
              <w:autoSpaceDE w:val="0"/>
              <w:autoSpaceDN w:val="0"/>
              <w:adjustRightInd w:val="0"/>
              <w:snapToGrid w:val="0"/>
              <w:spacing w:line="360" w:lineRule="auto"/>
              <w:jc w:val="left"/>
              <w:rPr>
                <w:rFonts w:ascii="宋体" w:hAnsi="宋体" w:cs="宋体"/>
                <w:snapToGrid w:val="0"/>
                <w:kern w:val="0"/>
                <w:sz w:val="28"/>
                <w:szCs w:val="28"/>
              </w:rPr>
            </w:pPr>
          </w:p>
        </w:tc>
        <w:tc>
          <w:tcPr>
            <w:tcW w:w="1212" w:type="dxa"/>
            <w:tcBorders>
              <w:left w:val="single" w:color="auto" w:sz="4" w:space="0"/>
            </w:tcBorders>
            <w:vAlign w:val="center"/>
          </w:tcPr>
          <w:p w14:paraId="3B45A88F">
            <w:pPr>
              <w:autoSpaceDE w:val="0"/>
              <w:autoSpaceDN w:val="0"/>
              <w:adjustRightInd w:val="0"/>
              <w:snapToGrid w:val="0"/>
              <w:spacing w:line="360" w:lineRule="auto"/>
              <w:jc w:val="left"/>
              <w:rPr>
                <w:rFonts w:ascii="宋体" w:hAnsi="宋体" w:cs="宋体"/>
                <w:snapToGrid w:val="0"/>
                <w:kern w:val="0"/>
                <w:sz w:val="28"/>
                <w:szCs w:val="28"/>
              </w:rPr>
            </w:pPr>
          </w:p>
        </w:tc>
        <w:tc>
          <w:tcPr>
            <w:tcW w:w="982" w:type="dxa"/>
            <w:vAlign w:val="center"/>
          </w:tcPr>
          <w:p w14:paraId="0C839556">
            <w:pPr>
              <w:autoSpaceDE w:val="0"/>
              <w:autoSpaceDN w:val="0"/>
              <w:adjustRightInd w:val="0"/>
              <w:snapToGrid w:val="0"/>
              <w:spacing w:line="360" w:lineRule="auto"/>
              <w:jc w:val="left"/>
              <w:rPr>
                <w:rFonts w:ascii="宋体" w:hAnsi="宋体" w:cs="宋体"/>
                <w:snapToGrid w:val="0"/>
                <w:kern w:val="0"/>
                <w:sz w:val="28"/>
                <w:szCs w:val="28"/>
              </w:rPr>
            </w:pPr>
          </w:p>
        </w:tc>
        <w:tc>
          <w:tcPr>
            <w:tcW w:w="961" w:type="dxa"/>
            <w:vAlign w:val="center"/>
          </w:tcPr>
          <w:p w14:paraId="5CB0987A">
            <w:pPr>
              <w:autoSpaceDE w:val="0"/>
              <w:autoSpaceDN w:val="0"/>
              <w:adjustRightInd w:val="0"/>
              <w:snapToGrid w:val="0"/>
              <w:spacing w:line="360" w:lineRule="auto"/>
              <w:jc w:val="left"/>
              <w:rPr>
                <w:rFonts w:ascii="宋体" w:hAnsi="宋体" w:cs="宋体"/>
                <w:snapToGrid w:val="0"/>
                <w:kern w:val="0"/>
                <w:sz w:val="28"/>
                <w:szCs w:val="28"/>
              </w:rPr>
            </w:pPr>
          </w:p>
        </w:tc>
        <w:tc>
          <w:tcPr>
            <w:tcW w:w="1618" w:type="dxa"/>
            <w:vAlign w:val="center"/>
          </w:tcPr>
          <w:p w14:paraId="4559A570">
            <w:pPr>
              <w:autoSpaceDE w:val="0"/>
              <w:autoSpaceDN w:val="0"/>
              <w:adjustRightInd w:val="0"/>
              <w:snapToGrid w:val="0"/>
              <w:spacing w:line="360" w:lineRule="auto"/>
              <w:jc w:val="left"/>
              <w:rPr>
                <w:rFonts w:ascii="宋体" w:hAnsi="宋体" w:cs="宋体"/>
                <w:snapToGrid w:val="0"/>
                <w:kern w:val="0"/>
                <w:sz w:val="28"/>
                <w:szCs w:val="28"/>
              </w:rPr>
            </w:pPr>
          </w:p>
        </w:tc>
      </w:tr>
      <w:tr w14:paraId="520FE4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01" w:hRule="exact"/>
          <w:jc w:val="center"/>
        </w:trPr>
        <w:tc>
          <w:tcPr>
            <w:tcW w:w="427" w:type="dxa"/>
            <w:vAlign w:val="center"/>
          </w:tcPr>
          <w:p w14:paraId="410A3955">
            <w:pPr>
              <w:autoSpaceDE w:val="0"/>
              <w:autoSpaceDN w:val="0"/>
              <w:adjustRightInd w:val="0"/>
              <w:snapToGrid w:val="0"/>
              <w:spacing w:line="360" w:lineRule="auto"/>
              <w:jc w:val="left"/>
              <w:rPr>
                <w:rFonts w:ascii="宋体" w:hAnsi="宋体" w:cs="宋体"/>
                <w:snapToGrid w:val="0"/>
                <w:kern w:val="0"/>
                <w:sz w:val="28"/>
                <w:szCs w:val="28"/>
              </w:rPr>
            </w:pPr>
          </w:p>
        </w:tc>
        <w:tc>
          <w:tcPr>
            <w:tcW w:w="708" w:type="dxa"/>
            <w:vAlign w:val="center"/>
          </w:tcPr>
          <w:p w14:paraId="38646B9C">
            <w:pPr>
              <w:autoSpaceDE w:val="0"/>
              <w:autoSpaceDN w:val="0"/>
              <w:adjustRightInd w:val="0"/>
              <w:snapToGrid w:val="0"/>
              <w:spacing w:line="360" w:lineRule="auto"/>
              <w:jc w:val="left"/>
              <w:rPr>
                <w:rFonts w:ascii="宋体" w:hAnsi="宋体" w:cs="宋体"/>
                <w:snapToGrid w:val="0"/>
                <w:kern w:val="0"/>
                <w:sz w:val="28"/>
                <w:szCs w:val="28"/>
              </w:rPr>
            </w:pPr>
          </w:p>
        </w:tc>
        <w:tc>
          <w:tcPr>
            <w:tcW w:w="784" w:type="dxa"/>
            <w:vAlign w:val="center"/>
          </w:tcPr>
          <w:p w14:paraId="1C197A3B">
            <w:pPr>
              <w:autoSpaceDE w:val="0"/>
              <w:autoSpaceDN w:val="0"/>
              <w:adjustRightInd w:val="0"/>
              <w:snapToGrid w:val="0"/>
              <w:spacing w:line="360" w:lineRule="auto"/>
              <w:jc w:val="left"/>
              <w:rPr>
                <w:rFonts w:ascii="宋体" w:hAnsi="宋体" w:cs="宋体"/>
                <w:snapToGrid w:val="0"/>
                <w:kern w:val="0"/>
                <w:sz w:val="28"/>
                <w:szCs w:val="28"/>
              </w:rPr>
            </w:pPr>
          </w:p>
        </w:tc>
        <w:tc>
          <w:tcPr>
            <w:tcW w:w="712" w:type="dxa"/>
            <w:vAlign w:val="center"/>
          </w:tcPr>
          <w:p w14:paraId="6A450238">
            <w:pPr>
              <w:autoSpaceDE w:val="0"/>
              <w:autoSpaceDN w:val="0"/>
              <w:adjustRightInd w:val="0"/>
              <w:snapToGrid w:val="0"/>
              <w:spacing w:line="360" w:lineRule="auto"/>
              <w:jc w:val="left"/>
              <w:rPr>
                <w:rFonts w:ascii="宋体" w:hAnsi="宋体" w:cs="宋体"/>
                <w:snapToGrid w:val="0"/>
                <w:kern w:val="0"/>
                <w:sz w:val="28"/>
                <w:szCs w:val="28"/>
              </w:rPr>
            </w:pPr>
          </w:p>
        </w:tc>
        <w:tc>
          <w:tcPr>
            <w:tcW w:w="914" w:type="dxa"/>
            <w:tcBorders>
              <w:right w:val="single" w:color="auto" w:sz="4" w:space="0"/>
            </w:tcBorders>
            <w:vAlign w:val="center"/>
          </w:tcPr>
          <w:p w14:paraId="41155573">
            <w:pPr>
              <w:autoSpaceDE w:val="0"/>
              <w:autoSpaceDN w:val="0"/>
              <w:adjustRightInd w:val="0"/>
              <w:snapToGrid w:val="0"/>
              <w:spacing w:line="360" w:lineRule="auto"/>
              <w:jc w:val="left"/>
              <w:rPr>
                <w:rFonts w:ascii="宋体" w:hAnsi="宋体" w:cs="宋体"/>
                <w:snapToGrid w:val="0"/>
                <w:kern w:val="0"/>
                <w:sz w:val="28"/>
                <w:szCs w:val="28"/>
              </w:rPr>
            </w:pPr>
          </w:p>
        </w:tc>
        <w:tc>
          <w:tcPr>
            <w:tcW w:w="1212" w:type="dxa"/>
            <w:tcBorders>
              <w:left w:val="single" w:color="auto" w:sz="4" w:space="0"/>
            </w:tcBorders>
            <w:vAlign w:val="center"/>
          </w:tcPr>
          <w:p w14:paraId="366FFD37">
            <w:pPr>
              <w:autoSpaceDE w:val="0"/>
              <w:autoSpaceDN w:val="0"/>
              <w:adjustRightInd w:val="0"/>
              <w:snapToGrid w:val="0"/>
              <w:spacing w:line="360" w:lineRule="auto"/>
              <w:jc w:val="left"/>
              <w:rPr>
                <w:rFonts w:ascii="宋体" w:hAnsi="宋体" w:cs="宋体"/>
                <w:snapToGrid w:val="0"/>
                <w:kern w:val="0"/>
                <w:sz w:val="28"/>
                <w:szCs w:val="28"/>
              </w:rPr>
            </w:pPr>
          </w:p>
        </w:tc>
        <w:tc>
          <w:tcPr>
            <w:tcW w:w="982" w:type="dxa"/>
            <w:vAlign w:val="center"/>
          </w:tcPr>
          <w:p w14:paraId="5AF28EA3">
            <w:pPr>
              <w:autoSpaceDE w:val="0"/>
              <w:autoSpaceDN w:val="0"/>
              <w:adjustRightInd w:val="0"/>
              <w:snapToGrid w:val="0"/>
              <w:spacing w:line="360" w:lineRule="auto"/>
              <w:jc w:val="left"/>
              <w:rPr>
                <w:rFonts w:ascii="宋体" w:hAnsi="宋体" w:cs="宋体"/>
                <w:snapToGrid w:val="0"/>
                <w:kern w:val="0"/>
                <w:sz w:val="28"/>
                <w:szCs w:val="28"/>
              </w:rPr>
            </w:pPr>
          </w:p>
        </w:tc>
        <w:tc>
          <w:tcPr>
            <w:tcW w:w="961" w:type="dxa"/>
            <w:vAlign w:val="center"/>
          </w:tcPr>
          <w:p w14:paraId="3E2721BE">
            <w:pPr>
              <w:autoSpaceDE w:val="0"/>
              <w:autoSpaceDN w:val="0"/>
              <w:adjustRightInd w:val="0"/>
              <w:snapToGrid w:val="0"/>
              <w:spacing w:line="360" w:lineRule="auto"/>
              <w:jc w:val="left"/>
              <w:rPr>
                <w:rFonts w:ascii="宋体" w:hAnsi="宋体" w:cs="宋体"/>
                <w:snapToGrid w:val="0"/>
                <w:kern w:val="0"/>
                <w:sz w:val="28"/>
                <w:szCs w:val="28"/>
              </w:rPr>
            </w:pPr>
          </w:p>
        </w:tc>
        <w:tc>
          <w:tcPr>
            <w:tcW w:w="1618" w:type="dxa"/>
            <w:vAlign w:val="center"/>
          </w:tcPr>
          <w:p w14:paraId="10E5AE45">
            <w:pPr>
              <w:autoSpaceDE w:val="0"/>
              <w:autoSpaceDN w:val="0"/>
              <w:adjustRightInd w:val="0"/>
              <w:snapToGrid w:val="0"/>
              <w:spacing w:line="360" w:lineRule="auto"/>
              <w:jc w:val="left"/>
              <w:rPr>
                <w:rFonts w:ascii="宋体" w:hAnsi="宋体" w:cs="宋体"/>
                <w:snapToGrid w:val="0"/>
                <w:kern w:val="0"/>
                <w:sz w:val="28"/>
                <w:szCs w:val="28"/>
              </w:rPr>
            </w:pPr>
          </w:p>
        </w:tc>
      </w:tr>
      <w:tr w14:paraId="51F08A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919" w:type="dxa"/>
            <w:gridSpan w:val="3"/>
            <w:vAlign w:val="center"/>
          </w:tcPr>
          <w:p w14:paraId="0A17F52F">
            <w:pPr>
              <w:autoSpaceDE w:val="0"/>
              <w:autoSpaceDN w:val="0"/>
              <w:adjustRightInd w:val="0"/>
              <w:snapToGrid w:val="0"/>
              <w:spacing w:line="360" w:lineRule="auto"/>
              <w:jc w:val="center"/>
              <w:rPr>
                <w:rFonts w:ascii="宋体" w:hAnsi="宋体" w:cs="宋体"/>
                <w:snapToGrid w:val="0"/>
                <w:kern w:val="0"/>
                <w:sz w:val="28"/>
                <w:szCs w:val="28"/>
              </w:rPr>
            </w:pPr>
            <w:r>
              <w:rPr>
                <w:rFonts w:hint="eastAsia" w:ascii="宋体" w:hAnsi="宋体" w:cs="宋体"/>
                <w:snapToGrid w:val="0"/>
                <w:kern w:val="0"/>
                <w:sz w:val="28"/>
                <w:szCs w:val="28"/>
              </w:rPr>
              <w:t>最高限价</w:t>
            </w:r>
          </w:p>
        </w:tc>
        <w:tc>
          <w:tcPr>
            <w:tcW w:w="6453" w:type="dxa"/>
            <w:gridSpan w:val="7"/>
            <w:vAlign w:val="center"/>
          </w:tcPr>
          <w:p w14:paraId="27E38159">
            <w:pPr>
              <w:autoSpaceDE w:val="0"/>
              <w:autoSpaceDN w:val="0"/>
              <w:adjustRightInd w:val="0"/>
              <w:snapToGrid w:val="0"/>
              <w:spacing w:line="360" w:lineRule="auto"/>
              <w:jc w:val="left"/>
              <w:rPr>
                <w:rFonts w:ascii="宋体" w:hAnsi="宋体" w:cs="宋体"/>
                <w:snapToGrid w:val="0"/>
                <w:kern w:val="0"/>
                <w:sz w:val="28"/>
                <w:szCs w:val="28"/>
              </w:rPr>
            </w:pPr>
          </w:p>
        </w:tc>
      </w:tr>
    </w:tbl>
    <w:p w14:paraId="3F90D922">
      <w:pPr>
        <w:tabs>
          <w:tab w:val="left" w:pos="2740"/>
          <w:tab w:val="left" w:pos="4940"/>
          <w:tab w:val="left" w:pos="7140"/>
        </w:tabs>
        <w:autoSpaceDE w:val="0"/>
        <w:autoSpaceDN w:val="0"/>
        <w:adjustRightInd w:val="0"/>
        <w:snapToGrid w:val="0"/>
        <w:spacing w:line="360" w:lineRule="auto"/>
        <w:jc w:val="left"/>
        <w:rPr>
          <w:rFonts w:ascii="宋体" w:hAnsi="宋体" w:cs="宋体"/>
          <w:snapToGrid w:val="0"/>
          <w:kern w:val="0"/>
          <w:szCs w:val="21"/>
        </w:rPr>
      </w:pPr>
    </w:p>
    <w:p w14:paraId="067BC6D5">
      <w:pPr>
        <w:tabs>
          <w:tab w:val="left" w:pos="2740"/>
          <w:tab w:val="left" w:pos="4940"/>
          <w:tab w:val="left" w:pos="6930"/>
        </w:tabs>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比选人代表：</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rPr>
        <w:t>记录人：</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rPr>
        <w:t xml:space="preserve"> 监督人员：</w:t>
      </w:r>
      <w:r>
        <w:rPr>
          <w:rFonts w:hint="eastAsia" w:ascii="宋体" w:hAnsi="宋体" w:cs="宋体"/>
          <w:snapToGrid w:val="0"/>
          <w:w w:val="200"/>
          <w:kern w:val="0"/>
          <w:szCs w:val="21"/>
          <w:u w:val="single"/>
        </w:rPr>
        <w:t xml:space="preserve">          </w:t>
      </w:r>
    </w:p>
    <w:p w14:paraId="5CA109AC">
      <w:pPr>
        <w:autoSpaceDE w:val="0"/>
        <w:autoSpaceDN w:val="0"/>
        <w:adjustRightInd w:val="0"/>
        <w:snapToGrid w:val="0"/>
        <w:spacing w:before="62" w:beforeLines="20" w:line="360" w:lineRule="auto"/>
        <w:jc w:val="right"/>
        <w:rPr>
          <w:rFonts w:ascii="宋体" w:hAnsi="宋体" w:cs="宋体"/>
          <w:snapToGrid w:val="0"/>
          <w:kern w:val="0"/>
          <w:sz w:val="24"/>
        </w:rPr>
      </w:pPr>
      <w:r>
        <w:rPr>
          <w:rFonts w:hint="eastAsia" w:ascii="宋体" w:hAnsi="宋体" w:cs="宋体"/>
          <w:snapToGrid w:val="0"/>
          <w:kern w:val="0"/>
          <w:sz w:val="24"/>
        </w:rPr>
        <w:t xml:space="preserve">                                       </w:t>
      </w:r>
      <w:r>
        <w:rPr>
          <w:rFonts w:hint="eastAsia" w:ascii="宋体" w:hAnsi="宋体" w:cs="宋体"/>
          <w:snapToGrid w:val="0"/>
          <w:kern w:val="0"/>
          <w:sz w:val="24"/>
          <w:u w:val="single"/>
        </w:rPr>
        <w:t xml:space="preserve">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p>
    <w:p w14:paraId="16D62EA8">
      <w:pPr>
        <w:autoSpaceDE w:val="0"/>
        <w:autoSpaceDN w:val="0"/>
        <w:adjustRightInd w:val="0"/>
        <w:snapToGrid w:val="0"/>
        <w:spacing w:line="360" w:lineRule="auto"/>
        <w:jc w:val="left"/>
        <w:rPr>
          <w:rFonts w:ascii="宋体" w:hAnsi="宋体" w:cs="宋体"/>
          <w:b/>
          <w:snapToGrid w:val="0"/>
          <w:kern w:val="0"/>
        </w:rPr>
      </w:pPr>
    </w:p>
    <w:p w14:paraId="7294242E">
      <w:pPr>
        <w:autoSpaceDE w:val="0"/>
        <w:autoSpaceDN w:val="0"/>
        <w:adjustRightInd w:val="0"/>
        <w:snapToGrid w:val="0"/>
        <w:spacing w:line="360" w:lineRule="auto"/>
        <w:jc w:val="left"/>
        <w:rPr>
          <w:rFonts w:ascii="宋体" w:hAnsi="宋体" w:cs="宋体"/>
          <w:b/>
          <w:snapToGrid w:val="0"/>
          <w:kern w:val="0"/>
        </w:rPr>
      </w:pPr>
    </w:p>
    <w:p w14:paraId="171A7BB3">
      <w:pPr>
        <w:pStyle w:val="8"/>
      </w:pPr>
    </w:p>
    <w:p w14:paraId="3AE7C737">
      <w:pPr>
        <w:autoSpaceDE w:val="0"/>
        <w:autoSpaceDN w:val="0"/>
        <w:adjustRightInd w:val="0"/>
        <w:snapToGrid w:val="0"/>
        <w:spacing w:line="360" w:lineRule="auto"/>
        <w:jc w:val="left"/>
        <w:rPr>
          <w:rFonts w:ascii="宋体" w:hAnsi="宋体" w:cs="宋体"/>
          <w:b/>
          <w:snapToGrid w:val="0"/>
          <w:kern w:val="0"/>
        </w:rPr>
      </w:pPr>
    </w:p>
    <w:p w14:paraId="37AFB707">
      <w:pPr>
        <w:autoSpaceDE w:val="0"/>
        <w:autoSpaceDN w:val="0"/>
        <w:adjustRightInd w:val="0"/>
        <w:snapToGrid w:val="0"/>
        <w:spacing w:line="360" w:lineRule="auto"/>
        <w:jc w:val="left"/>
        <w:outlineLvl w:val="2"/>
        <w:rPr>
          <w:rFonts w:ascii="宋体" w:hAnsi="宋体" w:cs="宋体"/>
          <w:b/>
          <w:snapToGrid w:val="0"/>
          <w:kern w:val="0"/>
        </w:rPr>
      </w:pPr>
      <w:r>
        <w:rPr>
          <w:rFonts w:hint="eastAsia" w:ascii="宋体" w:hAnsi="宋体" w:cs="宋体"/>
          <w:b/>
          <w:snapToGrid w:val="0"/>
          <w:kern w:val="0"/>
        </w:rPr>
        <w:t>附表二：问题澄清通知</w:t>
      </w:r>
    </w:p>
    <w:p w14:paraId="0B8376C5">
      <w:pPr>
        <w:autoSpaceDE w:val="0"/>
        <w:autoSpaceDN w:val="0"/>
        <w:adjustRightInd w:val="0"/>
        <w:snapToGrid w:val="0"/>
        <w:spacing w:line="360" w:lineRule="auto"/>
        <w:jc w:val="left"/>
        <w:rPr>
          <w:rFonts w:ascii="宋体" w:hAnsi="宋体" w:cs="宋体"/>
          <w:b/>
          <w:snapToGrid w:val="0"/>
          <w:kern w:val="0"/>
          <w:sz w:val="24"/>
        </w:rPr>
      </w:pPr>
    </w:p>
    <w:p w14:paraId="32E3FF59">
      <w:pPr>
        <w:autoSpaceDE w:val="0"/>
        <w:autoSpaceDN w:val="0"/>
        <w:adjustRightInd w:val="0"/>
        <w:snapToGrid w:val="0"/>
        <w:spacing w:line="360" w:lineRule="auto"/>
        <w:jc w:val="center"/>
        <w:rPr>
          <w:rFonts w:ascii="宋体" w:hAnsi="宋体" w:cs="宋体"/>
          <w:b/>
          <w:snapToGrid w:val="0"/>
          <w:w w:val="99"/>
          <w:kern w:val="0"/>
          <w:sz w:val="32"/>
          <w:szCs w:val="32"/>
        </w:rPr>
      </w:pPr>
      <w:r>
        <w:rPr>
          <w:rFonts w:hint="eastAsia" w:ascii="宋体" w:hAnsi="宋体" w:cs="宋体"/>
          <w:b/>
          <w:snapToGrid w:val="0"/>
          <w:w w:val="99"/>
          <w:kern w:val="0"/>
          <w:sz w:val="32"/>
          <w:szCs w:val="32"/>
        </w:rPr>
        <w:t>问题澄清通知</w:t>
      </w:r>
    </w:p>
    <w:p w14:paraId="16BF862C">
      <w:pPr>
        <w:autoSpaceDE w:val="0"/>
        <w:autoSpaceDN w:val="0"/>
        <w:adjustRightInd w:val="0"/>
        <w:snapToGrid w:val="0"/>
        <w:spacing w:line="360" w:lineRule="auto"/>
        <w:jc w:val="left"/>
        <w:rPr>
          <w:rFonts w:ascii="宋体" w:hAnsi="宋体" w:cs="宋体"/>
          <w:b/>
          <w:snapToGrid w:val="0"/>
          <w:kern w:val="0"/>
          <w:sz w:val="24"/>
        </w:rPr>
      </w:pPr>
    </w:p>
    <w:p w14:paraId="7604654C">
      <w:pPr>
        <w:autoSpaceDE w:val="0"/>
        <w:autoSpaceDN w:val="0"/>
        <w:adjustRightInd w:val="0"/>
        <w:snapToGrid w:val="0"/>
        <w:spacing w:line="360" w:lineRule="auto"/>
        <w:ind w:firstLine="3255" w:firstLineChars="1550"/>
        <w:jc w:val="left"/>
        <w:rPr>
          <w:rFonts w:ascii="宋体" w:hAnsi="宋体" w:cs="宋体"/>
          <w:snapToGrid w:val="0"/>
          <w:kern w:val="0"/>
          <w:szCs w:val="21"/>
          <w:u w:val="single"/>
        </w:rPr>
      </w:pPr>
      <w:r>
        <w:rPr>
          <w:rFonts w:hint="eastAsia" w:ascii="宋体" w:hAnsi="宋体" w:cs="宋体"/>
          <w:snapToGrid w:val="0"/>
          <w:kern w:val="0"/>
          <w:szCs w:val="21"/>
        </w:rPr>
        <w:t>编号：</w:t>
      </w:r>
      <w:r>
        <w:rPr>
          <w:rFonts w:hint="eastAsia" w:ascii="宋体" w:hAnsi="宋体" w:cs="宋体"/>
          <w:snapToGrid w:val="0"/>
          <w:kern w:val="0"/>
          <w:szCs w:val="21"/>
          <w:u w:val="single"/>
        </w:rPr>
        <w:t xml:space="preserve">                     </w:t>
      </w:r>
    </w:p>
    <w:p w14:paraId="6AA19AEF">
      <w:pPr>
        <w:autoSpaceDE w:val="0"/>
        <w:autoSpaceDN w:val="0"/>
        <w:adjustRightInd w:val="0"/>
        <w:snapToGrid w:val="0"/>
        <w:spacing w:line="360" w:lineRule="auto"/>
        <w:jc w:val="left"/>
        <w:rPr>
          <w:rFonts w:ascii="宋体" w:hAnsi="宋体" w:cs="宋体"/>
          <w:b/>
          <w:snapToGrid w:val="0"/>
          <w:kern w:val="0"/>
          <w:sz w:val="24"/>
        </w:rPr>
      </w:pPr>
    </w:p>
    <w:p w14:paraId="22AD5BA9">
      <w:pPr>
        <w:autoSpaceDE w:val="0"/>
        <w:autoSpaceDN w:val="0"/>
        <w:adjustRightInd w:val="0"/>
        <w:snapToGrid w:val="0"/>
        <w:spacing w:line="360" w:lineRule="auto"/>
        <w:ind w:firstLine="140" w:firstLineChars="50"/>
        <w:rPr>
          <w:rFonts w:ascii="宋体" w:hAnsi="宋体" w:cs="宋体"/>
          <w:snapToGrid w:val="0"/>
          <w:kern w:val="0"/>
          <w:sz w:val="28"/>
          <w:szCs w:val="28"/>
        </w:rPr>
      </w:pPr>
    </w:p>
    <w:p w14:paraId="7A40E2C6">
      <w:pPr>
        <w:tabs>
          <w:tab w:val="left" w:pos="1580"/>
        </w:tabs>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rPr>
        <w:t>（竞选人名称）：</w:t>
      </w:r>
    </w:p>
    <w:p w14:paraId="098FF97B">
      <w:pPr>
        <w:tabs>
          <w:tab w:val="left" w:pos="2320"/>
        </w:tabs>
        <w:autoSpaceDE w:val="0"/>
        <w:autoSpaceDN w:val="0"/>
        <w:adjustRightInd w:val="0"/>
        <w:snapToGrid w:val="0"/>
        <w:spacing w:line="360" w:lineRule="auto"/>
        <w:ind w:firstLine="424" w:firstLineChars="101"/>
        <w:jc w:val="left"/>
        <w:rPr>
          <w:rFonts w:ascii="宋体" w:hAnsi="宋体" w:cs="宋体"/>
          <w:snapToGrid w:val="0"/>
          <w:kern w:val="0"/>
          <w:szCs w:val="21"/>
        </w:rPr>
      </w:pP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rPr>
        <w:t>（项目名称）区域</w:t>
      </w:r>
      <w:r>
        <w:rPr>
          <w:rFonts w:hint="eastAsia" w:ascii="宋体" w:hAnsi="宋体" w:cs="宋体"/>
          <w:snapToGrid w:val="0"/>
          <w:kern w:val="0"/>
          <w:szCs w:val="21"/>
          <w:u w:val="single"/>
        </w:rPr>
        <w:t xml:space="preserve">   </w:t>
      </w:r>
      <w:r>
        <w:rPr>
          <w:rFonts w:hint="eastAsia" w:ascii="宋体" w:hAnsi="宋体" w:cs="宋体"/>
          <w:snapToGrid w:val="0"/>
          <w:kern w:val="0"/>
          <w:szCs w:val="21"/>
        </w:rPr>
        <w:t>的评选委员会，对你方的竞选文件进行了仔细的审查，现需你方对下列问题以书面形式予以澄清：</w:t>
      </w:r>
    </w:p>
    <w:p w14:paraId="14B231E2">
      <w:pPr>
        <w:autoSpaceDE w:val="0"/>
        <w:autoSpaceDN w:val="0"/>
        <w:adjustRightInd w:val="0"/>
        <w:snapToGrid w:val="0"/>
        <w:spacing w:line="360" w:lineRule="auto"/>
        <w:jc w:val="left"/>
        <w:rPr>
          <w:rFonts w:ascii="宋体" w:hAnsi="宋体" w:cs="宋体"/>
          <w:snapToGrid w:val="0"/>
          <w:kern w:val="0"/>
          <w:sz w:val="24"/>
        </w:rPr>
      </w:pPr>
    </w:p>
    <w:p w14:paraId="63643CEE">
      <w:pPr>
        <w:autoSpaceDE w:val="0"/>
        <w:autoSpaceDN w:val="0"/>
        <w:adjustRightInd w:val="0"/>
        <w:snapToGrid w:val="0"/>
        <w:spacing w:line="360" w:lineRule="auto"/>
        <w:jc w:val="left"/>
        <w:rPr>
          <w:rFonts w:ascii="宋体" w:hAnsi="宋体" w:cs="宋体"/>
          <w:snapToGrid w:val="0"/>
          <w:kern w:val="0"/>
          <w:sz w:val="24"/>
        </w:rPr>
      </w:pPr>
    </w:p>
    <w:p w14:paraId="6D1C5BBA">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 xml:space="preserve">1. </w:t>
      </w:r>
    </w:p>
    <w:p w14:paraId="09DD49F1">
      <w:pPr>
        <w:autoSpaceDE w:val="0"/>
        <w:autoSpaceDN w:val="0"/>
        <w:adjustRightInd w:val="0"/>
        <w:snapToGrid w:val="0"/>
        <w:spacing w:line="360" w:lineRule="auto"/>
        <w:jc w:val="left"/>
        <w:rPr>
          <w:rFonts w:ascii="宋体" w:hAnsi="宋体" w:cs="宋体"/>
          <w:snapToGrid w:val="0"/>
          <w:kern w:val="0"/>
          <w:szCs w:val="21"/>
        </w:rPr>
      </w:pPr>
    </w:p>
    <w:p w14:paraId="262F7912">
      <w:pPr>
        <w:autoSpaceDE w:val="0"/>
        <w:autoSpaceDN w:val="0"/>
        <w:adjustRightInd w:val="0"/>
        <w:snapToGrid w:val="0"/>
        <w:spacing w:line="360" w:lineRule="auto"/>
        <w:jc w:val="left"/>
        <w:rPr>
          <w:rFonts w:ascii="宋体" w:hAnsi="宋体" w:cs="宋体"/>
          <w:snapToGrid w:val="0"/>
          <w:kern w:val="0"/>
          <w:szCs w:val="21"/>
        </w:rPr>
      </w:pPr>
    </w:p>
    <w:p w14:paraId="179F56A4">
      <w:pPr>
        <w:autoSpaceDE w:val="0"/>
        <w:autoSpaceDN w:val="0"/>
        <w:adjustRightInd w:val="0"/>
        <w:snapToGrid w:val="0"/>
        <w:spacing w:line="360" w:lineRule="auto"/>
        <w:jc w:val="left"/>
        <w:rPr>
          <w:rFonts w:ascii="宋体" w:hAnsi="宋体" w:cs="宋体"/>
          <w:snapToGrid w:val="0"/>
          <w:kern w:val="0"/>
          <w:sz w:val="18"/>
          <w:szCs w:val="18"/>
        </w:rPr>
      </w:pPr>
    </w:p>
    <w:p w14:paraId="7D7180DC">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 xml:space="preserve">2. </w:t>
      </w:r>
    </w:p>
    <w:p w14:paraId="450EEC8F">
      <w:pPr>
        <w:autoSpaceDE w:val="0"/>
        <w:autoSpaceDN w:val="0"/>
        <w:adjustRightInd w:val="0"/>
        <w:snapToGrid w:val="0"/>
        <w:spacing w:line="360" w:lineRule="auto"/>
        <w:jc w:val="left"/>
        <w:rPr>
          <w:rFonts w:ascii="宋体" w:hAnsi="宋体" w:cs="宋体"/>
          <w:snapToGrid w:val="0"/>
          <w:kern w:val="0"/>
          <w:sz w:val="18"/>
          <w:szCs w:val="18"/>
        </w:rPr>
      </w:pPr>
    </w:p>
    <w:p w14:paraId="2FA6C15F">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w:t>
      </w:r>
    </w:p>
    <w:p w14:paraId="7884F452">
      <w:pPr>
        <w:autoSpaceDE w:val="0"/>
        <w:autoSpaceDN w:val="0"/>
        <w:adjustRightInd w:val="0"/>
        <w:snapToGrid w:val="0"/>
        <w:spacing w:line="360" w:lineRule="auto"/>
        <w:jc w:val="left"/>
        <w:rPr>
          <w:rFonts w:ascii="宋体" w:hAnsi="宋体" w:cs="宋体"/>
          <w:snapToGrid w:val="0"/>
          <w:kern w:val="0"/>
          <w:sz w:val="14"/>
          <w:szCs w:val="14"/>
        </w:rPr>
      </w:pPr>
    </w:p>
    <w:p w14:paraId="2845F35A">
      <w:pPr>
        <w:autoSpaceDE w:val="0"/>
        <w:autoSpaceDN w:val="0"/>
        <w:adjustRightInd w:val="0"/>
        <w:snapToGrid w:val="0"/>
        <w:spacing w:line="360" w:lineRule="auto"/>
        <w:jc w:val="left"/>
        <w:rPr>
          <w:rFonts w:ascii="宋体" w:hAnsi="宋体" w:cs="宋体"/>
          <w:snapToGrid w:val="0"/>
          <w:kern w:val="0"/>
          <w:sz w:val="14"/>
          <w:szCs w:val="14"/>
        </w:rPr>
      </w:pPr>
    </w:p>
    <w:p w14:paraId="18D992FA">
      <w:pPr>
        <w:autoSpaceDE w:val="0"/>
        <w:autoSpaceDN w:val="0"/>
        <w:adjustRightInd w:val="0"/>
        <w:snapToGrid w:val="0"/>
        <w:spacing w:line="360" w:lineRule="auto"/>
        <w:jc w:val="left"/>
        <w:rPr>
          <w:rFonts w:ascii="宋体" w:hAnsi="宋体" w:cs="宋体"/>
          <w:snapToGrid w:val="0"/>
          <w:kern w:val="0"/>
          <w:sz w:val="20"/>
          <w:szCs w:val="20"/>
        </w:rPr>
      </w:pPr>
    </w:p>
    <w:p w14:paraId="4F067959">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请将上述问题的澄清于</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r>
        <w:rPr>
          <w:rFonts w:hint="eastAsia" w:ascii="宋体" w:hAnsi="宋体" w:cs="宋体"/>
          <w:snapToGrid w:val="0"/>
          <w:kern w:val="0"/>
          <w:szCs w:val="21"/>
          <w:u w:val="single"/>
        </w:rPr>
        <w:t xml:space="preserve">     </w:t>
      </w:r>
      <w:r>
        <w:rPr>
          <w:rFonts w:hint="eastAsia" w:ascii="宋体" w:hAnsi="宋体" w:cs="宋体"/>
          <w:snapToGrid w:val="0"/>
          <w:kern w:val="0"/>
          <w:szCs w:val="21"/>
        </w:rPr>
        <w:t>时前递交至</w:t>
      </w:r>
      <w:r>
        <w:rPr>
          <w:rFonts w:hint="eastAsia" w:ascii="宋体" w:hAnsi="宋体" w:cs="宋体"/>
          <w:snapToGrid w:val="0"/>
          <w:kern w:val="0"/>
          <w:szCs w:val="21"/>
          <w:u w:val="single"/>
        </w:rPr>
        <w:t xml:space="preserve">                    </w:t>
      </w:r>
      <w:r>
        <w:rPr>
          <w:rFonts w:hint="eastAsia" w:ascii="宋体" w:hAnsi="宋体" w:cs="宋体"/>
          <w:snapToGrid w:val="0"/>
          <w:kern w:val="0"/>
          <w:szCs w:val="21"/>
        </w:rPr>
        <w:t>（详细地址）或传真至</w:t>
      </w:r>
      <w:r>
        <w:rPr>
          <w:rFonts w:hint="eastAsia" w:ascii="宋体" w:hAnsi="宋体" w:cs="宋体"/>
          <w:snapToGrid w:val="0"/>
          <w:kern w:val="0"/>
          <w:szCs w:val="21"/>
          <w:u w:val="single"/>
        </w:rPr>
        <w:t xml:space="preserve">             </w:t>
      </w:r>
      <w:r>
        <w:rPr>
          <w:rFonts w:hint="eastAsia" w:ascii="宋体" w:hAnsi="宋体" w:cs="宋体"/>
          <w:snapToGrid w:val="0"/>
          <w:kern w:val="0"/>
          <w:szCs w:val="21"/>
        </w:rPr>
        <w:t>（传真号码）。采用传真方式的，应在</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r>
        <w:rPr>
          <w:rFonts w:hint="eastAsia" w:ascii="宋体" w:hAnsi="宋体" w:cs="宋体"/>
          <w:snapToGrid w:val="0"/>
          <w:kern w:val="0"/>
          <w:szCs w:val="21"/>
          <w:u w:val="single"/>
        </w:rPr>
        <w:t xml:space="preserve">     </w:t>
      </w:r>
      <w:r>
        <w:rPr>
          <w:rFonts w:hint="eastAsia" w:ascii="宋体" w:hAnsi="宋体" w:cs="宋体"/>
          <w:snapToGrid w:val="0"/>
          <w:kern w:val="0"/>
          <w:szCs w:val="21"/>
        </w:rPr>
        <w:t>时前将原件递交至</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（详细地址）。</w:t>
      </w:r>
    </w:p>
    <w:p w14:paraId="7F632C2C">
      <w:pPr>
        <w:autoSpaceDE w:val="0"/>
        <w:autoSpaceDN w:val="0"/>
        <w:adjustRightInd w:val="0"/>
        <w:snapToGrid w:val="0"/>
        <w:spacing w:line="360" w:lineRule="auto"/>
        <w:jc w:val="left"/>
        <w:rPr>
          <w:rFonts w:ascii="宋体" w:hAnsi="宋体" w:cs="宋体"/>
          <w:snapToGrid w:val="0"/>
          <w:kern w:val="0"/>
          <w:sz w:val="20"/>
          <w:szCs w:val="20"/>
        </w:rPr>
      </w:pPr>
    </w:p>
    <w:p w14:paraId="27F86BA2">
      <w:pPr>
        <w:autoSpaceDE w:val="0"/>
        <w:autoSpaceDN w:val="0"/>
        <w:adjustRightInd w:val="0"/>
        <w:snapToGrid w:val="0"/>
        <w:spacing w:line="360" w:lineRule="auto"/>
        <w:jc w:val="left"/>
        <w:rPr>
          <w:rFonts w:ascii="宋体" w:hAnsi="宋体" w:cs="宋体"/>
          <w:snapToGrid w:val="0"/>
          <w:kern w:val="0"/>
          <w:sz w:val="28"/>
          <w:szCs w:val="28"/>
        </w:rPr>
      </w:pPr>
    </w:p>
    <w:p w14:paraId="3957144D">
      <w:pPr>
        <w:tabs>
          <w:tab w:val="left" w:pos="6400"/>
        </w:tabs>
        <w:autoSpaceDE w:val="0"/>
        <w:autoSpaceDN w:val="0"/>
        <w:adjustRightInd w:val="0"/>
        <w:snapToGrid w:val="0"/>
        <w:spacing w:line="360" w:lineRule="auto"/>
        <w:jc w:val="right"/>
        <w:rPr>
          <w:rFonts w:ascii="宋体" w:hAnsi="宋体" w:cs="宋体"/>
          <w:snapToGrid w:val="0"/>
          <w:kern w:val="0"/>
          <w:sz w:val="24"/>
        </w:rPr>
      </w:pPr>
      <w:r>
        <w:rPr>
          <w:rFonts w:hint="eastAsia" w:ascii="宋体" w:hAnsi="宋体" w:cs="宋体"/>
          <w:snapToGrid w:val="0"/>
          <w:kern w:val="0"/>
          <w:szCs w:val="21"/>
        </w:rPr>
        <w:t xml:space="preserve">                             评选委员会：</w:t>
      </w:r>
      <w:r>
        <w:rPr>
          <w:rFonts w:hint="eastAsia" w:ascii="宋体" w:hAnsi="宋体" w:cs="宋体"/>
          <w:snapToGrid w:val="0"/>
          <w:kern w:val="0"/>
          <w:szCs w:val="21"/>
          <w:u w:val="single"/>
        </w:rPr>
        <w:t xml:space="preserve">                   </w:t>
      </w:r>
      <w:r>
        <w:rPr>
          <w:rFonts w:hint="eastAsia" w:ascii="宋体" w:hAnsi="宋体" w:cs="宋体"/>
          <w:snapToGrid w:val="0"/>
          <w:kern w:val="0"/>
          <w:szCs w:val="21"/>
        </w:rPr>
        <w:t>（签字）</w:t>
      </w:r>
      <w:r>
        <w:rPr>
          <w:rFonts w:hint="eastAsia" w:ascii="宋体" w:hAnsi="宋体" w:cs="宋体"/>
          <w:snapToGrid w:val="0"/>
          <w:kern w:val="0"/>
          <w:sz w:val="24"/>
        </w:rPr>
        <w:t xml:space="preserve"> </w:t>
      </w:r>
    </w:p>
    <w:p w14:paraId="7A206E5C">
      <w:pPr>
        <w:autoSpaceDE w:val="0"/>
        <w:autoSpaceDN w:val="0"/>
        <w:adjustRightInd w:val="0"/>
        <w:snapToGrid w:val="0"/>
        <w:spacing w:line="360" w:lineRule="auto"/>
        <w:ind w:firstLine="315" w:firstLineChars="150"/>
        <w:jc w:val="right"/>
        <w:rPr>
          <w:rFonts w:ascii="宋体" w:hAnsi="宋体" w:cs="宋体"/>
          <w:snapToGrid w:val="0"/>
          <w:kern w:val="0"/>
          <w:szCs w:val="21"/>
        </w:rPr>
      </w:pPr>
      <w:r>
        <w:rPr>
          <w:rFonts w:hint="eastAsia" w:ascii="宋体" w:hAnsi="宋体" w:cs="宋体"/>
          <w:snapToGrid w:val="0"/>
          <w:kern w:val="0"/>
          <w:szCs w:val="21"/>
        </w:rPr>
        <w:t xml:space="preserve">                            </w:t>
      </w:r>
    </w:p>
    <w:p w14:paraId="107B274E">
      <w:pPr>
        <w:wordWrap w:val="0"/>
        <w:autoSpaceDE w:val="0"/>
        <w:autoSpaceDN w:val="0"/>
        <w:adjustRightInd w:val="0"/>
        <w:snapToGrid w:val="0"/>
        <w:spacing w:line="360" w:lineRule="auto"/>
        <w:ind w:firstLine="850" w:firstLineChars="405"/>
        <w:jc w:val="right"/>
        <w:rPr>
          <w:rFonts w:ascii="宋体" w:hAnsi="宋体" w:cs="宋体"/>
          <w:snapToGrid w:val="0"/>
          <w:kern w:val="0"/>
          <w:szCs w:val="21"/>
        </w:rPr>
      </w:pPr>
      <w:r>
        <w:rPr>
          <w:rFonts w:hint="eastAsia" w:ascii="宋体" w:hAnsi="宋体" w:cs="宋体"/>
          <w:snapToGrid w:val="0"/>
          <w:kern w:val="0"/>
          <w:szCs w:val="21"/>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日  </w:t>
      </w:r>
    </w:p>
    <w:p w14:paraId="08D78BA3">
      <w:pPr>
        <w:autoSpaceDE w:val="0"/>
        <w:autoSpaceDN w:val="0"/>
        <w:adjustRightInd w:val="0"/>
        <w:snapToGrid w:val="0"/>
        <w:spacing w:line="360" w:lineRule="auto"/>
        <w:jc w:val="left"/>
        <w:rPr>
          <w:rFonts w:ascii="宋体" w:hAnsi="宋体" w:cs="宋体"/>
          <w:b/>
          <w:snapToGrid w:val="0"/>
          <w:kern w:val="0"/>
        </w:rPr>
      </w:pPr>
    </w:p>
    <w:p w14:paraId="16AFF578">
      <w:pPr>
        <w:autoSpaceDE w:val="0"/>
        <w:autoSpaceDN w:val="0"/>
        <w:adjustRightInd w:val="0"/>
        <w:snapToGrid w:val="0"/>
        <w:spacing w:line="360" w:lineRule="auto"/>
        <w:jc w:val="left"/>
        <w:rPr>
          <w:rFonts w:ascii="宋体" w:hAnsi="宋体" w:cs="宋体"/>
          <w:b/>
          <w:snapToGrid w:val="0"/>
          <w:kern w:val="0"/>
        </w:rPr>
      </w:pPr>
    </w:p>
    <w:p w14:paraId="4B2FCFC7">
      <w:pPr>
        <w:autoSpaceDE w:val="0"/>
        <w:autoSpaceDN w:val="0"/>
        <w:adjustRightInd w:val="0"/>
        <w:snapToGrid w:val="0"/>
        <w:spacing w:line="360" w:lineRule="auto"/>
        <w:jc w:val="left"/>
        <w:rPr>
          <w:rFonts w:ascii="宋体" w:hAnsi="宋体" w:cs="宋体"/>
          <w:b/>
          <w:snapToGrid w:val="0"/>
          <w:kern w:val="0"/>
        </w:rPr>
      </w:pPr>
    </w:p>
    <w:p w14:paraId="714C68BF">
      <w:pPr>
        <w:autoSpaceDE w:val="0"/>
        <w:autoSpaceDN w:val="0"/>
        <w:adjustRightInd w:val="0"/>
        <w:snapToGrid w:val="0"/>
        <w:spacing w:line="360" w:lineRule="auto"/>
        <w:jc w:val="left"/>
        <w:rPr>
          <w:rFonts w:ascii="宋体" w:hAnsi="宋体" w:cs="宋体"/>
          <w:b/>
          <w:snapToGrid w:val="0"/>
          <w:kern w:val="0"/>
        </w:rPr>
      </w:pPr>
    </w:p>
    <w:p w14:paraId="5A14AA1A">
      <w:pPr>
        <w:autoSpaceDE w:val="0"/>
        <w:autoSpaceDN w:val="0"/>
        <w:adjustRightInd w:val="0"/>
        <w:snapToGrid w:val="0"/>
        <w:spacing w:line="360" w:lineRule="auto"/>
        <w:jc w:val="left"/>
        <w:outlineLvl w:val="2"/>
        <w:rPr>
          <w:rFonts w:ascii="宋体" w:hAnsi="宋体" w:cs="宋体"/>
          <w:b/>
          <w:snapToGrid w:val="0"/>
          <w:kern w:val="0"/>
        </w:rPr>
      </w:pPr>
      <w:r>
        <w:rPr>
          <w:rFonts w:hint="eastAsia" w:ascii="宋体" w:hAnsi="宋体" w:cs="宋体"/>
          <w:b/>
          <w:snapToGrid w:val="0"/>
          <w:kern w:val="0"/>
        </w:rPr>
        <w:t>附表三：问题的澄清</w:t>
      </w:r>
    </w:p>
    <w:p w14:paraId="2EF19921">
      <w:pPr>
        <w:autoSpaceDE w:val="0"/>
        <w:autoSpaceDN w:val="0"/>
        <w:adjustRightInd w:val="0"/>
        <w:snapToGrid w:val="0"/>
        <w:spacing w:line="360" w:lineRule="auto"/>
        <w:jc w:val="left"/>
        <w:rPr>
          <w:rFonts w:ascii="宋体" w:hAnsi="宋体" w:cs="宋体"/>
          <w:b/>
          <w:snapToGrid w:val="0"/>
          <w:kern w:val="0"/>
          <w:sz w:val="10"/>
          <w:szCs w:val="10"/>
        </w:rPr>
      </w:pPr>
    </w:p>
    <w:p w14:paraId="531F78E3">
      <w:pPr>
        <w:autoSpaceDE w:val="0"/>
        <w:autoSpaceDN w:val="0"/>
        <w:adjustRightInd w:val="0"/>
        <w:snapToGrid w:val="0"/>
        <w:spacing w:line="360" w:lineRule="auto"/>
        <w:jc w:val="center"/>
        <w:rPr>
          <w:rFonts w:ascii="宋体" w:hAnsi="宋体" w:cs="宋体"/>
          <w:b/>
          <w:snapToGrid w:val="0"/>
          <w:kern w:val="0"/>
          <w:sz w:val="32"/>
          <w:szCs w:val="32"/>
        </w:rPr>
      </w:pPr>
      <w:r>
        <w:rPr>
          <w:rFonts w:hint="eastAsia" w:ascii="宋体" w:hAnsi="宋体" w:cs="宋体"/>
          <w:b/>
          <w:snapToGrid w:val="0"/>
          <w:w w:val="99"/>
          <w:kern w:val="0"/>
          <w:sz w:val="32"/>
          <w:szCs w:val="32"/>
        </w:rPr>
        <w:t>问题的澄清</w:t>
      </w:r>
    </w:p>
    <w:p w14:paraId="6A064904">
      <w:pPr>
        <w:autoSpaceDE w:val="0"/>
        <w:autoSpaceDN w:val="0"/>
        <w:adjustRightInd w:val="0"/>
        <w:snapToGrid w:val="0"/>
        <w:spacing w:line="360" w:lineRule="auto"/>
        <w:ind w:firstLine="3255" w:firstLineChars="1550"/>
        <w:jc w:val="left"/>
        <w:rPr>
          <w:rFonts w:ascii="宋体" w:hAnsi="宋体" w:cs="宋体"/>
          <w:snapToGrid w:val="0"/>
          <w:kern w:val="0"/>
          <w:szCs w:val="21"/>
        </w:rPr>
      </w:pPr>
    </w:p>
    <w:p w14:paraId="4BB4FAFF">
      <w:pPr>
        <w:autoSpaceDE w:val="0"/>
        <w:autoSpaceDN w:val="0"/>
        <w:adjustRightInd w:val="0"/>
        <w:snapToGrid w:val="0"/>
        <w:spacing w:line="360" w:lineRule="auto"/>
        <w:ind w:firstLine="3255" w:firstLineChars="1550"/>
        <w:jc w:val="left"/>
        <w:rPr>
          <w:rFonts w:ascii="宋体" w:hAnsi="宋体" w:cs="宋体"/>
          <w:snapToGrid w:val="0"/>
          <w:kern w:val="0"/>
          <w:szCs w:val="21"/>
          <w:u w:val="single"/>
        </w:rPr>
      </w:pPr>
      <w:r>
        <w:rPr>
          <w:rFonts w:hint="eastAsia" w:ascii="宋体" w:hAnsi="宋体" w:cs="宋体"/>
          <w:snapToGrid w:val="0"/>
          <w:kern w:val="0"/>
          <w:szCs w:val="21"/>
        </w:rPr>
        <w:t>编号：</w:t>
      </w:r>
      <w:r>
        <w:rPr>
          <w:rFonts w:hint="eastAsia" w:ascii="宋体" w:hAnsi="宋体" w:cs="宋体"/>
          <w:snapToGrid w:val="0"/>
          <w:kern w:val="0"/>
          <w:szCs w:val="21"/>
          <w:u w:val="single"/>
        </w:rPr>
        <w:t xml:space="preserve">                     </w:t>
      </w:r>
    </w:p>
    <w:p w14:paraId="70D36355">
      <w:pPr>
        <w:autoSpaceDE w:val="0"/>
        <w:autoSpaceDN w:val="0"/>
        <w:adjustRightInd w:val="0"/>
        <w:snapToGrid w:val="0"/>
        <w:spacing w:line="360" w:lineRule="auto"/>
        <w:ind w:firstLine="3150" w:firstLineChars="1500"/>
        <w:rPr>
          <w:rFonts w:ascii="宋体" w:hAnsi="宋体" w:cs="宋体"/>
          <w:snapToGrid w:val="0"/>
          <w:kern w:val="0"/>
          <w:szCs w:val="21"/>
        </w:rPr>
      </w:pPr>
    </w:p>
    <w:p w14:paraId="24A0BCAC">
      <w:pPr>
        <w:autoSpaceDE w:val="0"/>
        <w:autoSpaceDN w:val="0"/>
        <w:adjustRightInd w:val="0"/>
        <w:snapToGrid w:val="0"/>
        <w:spacing w:line="360" w:lineRule="auto"/>
        <w:ind w:firstLine="3150" w:firstLineChars="1500"/>
        <w:rPr>
          <w:rFonts w:ascii="宋体" w:hAnsi="宋体" w:cs="宋体"/>
          <w:snapToGrid w:val="0"/>
          <w:kern w:val="0"/>
          <w:szCs w:val="21"/>
        </w:rPr>
      </w:pPr>
    </w:p>
    <w:p w14:paraId="7F688207">
      <w:pPr>
        <w:tabs>
          <w:tab w:val="left" w:pos="2415"/>
          <w:tab w:val="left" w:pos="3480"/>
          <w:tab w:val="left" w:pos="4200"/>
        </w:tabs>
        <w:autoSpaceDE w:val="0"/>
        <w:autoSpaceDN w:val="0"/>
        <w:adjustRightInd w:val="0"/>
        <w:snapToGrid w:val="0"/>
        <w:spacing w:line="360" w:lineRule="auto"/>
        <w:ind w:firstLine="840" w:firstLineChars="200"/>
        <w:jc w:val="left"/>
        <w:rPr>
          <w:rFonts w:ascii="宋体" w:hAnsi="宋体" w:cs="宋体"/>
          <w:snapToGrid w:val="0"/>
          <w:kern w:val="0"/>
          <w:szCs w:val="21"/>
        </w:rPr>
      </w:pP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（项目名称）区域</w:t>
      </w:r>
      <w:r>
        <w:rPr>
          <w:rFonts w:hint="eastAsia" w:ascii="宋体" w:hAnsi="宋体" w:cs="宋体"/>
          <w:snapToGrid w:val="0"/>
          <w:kern w:val="0"/>
          <w:szCs w:val="21"/>
          <w:u w:val="single"/>
        </w:rPr>
        <w:t xml:space="preserve">     </w:t>
      </w:r>
      <w:r>
        <w:rPr>
          <w:rFonts w:hint="eastAsia" w:ascii="宋体" w:hAnsi="宋体" w:cs="宋体"/>
          <w:snapToGrid w:val="0"/>
          <w:kern w:val="0"/>
          <w:szCs w:val="21"/>
        </w:rPr>
        <w:t>评选委员会：</w:t>
      </w:r>
    </w:p>
    <w:p w14:paraId="1E94CAB8">
      <w:pPr>
        <w:tabs>
          <w:tab w:val="left" w:pos="2000"/>
          <w:tab w:val="left" w:pos="3480"/>
          <w:tab w:val="left" w:pos="4200"/>
        </w:tabs>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问题澄清通知（编号：</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rPr>
        <w:t>）已收悉，现澄清如下：</w:t>
      </w:r>
    </w:p>
    <w:p w14:paraId="41F69F21">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 xml:space="preserve">1. </w:t>
      </w:r>
    </w:p>
    <w:p w14:paraId="7311E576">
      <w:pPr>
        <w:autoSpaceDE w:val="0"/>
        <w:autoSpaceDN w:val="0"/>
        <w:adjustRightInd w:val="0"/>
        <w:snapToGrid w:val="0"/>
        <w:spacing w:line="360" w:lineRule="auto"/>
        <w:jc w:val="left"/>
        <w:rPr>
          <w:rFonts w:ascii="宋体" w:hAnsi="宋体" w:cs="宋体"/>
          <w:snapToGrid w:val="0"/>
          <w:kern w:val="0"/>
          <w:sz w:val="18"/>
          <w:szCs w:val="18"/>
        </w:rPr>
      </w:pPr>
    </w:p>
    <w:p w14:paraId="543A4EFB">
      <w:pPr>
        <w:autoSpaceDE w:val="0"/>
        <w:autoSpaceDN w:val="0"/>
        <w:adjustRightInd w:val="0"/>
        <w:snapToGrid w:val="0"/>
        <w:spacing w:line="360" w:lineRule="auto"/>
        <w:jc w:val="left"/>
        <w:rPr>
          <w:rFonts w:ascii="宋体" w:hAnsi="宋体" w:cs="宋体"/>
          <w:snapToGrid w:val="0"/>
          <w:kern w:val="0"/>
          <w:sz w:val="18"/>
          <w:szCs w:val="18"/>
        </w:rPr>
      </w:pPr>
    </w:p>
    <w:p w14:paraId="2CF74CFE">
      <w:pPr>
        <w:autoSpaceDE w:val="0"/>
        <w:autoSpaceDN w:val="0"/>
        <w:adjustRightInd w:val="0"/>
        <w:snapToGrid w:val="0"/>
        <w:spacing w:line="360" w:lineRule="auto"/>
        <w:jc w:val="left"/>
        <w:rPr>
          <w:rFonts w:ascii="宋体" w:hAnsi="宋体" w:cs="宋体"/>
          <w:snapToGrid w:val="0"/>
          <w:kern w:val="0"/>
          <w:sz w:val="18"/>
          <w:szCs w:val="18"/>
        </w:rPr>
      </w:pPr>
    </w:p>
    <w:p w14:paraId="403C000C">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 xml:space="preserve">2. </w:t>
      </w:r>
    </w:p>
    <w:p w14:paraId="784B259A">
      <w:pPr>
        <w:autoSpaceDE w:val="0"/>
        <w:autoSpaceDN w:val="0"/>
        <w:adjustRightInd w:val="0"/>
        <w:snapToGrid w:val="0"/>
        <w:spacing w:line="360" w:lineRule="auto"/>
        <w:jc w:val="left"/>
        <w:rPr>
          <w:rFonts w:ascii="宋体" w:hAnsi="宋体" w:cs="宋体"/>
          <w:snapToGrid w:val="0"/>
          <w:kern w:val="0"/>
          <w:sz w:val="20"/>
          <w:szCs w:val="20"/>
        </w:rPr>
      </w:pPr>
    </w:p>
    <w:p w14:paraId="29BB2298">
      <w:pPr>
        <w:autoSpaceDE w:val="0"/>
        <w:autoSpaceDN w:val="0"/>
        <w:adjustRightInd w:val="0"/>
        <w:snapToGrid w:val="0"/>
        <w:spacing w:line="360" w:lineRule="auto"/>
        <w:jc w:val="left"/>
        <w:rPr>
          <w:rFonts w:ascii="宋体" w:hAnsi="宋体" w:cs="宋体"/>
          <w:snapToGrid w:val="0"/>
          <w:kern w:val="0"/>
          <w:sz w:val="20"/>
          <w:szCs w:val="20"/>
        </w:rPr>
      </w:pPr>
    </w:p>
    <w:p w14:paraId="11750CE6">
      <w:pPr>
        <w:autoSpaceDE w:val="0"/>
        <w:autoSpaceDN w:val="0"/>
        <w:adjustRightInd w:val="0"/>
        <w:snapToGrid w:val="0"/>
        <w:spacing w:line="360" w:lineRule="auto"/>
        <w:jc w:val="left"/>
        <w:rPr>
          <w:rFonts w:ascii="宋体" w:hAnsi="宋体" w:cs="宋体"/>
          <w:snapToGrid w:val="0"/>
          <w:kern w:val="0"/>
          <w:sz w:val="22"/>
          <w:szCs w:val="22"/>
        </w:rPr>
      </w:pPr>
    </w:p>
    <w:p w14:paraId="32056D86">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w:t>
      </w:r>
    </w:p>
    <w:p w14:paraId="7BC7948B">
      <w:pPr>
        <w:autoSpaceDE w:val="0"/>
        <w:autoSpaceDN w:val="0"/>
        <w:adjustRightInd w:val="0"/>
        <w:snapToGrid w:val="0"/>
        <w:spacing w:line="360" w:lineRule="auto"/>
        <w:jc w:val="left"/>
        <w:rPr>
          <w:rFonts w:ascii="宋体" w:hAnsi="宋体" w:cs="宋体"/>
          <w:snapToGrid w:val="0"/>
          <w:kern w:val="0"/>
          <w:sz w:val="18"/>
          <w:szCs w:val="18"/>
        </w:rPr>
      </w:pPr>
    </w:p>
    <w:p w14:paraId="5CE9F74A">
      <w:pPr>
        <w:autoSpaceDE w:val="0"/>
        <w:autoSpaceDN w:val="0"/>
        <w:adjustRightInd w:val="0"/>
        <w:snapToGrid w:val="0"/>
        <w:spacing w:line="360" w:lineRule="auto"/>
        <w:jc w:val="left"/>
        <w:rPr>
          <w:rFonts w:ascii="宋体" w:hAnsi="宋体" w:cs="宋体"/>
          <w:snapToGrid w:val="0"/>
          <w:kern w:val="0"/>
          <w:sz w:val="20"/>
          <w:szCs w:val="20"/>
        </w:rPr>
      </w:pPr>
    </w:p>
    <w:p w14:paraId="6A3BA85F">
      <w:pPr>
        <w:autoSpaceDE w:val="0"/>
        <w:autoSpaceDN w:val="0"/>
        <w:adjustRightInd w:val="0"/>
        <w:snapToGrid w:val="0"/>
        <w:spacing w:line="360" w:lineRule="auto"/>
        <w:jc w:val="left"/>
        <w:rPr>
          <w:rFonts w:ascii="宋体" w:hAnsi="宋体" w:cs="宋体"/>
          <w:snapToGrid w:val="0"/>
          <w:kern w:val="0"/>
          <w:sz w:val="20"/>
          <w:szCs w:val="20"/>
        </w:rPr>
      </w:pPr>
    </w:p>
    <w:p w14:paraId="09E2CA14">
      <w:pPr>
        <w:autoSpaceDE w:val="0"/>
        <w:autoSpaceDN w:val="0"/>
        <w:adjustRightInd w:val="0"/>
        <w:snapToGrid w:val="0"/>
        <w:spacing w:line="360" w:lineRule="auto"/>
        <w:jc w:val="left"/>
        <w:rPr>
          <w:rFonts w:ascii="宋体" w:hAnsi="宋体" w:cs="宋体"/>
          <w:snapToGrid w:val="0"/>
          <w:kern w:val="0"/>
          <w:sz w:val="20"/>
          <w:szCs w:val="20"/>
        </w:rPr>
      </w:pPr>
    </w:p>
    <w:p w14:paraId="0CCC80AB">
      <w:pPr>
        <w:autoSpaceDE w:val="0"/>
        <w:autoSpaceDN w:val="0"/>
        <w:adjustRightInd w:val="0"/>
        <w:snapToGrid w:val="0"/>
        <w:spacing w:line="360" w:lineRule="auto"/>
        <w:jc w:val="left"/>
        <w:rPr>
          <w:rFonts w:ascii="宋体" w:hAnsi="宋体" w:cs="宋体"/>
          <w:snapToGrid w:val="0"/>
          <w:kern w:val="0"/>
          <w:sz w:val="20"/>
          <w:szCs w:val="20"/>
        </w:rPr>
      </w:pPr>
    </w:p>
    <w:p w14:paraId="276D5631">
      <w:pPr>
        <w:tabs>
          <w:tab w:val="left" w:pos="7035"/>
        </w:tabs>
        <w:autoSpaceDE w:val="0"/>
        <w:autoSpaceDN w:val="0"/>
        <w:adjustRightInd w:val="0"/>
        <w:snapToGrid w:val="0"/>
        <w:spacing w:line="360" w:lineRule="auto"/>
        <w:ind w:firstLine="2551" w:firstLineChars="1215"/>
        <w:jc w:val="right"/>
        <w:rPr>
          <w:rFonts w:ascii="宋体" w:hAnsi="宋体" w:cs="宋体"/>
          <w:snapToGrid w:val="0"/>
          <w:kern w:val="0"/>
          <w:szCs w:val="21"/>
        </w:rPr>
      </w:pPr>
      <w:r>
        <w:rPr>
          <w:rFonts w:hint="eastAsia" w:ascii="宋体" w:hAnsi="宋体" w:cs="宋体"/>
          <w:snapToGrid w:val="0"/>
          <w:kern w:val="0"/>
          <w:szCs w:val="21"/>
        </w:rPr>
        <w:t>竞选人：</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rPr>
        <w:t xml:space="preserve">（盖单位公章） </w:t>
      </w:r>
    </w:p>
    <w:p w14:paraId="7C4E2750">
      <w:pPr>
        <w:tabs>
          <w:tab w:val="left" w:pos="6620"/>
          <w:tab w:val="left" w:pos="7040"/>
        </w:tabs>
        <w:autoSpaceDE w:val="0"/>
        <w:autoSpaceDN w:val="0"/>
        <w:adjustRightInd w:val="0"/>
        <w:snapToGrid w:val="0"/>
        <w:spacing w:line="360" w:lineRule="auto"/>
        <w:ind w:firstLine="2551" w:firstLineChars="1215"/>
        <w:jc w:val="right"/>
        <w:rPr>
          <w:rFonts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（签字或盖章）</w:t>
      </w:r>
    </w:p>
    <w:p w14:paraId="5CF325A8">
      <w:pPr>
        <w:autoSpaceDE w:val="0"/>
        <w:autoSpaceDN w:val="0"/>
        <w:adjustRightInd w:val="0"/>
        <w:snapToGrid w:val="0"/>
        <w:spacing w:line="360" w:lineRule="auto"/>
        <w:jc w:val="right"/>
        <w:rPr>
          <w:rFonts w:ascii="宋体" w:hAnsi="宋体" w:cs="宋体"/>
          <w:snapToGrid w:val="0"/>
          <w:kern w:val="0"/>
          <w:sz w:val="20"/>
          <w:szCs w:val="20"/>
        </w:rPr>
      </w:pPr>
    </w:p>
    <w:p w14:paraId="32D8CF9B">
      <w:pPr>
        <w:wordWrap w:val="0"/>
        <w:autoSpaceDE w:val="0"/>
        <w:autoSpaceDN w:val="0"/>
        <w:adjustRightInd w:val="0"/>
        <w:snapToGrid w:val="0"/>
        <w:spacing w:line="360" w:lineRule="auto"/>
        <w:ind w:firstLine="315" w:firstLineChars="150"/>
        <w:jc w:val="right"/>
        <w:rPr>
          <w:rFonts w:ascii="宋体" w:hAnsi="宋体" w:cs="宋体"/>
          <w:snapToGrid w:val="0"/>
          <w:kern w:val="0"/>
          <w:szCs w:val="21"/>
        </w:rPr>
      </w:pPr>
      <w:r>
        <w:rPr>
          <w:rFonts w:hint="eastAsia" w:ascii="宋体" w:hAnsi="宋体" w:cs="宋体"/>
          <w:snapToGrid w:val="0"/>
          <w:kern w:val="0"/>
          <w:szCs w:val="21"/>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日 </w:t>
      </w:r>
    </w:p>
    <w:p w14:paraId="08375953">
      <w:pPr>
        <w:autoSpaceDE w:val="0"/>
        <w:autoSpaceDN w:val="0"/>
        <w:adjustRightInd w:val="0"/>
        <w:snapToGrid w:val="0"/>
        <w:spacing w:line="360" w:lineRule="auto"/>
        <w:jc w:val="left"/>
        <w:rPr>
          <w:rFonts w:ascii="宋体" w:hAnsi="宋体" w:cs="宋体"/>
          <w:b/>
          <w:snapToGrid w:val="0"/>
          <w:kern w:val="0"/>
          <w:sz w:val="24"/>
        </w:rPr>
      </w:pPr>
    </w:p>
    <w:p w14:paraId="6AD671F9">
      <w:pPr>
        <w:autoSpaceDE w:val="0"/>
        <w:autoSpaceDN w:val="0"/>
        <w:adjustRightInd w:val="0"/>
        <w:snapToGrid w:val="0"/>
        <w:spacing w:line="360" w:lineRule="auto"/>
        <w:jc w:val="left"/>
        <w:rPr>
          <w:rFonts w:ascii="宋体" w:hAnsi="宋体" w:cs="宋体"/>
          <w:b/>
          <w:snapToGrid w:val="0"/>
          <w:kern w:val="0"/>
        </w:rPr>
      </w:pPr>
    </w:p>
    <w:p w14:paraId="036D8700">
      <w:pPr>
        <w:autoSpaceDE w:val="0"/>
        <w:autoSpaceDN w:val="0"/>
        <w:adjustRightInd w:val="0"/>
        <w:snapToGrid w:val="0"/>
        <w:spacing w:line="360" w:lineRule="auto"/>
        <w:jc w:val="left"/>
        <w:rPr>
          <w:rFonts w:ascii="宋体" w:hAnsi="宋体" w:cs="宋体"/>
          <w:b/>
          <w:snapToGrid w:val="0"/>
          <w:kern w:val="0"/>
        </w:rPr>
      </w:pPr>
    </w:p>
    <w:p w14:paraId="51819EC7">
      <w:pPr>
        <w:autoSpaceDE w:val="0"/>
        <w:autoSpaceDN w:val="0"/>
        <w:adjustRightInd w:val="0"/>
        <w:snapToGrid w:val="0"/>
        <w:spacing w:line="360" w:lineRule="auto"/>
        <w:jc w:val="left"/>
        <w:rPr>
          <w:rFonts w:ascii="宋体" w:hAnsi="宋体" w:cs="宋体"/>
          <w:b/>
          <w:snapToGrid w:val="0"/>
          <w:kern w:val="0"/>
        </w:rPr>
      </w:pPr>
    </w:p>
    <w:p w14:paraId="275F05B9">
      <w:pPr>
        <w:autoSpaceDE w:val="0"/>
        <w:autoSpaceDN w:val="0"/>
        <w:adjustRightInd w:val="0"/>
        <w:snapToGrid w:val="0"/>
        <w:spacing w:line="360" w:lineRule="auto"/>
        <w:jc w:val="left"/>
        <w:rPr>
          <w:rFonts w:ascii="宋体" w:hAnsi="宋体" w:cs="宋体"/>
          <w:b/>
          <w:snapToGrid w:val="0"/>
          <w:kern w:val="0"/>
        </w:rPr>
      </w:pPr>
    </w:p>
    <w:p w14:paraId="2749060A">
      <w:pPr>
        <w:autoSpaceDE w:val="0"/>
        <w:autoSpaceDN w:val="0"/>
        <w:adjustRightInd w:val="0"/>
        <w:snapToGrid w:val="0"/>
        <w:spacing w:line="360" w:lineRule="auto"/>
        <w:jc w:val="left"/>
        <w:rPr>
          <w:rFonts w:ascii="宋体" w:hAnsi="宋体" w:cs="宋体"/>
          <w:b/>
          <w:snapToGrid w:val="0"/>
          <w:kern w:val="0"/>
        </w:rPr>
      </w:pPr>
    </w:p>
    <w:p w14:paraId="21D81187">
      <w:pPr>
        <w:pStyle w:val="8"/>
      </w:pPr>
    </w:p>
    <w:p w14:paraId="109DA8A9">
      <w:pPr>
        <w:autoSpaceDE w:val="0"/>
        <w:autoSpaceDN w:val="0"/>
        <w:adjustRightInd w:val="0"/>
        <w:snapToGrid w:val="0"/>
        <w:spacing w:line="360" w:lineRule="auto"/>
        <w:jc w:val="left"/>
        <w:rPr>
          <w:rFonts w:ascii="宋体" w:hAnsi="宋体" w:cs="宋体"/>
          <w:b/>
          <w:snapToGrid w:val="0"/>
          <w:kern w:val="0"/>
        </w:rPr>
      </w:pPr>
    </w:p>
    <w:p w14:paraId="5DCA4BCF">
      <w:pPr>
        <w:autoSpaceDE w:val="0"/>
        <w:autoSpaceDN w:val="0"/>
        <w:adjustRightInd w:val="0"/>
        <w:snapToGrid w:val="0"/>
        <w:spacing w:line="360" w:lineRule="auto"/>
        <w:jc w:val="left"/>
        <w:rPr>
          <w:rFonts w:ascii="宋体" w:hAnsi="宋体" w:cs="宋体"/>
          <w:b/>
          <w:snapToGrid w:val="0"/>
          <w:kern w:val="0"/>
        </w:rPr>
      </w:pPr>
    </w:p>
    <w:p w14:paraId="0FB903DC">
      <w:pPr>
        <w:autoSpaceDE w:val="0"/>
        <w:autoSpaceDN w:val="0"/>
        <w:adjustRightInd w:val="0"/>
        <w:snapToGrid w:val="0"/>
        <w:spacing w:line="360" w:lineRule="auto"/>
        <w:jc w:val="left"/>
        <w:outlineLvl w:val="2"/>
        <w:rPr>
          <w:rFonts w:ascii="宋体" w:hAnsi="宋体" w:cs="宋体"/>
          <w:snapToGrid w:val="0"/>
          <w:kern w:val="0"/>
          <w:sz w:val="20"/>
          <w:szCs w:val="20"/>
        </w:rPr>
      </w:pPr>
      <w:r>
        <w:rPr>
          <w:rFonts w:hint="eastAsia" w:ascii="宋体" w:hAnsi="宋体" w:cs="宋体"/>
          <w:b/>
          <w:snapToGrid w:val="0"/>
          <w:kern w:val="0"/>
        </w:rPr>
        <w:t>附表四：中选通知书</w:t>
      </w:r>
    </w:p>
    <w:p w14:paraId="4B4E94DD">
      <w:pPr>
        <w:autoSpaceDE w:val="0"/>
        <w:autoSpaceDN w:val="0"/>
        <w:adjustRightInd w:val="0"/>
        <w:snapToGrid w:val="0"/>
        <w:spacing w:line="360" w:lineRule="auto"/>
        <w:jc w:val="center"/>
        <w:rPr>
          <w:rFonts w:ascii="宋体" w:hAnsi="宋体" w:cs="宋体"/>
          <w:b/>
          <w:snapToGrid w:val="0"/>
          <w:w w:val="99"/>
          <w:kern w:val="0"/>
          <w:sz w:val="32"/>
          <w:szCs w:val="32"/>
        </w:rPr>
      </w:pPr>
    </w:p>
    <w:p w14:paraId="68D30FAD">
      <w:pPr>
        <w:autoSpaceDE w:val="0"/>
        <w:autoSpaceDN w:val="0"/>
        <w:adjustRightInd w:val="0"/>
        <w:snapToGrid w:val="0"/>
        <w:spacing w:line="360" w:lineRule="auto"/>
        <w:jc w:val="center"/>
        <w:rPr>
          <w:rFonts w:ascii="宋体" w:hAnsi="宋体" w:cs="宋体"/>
          <w:b/>
          <w:snapToGrid w:val="0"/>
          <w:w w:val="99"/>
          <w:kern w:val="0"/>
          <w:sz w:val="32"/>
          <w:szCs w:val="32"/>
        </w:rPr>
      </w:pPr>
      <w:r>
        <w:rPr>
          <w:rFonts w:hint="eastAsia" w:ascii="宋体" w:hAnsi="宋体" w:cs="宋体"/>
          <w:b/>
          <w:snapToGrid w:val="0"/>
          <w:w w:val="99"/>
          <w:kern w:val="0"/>
          <w:sz w:val="32"/>
          <w:szCs w:val="32"/>
        </w:rPr>
        <w:t>中选通知书</w:t>
      </w:r>
    </w:p>
    <w:p w14:paraId="589BE755">
      <w:pPr>
        <w:autoSpaceDE w:val="0"/>
        <w:autoSpaceDN w:val="0"/>
        <w:adjustRightInd w:val="0"/>
        <w:spacing w:line="360" w:lineRule="auto"/>
        <w:jc w:val="left"/>
        <w:rPr>
          <w:rFonts w:ascii="宋体" w:hAnsi="宋体" w:cs="宋体"/>
          <w:snapToGrid w:val="0"/>
          <w:kern w:val="0"/>
          <w:sz w:val="20"/>
          <w:szCs w:val="20"/>
        </w:rPr>
      </w:pPr>
    </w:p>
    <w:p w14:paraId="14D42D27">
      <w:pPr>
        <w:spacing w:line="360" w:lineRule="auto"/>
        <w:rPr>
          <w:rFonts w:ascii="宋体" w:hAnsi="宋体" w:cs="宋体"/>
          <w:bCs/>
          <w:kern w:val="0"/>
          <w:szCs w:val="21"/>
          <w:u w:val="single"/>
        </w:rPr>
      </w:pPr>
      <w:r>
        <w:rPr>
          <w:rFonts w:hint="eastAsia" w:ascii="宋体" w:hAnsi="宋体" w:cs="宋体"/>
          <w:bCs/>
          <w:kern w:val="0"/>
          <w:szCs w:val="21"/>
          <w:u w:val="single"/>
        </w:rPr>
        <w:t xml:space="preserve">       </w:t>
      </w:r>
      <w:r>
        <w:rPr>
          <w:rFonts w:hint="eastAsia" w:ascii="宋体" w:hAnsi="宋体" w:cs="宋体"/>
          <w:kern w:val="0"/>
          <w:szCs w:val="21"/>
          <w:u w:val="single"/>
        </w:rPr>
        <w:t>中选单位</w:t>
      </w:r>
      <w:r>
        <w:rPr>
          <w:rFonts w:hint="eastAsia" w:ascii="宋体" w:hAnsi="宋体" w:cs="宋体"/>
          <w:bCs/>
          <w:kern w:val="0"/>
          <w:szCs w:val="21"/>
          <w:u w:val="single"/>
        </w:rPr>
        <w:t xml:space="preserve">               </w:t>
      </w:r>
      <w:r>
        <w:rPr>
          <w:rFonts w:hint="eastAsia" w:ascii="宋体" w:hAnsi="宋体" w:cs="宋体"/>
          <w:bCs/>
          <w:kern w:val="0"/>
          <w:szCs w:val="21"/>
        </w:rPr>
        <w:t>：</w:t>
      </w:r>
    </w:p>
    <w:p w14:paraId="0C969C4B">
      <w:pPr>
        <w:spacing w:line="360" w:lineRule="auto"/>
        <w:ind w:firstLine="420" w:firstLineChars="200"/>
        <w:rPr>
          <w:rFonts w:ascii="宋体" w:hAnsi="宋体" w:cs="宋体"/>
          <w:kern w:val="0"/>
          <w:szCs w:val="21"/>
        </w:rPr>
      </w:pPr>
      <w:r>
        <w:rPr>
          <w:rFonts w:hint="eastAsia" w:ascii="宋体" w:hAnsi="宋体" w:cs="宋体"/>
          <w:kern w:val="0"/>
          <w:szCs w:val="21"/>
        </w:rPr>
        <w:t xml:space="preserve">我单位拟建的 </w:t>
      </w:r>
      <w:r>
        <w:rPr>
          <w:rFonts w:hint="eastAsia" w:ascii="宋体" w:hAnsi="宋体" w:cs="宋体"/>
          <w:bCs/>
          <w:kern w:val="0"/>
          <w:szCs w:val="21"/>
          <w:u w:val="single"/>
        </w:rPr>
        <w:t xml:space="preserve">                </w:t>
      </w:r>
      <w:r>
        <w:rPr>
          <w:rFonts w:hint="eastAsia" w:ascii="宋体" w:hAnsi="宋体" w:cs="宋体"/>
          <w:kern w:val="0"/>
          <w:szCs w:val="21"/>
        </w:rPr>
        <w:t>于</w:t>
      </w:r>
      <w:r>
        <w:rPr>
          <w:rFonts w:hint="eastAsia" w:ascii="宋体" w:hAnsi="宋体" w:cs="宋体"/>
          <w:bCs/>
          <w:kern w:val="0"/>
          <w:szCs w:val="21"/>
          <w:u w:val="single"/>
        </w:rPr>
        <w:t xml:space="preserve">    </w:t>
      </w:r>
      <w:r>
        <w:rPr>
          <w:rFonts w:hint="eastAsia" w:ascii="宋体" w:hAnsi="宋体" w:cs="宋体"/>
          <w:kern w:val="0"/>
          <w:szCs w:val="21"/>
        </w:rPr>
        <w:t>年</w:t>
      </w:r>
      <w:r>
        <w:rPr>
          <w:rFonts w:hint="eastAsia" w:ascii="宋体" w:hAnsi="宋体" w:cs="宋体"/>
          <w:bCs/>
          <w:kern w:val="0"/>
          <w:szCs w:val="21"/>
          <w:u w:val="single"/>
        </w:rPr>
        <w:t xml:space="preserve">    </w:t>
      </w:r>
      <w:r>
        <w:rPr>
          <w:rFonts w:hint="eastAsia" w:ascii="宋体" w:hAnsi="宋体" w:cs="宋体"/>
          <w:kern w:val="0"/>
          <w:szCs w:val="21"/>
        </w:rPr>
        <w:t>月</w:t>
      </w:r>
      <w:r>
        <w:rPr>
          <w:rFonts w:hint="eastAsia" w:ascii="宋体" w:hAnsi="宋体" w:cs="宋体"/>
          <w:bCs/>
          <w:kern w:val="0"/>
          <w:szCs w:val="21"/>
          <w:u w:val="single"/>
        </w:rPr>
        <w:t xml:space="preserve">    </w:t>
      </w:r>
      <w:r>
        <w:rPr>
          <w:rFonts w:hint="eastAsia" w:ascii="宋体" w:hAnsi="宋体" w:cs="宋体"/>
          <w:kern w:val="0"/>
          <w:szCs w:val="21"/>
        </w:rPr>
        <w:t>日进行竞争性比选，经评选委员会评定，确定你单位为中选人，中选监理服务费</w:t>
      </w:r>
      <w:r>
        <w:rPr>
          <w:rFonts w:hint="eastAsia" w:ascii="宋体" w:hAnsi="宋体" w:cs="宋体"/>
          <w:bCs/>
          <w:kern w:val="0"/>
          <w:szCs w:val="21"/>
          <w:u w:val="single"/>
        </w:rPr>
        <w:t xml:space="preserve">          </w:t>
      </w:r>
      <w:r>
        <w:rPr>
          <w:rFonts w:hint="eastAsia" w:ascii="宋体" w:hAnsi="宋体" w:cs="宋体"/>
          <w:kern w:val="0"/>
          <w:szCs w:val="21"/>
        </w:rPr>
        <w:t>。中选项目范围：</w:t>
      </w:r>
      <w:r>
        <w:rPr>
          <w:rFonts w:hint="eastAsia" w:ascii="宋体" w:hAnsi="宋体" w:cs="宋体"/>
          <w:bCs/>
          <w:kern w:val="0"/>
          <w:szCs w:val="21"/>
          <w:u w:val="single"/>
        </w:rPr>
        <w:t xml:space="preserve">        </w:t>
      </w:r>
      <w:r>
        <w:rPr>
          <w:rFonts w:hint="eastAsia" w:ascii="宋体" w:hAnsi="宋体" w:cs="宋体"/>
          <w:kern w:val="0"/>
          <w:szCs w:val="21"/>
        </w:rPr>
        <w:t xml:space="preserve">，工程规模为 </w:t>
      </w:r>
      <w:r>
        <w:rPr>
          <w:rFonts w:hint="eastAsia" w:ascii="宋体" w:hAnsi="宋体" w:cs="宋体"/>
          <w:bCs/>
          <w:kern w:val="0"/>
          <w:szCs w:val="21"/>
          <w:u w:val="single"/>
        </w:rPr>
        <w:t xml:space="preserve">      </w:t>
      </w:r>
      <w:r>
        <w:rPr>
          <w:rFonts w:hint="eastAsia" w:ascii="宋体" w:hAnsi="宋体" w:cs="宋体"/>
          <w:kern w:val="0"/>
          <w:szCs w:val="21"/>
        </w:rPr>
        <w:t>，中选监理服务期</w:t>
      </w:r>
      <w:r>
        <w:rPr>
          <w:rFonts w:hint="eastAsia" w:ascii="宋体" w:hAnsi="宋体" w:cs="宋体"/>
          <w:kern w:val="0"/>
          <w:szCs w:val="21"/>
          <w:u w:val="single"/>
        </w:rPr>
        <w:t xml:space="preserve">                </w:t>
      </w:r>
      <w:r>
        <w:rPr>
          <w:rFonts w:hint="eastAsia" w:ascii="宋体" w:hAnsi="宋体" w:cs="宋体"/>
          <w:kern w:val="0"/>
          <w:szCs w:val="21"/>
        </w:rPr>
        <w:t>，工程质量达到国家施工验收规范标准。</w:t>
      </w:r>
    </w:p>
    <w:p w14:paraId="299229C9">
      <w:pPr>
        <w:spacing w:line="360" w:lineRule="auto"/>
        <w:ind w:firstLine="420" w:firstLineChars="200"/>
        <w:rPr>
          <w:rFonts w:ascii="宋体" w:hAnsi="宋体" w:cs="宋体"/>
          <w:kern w:val="0"/>
          <w:szCs w:val="21"/>
        </w:rPr>
      </w:pPr>
      <w:r>
        <w:rPr>
          <w:rFonts w:hint="eastAsia" w:ascii="宋体" w:hAnsi="宋体" w:cs="宋体"/>
          <w:kern w:val="0"/>
          <w:szCs w:val="21"/>
        </w:rPr>
        <w:t xml:space="preserve">你单位收到中选通知书后，在 </w:t>
      </w:r>
      <w:r>
        <w:rPr>
          <w:rFonts w:hint="eastAsia" w:ascii="宋体" w:hAnsi="宋体" w:cs="宋体"/>
          <w:bCs/>
          <w:kern w:val="0"/>
          <w:szCs w:val="21"/>
          <w:u w:val="single"/>
        </w:rPr>
        <w:t xml:space="preserve">     </w:t>
      </w:r>
      <w:r>
        <w:rPr>
          <w:rFonts w:hint="eastAsia" w:ascii="宋体" w:hAnsi="宋体" w:cs="宋体"/>
          <w:kern w:val="0"/>
          <w:szCs w:val="21"/>
        </w:rPr>
        <w:t>日内到我单位签订监理合同。</w:t>
      </w:r>
    </w:p>
    <w:p w14:paraId="7ED633FB">
      <w:pPr>
        <w:spacing w:line="360" w:lineRule="auto"/>
        <w:rPr>
          <w:rFonts w:ascii="宋体" w:hAnsi="宋体" w:cs="宋体"/>
          <w:kern w:val="0"/>
          <w:szCs w:val="21"/>
        </w:rPr>
      </w:pPr>
      <w:r>
        <w:rPr>
          <w:rFonts w:hint="eastAsia" w:ascii="宋体" w:hAnsi="宋体" w:cs="宋体"/>
          <w:kern w:val="0"/>
          <w:szCs w:val="21"/>
        </w:rPr>
        <w:t xml:space="preserve">     特此通知。</w:t>
      </w:r>
    </w:p>
    <w:p w14:paraId="206A178E">
      <w:pPr>
        <w:spacing w:line="360" w:lineRule="auto"/>
        <w:rPr>
          <w:rFonts w:ascii="宋体" w:hAnsi="宋体" w:cs="宋体"/>
          <w:kern w:val="0"/>
          <w:sz w:val="24"/>
        </w:rPr>
      </w:pPr>
      <w:r>
        <w:rPr>
          <w:rFonts w:hint="eastAsia" w:ascii="宋体" w:hAnsi="宋体" w:cs="宋体"/>
          <w:kern w:val="0"/>
          <w:sz w:val="24"/>
        </w:rPr>
        <w:t xml:space="preserve">              </w:t>
      </w:r>
    </w:p>
    <w:p w14:paraId="3A31F338">
      <w:pPr>
        <w:spacing w:line="360" w:lineRule="auto"/>
        <w:rPr>
          <w:rFonts w:ascii="宋体" w:hAnsi="宋体" w:cs="宋体"/>
          <w:kern w:val="0"/>
          <w:sz w:val="24"/>
        </w:rPr>
      </w:pPr>
    </w:p>
    <w:p w14:paraId="0E4B2B1C">
      <w:pPr>
        <w:spacing w:line="360" w:lineRule="auto"/>
        <w:rPr>
          <w:rFonts w:ascii="宋体" w:hAnsi="宋体" w:cs="宋体"/>
          <w:kern w:val="0"/>
          <w:sz w:val="24"/>
        </w:rPr>
      </w:pPr>
    </w:p>
    <w:p w14:paraId="044D3388">
      <w:pPr>
        <w:spacing w:line="360" w:lineRule="auto"/>
        <w:jc w:val="left"/>
        <w:rPr>
          <w:rFonts w:ascii="宋体" w:hAnsi="宋体" w:cs="宋体"/>
          <w:kern w:val="0"/>
          <w:szCs w:val="21"/>
        </w:rPr>
      </w:pPr>
      <w:r>
        <w:rPr>
          <w:rFonts w:hint="eastAsia" w:ascii="宋体" w:hAnsi="宋体" w:cs="宋体"/>
          <w:kern w:val="0"/>
          <w:sz w:val="24"/>
        </w:rPr>
        <w:t xml:space="preserve">                             </w:t>
      </w:r>
      <w:r>
        <w:rPr>
          <w:rFonts w:hint="eastAsia" w:ascii="宋体" w:hAnsi="宋体" w:cs="宋体"/>
          <w:kern w:val="0"/>
          <w:szCs w:val="21"/>
        </w:rPr>
        <w:t xml:space="preserve">   比选人</w:t>
      </w:r>
      <w:r>
        <w:rPr>
          <w:rFonts w:hint="eastAsia" w:ascii="宋体" w:hAnsi="宋体" w:cs="宋体"/>
          <w:snapToGrid w:val="0"/>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napToGrid w:val="0"/>
          <w:kern w:val="0"/>
          <w:szCs w:val="21"/>
        </w:rPr>
        <w:t>盖单位公章</w:t>
      </w:r>
      <w:r>
        <w:rPr>
          <w:rFonts w:hint="eastAsia" w:ascii="宋体" w:hAnsi="宋体" w:cs="宋体"/>
          <w:kern w:val="0"/>
          <w:szCs w:val="21"/>
        </w:rPr>
        <w:t>）</w:t>
      </w:r>
    </w:p>
    <w:p w14:paraId="18653599">
      <w:pPr>
        <w:spacing w:line="360" w:lineRule="auto"/>
        <w:jc w:val="left"/>
        <w:rPr>
          <w:rFonts w:ascii="宋体" w:hAnsi="宋体" w:cs="宋体"/>
          <w:kern w:val="0"/>
          <w:szCs w:val="21"/>
        </w:rPr>
      </w:pPr>
      <w:r>
        <w:rPr>
          <w:rFonts w:hint="eastAsia" w:ascii="宋体" w:hAnsi="宋体" w:cs="宋体"/>
          <w:kern w:val="0"/>
          <w:szCs w:val="21"/>
        </w:rPr>
        <w:t xml:space="preserve">                                    法定代表人</w:t>
      </w:r>
      <w:r>
        <w:rPr>
          <w:rFonts w:hint="eastAsia" w:ascii="宋体" w:hAnsi="宋体" w:cs="宋体"/>
          <w:snapToGrid w:val="0"/>
          <w:kern w:val="0"/>
          <w:szCs w:val="21"/>
        </w:rPr>
        <w:t>：</w:t>
      </w:r>
      <w:r>
        <w:rPr>
          <w:rFonts w:hint="eastAsia" w:ascii="宋体" w:hAnsi="宋体" w:cs="宋体"/>
          <w:kern w:val="0"/>
          <w:szCs w:val="21"/>
          <w:u w:val="single"/>
        </w:rPr>
        <w:t xml:space="preserve">                      </w:t>
      </w:r>
      <w:r>
        <w:rPr>
          <w:rFonts w:hint="eastAsia" w:ascii="宋体" w:hAnsi="宋体" w:cs="宋体"/>
          <w:kern w:val="0"/>
          <w:szCs w:val="21"/>
        </w:rPr>
        <w:t>（签字或盖章）</w:t>
      </w:r>
    </w:p>
    <w:p w14:paraId="4B3BC726">
      <w:pPr>
        <w:spacing w:line="360" w:lineRule="auto"/>
        <w:jc w:val="left"/>
        <w:rPr>
          <w:rFonts w:ascii="宋体" w:hAnsi="宋体" w:cs="宋体"/>
          <w:kern w:val="0"/>
          <w:szCs w:val="21"/>
          <w:u w:val="single"/>
        </w:rPr>
      </w:pPr>
      <w:r>
        <w:rPr>
          <w:rFonts w:hint="eastAsia" w:ascii="宋体" w:hAnsi="宋体" w:cs="宋体"/>
          <w:kern w:val="0"/>
          <w:szCs w:val="21"/>
        </w:rPr>
        <w:t xml:space="preserve">                                    联系人</w:t>
      </w:r>
      <w:r>
        <w:rPr>
          <w:rFonts w:hint="eastAsia" w:ascii="宋体" w:hAnsi="宋体" w:cs="宋体"/>
          <w:snapToGrid w:val="0"/>
          <w:kern w:val="0"/>
          <w:szCs w:val="21"/>
        </w:rPr>
        <w:t>：</w:t>
      </w:r>
      <w:r>
        <w:rPr>
          <w:rFonts w:hint="eastAsia" w:ascii="宋体" w:hAnsi="宋体" w:cs="宋体"/>
          <w:kern w:val="0"/>
          <w:szCs w:val="21"/>
          <w:u w:val="single"/>
        </w:rPr>
        <w:t xml:space="preserve">                          </w:t>
      </w:r>
    </w:p>
    <w:p w14:paraId="64F4487B">
      <w:pPr>
        <w:spacing w:line="360" w:lineRule="auto"/>
        <w:jc w:val="left"/>
        <w:rPr>
          <w:rFonts w:ascii="宋体" w:hAnsi="宋体" w:cs="宋体"/>
          <w:kern w:val="0"/>
          <w:szCs w:val="21"/>
        </w:rPr>
      </w:pPr>
      <w:r>
        <w:rPr>
          <w:rFonts w:hint="eastAsia" w:ascii="宋体" w:hAnsi="宋体" w:cs="宋体"/>
          <w:kern w:val="0"/>
          <w:szCs w:val="21"/>
        </w:rPr>
        <w:t xml:space="preserve">                                    联系电话</w:t>
      </w:r>
      <w:r>
        <w:rPr>
          <w:rFonts w:hint="eastAsia" w:ascii="宋体" w:hAnsi="宋体" w:cs="宋体"/>
          <w:snapToGrid w:val="0"/>
          <w:kern w:val="0"/>
          <w:szCs w:val="21"/>
        </w:rPr>
        <w:t>：</w:t>
      </w:r>
      <w:r>
        <w:rPr>
          <w:rFonts w:hint="eastAsia" w:ascii="宋体" w:hAnsi="宋体" w:cs="宋体"/>
          <w:kern w:val="0"/>
          <w:szCs w:val="21"/>
          <w:u w:val="single"/>
        </w:rPr>
        <w:t xml:space="preserve">                        </w:t>
      </w:r>
    </w:p>
    <w:p w14:paraId="70BDC061">
      <w:pPr>
        <w:spacing w:line="360" w:lineRule="auto"/>
        <w:ind w:firstLine="3780" w:firstLineChars="1800"/>
        <w:rPr>
          <w:rFonts w:ascii="宋体" w:hAnsi="宋体" w:cs="宋体"/>
          <w:kern w:val="0"/>
          <w:szCs w:val="21"/>
        </w:rPr>
      </w:pPr>
      <w:r>
        <w:rPr>
          <w:rFonts w:hint="eastAsia" w:ascii="宋体" w:hAnsi="宋体" w:cs="宋体"/>
          <w:kern w:val="0"/>
          <w:szCs w:val="21"/>
        </w:rPr>
        <w:t>签发日期</w:t>
      </w:r>
      <w:r>
        <w:rPr>
          <w:rFonts w:hint="eastAsia" w:ascii="宋体" w:hAnsi="宋体" w:cs="宋体"/>
          <w:snapToGrid w:val="0"/>
          <w:kern w:val="0"/>
          <w:szCs w:val="21"/>
        </w:rPr>
        <w:t>：</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5A0D0382">
      <w:pPr>
        <w:spacing w:line="360" w:lineRule="auto"/>
        <w:ind w:firstLine="883"/>
        <w:jc w:val="center"/>
        <w:rPr>
          <w:rFonts w:ascii="宋体" w:hAnsi="宋体" w:cs="宋体"/>
          <w:kern w:val="1"/>
        </w:rPr>
      </w:pPr>
      <w:bookmarkStart w:id="616" w:name="_Toc29866"/>
      <w:bookmarkStart w:id="617" w:name="_Toc21320"/>
    </w:p>
    <w:p w14:paraId="323CCF2D">
      <w:pPr>
        <w:spacing w:line="360" w:lineRule="auto"/>
        <w:ind w:firstLine="883"/>
        <w:jc w:val="center"/>
        <w:rPr>
          <w:rFonts w:ascii="宋体" w:hAnsi="宋体" w:cs="宋体"/>
          <w:kern w:val="1"/>
        </w:rPr>
      </w:pPr>
    </w:p>
    <w:p w14:paraId="5175C6E8">
      <w:pPr>
        <w:rPr>
          <w:rFonts w:ascii="宋体" w:hAnsi="宋体" w:cs="宋体"/>
          <w:kern w:val="1"/>
        </w:rPr>
      </w:pPr>
    </w:p>
    <w:p w14:paraId="5BB6F8B0">
      <w:pPr>
        <w:pStyle w:val="2"/>
        <w:rPr>
          <w:rFonts w:ascii="宋体" w:hAnsi="宋体" w:cs="宋体"/>
          <w:kern w:val="1"/>
        </w:rPr>
      </w:pPr>
    </w:p>
    <w:p w14:paraId="2CE9726A">
      <w:pPr>
        <w:rPr>
          <w:rFonts w:ascii="宋体" w:hAnsi="宋体" w:cs="宋体"/>
          <w:kern w:val="1"/>
        </w:rPr>
      </w:pPr>
    </w:p>
    <w:p w14:paraId="425B571F">
      <w:pPr>
        <w:pStyle w:val="2"/>
        <w:rPr>
          <w:rFonts w:ascii="宋体" w:hAnsi="宋体" w:cs="宋体"/>
          <w:kern w:val="1"/>
        </w:rPr>
      </w:pPr>
    </w:p>
    <w:p w14:paraId="5EBFCB76">
      <w:pPr>
        <w:rPr>
          <w:rFonts w:ascii="宋体" w:hAnsi="宋体" w:cs="宋体"/>
          <w:kern w:val="1"/>
        </w:rPr>
      </w:pPr>
    </w:p>
    <w:p w14:paraId="0FFA668A">
      <w:pPr>
        <w:pStyle w:val="2"/>
      </w:pPr>
    </w:p>
    <w:p w14:paraId="072E7071">
      <w:pPr>
        <w:pStyle w:val="3"/>
        <w:spacing w:line="360" w:lineRule="auto"/>
        <w:jc w:val="center"/>
        <w:rPr>
          <w:rFonts w:ascii="宋体" w:hAnsi="宋体" w:cs="宋体"/>
          <w:kern w:val="1"/>
        </w:rPr>
      </w:pPr>
      <w:r>
        <w:rPr>
          <w:rFonts w:hint="eastAsia" w:ascii="宋体" w:hAnsi="宋体" w:cs="宋体"/>
          <w:kern w:val="1"/>
        </w:rPr>
        <w:t>第三章  评选办法（综合评估法）</w:t>
      </w:r>
      <w:bookmarkEnd w:id="616"/>
      <w:bookmarkEnd w:id="617"/>
    </w:p>
    <w:p w14:paraId="6AC7E088">
      <w:pPr>
        <w:keepNext/>
        <w:keepLines/>
        <w:spacing w:before="100" w:after="100" w:line="360" w:lineRule="auto"/>
        <w:outlineLvl w:val="1"/>
        <w:rPr>
          <w:rFonts w:ascii="宋体" w:hAnsi="宋体" w:cs="宋体"/>
          <w:b/>
          <w:bCs/>
          <w:kern w:val="1"/>
          <w:sz w:val="32"/>
          <w:szCs w:val="32"/>
        </w:rPr>
      </w:pPr>
      <w:bookmarkStart w:id="618" w:name="_Toc21967"/>
      <w:bookmarkStart w:id="619" w:name="_Toc9482"/>
      <w:bookmarkStart w:id="620" w:name="_Toc19136"/>
      <w:bookmarkStart w:id="621" w:name="_Toc27983300"/>
      <w:bookmarkStart w:id="622" w:name="_Toc17419"/>
      <w:bookmarkStart w:id="623" w:name="_Toc7285"/>
      <w:bookmarkStart w:id="624" w:name="_Toc14474"/>
      <w:r>
        <w:rPr>
          <w:rFonts w:hint="eastAsia" w:ascii="宋体" w:hAnsi="宋体" w:cs="宋体"/>
          <w:b/>
          <w:bCs/>
          <w:kern w:val="1"/>
          <w:sz w:val="32"/>
          <w:szCs w:val="32"/>
        </w:rPr>
        <w:t>评选办法前附表</w:t>
      </w:r>
      <w:bookmarkEnd w:id="618"/>
      <w:bookmarkEnd w:id="619"/>
      <w:bookmarkEnd w:id="620"/>
    </w:p>
    <w:p w14:paraId="1CB8CEB9">
      <w:pPr>
        <w:spacing w:line="360" w:lineRule="auto"/>
        <w:ind w:firstLine="420" w:firstLineChars="200"/>
        <w:rPr>
          <w:szCs w:val="21"/>
        </w:rPr>
      </w:pPr>
      <w:r>
        <w:rPr>
          <w:rFonts w:hint="eastAsia"/>
          <w:szCs w:val="21"/>
        </w:rPr>
        <w:t>评选</w:t>
      </w:r>
      <w:r>
        <w:rPr>
          <w:szCs w:val="21"/>
        </w:rPr>
        <w:t>办法前附表中的评审内容必须和</w:t>
      </w:r>
      <w:r>
        <w:rPr>
          <w:rFonts w:hint="eastAsia"/>
          <w:szCs w:val="21"/>
        </w:rPr>
        <w:t>竞选人</w:t>
      </w:r>
      <w:r>
        <w:rPr>
          <w:szCs w:val="21"/>
        </w:rPr>
        <w:t>须知前附表中的对应内容一致，若</w:t>
      </w:r>
      <w:r>
        <w:rPr>
          <w:rFonts w:hint="eastAsia"/>
          <w:szCs w:val="21"/>
        </w:rPr>
        <w:t>竞选人</w:t>
      </w:r>
      <w:r>
        <w:rPr>
          <w:szCs w:val="21"/>
        </w:rPr>
        <w:t>须知前附表中未作要求的内容，不得列入</w:t>
      </w:r>
      <w:r>
        <w:rPr>
          <w:rFonts w:hint="eastAsia"/>
          <w:szCs w:val="21"/>
        </w:rPr>
        <w:t>评选</w:t>
      </w:r>
      <w:r>
        <w:rPr>
          <w:szCs w:val="21"/>
        </w:rPr>
        <w:t>办法前附表作为评定依据。</w:t>
      </w:r>
    </w:p>
    <w:p w14:paraId="0E0749F2"/>
    <w:tbl>
      <w:tblPr>
        <w:tblStyle w:val="20"/>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64"/>
        <w:gridCol w:w="673"/>
        <w:gridCol w:w="1030"/>
        <w:gridCol w:w="985"/>
        <w:gridCol w:w="5917"/>
      </w:tblGrid>
      <w:tr w14:paraId="08F049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37" w:type="dxa"/>
            <w:gridSpan w:val="2"/>
            <w:vAlign w:val="center"/>
          </w:tcPr>
          <w:p w14:paraId="463E0807">
            <w:pPr>
              <w:spacing w:line="400" w:lineRule="exact"/>
              <w:jc w:val="center"/>
              <w:rPr>
                <w:rFonts w:ascii="宋体" w:hAnsi="宋体"/>
                <w:b/>
                <w:kern w:val="0"/>
              </w:rPr>
            </w:pPr>
            <w:r>
              <w:rPr>
                <w:rFonts w:ascii="宋体" w:hAnsi="宋体"/>
                <w:b/>
                <w:kern w:val="0"/>
              </w:rPr>
              <w:t>条款号</w:t>
            </w:r>
          </w:p>
        </w:tc>
        <w:tc>
          <w:tcPr>
            <w:tcW w:w="2015" w:type="dxa"/>
            <w:gridSpan w:val="2"/>
            <w:vAlign w:val="center"/>
          </w:tcPr>
          <w:p w14:paraId="6238C7DD">
            <w:pPr>
              <w:spacing w:line="400" w:lineRule="exact"/>
              <w:jc w:val="center"/>
              <w:rPr>
                <w:rFonts w:ascii="宋体" w:hAnsi="宋体"/>
                <w:b/>
                <w:kern w:val="0"/>
              </w:rPr>
            </w:pPr>
            <w:r>
              <w:rPr>
                <w:rFonts w:ascii="宋体" w:hAnsi="宋体"/>
                <w:b/>
                <w:kern w:val="0"/>
              </w:rPr>
              <w:t>评审因素</w:t>
            </w:r>
          </w:p>
        </w:tc>
        <w:tc>
          <w:tcPr>
            <w:tcW w:w="5917" w:type="dxa"/>
            <w:vAlign w:val="center"/>
          </w:tcPr>
          <w:p w14:paraId="10F203B0">
            <w:pPr>
              <w:spacing w:line="400" w:lineRule="exact"/>
              <w:jc w:val="center"/>
              <w:rPr>
                <w:rFonts w:ascii="宋体" w:hAnsi="宋体"/>
                <w:b/>
                <w:kern w:val="0"/>
              </w:rPr>
            </w:pPr>
            <w:r>
              <w:rPr>
                <w:rFonts w:ascii="宋体" w:hAnsi="宋体"/>
                <w:b/>
                <w:kern w:val="0"/>
              </w:rPr>
              <w:t>评审标准</w:t>
            </w:r>
          </w:p>
        </w:tc>
      </w:tr>
      <w:tr w14:paraId="7F94F7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37" w:type="dxa"/>
            <w:gridSpan w:val="2"/>
            <w:vAlign w:val="center"/>
          </w:tcPr>
          <w:p w14:paraId="4E70D40E">
            <w:pPr>
              <w:spacing w:line="360" w:lineRule="auto"/>
              <w:jc w:val="center"/>
              <w:rPr>
                <w:rFonts w:ascii="宋体" w:hAnsi="宋体"/>
                <w:b/>
                <w:kern w:val="0"/>
              </w:rPr>
            </w:pPr>
            <w:r>
              <w:rPr>
                <w:rFonts w:hint="eastAsia" w:ascii="宋体" w:hAnsi="宋体"/>
                <w:kern w:val="0"/>
              </w:rPr>
              <w:t>1</w:t>
            </w:r>
          </w:p>
        </w:tc>
        <w:tc>
          <w:tcPr>
            <w:tcW w:w="2015" w:type="dxa"/>
            <w:gridSpan w:val="2"/>
            <w:vAlign w:val="center"/>
          </w:tcPr>
          <w:p w14:paraId="6EF43741">
            <w:pPr>
              <w:spacing w:line="360" w:lineRule="auto"/>
              <w:jc w:val="center"/>
              <w:rPr>
                <w:rFonts w:ascii="宋体" w:hAnsi="宋体"/>
                <w:b/>
                <w:kern w:val="0"/>
              </w:rPr>
            </w:pPr>
            <w:r>
              <w:rPr>
                <w:rFonts w:hint="eastAsia" w:ascii="宋体" w:hAnsi="宋体"/>
                <w:kern w:val="0"/>
              </w:rPr>
              <w:t>评选</w:t>
            </w:r>
            <w:r>
              <w:rPr>
                <w:rFonts w:ascii="宋体" w:hAnsi="宋体"/>
                <w:kern w:val="0"/>
              </w:rPr>
              <w:t>办法</w:t>
            </w:r>
          </w:p>
        </w:tc>
        <w:tc>
          <w:tcPr>
            <w:tcW w:w="5917" w:type="dxa"/>
            <w:vAlign w:val="center"/>
          </w:tcPr>
          <w:p w14:paraId="64181A1D">
            <w:pPr>
              <w:spacing w:line="360" w:lineRule="auto"/>
              <w:ind w:firstLine="420" w:firstLineChars="200"/>
              <w:jc w:val="left"/>
              <w:rPr>
                <w:rFonts w:ascii="宋体" w:hAnsi="宋体"/>
                <w:b/>
                <w:kern w:val="0"/>
              </w:rPr>
            </w:pPr>
            <w:r>
              <w:rPr>
                <w:rFonts w:ascii="宋体" w:hAnsi="宋体"/>
                <w:kern w:val="0"/>
                <w:szCs w:val="21"/>
              </w:rPr>
              <w:t>本次</w:t>
            </w:r>
            <w:r>
              <w:rPr>
                <w:rFonts w:hint="eastAsia" w:ascii="宋体" w:hAnsi="宋体"/>
                <w:kern w:val="0"/>
                <w:szCs w:val="21"/>
              </w:rPr>
              <w:t>比选</w:t>
            </w:r>
            <w:r>
              <w:rPr>
                <w:rFonts w:ascii="宋体" w:hAnsi="宋体"/>
                <w:kern w:val="0"/>
                <w:szCs w:val="21"/>
              </w:rPr>
              <w:t>采用综合评估法</w:t>
            </w:r>
            <w:r>
              <w:rPr>
                <w:rFonts w:ascii="宋体" w:hAnsi="宋体"/>
                <w:spacing w:val="-47"/>
                <w:kern w:val="0"/>
                <w:szCs w:val="21"/>
              </w:rPr>
              <w:t>。</w:t>
            </w:r>
            <w:r>
              <w:rPr>
                <w:rFonts w:hint="eastAsia" w:ascii="宋体" w:hAnsi="宋体"/>
                <w:kern w:val="0"/>
                <w:szCs w:val="21"/>
              </w:rPr>
              <w:t>评选</w:t>
            </w:r>
            <w:r>
              <w:rPr>
                <w:rFonts w:ascii="宋体" w:hAnsi="宋体"/>
                <w:kern w:val="0"/>
                <w:szCs w:val="21"/>
              </w:rPr>
              <w:t xml:space="preserve">委员会按照本章第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定的评分标准进行打分，按得分由高到低顺序推荐</w:t>
            </w:r>
            <w:r>
              <w:rPr>
                <w:rFonts w:hint="eastAsia" w:ascii="宋体" w:hAnsi="宋体"/>
                <w:kern w:val="0"/>
                <w:szCs w:val="21"/>
              </w:rPr>
              <w:t>中选</w:t>
            </w:r>
            <w:r>
              <w:rPr>
                <w:rFonts w:ascii="宋体" w:hAnsi="宋体"/>
                <w:kern w:val="0"/>
                <w:szCs w:val="21"/>
              </w:rPr>
              <w:t>候选人</w:t>
            </w:r>
            <w:r>
              <w:rPr>
                <w:rFonts w:ascii="宋体" w:hAnsi="宋体"/>
                <w:spacing w:val="-20"/>
                <w:kern w:val="0"/>
                <w:szCs w:val="21"/>
              </w:rPr>
              <w:t>，</w:t>
            </w:r>
            <w:r>
              <w:rPr>
                <w:rFonts w:ascii="宋体" w:hAnsi="宋体"/>
                <w:kern w:val="0"/>
                <w:szCs w:val="21"/>
              </w:rPr>
              <w:t>或根据</w:t>
            </w:r>
            <w:r>
              <w:rPr>
                <w:rFonts w:hint="eastAsia" w:ascii="宋体" w:hAnsi="宋体"/>
                <w:kern w:val="0"/>
                <w:szCs w:val="21"/>
              </w:rPr>
              <w:t>比选人</w:t>
            </w:r>
            <w:r>
              <w:rPr>
                <w:rFonts w:ascii="宋体" w:hAnsi="宋体"/>
                <w:kern w:val="0"/>
                <w:szCs w:val="21"/>
              </w:rPr>
              <w:t>授权直接确定</w:t>
            </w:r>
            <w:r>
              <w:rPr>
                <w:rFonts w:hint="eastAsia" w:ascii="宋体" w:hAnsi="宋体"/>
                <w:kern w:val="0"/>
                <w:szCs w:val="21"/>
              </w:rPr>
              <w:t>中选</w:t>
            </w:r>
            <w:r>
              <w:rPr>
                <w:rFonts w:ascii="宋体" w:hAnsi="宋体"/>
                <w:kern w:val="0"/>
                <w:szCs w:val="21"/>
              </w:rPr>
              <w:t>人</w:t>
            </w:r>
            <w:r>
              <w:rPr>
                <w:rFonts w:ascii="宋体" w:hAnsi="宋体"/>
                <w:spacing w:val="-31"/>
                <w:kern w:val="0"/>
                <w:szCs w:val="21"/>
              </w:rPr>
              <w:t>。</w:t>
            </w:r>
            <w:r>
              <w:rPr>
                <w:rFonts w:ascii="宋体" w:hAnsi="宋体"/>
                <w:kern w:val="0"/>
                <w:szCs w:val="21"/>
              </w:rPr>
              <w:t>综合评分相等时</w:t>
            </w:r>
            <w:r>
              <w:rPr>
                <w:rFonts w:ascii="宋体" w:hAnsi="宋体"/>
                <w:spacing w:val="-31"/>
                <w:kern w:val="0"/>
                <w:szCs w:val="21"/>
              </w:rPr>
              <w:t>，</w:t>
            </w:r>
            <w:r>
              <w:rPr>
                <w:rFonts w:ascii="宋体" w:hAnsi="宋体"/>
                <w:kern w:val="0"/>
                <w:szCs w:val="21"/>
              </w:rPr>
              <w:t>以</w:t>
            </w:r>
            <w:r>
              <w:rPr>
                <w:rFonts w:hint="eastAsia" w:ascii="宋体" w:hAnsi="宋体"/>
                <w:kern w:val="0"/>
                <w:szCs w:val="21"/>
              </w:rPr>
              <w:t>竞选总报价</w:t>
            </w:r>
            <w:r>
              <w:rPr>
                <w:rFonts w:ascii="宋体" w:hAnsi="宋体"/>
                <w:kern w:val="0"/>
                <w:szCs w:val="21"/>
              </w:rPr>
              <w:t>低的优先；</w:t>
            </w:r>
            <w:r>
              <w:rPr>
                <w:rFonts w:hint="eastAsia" w:ascii="宋体" w:hAnsi="宋体"/>
                <w:kern w:val="0"/>
                <w:szCs w:val="21"/>
              </w:rPr>
              <w:t>竞选总报价</w:t>
            </w:r>
            <w:r>
              <w:rPr>
                <w:rFonts w:ascii="宋体" w:hAnsi="宋体"/>
                <w:kern w:val="0"/>
                <w:szCs w:val="21"/>
              </w:rPr>
              <w:t>相等的，</w:t>
            </w:r>
            <w:r>
              <w:rPr>
                <w:rFonts w:hint="eastAsia" w:ascii="宋体" w:hAnsi="宋体"/>
                <w:kern w:val="0"/>
                <w:szCs w:val="21"/>
              </w:rPr>
              <w:t>以技术（监理大纲）得分高的优先；技术得分</w:t>
            </w:r>
            <w:r>
              <w:rPr>
                <w:rFonts w:ascii="宋体" w:hAnsi="宋体"/>
                <w:kern w:val="0"/>
                <w:szCs w:val="21"/>
              </w:rPr>
              <w:t>相等的</w:t>
            </w:r>
            <w:r>
              <w:rPr>
                <w:rFonts w:hint="eastAsia" w:ascii="宋体" w:hAnsi="宋体"/>
                <w:kern w:val="0"/>
                <w:szCs w:val="21"/>
              </w:rPr>
              <w:t>，由评选委员会</w:t>
            </w:r>
            <w:r>
              <w:rPr>
                <w:rFonts w:hint="eastAsia" w:ascii="宋体" w:hAnsi="宋体"/>
                <w:spacing w:val="4"/>
                <w:kern w:val="0"/>
                <w:szCs w:val="21"/>
                <w:u w:val="single"/>
              </w:rPr>
              <w:t>按业绩金额大的优先</w:t>
            </w:r>
            <w:r>
              <w:rPr>
                <w:rFonts w:hint="eastAsia" w:ascii="宋体" w:hAnsi="宋体"/>
                <w:spacing w:val="4"/>
                <w:kern w:val="0"/>
                <w:szCs w:val="21"/>
              </w:rPr>
              <w:t>原则排序</w:t>
            </w:r>
            <w:r>
              <w:rPr>
                <w:rFonts w:hint="eastAsia" w:ascii="宋体" w:hAnsi="宋体"/>
                <w:kern w:val="0"/>
                <w:szCs w:val="21"/>
              </w:rPr>
              <w:t>。</w:t>
            </w:r>
          </w:p>
        </w:tc>
      </w:tr>
      <w:tr w14:paraId="62E39C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restart"/>
            <w:vAlign w:val="center"/>
          </w:tcPr>
          <w:p w14:paraId="0D5F7646">
            <w:pPr>
              <w:spacing w:line="360" w:lineRule="auto"/>
              <w:jc w:val="center"/>
              <w:rPr>
                <w:rFonts w:ascii="宋体" w:hAnsi="宋体"/>
                <w:kern w:val="0"/>
              </w:rPr>
            </w:pPr>
            <w:r>
              <w:rPr>
                <w:rFonts w:ascii="宋体" w:hAnsi="宋体"/>
                <w:kern w:val="0"/>
              </w:rPr>
              <w:t>2.1.1</w:t>
            </w:r>
          </w:p>
        </w:tc>
        <w:tc>
          <w:tcPr>
            <w:tcW w:w="673" w:type="dxa"/>
            <w:vMerge w:val="restart"/>
            <w:vAlign w:val="center"/>
          </w:tcPr>
          <w:p w14:paraId="3E178DDF">
            <w:pPr>
              <w:spacing w:line="360" w:lineRule="auto"/>
              <w:jc w:val="center"/>
              <w:rPr>
                <w:rFonts w:ascii="宋体" w:hAnsi="宋体"/>
                <w:kern w:val="0"/>
              </w:rPr>
            </w:pPr>
            <w:r>
              <w:rPr>
                <w:rFonts w:ascii="宋体" w:hAnsi="宋体"/>
                <w:kern w:val="0"/>
              </w:rPr>
              <w:t>形式评审标准</w:t>
            </w:r>
          </w:p>
        </w:tc>
        <w:tc>
          <w:tcPr>
            <w:tcW w:w="2015" w:type="dxa"/>
            <w:gridSpan w:val="2"/>
            <w:vAlign w:val="center"/>
          </w:tcPr>
          <w:p w14:paraId="4BCDBDD8">
            <w:pPr>
              <w:spacing w:line="360" w:lineRule="auto"/>
              <w:jc w:val="center"/>
              <w:rPr>
                <w:rFonts w:ascii="宋体" w:hAnsi="宋体"/>
                <w:kern w:val="0"/>
              </w:rPr>
            </w:pPr>
            <w:r>
              <w:rPr>
                <w:rFonts w:hint="eastAsia" w:ascii="宋体" w:hAnsi="宋体"/>
                <w:kern w:val="0"/>
              </w:rPr>
              <w:t>竞选人</w:t>
            </w:r>
            <w:r>
              <w:rPr>
                <w:rFonts w:ascii="宋体" w:hAnsi="宋体"/>
                <w:kern w:val="0"/>
              </w:rPr>
              <w:t>名称</w:t>
            </w:r>
          </w:p>
        </w:tc>
        <w:tc>
          <w:tcPr>
            <w:tcW w:w="5917" w:type="dxa"/>
            <w:vAlign w:val="center"/>
          </w:tcPr>
          <w:p w14:paraId="1D8C210E">
            <w:pPr>
              <w:spacing w:line="360" w:lineRule="auto"/>
              <w:ind w:firstLine="420" w:firstLineChars="200"/>
              <w:rPr>
                <w:rFonts w:ascii="宋体" w:hAnsi="宋体"/>
                <w:kern w:val="0"/>
              </w:rPr>
            </w:pPr>
            <w:r>
              <w:rPr>
                <w:rFonts w:ascii="宋体" w:hAnsi="宋体"/>
                <w:kern w:val="0"/>
              </w:rPr>
              <w:t>与营业执照、资质证书一致</w:t>
            </w:r>
            <w:r>
              <w:rPr>
                <w:rFonts w:hint="eastAsia" w:ascii="宋体" w:hAnsi="宋体"/>
                <w:kern w:val="0"/>
              </w:rPr>
              <w:t>，</w:t>
            </w:r>
            <w:r>
              <w:t>依法变更名称的应提交相应证明材料。</w:t>
            </w:r>
          </w:p>
        </w:tc>
      </w:tr>
      <w:tr w14:paraId="0590FD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15A78B93">
            <w:pPr>
              <w:spacing w:line="360" w:lineRule="auto"/>
              <w:rPr>
                <w:rFonts w:ascii="宋体" w:hAnsi="宋体"/>
              </w:rPr>
            </w:pPr>
          </w:p>
        </w:tc>
        <w:tc>
          <w:tcPr>
            <w:tcW w:w="673" w:type="dxa"/>
            <w:vMerge w:val="continue"/>
          </w:tcPr>
          <w:p w14:paraId="11A759C2">
            <w:pPr>
              <w:spacing w:line="360" w:lineRule="auto"/>
              <w:rPr>
                <w:rFonts w:ascii="宋体" w:hAnsi="宋体"/>
              </w:rPr>
            </w:pPr>
          </w:p>
        </w:tc>
        <w:tc>
          <w:tcPr>
            <w:tcW w:w="2015" w:type="dxa"/>
            <w:gridSpan w:val="2"/>
            <w:vAlign w:val="center"/>
          </w:tcPr>
          <w:p w14:paraId="0395B599">
            <w:pPr>
              <w:spacing w:line="360" w:lineRule="auto"/>
              <w:jc w:val="center"/>
              <w:rPr>
                <w:rFonts w:ascii="宋体" w:hAnsi="宋体"/>
                <w:kern w:val="0"/>
              </w:rPr>
            </w:pPr>
            <w:r>
              <w:rPr>
                <w:rFonts w:hint="eastAsia" w:ascii="宋体" w:hAnsi="宋体"/>
                <w:kern w:val="0"/>
              </w:rPr>
              <w:t>竞选函</w:t>
            </w:r>
            <w:r>
              <w:rPr>
                <w:rFonts w:ascii="宋体" w:hAnsi="宋体"/>
                <w:kern w:val="0"/>
              </w:rPr>
              <w:t>签字盖章</w:t>
            </w:r>
          </w:p>
        </w:tc>
        <w:tc>
          <w:tcPr>
            <w:tcW w:w="5917" w:type="dxa"/>
            <w:vAlign w:val="center"/>
          </w:tcPr>
          <w:p w14:paraId="026FE6C3">
            <w:pPr>
              <w:spacing w:line="360" w:lineRule="auto"/>
              <w:ind w:firstLine="420" w:firstLineChars="200"/>
              <w:rPr>
                <w:rFonts w:ascii="宋体" w:hAnsi="宋体"/>
                <w:kern w:val="0"/>
              </w:rPr>
            </w:pPr>
            <w:r>
              <w:rPr>
                <w:rFonts w:ascii="宋体" w:hAnsi="宋体"/>
                <w:kern w:val="0"/>
              </w:rPr>
              <w:t>有法定代表人或其委托代理人签字（或盖章）、加盖单位</w:t>
            </w:r>
            <w:r>
              <w:rPr>
                <w:rFonts w:hint="eastAsia" w:ascii="宋体" w:hAnsi="宋体"/>
                <w:kern w:val="0"/>
              </w:rPr>
              <w:t>公章</w:t>
            </w:r>
            <w:r>
              <w:rPr>
                <w:rFonts w:ascii="宋体" w:hAnsi="宋体"/>
                <w:kern w:val="0"/>
              </w:rPr>
              <w:t>。</w:t>
            </w:r>
          </w:p>
        </w:tc>
      </w:tr>
      <w:tr w14:paraId="1C8488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7CCF121F">
            <w:pPr>
              <w:spacing w:line="360" w:lineRule="auto"/>
              <w:rPr>
                <w:rFonts w:ascii="宋体" w:hAnsi="宋体"/>
              </w:rPr>
            </w:pPr>
          </w:p>
        </w:tc>
        <w:tc>
          <w:tcPr>
            <w:tcW w:w="673" w:type="dxa"/>
            <w:vMerge w:val="continue"/>
          </w:tcPr>
          <w:p w14:paraId="722F5A62">
            <w:pPr>
              <w:spacing w:line="360" w:lineRule="auto"/>
              <w:rPr>
                <w:rFonts w:ascii="宋体" w:hAnsi="宋体"/>
              </w:rPr>
            </w:pPr>
          </w:p>
        </w:tc>
        <w:tc>
          <w:tcPr>
            <w:tcW w:w="2015" w:type="dxa"/>
            <w:gridSpan w:val="2"/>
            <w:vAlign w:val="center"/>
          </w:tcPr>
          <w:p w14:paraId="488D3A10">
            <w:pPr>
              <w:spacing w:line="360" w:lineRule="auto"/>
              <w:jc w:val="center"/>
              <w:rPr>
                <w:rFonts w:ascii="宋体" w:hAnsi="宋体"/>
                <w:kern w:val="0"/>
              </w:rPr>
            </w:pPr>
            <w:r>
              <w:rPr>
                <w:rFonts w:hint="eastAsia" w:ascii="宋体" w:hAnsi="宋体"/>
                <w:kern w:val="0"/>
              </w:rPr>
              <w:t>竞选文件</w:t>
            </w:r>
            <w:r>
              <w:rPr>
                <w:rFonts w:ascii="宋体" w:hAnsi="宋体"/>
                <w:kern w:val="0"/>
              </w:rPr>
              <w:t>格式</w:t>
            </w:r>
          </w:p>
        </w:tc>
        <w:tc>
          <w:tcPr>
            <w:tcW w:w="5917" w:type="dxa"/>
            <w:vAlign w:val="center"/>
          </w:tcPr>
          <w:p w14:paraId="172A611A">
            <w:pPr>
              <w:spacing w:line="360" w:lineRule="auto"/>
              <w:ind w:firstLine="420" w:firstLineChars="200"/>
              <w:rPr>
                <w:rFonts w:ascii="宋体" w:hAnsi="宋体"/>
                <w:kern w:val="0"/>
              </w:rPr>
            </w:pPr>
            <w:r>
              <w:rPr>
                <w:rFonts w:ascii="宋体" w:hAnsi="宋体"/>
                <w:kern w:val="0"/>
              </w:rPr>
              <w:t>符合第</w:t>
            </w:r>
            <w:r>
              <w:rPr>
                <w:rFonts w:hint="eastAsia" w:ascii="宋体" w:hAnsi="宋体"/>
                <w:kern w:val="0"/>
              </w:rPr>
              <w:t>五</w:t>
            </w:r>
            <w:r>
              <w:rPr>
                <w:rFonts w:ascii="宋体" w:hAnsi="宋体"/>
                <w:kern w:val="0"/>
              </w:rPr>
              <w:t>章“</w:t>
            </w:r>
            <w:r>
              <w:rPr>
                <w:rFonts w:hint="eastAsia" w:ascii="宋体" w:hAnsi="宋体"/>
                <w:kern w:val="0"/>
              </w:rPr>
              <w:t>竞选文件</w:t>
            </w:r>
            <w:r>
              <w:rPr>
                <w:rFonts w:ascii="宋体" w:hAnsi="宋体"/>
                <w:kern w:val="0"/>
              </w:rPr>
              <w:t>格式”的要求。</w:t>
            </w:r>
          </w:p>
        </w:tc>
      </w:tr>
      <w:tr w14:paraId="0FF9AE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5B20B593">
            <w:pPr>
              <w:spacing w:line="360" w:lineRule="auto"/>
              <w:rPr>
                <w:rFonts w:ascii="宋体" w:hAnsi="宋体"/>
              </w:rPr>
            </w:pPr>
          </w:p>
        </w:tc>
        <w:tc>
          <w:tcPr>
            <w:tcW w:w="673" w:type="dxa"/>
            <w:vMerge w:val="continue"/>
          </w:tcPr>
          <w:p w14:paraId="05CF9F11">
            <w:pPr>
              <w:spacing w:line="360" w:lineRule="auto"/>
              <w:rPr>
                <w:rFonts w:ascii="宋体" w:hAnsi="宋体"/>
              </w:rPr>
            </w:pPr>
          </w:p>
        </w:tc>
        <w:tc>
          <w:tcPr>
            <w:tcW w:w="2015" w:type="dxa"/>
            <w:gridSpan w:val="2"/>
            <w:vAlign w:val="center"/>
          </w:tcPr>
          <w:p w14:paraId="15622A9C">
            <w:pPr>
              <w:spacing w:line="360" w:lineRule="auto"/>
              <w:jc w:val="center"/>
              <w:rPr>
                <w:rFonts w:ascii="宋体" w:hAnsi="宋体"/>
                <w:kern w:val="0"/>
              </w:rPr>
            </w:pPr>
            <w:r>
              <w:rPr>
                <w:rFonts w:ascii="宋体" w:hAnsi="宋体"/>
                <w:kern w:val="0"/>
              </w:rPr>
              <w:t>报价唯一</w:t>
            </w:r>
          </w:p>
        </w:tc>
        <w:tc>
          <w:tcPr>
            <w:tcW w:w="5917" w:type="dxa"/>
            <w:vAlign w:val="center"/>
          </w:tcPr>
          <w:p w14:paraId="05752E6E">
            <w:pPr>
              <w:spacing w:line="360" w:lineRule="auto"/>
              <w:ind w:firstLine="420" w:firstLineChars="200"/>
              <w:rPr>
                <w:rFonts w:ascii="宋体" w:hAnsi="宋体"/>
                <w:kern w:val="0"/>
              </w:rPr>
            </w:pPr>
            <w:r>
              <w:rPr>
                <w:rFonts w:ascii="宋体" w:hAnsi="宋体"/>
                <w:kern w:val="0"/>
              </w:rPr>
              <w:t>只能有一个有效报价，在比选文件没有规定的情况下，不得提交选择性报价。</w:t>
            </w:r>
          </w:p>
        </w:tc>
      </w:tr>
      <w:tr w14:paraId="639BB3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7ECAC19E">
            <w:pPr>
              <w:spacing w:line="360" w:lineRule="auto"/>
              <w:rPr>
                <w:rFonts w:ascii="宋体" w:hAnsi="宋体"/>
              </w:rPr>
            </w:pPr>
          </w:p>
        </w:tc>
        <w:tc>
          <w:tcPr>
            <w:tcW w:w="673" w:type="dxa"/>
            <w:vMerge w:val="continue"/>
          </w:tcPr>
          <w:p w14:paraId="14F226DC">
            <w:pPr>
              <w:spacing w:line="360" w:lineRule="auto"/>
              <w:rPr>
                <w:rFonts w:ascii="宋体" w:hAnsi="宋体"/>
              </w:rPr>
            </w:pPr>
          </w:p>
        </w:tc>
        <w:tc>
          <w:tcPr>
            <w:tcW w:w="2015" w:type="dxa"/>
            <w:gridSpan w:val="2"/>
            <w:vAlign w:val="center"/>
          </w:tcPr>
          <w:p w14:paraId="7EB589E8">
            <w:pPr>
              <w:spacing w:line="360" w:lineRule="auto"/>
              <w:jc w:val="center"/>
              <w:rPr>
                <w:rFonts w:ascii="宋体" w:hAnsi="宋体"/>
                <w:kern w:val="0"/>
              </w:rPr>
            </w:pPr>
            <w:r>
              <w:rPr>
                <w:rFonts w:hint="eastAsia" w:ascii="宋体" w:hAnsi="宋体"/>
                <w:kern w:val="0"/>
              </w:rPr>
              <w:t>竞选文件</w:t>
            </w:r>
            <w:r>
              <w:rPr>
                <w:rFonts w:ascii="宋体" w:hAnsi="宋体"/>
                <w:kern w:val="0"/>
              </w:rPr>
              <w:t>的签署</w:t>
            </w:r>
          </w:p>
        </w:tc>
        <w:tc>
          <w:tcPr>
            <w:tcW w:w="5917" w:type="dxa"/>
            <w:vAlign w:val="center"/>
          </w:tcPr>
          <w:p w14:paraId="7063E494">
            <w:pPr>
              <w:spacing w:line="360" w:lineRule="auto"/>
              <w:ind w:firstLine="420" w:firstLineChars="200"/>
              <w:rPr>
                <w:rFonts w:ascii="宋体" w:hAnsi="宋体"/>
                <w:kern w:val="0"/>
              </w:rPr>
            </w:pPr>
            <w:r>
              <w:rPr>
                <w:rFonts w:hint="eastAsia" w:ascii="宋体" w:hAnsi="宋体"/>
                <w:kern w:val="0"/>
              </w:rPr>
              <w:t>竞选文件</w:t>
            </w:r>
            <w:r>
              <w:rPr>
                <w:rFonts w:ascii="宋体" w:hAnsi="宋体"/>
                <w:kern w:val="0"/>
              </w:rPr>
              <w:t>上法定代表人或其委托代理人的签字（或盖章）齐全。</w:t>
            </w:r>
          </w:p>
        </w:tc>
      </w:tr>
      <w:tr w14:paraId="76F862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641D5E17">
            <w:pPr>
              <w:spacing w:line="360" w:lineRule="auto"/>
              <w:rPr>
                <w:rFonts w:ascii="宋体" w:hAnsi="宋体"/>
              </w:rPr>
            </w:pPr>
          </w:p>
        </w:tc>
        <w:tc>
          <w:tcPr>
            <w:tcW w:w="673" w:type="dxa"/>
            <w:vMerge w:val="continue"/>
          </w:tcPr>
          <w:p w14:paraId="767201DC">
            <w:pPr>
              <w:spacing w:line="360" w:lineRule="auto"/>
              <w:rPr>
                <w:rFonts w:ascii="宋体" w:hAnsi="宋体"/>
              </w:rPr>
            </w:pPr>
          </w:p>
        </w:tc>
        <w:tc>
          <w:tcPr>
            <w:tcW w:w="2015" w:type="dxa"/>
            <w:gridSpan w:val="2"/>
            <w:vAlign w:val="center"/>
          </w:tcPr>
          <w:p w14:paraId="1A2C7BC0">
            <w:pPr>
              <w:spacing w:line="360" w:lineRule="auto"/>
              <w:jc w:val="center"/>
              <w:rPr>
                <w:rFonts w:ascii="宋体" w:hAnsi="宋体"/>
                <w:kern w:val="0"/>
              </w:rPr>
            </w:pPr>
            <w:r>
              <w:rPr>
                <w:rFonts w:ascii="宋体" w:hAnsi="宋体"/>
                <w:kern w:val="0"/>
              </w:rPr>
              <w:t>委托代理人</w:t>
            </w:r>
          </w:p>
        </w:tc>
        <w:tc>
          <w:tcPr>
            <w:tcW w:w="5917" w:type="dxa"/>
            <w:vAlign w:val="center"/>
          </w:tcPr>
          <w:p w14:paraId="0F53E1AD">
            <w:pPr>
              <w:spacing w:line="360" w:lineRule="auto"/>
              <w:ind w:firstLine="420" w:firstLineChars="200"/>
              <w:rPr>
                <w:rFonts w:ascii="宋体" w:hAnsi="宋体"/>
                <w:kern w:val="0"/>
              </w:rPr>
            </w:pPr>
            <w:r>
              <w:rPr>
                <w:rFonts w:hint="eastAsia" w:ascii="宋体" w:hAnsi="宋体"/>
                <w:kern w:val="0"/>
              </w:rPr>
              <w:t>竞选人</w:t>
            </w:r>
            <w:r>
              <w:rPr>
                <w:rFonts w:ascii="宋体" w:hAnsi="宋体"/>
                <w:kern w:val="0"/>
              </w:rPr>
              <w:t>法定代表人的委托代理人有法定代表人签署的授权委托书</w:t>
            </w:r>
            <w:r>
              <w:rPr>
                <w:rFonts w:hint="eastAsia" w:ascii="宋体" w:hAnsi="宋体"/>
                <w:kern w:val="0"/>
              </w:rPr>
              <w:t>。</w:t>
            </w:r>
          </w:p>
        </w:tc>
      </w:tr>
      <w:tr w14:paraId="3FC936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restart"/>
            <w:vAlign w:val="center"/>
          </w:tcPr>
          <w:p w14:paraId="4ED25795">
            <w:pPr>
              <w:spacing w:line="360" w:lineRule="auto"/>
              <w:jc w:val="center"/>
              <w:rPr>
                <w:rFonts w:ascii="宋体" w:hAnsi="宋体"/>
                <w:kern w:val="0"/>
              </w:rPr>
            </w:pPr>
            <w:r>
              <w:rPr>
                <w:rFonts w:ascii="宋体" w:hAnsi="宋体"/>
                <w:kern w:val="0"/>
              </w:rPr>
              <w:t>2.1.2</w:t>
            </w:r>
          </w:p>
        </w:tc>
        <w:tc>
          <w:tcPr>
            <w:tcW w:w="673" w:type="dxa"/>
            <w:vMerge w:val="restart"/>
            <w:vAlign w:val="center"/>
          </w:tcPr>
          <w:p w14:paraId="3221AB49">
            <w:pPr>
              <w:spacing w:line="360" w:lineRule="auto"/>
              <w:jc w:val="center"/>
              <w:rPr>
                <w:rFonts w:ascii="宋体" w:hAnsi="宋体"/>
                <w:kern w:val="0"/>
              </w:rPr>
            </w:pPr>
            <w:r>
              <w:rPr>
                <w:rFonts w:ascii="宋体" w:hAnsi="宋体"/>
                <w:kern w:val="0"/>
              </w:rPr>
              <w:t>资格评审标准</w:t>
            </w:r>
          </w:p>
        </w:tc>
        <w:tc>
          <w:tcPr>
            <w:tcW w:w="2015" w:type="dxa"/>
            <w:gridSpan w:val="2"/>
            <w:tcBorders>
              <w:bottom w:val="single" w:color="auto" w:sz="4" w:space="0"/>
            </w:tcBorders>
            <w:vAlign w:val="center"/>
          </w:tcPr>
          <w:p w14:paraId="1F7DDE6B">
            <w:pPr>
              <w:spacing w:line="360" w:lineRule="auto"/>
              <w:jc w:val="center"/>
              <w:rPr>
                <w:rFonts w:ascii="宋体" w:hAnsi="宋体"/>
                <w:kern w:val="0"/>
              </w:rPr>
            </w:pPr>
            <w:r>
              <w:rPr>
                <w:rFonts w:ascii="宋体" w:hAnsi="宋体"/>
                <w:kern w:val="0"/>
              </w:rPr>
              <w:t>营业执照</w:t>
            </w:r>
          </w:p>
        </w:tc>
        <w:tc>
          <w:tcPr>
            <w:tcW w:w="5917" w:type="dxa"/>
            <w:vAlign w:val="center"/>
          </w:tcPr>
          <w:p w14:paraId="164299F4">
            <w:pPr>
              <w:spacing w:line="360" w:lineRule="auto"/>
              <w:ind w:firstLine="420" w:firstLineChars="200"/>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须知”第1.4.1项规定</w:t>
            </w:r>
          </w:p>
        </w:tc>
      </w:tr>
      <w:tr w14:paraId="609D1B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304946E3">
            <w:pPr>
              <w:spacing w:line="360" w:lineRule="auto"/>
              <w:rPr>
                <w:rFonts w:ascii="宋体" w:hAnsi="宋体"/>
              </w:rPr>
            </w:pPr>
          </w:p>
        </w:tc>
        <w:tc>
          <w:tcPr>
            <w:tcW w:w="673" w:type="dxa"/>
            <w:vMerge w:val="continue"/>
          </w:tcPr>
          <w:p w14:paraId="35908184">
            <w:pPr>
              <w:spacing w:line="360" w:lineRule="auto"/>
              <w:rPr>
                <w:rFonts w:ascii="宋体" w:hAnsi="宋体"/>
              </w:rPr>
            </w:pPr>
          </w:p>
        </w:tc>
        <w:tc>
          <w:tcPr>
            <w:tcW w:w="2015" w:type="dxa"/>
            <w:gridSpan w:val="2"/>
            <w:tcBorders>
              <w:top w:val="single" w:color="auto" w:sz="4" w:space="0"/>
            </w:tcBorders>
          </w:tcPr>
          <w:p w14:paraId="2D5A55AD">
            <w:pPr>
              <w:spacing w:line="360" w:lineRule="auto"/>
              <w:jc w:val="center"/>
              <w:rPr>
                <w:rFonts w:ascii="宋体" w:hAnsi="宋体"/>
                <w:kern w:val="0"/>
              </w:rPr>
            </w:pPr>
            <w:r>
              <w:rPr>
                <w:rFonts w:ascii="宋体" w:hAnsi="宋体"/>
                <w:kern w:val="0"/>
              </w:rPr>
              <w:t>资质等级</w:t>
            </w:r>
          </w:p>
        </w:tc>
        <w:tc>
          <w:tcPr>
            <w:tcW w:w="5917" w:type="dxa"/>
            <w:vAlign w:val="center"/>
          </w:tcPr>
          <w:p w14:paraId="67CB9111">
            <w:pPr>
              <w:spacing w:line="360" w:lineRule="auto"/>
              <w:ind w:firstLine="420" w:firstLineChars="200"/>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须知”第1.4.1项规定</w:t>
            </w:r>
          </w:p>
        </w:tc>
      </w:tr>
      <w:tr w14:paraId="4AB425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373529E6">
            <w:pPr>
              <w:spacing w:line="360" w:lineRule="auto"/>
              <w:rPr>
                <w:rFonts w:ascii="宋体" w:hAnsi="宋体"/>
              </w:rPr>
            </w:pPr>
          </w:p>
        </w:tc>
        <w:tc>
          <w:tcPr>
            <w:tcW w:w="673" w:type="dxa"/>
            <w:vMerge w:val="continue"/>
          </w:tcPr>
          <w:p w14:paraId="1B1F0C56">
            <w:pPr>
              <w:spacing w:line="360" w:lineRule="auto"/>
              <w:rPr>
                <w:rFonts w:ascii="宋体" w:hAnsi="宋体"/>
              </w:rPr>
            </w:pPr>
          </w:p>
        </w:tc>
        <w:tc>
          <w:tcPr>
            <w:tcW w:w="2015" w:type="dxa"/>
            <w:gridSpan w:val="2"/>
            <w:tcBorders>
              <w:top w:val="single" w:color="auto" w:sz="4" w:space="0"/>
            </w:tcBorders>
          </w:tcPr>
          <w:p w14:paraId="44B6B058">
            <w:pPr>
              <w:spacing w:line="360" w:lineRule="auto"/>
              <w:jc w:val="center"/>
              <w:rPr>
                <w:rFonts w:ascii="宋体" w:hAnsi="宋体"/>
                <w:kern w:val="0"/>
              </w:rPr>
            </w:pPr>
            <w:r>
              <w:rPr>
                <w:rFonts w:hint="eastAsia" w:ascii="宋体" w:hAnsi="宋体"/>
                <w:kern w:val="0"/>
              </w:rPr>
              <w:t>财务要求</w:t>
            </w:r>
          </w:p>
        </w:tc>
        <w:tc>
          <w:tcPr>
            <w:tcW w:w="5917" w:type="dxa"/>
            <w:vAlign w:val="center"/>
          </w:tcPr>
          <w:p w14:paraId="6900A272">
            <w:pPr>
              <w:spacing w:line="360" w:lineRule="auto"/>
              <w:ind w:firstLine="420" w:firstLineChars="200"/>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须知”第1.4.1项规定</w:t>
            </w:r>
          </w:p>
        </w:tc>
      </w:tr>
      <w:tr w14:paraId="62A000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502C91B5">
            <w:pPr>
              <w:spacing w:line="360" w:lineRule="auto"/>
              <w:rPr>
                <w:rFonts w:ascii="宋体" w:hAnsi="宋体"/>
              </w:rPr>
            </w:pPr>
          </w:p>
        </w:tc>
        <w:tc>
          <w:tcPr>
            <w:tcW w:w="673" w:type="dxa"/>
            <w:vMerge w:val="continue"/>
          </w:tcPr>
          <w:p w14:paraId="4455D6F7">
            <w:pPr>
              <w:spacing w:line="360" w:lineRule="auto"/>
              <w:rPr>
                <w:rFonts w:ascii="宋体" w:hAnsi="宋体"/>
              </w:rPr>
            </w:pPr>
          </w:p>
        </w:tc>
        <w:tc>
          <w:tcPr>
            <w:tcW w:w="2015" w:type="dxa"/>
            <w:gridSpan w:val="2"/>
            <w:tcBorders>
              <w:top w:val="single" w:color="auto" w:sz="4" w:space="0"/>
            </w:tcBorders>
          </w:tcPr>
          <w:p w14:paraId="1620213B">
            <w:pPr>
              <w:spacing w:line="360" w:lineRule="auto"/>
              <w:jc w:val="center"/>
              <w:rPr>
                <w:rFonts w:ascii="宋体" w:hAnsi="宋体"/>
                <w:kern w:val="0"/>
              </w:rPr>
            </w:pPr>
            <w:r>
              <w:rPr>
                <w:rFonts w:hint="eastAsia" w:ascii="宋体" w:hAnsi="宋体"/>
                <w:kern w:val="0"/>
              </w:rPr>
              <w:t>业绩要求</w:t>
            </w:r>
          </w:p>
        </w:tc>
        <w:tc>
          <w:tcPr>
            <w:tcW w:w="5917" w:type="dxa"/>
            <w:vAlign w:val="center"/>
          </w:tcPr>
          <w:p w14:paraId="3EA2457C">
            <w:pPr>
              <w:spacing w:line="360" w:lineRule="auto"/>
              <w:ind w:firstLine="420" w:firstLineChars="200"/>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须知”第1.4.1项规定</w:t>
            </w:r>
          </w:p>
        </w:tc>
      </w:tr>
      <w:tr w14:paraId="7C566B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3499B208">
            <w:pPr>
              <w:spacing w:line="360" w:lineRule="auto"/>
              <w:rPr>
                <w:rFonts w:ascii="宋体" w:hAnsi="宋体"/>
              </w:rPr>
            </w:pPr>
          </w:p>
        </w:tc>
        <w:tc>
          <w:tcPr>
            <w:tcW w:w="673" w:type="dxa"/>
            <w:vMerge w:val="continue"/>
          </w:tcPr>
          <w:p w14:paraId="3FC72A34">
            <w:pPr>
              <w:spacing w:line="360" w:lineRule="auto"/>
              <w:rPr>
                <w:rFonts w:ascii="宋体" w:hAnsi="宋体"/>
              </w:rPr>
            </w:pPr>
          </w:p>
        </w:tc>
        <w:tc>
          <w:tcPr>
            <w:tcW w:w="2015" w:type="dxa"/>
            <w:gridSpan w:val="2"/>
            <w:tcBorders>
              <w:top w:val="single" w:color="auto" w:sz="4" w:space="0"/>
            </w:tcBorders>
          </w:tcPr>
          <w:p w14:paraId="10ED5344">
            <w:pPr>
              <w:spacing w:line="360" w:lineRule="auto"/>
              <w:jc w:val="center"/>
              <w:rPr>
                <w:rFonts w:ascii="宋体" w:hAnsi="宋体"/>
                <w:kern w:val="0"/>
              </w:rPr>
            </w:pPr>
            <w:r>
              <w:rPr>
                <w:rFonts w:hint="eastAsia" w:ascii="宋体" w:hAnsi="宋体"/>
                <w:kern w:val="0"/>
              </w:rPr>
              <w:t>竞选截止日竞选资格情况</w:t>
            </w:r>
          </w:p>
        </w:tc>
        <w:tc>
          <w:tcPr>
            <w:tcW w:w="5917" w:type="dxa"/>
            <w:vAlign w:val="center"/>
          </w:tcPr>
          <w:p w14:paraId="5465C198">
            <w:pPr>
              <w:spacing w:line="360" w:lineRule="auto"/>
              <w:ind w:firstLine="420" w:firstLineChars="200"/>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须知”第1.4.1项规定</w:t>
            </w:r>
          </w:p>
        </w:tc>
      </w:tr>
      <w:tr w14:paraId="5D0B85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67F73675">
            <w:pPr>
              <w:spacing w:line="360" w:lineRule="auto"/>
              <w:rPr>
                <w:rFonts w:ascii="宋体" w:hAnsi="宋体"/>
              </w:rPr>
            </w:pPr>
          </w:p>
        </w:tc>
        <w:tc>
          <w:tcPr>
            <w:tcW w:w="673" w:type="dxa"/>
            <w:vMerge w:val="continue"/>
          </w:tcPr>
          <w:p w14:paraId="2273503F">
            <w:pPr>
              <w:spacing w:line="360" w:lineRule="auto"/>
              <w:rPr>
                <w:rFonts w:ascii="宋体" w:hAnsi="宋体"/>
              </w:rPr>
            </w:pPr>
          </w:p>
        </w:tc>
        <w:tc>
          <w:tcPr>
            <w:tcW w:w="2015" w:type="dxa"/>
            <w:gridSpan w:val="2"/>
            <w:tcBorders>
              <w:top w:val="single" w:color="auto" w:sz="4" w:space="0"/>
              <w:bottom w:val="single" w:color="auto" w:sz="4" w:space="0"/>
            </w:tcBorders>
          </w:tcPr>
          <w:p w14:paraId="1A06AB94">
            <w:pPr>
              <w:spacing w:line="360" w:lineRule="auto"/>
              <w:jc w:val="center"/>
              <w:rPr>
                <w:rFonts w:ascii="宋体" w:hAnsi="宋体"/>
                <w:szCs w:val="21"/>
              </w:rPr>
            </w:pPr>
            <w:r>
              <w:rPr>
                <w:rFonts w:hint="eastAsia" w:ascii="宋体" w:hAnsi="宋体"/>
                <w:kern w:val="0"/>
              </w:rPr>
              <w:t>拟派监理人员</w:t>
            </w:r>
            <w:r>
              <w:rPr>
                <w:rFonts w:ascii="宋体" w:hAnsi="宋体"/>
                <w:kern w:val="0"/>
              </w:rPr>
              <w:t>资格</w:t>
            </w:r>
          </w:p>
        </w:tc>
        <w:tc>
          <w:tcPr>
            <w:tcW w:w="5917" w:type="dxa"/>
            <w:vAlign w:val="center"/>
          </w:tcPr>
          <w:p w14:paraId="59BB912F">
            <w:pPr>
              <w:spacing w:line="360" w:lineRule="auto"/>
              <w:ind w:firstLine="420" w:firstLineChars="200"/>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须知”第1.4.1项规定</w:t>
            </w:r>
          </w:p>
        </w:tc>
      </w:tr>
      <w:tr w14:paraId="690A1C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41E7C80A">
            <w:pPr>
              <w:spacing w:line="360" w:lineRule="auto"/>
              <w:rPr>
                <w:rFonts w:ascii="宋体" w:hAnsi="宋体"/>
              </w:rPr>
            </w:pPr>
          </w:p>
        </w:tc>
        <w:tc>
          <w:tcPr>
            <w:tcW w:w="673" w:type="dxa"/>
            <w:vMerge w:val="continue"/>
          </w:tcPr>
          <w:p w14:paraId="7B4A0F99">
            <w:pPr>
              <w:spacing w:line="360" w:lineRule="auto"/>
              <w:rPr>
                <w:rFonts w:ascii="宋体" w:hAnsi="宋体"/>
              </w:rPr>
            </w:pPr>
          </w:p>
        </w:tc>
        <w:tc>
          <w:tcPr>
            <w:tcW w:w="2015" w:type="dxa"/>
            <w:gridSpan w:val="2"/>
            <w:tcBorders>
              <w:top w:val="single" w:color="auto" w:sz="4" w:space="0"/>
              <w:bottom w:val="single" w:color="auto" w:sz="4" w:space="0"/>
            </w:tcBorders>
          </w:tcPr>
          <w:p w14:paraId="39F5A35E">
            <w:pPr>
              <w:spacing w:line="360" w:lineRule="auto"/>
              <w:jc w:val="center"/>
              <w:rPr>
                <w:rFonts w:ascii="宋体" w:hAnsi="宋体"/>
                <w:kern w:val="0"/>
              </w:rPr>
            </w:pPr>
            <w:r>
              <w:rPr>
                <w:rFonts w:ascii="宋体" w:hAnsi="宋体"/>
                <w:kern w:val="0"/>
              </w:rPr>
              <w:t>其他要求</w:t>
            </w:r>
          </w:p>
        </w:tc>
        <w:tc>
          <w:tcPr>
            <w:tcW w:w="5917" w:type="dxa"/>
            <w:vAlign w:val="center"/>
          </w:tcPr>
          <w:p w14:paraId="0BB208AA">
            <w:pPr>
              <w:spacing w:line="360" w:lineRule="auto"/>
              <w:ind w:firstLine="420" w:firstLineChars="200"/>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须知”第1.4.1项规定</w:t>
            </w:r>
          </w:p>
        </w:tc>
      </w:tr>
      <w:tr w14:paraId="6B24E4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restart"/>
            <w:vAlign w:val="center"/>
          </w:tcPr>
          <w:p w14:paraId="6156CE67">
            <w:pPr>
              <w:spacing w:line="360" w:lineRule="auto"/>
              <w:jc w:val="center"/>
              <w:rPr>
                <w:rFonts w:ascii="宋体" w:hAnsi="宋体"/>
              </w:rPr>
            </w:pPr>
            <w:r>
              <w:rPr>
                <w:rFonts w:ascii="宋体" w:hAnsi="宋体"/>
                <w:kern w:val="0"/>
              </w:rPr>
              <w:t>2.1.3</w:t>
            </w:r>
          </w:p>
        </w:tc>
        <w:tc>
          <w:tcPr>
            <w:tcW w:w="673" w:type="dxa"/>
            <w:vMerge w:val="restart"/>
            <w:vAlign w:val="center"/>
          </w:tcPr>
          <w:p w14:paraId="7A146773">
            <w:pPr>
              <w:spacing w:line="360" w:lineRule="auto"/>
              <w:jc w:val="center"/>
              <w:rPr>
                <w:rFonts w:ascii="宋体" w:hAnsi="宋体"/>
              </w:rPr>
            </w:pPr>
            <w:r>
              <w:rPr>
                <w:rFonts w:ascii="宋体" w:hAnsi="宋体"/>
                <w:kern w:val="0"/>
              </w:rPr>
              <w:t>响应性评审标准</w:t>
            </w:r>
          </w:p>
        </w:tc>
        <w:tc>
          <w:tcPr>
            <w:tcW w:w="2015" w:type="dxa"/>
            <w:gridSpan w:val="2"/>
            <w:vAlign w:val="center"/>
          </w:tcPr>
          <w:p w14:paraId="0F829685">
            <w:pPr>
              <w:spacing w:line="360" w:lineRule="auto"/>
              <w:jc w:val="center"/>
              <w:rPr>
                <w:rFonts w:ascii="宋体" w:hAnsi="宋体"/>
                <w:kern w:val="0"/>
              </w:rPr>
            </w:pPr>
            <w:r>
              <w:rPr>
                <w:rFonts w:hint="eastAsia" w:ascii="宋体" w:hAnsi="宋体"/>
                <w:kern w:val="0"/>
              </w:rPr>
              <w:t>竞选总报价</w:t>
            </w:r>
          </w:p>
        </w:tc>
        <w:tc>
          <w:tcPr>
            <w:tcW w:w="5917" w:type="dxa"/>
            <w:vAlign w:val="center"/>
          </w:tcPr>
          <w:p w14:paraId="0AB77B07">
            <w:pPr>
              <w:spacing w:line="360" w:lineRule="auto"/>
              <w:ind w:firstLine="420" w:firstLineChars="200"/>
              <w:rPr>
                <w:rFonts w:ascii="宋体" w:hAnsi="宋体"/>
                <w:kern w:val="0"/>
              </w:rPr>
            </w:pPr>
            <w:r>
              <w:rPr>
                <w:rFonts w:hint="eastAsia" w:ascii="宋体" w:hAnsi="宋体"/>
                <w:kern w:val="0"/>
              </w:rPr>
              <w:t>1</w:t>
            </w:r>
            <w:r>
              <w:rPr>
                <w:rFonts w:ascii="宋体" w:hAnsi="宋体"/>
                <w:kern w:val="0"/>
              </w:rPr>
              <w:t>.</w:t>
            </w:r>
            <w:r>
              <w:rPr>
                <w:rFonts w:hint="eastAsia" w:ascii="宋体" w:hAnsi="宋体"/>
                <w:kern w:val="0"/>
              </w:rPr>
              <w:t>竞选人的监理服务费总</w:t>
            </w:r>
            <w:r>
              <w:rPr>
                <w:rFonts w:ascii="宋体" w:hAnsi="宋体"/>
                <w:kern w:val="0"/>
              </w:rPr>
              <w:t>报价不得高于</w:t>
            </w:r>
            <w:r>
              <w:rPr>
                <w:rFonts w:hint="eastAsia" w:ascii="宋体" w:hAnsi="宋体"/>
                <w:kern w:val="0"/>
              </w:rPr>
              <w:t>比选人</w:t>
            </w:r>
            <w:r>
              <w:rPr>
                <w:rFonts w:ascii="宋体" w:hAnsi="宋体"/>
                <w:kern w:val="0"/>
              </w:rPr>
              <w:t>公布的</w:t>
            </w:r>
            <w:r>
              <w:rPr>
                <w:rFonts w:hint="eastAsia"/>
                <w:szCs w:val="21"/>
              </w:rPr>
              <w:t>最高限价。</w:t>
            </w:r>
          </w:p>
          <w:p w14:paraId="619C557E">
            <w:pPr>
              <w:spacing w:line="360" w:lineRule="auto"/>
              <w:ind w:firstLine="420" w:firstLineChars="200"/>
              <w:rPr>
                <w:rFonts w:ascii="宋体" w:hAnsi="宋体"/>
                <w:kern w:val="0"/>
              </w:rPr>
            </w:pPr>
            <w:r>
              <w:rPr>
                <w:rFonts w:hint="eastAsia" w:ascii="宋体" w:hAnsi="宋体"/>
                <w:kern w:val="0"/>
              </w:rPr>
              <w:t>2</w:t>
            </w:r>
            <w:r>
              <w:rPr>
                <w:rFonts w:ascii="宋体" w:hAnsi="宋体"/>
                <w:kern w:val="0"/>
              </w:rPr>
              <w:t>.</w:t>
            </w:r>
            <w:r>
              <w:rPr>
                <w:rFonts w:hint="eastAsia" w:ascii="宋体" w:hAnsi="宋体"/>
                <w:kern w:val="0"/>
              </w:rPr>
              <w:t>竞选总报价不得低于成本：评选</w:t>
            </w:r>
            <w:r>
              <w:rPr>
                <w:rFonts w:ascii="宋体" w:hAnsi="宋体"/>
                <w:kern w:val="0"/>
              </w:rPr>
              <w:t>委员会发现</w:t>
            </w:r>
            <w:r>
              <w:rPr>
                <w:rFonts w:hint="eastAsia" w:ascii="宋体" w:hAnsi="宋体"/>
                <w:kern w:val="0"/>
              </w:rPr>
              <w:t>竞选人</w:t>
            </w:r>
            <w:r>
              <w:rPr>
                <w:rFonts w:ascii="宋体" w:hAnsi="宋体"/>
                <w:kern w:val="0"/>
              </w:rPr>
              <w:t>的报价明显低于其他</w:t>
            </w:r>
            <w:r>
              <w:rPr>
                <w:rFonts w:hint="eastAsia" w:ascii="宋体" w:hAnsi="宋体"/>
                <w:kern w:val="0"/>
              </w:rPr>
              <w:t>竞选总报价</w:t>
            </w:r>
            <w:r>
              <w:rPr>
                <w:rFonts w:ascii="宋体" w:hAnsi="宋体"/>
                <w:kern w:val="0"/>
              </w:rPr>
              <w:t>，使得其</w:t>
            </w:r>
            <w:r>
              <w:rPr>
                <w:rFonts w:hint="eastAsia" w:ascii="宋体" w:hAnsi="宋体"/>
                <w:kern w:val="0"/>
              </w:rPr>
              <w:t>竞选总报价</w:t>
            </w:r>
            <w:r>
              <w:rPr>
                <w:rFonts w:ascii="宋体" w:hAnsi="宋体"/>
                <w:kern w:val="0"/>
              </w:rPr>
              <w:t>可能低于其个别成本的，应当要求该</w:t>
            </w:r>
            <w:r>
              <w:rPr>
                <w:rFonts w:hint="eastAsia" w:ascii="宋体" w:hAnsi="宋体"/>
                <w:kern w:val="0"/>
              </w:rPr>
              <w:t>竞选人</w:t>
            </w:r>
            <w:r>
              <w:rPr>
                <w:rFonts w:ascii="宋体" w:hAnsi="宋体"/>
                <w:kern w:val="0"/>
              </w:rPr>
              <w:t>做出书面说明并提供相应的证明材料。</w:t>
            </w:r>
            <w:r>
              <w:rPr>
                <w:rFonts w:hint="eastAsia" w:ascii="宋体" w:hAnsi="宋体"/>
                <w:kern w:val="0"/>
              </w:rPr>
              <w:t>竞选人</w:t>
            </w:r>
            <w:r>
              <w:rPr>
                <w:rFonts w:ascii="宋体" w:hAnsi="宋体"/>
                <w:kern w:val="0"/>
              </w:rPr>
              <w:t>不能合理说明或者不能提供相应证明材料的，由</w:t>
            </w:r>
            <w:r>
              <w:rPr>
                <w:rFonts w:hint="eastAsia" w:ascii="宋体" w:hAnsi="宋体"/>
                <w:kern w:val="0"/>
              </w:rPr>
              <w:t>评选</w:t>
            </w:r>
            <w:r>
              <w:rPr>
                <w:rFonts w:ascii="宋体" w:hAnsi="宋体"/>
                <w:kern w:val="0"/>
              </w:rPr>
              <w:t>委员会认定该</w:t>
            </w:r>
            <w:r>
              <w:rPr>
                <w:rFonts w:hint="eastAsia" w:ascii="宋体" w:hAnsi="宋体"/>
                <w:kern w:val="0"/>
              </w:rPr>
              <w:t>竞选人</w:t>
            </w:r>
            <w:r>
              <w:rPr>
                <w:rFonts w:ascii="宋体" w:hAnsi="宋体"/>
                <w:kern w:val="0"/>
              </w:rPr>
              <w:t>以低于成本报价竞标，</w:t>
            </w:r>
            <w:r>
              <w:rPr>
                <w:rFonts w:hint="eastAsia" w:ascii="宋体" w:hAnsi="宋体"/>
                <w:kern w:val="0"/>
              </w:rPr>
              <w:t>对该竞选人作否决竞选</w:t>
            </w:r>
            <w:r>
              <w:rPr>
                <w:rFonts w:ascii="宋体" w:hAnsi="宋体"/>
                <w:kern w:val="0"/>
              </w:rPr>
              <w:t>处理。</w:t>
            </w:r>
          </w:p>
        </w:tc>
      </w:tr>
      <w:tr w14:paraId="633A70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vAlign w:val="center"/>
          </w:tcPr>
          <w:p w14:paraId="132B4D5E">
            <w:pPr>
              <w:spacing w:line="360" w:lineRule="auto"/>
              <w:jc w:val="center"/>
              <w:rPr>
                <w:rFonts w:ascii="宋体" w:hAnsi="宋体"/>
                <w:kern w:val="0"/>
              </w:rPr>
            </w:pPr>
          </w:p>
        </w:tc>
        <w:tc>
          <w:tcPr>
            <w:tcW w:w="673" w:type="dxa"/>
            <w:vMerge w:val="continue"/>
            <w:textDirection w:val="tbRlV"/>
            <w:vAlign w:val="center"/>
          </w:tcPr>
          <w:p w14:paraId="2876ECD6">
            <w:pPr>
              <w:spacing w:line="360" w:lineRule="auto"/>
              <w:jc w:val="center"/>
              <w:rPr>
                <w:rFonts w:ascii="宋体" w:hAnsi="宋体"/>
                <w:kern w:val="0"/>
              </w:rPr>
            </w:pPr>
          </w:p>
        </w:tc>
        <w:tc>
          <w:tcPr>
            <w:tcW w:w="2015" w:type="dxa"/>
            <w:gridSpan w:val="2"/>
            <w:vAlign w:val="center"/>
          </w:tcPr>
          <w:p w14:paraId="6DFFF676">
            <w:pPr>
              <w:spacing w:line="360" w:lineRule="auto"/>
              <w:jc w:val="center"/>
              <w:rPr>
                <w:rFonts w:ascii="宋体" w:hAnsi="宋体"/>
                <w:kern w:val="0"/>
              </w:rPr>
            </w:pPr>
            <w:r>
              <w:rPr>
                <w:rFonts w:hint="eastAsia" w:ascii="宋体" w:hAnsi="宋体"/>
                <w:kern w:val="0"/>
              </w:rPr>
              <w:t>竞选内容</w:t>
            </w:r>
          </w:p>
        </w:tc>
        <w:tc>
          <w:tcPr>
            <w:tcW w:w="5917" w:type="dxa"/>
            <w:vAlign w:val="center"/>
          </w:tcPr>
          <w:p w14:paraId="5EE7F860">
            <w:pPr>
              <w:spacing w:line="360" w:lineRule="auto"/>
              <w:ind w:firstLine="420" w:firstLineChars="200"/>
              <w:jc w:val="left"/>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须知”第1.3.1项规定</w:t>
            </w:r>
          </w:p>
        </w:tc>
      </w:tr>
      <w:tr w14:paraId="04D1EF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6ADAFCF5">
            <w:pPr>
              <w:spacing w:line="360" w:lineRule="auto"/>
              <w:jc w:val="center"/>
              <w:rPr>
                <w:rFonts w:ascii="宋体" w:hAnsi="宋体"/>
              </w:rPr>
            </w:pPr>
          </w:p>
        </w:tc>
        <w:tc>
          <w:tcPr>
            <w:tcW w:w="673" w:type="dxa"/>
            <w:vMerge w:val="continue"/>
          </w:tcPr>
          <w:p w14:paraId="24D9E8DB">
            <w:pPr>
              <w:spacing w:line="360" w:lineRule="auto"/>
              <w:jc w:val="center"/>
              <w:rPr>
                <w:rFonts w:ascii="宋体" w:hAnsi="宋体"/>
              </w:rPr>
            </w:pPr>
          </w:p>
        </w:tc>
        <w:tc>
          <w:tcPr>
            <w:tcW w:w="2015" w:type="dxa"/>
            <w:gridSpan w:val="2"/>
            <w:vAlign w:val="center"/>
          </w:tcPr>
          <w:p w14:paraId="208902D6">
            <w:pPr>
              <w:spacing w:line="360" w:lineRule="auto"/>
              <w:jc w:val="center"/>
              <w:rPr>
                <w:rFonts w:ascii="宋体" w:hAnsi="宋体"/>
                <w:kern w:val="0"/>
              </w:rPr>
            </w:pPr>
            <w:r>
              <w:rPr>
                <w:rFonts w:hint="eastAsia"/>
              </w:rPr>
              <w:t>监理服务期</w:t>
            </w:r>
          </w:p>
        </w:tc>
        <w:tc>
          <w:tcPr>
            <w:tcW w:w="5917" w:type="dxa"/>
            <w:vAlign w:val="center"/>
          </w:tcPr>
          <w:p w14:paraId="451CE5BE">
            <w:pPr>
              <w:spacing w:line="360" w:lineRule="auto"/>
              <w:ind w:firstLine="420" w:firstLineChars="200"/>
              <w:jc w:val="left"/>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须知”第1.3.2项规定</w:t>
            </w:r>
          </w:p>
        </w:tc>
      </w:tr>
      <w:tr w14:paraId="2BC770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0D9A8A21">
            <w:pPr>
              <w:spacing w:line="360" w:lineRule="auto"/>
              <w:jc w:val="center"/>
              <w:rPr>
                <w:rFonts w:ascii="宋体" w:hAnsi="宋体"/>
              </w:rPr>
            </w:pPr>
          </w:p>
        </w:tc>
        <w:tc>
          <w:tcPr>
            <w:tcW w:w="673" w:type="dxa"/>
            <w:vMerge w:val="continue"/>
          </w:tcPr>
          <w:p w14:paraId="4015F9CC">
            <w:pPr>
              <w:spacing w:line="360" w:lineRule="auto"/>
              <w:jc w:val="center"/>
              <w:rPr>
                <w:rFonts w:ascii="宋体" w:hAnsi="宋体"/>
              </w:rPr>
            </w:pPr>
          </w:p>
        </w:tc>
        <w:tc>
          <w:tcPr>
            <w:tcW w:w="2015" w:type="dxa"/>
            <w:gridSpan w:val="2"/>
            <w:vAlign w:val="center"/>
          </w:tcPr>
          <w:p w14:paraId="20C248A9">
            <w:pPr>
              <w:spacing w:line="360" w:lineRule="auto"/>
              <w:jc w:val="center"/>
              <w:rPr>
                <w:rFonts w:ascii="宋体" w:hAnsi="宋体"/>
                <w:kern w:val="0"/>
              </w:rPr>
            </w:pPr>
            <w:r>
              <w:rPr>
                <w:rFonts w:ascii="宋体" w:hAnsi="宋体"/>
                <w:kern w:val="0"/>
              </w:rPr>
              <w:t>质量</w:t>
            </w:r>
            <w:r>
              <w:rPr>
                <w:rFonts w:hint="eastAsia" w:ascii="宋体" w:hAnsi="宋体"/>
                <w:kern w:val="0"/>
              </w:rPr>
              <w:t>要求</w:t>
            </w:r>
          </w:p>
        </w:tc>
        <w:tc>
          <w:tcPr>
            <w:tcW w:w="5917" w:type="dxa"/>
            <w:vAlign w:val="center"/>
          </w:tcPr>
          <w:p w14:paraId="22C9700F">
            <w:pPr>
              <w:spacing w:line="360" w:lineRule="auto"/>
              <w:ind w:firstLine="420" w:firstLineChars="200"/>
              <w:jc w:val="left"/>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须知”第1.3.3项规定</w:t>
            </w:r>
          </w:p>
        </w:tc>
      </w:tr>
      <w:tr w14:paraId="7967C0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4F98F004">
            <w:pPr>
              <w:spacing w:line="360" w:lineRule="auto"/>
              <w:jc w:val="center"/>
              <w:rPr>
                <w:rFonts w:ascii="宋体" w:hAnsi="宋体"/>
              </w:rPr>
            </w:pPr>
          </w:p>
        </w:tc>
        <w:tc>
          <w:tcPr>
            <w:tcW w:w="673" w:type="dxa"/>
            <w:vMerge w:val="continue"/>
          </w:tcPr>
          <w:p w14:paraId="3B8C631F">
            <w:pPr>
              <w:spacing w:line="360" w:lineRule="auto"/>
              <w:jc w:val="center"/>
              <w:rPr>
                <w:rFonts w:ascii="宋体" w:hAnsi="宋体"/>
              </w:rPr>
            </w:pPr>
          </w:p>
        </w:tc>
        <w:tc>
          <w:tcPr>
            <w:tcW w:w="2015" w:type="dxa"/>
            <w:gridSpan w:val="2"/>
            <w:vAlign w:val="center"/>
          </w:tcPr>
          <w:p w14:paraId="45CE684A">
            <w:pPr>
              <w:spacing w:line="360" w:lineRule="auto"/>
              <w:jc w:val="center"/>
              <w:rPr>
                <w:rFonts w:ascii="宋体" w:hAnsi="宋体"/>
                <w:kern w:val="0"/>
              </w:rPr>
            </w:pPr>
            <w:r>
              <w:rPr>
                <w:rFonts w:hint="eastAsia" w:ascii="宋体" w:hAnsi="宋体"/>
                <w:kern w:val="0"/>
              </w:rPr>
              <w:t>比选有效期</w:t>
            </w:r>
          </w:p>
        </w:tc>
        <w:tc>
          <w:tcPr>
            <w:tcW w:w="5917" w:type="dxa"/>
            <w:vAlign w:val="center"/>
          </w:tcPr>
          <w:p w14:paraId="6A813BFF">
            <w:pPr>
              <w:spacing w:line="360" w:lineRule="auto"/>
              <w:ind w:firstLine="420" w:firstLineChars="200"/>
              <w:jc w:val="left"/>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须知”第3.3.1项规定</w:t>
            </w:r>
          </w:p>
        </w:tc>
      </w:tr>
      <w:tr w14:paraId="14E089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5CB90913">
            <w:pPr>
              <w:spacing w:line="360" w:lineRule="auto"/>
              <w:jc w:val="center"/>
              <w:rPr>
                <w:rFonts w:ascii="宋体" w:hAnsi="宋体"/>
              </w:rPr>
            </w:pPr>
          </w:p>
        </w:tc>
        <w:tc>
          <w:tcPr>
            <w:tcW w:w="673" w:type="dxa"/>
            <w:vMerge w:val="continue"/>
          </w:tcPr>
          <w:p w14:paraId="26EE06B9">
            <w:pPr>
              <w:spacing w:line="360" w:lineRule="auto"/>
              <w:jc w:val="center"/>
              <w:rPr>
                <w:rFonts w:ascii="宋体" w:hAnsi="宋体"/>
              </w:rPr>
            </w:pPr>
          </w:p>
        </w:tc>
        <w:tc>
          <w:tcPr>
            <w:tcW w:w="2015" w:type="dxa"/>
            <w:gridSpan w:val="2"/>
            <w:vAlign w:val="center"/>
          </w:tcPr>
          <w:p w14:paraId="726E1370">
            <w:pPr>
              <w:spacing w:line="360" w:lineRule="auto"/>
              <w:jc w:val="center"/>
              <w:rPr>
                <w:rFonts w:ascii="宋体" w:hAnsi="宋体"/>
                <w:kern w:val="0"/>
              </w:rPr>
            </w:pPr>
            <w:r>
              <w:rPr>
                <w:rFonts w:hint="eastAsia" w:ascii="宋体" w:hAnsi="宋体"/>
                <w:kern w:val="0"/>
              </w:rPr>
              <w:t>比选保证金</w:t>
            </w:r>
          </w:p>
        </w:tc>
        <w:tc>
          <w:tcPr>
            <w:tcW w:w="5917" w:type="dxa"/>
            <w:vAlign w:val="center"/>
          </w:tcPr>
          <w:p w14:paraId="51F6D1ED">
            <w:pPr>
              <w:tabs>
                <w:tab w:val="left" w:pos="601"/>
                <w:tab w:val="left" w:pos="669"/>
              </w:tabs>
              <w:snapToGrid w:val="0"/>
              <w:spacing w:line="360" w:lineRule="auto"/>
              <w:ind w:firstLine="420" w:firstLineChars="200"/>
              <w:rPr>
                <w:rFonts w:ascii="宋体" w:hAnsi="宋体"/>
                <w:kern w:val="0"/>
              </w:rPr>
            </w:pPr>
            <w:r>
              <w:rPr>
                <w:rFonts w:ascii="宋体" w:hAnsi="宋体"/>
                <w:kern w:val="0"/>
                <w:szCs w:val="21"/>
              </w:rPr>
              <w:t>符合第二章</w:t>
            </w:r>
            <w:r>
              <w:rPr>
                <w:rFonts w:hint="eastAsia" w:ascii="宋体" w:hAnsi="宋体"/>
                <w:kern w:val="0"/>
                <w:szCs w:val="21"/>
              </w:rPr>
              <w:t>竞选人</w:t>
            </w:r>
            <w:r>
              <w:rPr>
                <w:rFonts w:ascii="宋体" w:hAnsi="宋体"/>
                <w:kern w:val="0"/>
                <w:szCs w:val="21"/>
              </w:rPr>
              <w:t>须知前附表第3.4项</w:t>
            </w:r>
            <w:r>
              <w:rPr>
                <w:rFonts w:ascii="宋体" w:hAnsi="宋体"/>
                <w:kern w:val="0"/>
              </w:rPr>
              <w:t>规定</w:t>
            </w:r>
          </w:p>
        </w:tc>
      </w:tr>
      <w:tr w14:paraId="4DEE8D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217C7E6D">
            <w:pPr>
              <w:spacing w:line="360" w:lineRule="auto"/>
              <w:jc w:val="center"/>
              <w:rPr>
                <w:rFonts w:ascii="宋体" w:hAnsi="宋体"/>
              </w:rPr>
            </w:pPr>
          </w:p>
        </w:tc>
        <w:tc>
          <w:tcPr>
            <w:tcW w:w="673" w:type="dxa"/>
            <w:vMerge w:val="continue"/>
          </w:tcPr>
          <w:p w14:paraId="33458D44">
            <w:pPr>
              <w:spacing w:line="360" w:lineRule="auto"/>
              <w:jc w:val="center"/>
              <w:rPr>
                <w:rFonts w:ascii="宋体" w:hAnsi="宋体"/>
              </w:rPr>
            </w:pPr>
          </w:p>
        </w:tc>
        <w:tc>
          <w:tcPr>
            <w:tcW w:w="2015" w:type="dxa"/>
            <w:gridSpan w:val="2"/>
            <w:vAlign w:val="center"/>
          </w:tcPr>
          <w:p w14:paraId="6E1800B3">
            <w:pPr>
              <w:spacing w:line="360" w:lineRule="auto"/>
              <w:jc w:val="center"/>
              <w:rPr>
                <w:rFonts w:ascii="宋体" w:hAnsi="宋体"/>
                <w:kern w:val="0"/>
              </w:rPr>
            </w:pPr>
            <w:r>
              <w:rPr>
                <w:rFonts w:ascii="宋体" w:hAnsi="宋体"/>
                <w:kern w:val="0"/>
              </w:rPr>
              <w:t>权利义务</w:t>
            </w:r>
          </w:p>
        </w:tc>
        <w:tc>
          <w:tcPr>
            <w:tcW w:w="5917" w:type="dxa"/>
            <w:vAlign w:val="center"/>
          </w:tcPr>
          <w:p w14:paraId="0D209971">
            <w:pPr>
              <w:spacing w:after="62" w:afterLines="20" w:line="360" w:lineRule="auto"/>
              <w:ind w:firstLine="420" w:firstLineChars="200"/>
              <w:rPr>
                <w:rFonts w:ascii="宋体" w:hAnsi="宋体"/>
                <w:kern w:val="0"/>
              </w:rPr>
            </w:pPr>
            <w:r>
              <w:rPr>
                <w:rFonts w:ascii="宋体" w:hAnsi="宋体"/>
                <w:kern w:val="0"/>
              </w:rPr>
              <w:t>符合第四章“合同条款及格式”规定，</w:t>
            </w:r>
            <w:r>
              <w:rPr>
                <w:rFonts w:hint="eastAsia" w:ascii="宋体" w:hAnsi="宋体"/>
                <w:kern w:val="0"/>
              </w:rPr>
              <w:t>竞选文件</w:t>
            </w:r>
            <w:r>
              <w:rPr>
                <w:rFonts w:ascii="宋体" w:hAnsi="宋体"/>
                <w:kern w:val="0"/>
              </w:rPr>
              <w:t>不应附有</w:t>
            </w:r>
            <w:r>
              <w:rPr>
                <w:rFonts w:hint="eastAsia" w:ascii="宋体" w:hAnsi="宋体"/>
                <w:kern w:val="0"/>
              </w:rPr>
              <w:t>比选人</w:t>
            </w:r>
            <w:r>
              <w:rPr>
                <w:rFonts w:ascii="宋体" w:hAnsi="宋体"/>
                <w:kern w:val="0"/>
              </w:rPr>
              <w:t>不能接受的条件。</w:t>
            </w:r>
          </w:p>
        </w:tc>
      </w:tr>
      <w:tr w14:paraId="1AA0C5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7AD79E9F">
            <w:pPr>
              <w:spacing w:line="360" w:lineRule="auto"/>
              <w:rPr>
                <w:rFonts w:ascii="宋体" w:hAnsi="宋体"/>
              </w:rPr>
            </w:pPr>
          </w:p>
        </w:tc>
        <w:tc>
          <w:tcPr>
            <w:tcW w:w="673" w:type="dxa"/>
            <w:vMerge w:val="continue"/>
          </w:tcPr>
          <w:p w14:paraId="23903CA5">
            <w:pPr>
              <w:spacing w:line="360" w:lineRule="auto"/>
              <w:rPr>
                <w:rFonts w:ascii="宋体" w:hAnsi="宋体"/>
              </w:rPr>
            </w:pPr>
          </w:p>
        </w:tc>
        <w:tc>
          <w:tcPr>
            <w:tcW w:w="2015" w:type="dxa"/>
            <w:gridSpan w:val="2"/>
            <w:vAlign w:val="center"/>
          </w:tcPr>
          <w:p w14:paraId="1A37435A">
            <w:pPr>
              <w:spacing w:line="360" w:lineRule="auto"/>
              <w:jc w:val="center"/>
              <w:rPr>
                <w:rFonts w:ascii="宋体" w:hAnsi="宋体"/>
                <w:kern w:val="0"/>
              </w:rPr>
            </w:pPr>
            <w:r>
              <w:rPr>
                <w:rFonts w:ascii="宋体" w:hAnsi="宋体"/>
                <w:kern w:val="0"/>
              </w:rPr>
              <w:t>实质性要求</w:t>
            </w:r>
          </w:p>
        </w:tc>
        <w:tc>
          <w:tcPr>
            <w:tcW w:w="5917" w:type="dxa"/>
            <w:vAlign w:val="center"/>
          </w:tcPr>
          <w:p w14:paraId="20A541D7">
            <w:pPr>
              <w:spacing w:after="62" w:afterLines="20" w:line="360" w:lineRule="auto"/>
              <w:ind w:firstLine="420" w:firstLineChars="200"/>
              <w:rPr>
                <w:rFonts w:ascii="宋体" w:hAnsi="宋体"/>
                <w:kern w:val="0"/>
              </w:rPr>
            </w:pPr>
            <w:r>
              <w:rPr>
                <w:rFonts w:ascii="宋体" w:hAnsi="宋体"/>
                <w:kern w:val="0"/>
              </w:rPr>
              <w:t>涉嫌</w:t>
            </w:r>
            <w:r>
              <w:rPr>
                <w:rFonts w:hint="eastAsia" w:ascii="宋体" w:hAnsi="宋体"/>
                <w:kern w:val="0"/>
              </w:rPr>
              <w:t>串通投标</w:t>
            </w:r>
            <w:r>
              <w:rPr>
                <w:rFonts w:ascii="宋体" w:hAnsi="宋体"/>
                <w:kern w:val="0"/>
              </w:rPr>
              <w:t>、弄虚作假等其他违反招投标相关法律、法规行为的。</w:t>
            </w:r>
          </w:p>
        </w:tc>
      </w:tr>
      <w:tr w14:paraId="01899B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37" w:type="dxa"/>
            <w:gridSpan w:val="2"/>
            <w:vAlign w:val="center"/>
          </w:tcPr>
          <w:p w14:paraId="6244D0F0">
            <w:pPr>
              <w:spacing w:line="360" w:lineRule="auto"/>
              <w:ind w:firstLine="210" w:firstLineChars="100"/>
              <w:jc w:val="center"/>
              <w:rPr>
                <w:rFonts w:ascii="宋体" w:hAnsi="宋体"/>
                <w:kern w:val="0"/>
              </w:rPr>
            </w:pPr>
            <w:r>
              <w:rPr>
                <w:rFonts w:ascii="宋体" w:hAnsi="宋体"/>
                <w:kern w:val="0"/>
              </w:rPr>
              <w:t>2.2.1</w:t>
            </w:r>
          </w:p>
        </w:tc>
        <w:tc>
          <w:tcPr>
            <w:tcW w:w="2015" w:type="dxa"/>
            <w:gridSpan w:val="2"/>
            <w:vAlign w:val="center"/>
          </w:tcPr>
          <w:p w14:paraId="4D614AF8">
            <w:pPr>
              <w:tabs>
                <w:tab w:val="left" w:pos="1875"/>
              </w:tabs>
              <w:spacing w:line="360" w:lineRule="auto"/>
              <w:jc w:val="center"/>
              <w:rPr>
                <w:rFonts w:ascii="宋体" w:hAnsi="宋体"/>
                <w:kern w:val="0"/>
              </w:rPr>
            </w:pPr>
            <w:r>
              <w:rPr>
                <w:rFonts w:ascii="宋体" w:hAnsi="宋体"/>
                <w:kern w:val="0"/>
              </w:rPr>
              <w:t xml:space="preserve">分值构成 </w:t>
            </w:r>
          </w:p>
          <w:p w14:paraId="7B23F61F">
            <w:pPr>
              <w:tabs>
                <w:tab w:val="left" w:pos="1875"/>
              </w:tabs>
              <w:spacing w:line="360" w:lineRule="auto"/>
              <w:jc w:val="center"/>
              <w:rPr>
                <w:rFonts w:ascii="宋体" w:hAnsi="宋体"/>
                <w:kern w:val="0"/>
              </w:rPr>
            </w:pPr>
            <w:r>
              <w:rPr>
                <w:rFonts w:ascii="宋体" w:hAnsi="宋体"/>
                <w:kern w:val="0"/>
              </w:rPr>
              <w:t>（总分1</w:t>
            </w:r>
            <w:r>
              <w:rPr>
                <w:rFonts w:hint="eastAsia" w:ascii="宋体" w:hAnsi="宋体"/>
                <w:kern w:val="0"/>
              </w:rPr>
              <w:t>00</w:t>
            </w:r>
            <w:r>
              <w:rPr>
                <w:rFonts w:ascii="宋体" w:hAnsi="宋体"/>
                <w:kern w:val="0"/>
              </w:rPr>
              <w:t>分）</w:t>
            </w:r>
          </w:p>
        </w:tc>
        <w:tc>
          <w:tcPr>
            <w:tcW w:w="5917" w:type="dxa"/>
            <w:vAlign w:val="center"/>
          </w:tcPr>
          <w:p w14:paraId="68116C0C">
            <w:pPr>
              <w:spacing w:line="360" w:lineRule="auto"/>
              <w:ind w:right="-23" w:firstLine="420" w:firstLineChars="200"/>
              <w:rPr>
                <w:lang w:val="zh-CN"/>
              </w:rPr>
            </w:pPr>
            <w:r>
              <w:rPr>
                <w:rFonts w:hint="eastAsia"/>
                <w:lang w:val="zh-CN"/>
              </w:rPr>
              <w:t>1、竞选总报价</w:t>
            </w:r>
            <w:r>
              <w:rPr>
                <w:rFonts w:hint="eastAsia"/>
              </w:rPr>
              <w:t>30</w:t>
            </w:r>
            <w:r>
              <w:rPr>
                <w:rFonts w:hint="eastAsia"/>
                <w:lang w:val="zh-CN"/>
              </w:rPr>
              <w:t>分；</w:t>
            </w:r>
          </w:p>
          <w:p w14:paraId="1ECADE77">
            <w:pPr>
              <w:spacing w:line="360" w:lineRule="auto"/>
              <w:ind w:right="-23" w:firstLine="420" w:firstLineChars="200"/>
            </w:pPr>
            <w:r>
              <w:rPr>
                <w:rFonts w:hint="eastAsia"/>
                <w:lang w:val="zh-CN"/>
              </w:rPr>
              <w:t>2、技术部分</w:t>
            </w:r>
            <w:r>
              <w:rPr>
                <w:rFonts w:hint="eastAsia"/>
              </w:rPr>
              <w:t>70</w:t>
            </w:r>
            <w:r>
              <w:rPr>
                <w:rFonts w:hint="eastAsia"/>
                <w:lang w:val="zh-CN"/>
              </w:rPr>
              <w:t>分。</w:t>
            </w:r>
          </w:p>
        </w:tc>
      </w:tr>
      <w:tr w14:paraId="1091E0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537" w:type="dxa"/>
            <w:gridSpan w:val="2"/>
            <w:vMerge w:val="restart"/>
            <w:vAlign w:val="center"/>
          </w:tcPr>
          <w:p w14:paraId="13D5A0CA">
            <w:pPr>
              <w:spacing w:line="360" w:lineRule="auto"/>
              <w:jc w:val="center"/>
              <w:rPr>
                <w:rFonts w:ascii="宋体" w:hAnsi="宋体"/>
                <w:kern w:val="0"/>
              </w:rPr>
            </w:pPr>
            <w:r>
              <w:rPr>
                <w:rFonts w:ascii="宋体" w:hAnsi="宋体"/>
                <w:kern w:val="0"/>
              </w:rPr>
              <w:t>2.2.2</w:t>
            </w:r>
          </w:p>
        </w:tc>
        <w:tc>
          <w:tcPr>
            <w:tcW w:w="1030" w:type="dxa"/>
            <w:vMerge w:val="restart"/>
            <w:vAlign w:val="center"/>
          </w:tcPr>
          <w:p w14:paraId="47A37A71">
            <w:pPr>
              <w:spacing w:line="360" w:lineRule="auto"/>
              <w:jc w:val="center"/>
              <w:rPr>
                <w:rFonts w:ascii="宋体" w:hAnsi="宋体"/>
                <w:kern w:val="0"/>
              </w:rPr>
            </w:pPr>
            <w:r>
              <w:rPr>
                <w:rFonts w:hint="eastAsia" w:ascii="宋体" w:hAnsi="宋体"/>
                <w:kern w:val="0"/>
              </w:rPr>
              <w:t>竞选</w:t>
            </w:r>
          </w:p>
          <w:p w14:paraId="1118DCE9">
            <w:pPr>
              <w:spacing w:line="360" w:lineRule="auto"/>
              <w:jc w:val="center"/>
              <w:rPr>
                <w:rFonts w:ascii="宋体" w:hAnsi="宋体"/>
                <w:kern w:val="0"/>
              </w:rPr>
            </w:pPr>
            <w:r>
              <w:rPr>
                <w:rFonts w:hint="eastAsia" w:ascii="宋体" w:hAnsi="宋体"/>
                <w:kern w:val="0"/>
              </w:rPr>
              <w:t>总报价</w:t>
            </w:r>
          </w:p>
          <w:p w14:paraId="4DF453DD">
            <w:pPr>
              <w:spacing w:line="360" w:lineRule="auto"/>
              <w:jc w:val="center"/>
              <w:rPr>
                <w:rFonts w:ascii="宋体" w:hAnsi="宋体"/>
                <w:kern w:val="0"/>
              </w:rPr>
            </w:pPr>
            <w:r>
              <w:rPr>
                <w:rFonts w:hint="eastAsia" w:ascii="宋体" w:hAnsi="宋体"/>
                <w:kern w:val="0"/>
              </w:rPr>
              <w:t>A</w:t>
            </w:r>
          </w:p>
          <w:p w14:paraId="10E70091">
            <w:pPr>
              <w:spacing w:line="360" w:lineRule="auto"/>
              <w:jc w:val="center"/>
              <w:rPr>
                <w:rFonts w:ascii="宋体" w:hAnsi="宋体"/>
                <w:kern w:val="0"/>
              </w:rPr>
            </w:pPr>
            <w:r>
              <w:rPr>
                <w:rFonts w:hint="eastAsia" w:ascii="宋体" w:hAnsi="宋体"/>
                <w:kern w:val="0"/>
              </w:rPr>
              <w:t>（3</w:t>
            </w:r>
            <w:r>
              <w:rPr>
                <w:rFonts w:ascii="宋体" w:hAnsi="宋体"/>
                <w:kern w:val="0"/>
              </w:rPr>
              <w:t>0</w:t>
            </w:r>
            <w:r>
              <w:rPr>
                <w:rFonts w:hint="eastAsia" w:ascii="宋体" w:hAnsi="宋体"/>
                <w:kern w:val="0"/>
              </w:rPr>
              <w:t>分）</w:t>
            </w:r>
          </w:p>
        </w:tc>
        <w:tc>
          <w:tcPr>
            <w:tcW w:w="985" w:type="dxa"/>
            <w:vAlign w:val="center"/>
          </w:tcPr>
          <w:p w14:paraId="4B2B28D2">
            <w:pPr>
              <w:spacing w:line="360" w:lineRule="auto"/>
              <w:jc w:val="center"/>
              <w:rPr>
                <w:rFonts w:ascii="宋体" w:hAnsi="宋体"/>
                <w:kern w:val="0"/>
              </w:rPr>
            </w:pPr>
            <w:r>
              <w:rPr>
                <w:rFonts w:hint="eastAsia" w:ascii="宋体" w:hAnsi="宋体"/>
                <w:kern w:val="0"/>
              </w:rPr>
              <w:t>评选</w:t>
            </w:r>
            <w:r>
              <w:rPr>
                <w:rFonts w:ascii="宋体" w:hAnsi="宋体"/>
                <w:kern w:val="0"/>
              </w:rPr>
              <w:t>基准价计算方法</w:t>
            </w:r>
          </w:p>
        </w:tc>
        <w:tc>
          <w:tcPr>
            <w:tcW w:w="5917" w:type="dxa"/>
          </w:tcPr>
          <w:p w14:paraId="4A533001">
            <w:pPr>
              <w:spacing w:line="360" w:lineRule="auto"/>
              <w:ind w:right="-23" w:firstLine="420" w:firstLineChars="200"/>
              <w:rPr>
                <w:rFonts w:ascii="宋体" w:hAnsi="宋体" w:cs="宋体"/>
                <w:szCs w:val="21"/>
              </w:rPr>
            </w:pPr>
            <w:r>
              <w:rPr>
                <w:rFonts w:hint="eastAsia" w:ascii="宋体" w:hAnsi="宋体" w:cs="宋体"/>
                <w:szCs w:val="21"/>
              </w:rPr>
              <w:t>所有通过初步评审的竞选人（比选人设有最高限价的，则竞选总报价高于最高限价的除外）的竞选总报价中去掉六分之一（不能整除的按小数点前整数取整，不足六家报价则不去掉）的最低价和相同家数的最高价的算数平均值</w:t>
            </w:r>
            <w:r>
              <w:rPr>
                <w:rFonts w:hint="eastAsia" w:ascii="宋体" w:hAnsi="宋体"/>
                <w:kern w:val="0"/>
                <w:szCs w:val="21"/>
              </w:rPr>
              <w:t>与本项目最高限价再取平均值</w:t>
            </w:r>
            <w:r>
              <w:rPr>
                <w:rFonts w:hint="eastAsia" w:ascii="宋体" w:hAnsi="宋体" w:cs="宋体"/>
                <w:szCs w:val="21"/>
              </w:rPr>
              <w:t>即为评选基准价；</w:t>
            </w:r>
          </w:p>
          <w:p w14:paraId="1B328E2C">
            <w:pPr>
              <w:spacing w:line="360" w:lineRule="auto"/>
              <w:ind w:firstLine="420" w:firstLineChars="200"/>
              <w:rPr>
                <w:rFonts w:ascii="宋体" w:hAnsi="宋体" w:cs="宋体"/>
                <w:szCs w:val="21"/>
              </w:rPr>
            </w:pPr>
            <w:r>
              <w:rPr>
                <w:rFonts w:hint="eastAsia" w:ascii="宋体" w:hAnsi="宋体" w:cs="宋体"/>
                <w:szCs w:val="21"/>
              </w:rPr>
              <w:t>评选基准价计算完成后（除计算错误外），在后续的评审中不得再对其做出调整。</w:t>
            </w:r>
          </w:p>
          <w:p w14:paraId="368F7EF5">
            <w:pPr>
              <w:snapToGrid w:val="0"/>
              <w:spacing w:line="360" w:lineRule="auto"/>
              <w:ind w:firstLine="420" w:firstLineChars="200"/>
              <w:jc w:val="left"/>
              <w:rPr>
                <w:rFonts w:ascii="宋体" w:hAnsi="宋体"/>
                <w:kern w:val="0"/>
                <w:szCs w:val="21"/>
              </w:rPr>
            </w:pPr>
            <w:r>
              <w:rPr>
                <w:rFonts w:hint="eastAsia" w:ascii="宋体" w:hAnsi="宋体" w:cs="宋体"/>
                <w:szCs w:val="21"/>
              </w:rPr>
              <w:t>以上计算结果保留小数点后两位，第三位四舍五入。</w:t>
            </w:r>
          </w:p>
        </w:tc>
      </w:tr>
      <w:tr w14:paraId="7B0A3F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537" w:type="dxa"/>
            <w:gridSpan w:val="2"/>
            <w:vMerge w:val="continue"/>
            <w:vAlign w:val="center"/>
          </w:tcPr>
          <w:p w14:paraId="61152323">
            <w:pPr>
              <w:spacing w:line="360" w:lineRule="auto"/>
              <w:jc w:val="center"/>
              <w:rPr>
                <w:rFonts w:ascii="宋体" w:hAnsi="宋体"/>
                <w:kern w:val="0"/>
              </w:rPr>
            </w:pPr>
          </w:p>
        </w:tc>
        <w:tc>
          <w:tcPr>
            <w:tcW w:w="1030" w:type="dxa"/>
            <w:vMerge w:val="continue"/>
            <w:vAlign w:val="center"/>
          </w:tcPr>
          <w:p w14:paraId="6F56124B">
            <w:pPr>
              <w:spacing w:line="360" w:lineRule="auto"/>
              <w:jc w:val="center"/>
              <w:rPr>
                <w:rFonts w:ascii="宋体" w:hAnsi="宋体"/>
                <w:kern w:val="0"/>
              </w:rPr>
            </w:pPr>
          </w:p>
        </w:tc>
        <w:tc>
          <w:tcPr>
            <w:tcW w:w="985" w:type="dxa"/>
            <w:vAlign w:val="center"/>
          </w:tcPr>
          <w:p w14:paraId="49C2A94B">
            <w:pPr>
              <w:spacing w:line="360" w:lineRule="auto"/>
              <w:jc w:val="center"/>
              <w:rPr>
                <w:rFonts w:ascii="宋体" w:hAnsi="宋体"/>
                <w:kern w:val="0"/>
              </w:rPr>
            </w:pPr>
            <w:r>
              <w:rPr>
                <w:rFonts w:hint="eastAsia" w:ascii="宋体" w:hAnsi="宋体"/>
                <w:kern w:val="0"/>
              </w:rPr>
              <w:t>竞选</w:t>
            </w:r>
          </w:p>
          <w:p w14:paraId="79EEB7B2">
            <w:pPr>
              <w:spacing w:line="360" w:lineRule="auto"/>
              <w:jc w:val="center"/>
              <w:rPr>
                <w:rFonts w:ascii="宋体" w:hAnsi="宋体"/>
                <w:kern w:val="0"/>
              </w:rPr>
            </w:pPr>
            <w:r>
              <w:rPr>
                <w:rFonts w:hint="eastAsia" w:ascii="宋体" w:hAnsi="宋体"/>
                <w:kern w:val="0"/>
              </w:rPr>
              <w:t>总报价得分</w:t>
            </w:r>
          </w:p>
        </w:tc>
        <w:tc>
          <w:tcPr>
            <w:tcW w:w="5917" w:type="dxa"/>
            <w:vAlign w:val="center"/>
          </w:tcPr>
          <w:p w14:paraId="46E38C89">
            <w:pPr>
              <w:spacing w:line="360" w:lineRule="auto"/>
              <w:ind w:firstLine="420" w:firstLineChars="200"/>
              <w:rPr>
                <w:rFonts w:ascii="宋体" w:hAnsi="宋体"/>
                <w:kern w:val="0"/>
              </w:rPr>
            </w:pPr>
            <w:r>
              <w:rPr>
                <w:rFonts w:hint="eastAsia" w:ascii="宋体" w:hAnsi="宋体"/>
                <w:kern w:val="0"/>
              </w:rPr>
              <w:t>所有通过初步评审的竞选人的竞选总报价先得满分30分,在此基础上，竞选总报价与评选准基价相比，每增加1%扣0.5分，每减少1%扣0.25分。</w:t>
            </w:r>
            <w:r>
              <w:rPr>
                <w:rFonts w:hint="eastAsia" w:asciiTheme="minorEastAsia" w:hAnsiTheme="minorEastAsia" w:eastAsiaTheme="minorEastAsia" w:cstheme="minorEastAsia"/>
                <w:szCs w:val="21"/>
              </w:rPr>
              <w:t>最多扣</w:t>
            </w:r>
            <w:r>
              <w:rPr>
                <w:rFonts w:hint="eastAsia" w:asciiTheme="minorEastAsia" w:hAnsiTheme="minorEastAsia" w:eastAsiaTheme="minorEastAsia" w:cstheme="minorEastAsia"/>
                <w:szCs w:val="21"/>
                <w:u w:val="single"/>
              </w:rPr>
              <w:t xml:space="preserve"> 5 </w:t>
            </w:r>
            <w:r>
              <w:rPr>
                <w:rFonts w:hint="eastAsia" w:asciiTheme="minorEastAsia" w:hAnsiTheme="minorEastAsia" w:eastAsiaTheme="minorEastAsia" w:cstheme="minorEastAsia"/>
                <w:szCs w:val="21"/>
              </w:rPr>
              <w:t>分</w:t>
            </w:r>
            <w:r>
              <w:rPr>
                <w:rFonts w:hint="eastAsia" w:ascii="宋体" w:hAnsi="宋体"/>
                <w:kern w:val="0"/>
              </w:rPr>
              <w:t>。</w:t>
            </w:r>
          </w:p>
          <w:p w14:paraId="7915458E">
            <w:pPr>
              <w:spacing w:line="360" w:lineRule="auto"/>
              <w:ind w:firstLine="420" w:firstLineChars="200"/>
              <w:rPr>
                <w:rFonts w:ascii="宋体" w:hAnsi="宋体" w:cs="宋体"/>
                <w:szCs w:val="21"/>
              </w:rPr>
            </w:pPr>
            <w:r>
              <w:rPr>
                <w:rFonts w:hint="eastAsia" w:ascii="宋体" w:hAnsi="宋体"/>
                <w:kern w:val="0"/>
              </w:rPr>
              <w:t>采用插入法计算，保留小数点后两位，第三位四舍五入。</w:t>
            </w:r>
          </w:p>
        </w:tc>
      </w:tr>
      <w:tr w14:paraId="1301C7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restart"/>
            <w:vAlign w:val="center"/>
          </w:tcPr>
          <w:p w14:paraId="6BA573B6">
            <w:pPr>
              <w:snapToGrid w:val="0"/>
              <w:spacing w:line="360" w:lineRule="auto"/>
              <w:rPr>
                <w:rFonts w:ascii="宋体" w:hAnsi="宋体"/>
                <w:kern w:val="0"/>
                <w:szCs w:val="21"/>
              </w:rPr>
            </w:pPr>
          </w:p>
          <w:p w14:paraId="7CBBBF2E">
            <w:pPr>
              <w:snapToGrid w:val="0"/>
              <w:spacing w:line="360" w:lineRule="auto"/>
              <w:rPr>
                <w:rFonts w:ascii="宋体" w:hAnsi="宋体"/>
                <w:kern w:val="0"/>
                <w:szCs w:val="21"/>
              </w:rPr>
            </w:pPr>
            <w:r>
              <w:rPr>
                <w:rFonts w:ascii="宋体" w:hAnsi="宋体"/>
                <w:kern w:val="0"/>
                <w:szCs w:val="21"/>
              </w:rPr>
              <w:t>2.2.</w:t>
            </w:r>
            <w:r>
              <w:rPr>
                <w:rFonts w:hint="eastAsia" w:ascii="宋体" w:hAnsi="宋体"/>
                <w:kern w:val="0"/>
                <w:szCs w:val="21"/>
              </w:rPr>
              <w:t>3</w:t>
            </w:r>
            <w:r>
              <w:rPr>
                <w:rFonts w:ascii="宋体" w:hAnsi="宋体"/>
                <w:kern w:val="0"/>
                <w:szCs w:val="21"/>
              </w:rPr>
              <w:t xml:space="preserve"> </w:t>
            </w:r>
          </w:p>
        </w:tc>
        <w:tc>
          <w:tcPr>
            <w:tcW w:w="673" w:type="dxa"/>
            <w:vMerge w:val="restart"/>
            <w:vAlign w:val="center"/>
          </w:tcPr>
          <w:p w14:paraId="27E98F2E">
            <w:pPr>
              <w:snapToGrid w:val="0"/>
              <w:spacing w:line="360" w:lineRule="auto"/>
              <w:jc w:val="center"/>
              <w:rPr>
                <w:rFonts w:ascii="宋体" w:hAnsi="宋体"/>
                <w:kern w:val="0"/>
              </w:rPr>
            </w:pPr>
            <w:r>
              <w:rPr>
                <w:rFonts w:hint="eastAsia" w:ascii="宋体" w:hAnsi="宋体"/>
                <w:kern w:val="0"/>
              </w:rPr>
              <w:t>技术部分B（监理大纲）</w:t>
            </w:r>
            <w:r>
              <w:rPr>
                <w:rFonts w:ascii="宋体" w:hAnsi="宋体"/>
                <w:kern w:val="0"/>
              </w:rPr>
              <w:t>评分标准</w:t>
            </w:r>
            <w:r>
              <w:rPr>
                <w:rFonts w:hint="eastAsia" w:ascii="宋体" w:hAnsi="宋体"/>
                <w:kern w:val="0"/>
              </w:rPr>
              <w:t>（70分）</w:t>
            </w:r>
          </w:p>
        </w:tc>
        <w:tc>
          <w:tcPr>
            <w:tcW w:w="2015" w:type="dxa"/>
            <w:gridSpan w:val="2"/>
            <w:vAlign w:val="center"/>
          </w:tcPr>
          <w:p w14:paraId="2C9E939D">
            <w:pPr>
              <w:spacing w:line="360" w:lineRule="auto"/>
              <w:jc w:val="center"/>
              <w:rPr>
                <w:rFonts w:ascii="宋体" w:hAnsi="宋体"/>
                <w:kern w:val="0"/>
              </w:rPr>
            </w:pPr>
            <w:r>
              <w:rPr>
                <w:rFonts w:hint="eastAsia" w:ascii="宋体" w:hAnsi="宋体"/>
                <w:kern w:val="0"/>
              </w:rPr>
              <w:t>监理依据、监理工作目标</w:t>
            </w:r>
          </w:p>
        </w:tc>
        <w:tc>
          <w:tcPr>
            <w:tcW w:w="5917" w:type="dxa"/>
            <w:vAlign w:val="center"/>
          </w:tcPr>
          <w:p w14:paraId="3319C971">
            <w:pPr>
              <w:ind w:firstLine="420" w:firstLineChars="200"/>
              <w:jc w:val="left"/>
              <w:rPr>
                <w:rFonts w:ascii="宋体" w:hAnsi="宋体"/>
                <w:u w:val="single"/>
              </w:rPr>
            </w:pPr>
            <w:r>
              <w:rPr>
                <w:rFonts w:hint="eastAsia" w:ascii="宋体" w:hAnsi="宋体"/>
                <w:u w:val="single"/>
              </w:rPr>
              <w:t>10分</w:t>
            </w:r>
            <w:r>
              <w:rPr>
                <w:rFonts w:hint="eastAsia" w:ascii="宋体" w:hAnsi="宋体"/>
              </w:rPr>
              <w:t xml:space="preserve">   </w:t>
            </w:r>
            <w:r>
              <w:rPr>
                <w:rFonts w:hint="eastAsia" w:ascii="宋体" w:hAnsi="宋体"/>
                <w:u w:val="single"/>
              </w:rPr>
              <w:t>编制要点：监理依据、监理工作目标；优得7.5分-10分，良得5分-7.5分（不含），一般得2.5分-5分（不含），差得0分-2.5分（不含）。</w:t>
            </w:r>
          </w:p>
        </w:tc>
      </w:tr>
      <w:tr w14:paraId="5C5F09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2E48F3C6">
            <w:pPr>
              <w:snapToGrid w:val="0"/>
              <w:spacing w:line="360" w:lineRule="auto"/>
              <w:rPr>
                <w:rFonts w:ascii="宋体" w:hAnsi="宋体"/>
                <w:kern w:val="0"/>
                <w:szCs w:val="21"/>
              </w:rPr>
            </w:pPr>
          </w:p>
        </w:tc>
        <w:tc>
          <w:tcPr>
            <w:tcW w:w="673" w:type="dxa"/>
            <w:vMerge w:val="continue"/>
            <w:vAlign w:val="center"/>
          </w:tcPr>
          <w:p w14:paraId="21DA973D">
            <w:pPr>
              <w:snapToGrid w:val="0"/>
              <w:spacing w:line="360" w:lineRule="auto"/>
              <w:jc w:val="center"/>
              <w:rPr>
                <w:rFonts w:ascii="宋体" w:hAnsi="宋体"/>
                <w:kern w:val="0"/>
              </w:rPr>
            </w:pPr>
          </w:p>
        </w:tc>
        <w:tc>
          <w:tcPr>
            <w:tcW w:w="2015" w:type="dxa"/>
            <w:gridSpan w:val="2"/>
            <w:vAlign w:val="center"/>
          </w:tcPr>
          <w:p w14:paraId="0AAE246C">
            <w:pPr>
              <w:jc w:val="center"/>
              <w:rPr>
                <w:rFonts w:ascii="宋体" w:hAnsi="宋体"/>
                <w:kern w:val="0"/>
              </w:rPr>
            </w:pPr>
            <w:r>
              <w:rPr>
                <w:rFonts w:hint="eastAsia" w:ascii="宋体" w:hAnsi="宋体"/>
                <w:kern w:val="0"/>
              </w:rPr>
              <w:t>监理机构设置和岗位职责</w:t>
            </w:r>
          </w:p>
        </w:tc>
        <w:tc>
          <w:tcPr>
            <w:tcW w:w="5917" w:type="dxa"/>
            <w:vAlign w:val="center"/>
          </w:tcPr>
          <w:p w14:paraId="3A09FFBC">
            <w:pPr>
              <w:ind w:firstLine="420" w:firstLineChars="200"/>
              <w:jc w:val="left"/>
              <w:rPr>
                <w:rFonts w:ascii="宋体" w:hAnsi="宋体"/>
                <w:u w:val="single"/>
              </w:rPr>
            </w:pPr>
            <w:r>
              <w:rPr>
                <w:rFonts w:hint="eastAsia" w:ascii="宋体" w:hAnsi="宋体"/>
                <w:u w:val="single"/>
              </w:rPr>
              <w:t>10分</w:t>
            </w:r>
            <w:r>
              <w:rPr>
                <w:rFonts w:hint="eastAsia" w:ascii="宋体" w:hAnsi="宋体"/>
              </w:rPr>
              <w:t xml:space="preserve">   </w:t>
            </w:r>
            <w:r>
              <w:rPr>
                <w:rFonts w:hint="eastAsia" w:ascii="宋体" w:hAnsi="宋体"/>
                <w:u w:val="single"/>
              </w:rPr>
              <w:t>编制要点：监理机构设置和岗位职责；优得7.5分-10分，良得5分-7.5分（不含），一般得2.5分-5分（不含），差得0分-2.5分（不含）。</w:t>
            </w:r>
          </w:p>
        </w:tc>
      </w:tr>
      <w:tr w14:paraId="659BC1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75A2C01E">
            <w:pPr>
              <w:snapToGrid w:val="0"/>
              <w:spacing w:line="360" w:lineRule="auto"/>
              <w:rPr>
                <w:rFonts w:ascii="宋体" w:hAnsi="宋体"/>
                <w:kern w:val="0"/>
                <w:szCs w:val="21"/>
              </w:rPr>
            </w:pPr>
          </w:p>
        </w:tc>
        <w:tc>
          <w:tcPr>
            <w:tcW w:w="673" w:type="dxa"/>
            <w:vMerge w:val="continue"/>
            <w:vAlign w:val="center"/>
          </w:tcPr>
          <w:p w14:paraId="4D1F96A8">
            <w:pPr>
              <w:snapToGrid w:val="0"/>
              <w:spacing w:line="360" w:lineRule="auto"/>
              <w:jc w:val="center"/>
              <w:rPr>
                <w:rFonts w:ascii="宋体" w:hAnsi="宋体"/>
                <w:kern w:val="0"/>
              </w:rPr>
            </w:pPr>
          </w:p>
        </w:tc>
        <w:tc>
          <w:tcPr>
            <w:tcW w:w="2015" w:type="dxa"/>
            <w:gridSpan w:val="2"/>
            <w:vAlign w:val="center"/>
          </w:tcPr>
          <w:p w14:paraId="41C58A06">
            <w:pPr>
              <w:jc w:val="center"/>
              <w:rPr>
                <w:rFonts w:ascii="宋体" w:hAnsi="宋体" w:cs="宋体"/>
                <w:kern w:val="0"/>
              </w:rPr>
            </w:pPr>
            <w:r>
              <w:rPr>
                <w:rFonts w:hint="eastAsia" w:ascii="宋体" w:hAnsi="宋体" w:cs="宋体"/>
                <w:kern w:val="0"/>
              </w:rPr>
              <w:t>监理工作程序、方法和制度</w:t>
            </w:r>
          </w:p>
        </w:tc>
        <w:tc>
          <w:tcPr>
            <w:tcW w:w="5917" w:type="dxa"/>
            <w:vAlign w:val="center"/>
          </w:tcPr>
          <w:p w14:paraId="4443DD60">
            <w:pPr>
              <w:ind w:firstLine="420" w:firstLineChars="200"/>
              <w:jc w:val="left"/>
              <w:rPr>
                <w:rFonts w:ascii="宋体" w:hAnsi="宋体"/>
                <w:u w:val="single"/>
              </w:rPr>
            </w:pPr>
            <w:r>
              <w:rPr>
                <w:rFonts w:hint="eastAsia" w:ascii="宋体" w:hAnsi="宋体"/>
                <w:u w:val="single"/>
              </w:rPr>
              <w:t>10分</w:t>
            </w:r>
            <w:r>
              <w:rPr>
                <w:rFonts w:hint="eastAsia" w:ascii="宋体" w:hAnsi="宋体"/>
              </w:rPr>
              <w:t xml:space="preserve">   </w:t>
            </w:r>
            <w:r>
              <w:rPr>
                <w:rFonts w:hint="eastAsia" w:ascii="宋体" w:hAnsi="宋体"/>
                <w:u w:val="single"/>
              </w:rPr>
              <w:t>编制要点：监理工作程序、方法和制度；优得7.5分-10分，良得5分-7.5分（不含），一般得2.5分-5分（不含），差得0分-2.5分（不含）。</w:t>
            </w:r>
          </w:p>
        </w:tc>
      </w:tr>
      <w:tr w14:paraId="661FCF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500EE5D3">
            <w:pPr>
              <w:snapToGrid w:val="0"/>
              <w:spacing w:line="360" w:lineRule="auto"/>
              <w:rPr>
                <w:rFonts w:ascii="宋体" w:hAnsi="宋体"/>
                <w:kern w:val="0"/>
                <w:szCs w:val="21"/>
              </w:rPr>
            </w:pPr>
          </w:p>
        </w:tc>
        <w:tc>
          <w:tcPr>
            <w:tcW w:w="673" w:type="dxa"/>
            <w:vMerge w:val="continue"/>
            <w:vAlign w:val="center"/>
          </w:tcPr>
          <w:p w14:paraId="2365B4DF">
            <w:pPr>
              <w:snapToGrid w:val="0"/>
              <w:spacing w:line="360" w:lineRule="auto"/>
              <w:jc w:val="center"/>
              <w:rPr>
                <w:rFonts w:ascii="宋体" w:hAnsi="宋体"/>
                <w:kern w:val="0"/>
              </w:rPr>
            </w:pPr>
          </w:p>
        </w:tc>
        <w:tc>
          <w:tcPr>
            <w:tcW w:w="2015" w:type="dxa"/>
            <w:gridSpan w:val="2"/>
            <w:vAlign w:val="center"/>
          </w:tcPr>
          <w:p w14:paraId="5CD3C33B">
            <w:pPr>
              <w:jc w:val="center"/>
              <w:rPr>
                <w:rFonts w:ascii="宋体" w:hAnsi="宋体"/>
                <w:kern w:val="0"/>
              </w:rPr>
            </w:pPr>
            <w:r>
              <w:rPr>
                <w:rFonts w:hint="eastAsia" w:ascii="宋体" w:hAnsi="宋体"/>
                <w:kern w:val="0"/>
              </w:rPr>
              <w:t>质量、进度、造价、安全、环保监理措施</w:t>
            </w:r>
          </w:p>
        </w:tc>
        <w:tc>
          <w:tcPr>
            <w:tcW w:w="5917" w:type="dxa"/>
            <w:vAlign w:val="center"/>
          </w:tcPr>
          <w:p w14:paraId="31B0487F">
            <w:pPr>
              <w:ind w:firstLine="420" w:firstLineChars="200"/>
              <w:jc w:val="left"/>
              <w:rPr>
                <w:rFonts w:ascii="宋体" w:hAnsi="宋体"/>
                <w:u w:val="single"/>
              </w:rPr>
            </w:pPr>
            <w:r>
              <w:rPr>
                <w:rFonts w:hint="eastAsia" w:ascii="宋体" w:hAnsi="宋体"/>
                <w:u w:val="single"/>
              </w:rPr>
              <w:t>10分</w:t>
            </w:r>
            <w:r>
              <w:rPr>
                <w:rFonts w:hint="eastAsia" w:ascii="宋体" w:hAnsi="宋体"/>
              </w:rPr>
              <w:t xml:space="preserve">   </w:t>
            </w:r>
            <w:r>
              <w:rPr>
                <w:rFonts w:hint="eastAsia" w:ascii="宋体" w:hAnsi="宋体"/>
                <w:u w:val="single"/>
              </w:rPr>
              <w:t>编制要点：质量、进度、造价、安全、环保监理措施；优得7.5分-10分，良得5分-7.5分（不含），一般得2.5分-5分（不含），差得0分-2.5分（不含）。</w:t>
            </w:r>
          </w:p>
        </w:tc>
      </w:tr>
      <w:tr w14:paraId="6840F2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5" w:hRule="atLeast"/>
          <w:jc w:val="center"/>
        </w:trPr>
        <w:tc>
          <w:tcPr>
            <w:tcW w:w="864" w:type="dxa"/>
            <w:vMerge w:val="continue"/>
            <w:vAlign w:val="center"/>
          </w:tcPr>
          <w:p w14:paraId="12D78A30">
            <w:pPr>
              <w:snapToGrid w:val="0"/>
              <w:spacing w:line="360" w:lineRule="auto"/>
              <w:rPr>
                <w:rFonts w:ascii="宋体" w:hAnsi="宋体"/>
                <w:kern w:val="0"/>
                <w:szCs w:val="21"/>
              </w:rPr>
            </w:pPr>
          </w:p>
        </w:tc>
        <w:tc>
          <w:tcPr>
            <w:tcW w:w="673" w:type="dxa"/>
            <w:vMerge w:val="continue"/>
            <w:vAlign w:val="center"/>
          </w:tcPr>
          <w:p w14:paraId="6C37CA75">
            <w:pPr>
              <w:snapToGrid w:val="0"/>
              <w:spacing w:line="360" w:lineRule="auto"/>
              <w:jc w:val="center"/>
              <w:rPr>
                <w:rFonts w:ascii="宋体" w:hAnsi="宋体"/>
                <w:kern w:val="0"/>
              </w:rPr>
            </w:pPr>
          </w:p>
        </w:tc>
        <w:tc>
          <w:tcPr>
            <w:tcW w:w="2015" w:type="dxa"/>
            <w:gridSpan w:val="2"/>
            <w:vAlign w:val="center"/>
          </w:tcPr>
          <w:p w14:paraId="30F171D5">
            <w:pPr>
              <w:jc w:val="center"/>
              <w:rPr>
                <w:rFonts w:ascii="宋体" w:hAnsi="宋体"/>
                <w:kern w:val="0"/>
              </w:rPr>
            </w:pPr>
            <w:r>
              <w:rPr>
                <w:rFonts w:hint="eastAsia" w:ascii="宋体" w:hAnsi="宋体"/>
                <w:kern w:val="0"/>
              </w:rPr>
              <w:t>监理组织协调内容及措施</w:t>
            </w:r>
          </w:p>
        </w:tc>
        <w:tc>
          <w:tcPr>
            <w:tcW w:w="5917" w:type="dxa"/>
            <w:vAlign w:val="center"/>
          </w:tcPr>
          <w:p w14:paraId="0B2C5EE8">
            <w:pPr>
              <w:ind w:firstLine="420" w:firstLineChars="200"/>
              <w:jc w:val="left"/>
              <w:rPr>
                <w:rFonts w:ascii="宋体" w:hAnsi="宋体"/>
                <w:u w:val="single"/>
              </w:rPr>
            </w:pPr>
            <w:r>
              <w:rPr>
                <w:rFonts w:hint="eastAsia" w:ascii="宋体" w:hAnsi="宋体"/>
                <w:u w:val="single"/>
              </w:rPr>
              <w:t>10分</w:t>
            </w:r>
            <w:r>
              <w:rPr>
                <w:rFonts w:hint="eastAsia" w:ascii="宋体" w:hAnsi="宋体"/>
              </w:rPr>
              <w:t xml:space="preserve">   </w:t>
            </w:r>
            <w:r>
              <w:rPr>
                <w:rFonts w:hint="eastAsia" w:ascii="宋体" w:hAnsi="宋体"/>
                <w:u w:val="single"/>
              </w:rPr>
              <w:t>编制要点：监理组织协调内容及措施；优得7.5分-10分，良得5分-7.5分（不含），一般得2.5分-5分（不含），差得0分-2.5分（不含）。</w:t>
            </w:r>
          </w:p>
        </w:tc>
      </w:tr>
      <w:tr w14:paraId="111023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6EE61CEF">
            <w:pPr>
              <w:snapToGrid w:val="0"/>
              <w:spacing w:line="360" w:lineRule="auto"/>
              <w:rPr>
                <w:rFonts w:ascii="宋体" w:hAnsi="宋体"/>
                <w:kern w:val="0"/>
                <w:szCs w:val="21"/>
              </w:rPr>
            </w:pPr>
          </w:p>
        </w:tc>
        <w:tc>
          <w:tcPr>
            <w:tcW w:w="673" w:type="dxa"/>
            <w:vMerge w:val="continue"/>
            <w:vAlign w:val="center"/>
          </w:tcPr>
          <w:p w14:paraId="3F86F68F">
            <w:pPr>
              <w:snapToGrid w:val="0"/>
              <w:spacing w:line="360" w:lineRule="auto"/>
              <w:jc w:val="center"/>
              <w:rPr>
                <w:rFonts w:ascii="宋体" w:hAnsi="宋体"/>
                <w:kern w:val="0"/>
              </w:rPr>
            </w:pPr>
          </w:p>
        </w:tc>
        <w:tc>
          <w:tcPr>
            <w:tcW w:w="2015" w:type="dxa"/>
            <w:gridSpan w:val="2"/>
            <w:vAlign w:val="center"/>
          </w:tcPr>
          <w:p w14:paraId="4D517890">
            <w:pPr>
              <w:jc w:val="center"/>
              <w:rPr>
                <w:rFonts w:ascii="宋体" w:hAnsi="宋体" w:cs="宋体"/>
              </w:rPr>
            </w:pPr>
            <w:r>
              <w:rPr>
                <w:rFonts w:hint="eastAsia" w:ascii="宋体" w:hAnsi="宋体" w:cs="宋体"/>
              </w:rPr>
              <w:t>监理工作重点、难点分析</w:t>
            </w:r>
          </w:p>
        </w:tc>
        <w:tc>
          <w:tcPr>
            <w:tcW w:w="5917" w:type="dxa"/>
            <w:vAlign w:val="center"/>
          </w:tcPr>
          <w:p w14:paraId="198ACBE2">
            <w:pPr>
              <w:ind w:firstLine="420" w:firstLineChars="200"/>
              <w:jc w:val="left"/>
              <w:rPr>
                <w:rFonts w:ascii="宋体" w:hAnsi="宋体"/>
                <w:u w:val="single"/>
              </w:rPr>
            </w:pPr>
            <w:r>
              <w:rPr>
                <w:rFonts w:hint="eastAsia" w:ascii="宋体" w:hAnsi="宋体"/>
                <w:u w:val="single"/>
              </w:rPr>
              <w:t>10分</w:t>
            </w:r>
            <w:r>
              <w:rPr>
                <w:rFonts w:hint="eastAsia" w:ascii="宋体" w:hAnsi="宋体"/>
              </w:rPr>
              <w:t xml:space="preserve">   </w:t>
            </w:r>
            <w:r>
              <w:rPr>
                <w:rFonts w:hint="eastAsia" w:ascii="宋体" w:hAnsi="宋体"/>
                <w:u w:val="single"/>
              </w:rPr>
              <w:t>编制要点：监理工作重点、难点分析；优得7.5分-10分，良得5分-7.5分（不含），一般得2.5分-5分（不含），差得0分-2.5分（不含）。</w:t>
            </w:r>
          </w:p>
        </w:tc>
      </w:tr>
      <w:tr w14:paraId="64CD10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2E1D038F">
            <w:pPr>
              <w:snapToGrid w:val="0"/>
              <w:spacing w:line="360" w:lineRule="auto"/>
              <w:rPr>
                <w:rFonts w:ascii="宋体" w:hAnsi="宋体"/>
                <w:kern w:val="0"/>
                <w:szCs w:val="21"/>
              </w:rPr>
            </w:pPr>
          </w:p>
        </w:tc>
        <w:tc>
          <w:tcPr>
            <w:tcW w:w="673" w:type="dxa"/>
            <w:vMerge w:val="continue"/>
            <w:vAlign w:val="center"/>
          </w:tcPr>
          <w:p w14:paraId="5B0E95E4">
            <w:pPr>
              <w:snapToGrid w:val="0"/>
              <w:spacing w:line="360" w:lineRule="auto"/>
              <w:jc w:val="center"/>
              <w:rPr>
                <w:rFonts w:ascii="宋体" w:hAnsi="宋体"/>
                <w:kern w:val="0"/>
              </w:rPr>
            </w:pPr>
          </w:p>
        </w:tc>
        <w:tc>
          <w:tcPr>
            <w:tcW w:w="2015" w:type="dxa"/>
            <w:gridSpan w:val="2"/>
            <w:vAlign w:val="center"/>
          </w:tcPr>
          <w:p w14:paraId="695D4931">
            <w:pPr>
              <w:jc w:val="center"/>
              <w:rPr>
                <w:rFonts w:ascii="宋体" w:hAnsi="宋体" w:cs="宋体"/>
              </w:rPr>
            </w:pPr>
            <w:r>
              <w:rPr>
                <w:rFonts w:hint="eastAsia" w:ascii="宋体" w:hAnsi="宋体" w:cs="宋体"/>
              </w:rPr>
              <w:t>安全控制措施</w:t>
            </w:r>
          </w:p>
        </w:tc>
        <w:tc>
          <w:tcPr>
            <w:tcW w:w="5917" w:type="dxa"/>
            <w:vAlign w:val="center"/>
          </w:tcPr>
          <w:p w14:paraId="58D7C850">
            <w:pPr>
              <w:ind w:firstLine="420" w:firstLineChars="200"/>
              <w:jc w:val="left"/>
              <w:rPr>
                <w:rFonts w:ascii="宋体" w:hAnsi="宋体"/>
                <w:u w:val="single"/>
              </w:rPr>
            </w:pPr>
            <w:r>
              <w:rPr>
                <w:rFonts w:hint="eastAsia" w:ascii="宋体" w:hAnsi="宋体"/>
                <w:u w:val="single"/>
              </w:rPr>
              <w:t>10分</w:t>
            </w:r>
            <w:r>
              <w:rPr>
                <w:rFonts w:hint="eastAsia" w:ascii="宋体" w:hAnsi="宋体"/>
              </w:rPr>
              <w:t xml:space="preserve">   </w:t>
            </w:r>
            <w:r>
              <w:rPr>
                <w:rFonts w:hint="eastAsia" w:ascii="宋体" w:hAnsi="宋体"/>
                <w:u w:val="single"/>
              </w:rPr>
              <w:t>编制要点：安全控制措施；优得7.5分-10分，良得5分-7.5分（不含），一般得2.5分-5分（不含），差得0分-2.5分（不含）。</w:t>
            </w:r>
          </w:p>
        </w:tc>
      </w:tr>
      <w:tr w14:paraId="38B500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Align w:val="center"/>
          </w:tcPr>
          <w:p w14:paraId="744E1B9A">
            <w:pPr>
              <w:spacing w:line="360" w:lineRule="auto"/>
              <w:jc w:val="center"/>
              <w:rPr>
                <w:rFonts w:ascii="宋体" w:hAnsi="宋体"/>
                <w:kern w:val="0"/>
              </w:rPr>
            </w:pPr>
            <w:r>
              <w:rPr>
                <w:rFonts w:ascii="宋体" w:hAnsi="宋体"/>
              </w:rPr>
              <w:t>3</w:t>
            </w:r>
          </w:p>
        </w:tc>
        <w:tc>
          <w:tcPr>
            <w:tcW w:w="673" w:type="dxa"/>
            <w:vAlign w:val="center"/>
          </w:tcPr>
          <w:p w14:paraId="44A1A81D">
            <w:pPr>
              <w:spacing w:line="360" w:lineRule="auto"/>
              <w:jc w:val="center"/>
              <w:rPr>
                <w:rFonts w:ascii="宋体" w:hAnsi="宋体"/>
                <w:kern w:val="0"/>
              </w:rPr>
            </w:pPr>
            <w:r>
              <w:rPr>
                <w:rFonts w:hint="eastAsia" w:ascii="宋体" w:hAnsi="宋体"/>
                <w:kern w:val="0"/>
              </w:rPr>
              <w:t>评选</w:t>
            </w:r>
            <w:r>
              <w:rPr>
                <w:rFonts w:ascii="宋体" w:hAnsi="宋体"/>
                <w:kern w:val="0"/>
              </w:rPr>
              <w:t>程序</w:t>
            </w:r>
          </w:p>
        </w:tc>
        <w:tc>
          <w:tcPr>
            <w:tcW w:w="7932" w:type="dxa"/>
            <w:gridSpan w:val="3"/>
          </w:tcPr>
          <w:p w14:paraId="1223EBF6">
            <w:pPr>
              <w:spacing w:line="360" w:lineRule="auto"/>
              <w:ind w:firstLine="420" w:firstLineChars="200"/>
              <w:rPr>
                <w:rFonts w:ascii="宋体" w:hAnsi="宋体"/>
                <w:kern w:val="0"/>
              </w:rPr>
            </w:pPr>
            <w:r>
              <w:rPr>
                <w:rFonts w:hint="eastAsia" w:ascii="宋体" w:hAnsi="宋体"/>
                <w:kern w:val="0"/>
              </w:rPr>
              <w:t>1.按本章评选办法第2.1款进行初步评审。</w:t>
            </w:r>
          </w:p>
          <w:p w14:paraId="5478A02D">
            <w:pPr>
              <w:spacing w:line="360" w:lineRule="auto"/>
              <w:ind w:firstLine="420" w:firstLineChars="200"/>
              <w:rPr>
                <w:rFonts w:ascii="宋体" w:hAnsi="宋体"/>
                <w:kern w:val="0"/>
              </w:rPr>
            </w:pPr>
            <w:r>
              <w:rPr>
                <w:rFonts w:hint="eastAsia" w:ascii="宋体" w:hAnsi="宋体"/>
                <w:kern w:val="0"/>
              </w:rPr>
              <w:t>2.对初步评审合格的竞选人按照本章2.2.2项计算方法计算评选基准价及各竞选人的竞选总报价得分A。（计算结果取小数点后两位，第三位四舍五入）</w:t>
            </w:r>
          </w:p>
          <w:p w14:paraId="5FE61AF5">
            <w:pPr>
              <w:spacing w:line="360" w:lineRule="auto"/>
              <w:ind w:firstLine="420" w:firstLineChars="200"/>
              <w:rPr>
                <w:rFonts w:ascii="宋体" w:hAnsi="宋体"/>
                <w:kern w:val="0"/>
              </w:rPr>
            </w:pPr>
            <w:r>
              <w:rPr>
                <w:rFonts w:hint="eastAsia" w:ascii="宋体" w:hAnsi="宋体"/>
                <w:kern w:val="0"/>
              </w:rPr>
              <w:t>3.按本章评选办法前附表2.2.3的规定的各评审因素对技术部分（监理大纲）进行评审。评选委员会全体成员对监理大纲进行评审，各评委打分的算术平均值即为该竞选人监理大纲得分B。（计算结果取小数点后两位，第三位四舍五入）</w:t>
            </w:r>
          </w:p>
          <w:p w14:paraId="179C3CD9">
            <w:pPr>
              <w:spacing w:line="360" w:lineRule="auto"/>
              <w:ind w:firstLine="420" w:firstLineChars="200"/>
              <w:rPr>
                <w:rFonts w:ascii="宋体" w:hAnsi="宋体"/>
                <w:kern w:val="0"/>
              </w:rPr>
            </w:pPr>
            <w:r>
              <w:rPr>
                <w:rFonts w:hint="eastAsia" w:ascii="宋体" w:hAnsi="宋体"/>
                <w:kern w:val="0"/>
              </w:rPr>
              <w:t>4.对竞选人综合得分按照</w:t>
            </w:r>
            <w:r>
              <w:rPr>
                <w:rFonts w:hint="eastAsia" w:ascii="宋体" w:hAnsi="宋体"/>
                <w:kern w:val="0"/>
                <w:u w:val="single"/>
              </w:rPr>
              <w:t>竞选总报价A+技术部分B</w:t>
            </w:r>
            <w:r>
              <w:rPr>
                <w:rFonts w:hint="eastAsia" w:ascii="宋体" w:hAnsi="宋体"/>
                <w:kern w:val="0"/>
              </w:rPr>
              <w:t>进行汇总，确定综合得分由高至低前3名竞选人为中选候选人。</w:t>
            </w:r>
          </w:p>
        </w:tc>
      </w:tr>
      <w:tr w14:paraId="78DCEB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37" w:type="dxa"/>
            <w:gridSpan w:val="2"/>
            <w:vAlign w:val="center"/>
          </w:tcPr>
          <w:p w14:paraId="54C82BE6">
            <w:pPr>
              <w:spacing w:line="400" w:lineRule="exact"/>
              <w:ind w:firstLine="18" w:firstLineChars="9"/>
              <w:jc w:val="center"/>
              <w:rPr>
                <w:rFonts w:ascii="宋体" w:hAnsi="宋体"/>
                <w:szCs w:val="21"/>
              </w:rPr>
            </w:pPr>
            <w:r>
              <w:rPr>
                <w:rFonts w:hint="eastAsia" w:ascii="宋体" w:hAnsi="宋体"/>
                <w:szCs w:val="21"/>
              </w:rPr>
              <w:t>4</w:t>
            </w:r>
          </w:p>
        </w:tc>
        <w:tc>
          <w:tcPr>
            <w:tcW w:w="2015" w:type="dxa"/>
            <w:gridSpan w:val="2"/>
            <w:vAlign w:val="center"/>
          </w:tcPr>
          <w:p w14:paraId="142AC241">
            <w:pPr>
              <w:spacing w:line="400" w:lineRule="exact"/>
              <w:ind w:firstLine="18" w:firstLineChars="9"/>
              <w:jc w:val="center"/>
              <w:rPr>
                <w:rFonts w:ascii="宋体" w:hAnsi="宋体"/>
                <w:szCs w:val="21"/>
              </w:rPr>
            </w:pPr>
            <w:r>
              <w:rPr>
                <w:rFonts w:hint="eastAsia" w:ascii="宋体" w:hAnsi="宋体"/>
                <w:szCs w:val="21"/>
              </w:rPr>
              <w:t>竞选人综合</w:t>
            </w:r>
            <w:r>
              <w:rPr>
                <w:rFonts w:ascii="宋体" w:hAnsi="宋体"/>
                <w:szCs w:val="21"/>
              </w:rPr>
              <w:t>得分</w:t>
            </w:r>
          </w:p>
        </w:tc>
        <w:tc>
          <w:tcPr>
            <w:tcW w:w="5917" w:type="dxa"/>
            <w:vAlign w:val="center"/>
          </w:tcPr>
          <w:p w14:paraId="72324ADB">
            <w:pPr>
              <w:jc w:val="center"/>
              <w:rPr>
                <w:rFonts w:ascii="宋体" w:hAnsi="宋体"/>
                <w:szCs w:val="21"/>
                <w:u w:val="single"/>
              </w:rPr>
            </w:pPr>
            <w:r>
              <w:rPr>
                <w:rFonts w:ascii="宋体" w:hAnsi="宋体"/>
                <w:szCs w:val="21"/>
              </w:rPr>
              <w:t>A+B</w:t>
            </w:r>
          </w:p>
        </w:tc>
      </w:tr>
    </w:tbl>
    <w:p w14:paraId="093C0A42">
      <w:pPr>
        <w:rPr>
          <w:rFonts w:ascii="宋体" w:hAnsi="宋体"/>
          <w:snapToGrid w:val="0"/>
        </w:rPr>
      </w:pPr>
      <w:r>
        <w:rPr>
          <w:rFonts w:ascii="宋体" w:hAnsi="宋体"/>
          <w:snapToGrid w:val="0"/>
        </w:rPr>
        <w:br w:type="page"/>
      </w:r>
    </w:p>
    <w:p w14:paraId="32889F4C">
      <w:pPr>
        <w:pStyle w:val="4"/>
        <w:spacing w:before="0" w:after="0" w:line="360" w:lineRule="auto"/>
        <w:rPr>
          <w:rFonts w:ascii="宋体" w:hAnsi="宋体"/>
          <w:b w:val="0"/>
          <w:snapToGrid w:val="0"/>
        </w:rPr>
      </w:pPr>
      <w:r>
        <w:rPr>
          <w:rFonts w:ascii="宋体" w:hAnsi="宋体"/>
          <w:b w:val="0"/>
          <w:snapToGrid w:val="0"/>
        </w:rPr>
        <w:t xml:space="preserve">1.  </w:t>
      </w:r>
      <w:r>
        <w:rPr>
          <w:rFonts w:hint="eastAsia" w:ascii="宋体" w:hAnsi="宋体"/>
          <w:b w:val="0"/>
          <w:snapToGrid w:val="0"/>
        </w:rPr>
        <w:t>评选</w:t>
      </w:r>
      <w:r>
        <w:rPr>
          <w:rFonts w:ascii="宋体" w:hAnsi="宋体"/>
          <w:b w:val="0"/>
          <w:snapToGrid w:val="0"/>
        </w:rPr>
        <w:t>方法</w:t>
      </w:r>
      <w:bookmarkEnd w:id="621"/>
    </w:p>
    <w:p w14:paraId="24EFB162">
      <w:pPr>
        <w:autoSpaceDE w:val="0"/>
        <w:autoSpaceDN w:val="0"/>
        <w:adjustRightInd w:val="0"/>
        <w:snapToGrid w:val="0"/>
        <w:spacing w:line="360" w:lineRule="auto"/>
        <w:ind w:firstLine="420"/>
        <w:rPr>
          <w:rFonts w:ascii="宋体" w:hAnsi="宋体"/>
          <w:kern w:val="0"/>
          <w:szCs w:val="21"/>
        </w:rPr>
      </w:pPr>
      <w:r>
        <w:rPr>
          <w:rFonts w:ascii="宋体" w:hAnsi="宋体"/>
          <w:kern w:val="0"/>
          <w:szCs w:val="21"/>
        </w:rPr>
        <w:t>本次</w:t>
      </w:r>
      <w:r>
        <w:rPr>
          <w:rFonts w:hint="eastAsia" w:ascii="宋体" w:hAnsi="宋体"/>
          <w:kern w:val="0"/>
          <w:szCs w:val="21"/>
        </w:rPr>
        <w:t>比选</w:t>
      </w:r>
      <w:r>
        <w:rPr>
          <w:rFonts w:ascii="宋体" w:hAnsi="宋体"/>
          <w:kern w:val="0"/>
          <w:szCs w:val="21"/>
        </w:rPr>
        <w:t>采用综合评估法</w:t>
      </w:r>
      <w:r>
        <w:rPr>
          <w:rFonts w:ascii="宋体" w:hAnsi="宋体"/>
          <w:spacing w:val="-47"/>
          <w:kern w:val="0"/>
          <w:szCs w:val="21"/>
        </w:rPr>
        <w:t>。</w:t>
      </w:r>
      <w:r>
        <w:rPr>
          <w:rFonts w:hint="eastAsia" w:ascii="宋体" w:hAnsi="宋体"/>
          <w:kern w:val="0"/>
          <w:szCs w:val="21"/>
        </w:rPr>
        <w:t>评选</w:t>
      </w:r>
      <w:r>
        <w:rPr>
          <w:rFonts w:ascii="宋体" w:hAnsi="宋体"/>
          <w:kern w:val="0"/>
          <w:szCs w:val="21"/>
        </w:rPr>
        <w:t xml:space="preserve">委员会按照本章第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定的评分标准进行打分，按得分由高到低顺序推荐</w:t>
      </w:r>
      <w:r>
        <w:rPr>
          <w:rFonts w:hint="eastAsia" w:ascii="宋体" w:hAnsi="宋体"/>
          <w:kern w:val="0"/>
          <w:szCs w:val="21"/>
        </w:rPr>
        <w:t>中选</w:t>
      </w:r>
      <w:r>
        <w:rPr>
          <w:rFonts w:ascii="宋体" w:hAnsi="宋体"/>
          <w:kern w:val="0"/>
          <w:szCs w:val="21"/>
        </w:rPr>
        <w:t>候选人</w:t>
      </w:r>
      <w:r>
        <w:rPr>
          <w:rFonts w:ascii="宋体" w:hAnsi="宋体"/>
          <w:spacing w:val="-20"/>
          <w:kern w:val="0"/>
          <w:szCs w:val="21"/>
        </w:rPr>
        <w:t>，</w:t>
      </w:r>
      <w:r>
        <w:rPr>
          <w:rFonts w:ascii="宋体" w:hAnsi="宋体"/>
          <w:kern w:val="0"/>
          <w:szCs w:val="21"/>
        </w:rPr>
        <w:t>或根据</w:t>
      </w:r>
      <w:r>
        <w:rPr>
          <w:rFonts w:hint="eastAsia" w:ascii="宋体" w:hAnsi="宋体"/>
          <w:kern w:val="0"/>
          <w:szCs w:val="21"/>
        </w:rPr>
        <w:t>比选人</w:t>
      </w:r>
      <w:r>
        <w:rPr>
          <w:rFonts w:ascii="宋体" w:hAnsi="宋体"/>
          <w:kern w:val="0"/>
          <w:szCs w:val="21"/>
        </w:rPr>
        <w:t>授权直接确定</w:t>
      </w:r>
      <w:r>
        <w:rPr>
          <w:rFonts w:hint="eastAsia" w:ascii="宋体" w:hAnsi="宋体"/>
          <w:kern w:val="0"/>
          <w:szCs w:val="21"/>
        </w:rPr>
        <w:t>中选</w:t>
      </w:r>
      <w:r>
        <w:rPr>
          <w:rFonts w:ascii="宋体" w:hAnsi="宋体"/>
          <w:kern w:val="0"/>
          <w:szCs w:val="21"/>
        </w:rPr>
        <w:t>人</w:t>
      </w:r>
      <w:r>
        <w:rPr>
          <w:rFonts w:hint="eastAsia" w:ascii="宋体" w:hAnsi="宋体"/>
          <w:kern w:val="0"/>
          <w:szCs w:val="21"/>
        </w:rPr>
        <w:t>，若出现竞选人综合得分相同的，以评选办法前附表约定的原则确定排序</w:t>
      </w:r>
      <w:r>
        <w:rPr>
          <w:rFonts w:ascii="宋体" w:hAnsi="宋体"/>
          <w:spacing w:val="-31"/>
          <w:kern w:val="0"/>
          <w:szCs w:val="21"/>
        </w:rPr>
        <w:t>。</w:t>
      </w:r>
    </w:p>
    <w:p w14:paraId="7D95FD04">
      <w:pPr>
        <w:pStyle w:val="4"/>
        <w:spacing w:before="0" w:after="0" w:line="360" w:lineRule="auto"/>
        <w:rPr>
          <w:rFonts w:ascii="宋体" w:hAnsi="宋体"/>
          <w:b w:val="0"/>
          <w:snapToGrid w:val="0"/>
        </w:rPr>
      </w:pPr>
      <w:bookmarkStart w:id="625" w:name="_Toc287607813"/>
      <w:bookmarkStart w:id="626" w:name="_Toc200513199"/>
      <w:bookmarkStart w:id="627" w:name="_Toc430530501"/>
      <w:bookmarkStart w:id="628" w:name="_Toc224103385"/>
      <w:bookmarkStart w:id="629" w:name="_Toc287620752"/>
      <w:bookmarkStart w:id="630" w:name="_Toc27983301"/>
      <w:bookmarkStart w:id="631" w:name="_Toc509218777"/>
      <w:bookmarkStart w:id="632" w:name="_Toc277082619"/>
      <w:r>
        <w:rPr>
          <w:rFonts w:ascii="宋体" w:hAnsi="宋体"/>
          <w:b w:val="0"/>
          <w:snapToGrid w:val="0"/>
        </w:rPr>
        <w:t>2.  评审标准</w:t>
      </w:r>
      <w:bookmarkEnd w:id="625"/>
      <w:bookmarkEnd w:id="626"/>
      <w:bookmarkEnd w:id="627"/>
      <w:bookmarkEnd w:id="628"/>
      <w:bookmarkEnd w:id="629"/>
      <w:bookmarkEnd w:id="630"/>
      <w:bookmarkEnd w:id="631"/>
      <w:bookmarkEnd w:id="632"/>
    </w:p>
    <w:p w14:paraId="5DBE5646">
      <w:pPr>
        <w:pStyle w:val="5"/>
        <w:snapToGrid w:val="0"/>
        <w:spacing w:before="0" w:after="0" w:line="360" w:lineRule="auto"/>
        <w:rPr>
          <w:rFonts w:ascii="宋体" w:hAnsi="宋体"/>
          <w:b w:val="0"/>
          <w:snapToGrid w:val="0"/>
          <w:sz w:val="24"/>
          <w:szCs w:val="24"/>
        </w:rPr>
      </w:pPr>
      <w:bookmarkStart w:id="633" w:name="_Toc430530502"/>
      <w:bookmarkStart w:id="634" w:name="_Toc287607814"/>
      <w:bookmarkStart w:id="635" w:name="_Toc200513200"/>
      <w:bookmarkStart w:id="636" w:name="_Toc277082620"/>
      <w:bookmarkStart w:id="637" w:name="_Toc509218778"/>
      <w:bookmarkStart w:id="638" w:name="_Toc27983302"/>
      <w:bookmarkStart w:id="639" w:name="_Toc224103386"/>
      <w:bookmarkStart w:id="640" w:name="_Toc287620753"/>
      <w:r>
        <w:rPr>
          <w:rFonts w:ascii="宋体" w:hAnsi="宋体"/>
          <w:b w:val="0"/>
          <w:snapToGrid w:val="0"/>
          <w:sz w:val="24"/>
          <w:szCs w:val="24"/>
        </w:rPr>
        <w:t>2.1  初步评审标准</w:t>
      </w:r>
      <w:bookmarkEnd w:id="633"/>
      <w:bookmarkEnd w:id="634"/>
      <w:bookmarkEnd w:id="635"/>
      <w:bookmarkEnd w:id="636"/>
      <w:bookmarkEnd w:id="637"/>
      <w:bookmarkEnd w:id="638"/>
      <w:bookmarkEnd w:id="639"/>
      <w:bookmarkEnd w:id="640"/>
    </w:p>
    <w:p w14:paraId="5F052372">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2.1.1  形式评审标准：见</w:t>
      </w:r>
      <w:r>
        <w:rPr>
          <w:rFonts w:hint="eastAsia" w:ascii="宋体" w:hAnsi="宋体"/>
          <w:kern w:val="0"/>
          <w:szCs w:val="21"/>
        </w:rPr>
        <w:t>评选</w:t>
      </w:r>
      <w:r>
        <w:rPr>
          <w:rFonts w:ascii="宋体" w:hAnsi="宋体"/>
          <w:kern w:val="0"/>
          <w:szCs w:val="21"/>
        </w:rPr>
        <w:t>办法前附表。</w:t>
      </w:r>
    </w:p>
    <w:p w14:paraId="08B03F11">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2.1.2  资格评审标准：见</w:t>
      </w:r>
      <w:r>
        <w:rPr>
          <w:rFonts w:hint="eastAsia" w:ascii="宋体" w:hAnsi="宋体"/>
          <w:kern w:val="0"/>
          <w:szCs w:val="21"/>
        </w:rPr>
        <w:t>评选</w:t>
      </w:r>
      <w:r>
        <w:rPr>
          <w:rFonts w:ascii="宋体" w:hAnsi="宋体"/>
          <w:kern w:val="0"/>
          <w:szCs w:val="21"/>
        </w:rPr>
        <w:t>办法前附表。</w:t>
      </w:r>
    </w:p>
    <w:p w14:paraId="46AF02EF">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2.1.3  响应性评审标准：见</w:t>
      </w:r>
      <w:r>
        <w:rPr>
          <w:rFonts w:hint="eastAsia" w:ascii="宋体" w:hAnsi="宋体"/>
          <w:kern w:val="0"/>
          <w:szCs w:val="21"/>
        </w:rPr>
        <w:t>评选</w:t>
      </w:r>
      <w:r>
        <w:rPr>
          <w:rFonts w:ascii="宋体" w:hAnsi="宋体"/>
          <w:kern w:val="0"/>
          <w:szCs w:val="21"/>
        </w:rPr>
        <w:t>办法前附表。</w:t>
      </w:r>
    </w:p>
    <w:p w14:paraId="0BC99008">
      <w:pPr>
        <w:pStyle w:val="5"/>
        <w:snapToGrid w:val="0"/>
        <w:spacing w:before="0" w:after="0" w:line="360" w:lineRule="auto"/>
        <w:rPr>
          <w:rFonts w:ascii="宋体" w:hAnsi="宋体"/>
          <w:b w:val="0"/>
          <w:snapToGrid w:val="0"/>
          <w:sz w:val="24"/>
          <w:szCs w:val="24"/>
        </w:rPr>
      </w:pPr>
      <w:bookmarkStart w:id="641" w:name="_Toc200513201"/>
      <w:bookmarkStart w:id="642" w:name="_Toc27983303"/>
      <w:bookmarkStart w:id="643" w:name="_Toc509218779"/>
      <w:bookmarkStart w:id="644" w:name="_Toc287620754"/>
      <w:bookmarkStart w:id="645" w:name="_Toc224103387"/>
      <w:bookmarkStart w:id="646" w:name="_Toc430530503"/>
      <w:bookmarkStart w:id="647" w:name="_Toc277082621"/>
      <w:bookmarkStart w:id="648" w:name="_Toc287607815"/>
      <w:r>
        <w:rPr>
          <w:rFonts w:ascii="宋体" w:hAnsi="宋体"/>
          <w:b w:val="0"/>
          <w:snapToGrid w:val="0"/>
          <w:sz w:val="24"/>
          <w:szCs w:val="24"/>
        </w:rPr>
        <w:t>2.2  分值构成与评分标准</w:t>
      </w:r>
      <w:bookmarkEnd w:id="641"/>
      <w:bookmarkEnd w:id="642"/>
      <w:bookmarkEnd w:id="643"/>
      <w:bookmarkEnd w:id="644"/>
      <w:bookmarkEnd w:id="645"/>
      <w:bookmarkEnd w:id="646"/>
      <w:bookmarkEnd w:id="647"/>
      <w:bookmarkEnd w:id="648"/>
    </w:p>
    <w:p w14:paraId="6E515E8D">
      <w:pPr>
        <w:autoSpaceDE w:val="0"/>
        <w:autoSpaceDN w:val="0"/>
        <w:adjustRightInd w:val="0"/>
        <w:snapToGrid w:val="0"/>
        <w:spacing w:line="360" w:lineRule="auto"/>
        <w:ind w:firstLine="525" w:firstLineChars="250"/>
        <w:rPr>
          <w:rFonts w:ascii="宋体" w:hAnsi="宋体"/>
          <w:kern w:val="0"/>
          <w:szCs w:val="21"/>
        </w:rPr>
      </w:pPr>
      <w:r>
        <w:rPr>
          <w:rFonts w:ascii="宋体" w:hAnsi="宋体"/>
          <w:kern w:val="0"/>
          <w:szCs w:val="21"/>
        </w:rPr>
        <w:t>2.2.1  分值构成</w:t>
      </w:r>
    </w:p>
    <w:p w14:paraId="274C7308">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1</w:t>
      </w:r>
      <w:r>
        <w:rPr>
          <w:rFonts w:ascii="宋体" w:hAnsi="宋体"/>
          <w:kern w:val="0"/>
          <w:szCs w:val="21"/>
        </w:rPr>
        <w:t>）</w:t>
      </w:r>
      <w:r>
        <w:rPr>
          <w:rFonts w:hint="eastAsia" w:ascii="宋体" w:hAnsi="宋体"/>
          <w:kern w:val="0"/>
          <w:szCs w:val="21"/>
        </w:rPr>
        <w:t>竞选总报价</w:t>
      </w:r>
      <w:r>
        <w:rPr>
          <w:rFonts w:ascii="宋体" w:hAnsi="宋体"/>
          <w:kern w:val="0"/>
          <w:szCs w:val="21"/>
        </w:rPr>
        <w:t>：见</w:t>
      </w:r>
      <w:r>
        <w:rPr>
          <w:rFonts w:hint="eastAsia" w:ascii="宋体" w:hAnsi="宋体"/>
          <w:kern w:val="0"/>
          <w:szCs w:val="21"/>
        </w:rPr>
        <w:t>评选</w:t>
      </w:r>
      <w:r>
        <w:rPr>
          <w:rFonts w:ascii="宋体" w:hAnsi="宋体"/>
          <w:kern w:val="0"/>
          <w:szCs w:val="21"/>
        </w:rPr>
        <w:t>办法前附表</w:t>
      </w:r>
      <w:r>
        <w:rPr>
          <w:rFonts w:hint="eastAsia" w:ascii="宋体" w:hAnsi="宋体"/>
          <w:kern w:val="0"/>
          <w:szCs w:val="21"/>
        </w:rPr>
        <w:t>；</w:t>
      </w:r>
    </w:p>
    <w:p w14:paraId="42A36400">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2</w:t>
      </w:r>
      <w:r>
        <w:rPr>
          <w:rFonts w:ascii="宋体" w:hAnsi="宋体"/>
          <w:kern w:val="0"/>
          <w:szCs w:val="21"/>
        </w:rPr>
        <w:t>）</w:t>
      </w:r>
      <w:r>
        <w:rPr>
          <w:rFonts w:hint="eastAsia" w:ascii="宋体" w:hAnsi="宋体"/>
          <w:kern w:val="0"/>
          <w:szCs w:val="21"/>
        </w:rPr>
        <w:t>技术部分</w:t>
      </w:r>
      <w:r>
        <w:rPr>
          <w:rFonts w:ascii="宋体" w:hAnsi="宋体"/>
          <w:kern w:val="0"/>
          <w:szCs w:val="21"/>
        </w:rPr>
        <w:t>：见</w:t>
      </w:r>
      <w:r>
        <w:rPr>
          <w:rFonts w:hint="eastAsia" w:ascii="宋体" w:hAnsi="宋体"/>
          <w:kern w:val="0"/>
          <w:szCs w:val="21"/>
        </w:rPr>
        <w:t>评选</w:t>
      </w:r>
      <w:r>
        <w:rPr>
          <w:rFonts w:ascii="宋体" w:hAnsi="宋体"/>
          <w:kern w:val="0"/>
          <w:szCs w:val="21"/>
        </w:rPr>
        <w:t>办法前附表</w:t>
      </w:r>
      <w:r>
        <w:rPr>
          <w:rFonts w:hint="eastAsia" w:ascii="宋体" w:hAnsi="宋体"/>
          <w:kern w:val="0"/>
          <w:szCs w:val="21"/>
        </w:rPr>
        <w:t>；</w:t>
      </w:r>
    </w:p>
    <w:p w14:paraId="6EF3083A">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 xml:space="preserve">2.2.2  </w:t>
      </w:r>
      <w:r>
        <w:rPr>
          <w:rFonts w:hint="eastAsia" w:ascii="宋体" w:hAnsi="宋体"/>
          <w:kern w:val="0"/>
          <w:szCs w:val="21"/>
        </w:rPr>
        <w:t>竞选总报价</w:t>
      </w:r>
    </w:p>
    <w:p w14:paraId="442686D9">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见</w:t>
      </w:r>
      <w:r>
        <w:rPr>
          <w:rFonts w:hint="eastAsia" w:ascii="宋体" w:hAnsi="宋体"/>
          <w:kern w:val="0"/>
          <w:szCs w:val="21"/>
        </w:rPr>
        <w:t>评选</w:t>
      </w:r>
      <w:r>
        <w:rPr>
          <w:rFonts w:ascii="宋体" w:hAnsi="宋体"/>
          <w:kern w:val="0"/>
          <w:szCs w:val="21"/>
        </w:rPr>
        <w:t>办法前附表。</w:t>
      </w:r>
    </w:p>
    <w:p w14:paraId="6622ABEB">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2.2.</w:t>
      </w:r>
      <w:r>
        <w:rPr>
          <w:rFonts w:hint="eastAsia" w:ascii="宋体" w:hAnsi="宋体"/>
          <w:kern w:val="0"/>
          <w:szCs w:val="21"/>
        </w:rPr>
        <w:t>3</w:t>
      </w:r>
      <w:r>
        <w:rPr>
          <w:rFonts w:ascii="宋体" w:hAnsi="宋体"/>
          <w:kern w:val="0"/>
          <w:szCs w:val="21"/>
        </w:rPr>
        <w:t xml:space="preserve">  </w:t>
      </w:r>
      <w:r>
        <w:rPr>
          <w:rFonts w:hint="eastAsia" w:ascii="宋体" w:hAnsi="宋体"/>
          <w:kern w:val="0"/>
          <w:szCs w:val="21"/>
        </w:rPr>
        <w:t>技术部分</w:t>
      </w:r>
      <w:r>
        <w:rPr>
          <w:rFonts w:ascii="宋体" w:hAnsi="宋体"/>
          <w:kern w:val="0"/>
          <w:szCs w:val="21"/>
        </w:rPr>
        <w:t>评分</w:t>
      </w:r>
      <w:r>
        <w:rPr>
          <w:rFonts w:hint="eastAsia" w:ascii="宋体" w:hAnsi="宋体"/>
          <w:kern w:val="0"/>
          <w:szCs w:val="21"/>
        </w:rPr>
        <w:t>标准</w:t>
      </w:r>
    </w:p>
    <w:p w14:paraId="10A2B4BE">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见</w:t>
      </w:r>
      <w:r>
        <w:rPr>
          <w:rFonts w:hint="eastAsia" w:ascii="宋体" w:hAnsi="宋体"/>
          <w:kern w:val="0"/>
          <w:szCs w:val="21"/>
        </w:rPr>
        <w:t>评选</w:t>
      </w:r>
      <w:r>
        <w:rPr>
          <w:rFonts w:ascii="宋体" w:hAnsi="宋体"/>
          <w:kern w:val="0"/>
          <w:szCs w:val="21"/>
        </w:rPr>
        <w:t>办法前附表。</w:t>
      </w:r>
    </w:p>
    <w:p w14:paraId="08314677">
      <w:pPr>
        <w:pStyle w:val="4"/>
        <w:spacing w:before="0" w:after="0" w:line="360" w:lineRule="auto"/>
        <w:rPr>
          <w:rFonts w:ascii="宋体" w:hAnsi="宋体"/>
          <w:b w:val="0"/>
          <w:snapToGrid w:val="0"/>
        </w:rPr>
      </w:pPr>
      <w:bookmarkStart w:id="649" w:name="_Toc27983304"/>
      <w:bookmarkStart w:id="650" w:name="_Toc430530504"/>
      <w:bookmarkStart w:id="651" w:name="_Toc509218780"/>
      <w:bookmarkStart w:id="652" w:name="_Toc224103388"/>
      <w:bookmarkStart w:id="653" w:name="_Toc277082622"/>
      <w:bookmarkStart w:id="654" w:name="_Toc287607816"/>
      <w:bookmarkStart w:id="655" w:name="_Toc200513202"/>
      <w:bookmarkStart w:id="656" w:name="_Toc287620755"/>
      <w:r>
        <w:rPr>
          <w:rFonts w:ascii="宋体" w:hAnsi="宋体"/>
          <w:b w:val="0"/>
          <w:snapToGrid w:val="0"/>
        </w:rPr>
        <w:t xml:space="preserve">3.  </w:t>
      </w:r>
      <w:r>
        <w:rPr>
          <w:rFonts w:hint="eastAsia" w:ascii="宋体" w:hAnsi="宋体"/>
          <w:b w:val="0"/>
          <w:snapToGrid w:val="0"/>
        </w:rPr>
        <w:t>评选</w:t>
      </w:r>
      <w:r>
        <w:rPr>
          <w:rFonts w:ascii="宋体" w:hAnsi="宋体"/>
          <w:b w:val="0"/>
          <w:snapToGrid w:val="0"/>
        </w:rPr>
        <w:t>程序</w:t>
      </w:r>
      <w:bookmarkEnd w:id="649"/>
      <w:bookmarkEnd w:id="650"/>
      <w:bookmarkEnd w:id="651"/>
      <w:bookmarkEnd w:id="652"/>
      <w:bookmarkEnd w:id="653"/>
      <w:bookmarkEnd w:id="654"/>
      <w:bookmarkEnd w:id="655"/>
      <w:bookmarkEnd w:id="656"/>
    </w:p>
    <w:p w14:paraId="1EAE2960">
      <w:pPr>
        <w:pStyle w:val="5"/>
        <w:snapToGrid w:val="0"/>
        <w:spacing w:before="0" w:after="0" w:line="360" w:lineRule="auto"/>
        <w:rPr>
          <w:rFonts w:ascii="宋体" w:hAnsi="宋体"/>
          <w:b w:val="0"/>
          <w:snapToGrid w:val="0"/>
          <w:sz w:val="24"/>
          <w:szCs w:val="24"/>
        </w:rPr>
      </w:pPr>
      <w:bookmarkStart w:id="657" w:name="_Toc27983305"/>
      <w:bookmarkStart w:id="658" w:name="_Toc287620756"/>
      <w:bookmarkStart w:id="659" w:name="_Toc509218781"/>
      <w:bookmarkStart w:id="660" w:name="_Toc430530505"/>
      <w:bookmarkStart w:id="661" w:name="_Toc200513203"/>
      <w:bookmarkStart w:id="662" w:name="_Toc224103389"/>
      <w:bookmarkStart w:id="663" w:name="_Toc277082623"/>
      <w:bookmarkStart w:id="664" w:name="_Toc287607817"/>
      <w:r>
        <w:rPr>
          <w:rFonts w:ascii="宋体" w:hAnsi="宋体"/>
          <w:b w:val="0"/>
          <w:snapToGrid w:val="0"/>
          <w:sz w:val="24"/>
          <w:szCs w:val="24"/>
        </w:rPr>
        <w:t>3.1  初步评审</w:t>
      </w:r>
      <w:bookmarkEnd w:id="657"/>
      <w:bookmarkEnd w:id="658"/>
      <w:bookmarkEnd w:id="659"/>
      <w:bookmarkEnd w:id="660"/>
      <w:bookmarkEnd w:id="661"/>
      <w:bookmarkEnd w:id="662"/>
      <w:bookmarkEnd w:id="663"/>
      <w:bookmarkEnd w:id="664"/>
    </w:p>
    <w:p w14:paraId="40B78B70">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 xml:space="preserve">3.1.1  </w:t>
      </w:r>
      <w:r>
        <w:rPr>
          <w:rFonts w:hint="eastAsia" w:ascii="宋体" w:hAnsi="宋体"/>
          <w:kern w:val="0"/>
          <w:szCs w:val="21"/>
        </w:rPr>
        <w:t>评选</w:t>
      </w:r>
      <w:r>
        <w:rPr>
          <w:rFonts w:ascii="宋体" w:hAnsi="宋体"/>
          <w:kern w:val="0"/>
          <w:szCs w:val="21"/>
        </w:rPr>
        <w:t>委员会依据本章第2.1.1项、</w:t>
      </w:r>
      <w:r>
        <w:rPr>
          <w:rFonts w:hint="eastAsia" w:ascii="宋体" w:hAnsi="宋体"/>
          <w:kern w:val="0"/>
          <w:szCs w:val="21"/>
        </w:rPr>
        <w:t>2.1.2和</w:t>
      </w:r>
      <w:r>
        <w:rPr>
          <w:rFonts w:ascii="宋体" w:hAnsi="宋体"/>
          <w:kern w:val="0"/>
          <w:szCs w:val="21"/>
        </w:rPr>
        <w:t>第2.1.3项规定的评审标准对</w:t>
      </w:r>
      <w:r>
        <w:rPr>
          <w:rFonts w:hint="eastAsia" w:ascii="宋体" w:hAnsi="宋体"/>
          <w:kern w:val="0"/>
          <w:szCs w:val="21"/>
        </w:rPr>
        <w:t>竞选文件</w:t>
      </w:r>
      <w:r>
        <w:rPr>
          <w:rFonts w:ascii="宋体" w:hAnsi="宋体"/>
          <w:kern w:val="0"/>
          <w:szCs w:val="21"/>
        </w:rPr>
        <w:t>进行初步评审。有一项不符合评审标准的，</w:t>
      </w:r>
      <w:r>
        <w:rPr>
          <w:rFonts w:hint="eastAsia" w:ascii="宋体" w:hAnsi="宋体"/>
          <w:kern w:val="0"/>
          <w:szCs w:val="21"/>
        </w:rPr>
        <w:t>作否决竞选</w:t>
      </w:r>
      <w:r>
        <w:rPr>
          <w:rFonts w:ascii="宋体" w:hAnsi="宋体"/>
          <w:kern w:val="0"/>
          <w:szCs w:val="21"/>
        </w:rPr>
        <w:t>处理。当</w:t>
      </w:r>
      <w:r>
        <w:rPr>
          <w:rFonts w:hint="eastAsia" w:ascii="宋体" w:hAnsi="宋体"/>
          <w:kern w:val="0"/>
          <w:szCs w:val="21"/>
        </w:rPr>
        <w:t>竞选人</w:t>
      </w:r>
      <w:r>
        <w:rPr>
          <w:rFonts w:ascii="宋体" w:hAnsi="宋体"/>
          <w:kern w:val="0"/>
          <w:szCs w:val="21"/>
        </w:rPr>
        <w:t>资格预审申请文件的内容发生重大变化时，</w:t>
      </w:r>
      <w:r>
        <w:rPr>
          <w:rFonts w:hint="eastAsia" w:ascii="宋体" w:hAnsi="宋体"/>
          <w:kern w:val="0"/>
          <w:szCs w:val="21"/>
        </w:rPr>
        <w:t>评选</w:t>
      </w:r>
      <w:r>
        <w:rPr>
          <w:rFonts w:ascii="宋体" w:hAnsi="宋体"/>
          <w:kern w:val="0"/>
          <w:szCs w:val="21"/>
        </w:rPr>
        <w:t>委员会依据本章第2.1.2项规定的标准对其更新资料进行评审。</w:t>
      </w:r>
    </w:p>
    <w:p w14:paraId="78364983">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 xml:space="preserve">3.1.2  </w:t>
      </w:r>
      <w:r>
        <w:rPr>
          <w:rFonts w:hint="eastAsia" w:ascii="宋体" w:hAnsi="宋体"/>
          <w:kern w:val="0"/>
          <w:szCs w:val="21"/>
        </w:rPr>
        <w:t>竞选人</w:t>
      </w:r>
      <w:r>
        <w:rPr>
          <w:rFonts w:ascii="宋体" w:hAnsi="宋体"/>
          <w:kern w:val="0"/>
          <w:szCs w:val="21"/>
        </w:rPr>
        <w:t>有以下情形之一的，</w:t>
      </w:r>
      <w:r>
        <w:rPr>
          <w:rFonts w:hint="eastAsia" w:ascii="宋体" w:hAnsi="宋体"/>
          <w:kern w:val="0"/>
          <w:szCs w:val="21"/>
        </w:rPr>
        <w:t>作否决竞选</w:t>
      </w:r>
      <w:r>
        <w:rPr>
          <w:rFonts w:ascii="宋体" w:hAnsi="宋体"/>
          <w:kern w:val="0"/>
          <w:szCs w:val="21"/>
        </w:rPr>
        <w:t>处理：</w:t>
      </w:r>
    </w:p>
    <w:p w14:paraId="6E1B1CD4">
      <w:pPr>
        <w:spacing w:line="400" w:lineRule="exact"/>
        <w:ind w:firstLine="420" w:firstLineChars="200"/>
        <w:rPr>
          <w:rFonts w:ascii="宋体" w:hAnsi="宋体"/>
          <w:szCs w:val="21"/>
        </w:rPr>
      </w:pPr>
      <w:r>
        <w:rPr>
          <w:rFonts w:hint="eastAsia" w:ascii="宋体" w:hAnsi="宋体"/>
          <w:szCs w:val="21"/>
        </w:rPr>
        <w:t>（1）与比选人存在利害关系可能影响比选公正性的法人、其他组织或者个人；</w:t>
      </w:r>
    </w:p>
    <w:p w14:paraId="0F0C7866">
      <w:pPr>
        <w:spacing w:line="400" w:lineRule="exact"/>
        <w:ind w:firstLine="420" w:firstLineChars="200"/>
        <w:rPr>
          <w:rFonts w:ascii="宋体" w:hAnsi="宋体"/>
          <w:szCs w:val="21"/>
        </w:rPr>
      </w:pPr>
      <w:r>
        <w:rPr>
          <w:rFonts w:hint="eastAsia" w:ascii="宋体" w:hAnsi="宋体"/>
          <w:szCs w:val="21"/>
        </w:rPr>
        <w:t>（2）为本项目的代理人；</w:t>
      </w:r>
    </w:p>
    <w:p w14:paraId="4B7D67CC">
      <w:pPr>
        <w:spacing w:line="400" w:lineRule="exact"/>
        <w:ind w:firstLine="420" w:firstLineChars="200"/>
        <w:rPr>
          <w:rFonts w:ascii="宋体" w:hAnsi="宋体"/>
          <w:szCs w:val="21"/>
        </w:rPr>
      </w:pPr>
      <w:r>
        <w:rPr>
          <w:rFonts w:hint="eastAsia" w:ascii="宋体" w:hAnsi="宋体"/>
          <w:szCs w:val="21"/>
        </w:rPr>
        <w:t>（3）为本项目的代建人；</w:t>
      </w:r>
    </w:p>
    <w:p w14:paraId="4927F140">
      <w:pPr>
        <w:spacing w:line="400" w:lineRule="exact"/>
        <w:ind w:firstLine="420" w:firstLineChars="200"/>
        <w:rPr>
          <w:rFonts w:ascii="宋体" w:hAnsi="宋体"/>
          <w:szCs w:val="21"/>
        </w:rPr>
      </w:pPr>
      <w:r>
        <w:rPr>
          <w:rFonts w:hint="eastAsia" w:ascii="宋体" w:hAnsi="宋体"/>
          <w:szCs w:val="21"/>
        </w:rPr>
        <w:t>（4）为本项目提供比选代理服务的；</w:t>
      </w:r>
    </w:p>
    <w:p w14:paraId="385820D3">
      <w:pPr>
        <w:spacing w:line="400" w:lineRule="exact"/>
        <w:ind w:firstLine="420" w:firstLineChars="200"/>
        <w:rPr>
          <w:rFonts w:ascii="宋体" w:hAnsi="宋体"/>
          <w:szCs w:val="21"/>
        </w:rPr>
      </w:pPr>
      <w:r>
        <w:rPr>
          <w:rFonts w:hint="eastAsia" w:ascii="宋体" w:hAnsi="宋体"/>
          <w:szCs w:val="21"/>
        </w:rPr>
        <w:t>（5）与本项目的代建人或比选代理机构同为一个法定代表人的；</w:t>
      </w:r>
    </w:p>
    <w:p w14:paraId="71DB812C">
      <w:pPr>
        <w:spacing w:line="400" w:lineRule="exact"/>
        <w:ind w:firstLine="420" w:firstLineChars="200"/>
        <w:rPr>
          <w:rFonts w:ascii="宋体" w:hAnsi="宋体"/>
          <w:szCs w:val="21"/>
        </w:rPr>
      </w:pPr>
      <w:r>
        <w:rPr>
          <w:rFonts w:hint="eastAsia" w:ascii="宋体" w:hAnsi="宋体"/>
          <w:szCs w:val="21"/>
        </w:rPr>
        <w:t>（6）与本项目的代建人或比选代理机构相互控股或参股的；</w:t>
      </w:r>
    </w:p>
    <w:p w14:paraId="1A32BC5F">
      <w:pPr>
        <w:spacing w:line="400" w:lineRule="exact"/>
        <w:ind w:firstLine="420" w:firstLineChars="200"/>
        <w:rPr>
          <w:rFonts w:ascii="宋体" w:hAnsi="宋体"/>
          <w:szCs w:val="21"/>
        </w:rPr>
      </w:pPr>
      <w:r>
        <w:rPr>
          <w:rFonts w:hint="eastAsia" w:ascii="宋体" w:hAnsi="宋体"/>
          <w:szCs w:val="21"/>
        </w:rPr>
        <w:t>（7）与本项目的代建人或比选代理机构相互任职或工作的；</w:t>
      </w:r>
    </w:p>
    <w:p w14:paraId="5A18E354">
      <w:pPr>
        <w:spacing w:line="400" w:lineRule="exact"/>
        <w:ind w:firstLine="420" w:firstLineChars="200"/>
        <w:rPr>
          <w:rFonts w:ascii="宋体" w:hAnsi="宋体"/>
          <w:szCs w:val="21"/>
        </w:rPr>
      </w:pPr>
      <w:r>
        <w:rPr>
          <w:rFonts w:hint="eastAsia" w:ascii="宋体" w:hAnsi="宋体"/>
          <w:szCs w:val="21"/>
        </w:rPr>
        <w:t>（8）被责令停业的；</w:t>
      </w:r>
    </w:p>
    <w:p w14:paraId="2EFCE178">
      <w:pPr>
        <w:spacing w:line="400" w:lineRule="exact"/>
        <w:ind w:firstLine="420" w:firstLineChars="200"/>
        <w:rPr>
          <w:rFonts w:ascii="宋体" w:hAnsi="宋体"/>
          <w:szCs w:val="21"/>
        </w:rPr>
      </w:pPr>
      <w:r>
        <w:rPr>
          <w:rFonts w:hint="eastAsia" w:ascii="宋体" w:hAnsi="宋体"/>
          <w:szCs w:val="21"/>
        </w:rPr>
        <w:t>（9）被暂停或取消投标资格的；</w:t>
      </w:r>
    </w:p>
    <w:p w14:paraId="6FBBBF6C">
      <w:pPr>
        <w:spacing w:line="400" w:lineRule="exact"/>
        <w:ind w:firstLine="420" w:firstLineChars="200"/>
        <w:rPr>
          <w:rFonts w:ascii="宋体" w:hAnsi="宋体"/>
          <w:szCs w:val="21"/>
        </w:rPr>
      </w:pPr>
      <w:r>
        <w:rPr>
          <w:rFonts w:hint="eastAsia" w:ascii="宋体" w:hAnsi="宋体"/>
          <w:szCs w:val="21"/>
        </w:rPr>
        <w:t>（10）财产被接管或冻结的；</w:t>
      </w:r>
    </w:p>
    <w:p w14:paraId="79B5CCAF">
      <w:pPr>
        <w:spacing w:line="400" w:lineRule="exact"/>
        <w:ind w:firstLine="420" w:firstLineChars="200"/>
        <w:rPr>
          <w:rFonts w:ascii="宋体" w:hAnsi="宋体"/>
          <w:szCs w:val="21"/>
        </w:rPr>
      </w:pPr>
      <w:r>
        <w:rPr>
          <w:rFonts w:hint="eastAsia" w:ascii="宋体" w:hAnsi="宋体"/>
          <w:szCs w:val="21"/>
        </w:rPr>
        <w:t>（11）单位负责人为同一人或者存在控股、管理关系的不同单位，不得在同一标段同时参加竞选。</w:t>
      </w:r>
    </w:p>
    <w:p w14:paraId="2395CA5A">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 xml:space="preserve">3.1.3  </w:t>
      </w:r>
      <w:r>
        <w:rPr>
          <w:rFonts w:hint="eastAsia" w:ascii="宋体" w:hAnsi="宋体"/>
          <w:kern w:val="0"/>
          <w:szCs w:val="21"/>
        </w:rPr>
        <w:t>竞选总报价</w:t>
      </w:r>
      <w:r>
        <w:rPr>
          <w:rFonts w:ascii="宋体" w:hAnsi="宋体"/>
          <w:kern w:val="0"/>
          <w:szCs w:val="21"/>
        </w:rPr>
        <w:t>有算术错误的，</w:t>
      </w:r>
      <w:r>
        <w:rPr>
          <w:rFonts w:hint="eastAsia" w:ascii="宋体" w:hAnsi="宋体"/>
          <w:kern w:val="0"/>
          <w:szCs w:val="21"/>
        </w:rPr>
        <w:t>评选</w:t>
      </w:r>
      <w:r>
        <w:rPr>
          <w:rFonts w:ascii="宋体" w:hAnsi="宋体"/>
          <w:kern w:val="0"/>
          <w:szCs w:val="21"/>
        </w:rPr>
        <w:t>委员会按以下原则对</w:t>
      </w:r>
      <w:r>
        <w:rPr>
          <w:rFonts w:hint="eastAsia" w:ascii="宋体" w:hAnsi="宋体"/>
          <w:kern w:val="0"/>
          <w:szCs w:val="21"/>
        </w:rPr>
        <w:t>竞选总报价</w:t>
      </w:r>
      <w:r>
        <w:rPr>
          <w:rFonts w:ascii="宋体" w:hAnsi="宋体"/>
          <w:kern w:val="0"/>
          <w:szCs w:val="21"/>
        </w:rPr>
        <w:t>进行修正，修正的价格经</w:t>
      </w:r>
      <w:r>
        <w:rPr>
          <w:rFonts w:hint="eastAsia" w:ascii="宋体" w:hAnsi="宋体"/>
          <w:kern w:val="0"/>
          <w:szCs w:val="21"/>
        </w:rPr>
        <w:t>竞选人</w:t>
      </w:r>
      <w:r>
        <w:rPr>
          <w:rFonts w:ascii="宋体" w:hAnsi="宋体"/>
          <w:kern w:val="0"/>
          <w:szCs w:val="21"/>
        </w:rPr>
        <w:t>书面确认后具有约束力。</w:t>
      </w:r>
      <w:r>
        <w:rPr>
          <w:rFonts w:hint="eastAsia" w:ascii="宋体" w:hAnsi="宋体"/>
          <w:kern w:val="0"/>
          <w:szCs w:val="21"/>
        </w:rPr>
        <w:t>竞选人</w:t>
      </w:r>
      <w:r>
        <w:rPr>
          <w:rFonts w:ascii="宋体" w:hAnsi="宋体"/>
          <w:kern w:val="0"/>
          <w:szCs w:val="21"/>
        </w:rPr>
        <w:t>不接受修正价格的，</w:t>
      </w:r>
      <w:r>
        <w:rPr>
          <w:rFonts w:hint="eastAsia" w:ascii="宋体" w:hAnsi="宋体"/>
          <w:kern w:val="0"/>
          <w:szCs w:val="21"/>
        </w:rPr>
        <w:t>作否决竞选</w:t>
      </w:r>
      <w:r>
        <w:rPr>
          <w:rFonts w:ascii="宋体" w:hAnsi="宋体"/>
          <w:kern w:val="0"/>
          <w:szCs w:val="21"/>
        </w:rPr>
        <w:t>处理。</w:t>
      </w:r>
    </w:p>
    <w:p w14:paraId="6162C3EF">
      <w:pPr>
        <w:autoSpaceDE w:val="0"/>
        <w:autoSpaceDN w:val="0"/>
        <w:adjustRightInd w:val="0"/>
        <w:snapToGrid w:val="0"/>
        <w:spacing w:line="360" w:lineRule="auto"/>
        <w:ind w:firstLine="532"/>
        <w:rPr>
          <w:rFonts w:ascii="宋体" w:hAnsi="宋体"/>
          <w:kern w:val="0"/>
          <w:szCs w:val="21"/>
        </w:rPr>
      </w:pPr>
      <w:r>
        <w:rPr>
          <w:rFonts w:ascii="宋体" w:hAnsi="宋体"/>
          <w:kern w:val="0"/>
          <w:szCs w:val="21"/>
        </w:rPr>
        <w:t>（1）</w:t>
      </w:r>
      <w:r>
        <w:rPr>
          <w:rFonts w:hint="eastAsia" w:ascii="宋体" w:hAnsi="宋体"/>
          <w:kern w:val="0"/>
          <w:szCs w:val="21"/>
        </w:rPr>
        <w:t>竞选文件</w:t>
      </w:r>
      <w:r>
        <w:rPr>
          <w:rFonts w:ascii="宋体" w:hAnsi="宋体"/>
          <w:kern w:val="0"/>
          <w:szCs w:val="21"/>
        </w:rPr>
        <w:t>中的大写金额与小写金额不一致的，以大写金额为准；</w:t>
      </w:r>
    </w:p>
    <w:p w14:paraId="6B430545">
      <w:pPr>
        <w:autoSpaceDE w:val="0"/>
        <w:autoSpaceDN w:val="0"/>
        <w:adjustRightInd w:val="0"/>
        <w:snapToGrid w:val="0"/>
        <w:spacing w:line="360" w:lineRule="auto"/>
        <w:ind w:firstLine="532"/>
        <w:rPr>
          <w:rFonts w:ascii="宋体" w:hAnsi="宋体"/>
          <w:kern w:val="0"/>
          <w:szCs w:val="21"/>
        </w:rPr>
      </w:pPr>
      <w:r>
        <w:rPr>
          <w:rFonts w:ascii="宋体" w:hAnsi="宋体"/>
          <w:kern w:val="0"/>
          <w:szCs w:val="21"/>
        </w:rPr>
        <w:t>（2）总价金额与依据</w:t>
      </w:r>
      <w:r>
        <w:rPr>
          <w:rFonts w:hint="eastAsia" w:ascii="宋体" w:hAnsi="宋体"/>
          <w:kern w:val="0"/>
          <w:szCs w:val="21"/>
        </w:rPr>
        <w:t>综合费率</w:t>
      </w:r>
      <w:r>
        <w:rPr>
          <w:rFonts w:ascii="宋体" w:hAnsi="宋体"/>
          <w:kern w:val="0"/>
          <w:szCs w:val="21"/>
        </w:rPr>
        <w:t>计算出的结果不一致的，以</w:t>
      </w:r>
      <w:r>
        <w:rPr>
          <w:rFonts w:hint="eastAsia" w:ascii="宋体" w:hAnsi="宋体"/>
          <w:kern w:val="0"/>
          <w:szCs w:val="21"/>
        </w:rPr>
        <w:t>综合费率</w:t>
      </w:r>
      <w:r>
        <w:rPr>
          <w:rFonts w:ascii="宋体" w:hAnsi="宋体"/>
          <w:kern w:val="0"/>
          <w:szCs w:val="21"/>
        </w:rPr>
        <w:t>为准修正总价，但</w:t>
      </w:r>
      <w:r>
        <w:rPr>
          <w:rFonts w:hint="eastAsia" w:ascii="宋体" w:hAnsi="宋体"/>
          <w:kern w:val="0"/>
          <w:szCs w:val="21"/>
        </w:rPr>
        <w:t>综合费率</w:t>
      </w:r>
      <w:r>
        <w:rPr>
          <w:rFonts w:ascii="宋体" w:hAnsi="宋体"/>
          <w:kern w:val="0"/>
          <w:szCs w:val="21"/>
        </w:rPr>
        <w:t>小数点有明显错误的除外。</w:t>
      </w:r>
    </w:p>
    <w:p w14:paraId="26F1A465">
      <w:pPr>
        <w:autoSpaceDE w:val="0"/>
        <w:autoSpaceDN w:val="0"/>
        <w:adjustRightInd w:val="0"/>
        <w:snapToGrid w:val="0"/>
        <w:spacing w:line="360" w:lineRule="auto"/>
        <w:ind w:firstLine="532"/>
        <w:rPr>
          <w:rFonts w:ascii="宋体" w:hAnsi="宋体"/>
          <w:kern w:val="0"/>
          <w:szCs w:val="21"/>
        </w:rPr>
      </w:pPr>
      <w:r>
        <w:rPr>
          <w:rFonts w:hint="eastAsia" w:ascii="宋体" w:hAnsi="宋体"/>
          <w:kern w:val="0"/>
          <w:szCs w:val="21"/>
        </w:rPr>
        <w:t>（3）比选文件规定的其他关于修正的要求。</w:t>
      </w:r>
    </w:p>
    <w:p w14:paraId="175FC26F">
      <w:pPr>
        <w:pStyle w:val="5"/>
        <w:snapToGrid w:val="0"/>
        <w:spacing w:before="0" w:after="0" w:line="360" w:lineRule="auto"/>
        <w:rPr>
          <w:rFonts w:ascii="宋体" w:hAnsi="宋体"/>
          <w:b w:val="0"/>
          <w:snapToGrid w:val="0"/>
          <w:sz w:val="24"/>
          <w:szCs w:val="24"/>
        </w:rPr>
      </w:pPr>
      <w:bookmarkStart w:id="665" w:name="_Toc200513204"/>
      <w:bookmarkStart w:id="666" w:name="_Toc509218782"/>
      <w:bookmarkStart w:id="667" w:name="_Toc277082624"/>
      <w:bookmarkStart w:id="668" w:name="_Toc287620757"/>
      <w:bookmarkStart w:id="669" w:name="_Toc27983306"/>
      <w:bookmarkStart w:id="670" w:name="_Toc224103390"/>
      <w:bookmarkStart w:id="671" w:name="_Toc287607818"/>
      <w:bookmarkStart w:id="672" w:name="_Toc430530506"/>
      <w:r>
        <w:rPr>
          <w:rFonts w:ascii="宋体" w:hAnsi="宋体"/>
          <w:b w:val="0"/>
          <w:snapToGrid w:val="0"/>
          <w:sz w:val="24"/>
          <w:szCs w:val="24"/>
        </w:rPr>
        <w:t>3.2  详细评</w:t>
      </w:r>
      <w:bookmarkEnd w:id="665"/>
      <w:bookmarkEnd w:id="666"/>
      <w:bookmarkEnd w:id="667"/>
      <w:bookmarkEnd w:id="668"/>
      <w:bookmarkEnd w:id="669"/>
      <w:bookmarkEnd w:id="670"/>
      <w:bookmarkEnd w:id="671"/>
      <w:bookmarkEnd w:id="672"/>
      <w:r>
        <w:rPr>
          <w:rFonts w:hint="eastAsia" w:ascii="宋体" w:hAnsi="宋体"/>
          <w:b w:val="0"/>
          <w:snapToGrid w:val="0"/>
          <w:sz w:val="24"/>
          <w:szCs w:val="24"/>
        </w:rPr>
        <w:t>选</w:t>
      </w:r>
    </w:p>
    <w:p w14:paraId="249D91E2">
      <w:pPr>
        <w:snapToGrid w:val="0"/>
        <w:spacing w:line="360" w:lineRule="auto"/>
        <w:ind w:firstLine="480" w:firstLineChars="200"/>
        <w:rPr>
          <w:rFonts w:ascii="宋体" w:hAnsi="宋体"/>
          <w:snapToGrid w:val="0"/>
          <w:sz w:val="24"/>
        </w:rPr>
      </w:pPr>
      <w:bookmarkStart w:id="673" w:name="_Toc277082625"/>
      <w:bookmarkStart w:id="674" w:name="_Toc509218783"/>
      <w:bookmarkStart w:id="675" w:name="_Toc200513205"/>
      <w:bookmarkStart w:id="676" w:name="_Toc287620758"/>
      <w:bookmarkStart w:id="677" w:name="_Toc287607819"/>
      <w:bookmarkStart w:id="678" w:name="_Toc430530507"/>
      <w:bookmarkStart w:id="679" w:name="_Toc27983307"/>
      <w:bookmarkStart w:id="680" w:name="_Toc224103391"/>
      <w:r>
        <w:rPr>
          <w:rFonts w:hint="eastAsia" w:ascii="宋体" w:hAnsi="宋体"/>
          <w:snapToGrid w:val="0"/>
          <w:sz w:val="24"/>
        </w:rPr>
        <w:t>详见评选办法前附表。</w:t>
      </w:r>
    </w:p>
    <w:p w14:paraId="651C9637">
      <w:pPr>
        <w:pStyle w:val="5"/>
        <w:snapToGrid w:val="0"/>
        <w:spacing w:before="0" w:after="0" w:line="360" w:lineRule="auto"/>
        <w:rPr>
          <w:rFonts w:ascii="宋体" w:hAnsi="宋体"/>
          <w:b w:val="0"/>
          <w:snapToGrid w:val="0"/>
          <w:sz w:val="24"/>
          <w:szCs w:val="24"/>
        </w:rPr>
      </w:pPr>
      <w:r>
        <w:rPr>
          <w:rFonts w:ascii="宋体" w:hAnsi="宋体"/>
          <w:b w:val="0"/>
          <w:snapToGrid w:val="0"/>
          <w:sz w:val="24"/>
          <w:szCs w:val="24"/>
        </w:rPr>
        <w:t xml:space="preserve">3.3  </w:t>
      </w:r>
      <w:r>
        <w:rPr>
          <w:rFonts w:hint="eastAsia" w:ascii="宋体" w:hAnsi="宋体"/>
          <w:b w:val="0"/>
          <w:snapToGrid w:val="0"/>
          <w:sz w:val="24"/>
          <w:szCs w:val="24"/>
        </w:rPr>
        <w:t>竞选文件</w:t>
      </w:r>
      <w:r>
        <w:rPr>
          <w:rFonts w:ascii="宋体" w:hAnsi="宋体"/>
          <w:b w:val="0"/>
          <w:snapToGrid w:val="0"/>
          <w:sz w:val="24"/>
          <w:szCs w:val="24"/>
        </w:rPr>
        <w:t>的澄清和补正</w:t>
      </w:r>
      <w:bookmarkEnd w:id="673"/>
      <w:bookmarkEnd w:id="674"/>
      <w:bookmarkEnd w:id="675"/>
      <w:bookmarkEnd w:id="676"/>
      <w:bookmarkEnd w:id="677"/>
      <w:bookmarkEnd w:id="678"/>
      <w:bookmarkEnd w:id="679"/>
      <w:bookmarkEnd w:id="680"/>
    </w:p>
    <w:p w14:paraId="5073946B">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3.3.1  在</w:t>
      </w:r>
      <w:r>
        <w:rPr>
          <w:rFonts w:hint="eastAsia" w:ascii="宋体" w:hAnsi="宋体"/>
          <w:kern w:val="0"/>
          <w:szCs w:val="21"/>
        </w:rPr>
        <w:t>评选</w:t>
      </w:r>
      <w:r>
        <w:rPr>
          <w:rFonts w:ascii="宋体" w:hAnsi="宋体"/>
          <w:kern w:val="0"/>
          <w:szCs w:val="21"/>
        </w:rPr>
        <w:t>过程中，</w:t>
      </w:r>
      <w:r>
        <w:rPr>
          <w:rFonts w:hint="eastAsia" w:ascii="宋体" w:hAnsi="宋体"/>
          <w:kern w:val="0"/>
          <w:szCs w:val="21"/>
        </w:rPr>
        <w:t>评选</w:t>
      </w:r>
      <w:r>
        <w:rPr>
          <w:rFonts w:ascii="宋体" w:hAnsi="宋体"/>
          <w:kern w:val="0"/>
          <w:szCs w:val="21"/>
        </w:rPr>
        <w:t>委员会可以书面形式要求</w:t>
      </w:r>
      <w:r>
        <w:rPr>
          <w:rFonts w:hint="eastAsia" w:ascii="宋体" w:hAnsi="宋体"/>
          <w:kern w:val="0"/>
          <w:szCs w:val="21"/>
        </w:rPr>
        <w:t>竞选人</w:t>
      </w:r>
      <w:r>
        <w:rPr>
          <w:rFonts w:ascii="宋体" w:hAnsi="宋体"/>
          <w:kern w:val="0"/>
          <w:szCs w:val="21"/>
        </w:rPr>
        <w:t>对所提交</w:t>
      </w:r>
      <w:r>
        <w:rPr>
          <w:rFonts w:hint="eastAsia" w:ascii="宋体" w:hAnsi="宋体"/>
          <w:kern w:val="0"/>
          <w:szCs w:val="21"/>
        </w:rPr>
        <w:t>竞选文件</w:t>
      </w:r>
      <w:r>
        <w:rPr>
          <w:rFonts w:ascii="宋体" w:hAnsi="宋体"/>
          <w:kern w:val="0"/>
          <w:szCs w:val="21"/>
        </w:rPr>
        <w:t>中不明确的内容进行书面澄清或说明，或者对细微偏差进行补正。</w:t>
      </w:r>
      <w:r>
        <w:rPr>
          <w:rFonts w:hint="eastAsia" w:ascii="宋体" w:hAnsi="宋体"/>
          <w:kern w:val="0"/>
          <w:szCs w:val="21"/>
        </w:rPr>
        <w:t>评选</w:t>
      </w:r>
      <w:r>
        <w:rPr>
          <w:rFonts w:ascii="宋体" w:hAnsi="宋体"/>
          <w:kern w:val="0"/>
          <w:szCs w:val="21"/>
        </w:rPr>
        <w:t>委员会不接受</w:t>
      </w:r>
      <w:r>
        <w:rPr>
          <w:rFonts w:hint="eastAsia" w:ascii="宋体" w:hAnsi="宋体"/>
          <w:kern w:val="0"/>
          <w:szCs w:val="21"/>
        </w:rPr>
        <w:t>竞选人</w:t>
      </w:r>
      <w:r>
        <w:rPr>
          <w:rFonts w:ascii="宋体" w:hAnsi="宋体"/>
          <w:kern w:val="0"/>
          <w:szCs w:val="21"/>
        </w:rPr>
        <w:t>主动提出的澄清、说明或补正。</w:t>
      </w:r>
    </w:p>
    <w:p w14:paraId="31995CD0">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3.3.2  澄清、说明和补正不得改变</w:t>
      </w:r>
      <w:r>
        <w:rPr>
          <w:rFonts w:hint="eastAsia" w:ascii="宋体" w:hAnsi="宋体"/>
          <w:kern w:val="0"/>
          <w:szCs w:val="21"/>
        </w:rPr>
        <w:t>竞选文件</w:t>
      </w:r>
      <w:r>
        <w:rPr>
          <w:rFonts w:ascii="宋体" w:hAnsi="宋体"/>
          <w:kern w:val="0"/>
          <w:szCs w:val="21"/>
        </w:rPr>
        <w:t>的实质性内容（算术性错误修正的除外）。</w:t>
      </w:r>
      <w:r>
        <w:rPr>
          <w:rFonts w:hint="eastAsia" w:ascii="宋体" w:hAnsi="宋体"/>
          <w:kern w:val="0"/>
          <w:szCs w:val="21"/>
        </w:rPr>
        <w:t>竞选人</w:t>
      </w:r>
      <w:r>
        <w:rPr>
          <w:rFonts w:ascii="宋体" w:hAnsi="宋体"/>
          <w:kern w:val="0"/>
          <w:szCs w:val="21"/>
        </w:rPr>
        <w:t>的书面澄清、说明和补正属于</w:t>
      </w:r>
      <w:r>
        <w:rPr>
          <w:rFonts w:hint="eastAsia" w:ascii="宋体" w:hAnsi="宋体"/>
          <w:kern w:val="0"/>
          <w:szCs w:val="21"/>
        </w:rPr>
        <w:t>竞选文件</w:t>
      </w:r>
      <w:r>
        <w:rPr>
          <w:rFonts w:ascii="宋体" w:hAnsi="宋体"/>
          <w:kern w:val="0"/>
          <w:szCs w:val="21"/>
        </w:rPr>
        <w:t>的组成部分。</w:t>
      </w:r>
    </w:p>
    <w:p w14:paraId="4753D0DD">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 xml:space="preserve">3.3.3  </w:t>
      </w:r>
      <w:r>
        <w:rPr>
          <w:rFonts w:hint="eastAsia" w:ascii="宋体" w:hAnsi="宋体"/>
          <w:kern w:val="0"/>
          <w:szCs w:val="21"/>
        </w:rPr>
        <w:t>评选</w:t>
      </w:r>
      <w:r>
        <w:rPr>
          <w:rFonts w:ascii="宋体" w:hAnsi="宋体"/>
          <w:kern w:val="0"/>
          <w:szCs w:val="21"/>
        </w:rPr>
        <w:t>委员会对</w:t>
      </w:r>
      <w:r>
        <w:rPr>
          <w:rFonts w:hint="eastAsia" w:ascii="宋体" w:hAnsi="宋体"/>
          <w:kern w:val="0"/>
          <w:szCs w:val="21"/>
        </w:rPr>
        <w:t>竞选人</w:t>
      </w:r>
      <w:r>
        <w:rPr>
          <w:rFonts w:ascii="宋体" w:hAnsi="宋体"/>
          <w:kern w:val="0"/>
          <w:szCs w:val="21"/>
        </w:rPr>
        <w:t>提交的澄清、说明或补正有疑问的，可以要求</w:t>
      </w:r>
      <w:r>
        <w:rPr>
          <w:rFonts w:hint="eastAsia" w:ascii="宋体" w:hAnsi="宋体"/>
          <w:kern w:val="0"/>
          <w:szCs w:val="21"/>
        </w:rPr>
        <w:t>竞选人</w:t>
      </w:r>
      <w:r>
        <w:rPr>
          <w:rFonts w:ascii="宋体" w:hAnsi="宋体"/>
          <w:kern w:val="0"/>
          <w:szCs w:val="21"/>
        </w:rPr>
        <w:t>进一步澄清、说明或补正，直至满足</w:t>
      </w:r>
      <w:r>
        <w:rPr>
          <w:rFonts w:hint="eastAsia" w:ascii="宋体" w:hAnsi="宋体"/>
          <w:kern w:val="0"/>
          <w:szCs w:val="21"/>
        </w:rPr>
        <w:t>评选</w:t>
      </w:r>
      <w:r>
        <w:rPr>
          <w:rFonts w:ascii="宋体" w:hAnsi="宋体"/>
          <w:kern w:val="0"/>
          <w:szCs w:val="21"/>
        </w:rPr>
        <w:t>委员会的要求。</w:t>
      </w:r>
    </w:p>
    <w:p w14:paraId="68207403">
      <w:pPr>
        <w:autoSpaceDE w:val="0"/>
        <w:autoSpaceDN w:val="0"/>
        <w:adjustRightInd w:val="0"/>
        <w:snapToGrid w:val="0"/>
        <w:spacing w:line="360" w:lineRule="auto"/>
        <w:ind w:firstLine="535" w:firstLineChars="255"/>
        <w:rPr>
          <w:rFonts w:ascii="宋体" w:hAnsi="宋体"/>
          <w:kern w:val="0"/>
          <w:szCs w:val="21"/>
        </w:rPr>
      </w:pPr>
      <w:bookmarkStart w:id="681" w:name="_Toc27983308"/>
      <w:bookmarkStart w:id="682" w:name="_Toc277082626"/>
      <w:bookmarkStart w:id="683" w:name="_Toc200513206"/>
      <w:bookmarkStart w:id="684" w:name="_Toc287620759"/>
      <w:bookmarkStart w:id="685" w:name="_Toc287607820"/>
      <w:bookmarkStart w:id="686" w:name="_Toc509218784"/>
      <w:bookmarkStart w:id="687" w:name="_Toc430530508"/>
      <w:bookmarkStart w:id="688" w:name="_Toc224103392"/>
      <w:r>
        <w:rPr>
          <w:rFonts w:ascii="宋体" w:hAnsi="宋体"/>
          <w:kern w:val="0"/>
          <w:szCs w:val="21"/>
        </w:rPr>
        <w:t xml:space="preserve">3.4  </w:t>
      </w:r>
      <w:r>
        <w:rPr>
          <w:rFonts w:hint="eastAsia" w:ascii="宋体" w:hAnsi="宋体"/>
          <w:kern w:val="0"/>
          <w:szCs w:val="21"/>
        </w:rPr>
        <w:t>评选</w:t>
      </w:r>
      <w:r>
        <w:rPr>
          <w:rFonts w:ascii="宋体" w:hAnsi="宋体"/>
          <w:kern w:val="0"/>
          <w:szCs w:val="21"/>
        </w:rPr>
        <w:t>结果</w:t>
      </w:r>
      <w:bookmarkEnd w:id="681"/>
      <w:bookmarkEnd w:id="682"/>
      <w:bookmarkEnd w:id="683"/>
      <w:bookmarkEnd w:id="684"/>
      <w:bookmarkEnd w:id="685"/>
      <w:bookmarkEnd w:id="686"/>
      <w:bookmarkEnd w:id="687"/>
      <w:bookmarkEnd w:id="688"/>
    </w:p>
    <w:p w14:paraId="15766669">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3.4.1  除第二章“</w:t>
      </w:r>
      <w:r>
        <w:rPr>
          <w:rFonts w:hint="eastAsia" w:ascii="宋体" w:hAnsi="宋体"/>
          <w:kern w:val="0"/>
          <w:szCs w:val="21"/>
        </w:rPr>
        <w:t>竞选人</w:t>
      </w:r>
      <w:r>
        <w:rPr>
          <w:rFonts w:ascii="宋体" w:hAnsi="宋体"/>
          <w:kern w:val="0"/>
          <w:szCs w:val="21"/>
        </w:rPr>
        <w:t>须知”前附表授权直接确定</w:t>
      </w:r>
      <w:r>
        <w:rPr>
          <w:rFonts w:hint="eastAsia" w:ascii="宋体" w:hAnsi="宋体"/>
          <w:kern w:val="0"/>
          <w:szCs w:val="21"/>
        </w:rPr>
        <w:t>中选</w:t>
      </w:r>
      <w:r>
        <w:rPr>
          <w:rFonts w:ascii="宋体" w:hAnsi="宋体"/>
          <w:kern w:val="0"/>
          <w:szCs w:val="21"/>
        </w:rPr>
        <w:t>人外，</w:t>
      </w:r>
      <w:r>
        <w:rPr>
          <w:rFonts w:hint="eastAsia" w:ascii="宋体" w:hAnsi="宋体"/>
          <w:kern w:val="0"/>
          <w:szCs w:val="21"/>
        </w:rPr>
        <w:t>评选</w:t>
      </w:r>
      <w:r>
        <w:rPr>
          <w:rFonts w:ascii="宋体" w:hAnsi="宋体"/>
          <w:kern w:val="0"/>
          <w:szCs w:val="21"/>
        </w:rPr>
        <w:t>委员会按照得分由高到低的顺序推荐</w:t>
      </w:r>
      <w:r>
        <w:rPr>
          <w:rFonts w:hint="eastAsia" w:ascii="宋体" w:hAnsi="宋体"/>
          <w:kern w:val="0"/>
          <w:szCs w:val="21"/>
        </w:rPr>
        <w:t>中选</w:t>
      </w:r>
      <w:r>
        <w:rPr>
          <w:rFonts w:ascii="宋体" w:hAnsi="宋体"/>
          <w:kern w:val="0"/>
          <w:szCs w:val="21"/>
        </w:rPr>
        <w:t>候选人。</w:t>
      </w:r>
    </w:p>
    <w:p w14:paraId="4F797DE2">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 xml:space="preserve">3.4.2  </w:t>
      </w:r>
      <w:r>
        <w:rPr>
          <w:rFonts w:hint="eastAsia" w:ascii="宋体" w:hAnsi="宋体"/>
          <w:kern w:val="0"/>
          <w:szCs w:val="21"/>
        </w:rPr>
        <w:t>评选</w:t>
      </w:r>
      <w:r>
        <w:rPr>
          <w:rFonts w:ascii="宋体" w:hAnsi="宋体"/>
          <w:kern w:val="0"/>
          <w:szCs w:val="21"/>
        </w:rPr>
        <w:t>委员会完成</w:t>
      </w:r>
      <w:r>
        <w:rPr>
          <w:rFonts w:hint="eastAsia" w:ascii="宋体" w:hAnsi="宋体"/>
          <w:kern w:val="0"/>
          <w:szCs w:val="21"/>
        </w:rPr>
        <w:t>评选</w:t>
      </w:r>
      <w:r>
        <w:rPr>
          <w:rFonts w:ascii="宋体" w:hAnsi="宋体"/>
          <w:kern w:val="0"/>
          <w:szCs w:val="21"/>
        </w:rPr>
        <w:t>后，应当向</w:t>
      </w:r>
      <w:r>
        <w:rPr>
          <w:rFonts w:hint="eastAsia" w:ascii="宋体" w:hAnsi="宋体"/>
          <w:kern w:val="0"/>
          <w:szCs w:val="21"/>
        </w:rPr>
        <w:t>比选人</w:t>
      </w:r>
      <w:r>
        <w:rPr>
          <w:rFonts w:ascii="宋体" w:hAnsi="宋体"/>
          <w:kern w:val="0"/>
          <w:szCs w:val="21"/>
        </w:rPr>
        <w:t>提交书面</w:t>
      </w:r>
      <w:r>
        <w:rPr>
          <w:rFonts w:hint="eastAsia" w:ascii="宋体" w:hAnsi="宋体"/>
          <w:kern w:val="0"/>
          <w:szCs w:val="21"/>
        </w:rPr>
        <w:t>评选</w:t>
      </w:r>
      <w:r>
        <w:rPr>
          <w:rFonts w:ascii="宋体" w:hAnsi="宋体"/>
          <w:kern w:val="0"/>
          <w:szCs w:val="21"/>
        </w:rPr>
        <w:t>报告。</w:t>
      </w:r>
    </w:p>
    <w:bookmarkEnd w:id="622"/>
    <w:bookmarkEnd w:id="623"/>
    <w:bookmarkEnd w:id="624"/>
    <w:p w14:paraId="48964A8A">
      <w:pPr>
        <w:autoSpaceDE w:val="0"/>
        <w:autoSpaceDN w:val="0"/>
        <w:adjustRightInd w:val="0"/>
        <w:snapToGrid w:val="0"/>
        <w:spacing w:line="360" w:lineRule="auto"/>
        <w:ind w:firstLine="535" w:firstLineChars="255"/>
        <w:rPr>
          <w:rFonts w:ascii="宋体" w:hAnsi="宋体"/>
          <w:kern w:val="0"/>
          <w:szCs w:val="21"/>
        </w:rPr>
      </w:pPr>
    </w:p>
    <w:p w14:paraId="3173B520">
      <w:pPr>
        <w:autoSpaceDE w:val="0"/>
        <w:autoSpaceDN w:val="0"/>
        <w:adjustRightInd w:val="0"/>
        <w:snapToGrid w:val="0"/>
        <w:spacing w:line="360" w:lineRule="auto"/>
        <w:ind w:firstLine="535" w:firstLineChars="255"/>
        <w:rPr>
          <w:rFonts w:ascii="宋体" w:hAnsi="宋体"/>
          <w:kern w:val="0"/>
          <w:szCs w:val="21"/>
        </w:rPr>
      </w:pPr>
    </w:p>
    <w:p w14:paraId="7EFC936B">
      <w:pPr>
        <w:autoSpaceDE w:val="0"/>
        <w:autoSpaceDN w:val="0"/>
        <w:adjustRightInd w:val="0"/>
        <w:snapToGrid w:val="0"/>
        <w:spacing w:line="360" w:lineRule="auto"/>
        <w:ind w:firstLine="535" w:firstLineChars="255"/>
        <w:rPr>
          <w:rFonts w:ascii="宋体" w:hAnsi="宋体"/>
          <w:kern w:val="0"/>
          <w:szCs w:val="21"/>
        </w:rPr>
      </w:pPr>
    </w:p>
    <w:p w14:paraId="035F56D3">
      <w:pPr>
        <w:autoSpaceDE w:val="0"/>
        <w:autoSpaceDN w:val="0"/>
        <w:adjustRightInd w:val="0"/>
        <w:snapToGrid w:val="0"/>
        <w:spacing w:line="360" w:lineRule="auto"/>
        <w:ind w:firstLine="535" w:firstLineChars="255"/>
        <w:rPr>
          <w:rFonts w:ascii="宋体" w:hAnsi="宋体"/>
          <w:kern w:val="0"/>
          <w:szCs w:val="21"/>
        </w:rPr>
      </w:pPr>
    </w:p>
    <w:p w14:paraId="5B5EF4F7">
      <w:pPr>
        <w:autoSpaceDE w:val="0"/>
        <w:autoSpaceDN w:val="0"/>
        <w:adjustRightInd w:val="0"/>
        <w:snapToGrid w:val="0"/>
        <w:spacing w:line="360" w:lineRule="auto"/>
        <w:ind w:firstLine="535" w:firstLineChars="255"/>
        <w:rPr>
          <w:rFonts w:ascii="宋体" w:hAnsi="宋体"/>
          <w:kern w:val="0"/>
          <w:szCs w:val="21"/>
        </w:rPr>
      </w:pPr>
    </w:p>
    <w:p w14:paraId="53FAA7AB">
      <w:pPr>
        <w:autoSpaceDE w:val="0"/>
        <w:autoSpaceDN w:val="0"/>
        <w:adjustRightInd w:val="0"/>
        <w:snapToGrid w:val="0"/>
        <w:spacing w:line="360" w:lineRule="auto"/>
        <w:ind w:firstLine="535" w:firstLineChars="255"/>
        <w:rPr>
          <w:rFonts w:ascii="宋体" w:hAnsi="宋体"/>
          <w:kern w:val="0"/>
          <w:szCs w:val="21"/>
        </w:rPr>
      </w:pPr>
    </w:p>
    <w:p w14:paraId="475C731F">
      <w:pPr>
        <w:autoSpaceDE w:val="0"/>
        <w:autoSpaceDN w:val="0"/>
        <w:adjustRightInd w:val="0"/>
        <w:snapToGrid w:val="0"/>
        <w:spacing w:line="360" w:lineRule="auto"/>
        <w:ind w:firstLine="535" w:firstLineChars="255"/>
        <w:rPr>
          <w:rFonts w:ascii="宋体" w:hAnsi="宋体"/>
          <w:kern w:val="0"/>
          <w:szCs w:val="21"/>
        </w:rPr>
      </w:pPr>
    </w:p>
    <w:p w14:paraId="5EE0E5F9">
      <w:pPr>
        <w:autoSpaceDE w:val="0"/>
        <w:autoSpaceDN w:val="0"/>
        <w:adjustRightInd w:val="0"/>
        <w:snapToGrid w:val="0"/>
        <w:spacing w:line="360" w:lineRule="auto"/>
        <w:ind w:firstLine="535" w:firstLineChars="255"/>
        <w:rPr>
          <w:rFonts w:ascii="宋体" w:hAnsi="宋体"/>
          <w:kern w:val="0"/>
          <w:szCs w:val="21"/>
        </w:rPr>
      </w:pPr>
    </w:p>
    <w:p w14:paraId="547533BF">
      <w:pPr>
        <w:autoSpaceDE w:val="0"/>
        <w:autoSpaceDN w:val="0"/>
        <w:adjustRightInd w:val="0"/>
        <w:snapToGrid w:val="0"/>
        <w:spacing w:line="360" w:lineRule="auto"/>
        <w:ind w:firstLine="535" w:firstLineChars="255"/>
        <w:rPr>
          <w:rFonts w:ascii="宋体" w:hAnsi="宋体"/>
          <w:kern w:val="0"/>
          <w:szCs w:val="21"/>
        </w:rPr>
      </w:pPr>
    </w:p>
    <w:p w14:paraId="51FF33CC">
      <w:pPr>
        <w:autoSpaceDE w:val="0"/>
        <w:autoSpaceDN w:val="0"/>
        <w:adjustRightInd w:val="0"/>
        <w:snapToGrid w:val="0"/>
        <w:spacing w:line="360" w:lineRule="auto"/>
        <w:ind w:firstLine="535" w:firstLineChars="255"/>
        <w:rPr>
          <w:rFonts w:ascii="宋体" w:hAnsi="宋体"/>
          <w:kern w:val="0"/>
          <w:szCs w:val="21"/>
        </w:rPr>
      </w:pPr>
    </w:p>
    <w:p w14:paraId="7EA00C77">
      <w:pPr>
        <w:autoSpaceDE w:val="0"/>
        <w:autoSpaceDN w:val="0"/>
        <w:adjustRightInd w:val="0"/>
        <w:snapToGrid w:val="0"/>
        <w:spacing w:line="360" w:lineRule="auto"/>
        <w:ind w:firstLine="535" w:firstLineChars="255"/>
        <w:rPr>
          <w:rFonts w:ascii="宋体" w:hAnsi="宋体"/>
          <w:kern w:val="0"/>
          <w:szCs w:val="21"/>
        </w:rPr>
      </w:pPr>
    </w:p>
    <w:p w14:paraId="7BD6434E">
      <w:pPr>
        <w:autoSpaceDE w:val="0"/>
        <w:autoSpaceDN w:val="0"/>
        <w:adjustRightInd w:val="0"/>
        <w:snapToGrid w:val="0"/>
        <w:spacing w:line="360" w:lineRule="auto"/>
        <w:ind w:firstLine="535" w:firstLineChars="255"/>
        <w:rPr>
          <w:rFonts w:ascii="宋体" w:hAnsi="宋体"/>
          <w:kern w:val="0"/>
          <w:szCs w:val="21"/>
        </w:rPr>
      </w:pPr>
    </w:p>
    <w:p w14:paraId="1FF440A6">
      <w:pPr>
        <w:autoSpaceDE w:val="0"/>
        <w:autoSpaceDN w:val="0"/>
        <w:adjustRightInd w:val="0"/>
        <w:snapToGrid w:val="0"/>
        <w:spacing w:line="360" w:lineRule="auto"/>
        <w:ind w:firstLine="535" w:firstLineChars="255"/>
        <w:rPr>
          <w:rFonts w:ascii="宋体" w:hAnsi="宋体"/>
          <w:kern w:val="0"/>
          <w:szCs w:val="21"/>
        </w:rPr>
      </w:pPr>
    </w:p>
    <w:p w14:paraId="4BAE51FD">
      <w:pPr>
        <w:autoSpaceDE w:val="0"/>
        <w:autoSpaceDN w:val="0"/>
        <w:adjustRightInd w:val="0"/>
        <w:snapToGrid w:val="0"/>
        <w:spacing w:line="360" w:lineRule="auto"/>
        <w:ind w:firstLine="535" w:firstLineChars="255"/>
        <w:rPr>
          <w:rFonts w:ascii="宋体" w:hAnsi="宋体"/>
          <w:kern w:val="0"/>
          <w:szCs w:val="21"/>
        </w:rPr>
      </w:pPr>
    </w:p>
    <w:p w14:paraId="2C5BDF13">
      <w:pPr>
        <w:rPr>
          <w:rFonts w:ascii="宋体" w:hAnsi="宋体"/>
          <w:kern w:val="0"/>
          <w:szCs w:val="21"/>
        </w:rPr>
      </w:pPr>
      <w:r>
        <w:rPr>
          <w:rFonts w:ascii="宋体" w:hAnsi="宋体"/>
          <w:kern w:val="0"/>
          <w:szCs w:val="21"/>
        </w:rPr>
        <w:br w:type="page"/>
      </w:r>
    </w:p>
    <w:p w14:paraId="1A8663E2">
      <w:pPr>
        <w:spacing w:line="360" w:lineRule="auto"/>
        <w:jc w:val="center"/>
        <w:rPr>
          <w:rFonts w:ascii="宋体" w:hAnsi="宋体" w:cs="宋体"/>
          <w:b/>
          <w:sz w:val="28"/>
          <w:szCs w:val="28"/>
        </w:rPr>
      </w:pPr>
      <w:r>
        <w:rPr>
          <w:rFonts w:hint="eastAsia" w:ascii="宋体" w:hAnsi="宋体" w:cs="宋体"/>
          <w:b/>
          <w:sz w:val="28"/>
          <w:szCs w:val="28"/>
        </w:rPr>
        <w:t>附件A：综合评估法否决竞选情况一览表</w:t>
      </w:r>
    </w:p>
    <w:p w14:paraId="321DC3C3">
      <w:pPr>
        <w:pStyle w:val="15"/>
        <w:spacing w:line="360" w:lineRule="auto"/>
        <w:ind w:firstLine="420"/>
        <w:jc w:val="both"/>
        <w:rPr>
          <w:rFonts w:ascii="宋体" w:hAnsi="宋体" w:cs="宋体"/>
          <w:sz w:val="21"/>
          <w:szCs w:val="21"/>
          <w:u w:val="none"/>
          <w:lang w:eastAsia="zh-CN"/>
        </w:rPr>
      </w:pPr>
      <w:r>
        <w:rPr>
          <w:rFonts w:hint="eastAsia" w:ascii="宋体" w:hAnsi="宋体" w:cs="宋体"/>
          <w:sz w:val="21"/>
          <w:szCs w:val="21"/>
          <w:u w:val="none"/>
          <w:lang w:eastAsia="zh-CN"/>
        </w:rPr>
        <w:t>竞选人存在一览表中情形之一的，作否决竞选处理，否决竞选条件之外的评选委员会不得判为重大偏差。</w:t>
      </w:r>
    </w:p>
    <w:tbl>
      <w:tblPr>
        <w:tblStyle w:val="20"/>
        <w:tblW w:w="9627" w:type="dxa"/>
        <w:tblInd w:w="108" w:type="dxa"/>
        <w:tblLayout w:type="fixed"/>
        <w:tblCellMar>
          <w:top w:w="0" w:type="dxa"/>
          <w:left w:w="108" w:type="dxa"/>
          <w:bottom w:w="0" w:type="dxa"/>
          <w:right w:w="108" w:type="dxa"/>
        </w:tblCellMar>
      </w:tblPr>
      <w:tblGrid>
        <w:gridCol w:w="2319"/>
        <w:gridCol w:w="7308"/>
      </w:tblGrid>
      <w:tr w14:paraId="76FCC4DA">
        <w:tblPrEx>
          <w:tblCellMar>
            <w:top w:w="0" w:type="dxa"/>
            <w:left w:w="108" w:type="dxa"/>
            <w:bottom w:w="0" w:type="dxa"/>
            <w:right w:w="108" w:type="dxa"/>
          </w:tblCellMar>
        </w:tblPrEx>
        <w:tc>
          <w:tcPr>
            <w:tcW w:w="2319" w:type="dxa"/>
            <w:tcBorders>
              <w:top w:val="single" w:color="000000" w:sz="8" w:space="0"/>
              <w:left w:val="single" w:color="000000" w:sz="4" w:space="0"/>
              <w:bottom w:val="single" w:color="000000" w:sz="4" w:space="0"/>
              <w:right w:val="single" w:color="000000" w:sz="4" w:space="0"/>
            </w:tcBorders>
            <w:vAlign w:val="center"/>
          </w:tcPr>
          <w:p w14:paraId="74AB883A">
            <w:pPr>
              <w:spacing w:line="400" w:lineRule="exact"/>
              <w:jc w:val="center"/>
              <w:rPr>
                <w:rFonts w:ascii="宋体" w:hAnsi="宋体" w:cs="宋体"/>
                <w:b/>
                <w:kern w:val="1"/>
                <w:szCs w:val="21"/>
              </w:rPr>
            </w:pPr>
            <w:r>
              <w:rPr>
                <w:rFonts w:hint="eastAsia" w:ascii="宋体" w:hAnsi="宋体" w:cs="宋体"/>
                <w:b/>
                <w:kern w:val="1"/>
                <w:szCs w:val="21"/>
              </w:rPr>
              <w:t>条款名称</w:t>
            </w:r>
          </w:p>
        </w:tc>
        <w:tc>
          <w:tcPr>
            <w:tcW w:w="7308" w:type="dxa"/>
            <w:tcBorders>
              <w:top w:val="single" w:color="000000" w:sz="8" w:space="0"/>
              <w:left w:val="single" w:color="000000" w:sz="4" w:space="0"/>
              <w:bottom w:val="single" w:color="000000" w:sz="4" w:space="0"/>
              <w:right w:val="single" w:color="000000" w:sz="8" w:space="0"/>
            </w:tcBorders>
            <w:vAlign w:val="center"/>
          </w:tcPr>
          <w:p w14:paraId="2563EFC8">
            <w:pPr>
              <w:spacing w:line="400" w:lineRule="exact"/>
              <w:jc w:val="center"/>
              <w:rPr>
                <w:rFonts w:ascii="宋体" w:hAnsi="宋体" w:cs="宋体"/>
                <w:b/>
                <w:kern w:val="1"/>
                <w:szCs w:val="21"/>
              </w:rPr>
            </w:pPr>
            <w:r>
              <w:rPr>
                <w:rFonts w:hint="eastAsia" w:ascii="宋体" w:hAnsi="宋体" w:cs="宋体"/>
                <w:b/>
                <w:kern w:val="1"/>
                <w:szCs w:val="21"/>
              </w:rPr>
              <w:t>否决竞选条件</w:t>
            </w:r>
          </w:p>
        </w:tc>
      </w:tr>
      <w:tr w14:paraId="310D30E2">
        <w:tblPrEx>
          <w:tblCellMar>
            <w:top w:w="0" w:type="dxa"/>
            <w:left w:w="108" w:type="dxa"/>
            <w:bottom w:w="0" w:type="dxa"/>
            <w:right w:w="108" w:type="dxa"/>
          </w:tblCellMar>
        </w:tblPrEx>
        <w:tc>
          <w:tcPr>
            <w:tcW w:w="2319" w:type="dxa"/>
            <w:vMerge w:val="restart"/>
            <w:tcBorders>
              <w:top w:val="single" w:color="000000" w:sz="4" w:space="0"/>
              <w:left w:val="single" w:color="000000" w:sz="4" w:space="0"/>
              <w:bottom w:val="single" w:color="000000" w:sz="4" w:space="0"/>
              <w:right w:val="single" w:color="000000" w:sz="4" w:space="0"/>
            </w:tcBorders>
            <w:vAlign w:val="center"/>
          </w:tcPr>
          <w:p w14:paraId="0F93BAC2">
            <w:pPr>
              <w:spacing w:line="400" w:lineRule="exact"/>
              <w:jc w:val="center"/>
              <w:rPr>
                <w:rFonts w:ascii="宋体" w:hAnsi="宋体" w:cs="宋体"/>
                <w:kern w:val="1"/>
                <w:szCs w:val="21"/>
              </w:rPr>
            </w:pPr>
            <w:r>
              <w:rPr>
                <w:rFonts w:hint="eastAsia" w:ascii="宋体" w:hAnsi="宋体" w:cs="宋体"/>
                <w:kern w:val="1"/>
                <w:szCs w:val="21"/>
              </w:rPr>
              <w:t>形式评审</w:t>
            </w:r>
          </w:p>
        </w:tc>
        <w:tc>
          <w:tcPr>
            <w:tcW w:w="7308" w:type="dxa"/>
            <w:tcBorders>
              <w:top w:val="single" w:color="000000" w:sz="4" w:space="0"/>
              <w:left w:val="single" w:color="000000" w:sz="4" w:space="0"/>
              <w:bottom w:val="single" w:color="000000" w:sz="4" w:space="0"/>
              <w:right w:val="single" w:color="000000" w:sz="8" w:space="0"/>
            </w:tcBorders>
          </w:tcPr>
          <w:p w14:paraId="5FB6B9BE">
            <w:pPr>
              <w:spacing w:line="400" w:lineRule="exact"/>
              <w:ind w:firstLine="420"/>
              <w:rPr>
                <w:rFonts w:ascii="宋体" w:hAnsi="宋体" w:cs="宋体"/>
                <w:kern w:val="1"/>
                <w:szCs w:val="21"/>
              </w:rPr>
            </w:pPr>
            <w:r>
              <w:rPr>
                <w:rFonts w:hint="eastAsia" w:ascii="宋体" w:hAnsi="宋体" w:cs="宋体"/>
                <w:kern w:val="1"/>
                <w:szCs w:val="21"/>
              </w:rPr>
              <w:t>A-1竞选人名称必须与营业执照、资质证书一致，</w:t>
            </w:r>
            <w:r>
              <w:t>依法变更名称的应提交相应证明材料</w:t>
            </w:r>
            <w:r>
              <w:rPr>
                <w:rFonts w:hint="eastAsia"/>
              </w:rPr>
              <w:t>，</w:t>
            </w:r>
            <w:r>
              <w:rPr>
                <w:rFonts w:hint="eastAsia" w:ascii="宋体" w:hAnsi="宋体" w:cs="宋体"/>
                <w:kern w:val="1"/>
                <w:szCs w:val="21"/>
              </w:rPr>
              <w:t>否则由评选委员会作否决竞选处理。</w:t>
            </w:r>
          </w:p>
        </w:tc>
      </w:tr>
      <w:tr w14:paraId="2A05E24B">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32CA690F">
            <w:pPr>
              <w:spacing w:line="400" w:lineRule="exact"/>
              <w:jc w:val="left"/>
              <w:rPr>
                <w:rFonts w:ascii="宋体" w:hAnsi="宋体" w:cs="宋体"/>
                <w:kern w:val="1"/>
                <w:szCs w:val="21"/>
              </w:rPr>
            </w:pPr>
          </w:p>
        </w:tc>
        <w:tc>
          <w:tcPr>
            <w:tcW w:w="7308" w:type="dxa"/>
            <w:tcBorders>
              <w:top w:val="single" w:color="000000" w:sz="4" w:space="0"/>
              <w:left w:val="single" w:color="000000" w:sz="4" w:space="0"/>
              <w:bottom w:val="single" w:color="000000" w:sz="4" w:space="0"/>
              <w:right w:val="single" w:color="000000" w:sz="8" w:space="0"/>
            </w:tcBorders>
          </w:tcPr>
          <w:p w14:paraId="59D11F9D">
            <w:pPr>
              <w:spacing w:line="400" w:lineRule="exact"/>
              <w:ind w:firstLine="420"/>
              <w:rPr>
                <w:rFonts w:ascii="宋体" w:hAnsi="宋体" w:cs="宋体"/>
                <w:kern w:val="1"/>
                <w:szCs w:val="21"/>
              </w:rPr>
            </w:pPr>
            <w:r>
              <w:rPr>
                <w:rFonts w:hint="eastAsia" w:ascii="宋体" w:hAnsi="宋体" w:cs="宋体"/>
                <w:kern w:val="1"/>
                <w:szCs w:val="21"/>
              </w:rPr>
              <w:t>A-2竞选文件的签字盖章须按本章竞选人须知3.7.3款执行，规定签字、盖章的位置有法定代表人或其委托代理人签字（或盖章）、加盖单位公章，否则由评选委员会作否决竞选处理。</w:t>
            </w:r>
          </w:p>
        </w:tc>
      </w:tr>
      <w:tr w14:paraId="754B65D1">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0B792493">
            <w:pPr>
              <w:spacing w:line="400" w:lineRule="exact"/>
              <w:jc w:val="left"/>
              <w:rPr>
                <w:rFonts w:ascii="宋体" w:hAnsi="宋体" w:cs="宋体"/>
                <w:kern w:val="1"/>
                <w:szCs w:val="21"/>
              </w:rPr>
            </w:pPr>
          </w:p>
        </w:tc>
        <w:tc>
          <w:tcPr>
            <w:tcW w:w="7308" w:type="dxa"/>
            <w:tcBorders>
              <w:top w:val="single" w:color="000000" w:sz="4" w:space="0"/>
              <w:left w:val="single" w:color="000000" w:sz="4" w:space="0"/>
              <w:bottom w:val="single" w:color="000000" w:sz="4" w:space="0"/>
              <w:right w:val="single" w:color="000000" w:sz="8" w:space="0"/>
            </w:tcBorders>
          </w:tcPr>
          <w:p w14:paraId="7CCD3753">
            <w:pPr>
              <w:spacing w:line="400" w:lineRule="exact"/>
              <w:ind w:firstLine="420"/>
              <w:rPr>
                <w:rFonts w:ascii="宋体" w:hAnsi="宋体" w:cs="宋体"/>
                <w:kern w:val="1"/>
                <w:szCs w:val="21"/>
              </w:rPr>
            </w:pPr>
            <w:r>
              <w:rPr>
                <w:rFonts w:hint="eastAsia" w:ascii="宋体" w:hAnsi="宋体" w:cs="宋体"/>
                <w:kern w:val="1"/>
                <w:szCs w:val="21"/>
              </w:rPr>
              <w:t>A-3竞选文件格式符合第五章“竞选文件格式”的要求，否则由评选委员会作否决竞选处理。</w:t>
            </w:r>
          </w:p>
        </w:tc>
      </w:tr>
      <w:tr w14:paraId="55BD4F9B">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20665BED">
            <w:pPr>
              <w:spacing w:line="400" w:lineRule="exact"/>
              <w:jc w:val="left"/>
              <w:rPr>
                <w:rFonts w:ascii="宋体" w:hAnsi="宋体" w:cs="宋体"/>
                <w:kern w:val="1"/>
                <w:szCs w:val="21"/>
              </w:rPr>
            </w:pPr>
          </w:p>
        </w:tc>
        <w:tc>
          <w:tcPr>
            <w:tcW w:w="7308" w:type="dxa"/>
            <w:tcBorders>
              <w:top w:val="single" w:color="000000" w:sz="4" w:space="0"/>
              <w:left w:val="single" w:color="000000" w:sz="4" w:space="0"/>
              <w:bottom w:val="single" w:color="000000" w:sz="4" w:space="0"/>
              <w:right w:val="single" w:color="000000" w:sz="8" w:space="0"/>
            </w:tcBorders>
          </w:tcPr>
          <w:p w14:paraId="745FAE0A">
            <w:pPr>
              <w:spacing w:line="400" w:lineRule="exact"/>
              <w:ind w:firstLine="420"/>
              <w:rPr>
                <w:rFonts w:ascii="宋体" w:hAnsi="宋体" w:cs="宋体"/>
                <w:i/>
                <w:kern w:val="1"/>
                <w:szCs w:val="21"/>
              </w:rPr>
            </w:pPr>
            <w:r>
              <w:rPr>
                <w:rFonts w:hint="eastAsia" w:ascii="宋体" w:hAnsi="宋体" w:cs="宋体"/>
                <w:kern w:val="1"/>
                <w:szCs w:val="21"/>
              </w:rPr>
              <w:t>A-4</w:t>
            </w:r>
            <w:r>
              <w:rPr>
                <w:rStyle w:val="47"/>
                <w:rFonts w:hint="eastAsia" w:ascii="宋体" w:hAnsi="宋体"/>
                <w:szCs w:val="21"/>
              </w:rPr>
              <w:t>竞选文件</w:t>
            </w:r>
            <w:r>
              <w:rPr>
                <w:rStyle w:val="47"/>
                <w:rFonts w:ascii="宋体" w:hAnsi="宋体"/>
                <w:szCs w:val="21"/>
              </w:rPr>
              <w:t>正本</w:t>
            </w:r>
            <w:r>
              <w:rPr>
                <w:rStyle w:val="47"/>
                <w:rFonts w:hint="eastAsia" w:ascii="宋体" w:hAnsi="宋体"/>
                <w:szCs w:val="21"/>
              </w:rPr>
              <w:t>、副本、</w:t>
            </w:r>
            <w:r>
              <w:rPr>
                <w:rStyle w:val="47"/>
                <w:rFonts w:ascii="宋体" w:hAnsi="宋体"/>
                <w:kern w:val="0"/>
                <w:szCs w:val="21"/>
              </w:rPr>
              <w:t>电子版</w:t>
            </w:r>
            <w:r>
              <w:rPr>
                <w:rStyle w:val="47"/>
                <w:rFonts w:hint="eastAsia" w:ascii="宋体" w:hAnsi="宋体"/>
                <w:kern w:val="0"/>
                <w:szCs w:val="21"/>
              </w:rPr>
              <w:t>份数及形式符合竞选文件要求</w:t>
            </w:r>
            <w:r>
              <w:rPr>
                <w:rStyle w:val="47"/>
                <w:rFonts w:ascii="宋体" w:hAnsi="宋体"/>
                <w:kern w:val="0"/>
                <w:szCs w:val="21"/>
              </w:rPr>
              <w:t>。</w:t>
            </w:r>
            <w:r>
              <w:rPr>
                <w:rStyle w:val="47"/>
                <w:rFonts w:hint="eastAsia" w:ascii="宋体" w:hAnsi="宋体"/>
                <w:kern w:val="0"/>
                <w:szCs w:val="21"/>
              </w:rPr>
              <w:t>不按规定递交足够份数或形式不符合要求的，</w:t>
            </w:r>
            <w:r>
              <w:rPr>
                <w:rStyle w:val="47"/>
                <w:rFonts w:ascii="宋体" w:hAnsi="宋体"/>
                <w:szCs w:val="21"/>
              </w:rPr>
              <w:t>由</w:t>
            </w:r>
            <w:r>
              <w:rPr>
                <w:rStyle w:val="47"/>
                <w:rFonts w:hint="eastAsia" w:ascii="宋体" w:hAnsi="宋体"/>
                <w:szCs w:val="21"/>
              </w:rPr>
              <w:t>评选</w:t>
            </w:r>
            <w:r>
              <w:rPr>
                <w:rStyle w:val="47"/>
                <w:rFonts w:ascii="宋体" w:hAnsi="宋体"/>
                <w:szCs w:val="21"/>
              </w:rPr>
              <w:t>委员会</w:t>
            </w:r>
            <w:r>
              <w:rPr>
                <w:rStyle w:val="47"/>
                <w:rFonts w:hint="eastAsia" w:ascii="宋体" w:hAnsi="宋体"/>
                <w:szCs w:val="21"/>
              </w:rPr>
              <w:t>作否决竞选</w:t>
            </w:r>
            <w:r>
              <w:rPr>
                <w:rStyle w:val="47"/>
                <w:rFonts w:ascii="宋体" w:hAnsi="宋体"/>
                <w:szCs w:val="21"/>
              </w:rPr>
              <w:t>处理。</w:t>
            </w:r>
          </w:p>
        </w:tc>
      </w:tr>
      <w:tr w14:paraId="3A7EC199">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64221970">
            <w:pPr>
              <w:spacing w:line="400" w:lineRule="exact"/>
              <w:jc w:val="left"/>
              <w:rPr>
                <w:rFonts w:ascii="宋体" w:hAnsi="宋体" w:cs="宋体"/>
                <w:kern w:val="1"/>
                <w:szCs w:val="21"/>
              </w:rPr>
            </w:pPr>
          </w:p>
        </w:tc>
        <w:tc>
          <w:tcPr>
            <w:tcW w:w="7308" w:type="dxa"/>
            <w:tcBorders>
              <w:top w:val="single" w:color="000000" w:sz="4" w:space="0"/>
              <w:left w:val="single" w:color="000000" w:sz="4" w:space="0"/>
              <w:bottom w:val="single" w:color="000000" w:sz="4" w:space="0"/>
              <w:right w:val="single" w:color="000000" w:sz="8" w:space="0"/>
            </w:tcBorders>
          </w:tcPr>
          <w:p w14:paraId="3AC19085">
            <w:pPr>
              <w:spacing w:line="400" w:lineRule="exact"/>
              <w:ind w:firstLine="420"/>
              <w:rPr>
                <w:rFonts w:ascii="宋体" w:hAnsi="宋体" w:cs="宋体"/>
                <w:kern w:val="1"/>
                <w:szCs w:val="21"/>
              </w:rPr>
            </w:pPr>
            <w:r>
              <w:rPr>
                <w:rFonts w:hint="eastAsia" w:ascii="宋体" w:hAnsi="宋体" w:cs="宋体"/>
                <w:kern w:val="1"/>
                <w:szCs w:val="21"/>
              </w:rPr>
              <w:t>A-5只能有一个有效报价。在比选文件没有规定的情况下，不得提交选择性报价，不得超过最高限价，否则由评选委员会作否决竞选处理。</w:t>
            </w:r>
          </w:p>
        </w:tc>
      </w:tr>
      <w:tr w14:paraId="3D8FD02A">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23D05FCB">
            <w:pPr>
              <w:spacing w:line="400" w:lineRule="exact"/>
              <w:jc w:val="left"/>
              <w:rPr>
                <w:rFonts w:ascii="宋体" w:hAnsi="宋体" w:cs="宋体"/>
                <w:kern w:val="1"/>
                <w:szCs w:val="21"/>
              </w:rPr>
            </w:pPr>
          </w:p>
        </w:tc>
        <w:tc>
          <w:tcPr>
            <w:tcW w:w="7308" w:type="dxa"/>
            <w:tcBorders>
              <w:top w:val="single" w:color="000000" w:sz="4" w:space="0"/>
              <w:left w:val="single" w:color="000000" w:sz="4" w:space="0"/>
              <w:bottom w:val="single" w:color="000000" w:sz="4" w:space="0"/>
              <w:right w:val="single" w:color="000000" w:sz="8" w:space="0"/>
            </w:tcBorders>
          </w:tcPr>
          <w:p w14:paraId="259C90A0">
            <w:pPr>
              <w:spacing w:line="400" w:lineRule="exact"/>
              <w:ind w:firstLine="420"/>
              <w:rPr>
                <w:rFonts w:ascii="宋体" w:hAnsi="宋体" w:cs="宋体"/>
                <w:kern w:val="1"/>
                <w:szCs w:val="21"/>
              </w:rPr>
            </w:pPr>
            <w:r>
              <w:rPr>
                <w:rFonts w:hint="eastAsia" w:ascii="宋体" w:hAnsi="宋体" w:cs="宋体"/>
                <w:kern w:val="1"/>
                <w:szCs w:val="21"/>
              </w:rPr>
              <w:t>A-6竞选文件中竞选文件格式要求须法定代表人或其委托代理人的签字（或盖章）须齐全，否则由评选委员会作否决竞选处理。</w:t>
            </w:r>
          </w:p>
        </w:tc>
      </w:tr>
      <w:tr w14:paraId="083B4D2A">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0DEC996F">
            <w:pPr>
              <w:spacing w:line="400" w:lineRule="exact"/>
              <w:jc w:val="left"/>
              <w:rPr>
                <w:rFonts w:ascii="宋体" w:hAnsi="宋体" w:cs="宋体"/>
                <w:kern w:val="1"/>
                <w:szCs w:val="21"/>
              </w:rPr>
            </w:pPr>
          </w:p>
        </w:tc>
        <w:tc>
          <w:tcPr>
            <w:tcW w:w="7308" w:type="dxa"/>
            <w:tcBorders>
              <w:top w:val="single" w:color="000000" w:sz="4" w:space="0"/>
              <w:left w:val="single" w:color="000000" w:sz="4" w:space="0"/>
              <w:bottom w:val="single" w:color="000000" w:sz="4" w:space="0"/>
              <w:right w:val="single" w:color="000000" w:sz="8" w:space="0"/>
            </w:tcBorders>
          </w:tcPr>
          <w:p w14:paraId="10E890DE">
            <w:pPr>
              <w:spacing w:line="400" w:lineRule="exact"/>
              <w:ind w:firstLine="420"/>
              <w:rPr>
                <w:rFonts w:ascii="宋体" w:hAnsi="宋体" w:cs="宋体"/>
                <w:kern w:val="1"/>
                <w:szCs w:val="21"/>
              </w:rPr>
            </w:pPr>
            <w:r>
              <w:rPr>
                <w:rFonts w:hint="eastAsia" w:ascii="宋体" w:hAnsi="宋体" w:cs="宋体"/>
                <w:kern w:val="1"/>
                <w:szCs w:val="21"/>
              </w:rPr>
              <w:t>A-7竞选人法定代表人的委托代理人有法定代表人签署的授权委托书。</w:t>
            </w:r>
          </w:p>
        </w:tc>
      </w:tr>
      <w:tr w14:paraId="155DF82C">
        <w:tblPrEx>
          <w:tblCellMar>
            <w:top w:w="0" w:type="dxa"/>
            <w:left w:w="108" w:type="dxa"/>
            <w:bottom w:w="0" w:type="dxa"/>
            <w:right w:w="108" w:type="dxa"/>
          </w:tblCellMar>
        </w:tblPrEx>
        <w:tc>
          <w:tcPr>
            <w:tcW w:w="2319" w:type="dxa"/>
            <w:vMerge w:val="restart"/>
            <w:tcBorders>
              <w:top w:val="single" w:color="000000" w:sz="4" w:space="0"/>
              <w:left w:val="single" w:color="000000" w:sz="4" w:space="0"/>
              <w:right w:val="single" w:color="000000" w:sz="4" w:space="0"/>
            </w:tcBorders>
            <w:vAlign w:val="center"/>
          </w:tcPr>
          <w:p w14:paraId="36D58ACE">
            <w:pPr>
              <w:spacing w:line="400" w:lineRule="exact"/>
              <w:jc w:val="center"/>
              <w:rPr>
                <w:rFonts w:ascii="宋体" w:hAnsi="宋体" w:cs="宋体"/>
                <w:kern w:val="1"/>
                <w:szCs w:val="21"/>
              </w:rPr>
            </w:pPr>
            <w:r>
              <w:rPr>
                <w:rFonts w:hint="eastAsia" w:ascii="宋体" w:hAnsi="宋体" w:cs="宋体"/>
                <w:kern w:val="1"/>
                <w:szCs w:val="21"/>
              </w:rPr>
              <w:t>资格评审</w:t>
            </w:r>
          </w:p>
        </w:tc>
        <w:tc>
          <w:tcPr>
            <w:tcW w:w="7308" w:type="dxa"/>
            <w:tcBorders>
              <w:top w:val="single" w:color="000000" w:sz="4" w:space="0"/>
              <w:left w:val="single" w:color="000000" w:sz="4" w:space="0"/>
              <w:bottom w:val="single" w:color="000000" w:sz="4" w:space="0"/>
              <w:right w:val="single" w:color="000000" w:sz="8" w:space="0"/>
            </w:tcBorders>
            <w:vAlign w:val="center"/>
          </w:tcPr>
          <w:p w14:paraId="0AC83E93">
            <w:pPr>
              <w:spacing w:line="400" w:lineRule="exact"/>
              <w:ind w:firstLine="420"/>
              <w:rPr>
                <w:rFonts w:ascii="宋体" w:hAnsi="宋体" w:cs="宋体"/>
                <w:kern w:val="1"/>
                <w:szCs w:val="21"/>
              </w:rPr>
            </w:pPr>
            <w:r>
              <w:rPr>
                <w:rFonts w:hint="eastAsia" w:ascii="宋体" w:hAnsi="宋体" w:cs="宋体"/>
                <w:kern w:val="1"/>
                <w:szCs w:val="21"/>
              </w:rPr>
              <w:t>A-8竞选人的资质条件、营业执照须满足竞选人须知前附表1.4.1项第1条的要求，否则由评选委员会作否决竞选处理。</w:t>
            </w:r>
          </w:p>
        </w:tc>
      </w:tr>
      <w:tr w14:paraId="71BCAC40">
        <w:tblPrEx>
          <w:tblCellMar>
            <w:top w:w="0" w:type="dxa"/>
            <w:left w:w="108" w:type="dxa"/>
            <w:bottom w:w="0" w:type="dxa"/>
            <w:right w:w="108" w:type="dxa"/>
          </w:tblCellMar>
        </w:tblPrEx>
        <w:tc>
          <w:tcPr>
            <w:tcW w:w="2319" w:type="dxa"/>
            <w:vMerge w:val="continue"/>
            <w:tcBorders>
              <w:left w:val="single" w:color="000000" w:sz="4" w:space="0"/>
              <w:right w:val="single" w:color="000000" w:sz="4" w:space="0"/>
            </w:tcBorders>
            <w:vAlign w:val="center"/>
          </w:tcPr>
          <w:p w14:paraId="184464D6">
            <w:pPr>
              <w:spacing w:line="400" w:lineRule="exact"/>
              <w:jc w:val="left"/>
              <w:rPr>
                <w:rFonts w:ascii="宋体" w:hAnsi="宋体" w:cs="宋体"/>
                <w:kern w:val="1"/>
                <w:szCs w:val="21"/>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527E7599">
            <w:pPr>
              <w:spacing w:line="400" w:lineRule="exact"/>
              <w:ind w:firstLine="420"/>
              <w:rPr>
                <w:rFonts w:ascii="宋体" w:hAnsi="宋体" w:cs="宋体"/>
                <w:kern w:val="1"/>
                <w:szCs w:val="21"/>
              </w:rPr>
            </w:pPr>
            <w:r>
              <w:rPr>
                <w:rFonts w:hint="eastAsia" w:ascii="宋体" w:hAnsi="宋体" w:cs="宋体"/>
                <w:kern w:val="1"/>
                <w:szCs w:val="21"/>
              </w:rPr>
              <w:t>A-9竞选人的财务状况须满足竞选人须知前附表1.4.1项第2条的要求，否则由评选委员会作否决竞选处理。</w:t>
            </w:r>
          </w:p>
        </w:tc>
      </w:tr>
      <w:tr w14:paraId="2C4F158F">
        <w:tblPrEx>
          <w:tblCellMar>
            <w:top w:w="0" w:type="dxa"/>
            <w:left w:w="108" w:type="dxa"/>
            <w:bottom w:w="0" w:type="dxa"/>
            <w:right w:w="108" w:type="dxa"/>
          </w:tblCellMar>
        </w:tblPrEx>
        <w:tc>
          <w:tcPr>
            <w:tcW w:w="2319" w:type="dxa"/>
            <w:vMerge w:val="continue"/>
            <w:tcBorders>
              <w:left w:val="single" w:color="000000" w:sz="4" w:space="0"/>
              <w:right w:val="single" w:color="000000" w:sz="4" w:space="0"/>
            </w:tcBorders>
            <w:vAlign w:val="center"/>
          </w:tcPr>
          <w:p w14:paraId="5EE0D20D">
            <w:pPr>
              <w:spacing w:line="400" w:lineRule="exact"/>
              <w:jc w:val="left"/>
              <w:rPr>
                <w:rFonts w:ascii="宋体" w:hAnsi="宋体" w:cs="宋体"/>
                <w:kern w:val="1"/>
                <w:szCs w:val="21"/>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2D2801C5">
            <w:pPr>
              <w:adjustRightInd w:val="0"/>
              <w:snapToGrid w:val="0"/>
              <w:spacing w:line="360" w:lineRule="auto"/>
              <w:ind w:firstLine="420" w:firstLineChars="200"/>
              <w:rPr>
                <w:rFonts w:ascii="宋体" w:hAnsi="宋体" w:cs="宋体"/>
                <w:kern w:val="1"/>
                <w:szCs w:val="21"/>
              </w:rPr>
            </w:pPr>
            <w:r>
              <w:rPr>
                <w:rFonts w:hint="eastAsia" w:ascii="宋体" w:hAnsi="宋体" w:cs="宋体"/>
                <w:kern w:val="1"/>
                <w:szCs w:val="21"/>
              </w:rPr>
              <w:t>A-10比选截止日竞选人竞选资格情况须满足竞选人须知前附表1.4.1项第3条的要求，否则由评选委员会作否决竞选处理。</w:t>
            </w:r>
          </w:p>
        </w:tc>
      </w:tr>
      <w:tr w14:paraId="4A680732">
        <w:tblPrEx>
          <w:tblCellMar>
            <w:top w:w="0" w:type="dxa"/>
            <w:left w:w="108" w:type="dxa"/>
            <w:bottom w:w="0" w:type="dxa"/>
            <w:right w:w="108" w:type="dxa"/>
          </w:tblCellMar>
        </w:tblPrEx>
        <w:tc>
          <w:tcPr>
            <w:tcW w:w="2319" w:type="dxa"/>
            <w:vMerge w:val="continue"/>
            <w:tcBorders>
              <w:left w:val="single" w:color="000000" w:sz="4" w:space="0"/>
              <w:right w:val="single" w:color="000000" w:sz="4" w:space="0"/>
            </w:tcBorders>
            <w:vAlign w:val="center"/>
          </w:tcPr>
          <w:p w14:paraId="40D9AB2E">
            <w:pPr>
              <w:spacing w:line="400" w:lineRule="exact"/>
              <w:jc w:val="left"/>
              <w:rPr>
                <w:rFonts w:ascii="宋体" w:hAnsi="宋体" w:cs="宋体"/>
                <w:kern w:val="1"/>
                <w:szCs w:val="21"/>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41BB5F69">
            <w:pPr>
              <w:spacing w:line="400" w:lineRule="exact"/>
              <w:ind w:firstLine="420"/>
              <w:rPr>
                <w:rFonts w:ascii="宋体" w:hAnsi="宋体" w:cs="宋体"/>
                <w:kern w:val="1"/>
                <w:szCs w:val="21"/>
              </w:rPr>
            </w:pPr>
            <w:r>
              <w:rPr>
                <w:rFonts w:hint="eastAsia" w:ascii="宋体" w:hAnsi="宋体" w:cs="宋体"/>
                <w:kern w:val="1"/>
                <w:szCs w:val="21"/>
              </w:rPr>
              <w:t>A-11竞选人的</w:t>
            </w:r>
            <w:r>
              <w:rPr>
                <w:rFonts w:hint="eastAsia" w:ascii="宋体" w:hAnsi="宋体" w:cs="宋体"/>
              </w:rPr>
              <w:t>拟派监理人员</w:t>
            </w:r>
            <w:r>
              <w:rPr>
                <w:rFonts w:hint="eastAsia" w:ascii="宋体" w:hAnsi="宋体" w:cs="宋体"/>
                <w:kern w:val="1"/>
                <w:szCs w:val="21"/>
              </w:rPr>
              <w:t>须满足竞选人须知前附表1.4.1项第4条的要求，否则由评选委员会作否决竞选处理。</w:t>
            </w:r>
          </w:p>
        </w:tc>
      </w:tr>
      <w:tr w14:paraId="7D0F3F68">
        <w:tblPrEx>
          <w:tblCellMar>
            <w:top w:w="0" w:type="dxa"/>
            <w:left w:w="108" w:type="dxa"/>
            <w:bottom w:w="0" w:type="dxa"/>
            <w:right w:w="108" w:type="dxa"/>
          </w:tblCellMar>
        </w:tblPrEx>
        <w:tc>
          <w:tcPr>
            <w:tcW w:w="2319" w:type="dxa"/>
            <w:vMerge w:val="continue"/>
            <w:tcBorders>
              <w:left w:val="single" w:color="000000" w:sz="4" w:space="0"/>
              <w:right w:val="single" w:color="000000" w:sz="4" w:space="0"/>
            </w:tcBorders>
            <w:vAlign w:val="center"/>
          </w:tcPr>
          <w:p w14:paraId="4A7D0497">
            <w:pPr>
              <w:spacing w:line="400" w:lineRule="exact"/>
              <w:jc w:val="left"/>
              <w:rPr>
                <w:rFonts w:ascii="宋体" w:hAnsi="宋体" w:cs="宋体"/>
                <w:kern w:val="1"/>
                <w:szCs w:val="21"/>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6E5D94A1">
            <w:pPr>
              <w:spacing w:line="400" w:lineRule="exact"/>
              <w:ind w:firstLine="420"/>
              <w:rPr>
                <w:rFonts w:ascii="宋体" w:hAnsi="宋体" w:cs="宋体"/>
                <w:kern w:val="1"/>
                <w:szCs w:val="21"/>
              </w:rPr>
            </w:pPr>
            <w:r>
              <w:rPr>
                <w:rFonts w:hint="eastAsia" w:ascii="宋体" w:hAnsi="宋体" w:cs="宋体"/>
                <w:kern w:val="1"/>
                <w:szCs w:val="21"/>
              </w:rPr>
              <w:t>A-12 竞选人的</w:t>
            </w:r>
            <w:r>
              <w:rPr>
                <w:rFonts w:hint="eastAsia" w:ascii="宋体" w:hAnsi="宋体" w:cs="宋体"/>
              </w:rPr>
              <w:t>委托代理人</w:t>
            </w:r>
            <w:r>
              <w:rPr>
                <w:rFonts w:hint="eastAsia" w:ascii="宋体" w:hAnsi="宋体" w:cs="宋体"/>
                <w:kern w:val="1"/>
                <w:szCs w:val="21"/>
              </w:rPr>
              <w:t>须满足竞选人须知前附表1.4.1项第5条的要求，否则由评选委员会作否决竞选处理。</w:t>
            </w:r>
          </w:p>
        </w:tc>
      </w:tr>
      <w:tr w14:paraId="4BCC4326">
        <w:tblPrEx>
          <w:tblCellMar>
            <w:top w:w="0" w:type="dxa"/>
            <w:left w:w="108" w:type="dxa"/>
            <w:bottom w:w="0" w:type="dxa"/>
            <w:right w:w="108" w:type="dxa"/>
          </w:tblCellMar>
        </w:tblPrEx>
        <w:tc>
          <w:tcPr>
            <w:tcW w:w="2319" w:type="dxa"/>
            <w:vMerge w:val="restart"/>
            <w:tcBorders>
              <w:top w:val="single" w:color="000000" w:sz="4" w:space="0"/>
              <w:left w:val="single" w:color="000000" w:sz="4" w:space="0"/>
              <w:bottom w:val="single" w:color="000000" w:sz="4" w:space="0"/>
              <w:right w:val="single" w:color="000000" w:sz="4" w:space="0"/>
            </w:tcBorders>
            <w:vAlign w:val="center"/>
          </w:tcPr>
          <w:p w14:paraId="6BE9CBDF">
            <w:pPr>
              <w:spacing w:line="400" w:lineRule="exact"/>
              <w:jc w:val="center"/>
              <w:rPr>
                <w:rFonts w:ascii="宋体" w:hAnsi="宋体" w:cs="宋体"/>
                <w:kern w:val="1"/>
                <w:szCs w:val="21"/>
              </w:rPr>
            </w:pPr>
            <w:r>
              <w:rPr>
                <w:rFonts w:hint="eastAsia" w:ascii="宋体" w:hAnsi="宋体" w:cs="宋体"/>
                <w:kern w:val="1"/>
                <w:szCs w:val="21"/>
              </w:rPr>
              <w:t>响应性评审</w:t>
            </w:r>
          </w:p>
        </w:tc>
        <w:tc>
          <w:tcPr>
            <w:tcW w:w="7308" w:type="dxa"/>
            <w:tcBorders>
              <w:top w:val="single" w:color="000000" w:sz="4" w:space="0"/>
              <w:left w:val="single" w:color="000000" w:sz="4" w:space="0"/>
              <w:bottom w:val="single" w:color="000000" w:sz="4" w:space="0"/>
              <w:right w:val="single" w:color="000000" w:sz="8" w:space="0"/>
            </w:tcBorders>
            <w:vAlign w:val="center"/>
          </w:tcPr>
          <w:p w14:paraId="668FB186">
            <w:pPr>
              <w:spacing w:line="400" w:lineRule="exact"/>
              <w:ind w:firstLine="420"/>
              <w:rPr>
                <w:rFonts w:ascii="宋体" w:hAnsi="宋体" w:cs="宋体"/>
                <w:kern w:val="1"/>
                <w:szCs w:val="21"/>
              </w:rPr>
            </w:pPr>
            <w:r>
              <w:rPr>
                <w:rFonts w:hint="eastAsia" w:ascii="宋体" w:hAnsi="宋体" w:cs="宋体"/>
                <w:kern w:val="1"/>
                <w:szCs w:val="21"/>
              </w:rPr>
              <w:t>A-13竞选内容符合第二章“竞选人须知”第1.3.1项规定，否则由评选委员会作否决竞选处理。</w:t>
            </w:r>
          </w:p>
        </w:tc>
      </w:tr>
      <w:tr w14:paraId="4BF71C24">
        <w:tblPrEx>
          <w:tblCellMar>
            <w:top w:w="0" w:type="dxa"/>
            <w:left w:w="108" w:type="dxa"/>
            <w:bottom w:w="0" w:type="dxa"/>
            <w:right w:w="108" w:type="dxa"/>
          </w:tblCellMar>
        </w:tblPrEx>
        <w:trPr>
          <w:trHeight w:val="507" w:hRule="atLeast"/>
        </w:trPr>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4D7D1ED6">
            <w:pPr>
              <w:spacing w:line="400" w:lineRule="exact"/>
              <w:jc w:val="left"/>
              <w:rPr>
                <w:rFonts w:ascii="宋体" w:hAnsi="宋体" w:cs="宋体"/>
                <w:kern w:val="1"/>
                <w:szCs w:val="21"/>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60E95CFE">
            <w:pPr>
              <w:spacing w:line="400" w:lineRule="exact"/>
              <w:ind w:firstLine="420"/>
              <w:rPr>
                <w:rFonts w:ascii="宋体" w:hAnsi="宋体" w:cs="宋体"/>
                <w:kern w:val="1"/>
                <w:szCs w:val="21"/>
              </w:rPr>
            </w:pPr>
            <w:r>
              <w:rPr>
                <w:rFonts w:hint="eastAsia" w:ascii="宋体" w:hAnsi="宋体" w:cs="宋体"/>
                <w:kern w:val="1"/>
                <w:szCs w:val="21"/>
              </w:rPr>
              <w:t>A-14监理服务期符合第二章“竞选人须知”第1.3.2项规定，否则由评选委员会作否决竞选处理。</w:t>
            </w:r>
          </w:p>
        </w:tc>
      </w:tr>
      <w:tr w14:paraId="7344A804">
        <w:tblPrEx>
          <w:tblCellMar>
            <w:top w:w="0" w:type="dxa"/>
            <w:left w:w="108" w:type="dxa"/>
            <w:bottom w:w="0" w:type="dxa"/>
            <w:right w:w="108" w:type="dxa"/>
          </w:tblCellMar>
        </w:tblPrEx>
        <w:trPr>
          <w:trHeight w:val="410" w:hRule="atLeast"/>
        </w:trPr>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5F410753">
            <w:pPr>
              <w:spacing w:line="400" w:lineRule="exact"/>
              <w:jc w:val="left"/>
              <w:rPr>
                <w:rFonts w:ascii="宋体" w:hAnsi="宋体" w:cs="宋体"/>
                <w:kern w:val="1"/>
                <w:szCs w:val="21"/>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168E6884">
            <w:pPr>
              <w:spacing w:line="400" w:lineRule="exact"/>
              <w:ind w:firstLine="420"/>
              <w:rPr>
                <w:rFonts w:ascii="宋体" w:hAnsi="宋体" w:cs="宋体"/>
                <w:kern w:val="1"/>
                <w:szCs w:val="21"/>
              </w:rPr>
            </w:pPr>
            <w:r>
              <w:rPr>
                <w:rFonts w:hint="eastAsia" w:ascii="宋体" w:hAnsi="宋体" w:cs="宋体"/>
                <w:kern w:val="1"/>
                <w:szCs w:val="21"/>
              </w:rPr>
              <w:t>A-15工程质量符合第二章“竞选人须知”第1.3.</w:t>
            </w:r>
            <w:r>
              <w:rPr>
                <w:rFonts w:ascii="宋体" w:hAnsi="宋体" w:cs="宋体"/>
                <w:kern w:val="1"/>
                <w:szCs w:val="21"/>
              </w:rPr>
              <w:t>3</w:t>
            </w:r>
            <w:r>
              <w:rPr>
                <w:rFonts w:hint="eastAsia" w:ascii="宋体" w:hAnsi="宋体" w:cs="宋体"/>
                <w:kern w:val="1"/>
                <w:szCs w:val="21"/>
              </w:rPr>
              <w:t>项规定，否则由评选委员会作否决竞选处理。</w:t>
            </w:r>
          </w:p>
        </w:tc>
      </w:tr>
      <w:tr w14:paraId="581AA435">
        <w:tblPrEx>
          <w:tblCellMar>
            <w:top w:w="0" w:type="dxa"/>
            <w:left w:w="108" w:type="dxa"/>
            <w:bottom w:w="0" w:type="dxa"/>
            <w:right w:w="108" w:type="dxa"/>
          </w:tblCellMar>
        </w:tblPrEx>
        <w:trPr>
          <w:trHeight w:val="603" w:hRule="atLeast"/>
        </w:trPr>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6F9BD85B">
            <w:pPr>
              <w:spacing w:line="400" w:lineRule="exact"/>
              <w:jc w:val="left"/>
              <w:rPr>
                <w:rFonts w:ascii="宋体" w:hAnsi="宋体" w:cs="宋体"/>
                <w:kern w:val="1"/>
                <w:szCs w:val="21"/>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7FE52809">
            <w:pPr>
              <w:spacing w:line="400" w:lineRule="exact"/>
              <w:ind w:firstLine="420"/>
              <w:rPr>
                <w:rFonts w:ascii="宋体" w:hAnsi="宋体" w:cs="宋体"/>
                <w:kern w:val="1"/>
                <w:szCs w:val="21"/>
              </w:rPr>
            </w:pPr>
            <w:r>
              <w:rPr>
                <w:rFonts w:hint="eastAsia" w:ascii="宋体" w:hAnsi="宋体" w:cs="宋体"/>
                <w:kern w:val="1"/>
                <w:szCs w:val="21"/>
              </w:rPr>
              <w:t>A-16比选有效期符合第二章“竞选人须知”第3.3.1项规定，否则由评选委员会作否决竞选处理。</w:t>
            </w:r>
          </w:p>
        </w:tc>
      </w:tr>
      <w:tr w14:paraId="26B11E41">
        <w:tblPrEx>
          <w:tblCellMar>
            <w:top w:w="0" w:type="dxa"/>
            <w:left w:w="108" w:type="dxa"/>
            <w:bottom w:w="0" w:type="dxa"/>
            <w:right w:w="108" w:type="dxa"/>
          </w:tblCellMar>
        </w:tblPrEx>
        <w:trPr>
          <w:trHeight w:val="627" w:hRule="atLeast"/>
        </w:trPr>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75288054">
            <w:pPr>
              <w:spacing w:line="400" w:lineRule="exact"/>
              <w:jc w:val="left"/>
              <w:rPr>
                <w:rFonts w:ascii="宋体" w:hAnsi="宋体" w:cs="宋体"/>
                <w:kern w:val="1"/>
                <w:szCs w:val="21"/>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36628316">
            <w:pPr>
              <w:spacing w:line="400" w:lineRule="exact"/>
              <w:ind w:firstLine="420"/>
              <w:rPr>
                <w:rFonts w:ascii="宋体" w:hAnsi="宋体" w:cs="宋体"/>
                <w:kern w:val="1"/>
                <w:szCs w:val="21"/>
              </w:rPr>
            </w:pPr>
            <w:r>
              <w:rPr>
                <w:rFonts w:hint="eastAsia" w:ascii="宋体" w:hAnsi="宋体" w:cs="宋体"/>
                <w:kern w:val="1"/>
                <w:szCs w:val="21"/>
              </w:rPr>
              <w:t>A-17竞选总报价有算术错误的，评选委员会按比选文件规定的原则对竞选总报价进行修正，修正的价格经竞选人书面确认后具有约束力。竞选人不接受修正价格的，其投标由评选委员会作否决竞选处理。</w:t>
            </w:r>
          </w:p>
        </w:tc>
      </w:tr>
      <w:tr w14:paraId="29C3CBB3">
        <w:tblPrEx>
          <w:tblCellMar>
            <w:top w:w="0" w:type="dxa"/>
            <w:left w:w="108" w:type="dxa"/>
            <w:bottom w:w="0" w:type="dxa"/>
            <w:right w:w="108" w:type="dxa"/>
          </w:tblCellMar>
        </w:tblPrEx>
        <w:trPr>
          <w:trHeight w:val="668" w:hRule="atLeast"/>
        </w:trPr>
        <w:tc>
          <w:tcPr>
            <w:tcW w:w="2319" w:type="dxa"/>
            <w:vMerge w:val="continue"/>
            <w:tcBorders>
              <w:top w:val="single" w:color="000000" w:sz="4" w:space="0"/>
              <w:left w:val="single" w:color="000000" w:sz="4" w:space="0"/>
              <w:bottom w:val="single" w:color="auto" w:sz="4" w:space="0"/>
              <w:right w:val="single" w:color="000000" w:sz="4" w:space="0"/>
            </w:tcBorders>
            <w:vAlign w:val="center"/>
          </w:tcPr>
          <w:p w14:paraId="3D1C490D">
            <w:pPr>
              <w:spacing w:line="400" w:lineRule="exact"/>
              <w:jc w:val="left"/>
              <w:rPr>
                <w:rFonts w:ascii="宋体" w:hAnsi="宋体" w:cs="宋体"/>
                <w:kern w:val="1"/>
                <w:szCs w:val="21"/>
              </w:rPr>
            </w:pPr>
          </w:p>
        </w:tc>
        <w:tc>
          <w:tcPr>
            <w:tcW w:w="7308" w:type="dxa"/>
            <w:tcBorders>
              <w:top w:val="single" w:color="000000" w:sz="4" w:space="0"/>
              <w:left w:val="single" w:color="000000" w:sz="4" w:space="0"/>
              <w:bottom w:val="single" w:color="auto" w:sz="4" w:space="0"/>
              <w:right w:val="single" w:color="000000" w:sz="8" w:space="0"/>
            </w:tcBorders>
            <w:vAlign w:val="center"/>
          </w:tcPr>
          <w:p w14:paraId="51D781D3">
            <w:pPr>
              <w:spacing w:line="400" w:lineRule="exact"/>
              <w:ind w:firstLine="420"/>
              <w:rPr>
                <w:rFonts w:ascii="宋体" w:hAnsi="宋体" w:cs="宋体"/>
                <w:kern w:val="1"/>
                <w:szCs w:val="21"/>
              </w:rPr>
            </w:pPr>
            <w:r>
              <w:rPr>
                <w:rFonts w:hint="eastAsia" w:ascii="宋体" w:hAnsi="宋体" w:cs="宋体"/>
                <w:kern w:val="1"/>
                <w:szCs w:val="21"/>
              </w:rPr>
              <w:t>A-18不得有涉嫌串通投标、弄虚作假等违反招投标相关法律、法规的行为，否则由评选委员会作否决竞选处理。</w:t>
            </w:r>
          </w:p>
        </w:tc>
      </w:tr>
      <w:tr w14:paraId="32AF6E28">
        <w:tblPrEx>
          <w:tblCellMar>
            <w:top w:w="0" w:type="dxa"/>
            <w:left w:w="108" w:type="dxa"/>
            <w:bottom w:w="0" w:type="dxa"/>
            <w:right w:w="108" w:type="dxa"/>
          </w:tblCellMar>
        </w:tblPrEx>
        <w:tc>
          <w:tcPr>
            <w:tcW w:w="2319" w:type="dxa"/>
            <w:vMerge w:val="restart"/>
            <w:tcBorders>
              <w:top w:val="single" w:color="auto" w:sz="4" w:space="0"/>
              <w:left w:val="single" w:color="auto" w:sz="4" w:space="0"/>
              <w:right w:val="single" w:color="000000" w:sz="4" w:space="0"/>
            </w:tcBorders>
            <w:vAlign w:val="center"/>
          </w:tcPr>
          <w:p w14:paraId="60E7EC4B">
            <w:pPr>
              <w:spacing w:line="400" w:lineRule="exact"/>
              <w:jc w:val="center"/>
              <w:rPr>
                <w:rFonts w:ascii="宋体" w:hAnsi="宋体" w:cs="宋体"/>
                <w:kern w:val="1"/>
                <w:szCs w:val="21"/>
              </w:rPr>
            </w:pPr>
            <w:r>
              <w:rPr>
                <w:rFonts w:hint="eastAsia" w:ascii="宋体" w:hAnsi="宋体" w:cs="宋体"/>
                <w:kern w:val="1"/>
                <w:szCs w:val="21"/>
              </w:rPr>
              <w:t>其他</w:t>
            </w:r>
          </w:p>
        </w:tc>
        <w:tc>
          <w:tcPr>
            <w:tcW w:w="7308" w:type="dxa"/>
            <w:tcBorders>
              <w:top w:val="single" w:color="auto" w:sz="4" w:space="0"/>
              <w:left w:val="single" w:color="000000" w:sz="4" w:space="0"/>
              <w:bottom w:val="single" w:color="000000" w:sz="4" w:space="0"/>
              <w:right w:val="single" w:color="auto" w:sz="4" w:space="0"/>
            </w:tcBorders>
          </w:tcPr>
          <w:p w14:paraId="096EBFE6">
            <w:pPr>
              <w:spacing w:line="400" w:lineRule="exact"/>
              <w:ind w:firstLine="420" w:firstLineChars="200"/>
              <w:jc w:val="left"/>
            </w:pPr>
            <w:r>
              <w:rPr>
                <w:rFonts w:hint="eastAsia" w:ascii="宋体" w:hAnsi="宋体" w:cs="宋体"/>
                <w:kern w:val="1"/>
                <w:szCs w:val="21"/>
              </w:rPr>
              <w:t>A-19竞选人不按本章第 3.4.1 项要求提交比选保证金的，其竞选文件作否决竞选处理</w:t>
            </w:r>
          </w:p>
        </w:tc>
      </w:tr>
      <w:tr w14:paraId="39FB5DFA">
        <w:tblPrEx>
          <w:tblCellMar>
            <w:top w:w="0" w:type="dxa"/>
            <w:left w:w="108" w:type="dxa"/>
            <w:bottom w:w="0" w:type="dxa"/>
            <w:right w:w="108" w:type="dxa"/>
          </w:tblCellMar>
        </w:tblPrEx>
        <w:tc>
          <w:tcPr>
            <w:tcW w:w="2319" w:type="dxa"/>
            <w:vMerge w:val="continue"/>
            <w:tcBorders>
              <w:left w:val="single" w:color="auto" w:sz="4" w:space="0"/>
              <w:right w:val="single" w:color="000000" w:sz="4" w:space="0"/>
            </w:tcBorders>
            <w:vAlign w:val="center"/>
          </w:tcPr>
          <w:p w14:paraId="60CF1EFF">
            <w:pPr>
              <w:spacing w:line="400" w:lineRule="exact"/>
              <w:jc w:val="center"/>
              <w:rPr>
                <w:rFonts w:ascii="宋体" w:hAnsi="宋体" w:cs="宋体"/>
                <w:kern w:val="1"/>
                <w:szCs w:val="21"/>
              </w:rPr>
            </w:pPr>
          </w:p>
        </w:tc>
        <w:tc>
          <w:tcPr>
            <w:tcW w:w="7308" w:type="dxa"/>
            <w:tcBorders>
              <w:top w:val="single" w:color="000000" w:sz="4" w:space="0"/>
              <w:left w:val="single" w:color="000000" w:sz="4" w:space="0"/>
              <w:bottom w:val="single" w:color="000000" w:sz="4" w:space="0"/>
              <w:right w:val="single" w:color="auto" w:sz="4" w:space="0"/>
            </w:tcBorders>
          </w:tcPr>
          <w:p w14:paraId="03096CD3">
            <w:pPr>
              <w:spacing w:line="400" w:lineRule="exact"/>
              <w:ind w:firstLine="420" w:firstLineChars="200"/>
              <w:jc w:val="left"/>
              <w:rPr>
                <w:rFonts w:ascii="宋体" w:hAnsi="宋体" w:cs="宋体"/>
                <w:kern w:val="1"/>
                <w:szCs w:val="21"/>
              </w:rPr>
            </w:pPr>
            <w:r>
              <w:rPr>
                <w:rFonts w:hint="eastAsia" w:ascii="宋体" w:hAnsi="宋体" w:cs="宋体"/>
                <w:kern w:val="1"/>
                <w:szCs w:val="21"/>
              </w:rPr>
              <w:t>A-20评选委员会发现竞选人的报价明显低于其他竞选总报价，使得其竞选总报价可能低于其个别成本的，应当要求该竞选人做出书面说明并提供相应的证明材料。竞选人不能合理说明或者不能提供相应证明材料的，由评选委员会认定该竞选人以低于成本报价竞选，对该竞选人作否决竞选处理。</w:t>
            </w:r>
          </w:p>
        </w:tc>
      </w:tr>
      <w:tr w14:paraId="0F48D711">
        <w:tblPrEx>
          <w:tblCellMar>
            <w:top w:w="0" w:type="dxa"/>
            <w:left w:w="108" w:type="dxa"/>
            <w:bottom w:w="0" w:type="dxa"/>
            <w:right w:w="108" w:type="dxa"/>
          </w:tblCellMar>
        </w:tblPrEx>
        <w:tc>
          <w:tcPr>
            <w:tcW w:w="2319" w:type="dxa"/>
            <w:vMerge w:val="continue"/>
            <w:tcBorders>
              <w:left w:val="single" w:color="auto" w:sz="4" w:space="0"/>
              <w:right w:val="single" w:color="000000" w:sz="4" w:space="0"/>
            </w:tcBorders>
            <w:vAlign w:val="center"/>
          </w:tcPr>
          <w:p w14:paraId="70FD8F16">
            <w:pPr>
              <w:spacing w:line="400" w:lineRule="exact"/>
              <w:jc w:val="center"/>
              <w:rPr>
                <w:rFonts w:ascii="宋体" w:hAnsi="宋体" w:cs="宋体"/>
                <w:kern w:val="1"/>
                <w:szCs w:val="21"/>
              </w:rPr>
            </w:pPr>
          </w:p>
        </w:tc>
        <w:tc>
          <w:tcPr>
            <w:tcW w:w="7308" w:type="dxa"/>
            <w:tcBorders>
              <w:top w:val="single" w:color="000000" w:sz="4" w:space="0"/>
              <w:left w:val="single" w:color="000000" w:sz="4" w:space="0"/>
              <w:bottom w:val="single" w:color="000000" w:sz="4" w:space="0"/>
              <w:right w:val="single" w:color="auto" w:sz="4" w:space="0"/>
            </w:tcBorders>
          </w:tcPr>
          <w:p w14:paraId="416AB01F">
            <w:pPr>
              <w:spacing w:line="400" w:lineRule="exact"/>
              <w:ind w:firstLine="420" w:firstLineChars="200"/>
              <w:jc w:val="left"/>
              <w:rPr>
                <w:rFonts w:ascii="宋体" w:hAnsi="宋体" w:cs="宋体"/>
                <w:kern w:val="1"/>
                <w:szCs w:val="21"/>
              </w:rPr>
            </w:pPr>
            <w:r>
              <w:rPr>
                <w:rFonts w:hint="eastAsia" w:ascii="宋体" w:hAnsi="宋体" w:cs="宋体"/>
                <w:kern w:val="1"/>
                <w:szCs w:val="21"/>
              </w:rPr>
              <w:t>A-21中选候选人或中选人放弃中选项目，无正当理由不与比选人签订合同，在签订合同时向比选人提出附加条件或者更改合同实质性内容，或者拒不提交低价风险担保或者履约担保的，取消其中选资格，比选保证金不予退还，给比选人造成的损失超过比选保证金数额的，中选候选人或中选人应对超过部分予以赔偿。竞选人应对上述要求在竞选文件中无条件予以响应，否则由评选委员会作否决竞选处理。</w:t>
            </w:r>
          </w:p>
        </w:tc>
      </w:tr>
      <w:tr w14:paraId="0C7A9586">
        <w:tblPrEx>
          <w:tblCellMar>
            <w:top w:w="0" w:type="dxa"/>
            <w:left w:w="108" w:type="dxa"/>
            <w:bottom w:w="0" w:type="dxa"/>
            <w:right w:w="108" w:type="dxa"/>
          </w:tblCellMar>
        </w:tblPrEx>
        <w:trPr>
          <w:trHeight w:val="2094" w:hRule="atLeast"/>
        </w:trPr>
        <w:tc>
          <w:tcPr>
            <w:tcW w:w="2319" w:type="dxa"/>
            <w:vMerge w:val="continue"/>
            <w:tcBorders>
              <w:left w:val="single" w:color="auto" w:sz="4" w:space="0"/>
              <w:bottom w:val="single" w:color="auto" w:sz="4" w:space="0"/>
              <w:right w:val="single" w:color="000000" w:sz="4" w:space="0"/>
            </w:tcBorders>
            <w:vAlign w:val="center"/>
          </w:tcPr>
          <w:p w14:paraId="70B76B00">
            <w:pPr>
              <w:spacing w:line="400" w:lineRule="exact"/>
              <w:jc w:val="center"/>
              <w:rPr>
                <w:rFonts w:ascii="宋体" w:hAnsi="宋体" w:cs="宋体"/>
                <w:kern w:val="1"/>
                <w:szCs w:val="21"/>
              </w:rPr>
            </w:pPr>
          </w:p>
        </w:tc>
        <w:tc>
          <w:tcPr>
            <w:tcW w:w="7308" w:type="dxa"/>
            <w:tcBorders>
              <w:top w:val="single" w:color="000000" w:sz="4" w:space="0"/>
              <w:left w:val="single" w:color="000000" w:sz="4" w:space="0"/>
              <w:bottom w:val="single" w:color="auto" w:sz="4" w:space="0"/>
              <w:right w:val="single" w:color="auto" w:sz="4" w:space="0"/>
            </w:tcBorders>
          </w:tcPr>
          <w:p w14:paraId="3277ED9E">
            <w:pPr>
              <w:snapToGrid w:val="0"/>
              <w:spacing w:line="400" w:lineRule="exact"/>
              <w:ind w:firstLine="420" w:firstLineChars="200"/>
              <w:rPr>
                <w:rFonts w:ascii="宋体" w:hAnsi="宋体" w:cs="宋体"/>
                <w:kern w:val="1"/>
                <w:szCs w:val="21"/>
              </w:rPr>
            </w:pPr>
            <w:r>
              <w:rPr>
                <w:rFonts w:hint="eastAsia" w:ascii="宋体" w:hAnsi="宋体" w:cs="宋体"/>
                <w:kern w:val="1"/>
                <w:szCs w:val="21"/>
              </w:rPr>
              <w:t>A-22</w:t>
            </w:r>
            <w:r>
              <w:rPr>
                <w:rFonts w:hint="eastAsia" w:ascii="宋体" w:hAnsi="宋体" w:cs="宋体"/>
              </w:rPr>
              <w:t>竞选人自行在竞选文件中承诺拟派驻的总监理工程师、专业监理工程师和监理员在本项目比选前未有其他在监项目，如经查证承诺不实，将取消其中选资格，给比选人造成损失的，竞选人依法承担违约赔偿责任。竞选人须在竞选文件资格审查资料附承诺函（格式），否则由评选委员会作否决竞选处理。</w:t>
            </w:r>
          </w:p>
        </w:tc>
      </w:tr>
    </w:tbl>
    <w:p w14:paraId="7C55CD97">
      <w:pPr>
        <w:pStyle w:val="8"/>
        <w:spacing w:line="360" w:lineRule="auto"/>
        <w:rPr>
          <w:rFonts w:ascii="宋体" w:hAnsi="宋体" w:cs="宋体"/>
          <w:kern w:val="0"/>
          <w:sz w:val="52"/>
          <w:szCs w:val="52"/>
        </w:rPr>
      </w:pPr>
    </w:p>
    <w:p w14:paraId="0BBC98A7">
      <w:pPr>
        <w:jc w:val="center"/>
      </w:pPr>
      <w:bookmarkStart w:id="689" w:name="_Toc32462"/>
      <w:bookmarkStart w:id="690" w:name="_Toc29600"/>
    </w:p>
    <w:p w14:paraId="7221F5A3">
      <w:pPr>
        <w:pStyle w:val="2"/>
      </w:pPr>
    </w:p>
    <w:p w14:paraId="4D06545F"/>
    <w:p w14:paraId="5DBC63C9">
      <w:pPr>
        <w:pStyle w:val="2"/>
      </w:pPr>
    </w:p>
    <w:p w14:paraId="225F2B8F"/>
    <w:p w14:paraId="31A5A2CD">
      <w:pPr>
        <w:pStyle w:val="2"/>
      </w:pPr>
    </w:p>
    <w:p w14:paraId="11402C5D"/>
    <w:p w14:paraId="6948B752">
      <w:pPr>
        <w:pStyle w:val="2"/>
      </w:pPr>
    </w:p>
    <w:p w14:paraId="6EC50B8C"/>
    <w:p w14:paraId="28CA3376">
      <w:pPr>
        <w:pStyle w:val="3"/>
        <w:jc w:val="center"/>
      </w:pPr>
      <w:r>
        <w:rPr>
          <w:rFonts w:hint="eastAsia"/>
        </w:rPr>
        <w:t>第四章  合同条款及格式</w:t>
      </w:r>
    </w:p>
    <w:p w14:paraId="332A9A8A"/>
    <w:p w14:paraId="3EF874A2">
      <w:pPr>
        <w:overflowPunct w:val="0"/>
        <w:autoSpaceDE w:val="0"/>
        <w:autoSpaceDN w:val="0"/>
        <w:adjustRightInd w:val="0"/>
        <w:snapToGrid w:val="0"/>
        <w:spacing w:line="720" w:lineRule="exact"/>
        <w:ind w:firstLine="2168" w:firstLineChars="300"/>
        <w:rPr>
          <w:rFonts w:ascii="宋体" w:hAnsi="宋体"/>
          <w:b/>
          <w:bCs/>
          <w:sz w:val="72"/>
          <w:szCs w:val="72"/>
        </w:rPr>
      </w:pPr>
    </w:p>
    <w:p w14:paraId="0194B2CA">
      <w:pPr>
        <w:overflowPunct w:val="0"/>
        <w:autoSpaceDE w:val="0"/>
        <w:autoSpaceDN w:val="0"/>
        <w:adjustRightInd w:val="0"/>
        <w:snapToGrid w:val="0"/>
        <w:spacing w:line="720" w:lineRule="exact"/>
        <w:ind w:firstLine="2168" w:firstLineChars="300"/>
        <w:rPr>
          <w:rFonts w:ascii="宋体" w:hAnsi="宋体"/>
          <w:b/>
          <w:bCs/>
          <w:sz w:val="72"/>
          <w:szCs w:val="72"/>
        </w:rPr>
      </w:pPr>
    </w:p>
    <w:p w14:paraId="4869BB14">
      <w:pPr>
        <w:pStyle w:val="2"/>
        <w:rPr>
          <w:rFonts w:ascii="宋体" w:hAnsi="宋体"/>
          <w:b/>
          <w:bCs/>
          <w:sz w:val="72"/>
          <w:szCs w:val="72"/>
        </w:rPr>
      </w:pPr>
    </w:p>
    <w:p w14:paraId="0ADD2EF9">
      <w:pPr>
        <w:rPr>
          <w:rFonts w:ascii="宋体" w:hAnsi="宋体"/>
          <w:b/>
          <w:bCs/>
          <w:sz w:val="72"/>
          <w:szCs w:val="72"/>
        </w:rPr>
      </w:pPr>
    </w:p>
    <w:p w14:paraId="36158772">
      <w:pPr>
        <w:pStyle w:val="2"/>
        <w:rPr>
          <w:rFonts w:ascii="宋体" w:hAnsi="宋体"/>
          <w:b/>
          <w:bCs/>
          <w:sz w:val="72"/>
          <w:szCs w:val="72"/>
        </w:rPr>
      </w:pPr>
    </w:p>
    <w:p w14:paraId="655DA948">
      <w:pPr>
        <w:rPr>
          <w:rFonts w:ascii="宋体" w:hAnsi="宋体"/>
          <w:b/>
          <w:bCs/>
          <w:sz w:val="72"/>
          <w:szCs w:val="72"/>
        </w:rPr>
      </w:pPr>
    </w:p>
    <w:p w14:paraId="3B9C4A21">
      <w:pPr>
        <w:pStyle w:val="2"/>
        <w:rPr>
          <w:rFonts w:ascii="宋体" w:hAnsi="宋体"/>
          <w:b/>
          <w:bCs/>
          <w:sz w:val="72"/>
          <w:szCs w:val="72"/>
        </w:rPr>
      </w:pPr>
    </w:p>
    <w:p w14:paraId="25EA81C5">
      <w:pPr>
        <w:rPr>
          <w:rFonts w:ascii="宋体" w:hAnsi="宋体"/>
          <w:b/>
          <w:bCs/>
          <w:sz w:val="72"/>
          <w:szCs w:val="72"/>
        </w:rPr>
      </w:pPr>
    </w:p>
    <w:p w14:paraId="57045C6A">
      <w:pPr>
        <w:pStyle w:val="2"/>
      </w:pPr>
    </w:p>
    <w:p w14:paraId="53BB3B29">
      <w:pPr>
        <w:overflowPunct w:val="0"/>
        <w:autoSpaceDE w:val="0"/>
        <w:autoSpaceDN w:val="0"/>
        <w:adjustRightInd w:val="0"/>
        <w:snapToGrid w:val="0"/>
        <w:spacing w:line="720" w:lineRule="exact"/>
        <w:ind w:firstLine="2168" w:firstLineChars="300"/>
        <w:rPr>
          <w:rFonts w:ascii="宋体" w:hAnsi="宋体"/>
          <w:b/>
          <w:bCs/>
          <w:sz w:val="72"/>
          <w:szCs w:val="72"/>
        </w:rPr>
      </w:pPr>
    </w:p>
    <w:p w14:paraId="5E502A53">
      <w:pPr>
        <w:overflowPunct w:val="0"/>
        <w:autoSpaceDE w:val="0"/>
        <w:autoSpaceDN w:val="0"/>
        <w:adjustRightInd w:val="0"/>
        <w:snapToGrid w:val="0"/>
        <w:spacing w:line="720" w:lineRule="exact"/>
        <w:ind w:firstLine="2168" w:firstLineChars="300"/>
        <w:rPr>
          <w:rFonts w:ascii="宋体" w:hAnsi="宋体"/>
          <w:b/>
          <w:bCs/>
          <w:sz w:val="72"/>
          <w:szCs w:val="72"/>
        </w:rPr>
      </w:pPr>
    </w:p>
    <w:p w14:paraId="1FA3627E">
      <w:pPr>
        <w:overflowPunct w:val="0"/>
        <w:autoSpaceDE w:val="0"/>
        <w:autoSpaceDN w:val="0"/>
        <w:adjustRightInd w:val="0"/>
        <w:snapToGrid w:val="0"/>
        <w:spacing w:line="720" w:lineRule="exact"/>
        <w:ind w:firstLine="2168" w:firstLineChars="300"/>
        <w:rPr>
          <w:rFonts w:ascii="宋体" w:hAnsi="宋体"/>
          <w:b/>
          <w:bCs/>
          <w:sz w:val="72"/>
          <w:szCs w:val="72"/>
        </w:rPr>
      </w:pPr>
    </w:p>
    <w:p w14:paraId="4BCDF84F">
      <w:pPr>
        <w:overflowPunct w:val="0"/>
        <w:autoSpaceDE w:val="0"/>
        <w:autoSpaceDN w:val="0"/>
        <w:adjustRightInd w:val="0"/>
        <w:snapToGrid w:val="0"/>
        <w:spacing w:line="720" w:lineRule="exact"/>
        <w:ind w:firstLine="2168" w:firstLineChars="300"/>
        <w:rPr>
          <w:rFonts w:ascii="宋体" w:hAnsi="宋体"/>
          <w:b/>
          <w:bCs/>
          <w:sz w:val="72"/>
          <w:szCs w:val="72"/>
        </w:rPr>
      </w:pPr>
    </w:p>
    <w:p w14:paraId="6DF47A7F">
      <w:pPr>
        <w:overflowPunct w:val="0"/>
        <w:autoSpaceDE w:val="0"/>
        <w:autoSpaceDN w:val="0"/>
        <w:adjustRightInd w:val="0"/>
        <w:snapToGrid w:val="0"/>
        <w:spacing w:line="720" w:lineRule="exact"/>
        <w:ind w:firstLine="2168" w:firstLineChars="300"/>
        <w:rPr>
          <w:rFonts w:ascii="宋体" w:hAnsi="宋体"/>
          <w:b/>
          <w:bCs/>
          <w:sz w:val="72"/>
          <w:szCs w:val="72"/>
        </w:rPr>
      </w:pPr>
    </w:p>
    <w:p w14:paraId="6BBD1240">
      <w:pPr>
        <w:overflowPunct w:val="0"/>
        <w:autoSpaceDE w:val="0"/>
        <w:autoSpaceDN w:val="0"/>
        <w:adjustRightInd w:val="0"/>
        <w:snapToGrid w:val="0"/>
        <w:spacing w:line="720" w:lineRule="exact"/>
        <w:ind w:firstLine="1446" w:firstLineChars="200"/>
        <w:rPr>
          <w:rFonts w:ascii="宋体" w:hAnsi="宋体"/>
          <w:b/>
          <w:bCs/>
          <w:sz w:val="72"/>
          <w:szCs w:val="72"/>
        </w:rPr>
      </w:pPr>
      <w:bookmarkStart w:id="691" w:name="_Toc267261701"/>
    </w:p>
    <w:p w14:paraId="1DA7B70B">
      <w:pPr>
        <w:overflowPunct w:val="0"/>
        <w:autoSpaceDE w:val="0"/>
        <w:autoSpaceDN w:val="0"/>
        <w:adjustRightInd w:val="0"/>
        <w:snapToGrid w:val="0"/>
        <w:spacing w:line="720" w:lineRule="exact"/>
        <w:ind w:firstLine="1446" w:firstLineChars="200"/>
        <w:rPr>
          <w:rFonts w:ascii="宋体" w:hAnsi="宋体"/>
          <w:b/>
          <w:bCs/>
          <w:sz w:val="72"/>
          <w:szCs w:val="72"/>
        </w:rPr>
      </w:pPr>
    </w:p>
    <w:p w14:paraId="4E1183C9">
      <w:pPr>
        <w:overflowPunct w:val="0"/>
        <w:autoSpaceDE w:val="0"/>
        <w:autoSpaceDN w:val="0"/>
        <w:adjustRightInd w:val="0"/>
        <w:snapToGrid w:val="0"/>
        <w:spacing w:line="720" w:lineRule="exact"/>
        <w:ind w:firstLine="1446" w:firstLineChars="200"/>
        <w:rPr>
          <w:rFonts w:ascii="宋体" w:hAnsi="宋体"/>
          <w:b/>
          <w:bCs/>
          <w:sz w:val="72"/>
          <w:szCs w:val="72"/>
        </w:rPr>
      </w:pPr>
    </w:p>
    <w:p w14:paraId="4829B922">
      <w:pPr>
        <w:overflowPunct w:val="0"/>
        <w:autoSpaceDE w:val="0"/>
        <w:autoSpaceDN w:val="0"/>
        <w:adjustRightInd w:val="0"/>
        <w:snapToGrid w:val="0"/>
        <w:spacing w:line="720" w:lineRule="exact"/>
        <w:ind w:firstLine="1446" w:firstLineChars="200"/>
        <w:rPr>
          <w:rFonts w:ascii="宋体" w:hAnsi="宋体"/>
          <w:b/>
          <w:bCs/>
          <w:sz w:val="72"/>
          <w:szCs w:val="72"/>
        </w:rPr>
      </w:pPr>
    </w:p>
    <w:p w14:paraId="5C4157D2">
      <w:pPr>
        <w:overflowPunct w:val="0"/>
        <w:autoSpaceDE w:val="0"/>
        <w:autoSpaceDN w:val="0"/>
        <w:adjustRightInd w:val="0"/>
        <w:snapToGrid w:val="0"/>
        <w:spacing w:line="720" w:lineRule="exact"/>
        <w:ind w:firstLine="1446" w:firstLineChars="200"/>
        <w:rPr>
          <w:rFonts w:ascii="宋体" w:hAnsi="宋体"/>
          <w:b/>
          <w:bCs/>
          <w:sz w:val="72"/>
          <w:szCs w:val="72"/>
        </w:rPr>
      </w:pPr>
      <w:r>
        <w:rPr>
          <w:rFonts w:hint="eastAsia" w:ascii="宋体" w:hAnsi="宋体"/>
          <w:b/>
          <w:bCs/>
          <w:sz w:val="72"/>
          <w:szCs w:val="72"/>
        </w:rPr>
        <w:t>建设工程监理合同</w:t>
      </w:r>
    </w:p>
    <w:p w14:paraId="47ACE687">
      <w:pPr>
        <w:overflowPunct w:val="0"/>
        <w:autoSpaceDE w:val="0"/>
        <w:autoSpaceDN w:val="0"/>
        <w:adjustRightInd w:val="0"/>
        <w:snapToGrid w:val="0"/>
        <w:spacing w:line="720" w:lineRule="exact"/>
        <w:ind w:firstLine="960" w:firstLineChars="200"/>
        <w:jc w:val="center"/>
        <w:rPr>
          <w:rFonts w:ascii="宋体" w:hAnsi="宋体"/>
          <w:bCs/>
          <w:sz w:val="48"/>
          <w:szCs w:val="48"/>
        </w:rPr>
      </w:pPr>
    </w:p>
    <w:p w14:paraId="42C5FC88">
      <w:pPr>
        <w:overflowPunct w:val="0"/>
        <w:autoSpaceDE w:val="0"/>
        <w:autoSpaceDN w:val="0"/>
        <w:adjustRightInd w:val="0"/>
        <w:snapToGrid w:val="0"/>
        <w:spacing w:line="720" w:lineRule="exact"/>
        <w:ind w:firstLine="480" w:firstLineChars="200"/>
        <w:jc w:val="center"/>
        <w:rPr>
          <w:rFonts w:ascii="宋体" w:hAnsi="宋体"/>
          <w:bCs/>
          <w:sz w:val="24"/>
        </w:rPr>
      </w:pPr>
    </w:p>
    <w:p w14:paraId="70EE5BBE">
      <w:pPr>
        <w:overflowPunct w:val="0"/>
        <w:autoSpaceDE w:val="0"/>
        <w:autoSpaceDN w:val="0"/>
        <w:adjustRightInd w:val="0"/>
        <w:snapToGrid w:val="0"/>
        <w:spacing w:line="720" w:lineRule="exact"/>
        <w:ind w:firstLine="482" w:firstLineChars="200"/>
        <w:jc w:val="center"/>
        <w:rPr>
          <w:rFonts w:ascii="宋体" w:hAnsi="宋体"/>
          <w:b/>
          <w:bCs/>
          <w:sz w:val="24"/>
        </w:rPr>
      </w:pPr>
    </w:p>
    <w:p w14:paraId="2EBAE839">
      <w:pPr>
        <w:overflowPunct w:val="0"/>
        <w:autoSpaceDE w:val="0"/>
        <w:autoSpaceDN w:val="0"/>
        <w:adjustRightInd w:val="0"/>
        <w:snapToGrid w:val="0"/>
        <w:spacing w:line="720" w:lineRule="exact"/>
        <w:rPr>
          <w:rFonts w:ascii="宋体" w:hAnsi="宋体"/>
          <w:b/>
          <w:bCs/>
          <w:sz w:val="24"/>
        </w:rPr>
      </w:pPr>
    </w:p>
    <w:p w14:paraId="1CDC2537">
      <w:pPr>
        <w:overflowPunct w:val="0"/>
        <w:autoSpaceDE w:val="0"/>
        <w:autoSpaceDN w:val="0"/>
        <w:adjustRightInd w:val="0"/>
        <w:snapToGrid w:val="0"/>
        <w:spacing w:line="720" w:lineRule="exact"/>
        <w:ind w:firstLine="482" w:firstLineChars="200"/>
        <w:jc w:val="center"/>
        <w:rPr>
          <w:rFonts w:ascii="宋体" w:hAnsi="宋体"/>
          <w:b/>
          <w:bCs/>
          <w:sz w:val="24"/>
        </w:rPr>
      </w:pPr>
    </w:p>
    <w:p w14:paraId="3DAA9479">
      <w:pPr>
        <w:overflowPunct w:val="0"/>
        <w:autoSpaceDE w:val="0"/>
        <w:autoSpaceDN w:val="0"/>
        <w:adjustRightInd w:val="0"/>
        <w:snapToGrid w:val="0"/>
        <w:spacing w:line="720" w:lineRule="exact"/>
        <w:ind w:firstLine="482" w:firstLineChars="200"/>
        <w:rPr>
          <w:rFonts w:ascii="宋体" w:hAnsi="宋体"/>
          <w:b/>
          <w:bCs/>
          <w:sz w:val="24"/>
        </w:rPr>
      </w:pPr>
    </w:p>
    <w:p w14:paraId="0072BAC0">
      <w:pPr>
        <w:overflowPunct w:val="0"/>
        <w:autoSpaceDE w:val="0"/>
        <w:autoSpaceDN w:val="0"/>
        <w:adjustRightInd w:val="0"/>
        <w:snapToGrid w:val="0"/>
        <w:spacing w:line="720" w:lineRule="exact"/>
        <w:ind w:left="2168" w:leftChars="137" w:hanging="1880" w:hangingChars="600"/>
        <w:jc w:val="left"/>
        <w:rPr>
          <w:rFonts w:ascii="宋体" w:hAnsi="宋体" w:cs="宋体"/>
          <w:b/>
          <w:bCs/>
          <w:kern w:val="0"/>
          <w:sz w:val="28"/>
          <w:szCs w:val="28"/>
          <w:u w:val="single"/>
          <w:lang w:val="zh-TW"/>
        </w:rPr>
      </w:pPr>
      <w:r>
        <w:rPr>
          <w:rFonts w:hint="eastAsia" w:ascii="宋体" w:hAnsi="宋体"/>
          <w:b/>
          <w:snapToGrid w:val="0"/>
          <w:spacing w:val="-4"/>
          <w:kern w:val="0"/>
          <w:sz w:val="32"/>
          <w:szCs w:val="32"/>
        </w:rPr>
        <w:t>项目名称：</w:t>
      </w:r>
      <w:r>
        <w:rPr>
          <w:rFonts w:hint="eastAsia" w:ascii="宋体" w:hAnsi="宋体" w:cs="宋体"/>
          <w:b/>
          <w:bCs/>
          <w:kern w:val="0"/>
          <w:sz w:val="28"/>
          <w:szCs w:val="28"/>
          <w:u w:val="single"/>
        </w:rPr>
        <w:t xml:space="preserve">                                  </w:t>
      </w:r>
    </w:p>
    <w:p w14:paraId="69406A00">
      <w:pPr>
        <w:overflowPunct w:val="0"/>
        <w:autoSpaceDE w:val="0"/>
        <w:autoSpaceDN w:val="0"/>
        <w:adjustRightInd w:val="0"/>
        <w:snapToGrid w:val="0"/>
        <w:spacing w:line="720" w:lineRule="exact"/>
        <w:ind w:firstLine="313" w:firstLineChars="100"/>
        <w:jc w:val="left"/>
        <w:rPr>
          <w:rFonts w:ascii="宋体" w:hAnsi="宋体" w:cs="宋体"/>
          <w:b/>
          <w:bCs/>
          <w:kern w:val="0"/>
          <w:sz w:val="28"/>
          <w:szCs w:val="28"/>
          <w:u w:val="single"/>
          <w:lang w:val="zh-TW"/>
        </w:rPr>
      </w:pPr>
      <w:r>
        <w:rPr>
          <w:rFonts w:hint="eastAsia" w:ascii="宋体" w:hAnsi="宋体"/>
          <w:b/>
          <w:snapToGrid w:val="0"/>
          <w:spacing w:val="-4"/>
          <w:kern w:val="0"/>
          <w:sz w:val="32"/>
          <w:szCs w:val="32"/>
        </w:rPr>
        <w:t>发包单位：</w:t>
      </w:r>
      <w:r>
        <w:rPr>
          <w:rFonts w:hint="eastAsia" w:ascii="宋体" w:hAnsi="宋体" w:cs="宋体"/>
          <w:b/>
          <w:bCs/>
          <w:kern w:val="0"/>
          <w:sz w:val="28"/>
          <w:szCs w:val="28"/>
          <w:u w:val="single"/>
          <w:lang w:val="zh-TW"/>
        </w:rPr>
        <w:t xml:space="preserve">                                  </w:t>
      </w:r>
    </w:p>
    <w:p w14:paraId="12F923E1">
      <w:pPr>
        <w:overflowPunct w:val="0"/>
        <w:autoSpaceDE w:val="0"/>
        <w:autoSpaceDN w:val="0"/>
        <w:adjustRightInd w:val="0"/>
        <w:snapToGrid w:val="0"/>
        <w:spacing w:line="720" w:lineRule="exact"/>
        <w:ind w:firstLine="313" w:firstLineChars="100"/>
        <w:jc w:val="left"/>
        <w:rPr>
          <w:rFonts w:ascii="宋体" w:hAnsi="宋体"/>
          <w:b/>
          <w:snapToGrid w:val="0"/>
          <w:spacing w:val="-4"/>
          <w:kern w:val="0"/>
          <w:sz w:val="32"/>
          <w:szCs w:val="32"/>
          <w:u w:val="single"/>
        </w:rPr>
      </w:pPr>
      <w:r>
        <w:rPr>
          <w:rFonts w:hint="eastAsia" w:ascii="宋体" w:hAnsi="宋体"/>
          <w:b/>
          <w:snapToGrid w:val="0"/>
          <w:spacing w:val="-4"/>
          <w:kern w:val="0"/>
          <w:sz w:val="32"/>
          <w:szCs w:val="32"/>
          <w:lang w:val="zh-TW"/>
        </w:rPr>
        <w:t>监理单位：</w:t>
      </w:r>
      <w:r>
        <w:rPr>
          <w:rFonts w:hint="eastAsia" w:ascii="宋体" w:hAnsi="宋体" w:cs="宋体"/>
          <w:b/>
          <w:bCs/>
          <w:kern w:val="0"/>
          <w:sz w:val="28"/>
          <w:szCs w:val="28"/>
          <w:u w:val="single"/>
          <w:lang w:val="zh-TW"/>
        </w:rPr>
        <w:t xml:space="preserve">                                  </w:t>
      </w:r>
    </w:p>
    <w:p w14:paraId="665A4EBB">
      <w:pPr>
        <w:overflowPunct w:val="0"/>
        <w:autoSpaceDE w:val="0"/>
        <w:autoSpaceDN w:val="0"/>
        <w:adjustRightInd w:val="0"/>
        <w:snapToGrid w:val="0"/>
        <w:spacing w:line="720" w:lineRule="exact"/>
        <w:ind w:firstLine="624" w:firstLineChars="200"/>
        <w:rPr>
          <w:rFonts w:ascii="宋体" w:hAnsi="宋体"/>
          <w:snapToGrid w:val="0"/>
          <w:spacing w:val="-4"/>
          <w:kern w:val="0"/>
          <w:sz w:val="32"/>
          <w:szCs w:val="32"/>
          <w:u w:val="single"/>
        </w:rPr>
      </w:pPr>
    </w:p>
    <w:p w14:paraId="42AFF5DC">
      <w:pPr>
        <w:overflowPunct w:val="0"/>
        <w:autoSpaceDE w:val="0"/>
        <w:autoSpaceDN w:val="0"/>
        <w:adjustRightInd w:val="0"/>
        <w:snapToGrid w:val="0"/>
        <w:spacing w:line="720" w:lineRule="exact"/>
        <w:rPr>
          <w:rFonts w:ascii="宋体" w:hAnsi="宋体"/>
          <w:snapToGrid w:val="0"/>
          <w:spacing w:val="-4"/>
          <w:kern w:val="0"/>
          <w:sz w:val="32"/>
          <w:szCs w:val="32"/>
        </w:rPr>
      </w:pPr>
    </w:p>
    <w:p w14:paraId="3EA837B3">
      <w:pPr>
        <w:overflowPunct w:val="0"/>
        <w:autoSpaceDE w:val="0"/>
        <w:autoSpaceDN w:val="0"/>
        <w:adjustRightInd w:val="0"/>
        <w:snapToGrid w:val="0"/>
        <w:spacing w:line="720" w:lineRule="exact"/>
        <w:ind w:firstLine="627" w:firstLineChars="200"/>
        <w:rPr>
          <w:rFonts w:ascii="宋体" w:hAnsi="宋体"/>
          <w:b/>
          <w:snapToGrid w:val="0"/>
          <w:spacing w:val="-4"/>
          <w:kern w:val="0"/>
          <w:sz w:val="32"/>
          <w:szCs w:val="32"/>
        </w:rPr>
      </w:pPr>
      <w:r>
        <w:rPr>
          <w:rFonts w:hint="eastAsia" w:ascii="宋体" w:hAnsi="宋体"/>
          <w:b/>
          <w:snapToGrid w:val="0"/>
          <w:spacing w:val="-4"/>
          <w:kern w:val="0"/>
          <w:sz w:val="32"/>
          <w:szCs w:val="32"/>
        </w:rPr>
        <w:t>签订日期：</w:t>
      </w:r>
      <w:r>
        <w:rPr>
          <w:rFonts w:hint="eastAsia" w:ascii="宋体" w:hAnsi="宋体"/>
          <w:b/>
          <w:snapToGrid w:val="0"/>
          <w:spacing w:val="-4"/>
          <w:kern w:val="0"/>
          <w:sz w:val="32"/>
          <w:szCs w:val="32"/>
          <w:u w:val="single"/>
        </w:rPr>
        <w:t xml:space="preserve">      </w:t>
      </w:r>
      <w:r>
        <w:rPr>
          <w:rFonts w:hint="eastAsia" w:ascii="宋体" w:hAnsi="宋体"/>
          <w:b/>
          <w:snapToGrid w:val="0"/>
          <w:spacing w:val="-4"/>
          <w:kern w:val="0"/>
          <w:sz w:val="32"/>
          <w:szCs w:val="32"/>
        </w:rPr>
        <w:t>年</w:t>
      </w:r>
      <w:r>
        <w:rPr>
          <w:rFonts w:hint="eastAsia" w:ascii="宋体" w:hAnsi="宋体"/>
          <w:b/>
          <w:snapToGrid w:val="0"/>
          <w:spacing w:val="-4"/>
          <w:kern w:val="0"/>
          <w:sz w:val="32"/>
          <w:szCs w:val="32"/>
          <w:u w:val="single"/>
        </w:rPr>
        <w:t xml:space="preserve">  </w:t>
      </w:r>
      <w:r>
        <w:rPr>
          <w:rFonts w:ascii="宋体" w:hAnsi="宋体"/>
          <w:b/>
          <w:snapToGrid w:val="0"/>
          <w:spacing w:val="-4"/>
          <w:kern w:val="0"/>
          <w:sz w:val="32"/>
          <w:szCs w:val="32"/>
          <w:u w:val="single"/>
        </w:rPr>
        <w:t xml:space="preserve"> </w:t>
      </w:r>
      <w:r>
        <w:rPr>
          <w:rFonts w:hint="eastAsia" w:ascii="宋体" w:hAnsi="宋体"/>
          <w:b/>
          <w:snapToGrid w:val="0"/>
          <w:spacing w:val="-4"/>
          <w:kern w:val="0"/>
          <w:sz w:val="32"/>
          <w:szCs w:val="32"/>
        </w:rPr>
        <w:t>月</w:t>
      </w:r>
      <w:r>
        <w:rPr>
          <w:rFonts w:hint="eastAsia" w:ascii="宋体" w:hAnsi="宋体"/>
          <w:b/>
          <w:snapToGrid w:val="0"/>
          <w:spacing w:val="-4"/>
          <w:kern w:val="0"/>
          <w:sz w:val="32"/>
          <w:szCs w:val="32"/>
          <w:u w:val="single"/>
        </w:rPr>
        <w:t xml:space="preserve">   </w:t>
      </w:r>
      <w:r>
        <w:rPr>
          <w:rFonts w:hint="eastAsia" w:ascii="宋体" w:hAnsi="宋体"/>
          <w:b/>
          <w:snapToGrid w:val="0"/>
          <w:spacing w:val="-4"/>
          <w:kern w:val="0"/>
          <w:sz w:val="32"/>
          <w:szCs w:val="32"/>
        </w:rPr>
        <w:t>日</w:t>
      </w:r>
    </w:p>
    <w:p w14:paraId="073116E7">
      <w:pPr>
        <w:overflowPunct w:val="0"/>
        <w:autoSpaceDE w:val="0"/>
        <w:autoSpaceDN w:val="0"/>
        <w:adjustRightInd w:val="0"/>
        <w:snapToGrid w:val="0"/>
        <w:spacing w:line="720" w:lineRule="exact"/>
        <w:ind w:firstLine="627" w:firstLineChars="200"/>
        <w:rPr>
          <w:rFonts w:ascii="宋体" w:hAnsi="宋体"/>
          <w:b/>
          <w:bCs/>
          <w:snapToGrid w:val="0"/>
          <w:spacing w:val="-4"/>
          <w:kern w:val="0"/>
          <w:sz w:val="32"/>
          <w:szCs w:val="32"/>
          <w:u w:val="single"/>
        </w:rPr>
      </w:pPr>
      <w:r>
        <w:rPr>
          <w:rFonts w:hint="eastAsia" w:ascii="宋体" w:hAnsi="宋体"/>
          <w:b/>
          <w:snapToGrid w:val="0"/>
          <w:spacing w:val="-4"/>
          <w:kern w:val="0"/>
          <w:sz w:val="32"/>
          <w:szCs w:val="32"/>
        </w:rPr>
        <w:t>签订地点：</w:t>
      </w:r>
      <w:r>
        <w:rPr>
          <w:rFonts w:hint="eastAsia" w:ascii="宋体" w:hAnsi="宋体"/>
          <w:b/>
          <w:bCs/>
          <w:snapToGrid w:val="0"/>
          <w:spacing w:val="-4"/>
          <w:kern w:val="0"/>
          <w:sz w:val="32"/>
          <w:szCs w:val="32"/>
          <w:u w:val="single"/>
        </w:rPr>
        <w:t xml:space="preserve">    重庆市南岸区   </w:t>
      </w:r>
    </w:p>
    <w:p w14:paraId="75DD4B2F">
      <w:pPr>
        <w:pStyle w:val="2"/>
        <w:rPr>
          <w:rFonts w:ascii="宋体" w:hAnsi="宋体"/>
          <w:b/>
          <w:bCs/>
          <w:snapToGrid w:val="0"/>
          <w:spacing w:val="-4"/>
          <w:kern w:val="0"/>
          <w:sz w:val="32"/>
          <w:szCs w:val="32"/>
          <w:u w:val="single"/>
        </w:rPr>
      </w:pPr>
    </w:p>
    <w:p w14:paraId="17581702">
      <w:pPr>
        <w:pStyle w:val="2"/>
      </w:pPr>
    </w:p>
    <w:p w14:paraId="705F41AC">
      <w:pPr>
        <w:tabs>
          <w:tab w:val="left" w:pos="3120"/>
        </w:tabs>
        <w:overflowPunct w:val="0"/>
        <w:autoSpaceDE w:val="0"/>
        <w:autoSpaceDN w:val="0"/>
        <w:adjustRightInd w:val="0"/>
        <w:snapToGrid w:val="0"/>
        <w:spacing w:line="420" w:lineRule="exact"/>
        <w:jc w:val="center"/>
        <w:rPr>
          <w:rFonts w:ascii="宋体" w:hAnsi="宋体"/>
          <w:bCs/>
          <w:sz w:val="32"/>
          <w:szCs w:val="32"/>
        </w:rPr>
      </w:pPr>
    </w:p>
    <w:p w14:paraId="5BABD1AB">
      <w:pPr>
        <w:tabs>
          <w:tab w:val="left" w:pos="3120"/>
        </w:tabs>
        <w:overflowPunct w:val="0"/>
        <w:autoSpaceDE w:val="0"/>
        <w:autoSpaceDN w:val="0"/>
        <w:adjustRightInd w:val="0"/>
        <w:snapToGrid w:val="0"/>
        <w:spacing w:line="420" w:lineRule="exact"/>
        <w:jc w:val="center"/>
        <w:rPr>
          <w:rFonts w:ascii="宋体" w:hAnsi="宋体"/>
          <w:bCs/>
          <w:sz w:val="32"/>
          <w:szCs w:val="32"/>
        </w:rPr>
        <w:sectPr>
          <w:pgSz w:w="11906" w:h="16838"/>
          <w:pgMar w:top="1191" w:right="964" w:bottom="1191" w:left="964" w:header="851" w:footer="992" w:gutter="0"/>
          <w:cols w:space="720" w:num="1"/>
          <w:docGrid w:type="lines" w:linePitch="312" w:charSpace="0"/>
        </w:sectPr>
      </w:pPr>
    </w:p>
    <w:p w14:paraId="06E20A1F">
      <w:pPr>
        <w:tabs>
          <w:tab w:val="left" w:pos="3120"/>
        </w:tabs>
        <w:overflowPunct w:val="0"/>
        <w:autoSpaceDE w:val="0"/>
        <w:autoSpaceDN w:val="0"/>
        <w:adjustRightInd w:val="0"/>
        <w:snapToGrid w:val="0"/>
        <w:spacing w:line="420" w:lineRule="exact"/>
        <w:jc w:val="center"/>
        <w:outlineLvl w:val="0"/>
        <w:rPr>
          <w:rFonts w:ascii="宋体" w:hAnsi="宋体"/>
          <w:bCs/>
          <w:sz w:val="32"/>
          <w:szCs w:val="32"/>
        </w:rPr>
      </w:pPr>
      <w:r>
        <w:rPr>
          <w:rFonts w:hint="eastAsia" w:ascii="宋体" w:hAnsi="宋体"/>
          <w:bCs/>
          <w:sz w:val="32"/>
          <w:szCs w:val="32"/>
        </w:rPr>
        <w:t>第一部分  协议书</w:t>
      </w:r>
    </w:p>
    <w:p w14:paraId="68430DE2">
      <w:pPr>
        <w:overflowPunct w:val="0"/>
        <w:autoSpaceDE w:val="0"/>
        <w:autoSpaceDN w:val="0"/>
        <w:adjustRightInd w:val="0"/>
        <w:snapToGrid w:val="0"/>
        <w:spacing w:line="420" w:lineRule="exact"/>
        <w:ind w:firstLine="422" w:firstLineChars="200"/>
        <w:rPr>
          <w:rFonts w:ascii="宋体" w:hAnsi="宋体"/>
          <w:b/>
          <w:szCs w:val="21"/>
        </w:rPr>
      </w:pPr>
      <w:r>
        <w:rPr>
          <w:rFonts w:hint="eastAsia" w:ascii="宋体" w:hAnsi="宋体"/>
          <w:b/>
          <w:szCs w:val="21"/>
        </w:rPr>
        <w:t>委托人（全称）：</w:t>
      </w:r>
      <w:r>
        <w:rPr>
          <w:rFonts w:hint="eastAsia" w:ascii="宋体" w:hAnsi="宋体"/>
          <w:b/>
          <w:szCs w:val="21"/>
          <w:u w:val="single"/>
        </w:rPr>
        <w:t xml:space="preserve"> </w:t>
      </w:r>
      <w:r>
        <w:rPr>
          <w:rFonts w:hint="eastAsia" w:ascii="宋体" w:hAnsi="宋体" w:cs="宋体"/>
          <w:kern w:val="0"/>
          <w:szCs w:val="21"/>
          <w:u w:val="single"/>
        </w:rPr>
        <w:t xml:space="preserve">                      </w:t>
      </w:r>
      <w:r>
        <w:rPr>
          <w:rFonts w:hint="eastAsia" w:ascii="宋体" w:hAnsi="宋体"/>
          <w:bCs/>
          <w:szCs w:val="21"/>
          <w:u w:val="single"/>
        </w:rPr>
        <w:t xml:space="preserve">  </w:t>
      </w:r>
    </w:p>
    <w:p w14:paraId="5C9D7ABF">
      <w:pPr>
        <w:overflowPunct w:val="0"/>
        <w:autoSpaceDE w:val="0"/>
        <w:autoSpaceDN w:val="0"/>
        <w:adjustRightInd w:val="0"/>
        <w:snapToGrid w:val="0"/>
        <w:spacing w:line="420" w:lineRule="exact"/>
        <w:ind w:firstLine="422" w:firstLineChars="200"/>
        <w:rPr>
          <w:rFonts w:ascii="宋体" w:hAnsi="宋体"/>
          <w:szCs w:val="21"/>
        </w:rPr>
      </w:pPr>
      <w:r>
        <w:rPr>
          <w:rFonts w:hint="eastAsia" w:ascii="宋体" w:hAnsi="宋体"/>
          <w:b/>
          <w:szCs w:val="21"/>
        </w:rPr>
        <w:t>监理人（全称）：</w:t>
      </w:r>
      <w:r>
        <w:rPr>
          <w:rFonts w:hint="eastAsia" w:ascii="宋体" w:hAnsi="宋体"/>
          <w:b/>
          <w:szCs w:val="21"/>
          <w:u w:val="single"/>
        </w:rPr>
        <w:t xml:space="preserve">                        </w:t>
      </w:r>
      <w:r>
        <w:rPr>
          <w:rFonts w:hint="eastAsia" w:ascii="宋体" w:hAnsi="宋体"/>
          <w:szCs w:val="21"/>
          <w:u w:val="single"/>
        </w:rPr>
        <w:t xml:space="preserve"> </w:t>
      </w:r>
    </w:p>
    <w:p w14:paraId="6CB75327">
      <w:pPr>
        <w:overflowPunct w:val="0"/>
        <w:autoSpaceDE w:val="0"/>
        <w:autoSpaceDN w:val="0"/>
        <w:adjustRightInd w:val="0"/>
        <w:snapToGrid w:val="0"/>
        <w:spacing w:line="420" w:lineRule="exact"/>
        <w:ind w:firstLine="420" w:firstLineChars="200"/>
        <w:rPr>
          <w:rFonts w:ascii="宋体" w:hAnsi="宋体"/>
          <w:szCs w:val="21"/>
          <w:u w:val="single"/>
        </w:rPr>
      </w:pPr>
      <w:r>
        <w:rPr>
          <w:rFonts w:hint="eastAsia" w:ascii="宋体" w:hAnsi="宋体"/>
          <w:szCs w:val="21"/>
        </w:rPr>
        <w:t>根据《中华人民共和国民法典》、《中华人民共和国建筑法》及其他有关法律、法规，遵循平等、自愿、公平和诚信的原则，双方就下述工程委托监理与相关服务事项协商一致，订立本合同。</w:t>
      </w:r>
    </w:p>
    <w:p w14:paraId="310B4135">
      <w:pPr>
        <w:overflowPunct w:val="0"/>
        <w:autoSpaceDE w:val="0"/>
        <w:autoSpaceDN w:val="0"/>
        <w:adjustRightInd w:val="0"/>
        <w:snapToGrid w:val="0"/>
        <w:spacing w:line="420" w:lineRule="exact"/>
        <w:ind w:firstLine="422" w:firstLineChars="200"/>
        <w:rPr>
          <w:rFonts w:ascii="宋体" w:hAnsi="宋体"/>
          <w:b/>
          <w:szCs w:val="21"/>
        </w:rPr>
      </w:pPr>
      <w:r>
        <w:rPr>
          <w:rFonts w:hint="eastAsia" w:ascii="宋体" w:hAnsi="宋体"/>
          <w:b/>
          <w:szCs w:val="21"/>
        </w:rPr>
        <w:t>一、工程概况</w:t>
      </w:r>
    </w:p>
    <w:p w14:paraId="38ED8DF7">
      <w:pPr>
        <w:overflowPunct w:val="0"/>
        <w:autoSpaceDE w:val="0"/>
        <w:autoSpaceDN w:val="0"/>
        <w:adjustRightInd w:val="0"/>
        <w:snapToGrid w:val="0"/>
        <w:spacing w:line="420" w:lineRule="exact"/>
        <w:ind w:left="1890" w:leftChars="200" w:hanging="1470" w:hangingChars="700"/>
        <w:rPr>
          <w:rFonts w:ascii="宋体" w:hAnsi="宋体" w:cs="宋体"/>
          <w:b/>
          <w:bCs/>
          <w:kern w:val="0"/>
          <w:szCs w:val="21"/>
          <w:u w:val="single"/>
          <w:lang w:val="zh-TW"/>
        </w:rPr>
      </w:pPr>
      <w:r>
        <w:rPr>
          <w:rFonts w:hint="eastAsia" w:ascii="宋体" w:hAnsi="宋体"/>
          <w:szCs w:val="21"/>
        </w:rPr>
        <w:t>1. 工程名称：</w:t>
      </w:r>
      <w:r>
        <w:rPr>
          <w:rFonts w:hint="eastAsia" w:ascii="宋体" w:hAnsi="宋体" w:cs="宋体"/>
          <w:b/>
          <w:bCs/>
          <w:kern w:val="0"/>
          <w:szCs w:val="21"/>
          <w:u w:val="single"/>
        </w:rPr>
        <w:t xml:space="preserve">                              </w:t>
      </w:r>
    </w:p>
    <w:p w14:paraId="5DC127BE">
      <w:pPr>
        <w:overflowPunct w:val="0"/>
        <w:autoSpaceDE w:val="0"/>
        <w:autoSpaceDN w:val="0"/>
        <w:adjustRightInd w:val="0"/>
        <w:snapToGrid w:val="0"/>
        <w:spacing w:line="420" w:lineRule="exact"/>
        <w:ind w:firstLine="420" w:firstLineChars="200"/>
        <w:rPr>
          <w:rFonts w:ascii="宋体" w:hAnsi="宋体" w:cs="宋体"/>
          <w:b/>
          <w:bCs/>
          <w:kern w:val="0"/>
          <w:szCs w:val="21"/>
          <w:u w:val="single"/>
          <w:lang w:val="zh-TW"/>
        </w:rPr>
      </w:pPr>
      <w:r>
        <w:rPr>
          <w:rFonts w:hint="eastAsia" w:ascii="宋体" w:hAnsi="宋体"/>
          <w:szCs w:val="21"/>
        </w:rPr>
        <w:t>2. 工程地点：</w:t>
      </w:r>
      <w:r>
        <w:rPr>
          <w:rFonts w:hint="eastAsia" w:ascii="宋体" w:hAnsi="宋体" w:cs="宋体"/>
          <w:b/>
          <w:bCs/>
          <w:kern w:val="0"/>
          <w:szCs w:val="21"/>
          <w:u w:val="single"/>
          <w:lang w:val="zh-TW"/>
        </w:rPr>
        <w:t xml:space="preserve">                              </w:t>
      </w:r>
    </w:p>
    <w:p w14:paraId="5D246140">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szCs w:val="21"/>
        </w:rPr>
        <w:t>3. 工程规模：</w:t>
      </w:r>
      <w:r>
        <w:rPr>
          <w:rFonts w:hint="eastAsia" w:ascii="宋体" w:hAnsi="宋体" w:cs="宋体"/>
          <w:b/>
          <w:bCs/>
          <w:kern w:val="0"/>
          <w:szCs w:val="21"/>
          <w:u w:val="single"/>
          <w:lang w:val="zh-TW"/>
        </w:rPr>
        <w:t xml:space="preserve">                             </w:t>
      </w:r>
      <w:r>
        <w:rPr>
          <w:rFonts w:hint="eastAsia" w:ascii="宋体" w:hAnsi="宋体"/>
          <w:szCs w:val="21"/>
        </w:rPr>
        <w:t>；</w:t>
      </w:r>
    </w:p>
    <w:p w14:paraId="30BBA166">
      <w:pPr>
        <w:overflowPunct w:val="0"/>
        <w:autoSpaceDE w:val="0"/>
        <w:autoSpaceDN w:val="0"/>
        <w:adjustRightInd w:val="0"/>
        <w:snapToGrid w:val="0"/>
        <w:spacing w:line="420" w:lineRule="exact"/>
        <w:ind w:firstLine="420" w:firstLineChars="200"/>
        <w:jc w:val="left"/>
        <w:rPr>
          <w:rFonts w:ascii="宋体" w:hAnsi="宋体"/>
          <w:szCs w:val="21"/>
        </w:rPr>
      </w:pPr>
      <w:r>
        <w:rPr>
          <w:rFonts w:hint="eastAsia" w:ascii="宋体" w:hAnsi="宋体"/>
          <w:szCs w:val="21"/>
        </w:rPr>
        <w:t>4. 工程</w:t>
      </w:r>
      <w:r>
        <w:rPr>
          <w:rFonts w:hint="eastAsia" w:ascii="宋体" w:hAnsi="宋体"/>
          <w:kern w:val="0"/>
          <w:szCs w:val="21"/>
        </w:rPr>
        <w:t>概算投资</w:t>
      </w:r>
      <w:r>
        <w:rPr>
          <w:rFonts w:hint="eastAsia" w:ascii="宋体" w:hAnsi="宋体" w:cs="宋体"/>
          <w:kern w:val="0"/>
          <w:szCs w:val="21"/>
        </w:rPr>
        <w:t>额或建筑安装工程费</w:t>
      </w:r>
      <w:r>
        <w:rPr>
          <w:rFonts w:hint="eastAsia" w:ascii="宋体" w:hAnsi="宋体"/>
          <w:szCs w:val="21"/>
        </w:rPr>
        <w:t>：</w:t>
      </w:r>
      <w:r>
        <w:rPr>
          <w:rFonts w:hint="eastAsia" w:ascii="宋体" w:hAnsi="宋体" w:cs="宋体"/>
          <w:b/>
          <w:bCs/>
          <w:kern w:val="0"/>
          <w:szCs w:val="21"/>
          <w:u w:val="single"/>
          <w:lang w:val="zh-TW"/>
        </w:rPr>
        <w:t xml:space="preserve">       </w:t>
      </w:r>
      <w:r>
        <w:rPr>
          <w:rFonts w:hint="eastAsia" w:ascii="宋体" w:hAnsi="宋体" w:cs="宋体"/>
          <w:b/>
          <w:bCs/>
          <w:kern w:val="0"/>
          <w:szCs w:val="21"/>
          <w:lang w:val="zh-TW"/>
        </w:rPr>
        <w:t>。</w:t>
      </w:r>
    </w:p>
    <w:p w14:paraId="7A81A3A2">
      <w:pPr>
        <w:overflowPunct w:val="0"/>
        <w:autoSpaceDE w:val="0"/>
        <w:autoSpaceDN w:val="0"/>
        <w:adjustRightInd w:val="0"/>
        <w:snapToGrid w:val="0"/>
        <w:spacing w:line="420" w:lineRule="exact"/>
        <w:ind w:firstLine="422" w:firstLineChars="200"/>
        <w:rPr>
          <w:rFonts w:ascii="宋体" w:hAnsi="宋体"/>
          <w:b/>
          <w:szCs w:val="21"/>
        </w:rPr>
      </w:pPr>
      <w:r>
        <w:rPr>
          <w:rFonts w:hint="eastAsia" w:ascii="宋体" w:hAnsi="宋体"/>
          <w:b/>
          <w:szCs w:val="21"/>
        </w:rPr>
        <w:t>二、词语限定</w:t>
      </w:r>
    </w:p>
    <w:p w14:paraId="461D9984">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szCs w:val="21"/>
        </w:rPr>
        <w:t>协议书中相关词语的含义与通用条件中的定义与解释相同。</w:t>
      </w:r>
    </w:p>
    <w:p w14:paraId="4345BA58">
      <w:pPr>
        <w:overflowPunct w:val="0"/>
        <w:autoSpaceDE w:val="0"/>
        <w:autoSpaceDN w:val="0"/>
        <w:adjustRightInd w:val="0"/>
        <w:snapToGrid w:val="0"/>
        <w:spacing w:line="420" w:lineRule="exact"/>
        <w:ind w:firstLine="422" w:firstLineChars="200"/>
        <w:rPr>
          <w:rFonts w:ascii="宋体" w:hAnsi="宋体"/>
          <w:b/>
          <w:szCs w:val="21"/>
        </w:rPr>
      </w:pPr>
      <w:r>
        <w:rPr>
          <w:rFonts w:hint="eastAsia" w:ascii="宋体" w:hAnsi="宋体"/>
          <w:b/>
          <w:szCs w:val="21"/>
        </w:rPr>
        <w:t>三、组成本合同的文件</w:t>
      </w:r>
    </w:p>
    <w:p w14:paraId="1EA89464">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szCs w:val="21"/>
        </w:rPr>
        <w:t>1. 协议书；</w:t>
      </w:r>
    </w:p>
    <w:p w14:paraId="17AFAD04">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szCs w:val="21"/>
        </w:rPr>
        <w:t>2. 招标文件或比选文件（包括但不限于本工程的招标或比选文件、图纸、其他技术资料及招标人发出的对招标或比选文件所作的澄清、修改、补遗等资料）（若有）；</w:t>
      </w:r>
    </w:p>
    <w:p w14:paraId="0F0EE32D">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szCs w:val="21"/>
        </w:rPr>
        <w:t>3.中选通知书（适用于招标工程）或委托书（适用于非招标工程）；</w:t>
      </w:r>
    </w:p>
    <w:p w14:paraId="6B908158">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szCs w:val="21"/>
        </w:rPr>
        <w:t>4. 竞选文件（适用于招标工程）或监理与相关服务建议书（适用于非招标工程）；</w:t>
      </w:r>
    </w:p>
    <w:p w14:paraId="2A542C72">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szCs w:val="21"/>
        </w:rPr>
        <w:t>5. 专用条件；</w:t>
      </w:r>
    </w:p>
    <w:p w14:paraId="5572106E">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szCs w:val="21"/>
        </w:rPr>
        <w:t>6. 通用条件；</w:t>
      </w:r>
    </w:p>
    <w:p w14:paraId="269E5EE4">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szCs w:val="21"/>
        </w:rPr>
        <w:t>7. 附录，即：</w:t>
      </w:r>
    </w:p>
    <w:p w14:paraId="3B6E31BF">
      <w:pPr>
        <w:overflowPunct w:val="0"/>
        <w:autoSpaceDE w:val="0"/>
        <w:autoSpaceDN w:val="0"/>
        <w:adjustRightInd w:val="0"/>
        <w:snapToGrid w:val="0"/>
        <w:spacing w:line="420" w:lineRule="exact"/>
        <w:ind w:firstLine="420" w:firstLineChars="200"/>
        <w:rPr>
          <w:rFonts w:ascii="宋体" w:hAnsi="宋体"/>
          <w:szCs w:val="21"/>
        </w:rPr>
      </w:pPr>
      <w:bookmarkStart w:id="692" w:name="_Hlk88038364"/>
      <w:r>
        <w:rPr>
          <w:rFonts w:hint="eastAsia" w:ascii="宋体" w:hAnsi="宋体"/>
          <w:szCs w:val="21"/>
        </w:rPr>
        <w:t>附录1  相关服务的范围和内容；</w:t>
      </w:r>
    </w:p>
    <w:p w14:paraId="3248BA55">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szCs w:val="21"/>
        </w:rPr>
        <w:t>附录2  委托人派遣的人员和提供的</w:t>
      </w:r>
      <w:r>
        <w:rPr>
          <w:rFonts w:hint="eastAsia" w:ascii="宋体" w:hAnsi="宋体"/>
          <w:bCs/>
          <w:szCs w:val="21"/>
        </w:rPr>
        <w:t>房屋、资料</w:t>
      </w:r>
      <w:r>
        <w:rPr>
          <w:rFonts w:hint="eastAsia" w:ascii="宋体" w:hAnsi="宋体"/>
          <w:szCs w:val="21"/>
        </w:rPr>
        <w:t>、设备；</w:t>
      </w:r>
    </w:p>
    <w:p w14:paraId="0BE5AABC">
      <w:pPr>
        <w:overflowPunct w:val="0"/>
        <w:autoSpaceDE w:val="0"/>
        <w:autoSpaceDN w:val="0"/>
        <w:adjustRightInd w:val="0"/>
        <w:snapToGrid w:val="0"/>
        <w:spacing w:line="420" w:lineRule="exact"/>
        <w:ind w:firstLine="420" w:firstLineChars="200"/>
        <w:rPr>
          <w:rFonts w:ascii="宋体" w:hAnsi="宋体"/>
          <w:b/>
          <w:szCs w:val="21"/>
        </w:rPr>
      </w:pPr>
      <w:r>
        <w:rPr>
          <w:rFonts w:hint="eastAsia" w:ascii="宋体" w:hAnsi="宋体"/>
          <w:szCs w:val="21"/>
        </w:rPr>
        <w:t xml:space="preserve">附录3  </w:t>
      </w:r>
      <w:r>
        <w:rPr>
          <w:rFonts w:ascii="宋体" w:hAnsi="宋体"/>
          <w:szCs w:val="21"/>
        </w:rPr>
        <w:t>工程建设项目监理管理要求</w:t>
      </w:r>
      <w:r>
        <w:rPr>
          <w:rFonts w:hint="eastAsia" w:ascii="宋体" w:hAnsi="宋体"/>
          <w:szCs w:val="21"/>
        </w:rPr>
        <w:t>；</w:t>
      </w:r>
    </w:p>
    <w:p w14:paraId="2A3C0DED">
      <w:pPr>
        <w:pStyle w:val="2"/>
        <w:ind w:firstLine="400" w:firstLineChars="200"/>
        <w:rPr>
          <w:rFonts w:ascii="宋体" w:hAnsi="宋体"/>
          <w:caps w:val="0"/>
          <w:sz w:val="21"/>
          <w:szCs w:val="21"/>
        </w:rPr>
      </w:pPr>
      <w:r>
        <w:rPr>
          <w:rFonts w:hint="eastAsia"/>
        </w:rPr>
        <w:t xml:space="preserve">附录4  </w:t>
      </w:r>
      <w:r>
        <w:rPr>
          <w:rFonts w:hint="eastAsia" w:ascii="宋体" w:hAnsi="宋体"/>
          <w:caps w:val="0"/>
          <w:sz w:val="21"/>
          <w:szCs w:val="21"/>
        </w:rPr>
        <w:t>现场负责人员名单；</w:t>
      </w:r>
    </w:p>
    <w:p w14:paraId="1AE29E89">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szCs w:val="21"/>
        </w:rPr>
        <w:t>附录5  廉政责任书；</w:t>
      </w:r>
    </w:p>
    <w:p w14:paraId="567F090B">
      <w:pPr>
        <w:overflowPunct w:val="0"/>
        <w:autoSpaceDE w:val="0"/>
        <w:autoSpaceDN w:val="0"/>
        <w:adjustRightInd w:val="0"/>
        <w:snapToGrid w:val="0"/>
        <w:spacing w:line="420" w:lineRule="exact"/>
        <w:ind w:firstLine="420" w:firstLineChars="200"/>
        <w:jc w:val="left"/>
        <w:rPr>
          <w:rFonts w:ascii="宋体" w:hAnsi="宋体"/>
          <w:szCs w:val="21"/>
        </w:rPr>
      </w:pPr>
      <w:r>
        <w:rPr>
          <w:rFonts w:hint="eastAsia" w:ascii="宋体" w:hAnsi="宋体"/>
          <w:szCs w:val="21"/>
        </w:rPr>
        <w:t xml:space="preserve">附录6  </w:t>
      </w:r>
      <w:r>
        <w:rPr>
          <w:rFonts w:ascii="宋体" w:hAnsi="宋体"/>
          <w:szCs w:val="21"/>
        </w:rPr>
        <w:t>建设项目安全生产管理办法</w:t>
      </w:r>
      <w:r>
        <w:rPr>
          <w:rFonts w:hint="eastAsia" w:ascii="宋体" w:hAnsi="宋体"/>
          <w:szCs w:val="21"/>
        </w:rPr>
        <w:t>；</w:t>
      </w:r>
    </w:p>
    <w:p w14:paraId="6093D4AE">
      <w:pPr>
        <w:overflowPunct w:val="0"/>
        <w:autoSpaceDE w:val="0"/>
        <w:autoSpaceDN w:val="0"/>
        <w:adjustRightInd w:val="0"/>
        <w:snapToGrid w:val="0"/>
        <w:spacing w:line="420" w:lineRule="exact"/>
        <w:ind w:firstLine="420" w:firstLineChars="200"/>
        <w:rPr>
          <w:rFonts w:ascii="宋体" w:hAnsi="宋体" w:cs="宋体"/>
        </w:rPr>
      </w:pPr>
      <w:r>
        <w:rPr>
          <w:rFonts w:hint="eastAsia" w:ascii="宋体" w:hAnsi="宋体" w:cs="宋体"/>
          <w:szCs w:val="21"/>
        </w:rPr>
        <w:t>附录7-1  公司安全生产违约处罚标准；</w:t>
      </w:r>
    </w:p>
    <w:p w14:paraId="68BD4855">
      <w:pPr>
        <w:overflowPunct w:val="0"/>
        <w:autoSpaceDE w:val="0"/>
        <w:autoSpaceDN w:val="0"/>
        <w:adjustRightInd w:val="0"/>
        <w:snapToGrid w:val="0"/>
        <w:spacing w:line="420" w:lineRule="exact"/>
        <w:ind w:firstLine="420" w:firstLineChars="200"/>
      </w:pPr>
      <w:r>
        <w:rPr>
          <w:rFonts w:hint="eastAsia" w:ascii="宋体" w:hAnsi="宋体" w:cs="宋体"/>
        </w:rPr>
        <w:t xml:space="preserve">附录7-2  </w:t>
      </w:r>
      <w:r>
        <w:rPr>
          <w:rFonts w:hint="eastAsia" w:ascii="宋体" w:hAnsi="宋体" w:cs="宋体"/>
          <w:szCs w:val="21"/>
        </w:rPr>
        <w:t>安全生产承诺书。</w:t>
      </w:r>
    </w:p>
    <w:bookmarkEnd w:id="692"/>
    <w:p w14:paraId="46CEAF6F">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szCs w:val="21"/>
        </w:rPr>
        <w:t>本合同签订后，双方依法签订的补充协议与修正文件也是本合同文件的组成部分。</w:t>
      </w:r>
    </w:p>
    <w:p w14:paraId="62E1B35F">
      <w:pPr>
        <w:overflowPunct w:val="0"/>
        <w:autoSpaceDE w:val="0"/>
        <w:autoSpaceDN w:val="0"/>
        <w:adjustRightInd w:val="0"/>
        <w:snapToGrid w:val="0"/>
        <w:spacing w:line="420" w:lineRule="exact"/>
        <w:ind w:firstLine="422" w:firstLineChars="200"/>
        <w:rPr>
          <w:rFonts w:ascii="宋体" w:hAnsi="宋体"/>
          <w:b/>
          <w:szCs w:val="21"/>
        </w:rPr>
      </w:pPr>
      <w:r>
        <w:rPr>
          <w:rFonts w:hint="eastAsia" w:ascii="宋体" w:hAnsi="宋体"/>
          <w:b/>
          <w:szCs w:val="21"/>
        </w:rPr>
        <w:t>四、总监理工程师</w:t>
      </w:r>
    </w:p>
    <w:p w14:paraId="42C54350">
      <w:pPr>
        <w:overflowPunct w:val="0"/>
        <w:autoSpaceDE w:val="0"/>
        <w:autoSpaceDN w:val="0"/>
        <w:adjustRightInd w:val="0"/>
        <w:snapToGrid w:val="0"/>
        <w:spacing w:line="420" w:lineRule="exact"/>
        <w:ind w:firstLine="420" w:firstLineChars="200"/>
        <w:rPr>
          <w:rFonts w:ascii="宋体" w:hAnsi="宋体"/>
          <w:kern w:val="0"/>
          <w:szCs w:val="21"/>
        </w:rPr>
      </w:pPr>
      <w:r>
        <w:rPr>
          <w:rFonts w:hint="eastAsia" w:ascii="宋体" w:hAnsi="宋体"/>
          <w:kern w:val="0"/>
          <w:szCs w:val="21"/>
        </w:rPr>
        <w:t>总监理工程师姓名：</w:t>
      </w:r>
      <w:r>
        <w:rPr>
          <w:rFonts w:hint="eastAsia" w:ascii="宋体" w:hAnsi="宋体"/>
          <w:kern w:val="0"/>
          <w:szCs w:val="21"/>
          <w:u w:val="single"/>
        </w:rPr>
        <w:t xml:space="preserve">       </w:t>
      </w:r>
      <w:r>
        <w:rPr>
          <w:rFonts w:hint="eastAsia" w:ascii="宋体" w:hAnsi="宋体"/>
          <w:kern w:val="0"/>
          <w:szCs w:val="21"/>
        </w:rPr>
        <w:t>，身份证号码：</w:t>
      </w:r>
      <w:r>
        <w:rPr>
          <w:rFonts w:hint="eastAsia" w:ascii="宋体" w:hAnsi="宋体"/>
          <w:kern w:val="0"/>
          <w:szCs w:val="21"/>
          <w:u w:val="single"/>
        </w:rPr>
        <w:t xml:space="preserve">        </w:t>
      </w:r>
      <w:r>
        <w:rPr>
          <w:rFonts w:hint="eastAsia" w:ascii="宋体" w:hAnsi="宋体"/>
          <w:kern w:val="0"/>
          <w:szCs w:val="21"/>
        </w:rPr>
        <w:t>，注册号：</w:t>
      </w:r>
      <w:r>
        <w:rPr>
          <w:rFonts w:hint="eastAsia" w:ascii="宋体" w:hAnsi="宋体"/>
          <w:kern w:val="0"/>
          <w:szCs w:val="21"/>
          <w:u w:val="single"/>
        </w:rPr>
        <w:t xml:space="preserve">         </w:t>
      </w:r>
      <w:r>
        <w:rPr>
          <w:rFonts w:hint="eastAsia" w:ascii="宋体" w:hAnsi="宋体"/>
          <w:kern w:val="0"/>
          <w:szCs w:val="21"/>
        </w:rPr>
        <w:t>，电话号码：</w:t>
      </w:r>
      <w:r>
        <w:rPr>
          <w:rFonts w:hint="eastAsia" w:ascii="宋体" w:hAnsi="宋体"/>
          <w:kern w:val="0"/>
          <w:szCs w:val="21"/>
          <w:u w:val="single"/>
        </w:rPr>
        <w:t xml:space="preserve">        </w:t>
      </w:r>
      <w:r>
        <w:rPr>
          <w:rFonts w:hint="eastAsia" w:ascii="宋体" w:hAnsi="宋体"/>
          <w:kern w:val="0"/>
          <w:szCs w:val="21"/>
        </w:rPr>
        <w:t>。未经委托人同意，监理人不得擅自更换总监理工程师，否则视为其违约，委托人有权解除本合同，监理人按照本合同约定签约酬金的30%向委托人承担违约金。</w:t>
      </w:r>
    </w:p>
    <w:p w14:paraId="76365564">
      <w:pPr>
        <w:overflowPunct w:val="0"/>
        <w:autoSpaceDE w:val="0"/>
        <w:autoSpaceDN w:val="0"/>
        <w:adjustRightInd w:val="0"/>
        <w:snapToGrid w:val="0"/>
        <w:spacing w:line="420" w:lineRule="exact"/>
        <w:ind w:firstLine="422" w:firstLineChars="200"/>
        <w:rPr>
          <w:rFonts w:ascii="宋体" w:hAnsi="宋体"/>
          <w:b/>
          <w:szCs w:val="21"/>
        </w:rPr>
      </w:pPr>
      <w:r>
        <w:rPr>
          <w:rFonts w:hint="eastAsia" w:ascii="宋体" w:hAnsi="宋体"/>
          <w:b/>
          <w:szCs w:val="21"/>
        </w:rPr>
        <w:t>五、签约酬金</w:t>
      </w:r>
    </w:p>
    <w:p w14:paraId="6E8EAE3E">
      <w:pPr>
        <w:widowControl/>
        <w:spacing w:line="400" w:lineRule="exact"/>
        <w:ind w:firstLine="420" w:firstLineChars="200"/>
        <w:jc w:val="left"/>
        <w:rPr>
          <w:rFonts w:ascii="宋体" w:hAnsi="宋体"/>
          <w:b/>
          <w:kern w:val="0"/>
          <w:szCs w:val="21"/>
        </w:rPr>
      </w:pPr>
      <w:r>
        <w:rPr>
          <w:rFonts w:hint="eastAsia" w:ascii="宋体" w:hAnsi="宋体"/>
          <w:szCs w:val="21"/>
        </w:rPr>
        <w:t>签约酬金（大写）：</w:t>
      </w:r>
      <w:r>
        <w:rPr>
          <w:rFonts w:hint="eastAsia" w:ascii="宋体" w:hAnsi="宋体"/>
          <w:szCs w:val="21"/>
          <w:u w:val="single"/>
        </w:rPr>
        <w:t xml:space="preserve">         </w:t>
      </w:r>
      <w:r>
        <w:rPr>
          <w:rFonts w:hint="eastAsia" w:ascii="宋体" w:hAnsi="宋体"/>
          <w:szCs w:val="21"/>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szCs w:val="21"/>
        </w:rPr>
        <w:t>元），中标费率/签约费率：</w:t>
      </w:r>
      <w:r>
        <w:rPr>
          <w:rFonts w:hint="eastAsia" w:ascii="宋体" w:hAnsi="宋体"/>
          <w:szCs w:val="21"/>
          <w:u w:val="single"/>
        </w:rPr>
        <w:t xml:space="preserve"> </w:t>
      </w:r>
      <w:r>
        <w:rPr>
          <w:rFonts w:hint="eastAsia" w:ascii="宋体" w:hAnsi="宋体" w:cs="宋体"/>
          <w:sz w:val="24"/>
          <w:u w:val="single"/>
        </w:rPr>
        <w:t xml:space="preserve">     </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税率      %</w:t>
      </w:r>
      <w:r>
        <w:rPr>
          <w:rFonts w:hint="eastAsia" w:ascii="宋体" w:hAnsi="宋体"/>
          <w:szCs w:val="21"/>
        </w:rPr>
        <w:t>。</w:t>
      </w:r>
      <w:r>
        <w:rPr>
          <w:rFonts w:hint="eastAsia" w:ascii="宋体" w:hAnsi="宋体"/>
          <w:kern w:val="0"/>
          <w:szCs w:val="21"/>
        </w:rPr>
        <w:t>以最终审定建筑安装工程费的金额乘以中标费率</w:t>
      </w:r>
      <w:r>
        <w:rPr>
          <w:rFonts w:hint="eastAsia" w:ascii="宋体" w:hAnsi="宋体"/>
          <w:szCs w:val="21"/>
        </w:rPr>
        <w:t>/签约费率</w:t>
      </w:r>
      <w:r>
        <w:rPr>
          <w:rFonts w:hint="eastAsia" w:ascii="宋体" w:hAnsi="宋体"/>
          <w:kern w:val="0"/>
          <w:szCs w:val="21"/>
        </w:rPr>
        <w:t>做最终结算值，</w:t>
      </w:r>
      <w:r>
        <w:rPr>
          <w:rFonts w:hint="eastAsia" w:ascii="宋体" w:hAnsi="宋体"/>
          <w:b/>
          <w:kern w:val="0"/>
          <w:szCs w:val="21"/>
        </w:rPr>
        <w:t>且结算金额不超过签约金额。</w:t>
      </w:r>
    </w:p>
    <w:p w14:paraId="29DA6FAE">
      <w:pPr>
        <w:overflowPunct w:val="0"/>
        <w:autoSpaceDE w:val="0"/>
        <w:autoSpaceDN w:val="0"/>
        <w:adjustRightInd w:val="0"/>
        <w:snapToGrid w:val="0"/>
        <w:spacing w:line="420" w:lineRule="exact"/>
        <w:ind w:firstLine="420" w:firstLineChars="200"/>
        <w:rPr>
          <w:rFonts w:ascii="宋体" w:hAnsi="宋体"/>
          <w:kern w:val="0"/>
          <w:szCs w:val="21"/>
        </w:rPr>
      </w:pPr>
      <w:r>
        <w:rPr>
          <w:rFonts w:hint="eastAsia" w:ascii="宋体" w:hAnsi="宋体"/>
          <w:kern w:val="0"/>
          <w:szCs w:val="21"/>
        </w:rPr>
        <w:t>监理人在履行本合同时，因履行本合同相应人员产生的费用以及房屋等使用所产生的费用由监理人承担。委托人与本合同项目有关的承包人签订合同另有约定按照约定执行。</w:t>
      </w:r>
    </w:p>
    <w:p w14:paraId="3841DE0B">
      <w:pPr>
        <w:overflowPunct w:val="0"/>
        <w:autoSpaceDE w:val="0"/>
        <w:autoSpaceDN w:val="0"/>
        <w:adjustRightInd w:val="0"/>
        <w:snapToGrid w:val="0"/>
        <w:spacing w:line="420" w:lineRule="exact"/>
        <w:ind w:firstLine="420" w:firstLineChars="200"/>
        <w:rPr>
          <w:rFonts w:ascii="宋体" w:hAnsi="宋体"/>
          <w:kern w:val="0"/>
          <w:szCs w:val="21"/>
        </w:rPr>
      </w:pPr>
      <w:r>
        <w:rPr>
          <w:rFonts w:hint="eastAsia" w:ascii="宋体" w:hAnsi="宋体"/>
          <w:kern w:val="0"/>
          <w:szCs w:val="21"/>
        </w:rPr>
        <w:t>本合同所约定的酬金已包括但不限于人员工资、税费、差旅费、保险费、社会保险费用、考察费、成本费、材料费等费用。</w:t>
      </w:r>
    </w:p>
    <w:p w14:paraId="0120898F">
      <w:pPr>
        <w:overflowPunct w:val="0"/>
        <w:autoSpaceDE w:val="0"/>
        <w:autoSpaceDN w:val="0"/>
        <w:adjustRightInd w:val="0"/>
        <w:snapToGrid w:val="0"/>
        <w:spacing w:line="420" w:lineRule="exact"/>
        <w:ind w:firstLine="422" w:firstLineChars="200"/>
        <w:rPr>
          <w:rFonts w:ascii="宋体" w:hAnsi="宋体"/>
          <w:b/>
          <w:szCs w:val="21"/>
        </w:rPr>
      </w:pPr>
      <w:r>
        <w:rPr>
          <w:rFonts w:hint="eastAsia" w:ascii="宋体" w:hAnsi="宋体"/>
          <w:b/>
          <w:szCs w:val="21"/>
        </w:rPr>
        <w:t>六、期限</w:t>
      </w:r>
    </w:p>
    <w:p w14:paraId="394AAD30">
      <w:pPr>
        <w:overflowPunct w:val="0"/>
        <w:autoSpaceDE w:val="0"/>
        <w:autoSpaceDN w:val="0"/>
        <w:adjustRightInd w:val="0"/>
        <w:snapToGrid w:val="0"/>
        <w:spacing w:line="420" w:lineRule="exact"/>
        <w:ind w:firstLine="420" w:firstLineChars="200"/>
        <w:jc w:val="left"/>
        <w:rPr>
          <w:rFonts w:ascii="宋体" w:hAnsi="宋体"/>
          <w:szCs w:val="21"/>
        </w:rPr>
      </w:pPr>
      <w:r>
        <w:rPr>
          <w:rFonts w:hint="eastAsia" w:ascii="宋体" w:hAnsi="宋体"/>
          <w:kern w:val="0"/>
          <w:szCs w:val="21"/>
        </w:rPr>
        <w:t xml:space="preserve">1. </w:t>
      </w:r>
      <w:r>
        <w:rPr>
          <w:rFonts w:hint="eastAsia" w:ascii="宋体" w:hAnsi="宋体"/>
          <w:szCs w:val="21"/>
        </w:rPr>
        <w:t>监理期限：</w:t>
      </w:r>
    </w:p>
    <w:p w14:paraId="348E7BD1">
      <w:pPr>
        <w:overflowPunct w:val="0"/>
        <w:autoSpaceDE w:val="0"/>
        <w:autoSpaceDN w:val="0"/>
        <w:adjustRightInd w:val="0"/>
        <w:snapToGrid w:val="0"/>
        <w:spacing w:line="420" w:lineRule="exact"/>
        <w:ind w:firstLine="420" w:firstLineChars="200"/>
        <w:jc w:val="left"/>
        <w:rPr>
          <w:rFonts w:ascii="宋体" w:hAnsi="宋体"/>
          <w:szCs w:val="21"/>
        </w:rPr>
      </w:pPr>
      <w:r>
        <w:rPr>
          <w:rStyle w:val="47"/>
          <w:rFonts w:ascii="宋体" w:hAnsi="宋体"/>
          <w:szCs w:val="21"/>
        </w:rPr>
        <w:t>自</w:t>
      </w:r>
      <w:r>
        <w:rPr>
          <w:rStyle w:val="47"/>
          <w:rFonts w:ascii="宋体" w:hAnsi="宋体"/>
          <w:szCs w:val="21"/>
          <w:u w:val="single"/>
        </w:rPr>
        <w:t xml:space="preserve"> </w:t>
      </w:r>
      <w:r>
        <w:rPr>
          <w:rStyle w:val="47"/>
          <w:rFonts w:hint="eastAsia" w:ascii="宋体" w:hAnsi="宋体"/>
          <w:szCs w:val="21"/>
          <w:u w:val="single"/>
        </w:rPr>
        <w:t xml:space="preserve"> 开工之日  </w:t>
      </w:r>
      <w:r>
        <w:rPr>
          <w:rStyle w:val="47"/>
          <w:rFonts w:ascii="宋体" w:hAnsi="宋体"/>
          <w:szCs w:val="21"/>
        </w:rPr>
        <w:t>始，至</w:t>
      </w:r>
      <w:r>
        <w:rPr>
          <w:rStyle w:val="47"/>
          <w:rFonts w:hint="eastAsia" w:ascii="宋体" w:hAnsi="宋体"/>
          <w:szCs w:val="21"/>
          <w:u w:val="single"/>
        </w:rPr>
        <w:t>竣工验收及缺陷责任期验收合格之日</w:t>
      </w:r>
      <w:r>
        <w:rPr>
          <w:rStyle w:val="47"/>
          <w:rFonts w:ascii="宋体" w:hAnsi="宋体"/>
          <w:szCs w:val="21"/>
        </w:rPr>
        <w:t>止</w:t>
      </w:r>
      <w:r>
        <w:rPr>
          <w:rFonts w:hint="eastAsia" w:ascii="宋体" w:hAnsi="宋体"/>
          <w:szCs w:val="21"/>
        </w:rPr>
        <w:t>。</w:t>
      </w:r>
    </w:p>
    <w:p w14:paraId="74F71FAC">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kern w:val="0"/>
          <w:szCs w:val="21"/>
        </w:rPr>
        <w:t xml:space="preserve">2. </w:t>
      </w:r>
      <w:r>
        <w:rPr>
          <w:rFonts w:hint="eastAsia" w:ascii="宋体" w:hAnsi="宋体"/>
          <w:szCs w:val="21"/>
        </w:rPr>
        <w:t>相关服务期限：</w:t>
      </w:r>
    </w:p>
    <w:p w14:paraId="1065C6FC">
      <w:pPr>
        <w:snapToGrid w:val="0"/>
        <w:spacing w:line="420" w:lineRule="atLeast"/>
        <w:ind w:firstLine="420" w:firstLineChars="200"/>
        <w:textAlignment w:val="baseline"/>
        <w:rPr>
          <w:rStyle w:val="47"/>
          <w:rFonts w:ascii="宋体" w:hAnsi="宋体"/>
          <w:szCs w:val="21"/>
        </w:rPr>
      </w:pPr>
      <w:r>
        <w:rPr>
          <w:rStyle w:val="47"/>
          <w:rFonts w:ascii="宋体" w:hAnsi="宋体"/>
          <w:kern w:val="0"/>
          <w:szCs w:val="21"/>
        </w:rPr>
        <w:t>（1）保修阶段</w:t>
      </w:r>
      <w:r>
        <w:rPr>
          <w:rStyle w:val="47"/>
          <w:rFonts w:ascii="宋体" w:hAnsi="宋体"/>
          <w:szCs w:val="21"/>
        </w:rPr>
        <w:t>服务期限自</w:t>
      </w:r>
      <w:r>
        <w:rPr>
          <w:rStyle w:val="47"/>
          <w:rFonts w:ascii="宋体" w:hAnsi="宋体"/>
          <w:szCs w:val="21"/>
          <w:u w:val="single"/>
        </w:rPr>
        <w:t xml:space="preserve"> </w:t>
      </w:r>
      <w:r>
        <w:rPr>
          <w:rStyle w:val="47"/>
          <w:rFonts w:hint="eastAsia" w:ascii="宋体" w:hAnsi="宋体"/>
          <w:szCs w:val="21"/>
          <w:u w:val="single"/>
        </w:rPr>
        <w:t>竣工验收或者交付使用之日起</w:t>
      </w:r>
      <w:r>
        <w:rPr>
          <w:rStyle w:val="47"/>
          <w:rFonts w:ascii="宋体" w:hAnsi="宋体"/>
          <w:szCs w:val="21"/>
          <w:u w:val="single"/>
        </w:rPr>
        <w:t xml:space="preserve"> </w:t>
      </w:r>
      <w:r>
        <w:rPr>
          <w:rStyle w:val="47"/>
          <w:rFonts w:ascii="宋体" w:hAnsi="宋体"/>
          <w:szCs w:val="21"/>
        </w:rPr>
        <w:t>至</w:t>
      </w:r>
      <w:r>
        <w:rPr>
          <w:rStyle w:val="47"/>
          <w:rFonts w:hint="eastAsia" w:ascii="宋体" w:hAnsi="宋体"/>
          <w:szCs w:val="21"/>
          <w:u w:val="single"/>
        </w:rPr>
        <w:t>缺陷责任期验收合格之日</w:t>
      </w:r>
      <w:r>
        <w:rPr>
          <w:rStyle w:val="47"/>
          <w:rFonts w:ascii="宋体" w:hAnsi="宋体"/>
          <w:szCs w:val="21"/>
        </w:rPr>
        <w:t>止。</w:t>
      </w:r>
    </w:p>
    <w:p w14:paraId="4990CEB7">
      <w:pPr>
        <w:snapToGrid w:val="0"/>
        <w:spacing w:line="420" w:lineRule="atLeast"/>
        <w:ind w:firstLine="420" w:firstLineChars="200"/>
        <w:textAlignment w:val="baseline"/>
        <w:rPr>
          <w:rFonts w:ascii="宋体" w:hAnsi="宋体"/>
          <w:szCs w:val="21"/>
        </w:rPr>
      </w:pPr>
      <w:r>
        <w:rPr>
          <w:rStyle w:val="47"/>
          <w:rFonts w:ascii="宋体" w:hAnsi="宋体"/>
          <w:kern w:val="0"/>
          <w:szCs w:val="21"/>
        </w:rPr>
        <w:t>（2）</w:t>
      </w:r>
      <w:r>
        <w:rPr>
          <w:rStyle w:val="47"/>
          <w:rFonts w:ascii="宋体" w:hAnsi="宋体"/>
          <w:szCs w:val="21"/>
        </w:rPr>
        <w:t>其他相关服务期限按第</w:t>
      </w:r>
      <w:r>
        <w:rPr>
          <w:rStyle w:val="47"/>
          <w:rFonts w:ascii="宋体" w:hAnsi="宋体"/>
          <w:szCs w:val="21"/>
          <w:u w:val="single" w:color="000000"/>
        </w:rPr>
        <w:t xml:space="preserve"> </w:t>
      </w:r>
      <w:r>
        <w:rPr>
          <w:rStyle w:val="47"/>
          <w:rFonts w:hint="eastAsia" w:ascii="宋体" w:hAnsi="宋体"/>
          <w:szCs w:val="21"/>
          <w:u w:val="single" w:color="000000"/>
        </w:rPr>
        <w:t xml:space="preserve">   </w:t>
      </w:r>
      <w:r>
        <w:rPr>
          <w:rStyle w:val="47"/>
          <w:rFonts w:ascii="宋体" w:hAnsi="宋体"/>
          <w:szCs w:val="21"/>
          <w:u w:val="single" w:color="000000"/>
        </w:rPr>
        <w:t xml:space="preserve"> </w:t>
      </w:r>
      <w:r>
        <w:rPr>
          <w:rStyle w:val="47"/>
          <w:rFonts w:ascii="宋体" w:hAnsi="宋体"/>
          <w:szCs w:val="21"/>
        </w:rPr>
        <w:t>条执行。1、待工程验收备案手续办完后；2、缺陷责任期满后</w:t>
      </w:r>
      <w:r>
        <w:rPr>
          <w:rStyle w:val="47"/>
          <w:rFonts w:ascii="宋体" w:hAnsi="宋体"/>
          <w:kern w:val="0"/>
          <w:szCs w:val="21"/>
        </w:rPr>
        <w:t>。</w:t>
      </w:r>
    </w:p>
    <w:p w14:paraId="472A331F">
      <w:pPr>
        <w:overflowPunct w:val="0"/>
        <w:autoSpaceDE w:val="0"/>
        <w:autoSpaceDN w:val="0"/>
        <w:adjustRightInd w:val="0"/>
        <w:snapToGrid w:val="0"/>
        <w:spacing w:line="420" w:lineRule="exact"/>
        <w:ind w:firstLine="422" w:firstLineChars="200"/>
        <w:rPr>
          <w:rFonts w:ascii="宋体" w:hAnsi="宋体"/>
          <w:b/>
          <w:szCs w:val="21"/>
        </w:rPr>
      </w:pPr>
      <w:r>
        <w:rPr>
          <w:rFonts w:hint="eastAsia" w:ascii="宋体" w:hAnsi="宋体"/>
          <w:b/>
          <w:szCs w:val="21"/>
        </w:rPr>
        <w:t>七、其他</w:t>
      </w:r>
    </w:p>
    <w:p w14:paraId="78CE58C9">
      <w:pPr>
        <w:overflowPunct w:val="0"/>
        <w:autoSpaceDE w:val="0"/>
        <w:autoSpaceDN w:val="0"/>
        <w:adjustRightInd w:val="0"/>
        <w:snapToGrid w:val="0"/>
        <w:spacing w:line="420" w:lineRule="exact"/>
        <w:ind w:firstLine="420" w:firstLineChars="200"/>
        <w:rPr>
          <w:rFonts w:ascii="宋体" w:hAnsi="宋体"/>
          <w:b/>
          <w:szCs w:val="21"/>
        </w:rPr>
      </w:pPr>
      <w:r>
        <w:rPr>
          <w:rStyle w:val="47"/>
          <w:rFonts w:ascii="宋体" w:hAnsi="宋体"/>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p w14:paraId="73C7169A">
      <w:pPr>
        <w:overflowPunct w:val="0"/>
        <w:autoSpaceDE w:val="0"/>
        <w:autoSpaceDN w:val="0"/>
        <w:adjustRightInd w:val="0"/>
        <w:snapToGrid w:val="0"/>
        <w:spacing w:line="420" w:lineRule="exact"/>
        <w:ind w:firstLine="422" w:firstLineChars="200"/>
        <w:rPr>
          <w:rFonts w:ascii="宋体" w:hAnsi="宋体"/>
          <w:b/>
          <w:szCs w:val="21"/>
        </w:rPr>
      </w:pPr>
      <w:r>
        <w:rPr>
          <w:rFonts w:hint="eastAsia" w:ascii="宋体" w:hAnsi="宋体"/>
          <w:b/>
          <w:szCs w:val="21"/>
        </w:rPr>
        <w:t>八、双方承诺</w:t>
      </w:r>
    </w:p>
    <w:p w14:paraId="7AD5B3F0">
      <w:pPr>
        <w:overflowPunct w:val="0"/>
        <w:autoSpaceDE w:val="0"/>
        <w:autoSpaceDN w:val="0"/>
        <w:adjustRightInd w:val="0"/>
        <w:snapToGrid w:val="0"/>
        <w:spacing w:line="420" w:lineRule="exact"/>
        <w:ind w:firstLine="420" w:firstLineChars="200"/>
        <w:rPr>
          <w:rFonts w:ascii="宋体" w:hAnsi="宋体"/>
          <w:b/>
          <w:szCs w:val="21"/>
        </w:rPr>
      </w:pPr>
      <w:r>
        <w:rPr>
          <w:rFonts w:hint="eastAsia" w:ascii="宋体" w:hAnsi="宋体"/>
          <w:szCs w:val="21"/>
        </w:rPr>
        <w:t>1. 监理人向委托人承诺，按照本合同约定</w:t>
      </w:r>
      <w:r>
        <w:rPr>
          <w:rFonts w:hint="eastAsia" w:ascii="宋体" w:hAnsi="宋体"/>
          <w:kern w:val="0"/>
          <w:szCs w:val="21"/>
        </w:rPr>
        <w:t>提供</w:t>
      </w:r>
      <w:r>
        <w:rPr>
          <w:rFonts w:hint="eastAsia" w:ascii="宋体" w:hAnsi="宋体"/>
          <w:szCs w:val="21"/>
        </w:rPr>
        <w:t>监理与相关服务。</w:t>
      </w:r>
    </w:p>
    <w:p w14:paraId="6194345A">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szCs w:val="21"/>
        </w:rPr>
        <w:t>2. 委托人向监理人承诺，按照本合同约定派遣相应的人员，并按本合同约定支付酬金。</w:t>
      </w:r>
    </w:p>
    <w:p w14:paraId="47B1EFD6">
      <w:pPr>
        <w:overflowPunct w:val="0"/>
        <w:autoSpaceDE w:val="0"/>
        <w:autoSpaceDN w:val="0"/>
        <w:adjustRightInd w:val="0"/>
        <w:snapToGrid w:val="0"/>
        <w:spacing w:line="420" w:lineRule="exact"/>
        <w:ind w:firstLine="422" w:firstLineChars="200"/>
        <w:rPr>
          <w:rFonts w:ascii="宋体" w:hAnsi="宋体"/>
          <w:b/>
          <w:szCs w:val="21"/>
        </w:rPr>
      </w:pPr>
      <w:r>
        <w:rPr>
          <w:rFonts w:hint="eastAsia" w:ascii="宋体" w:hAnsi="宋体"/>
          <w:b/>
          <w:szCs w:val="21"/>
        </w:rPr>
        <w:t>九、合同订立</w:t>
      </w:r>
    </w:p>
    <w:p w14:paraId="49361CAD">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szCs w:val="21"/>
        </w:rPr>
        <w:t>1. 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4A024F3">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szCs w:val="21"/>
        </w:rPr>
        <w:t>2. 订立地点：</w:t>
      </w:r>
      <w:r>
        <w:rPr>
          <w:rFonts w:hint="eastAsia" w:ascii="宋体" w:hAnsi="宋体"/>
          <w:szCs w:val="21"/>
          <w:u w:val="single"/>
        </w:rPr>
        <w:t xml:space="preserve">  重庆市南岸区          </w:t>
      </w:r>
      <w:r>
        <w:rPr>
          <w:rFonts w:hint="eastAsia" w:ascii="宋体" w:hAnsi="宋体"/>
          <w:szCs w:val="21"/>
        </w:rPr>
        <w:t>。</w:t>
      </w:r>
    </w:p>
    <w:p w14:paraId="00005FA0">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szCs w:val="21"/>
        </w:rPr>
        <w:t>3. 本合同自双方盖章之日起生效。本合同一式</w:t>
      </w:r>
      <w:r>
        <w:rPr>
          <w:rFonts w:hint="eastAsia" w:ascii="宋体" w:hAnsi="宋体"/>
          <w:szCs w:val="21"/>
          <w:u w:val="single"/>
        </w:rPr>
        <w:t xml:space="preserve">    </w:t>
      </w:r>
      <w:r>
        <w:rPr>
          <w:rFonts w:hint="eastAsia" w:ascii="宋体" w:hAnsi="宋体"/>
          <w:szCs w:val="21"/>
        </w:rPr>
        <w:t>份，具有同等法律效力，</w:t>
      </w:r>
      <w:r>
        <w:rPr>
          <w:rFonts w:hint="eastAsia" w:ascii="宋体" w:hAnsi="宋体" w:cs="宋体"/>
          <w:szCs w:val="21"/>
        </w:rPr>
        <w:t>委托人</w:t>
      </w:r>
      <w:r>
        <w:rPr>
          <w:rFonts w:hint="eastAsia" w:ascii="宋体" w:hAnsi="宋体" w:cs="宋体"/>
          <w:szCs w:val="21"/>
          <w:u w:val="single"/>
        </w:rPr>
        <w:t xml:space="preserve"> 贰  </w:t>
      </w:r>
      <w:r>
        <w:rPr>
          <w:rFonts w:hint="eastAsia" w:ascii="宋体" w:hAnsi="宋体" w:cs="宋体"/>
          <w:szCs w:val="21"/>
        </w:rPr>
        <w:t>份、监理人</w:t>
      </w:r>
      <w:r>
        <w:rPr>
          <w:rFonts w:hint="eastAsia" w:ascii="宋体" w:hAnsi="宋体" w:cs="宋体"/>
          <w:szCs w:val="21"/>
          <w:u w:val="single"/>
        </w:rPr>
        <w:t xml:space="preserve">    </w:t>
      </w:r>
      <w:r>
        <w:rPr>
          <w:rFonts w:hint="eastAsia" w:ascii="宋体" w:hAnsi="宋体" w:cs="宋体"/>
          <w:szCs w:val="21"/>
        </w:rPr>
        <w:t>份</w:t>
      </w:r>
      <w:r>
        <w:rPr>
          <w:rFonts w:hint="eastAsia" w:ascii="宋体" w:hAnsi="宋体"/>
          <w:szCs w:val="21"/>
        </w:rPr>
        <w:t>。合同正文若出现手写内容，手写内容未经双方盖章确认，则无效。本合同载明的委托代理人或经办人未经书面授权，仅代表在本合同签名，其他单方承诺或认可行为无效。</w:t>
      </w:r>
    </w:p>
    <w:p w14:paraId="0519EE4D">
      <w:pPr>
        <w:pStyle w:val="2"/>
        <w:rPr>
          <w:rFonts w:ascii="宋体" w:hAnsi="宋体"/>
          <w:szCs w:val="21"/>
        </w:rPr>
      </w:pPr>
    </w:p>
    <w:p w14:paraId="0F865A4B">
      <w:pPr>
        <w:rPr>
          <w:rFonts w:ascii="宋体" w:hAnsi="宋体"/>
          <w:szCs w:val="21"/>
        </w:rPr>
      </w:pPr>
    </w:p>
    <w:p w14:paraId="7BA94BE2">
      <w:pPr>
        <w:pStyle w:val="2"/>
      </w:pPr>
    </w:p>
    <w:p w14:paraId="5159F20E">
      <w:r>
        <w:rPr>
          <w:rFonts w:hint="eastAsia"/>
        </w:rPr>
        <w:t>（以下为盖章页）</w:t>
      </w:r>
    </w:p>
    <w:p w14:paraId="2F0F410A"/>
    <w:tbl>
      <w:tblPr>
        <w:tblStyle w:val="20"/>
        <w:tblpPr w:leftFromText="180" w:rightFromText="180" w:vertAnchor="text" w:horzAnchor="page" w:tblpX="1374" w:tblpY="-5"/>
        <w:tblOverlap w:val="never"/>
        <w:tblW w:w="9351" w:type="dxa"/>
        <w:tblInd w:w="0" w:type="dxa"/>
        <w:tblLayout w:type="fixed"/>
        <w:tblCellMar>
          <w:top w:w="0" w:type="dxa"/>
          <w:left w:w="108" w:type="dxa"/>
          <w:bottom w:w="0" w:type="dxa"/>
          <w:right w:w="108" w:type="dxa"/>
        </w:tblCellMar>
      </w:tblPr>
      <w:tblGrid>
        <w:gridCol w:w="4752"/>
        <w:gridCol w:w="4599"/>
      </w:tblGrid>
      <w:tr w14:paraId="34F79B49">
        <w:tblPrEx>
          <w:tblCellMar>
            <w:top w:w="0" w:type="dxa"/>
            <w:left w:w="108" w:type="dxa"/>
            <w:bottom w:w="0" w:type="dxa"/>
            <w:right w:w="108" w:type="dxa"/>
          </w:tblCellMar>
        </w:tblPrEx>
        <w:trPr>
          <w:trHeight w:val="884" w:hRule="atLeast"/>
        </w:trPr>
        <w:tc>
          <w:tcPr>
            <w:tcW w:w="4752" w:type="dxa"/>
          </w:tcPr>
          <w:p w14:paraId="4CC3FDFB">
            <w:pPr>
              <w:spacing w:line="560" w:lineRule="exact"/>
              <w:ind w:left="884" w:hanging="884" w:hangingChars="421"/>
              <w:jc w:val="left"/>
              <w:rPr>
                <w:rFonts w:ascii="宋体" w:hAnsi="宋体"/>
                <w:szCs w:val="21"/>
              </w:rPr>
            </w:pPr>
            <w:r>
              <w:rPr>
                <w:rFonts w:ascii="宋体" w:hAnsi="宋体"/>
                <w:szCs w:val="21"/>
              </w:rPr>
              <w:t>甲   方：</w:t>
            </w:r>
            <w:r>
              <w:rPr>
                <w:rFonts w:hint="eastAsia" w:ascii="宋体" w:hAnsi="宋体"/>
                <w:szCs w:val="21"/>
              </w:rPr>
              <w:t xml:space="preserve"> </w:t>
            </w:r>
          </w:p>
        </w:tc>
        <w:tc>
          <w:tcPr>
            <w:tcW w:w="4599" w:type="dxa"/>
          </w:tcPr>
          <w:p w14:paraId="4CB8DF82">
            <w:pPr>
              <w:spacing w:line="560" w:lineRule="exact"/>
              <w:ind w:left="1050" w:hanging="1050" w:hangingChars="500"/>
              <w:jc w:val="left"/>
              <w:rPr>
                <w:rFonts w:ascii="宋体" w:hAnsi="宋体"/>
                <w:szCs w:val="21"/>
              </w:rPr>
            </w:pPr>
            <w:r>
              <w:rPr>
                <w:rFonts w:ascii="宋体" w:hAnsi="宋体"/>
                <w:szCs w:val="21"/>
              </w:rPr>
              <w:t>乙   方：</w:t>
            </w:r>
            <w:r>
              <w:rPr>
                <w:rFonts w:hint="eastAsia" w:ascii="宋体" w:hAnsi="宋体"/>
                <w:szCs w:val="21"/>
              </w:rPr>
              <w:t xml:space="preserve"> </w:t>
            </w:r>
          </w:p>
        </w:tc>
      </w:tr>
      <w:tr w14:paraId="5E35338E">
        <w:tblPrEx>
          <w:tblCellMar>
            <w:top w:w="0" w:type="dxa"/>
            <w:left w:w="108" w:type="dxa"/>
            <w:bottom w:w="0" w:type="dxa"/>
            <w:right w:w="108" w:type="dxa"/>
          </w:tblCellMar>
        </w:tblPrEx>
        <w:tc>
          <w:tcPr>
            <w:tcW w:w="4752" w:type="dxa"/>
          </w:tcPr>
          <w:p w14:paraId="301607FF">
            <w:pPr>
              <w:spacing w:line="560" w:lineRule="exact"/>
              <w:ind w:left="1050" w:hanging="1050" w:hangingChars="500"/>
              <w:jc w:val="left"/>
              <w:rPr>
                <w:rFonts w:ascii="宋体" w:hAnsi="宋体"/>
                <w:szCs w:val="21"/>
              </w:rPr>
            </w:pPr>
            <w:r>
              <w:rPr>
                <w:rFonts w:ascii="宋体" w:hAnsi="宋体"/>
                <w:szCs w:val="21"/>
              </w:rPr>
              <w:t>法定代表人：</w:t>
            </w:r>
          </w:p>
          <w:p w14:paraId="3F9AAC01">
            <w:pPr>
              <w:pStyle w:val="8"/>
              <w:ind w:left="1050" w:hanging="1050"/>
              <w:rPr>
                <w:rFonts w:ascii="宋体" w:hAnsi="宋体"/>
                <w:szCs w:val="21"/>
              </w:rPr>
            </w:pPr>
          </w:p>
          <w:p w14:paraId="37A7CC59">
            <w:pPr>
              <w:spacing w:line="560" w:lineRule="exact"/>
              <w:ind w:left="1050" w:hanging="1050" w:hangingChars="500"/>
              <w:jc w:val="left"/>
              <w:rPr>
                <w:rFonts w:ascii="宋体" w:hAnsi="宋体"/>
                <w:szCs w:val="21"/>
              </w:rPr>
            </w:pPr>
            <w:r>
              <w:rPr>
                <w:rFonts w:hint="eastAsia" w:ascii="宋体" w:hAnsi="宋体"/>
                <w:szCs w:val="21"/>
              </w:rPr>
              <w:t>或</w:t>
            </w:r>
          </w:p>
          <w:p w14:paraId="6C3DB28A">
            <w:pPr>
              <w:spacing w:line="560" w:lineRule="exact"/>
              <w:ind w:left="1050" w:hanging="1050" w:hangingChars="500"/>
              <w:jc w:val="left"/>
              <w:rPr>
                <w:rFonts w:ascii="宋体" w:hAnsi="宋体"/>
                <w:szCs w:val="21"/>
              </w:rPr>
            </w:pPr>
          </w:p>
          <w:p w14:paraId="5D6990F5">
            <w:pPr>
              <w:spacing w:line="560" w:lineRule="exact"/>
              <w:ind w:left="1050" w:hanging="1050" w:hangingChars="500"/>
              <w:jc w:val="left"/>
              <w:rPr>
                <w:rFonts w:ascii="宋体" w:hAnsi="宋体"/>
                <w:szCs w:val="21"/>
              </w:rPr>
            </w:pPr>
            <w:r>
              <w:rPr>
                <w:rFonts w:hint="eastAsia" w:ascii="宋体" w:hAnsi="宋体"/>
                <w:szCs w:val="21"/>
              </w:rPr>
              <w:t>委托</w:t>
            </w:r>
            <w:r>
              <w:rPr>
                <w:rFonts w:ascii="宋体" w:hAnsi="宋体"/>
                <w:szCs w:val="21"/>
              </w:rPr>
              <w:t>代理人：</w:t>
            </w:r>
          </w:p>
        </w:tc>
        <w:tc>
          <w:tcPr>
            <w:tcW w:w="4599" w:type="dxa"/>
          </w:tcPr>
          <w:p w14:paraId="6E610462">
            <w:pPr>
              <w:spacing w:after="156" w:afterLines="50" w:line="560" w:lineRule="exact"/>
              <w:ind w:left="1050" w:hanging="1050" w:hangingChars="500"/>
              <w:jc w:val="left"/>
              <w:rPr>
                <w:rFonts w:ascii="宋体" w:hAnsi="宋体"/>
                <w:szCs w:val="21"/>
              </w:rPr>
            </w:pPr>
            <w:r>
              <w:rPr>
                <w:rFonts w:ascii="宋体" w:hAnsi="宋体"/>
                <w:szCs w:val="21"/>
              </w:rPr>
              <w:t>法定代表人：</w:t>
            </w:r>
          </w:p>
          <w:p w14:paraId="2557E81A">
            <w:pPr>
              <w:spacing w:before="312" w:beforeLines="100" w:after="156" w:afterLines="50" w:line="560" w:lineRule="exact"/>
              <w:ind w:left="1050" w:hanging="1050" w:hangingChars="500"/>
              <w:jc w:val="left"/>
              <w:rPr>
                <w:rFonts w:ascii="宋体" w:hAnsi="宋体"/>
                <w:szCs w:val="21"/>
              </w:rPr>
            </w:pPr>
            <w:r>
              <w:rPr>
                <w:rFonts w:ascii="宋体" w:hAnsi="宋体"/>
                <w:szCs w:val="21"/>
              </w:rPr>
              <w:t>身份证号码：</w:t>
            </w:r>
            <w:r>
              <w:rPr>
                <w:rFonts w:hint="eastAsia" w:ascii="宋体" w:hAnsi="宋体"/>
                <w:szCs w:val="21"/>
              </w:rPr>
              <w:t xml:space="preserve"> </w:t>
            </w:r>
          </w:p>
          <w:p w14:paraId="087EFD57">
            <w:pPr>
              <w:spacing w:before="312" w:beforeLines="100" w:after="156" w:afterLines="50" w:line="560" w:lineRule="exact"/>
              <w:ind w:left="1050" w:hanging="1050" w:hangingChars="500"/>
              <w:jc w:val="left"/>
              <w:rPr>
                <w:rFonts w:ascii="宋体" w:hAnsi="宋体"/>
                <w:szCs w:val="21"/>
              </w:rPr>
            </w:pPr>
            <w:r>
              <w:rPr>
                <w:rFonts w:ascii="宋体" w:hAnsi="宋体"/>
                <w:szCs w:val="21"/>
              </w:rPr>
              <w:t xml:space="preserve">委托代理人： </w:t>
            </w:r>
          </w:p>
          <w:p w14:paraId="3AD10B85">
            <w:pPr>
              <w:spacing w:before="312" w:beforeLines="100" w:after="156" w:afterLines="50" w:line="560" w:lineRule="exact"/>
              <w:ind w:left="1050" w:hanging="1050" w:hangingChars="500"/>
              <w:jc w:val="left"/>
              <w:rPr>
                <w:rFonts w:ascii="宋体" w:hAnsi="宋体"/>
                <w:szCs w:val="21"/>
              </w:rPr>
            </w:pPr>
            <w:r>
              <w:rPr>
                <w:rFonts w:ascii="宋体" w:hAnsi="宋体"/>
                <w:szCs w:val="21"/>
              </w:rPr>
              <w:t>身份证号码：</w:t>
            </w:r>
            <w:r>
              <w:rPr>
                <w:rFonts w:hint="eastAsia" w:ascii="宋体" w:hAnsi="宋体"/>
                <w:szCs w:val="21"/>
              </w:rPr>
              <w:t xml:space="preserve"> </w:t>
            </w:r>
          </w:p>
        </w:tc>
      </w:tr>
      <w:tr w14:paraId="7B2D28BE">
        <w:tblPrEx>
          <w:tblCellMar>
            <w:top w:w="0" w:type="dxa"/>
            <w:left w:w="108" w:type="dxa"/>
            <w:bottom w:w="0" w:type="dxa"/>
            <w:right w:w="108" w:type="dxa"/>
          </w:tblCellMar>
        </w:tblPrEx>
        <w:trPr>
          <w:trHeight w:val="1120" w:hRule="atLeast"/>
        </w:trPr>
        <w:tc>
          <w:tcPr>
            <w:tcW w:w="4752" w:type="dxa"/>
          </w:tcPr>
          <w:p w14:paraId="16B46F0D">
            <w:pPr>
              <w:spacing w:line="560" w:lineRule="exact"/>
              <w:ind w:left="1050" w:hanging="1050" w:hangingChars="500"/>
              <w:jc w:val="left"/>
              <w:rPr>
                <w:rFonts w:ascii="宋体" w:hAnsi="宋体"/>
                <w:szCs w:val="21"/>
              </w:rPr>
            </w:pPr>
            <w:r>
              <w:rPr>
                <w:rFonts w:ascii="宋体" w:hAnsi="宋体"/>
                <w:szCs w:val="21"/>
              </w:rPr>
              <w:t>经 办 人：</w:t>
            </w:r>
          </w:p>
        </w:tc>
        <w:tc>
          <w:tcPr>
            <w:tcW w:w="4599" w:type="dxa"/>
          </w:tcPr>
          <w:p w14:paraId="6563ACE0">
            <w:pPr>
              <w:spacing w:before="156" w:beforeLines="50" w:after="156" w:afterLines="50" w:line="560" w:lineRule="exact"/>
              <w:ind w:left="1050" w:hanging="1050" w:hangingChars="500"/>
              <w:jc w:val="left"/>
              <w:rPr>
                <w:rFonts w:ascii="宋体" w:hAnsi="宋体"/>
                <w:szCs w:val="21"/>
              </w:rPr>
            </w:pPr>
            <w:r>
              <w:rPr>
                <w:rFonts w:ascii="宋体" w:hAnsi="宋体"/>
                <w:szCs w:val="21"/>
              </w:rPr>
              <w:t>经 办 人：</w:t>
            </w:r>
            <w:r>
              <w:rPr>
                <w:rFonts w:hint="eastAsia" w:ascii="宋体" w:hAnsi="宋体"/>
                <w:szCs w:val="21"/>
              </w:rPr>
              <w:t xml:space="preserve"> </w:t>
            </w:r>
          </w:p>
        </w:tc>
      </w:tr>
      <w:tr w14:paraId="3CD3C160">
        <w:tblPrEx>
          <w:tblCellMar>
            <w:top w:w="0" w:type="dxa"/>
            <w:left w:w="108" w:type="dxa"/>
            <w:bottom w:w="0" w:type="dxa"/>
            <w:right w:w="108" w:type="dxa"/>
          </w:tblCellMar>
        </w:tblPrEx>
        <w:trPr>
          <w:trHeight w:val="1120" w:hRule="atLeast"/>
        </w:trPr>
        <w:tc>
          <w:tcPr>
            <w:tcW w:w="4752" w:type="dxa"/>
          </w:tcPr>
          <w:p w14:paraId="542F78E8">
            <w:pPr>
              <w:spacing w:before="156" w:beforeLines="50" w:after="156" w:afterLines="50" w:line="560" w:lineRule="exact"/>
              <w:ind w:left="1050" w:hanging="1050" w:hangingChars="500"/>
              <w:jc w:val="left"/>
              <w:rPr>
                <w:rFonts w:ascii="宋体" w:hAnsi="宋体"/>
                <w:szCs w:val="21"/>
              </w:rPr>
            </w:pPr>
          </w:p>
        </w:tc>
        <w:tc>
          <w:tcPr>
            <w:tcW w:w="4599" w:type="dxa"/>
          </w:tcPr>
          <w:p w14:paraId="156836A7">
            <w:pPr>
              <w:spacing w:before="156" w:beforeLines="50" w:line="560" w:lineRule="exact"/>
              <w:ind w:left="1050" w:hanging="1050" w:hangingChars="500"/>
              <w:jc w:val="left"/>
              <w:rPr>
                <w:rFonts w:ascii="宋体" w:hAnsi="宋体"/>
                <w:szCs w:val="21"/>
              </w:rPr>
            </w:pPr>
            <w:r>
              <w:rPr>
                <w:rFonts w:ascii="宋体" w:hAnsi="宋体"/>
                <w:szCs w:val="21"/>
              </w:rPr>
              <w:t>开 户 行：</w:t>
            </w:r>
            <w:r>
              <w:rPr>
                <w:rFonts w:hint="eastAsia" w:ascii="宋体" w:hAnsi="宋体"/>
                <w:szCs w:val="21"/>
              </w:rPr>
              <w:t xml:space="preserve"> </w:t>
            </w:r>
          </w:p>
        </w:tc>
      </w:tr>
      <w:tr w14:paraId="2AE85290">
        <w:tblPrEx>
          <w:tblCellMar>
            <w:top w:w="0" w:type="dxa"/>
            <w:left w:w="108" w:type="dxa"/>
            <w:bottom w:w="0" w:type="dxa"/>
            <w:right w:w="108" w:type="dxa"/>
          </w:tblCellMar>
        </w:tblPrEx>
        <w:trPr>
          <w:trHeight w:val="1120" w:hRule="atLeast"/>
        </w:trPr>
        <w:tc>
          <w:tcPr>
            <w:tcW w:w="4752" w:type="dxa"/>
          </w:tcPr>
          <w:p w14:paraId="22E69DA0">
            <w:pPr>
              <w:spacing w:line="560" w:lineRule="exact"/>
              <w:ind w:left="850" w:hanging="850" w:hangingChars="500"/>
              <w:jc w:val="left"/>
              <w:rPr>
                <w:rFonts w:ascii="宋体" w:hAnsi="宋体"/>
                <w:szCs w:val="21"/>
              </w:rPr>
            </w:pPr>
            <w:r>
              <w:rPr>
                <w:rFonts w:ascii="宋体" w:hAnsi="宋体"/>
                <w:spacing w:val="-20"/>
                <w:szCs w:val="21"/>
              </w:rPr>
              <w:t>统</w:t>
            </w:r>
            <w:r>
              <w:rPr>
                <w:rFonts w:ascii="宋体" w:hAnsi="宋体"/>
                <w:spacing w:val="-18"/>
                <w:szCs w:val="21"/>
              </w:rPr>
              <w:t>一社会信用代码：</w:t>
            </w:r>
          </w:p>
        </w:tc>
        <w:tc>
          <w:tcPr>
            <w:tcW w:w="4599" w:type="dxa"/>
          </w:tcPr>
          <w:p w14:paraId="5DCC81C0">
            <w:pPr>
              <w:spacing w:line="560" w:lineRule="exact"/>
              <w:ind w:left="1050" w:hanging="1050" w:hangingChars="500"/>
              <w:rPr>
                <w:rFonts w:ascii="宋体" w:hAnsi="宋体"/>
                <w:szCs w:val="21"/>
              </w:rPr>
            </w:pPr>
            <w:r>
              <w:rPr>
                <w:rFonts w:ascii="宋体" w:hAnsi="宋体"/>
                <w:szCs w:val="21"/>
              </w:rPr>
              <w:t>账    号：</w:t>
            </w:r>
            <w:r>
              <w:rPr>
                <w:rFonts w:hint="eastAsia" w:ascii="宋体" w:hAnsi="宋体"/>
                <w:szCs w:val="21"/>
              </w:rPr>
              <w:t xml:space="preserve"> </w:t>
            </w:r>
          </w:p>
        </w:tc>
      </w:tr>
      <w:tr w14:paraId="3455AD17">
        <w:tblPrEx>
          <w:tblCellMar>
            <w:top w:w="0" w:type="dxa"/>
            <w:left w:w="108" w:type="dxa"/>
            <w:bottom w:w="0" w:type="dxa"/>
            <w:right w:w="108" w:type="dxa"/>
          </w:tblCellMar>
        </w:tblPrEx>
        <w:trPr>
          <w:trHeight w:val="1120" w:hRule="atLeast"/>
        </w:trPr>
        <w:tc>
          <w:tcPr>
            <w:tcW w:w="4752" w:type="dxa"/>
          </w:tcPr>
          <w:p w14:paraId="6D23970C">
            <w:pPr>
              <w:spacing w:line="560" w:lineRule="exact"/>
              <w:ind w:left="1050" w:hanging="1050" w:hangingChars="500"/>
              <w:rPr>
                <w:rFonts w:ascii="宋体" w:hAnsi="宋体"/>
                <w:szCs w:val="21"/>
              </w:rPr>
            </w:pPr>
            <w:r>
              <w:rPr>
                <w:rFonts w:ascii="宋体" w:hAnsi="宋体"/>
                <w:szCs w:val="21"/>
              </w:rPr>
              <w:t>联系电话:</w:t>
            </w:r>
          </w:p>
        </w:tc>
        <w:tc>
          <w:tcPr>
            <w:tcW w:w="4599" w:type="dxa"/>
          </w:tcPr>
          <w:p w14:paraId="564DA1F3">
            <w:pPr>
              <w:spacing w:line="560" w:lineRule="exact"/>
              <w:ind w:left="1050" w:hanging="1050" w:hangingChars="500"/>
              <w:jc w:val="left"/>
              <w:rPr>
                <w:rFonts w:ascii="宋体" w:hAnsi="宋体"/>
                <w:szCs w:val="21"/>
              </w:rPr>
            </w:pPr>
            <w:r>
              <w:rPr>
                <w:rFonts w:ascii="宋体" w:hAnsi="宋体"/>
                <w:szCs w:val="21"/>
              </w:rPr>
              <w:t>联系电话：</w:t>
            </w:r>
            <w:r>
              <w:rPr>
                <w:rFonts w:hint="eastAsia" w:ascii="宋体" w:hAnsi="宋体"/>
                <w:szCs w:val="21"/>
              </w:rPr>
              <w:t xml:space="preserve"> </w:t>
            </w:r>
          </w:p>
        </w:tc>
      </w:tr>
      <w:tr w14:paraId="7F3CA17B">
        <w:tblPrEx>
          <w:tblCellMar>
            <w:top w:w="0" w:type="dxa"/>
            <w:left w:w="108" w:type="dxa"/>
            <w:bottom w:w="0" w:type="dxa"/>
            <w:right w:w="108" w:type="dxa"/>
          </w:tblCellMar>
        </w:tblPrEx>
        <w:trPr>
          <w:trHeight w:val="1120" w:hRule="atLeast"/>
        </w:trPr>
        <w:tc>
          <w:tcPr>
            <w:tcW w:w="4752" w:type="dxa"/>
          </w:tcPr>
          <w:p w14:paraId="22251CA9">
            <w:pPr>
              <w:spacing w:line="560" w:lineRule="exact"/>
              <w:ind w:left="1050" w:hanging="1050" w:hangingChars="500"/>
              <w:rPr>
                <w:rFonts w:ascii="宋体" w:hAnsi="宋体"/>
                <w:szCs w:val="21"/>
              </w:rPr>
            </w:pPr>
            <w:r>
              <w:rPr>
                <w:rFonts w:ascii="宋体" w:hAnsi="宋体"/>
                <w:szCs w:val="21"/>
              </w:rPr>
              <w:t xml:space="preserve">地    址： </w:t>
            </w:r>
          </w:p>
        </w:tc>
        <w:tc>
          <w:tcPr>
            <w:tcW w:w="4599" w:type="dxa"/>
          </w:tcPr>
          <w:p w14:paraId="4BCE1458">
            <w:pPr>
              <w:spacing w:line="560" w:lineRule="exact"/>
              <w:ind w:left="1035" w:hanging="1035" w:hangingChars="493"/>
              <w:jc w:val="left"/>
              <w:rPr>
                <w:rFonts w:ascii="宋体" w:hAnsi="宋体"/>
                <w:szCs w:val="21"/>
              </w:rPr>
            </w:pPr>
            <w:r>
              <w:rPr>
                <w:rFonts w:ascii="宋体" w:hAnsi="宋体"/>
                <w:szCs w:val="21"/>
              </w:rPr>
              <w:t>地    址：</w:t>
            </w:r>
            <w:r>
              <w:rPr>
                <w:rFonts w:hint="eastAsia" w:ascii="宋体" w:hAnsi="宋体"/>
                <w:szCs w:val="21"/>
              </w:rPr>
              <w:t xml:space="preserve"> </w:t>
            </w:r>
          </w:p>
        </w:tc>
      </w:tr>
      <w:tr w14:paraId="3EF6252F">
        <w:tblPrEx>
          <w:tblCellMar>
            <w:top w:w="0" w:type="dxa"/>
            <w:left w:w="108" w:type="dxa"/>
            <w:bottom w:w="0" w:type="dxa"/>
            <w:right w:w="108" w:type="dxa"/>
          </w:tblCellMar>
        </w:tblPrEx>
        <w:trPr>
          <w:trHeight w:val="1120" w:hRule="atLeast"/>
        </w:trPr>
        <w:tc>
          <w:tcPr>
            <w:tcW w:w="4752" w:type="dxa"/>
          </w:tcPr>
          <w:p w14:paraId="1D41A72F">
            <w:pPr>
              <w:spacing w:line="560" w:lineRule="exact"/>
              <w:rPr>
                <w:rFonts w:ascii="宋体" w:hAnsi="宋体"/>
                <w:szCs w:val="21"/>
              </w:rPr>
            </w:pPr>
            <w:r>
              <w:rPr>
                <w:rFonts w:ascii="宋体" w:hAnsi="宋体"/>
                <w:szCs w:val="21"/>
              </w:rPr>
              <w:t>时    间：</w:t>
            </w:r>
            <w:r>
              <w:rPr>
                <w:rFonts w:hint="eastAsia" w:ascii="宋体" w:hAnsi="宋体"/>
                <w:szCs w:val="21"/>
              </w:rPr>
              <w:t xml:space="preserve">     </w:t>
            </w: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tc>
        <w:tc>
          <w:tcPr>
            <w:tcW w:w="4599" w:type="dxa"/>
          </w:tcPr>
          <w:p w14:paraId="0814DF31">
            <w:pPr>
              <w:spacing w:line="560" w:lineRule="exact"/>
              <w:rPr>
                <w:rFonts w:ascii="宋体" w:hAnsi="宋体"/>
                <w:szCs w:val="21"/>
              </w:rPr>
            </w:pPr>
            <w:r>
              <w:rPr>
                <w:rFonts w:ascii="宋体" w:hAnsi="宋体"/>
                <w:szCs w:val="21"/>
              </w:rPr>
              <w:t>时    间：</w:t>
            </w:r>
            <w:r>
              <w:rPr>
                <w:rFonts w:hint="eastAsia" w:ascii="宋体" w:hAnsi="宋体"/>
                <w:szCs w:val="21"/>
              </w:rPr>
              <w:t xml:space="preserve">     </w:t>
            </w: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tc>
      </w:tr>
    </w:tbl>
    <w:p w14:paraId="670B887D">
      <w:pPr>
        <w:pStyle w:val="2"/>
      </w:pPr>
    </w:p>
    <w:p w14:paraId="228CF2FF">
      <w:pPr>
        <w:overflowPunct w:val="0"/>
        <w:autoSpaceDE w:val="0"/>
        <w:autoSpaceDN w:val="0"/>
        <w:adjustRightInd w:val="0"/>
        <w:snapToGrid w:val="0"/>
        <w:spacing w:line="480" w:lineRule="auto"/>
        <w:rPr>
          <w:rFonts w:ascii="宋体" w:hAnsi="宋体"/>
          <w:sz w:val="32"/>
          <w:szCs w:val="32"/>
        </w:rPr>
      </w:pPr>
    </w:p>
    <w:p w14:paraId="431C5DBA">
      <w:pPr>
        <w:pStyle w:val="2"/>
      </w:pPr>
    </w:p>
    <w:p w14:paraId="60E544F7"/>
    <w:p w14:paraId="67151283">
      <w:pPr>
        <w:pStyle w:val="2"/>
      </w:pPr>
    </w:p>
    <w:p w14:paraId="2E11ADF2">
      <w:pPr>
        <w:pStyle w:val="2"/>
      </w:pPr>
    </w:p>
    <w:p w14:paraId="0F52FA42">
      <w:pPr>
        <w:overflowPunct w:val="0"/>
        <w:autoSpaceDE w:val="0"/>
        <w:autoSpaceDN w:val="0"/>
        <w:adjustRightInd w:val="0"/>
        <w:snapToGrid w:val="0"/>
        <w:spacing w:line="420" w:lineRule="exact"/>
        <w:ind w:firstLine="3200" w:firstLineChars="1000"/>
        <w:outlineLvl w:val="0"/>
        <w:rPr>
          <w:rFonts w:ascii="宋体" w:hAnsi="宋体"/>
          <w:sz w:val="32"/>
          <w:szCs w:val="32"/>
        </w:rPr>
      </w:pPr>
      <w:r>
        <w:rPr>
          <w:rFonts w:hint="eastAsia" w:ascii="宋体" w:hAnsi="宋体"/>
          <w:sz w:val="32"/>
          <w:szCs w:val="32"/>
        </w:rPr>
        <w:t>第二部分  通用条件</w:t>
      </w:r>
    </w:p>
    <w:p w14:paraId="0A2CE782">
      <w:pPr>
        <w:overflowPunct w:val="0"/>
        <w:autoSpaceDE w:val="0"/>
        <w:autoSpaceDN w:val="0"/>
        <w:adjustRightInd w:val="0"/>
        <w:snapToGrid w:val="0"/>
        <w:spacing w:line="360" w:lineRule="auto"/>
        <w:ind w:firstLine="422" w:firstLineChars="200"/>
        <w:rPr>
          <w:rFonts w:ascii="宋体" w:hAnsi="宋体"/>
          <w:b/>
          <w:szCs w:val="21"/>
        </w:rPr>
      </w:pPr>
      <w:r>
        <w:rPr>
          <w:rFonts w:hint="eastAsia" w:ascii="宋体" w:hAnsi="宋体"/>
          <w:b/>
          <w:szCs w:val="21"/>
        </w:rPr>
        <w:t>1. 定义与解释</w:t>
      </w:r>
    </w:p>
    <w:p w14:paraId="4A7FBC5F">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 xml:space="preserve">1.1 </w:t>
      </w:r>
      <w:r>
        <w:rPr>
          <w:rFonts w:hint="eastAsia" w:ascii="宋体" w:hAnsi="宋体"/>
          <w:bCs/>
          <w:szCs w:val="21"/>
        </w:rPr>
        <w:t>定义</w:t>
      </w:r>
    </w:p>
    <w:p w14:paraId="5BAC5A7A">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除根据上下文另有其意义外，组成本合同的全部文件中的下列名词和用语应具有本款所赋予的含义：</w:t>
      </w:r>
    </w:p>
    <w:p w14:paraId="2CD2B3F8">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1.1.1 “工程”是指按照本合同约定实施监理与相关服务的建设工程。</w:t>
      </w:r>
    </w:p>
    <w:p w14:paraId="2508B499">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1.1.2 “委托人”是指本合同中委托监理与相关服务的一方，及其合法的继承人或受让人。</w:t>
      </w:r>
    </w:p>
    <w:p w14:paraId="55CD6E7D">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1.1.3 “监理人”是指本合同中提供监理与相关服务的一方，及其合法的继承人。</w:t>
      </w:r>
    </w:p>
    <w:p w14:paraId="7C3015A8">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1.1.4 “承包人”是指在工程范围内与委托人签订勘察、设计、施工等有关合同的当事人，及其合法的继承人。</w:t>
      </w:r>
    </w:p>
    <w:p w14:paraId="2FA19E62">
      <w:pPr>
        <w:overflowPunct w:val="0"/>
        <w:autoSpaceDE w:val="0"/>
        <w:autoSpaceDN w:val="0"/>
        <w:adjustRightInd w:val="0"/>
        <w:snapToGrid w:val="0"/>
        <w:spacing w:line="360" w:lineRule="auto"/>
        <w:ind w:firstLine="420" w:firstLineChars="200"/>
        <w:rPr>
          <w:rFonts w:ascii="宋体" w:hAnsi="宋体" w:cs="Courier New"/>
          <w:szCs w:val="21"/>
        </w:rPr>
      </w:pPr>
      <w:r>
        <w:rPr>
          <w:rFonts w:hint="eastAsia" w:ascii="宋体" w:hAnsi="宋体" w:cs="Courier New"/>
          <w:szCs w:val="2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1F12953">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1.1.6 “相关服务”是指监理人受委托人的委托 ，按照本合同约定，在勘察、设计、保修等阶段提供的服务活动。</w:t>
      </w:r>
    </w:p>
    <w:p w14:paraId="6418FE73">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1.1.7 “正常工作”指本合同订立时通用条件和专用条件中约定的监理人的工作。</w:t>
      </w:r>
    </w:p>
    <w:p w14:paraId="72D6D1B2">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1.1.8 “附加工作”是指本合同约定的正常工作以外监理人的工作。</w:t>
      </w:r>
    </w:p>
    <w:p w14:paraId="3130E362">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1.1.9 “项目监理机构”是指监理人派驻工程负责履行本合同的组织机构。</w:t>
      </w:r>
    </w:p>
    <w:p w14:paraId="3601004F">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1.1.10 “总监理工程师”是指由监理人的法定代表人书面授权，全面负责履行本合同、主持项目监理机构工作的注册监理工程师。</w:t>
      </w:r>
    </w:p>
    <w:p w14:paraId="72048028">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1.1.11 “酬金”是指监理人履行本合同义务，委托人按照本合同约定给付监理人的金额。</w:t>
      </w:r>
    </w:p>
    <w:p w14:paraId="71347217">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1.1.12 “正常工作</w:t>
      </w:r>
      <w:r>
        <w:rPr>
          <w:rFonts w:hint="eastAsia" w:ascii="宋体" w:hAnsi="宋体" w:cs="宋体"/>
          <w:kern w:val="0"/>
          <w:szCs w:val="21"/>
        </w:rPr>
        <w:t>酬金”</w:t>
      </w:r>
      <w:r>
        <w:rPr>
          <w:rFonts w:hint="eastAsia" w:ascii="宋体" w:hAnsi="宋体"/>
          <w:szCs w:val="21"/>
        </w:rPr>
        <w:t>是指监理人完成正常工作，委托人应给付监理人并在协议书中载明的签约</w:t>
      </w:r>
      <w:r>
        <w:rPr>
          <w:rFonts w:hint="eastAsia" w:ascii="宋体" w:hAnsi="宋体" w:cs="宋体"/>
          <w:kern w:val="0"/>
          <w:szCs w:val="21"/>
        </w:rPr>
        <w:t>酬金额</w:t>
      </w:r>
      <w:r>
        <w:rPr>
          <w:rFonts w:hint="eastAsia" w:ascii="宋体" w:hAnsi="宋体"/>
          <w:szCs w:val="21"/>
        </w:rPr>
        <w:t>。</w:t>
      </w:r>
    </w:p>
    <w:p w14:paraId="0C7BC75A">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1.1.13 “附加工作酬金”是指监理人完成附加工作，委托人应给付监理人的金额。</w:t>
      </w:r>
    </w:p>
    <w:p w14:paraId="10969A2E">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1.1.14 “一方”是指委托人或监理人；“双方”是指委托人和监理人；“第三方”是指除委托人和监理人以外的有关方。</w:t>
      </w:r>
    </w:p>
    <w:p w14:paraId="1C724238">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1.1.15 “书面形式”是指合同书、信件和数据电文（包括电报、电传、传真、电子数据交换和电子邮件）等可以有形地表现所载内容的形式。</w:t>
      </w:r>
    </w:p>
    <w:p w14:paraId="502F1951">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1.1.16 “天”是指第一天零时至第二天零时的时间。</w:t>
      </w:r>
    </w:p>
    <w:p w14:paraId="0116AA61">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1.1.17“月”是指按公历从一个月中任何一天开始的一个公历月时间。</w:t>
      </w:r>
    </w:p>
    <w:p w14:paraId="5FB11F52">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08CF2827">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bCs/>
          <w:szCs w:val="21"/>
        </w:rPr>
        <w:t xml:space="preserve">1.2 </w:t>
      </w:r>
      <w:r>
        <w:rPr>
          <w:rFonts w:hint="eastAsia" w:ascii="宋体" w:hAnsi="宋体"/>
          <w:szCs w:val="21"/>
        </w:rPr>
        <w:t>解释</w:t>
      </w:r>
    </w:p>
    <w:p w14:paraId="55CCEAEC">
      <w:pPr>
        <w:tabs>
          <w:tab w:val="left" w:pos="6140"/>
        </w:tabs>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1.2.1本合同使用中文书写、解释和说明。如专用条件约定使用两种及以上语言文字时，应以中文为准。</w:t>
      </w:r>
    </w:p>
    <w:p w14:paraId="67B3DCED">
      <w:pPr>
        <w:tabs>
          <w:tab w:val="left" w:pos="6140"/>
        </w:tabs>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1.2.2 组成本合同的下列文件彼此应能相互解释、互为说明。除专用条件另有约定外，本合同文件的解释顺序如下：</w:t>
      </w:r>
    </w:p>
    <w:p w14:paraId="0ED6A420">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（1）协议书；</w:t>
      </w:r>
    </w:p>
    <w:p w14:paraId="6A84F33B">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（2）招标文件或比选文件（包括但不限于本工程的招标或比选文件、图纸、其他技术资料及招标人发出的对招标或比选文件所作的澄清、修改、补遗等资料）（若有）；</w:t>
      </w:r>
    </w:p>
    <w:p w14:paraId="6FB295CF">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（3）中选通知书（适用于招标工程）或委托书（适用于非招标工程）；</w:t>
      </w:r>
    </w:p>
    <w:p w14:paraId="4D890248">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（4）专用条件及附录；</w:t>
      </w:r>
    </w:p>
    <w:p w14:paraId="38CA6E1C">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（5）通用条件；</w:t>
      </w:r>
    </w:p>
    <w:p w14:paraId="7B4156C8">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（6）竞选文件（适用于招标工程）或监理与相关服务建议书（适用于非招标工程）。</w:t>
      </w:r>
    </w:p>
    <w:p w14:paraId="60C95C21">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双方签订的补充协议与其他文件发生矛盾或歧义时，属于同一类内容的文件，应以最新签署的为准。</w:t>
      </w:r>
    </w:p>
    <w:p w14:paraId="2278BB38">
      <w:pPr>
        <w:overflowPunct w:val="0"/>
        <w:autoSpaceDE w:val="0"/>
        <w:autoSpaceDN w:val="0"/>
        <w:adjustRightInd w:val="0"/>
        <w:snapToGrid w:val="0"/>
        <w:spacing w:line="360" w:lineRule="auto"/>
        <w:ind w:firstLine="422" w:firstLineChars="200"/>
        <w:rPr>
          <w:rFonts w:ascii="宋体" w:hAnsi="宋体"/>
          <w:b/>
          <w:szCs w:val="21"/>
        </w:rPr>
      </w:pPr>
      <w:r>
        <w:rPr>
          <w:rFonts w:hint="eastAsia" w:ascii="宋体" w:hAnsi="宋体"/>
          <w:b/>
          <w:szCs w:val="21"/>
        </w:rPr>
        <w:t>2. 监理人的义务</w:t>
      </w:r>
    </w:p>
    <w:p w14:paraId="2384AE2E">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2.1 监理的范围和工作内容</w:t>
      </w:r>
    </w:p>
    <w:p w14:paraId="536DF9D8">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2.1.1 监理范围在专用条件中约定。</w:t>
      </w:r>
    </w:p>
    <w:p w14:paraId="47B4C28F">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2.1.2 除专用条件另有约定外，监理工作内容包括但不限于：</w:t>
      </w:r>
    </w:p>
    <w:p w14:paraId="24063BF6">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（1）收到工程设计文件后编制监理规划，并在第一次工地会议7天前报委托人。根据有关规定和监理工作需要，编制监理实施细则；</w:t>
      </w:r>
    </w:p>
    <w:p w14:paraId="030834CD">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（2）熟悉工程设计文件，并参加由委托人主持的图纸会审和设计交底会议；</w:t>
      </w:r>
    </w:p>
    <w:p w14:paraId="4B30A24F">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（3）参加由委托人主持的第一次工地会议；主持监理例会并根据工程需要主持或参加专题会议；</w:t>
      </w:r>
    </w:p>
    <w:p w14:paraId="47F3B31A">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（4）审查施工承包人提交的施工组织设计，重点审查其中的质量安全技术措施、专项施工方案与工程建设强制性标准的符合性；</w:t>
      </w:r>
    </w:p>
    <w:p w14:paraId="7C2AC4D0">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 xml:space="preserve">（5）检查施工承包人工程质量、安全生产管理制度及组织机构和人员资格； </w:t>
      </w:r>
    </w:p>
    <w:p w14:paraId="010BB6B7">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（6）检查施工承包人专职安全生产管理人员的配备情况；</w:t>
      </w:r>
    </w:p>
    <w:p w14:paraId="7605F937">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（7）审查施工承包人提交的施工进度计划，核查承包人对施工进度计划的调整；</w:t>
      </w:r>
    </w:p>
    <w:p w14:paraId="3433F114">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（8）检查施工承包人的试验室；</w:t>
      </w:r>
    </w:p>
    <w:p w14:paraId="69154FEB">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（9）审核施工区域人资质条件；</w:t>
      </w:r>
    </w:p>
    <w:p w14:paraId="639269EA">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（10）查验施工承包人的施工测量放线成果；</w:t>
      </w:r>
    </w:p>
    <w:p w14:paraId="18A4A030">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（11）审查工程开工条件，对条件具备的签发开工令；</w:t>
      </w:r>
    </w:p>
    <w:p w14:paraId="20F3C593">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 xml:space="preserve">（12）审查施工承包人报送的工程材料、构配件、设备质量证明文件的有效性和符合性，并按规定对用于工程的材料采取平行检验或见证取样方式进行抽检； </w:t>
      </w:r>
    </w:p>
    <w:p w14:paraId="6E61E283">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（13）审核施工承包人提交的工程款支付申请，签发或出具工程款支付证书，并报委托人审核、批准；</w:t>
      </w:r>
    </w:p>
    <w:p w14:paraId="57398711">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（14）在巡视、旁站和检验过程中，发现工程质量、施工安全存在事故隐患的，要求施工承包人整改并报委托人；</w:t>
      </w:r>
    </w:p>
    <w:p w14:paraId="5DD0169A">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（15）经委托人同意，签发工程暂停令和复工令；</w:t>
      </w:r>
    </w:p>
    <w:p w14:paraId="35E6D8CC">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（16）审查施工承包人提交的采用新材料、新工艺、新技术、新设备的论证材料及相关验收标准；</w:t>
      </w:r>
    </w:p>
    <w:p w14:paraId="1A872EC9">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（17）验收隐蔽工程、分部分项工程；</w:t>
      </w:r>
    </w:p>
    <w:p w14:paraId="353C68C8">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（18）审查施工承包人提交的工程变更申请，协调处理施工进度调整、费用索赔、合同争议等事项；</w:t>
      </w:r>
    </w:p>
    <w:p w14:paraId="13A80E83">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（19）审查施工承包人提交的竣工验收申请，编写工程质量评估报告；</w:t>
      </w:r>
    </w:p>
    <w:p w14:paraId="12D46C13">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（20）参加工程竣工验收，签署竣工验收意见；</w:t>
      </w:r>
    </w:p>
    <w:p w14:paraId="4F87D8EC">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（21）审查施工承包人提交的竣工结算申请并报委托人；</w:t>
      </w:r>
    </w:p>
    <w:p w14:paraId="4A2D621D">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（22）编制、整理工程监理归档文件并报委托人。</w:t>
      </w:r>
    </w:p>
    <w:p w14:paraId="58C6C0E0">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2.1.3 相关服务的范围和内容在附录1中约定。</w:t>
      </w:r>
    </w:p>
    <w:p w14:paraId="2E8259A9">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 xml:space="preserve">2.2 </w:t>
      </w:r>
      <w:r>
        <w:rPr>
          <w:rFonts w:hint="eastAsia" w:ascii="宋体" w:hAnsi="宋体"/>
          <w:bCs/>
          <w:szCs w:val="21"/>
        </w:rPr>
        <w:t>监理与相关服务依据</w:t>
      </w:r>
    </w:p>
    <w:p w14:paraId="227BC515">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2.2.1 监理依据包括：</w:t>
      </w:r>
    </w:p>
    <w:p w14:paraId="15968F60">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（1）适用的法律、行政法规及部门规章；</w:t>
      </w:r>
    </w:p>
    <w:p w14:paraId="251D8DF5">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（2）与工程有关的标准；</w:t>
      </w:r>
    </w:p>
    <w:p w14:paraId="68C6BCF7">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（3）工程设计及有关文件；</w:t>
      </w:r>
    </w:p>
    <w:p w14:paraId="7100F671">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（4）本合同及委托人与第三方签订的与实施工程有关的其他合同。</w:t>
      </w:r>
    </w:p>
    <w:p w14:paraId="1522FF9D">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bCs/>
          <w:szCs w:val="21"/>
        </w:rPr>
        <w:t>双方根据工程的行业和地域特点，在专用条件中具体约定监理依据。</w:t>
      </w:r>
    </w:p>
    <w:p w14:paraId="4E252EDE">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2.2.2 相关服务依据在专用条件中约定。</w:t>
      </w:r>
    </w:p>
    <w:p w14:paraId="3163EBF9">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 xml:space="preserve">2.3 </w:t>
      </w:r>
      <w:r>
        <w:rPr>
          <w:rFonts w:hint="eastAsia" w:ascii="宋体" w:hAnsi="宋体" w:cs="宋体"/>
          <w:kern w:val="0"/>
          <w:szCs w:val="21"/>
        </w:rPr>
        <w:t>项目监理机构和人员</w:t>
      </w:r>
    </w:p>
    <w:p w14:paraId="34C1A824">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2.3.1 监理人应组建满足工作需要的项目监理机构，配备必要的检测设备。项目监理机构的主要人员应具有相应的资格条件。</w:t>
      </w:r>
    </w:p>
    <w:p w14:paraId="6C770A88">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2.3.2本合同履行过程中，总监理工程师及重要岗位监理人员应保持相对稳定，以保证监理工作正常进行。</w:t>
      </w:r>
    </w:p>
    <w:p w14:paraId="2818F18C">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2.3.3监理人可根据工程进展和工作需要调整项目监理机构人员。监理人更换总监理工程师、项目监理、相关服务其他监理人员时，应当提前7天向委托人书面报告，经委托人同意后方可更换。未经委托人同意，擅自更换时，视为监理人违约。</w:t>
      </w:r>
    </w:p>
    <w:p w14:paraId="25DB9440">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2.3.4 监理人应及时更换有下列情形之一的监理人员：</w:t>
      </w:r>
    </w:p>
    <w:p w14:paraId="5E34FEF4">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（1）严重过失行为的；</w:t>
      </w:r>
    </w:p>
    <w:p w14:paraId="74393E93">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（2）有违法行为不能履行职责的；</w:t>
      </w:r>
    </w:p>
    <w:p w14:paraId="218FEA93">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（3）涉嫌犯罪的；</w:t>
      </w:r>
    </w:p>
    <w:p w14:paraId="3AE7A835">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（4）不能胜任岗位职责的；</w:t>
      </w:r>
    </w:p>
    <w:p w14:paraId="6418C886">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（5）严重违反职业道德的；</w:t>
      </w:r>
    </w:p>
    <w:p w14:paraId="562D4F02">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（6）专用条件约定的其他情形。</w:t>
      </w:r>
    </w:p>
    <w:p w14:paraId="74FD20DD">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2.3.5 委托人可要求监理人更换不能胜任本职工作的项目监理机构人员。</w:t>
      </w:r>
    </w:p>
    <w:p w14:paraId="2A0B78E2">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 xml:space="preserve">2.4 </w:t>
      </w:r>
      <w:r>
        <w:rPr>
          <w:rFonts w:hint="eastAsia" w:ascii="宋体" w:hAnsi="宋体" w:cs="宋体"/>
          <w:kern w:val="0"/>
          <w:szCs w:val="21"/>
        </w:rPr>
        <w:t>履行职责</w:t>
      </w:r>
    </w:p>
    <w:p w14:paraId="0C13E03B">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kern w:val="0"/>
          <w:szCs w:val="21"/>
        </w:rPr>
        <w:t>监理人应遵循职业道德准则和行为规范，严格按照法律法规、工程建设有关标准及本合同履行职责。</w:t>
      </w:r>
    </w:p>
    <w:p w14:paraId="7A5B0E74">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2.4.1 在监理与相关服务范围内，委托人和承包人提出的意见和要求，监理人应及时提出处置意见。当委托人与承包人之间发生合同争议时，监理人应协助委托人、承包人协商解决。</w:t>
      </w:r>
    </w:p>
    <w:p w14:paraId="657A6122">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2.4.2 当委托人与承包人之间的合同争议提交仲裁机构仲裁或人民法院审理时，监理人应提供必要的证明资料。未提供，视为监理人违约，承担给委托人造成的一切损失。</w:t>
      </w:r>
    </w:p>
    <w:p w14:paraId="33965935">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2.4.3 监理人应在专用条件约定的授权范围内，处理委托人与承包人所签订合同的变更事宜。如果变更超过授权范围，应以书面形式报委托人批准。</w:t>
      </w:r>
    </w:p>
    <w:p w14:paraId="706782FD">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在紧急情况下，为了保护财产和人身安全，监理人所发出的指令未能事先报委托人批准时，应在发出指令后的24小时内以书面形式报委托人。</w:t>
      </w:r>
    </w:p>
    <w:p w14:paraId="64F96F77">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2.4.4 除专用条件另有约定外，监理人发现承包人的人员不能胜任本职工作的，有权要求承包人予以调换，应书面告知委托人并附证明材料。</w:t>
      </w:r>
    </w:p>
    <w:p w14:paraId="1AB93313">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2.4.5 监理人在实施监理过程中，发现存在安全事故隐患的，应当要求承包人整改；情况严重的，应当要求承包人暂时停止施工，并及时报告委托人。承包人拒不整改或者不停止施工的，监理人应当及时向有关主管部门报告。</w:t>
      </w:r>
    </w:p>
    <w:p w14:paraId="13D6046A">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2.4.6 监理人及其工作人员不得从与实施工程有关的第三方处获得任何经济利益。</w:t>
      </w:r>
    </w:p>
    <w:p w14:paraId="7CBFC3F6">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2.4.7监理人应当按法律、法规规定，为履行本合同内容的监理与相关服务机构人员办理相关保险,保证现场监理人员的安全。承担因履行本合同过程中工作人员的安全责任。</w:t>
      </w:r>
    </w:p>
    <w:p w14:paraId="05257C34">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2.5 提交</w:t>
      </w:r>
      <w:r>
        <w:rPr>
          <w:rFonts w:hint="eastAsia" w:ascii="宋体" w:hAnsi="宋体" w:cs="宋体"/>
          <w:kern w:val="0"/>
          <w:szCs w:val="21"/>
        </w:rPr>
        <w:t>报告</w:t>
      </w:r>
    </w:p>
    <w:p w14:paraId="3170C94D">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监理人应按专用条件约定的种类、时间和份数向委托人提交监理与相关服务的报告。</w:t>
      </w:r>
    </w:p>
    <w:p w14:paraId="530655EC">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2.6 文件资料</w:t>
      </w:r>
    </w:p>
    <w:p w14:paraId="19DB7BFF">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kern w:val="0"/>
          <w:szCs w:val="21"/>
        </w:rPr>
        <w:t>在本合同履行期内，监理人应在现场保留工作所用的图纸、报告及记录监理工</w:t>
      </w:r>
      <w:r>
        <w:rPr>
          <w:rFonts w:hint="eastAsia" w:ascii="宋体" w:hAnsi="宋体"/>
          <w:szCs w:val="21"/>
        </w:rPr>
        <w:t>作的相关文件。工程竣工后，应当按照档案管理规定将监理有关文件归档。</w:t>
      </w:r>
    </w:p>
    <w:p w14:paraId="79D617BC">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 xml:space="preserve">2.7 </w:t>
      </w:r>
      <w:r>
        <w:rPr>
          <w:rFonts w:hint="eastAsia" w:ascii="宋体" w:hAnsi="宋体" w:cs="宋体"/>
          <w:kern w:val="0"/>
          <w:szCs w:val="21"/>
        </w:rPr>
        <w:t>使用委托人的财产</w:t>
      </w:r>
    </w:p>
    <w:p w14:paraId="10468B2D">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除专用条件另有约定外，委托人提供的房屋、设备属于委托人的财产，监理人应妥善使用和保管，在本合同终止时将这些房屋、设备的清单提交委托人，并按专用条件约定的时间和方式移交。</w:t>
      </w:r>
    </w:p>
    <w:p w14:paraId="48B4AAF5">
      <w:pPr>
        <w:overflowPunct w:val="0"/>
        <w:autoSpaceDE w:val="0"/>
        <w:autoSpaceDN w:val="0"/>
        <w:adjustRightInd w:val="0"/>
        <w:snapToGrid w:val="0"/>
        <w:spacing w:line="360" w:lineRule="auto"/>
        <w:ind w:firstLine="422" w:firstLineChars="200"/>
        <w:rPr>
          <w:rFonts w:ascii="宋体" w:hAnsi="宋体"/>
          <w:b/>
          <w:kern w:val="0"/>
          <w:szCs w:val="21"/>
        </w:rPr>
      </w:pPr>
      <w:r>
        <w:rPr>
          <w:rFonts w:hint="eastAsia" w:ascii="宋体" w:hAnsi="宋体"/>
          <w:b/>
          <w:kern w:val="0"/>
          <w:szCs w:val="21"/>
        </w:rPr>
        <w:t>3．委托人的义务</w:t>
      </w:r>
    </w:p>
    <w:p w14:paraId="023F361F">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 xml:space="preserve">3.1 </w:t>
      </w:r>
      <w:r>
        <w:rPr>
          <w:rFonts w:hint="eastAsia" w:ascii="宋体" w:hAnsi="宋体" w:cs="宋体"/>
          <w:kern w:val="0"/>
          <w:szCs w:val="21"/>
        </w:rPr>
        <w:t>告知</w:t>
      </w:r>
    </w:p>
    <w:p w14:paraId="79E623CE">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委托人应在委托人与承包人签订的合同中明确监理人、总监理工程师和授予项目监理机构的权限。如有变更，应及时通知承包人。</w:t>
      </w:r>
    </w:p>
    <w:p w14:paraId="1C4B0DC3">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 xml:space="preserve">3.2 </w:t>
      </w:r>
      <w:r>
        <w:rPr>
          <w:rFonts w:hint="eastAsia" w:ascii="宋体" w:hAnsi="宋体" w:cs="宋体"/>
          <w:kern w:val="0"/>
          <w:szCs w:val="21"/>
        </w:rPr>
        <w:t>提供资料</w:t>
      </w:r>
    </w:p>
    <w:p w14:paraId="215AD4F3">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kern w:val="0"/>
          <w:szCs w:val="21"/>
        </w:rPr>
        <w:t>委托人应按照附录2约定，无偿向监理人提供工程有关的资料。</w:t>
      </w:r>
      <w:r>
        <w:rPr>
          <w:rFonts w:hint="eastAsia" w:ascii="宋体" w:hAnsi="宋体"/>
          <w:szCs w:val="21"/>
        </w:rPr>
        <w:t>在本合同履行过程中，委托人应及时向监理人提供最新的与工程有关的资料。</w:t>
      </w:r>
    </w:p>
    <w:p w14:paraId="094F6EF8">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 xml:space="preserve">3.3 </w:t>
      </w:r>
      <w:r>
        <w:rPr>
          <w:rFonts w:hint="eastAsia" w:ascii="宋体" w:hAnsi="宋体" w:cs="宋体"/>
          <w:kern w:val="0"/>
          <w:szCs w:val="21"/>
        </w:rPr>
        <w:t>提供工作条件</w:t>
      </w:r>
    </w:p>
    <w:p w14:paraId="58C97FB0">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委托人应为监理人完成监理与相关服务提供必要的条件。</w:t>
      </w:r>
    </w:p>
    <w:p w14:paraId="6C0F76F0">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kern w:val="0"/>
          <w:szCs w:val="21"/>
        </w:rPr>
        <w:t xml:space="preserve">3.3.1 </w:t>
      </w:r>
      <w:r>
        <w:rPr>
          <w:rFonts w:hint="eastAsia" w:ascii="宋体" w:hAnsi="宋体"/>
          <w:szCs w:val="21"/>
        </w:rPr>
        <w:t>委托人应按照附录B约定，派遣相应的人员。</w:t>
      </w:r>
    </w:p>
    <w:p w14:paraId="2EC689A8">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kern w:val="0"/>
          <w:szCs w:val="21"/>
        </w:rPr>
        <w:t xml:space="preserve">3.3.2 </w:t>
      </w:r>
      <w:r>
        <w:rPr>
          <w:rFonts w:hint="eastAsia" w:ascii="宋体" w:hAnsi="宋体"/>
          <w:szCs w:val="21"/>
        </w:rPr>
        <w:t>委托人应负责协调工程建设中所有外部关系，为监理人履行本合同提供必要的外部条件。</w:t>
      </w:r>
    </w:p>
    <w:p w14:paraId="4ACD3667">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 xml:space="preserve">3.4 </w:t>
      </w:r>
      <w:r>
        <w:rPr>
          <w:rFonts w:hint="eastAsia" w:ascii="宋体" w:hAnsi="宋体" w:cs="宋体"/>
          <w:kern w:val="0"/>
          <w:szCs w:val="21"/>
        </w:rPr>
        <w:t>委托人代表</w:t>
      </w:r>
    </w:p>
    <w:p w14:paraId="294056C6">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委托人应授权一名熟悉工程情况的代表，负责与监理人联系。委托人应在双方签订本合同后</w:t>
      </w:r>
      <w:r>
        <w:rPr>
          <w:rFonts w:hint="eastAsia" w:ascii="宋体" w:hAnsi="宋体"/>
          <w:szCs w:val="21"/>
          <w:u w:val="single"/>
        </w:rPr>
        <w:t>7</w:t>
      </w:r>
      <w:r>
        <w:rPr>
          <w:rFonts w:hint="eastAsia" w:ascii="宋体" w:hAnsi="宋体"/>
          <w:szCs w:val="21"/>
        </w:rPr>
        <w:t>天内，将委托人代表的姓名和职责书面告知监理人。当委托人更换委托人代表时，应提前</w:t>
      </w:r>
      <w:r>
        <w:rPr>
          <w:rFonts w:hint="eastAsia" w:ascii="宋体" w:hAnsi="宋体"/>
          <w:szCs w:val="21"/>
          <w:u w:val="single"/>
        </w:rPr>
        <w:t>7</w:t>
      </w:r>
      <w:r>
        <w:rPr>
          <w:rFonts w:hint="eastAsia" w:ascii="宋体" w:hAnsi="宋体"/>
          <w:szCs w:val="21"/>
        </w:rPr>
        <w:t>天通知监理人。</w:t>
      </w:r>
    </w:p>
    <w:p w14:paraId="5588E554">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 xml:space="preserve">3.5 </w:t>
      </w:r>
      <w:r>
        <w:rPr>
          <w:rFonts w:hint="eastAsia" w:ascii="宋体" w:hAnsi="宋体" w:cs="宋体"/>
          <w:kern w:val="0"/>
          <w:szCs w:val="21"/>
        </w:rPr>
        <w:t>委托人意见或要求</w:t>
      </w:r>
    </w:p>
    <w:p w14:paraId="283CA7F8">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在本合同约定的监理与相关服务工作范围内，委托人对承包人的任何意见或要求应通知监理人，由监理人向承包人发出相应指令。</w:t>
      </w:r>
    </w:p>
    <w:p w14:paraId="5856DCC2">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 xml:space="preserve">3.6 </w:t>
      </w:r>
      <w:r>
        <w:rPr>
          <w:rFonts w:hint="eastAsia" w:ascii="宋体" w:hAnsi="宋体" w:cs="宋体"/>
          <w:kern w:val="0"/>
          <w:szCs w:val="21"/>
        </w:rPr>
        <w:t>答复</w:t>
      </w:r>
    </w:p>
    <w:p w14:paraId="2F2E9184">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委托人应在专用条件约定的时间内，对监理人以书面形式提交并要求作出决定的事宜，给予书面答复。逾期未答复的，视为委托人认可。</w:t>
      </w:r>
    </w:p>
    <w:p w14:paraId="383434EA">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 xml:space="preserve">3.7 </w:t>
      </w:r>
      <w:r>
        <w:rPr>
          <w:rFonts w:hint="eastAsia" w:ascii="宋体" w:hAnsi="宋体" w:cs="宋体"/>
          <w:kern w:val="0"/>
          <w:szCs w:val="21"/>
        </w:rPr>
        <w:t>支付</w:t>
      </w:r>
    </w:p>
    <w:p w14:paraId="1BCC5629">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委托人应按本合同约定，向监理人支付酬金。</w:t>
      </w:r>
    </w:p>
    <w:p w14:paraId="499FB6FF">
      <w:pPr>
        <w:overflowPunct w:val="0"/>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4. 违约责任</w:t>
      </w:r>
    </w:p>
    <w:p w14:paraId="1ED1097E">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 xml:space="preserve">4.1 </w:t>
      </w:r>
      <w:r>
        <w:rPr>
          <w:rFonts w:hint="eastAsia" w:ascii="宋体" w:hAnsi="宋体" w:cs="宋体"/>
          <w:kern w:val="0"/>
          <w:szCs w:val="21"/>
        </w:rPr>
        <w:t>监理人的违约责任</w:t>
      </w:r>
    </w:p>
    <w:p w14:paraId="652C235E">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　监理人的违约情形</w:t>
      </w:r>
    </w:p>
    <w:p w14:paraId="1482639C">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4.1.1.1 监理人明确表示或者以行为表明不履行合同义务，或履行义务不符合约定；</w:t>
      </w:r>
    </w:p>
    <w:p w14:paraId="4FA2BAD8">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4.1.1.2 监理人违反合同的约定，将监理与相关服务的任何部分转让或区域；</w:t>
      </w:r>
    </w:p>
    <w:p w14:paraId="5FD4F46E">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4.1.1.3 违反合同专用条款约定的其他情形。</w:t>
      </w:r>
    </w:p>
    <w:p w14:paraId="2053896B">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kern w:val="0"/>
          <w:szCs w:val="21"/>
        </w:rPr>
        <w:t>4.1.2监理人未履行本合同义务的，应承担相应的责任。</w:t>
      </w:r>
    </w:p>
    <w:p w14:paraId="51A2A56E">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4.1.2.1监理人违反合同约定，在约定的时间内，未改正的，委托人有权解除合同；</w:t>
      </w:r>
    </w:p>
    <w:p w14:paraId="2C5E7881">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4.1.2.2 因监理人</w:t>
      </w:r>
      <w:r>
        <w:rPr>
          <w:rFonts w:hint="eastAsia" w:ascii="宋体" w:hAnsi="宋体" w:cs="宋体"/>
          <w:kern w:val="0"/>
          <w:szCs w:val="21"/>
        </w:rPr>
        <w:t>违反本合同约定</w:t>
      </w:r>
      <w:r>
        <w:rPr>
          <w:rFonts w:hint="eastAsia" w:ascii="宋体" w:hAnsi="宋体"/>
          <w:szCs w:val="21"/>
        </w:rPr>
        <w:t>给委托人造成损失的，监理人应当赔偿委托人损失</w:t>
      </w:r>
      <w:r>
        <w:rPr>
          <w:rFonts w:hint="eastAsia" w:ascii="宋体" w:hAnsi="宋体"/>
          <w:kern w:val="0"/>
          <w:szCs w:val="21"/>
        </w:rPr>
        <w:t>。赔偿金额的确定方法在专用条件中约定。监理人承担部分赔偿责任的，其承担赔偿金额由双方协商确定。</w:t>
      </w:r>
    </w:p>
    <w:p w14:paraId="3DAD8F71">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4.1.2.3监理人向委托人的索赔不成立时，监理人应赔偿委托人由此发生的费用。</w:t>
      </w:r>
    </w:p>
    <w:p w14:paraId="4C2FBAAA">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4.2 委</w:t>
      </w:r>
      <w:r>
        <w:rPr>
          <w:rFonts w:hint="eastAsia" w:ascii="宋体" w:hAnsi="宋体" w:cs="宋体"/>
          <w:kern w:val="0"/>
          <w:szCs w:val="21"/>
        </w:rPr>
        <w:t>托人的违约责任</w:t>
      </w:r>
    </w:p>
    <w:p w14:paraId="3E256579">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委托人未履行本合同义务的，应承担相应的责任。</w:t>
      </w:r>
    </w:p>
    <w:p w14:paraId="7CF8EB30">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4.2.1 委托人违反本合同约定造成监理人损失的，委托人应予以赔偿。</w:t>
      </w:r>
    </w:p>
    <w:p w14:paraId="342B1E81">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4.2.2 委托人向监理人的索赔不成立时，应赔偿监理人由此引起的费用。</w:t>
      </w:r>
    </w:p>
    <w:p w14:paraId="7B90C0FD">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szCs w:val="21"/>
        </w:rPr>
        <w:t xml:space="preserve">4.2.3 </w:t>
      </w:r>
      <w:r>
        <w:rPr>
          <w:rFonts w:hint="eastAsia" w:ascii="宋体" w:hAnsi="宋体"/>
          <w:kern w:val="0"/>
          <w:szCs w:val="21"/>
        </w:rPr>
        <w:t>委托人未能按期支付</w:t>
      </w:r>
      <w:r>
        <w:rPr>
          <w:rFonts w:hint="eastAsia" w:ascii="宋体" w:hAnsi="宋体"/>
          <w:szCs w:val="21"/>
        </w:rPr>
        <w:t>酬金</w:t>
      </w:r>
      <w:r>
        <w:rPr>
          <w:rFonts w:hint="eastAsia" w:ascii="宋体" w:hAnsi="宋体"/>
          <w:kern w:val="0"/>
          <w:szCs w:val="21"/>
        </w:rPr>
        <w:t>超过28天，</w:t>
      </w:r>
      <w:r>
        <w:rPr>
          <w:rFonts w:hint="eastAsia" w:ascii="宋体" w:hAnsi="宋体" w:cs="宋体"/>
          <w:kern w:val="0"/>
          <w:szCs w:val="21"/>
        </w:rPr>
        <w:t>应按专用条件约定支付逾期付款利息</w:t>
      </w:r>
      <w:r>
        <w:rPr>
          <w:rFonts w:hint="eastAsia" w:ascii="宋体" w:hAnsi="宋体"/>
          <w:kern w:val="0"/>
          <w:szCs w:val="21"/>
        </w:rPr>
        <w:t>。</w:t>
      </w:r>
    </w:p>
    <w:p w14:paraId="4FC0A7F2">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4.3 除外责任</w:t>
      </w:r>
    </w:p>
    <w:p w14:paraId="35037321">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因非监理人的原因，且监理人无过错，发生工程质量事故、安全事故、工期延误等造成的损失，监理人不承担赔偿责任。</w:t>
      </w:r>
    </w:p>
    <w:p w14:paraId="134C837C">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因不可抗力导致本合同全部或部分不能履行时，双方各自承担其因此而造成的损失、损害。</w:t>
      </w:r>
    </w:p>
    <w:p w14:paraId="2ED836DC">
      <w:pPr>
        <w:overflowPunct w:val="0"/>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5. 支付</w:t>
      </w:r>
    </w:p>
    <w:p w14:paraId="1B61FD50">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 xml:space="preserve">5.1 </w:t>
      </w:r>
      <w:r>
        <w:rPr>
          <w:rFonts w:hint="eastAsia" w:ascii="宋体" w:hAnsi="宋体"/>
          <w:bCs/>
          <w:szCs w:val="21"/>
        </w:rPr>
        <w:t>支付货币</w:t>
      </w:r>
    </w:p>
    <w:p w14:paraId="1A2063E6">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除专用条件另有约定外，酬金均以人民币支付。涉及外币支付的，所采用的货币种类、比例和汇率在专用条件中约定。</w:t>
      </w:r>
    </w:p>
    <w:p w14:paraId="13900AB4">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5.2 支付申请</w:t>
      </w:r>
    </w:p>
    <w:p w14:paraId="30A967E4">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除专用条件另有约定外，监理人应在本合同约定的每次应付款时间的14天前，向委托人提交支付申请书。支付申请书应当说明当期应付款总额，并列出当期应支付的款项及其金额。</w:t>
      </w:r>
    </w:p>
    <w:p w14:paraId="5A47EC3F">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 xml:space="preserve"> 5.3 支付酬金</w:t>
      </w:r>
    </w:p>
    <w:p w14:paraId="49A4DBF7">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支付的酬金包括正常工作酬金、附加工作酬金、合理化建议奖励金额及费用。</w:t>
      </w:r>
    </w:p>
    <w:p w14:paraId="59F7906F">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 xml:space="preserve"> 5.4 </w:t>
      </w:r>
      <w:r>
        <w:rPr>
          <w:rFonts w:hint="eastAsia" w:ascii="宋体" w:hAnsi="宋体"/>
          <w:bCs/>
          <w:szCs w:val="21"/>
        </w:rPr>
        <w:t>有争议部分的付款</w:t>
      </w:r>
    </w:p>
    <w:p w14:paraId="5C5C1F89">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委托人对监理人提交的支付申请书有异议时，应当在收到监理人提交的支付申请书后14天内，以书面形式向监理人发出异议通知。无异议部分的款项应按期支付，有异议部分的款项按第7条约定办理。</w:t>
      </w:r>
    </w:p>
    <w:p w14:paraId="12E44E0F">
      <w:pPr>
        <w:overflowPunct w:val="0"/>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6. 合同生效、变更、暂停、解除与终止</w:t>
      </w:r>
    </w:p>
    <w:p w14:paraId="135A5F61">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6.1生效</w:t>
      </w:r>
    </w:p>
    <w:p w14:paraId="77DAFA79">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除法律另有规定或者专用条件另有约定外，委托人和监理人的法定代表人或其授权代理人在协议书上签名并盖单位章后本合同生效。</w:t>
      </w:r>
    </w:p>
    <w:p w14:paraId="13ECD641">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6.2</w:t>
      </w:r>
      <w:r>
        <w:rPr>
          <w:rFonts w:hint="eastAsia" w:ascii="宋体" w:hAnsi="宋体"/>
          <w:bCs/>
          <w:szCs w:val="21"/>
        </w:rPr>
        <w:t>变更</w:t>
      </w:r>
    </w:p>
    <w:p w14:paraId="0432D3F6">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6.2.1 任何一方提出变更请求时，双方经协商一致后可进行变更。</w:t>
      </w:r>
    </w:p>
    <w:p w14:paraId="3060A946">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086C28ED">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hint="eastAsia" w:ascii="宋体" w:hAnsi="宋体"/>
          <w:szCs w:val="21"/>
          <w:u w:val="single"/>
        </w:rPr>
        <w:t>28</w:t>
      </w:r>
      <w:r>
        <w:rPr>
          <w:rFonts w:hint="eastAsia" w:ascii="宋体" w:hAnsi="宋体"/>
          <w:szCs w:val="21"/>
        </w:rPr>
        <w:t>天。</w:t>
      </w:r>
    </w:p>
    <w:p w14:paraId="3CBA3761">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6.2.4合同签订后，遇有与工程相关的法律法规、标准颁布或修订的，双方应遵照执行。由此引起监理与相关服务的范围、时间、酬金变化的，双方应通过协商进行相应调整。</w:t>
      </w:r>
    </w:p>
    <w:p w14:paraId="34C1714E">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6.2.5 因非监理人原因造成工程概算投资额或建筑安装工程费增加时，正常工作酬金应作相应调整。调整方法在专用条件中约定。</w:t>
      </w:r>
    </w:p>
    <w:p w14:paraId="77FE7FA5">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6.2.6 因工程规模、监理范围的变化导致监理人的正常工作量减少时，正常工作酬金应作相应调整。调整方法在专用条件中约定。</w:t>
      </w:r>
    </w:p>
    <w:p w14:paraId="6641B3E3">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6.3 暂停与</w:t>
      </w:r>
      <w:r>
        <w:rPr>
          <w:rFonts w:hint="eastAsia" w:ascii="宋体" w:hAnsi="宋体"/>
          <w:bCs/>
          <w:szCs w:val="21"/>
        </w:rPr>
        <w:t>解除</w:t>
      </w:r>
    </w:p>
    <w:p w14:paraId="61529110">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除双方协商一致可以解除本合同外，当一方无正当理由未履行本合同约定的义务时，另一方可以根据本合同约定暂停履行本合同直至解除本合同。</w:t>
      </w:r>
    </w:p>
    <w:p w14:paraId="4F690E78">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7B3EC1C3">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因解除本合同或解除监理人的部分义务导致监理人遭受的损失，除依法可以免除责任的情况外，应由委托人予以补偿，补偿金额由双方协商确定。</w:t>
      </w:r>
    </w:p>
    <w:p w14:paraId="15FF1F6C">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解除本合同的协议必须采取书面形式，协议未达成之前，本合同仍然有效。</w:t>
      </w:r>
    </w:p>
    <w:p w14:paraId="0FA04982">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1E4BA3B1">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kern w:val="0"/>
          <w:szCs w:val="21"/>
        </w:rPr>
        <w:t>的</w:t>
      </w:r>
      <w:r>
        <w:rPr>
          <w:rFonts w:hint="eastAsia" w:ascii="宋体" w:hAnsi="宋体"/>
          <w:szCs w:val="21"/>
        </w:rPr>
        <w:t>酬金支付至本合同解除日，且应承担第4.2款约定的责任。</w:t>
      </w:r>
    </w:p>
    <w:p w14:paraId="2971A7C7">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kern w:val="0"/>
          <w:szCs w:val="21"/>
        </w:rPr>
        <w:t>的</w:t>
      </w:r>
      <w:r>
        <w:rPr>
          <w:rFonts w:hint="eastAsia" w:ascii="宋体" w:hAnsi="宋体"/>
          <w:szCs w:val="21"/>
        </w:rPr>
        <w:t>酬金支付至</w:t>
      </w:r>
      <w:r>
        <w:rPr>
          <w:rFonts w:hint="eastAsia" w:ascii="宋体" w:hAnsi="宋体"/>
          <w:kern w:val="0"/>
          <w:szCs w:val="21"/>
        </w:rPr>
        <w:t>限期改正通知到达监理人之日</w:t>
      </w:r>
      <w:r>
        <w:rPr>
          <w:rFonts w:hint="eastAsia" w:ascii="宋体" w:hAnsi="宋体"/>
          <w:szCs w:val="21"/>
        </w:rPr>
        <w:t>，但监理人应承担第4.1款约定的责任。</w:t>
      </w:r>
    </w:p>
    <w:p w14:paraId="691A6344">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1A2DC9E6">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szCs w:val="21"/>
        </w:rPr>
        <w:t>6.3.5 因不可抗力致使本合同部分或全部不能履行时，一方应立即通知另一方，可暂停或解除本合同。</w:t>
      </w:r>
    </w:p>
    <w:p w14:paraId="6D3A4333">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6.3.6 本合同解除后，本合同约定的有关结算、清理、争议解决方式的条件仍然有效。</w:t>
      </w:r>
    </w:p>
    <w:p w14:paraId="4F59EA23">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 xml:space="preserve">6.4 </w:t>
      </w:r>
      <w:r>
        <w:rPr>
          <w:rFonts w:hint="eastAsia" w:ascii="宋体" w:hAnsi="宋体"/>
          <w:bCs/>
          <w:szCs w:val="21"/>
        </w:rPr>
        <w:t>终止</w:t>
      </w:r>
    </w:p>
    <w:p w14:paraId="75E06965">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6.4.1以下条件全部满足时，本合同即告终止：</w:t>
      </w:r>
    </w:p>
    <w:p w14:paraId="2FA57D27">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（1）监理人完成本合同约定的全部工作；</w:t>
      </w:r>
    </w:p>
    <w:p w14:paraId="757A58C9">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（2）委托人与监理人结清并支付全部酬金。</w:t>
      </w:r>
    </w:p>
    <w:p w14:paraId="04553CFC">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　6.4.2合同权利义务终止后，合同约定的有关结算、清理、争议解决方式的条款仍然有效。</w:t>
      </w:r>
    </w:p>
    <w:p w14:paraId="4DC3F00E">
      <w:pPr>
        <w:overflowPunct w:val="0"/>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7. 争议解决</w:t>
      </w:r>
    </w:p>
    <w:p w14:paraId="41A6A062">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7.1</w:t>
      </w:r>
      <w:r>
        <w:rPr>
          <w:rFonts w:hint="eastAsia" w:ascii="宋体" w:hAnsi="宋体"/>
          <w:bCs/>
          <w:szCs w:val="21"/>
        </w:rPr>
        <w:t>协商</w:t>
      </w:r>
    </w:p>
    <w:p w14:paraId="487F01B1">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双方应本着诚信原则协商解决彼此间的争议。</w:t>
      </w:r>
    </w:p>
    <w:p w14:paraId="72C03248">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7.2</w:t>
      </w:r>
      <w:r>
        <w:rPr>
          <w:rFonts w:hint="eastAsia" w:ascii="宋体" w:hAnsi="宋体"/>
          <w:bCs/>
          <w:szCs w:val="21"/>
        </w:rPr>
        <w:t>调解</w:t>
      </w:r>
    </w:p>
    <w:p w14:paraId="24585E96">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如果双方不能在14天内或双方商定的其他时间内解决本合同争议，可以将其提交给专用条件约定的或事后达成协议的调解人进行调解。</w:t>
      </w:r>
    </w:p>
    <w:p w14:paraId="3FF4B361">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7.3</w:t>
      </w:r>
      <w:r>
        <w:rPr>
          <w:rFonts w:hint="eastAsia" w:ascii="宋体" w:hAnsi="宋体"/>
          <w:bCs/>
          <w:szCs w:val="21"/>
        </w:rPr>
        <w:t>仲裁或诉讼</w:t>
      </w:r>
    </w:p>
    <w:p w14:paraId="3F5AC738">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双方均有权不经调解直接向专用条件约定的仲裁机构申请仲裁或向项目工程所在地有管辖权的人民法院提起诉讼。</w:t>
      </w:r>
    </w:p>
    <w:p w14:paraId="3642F82B">
      <w:pPr>
        <w:overflowPunct w:val="0"/>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8. 其他</w:t>
      </w:r>
    </w:p>
    <w:p w14:paraId="4B100642">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 xml:space="preserve">8.1 </w:t>
      </w:r>
      <w:r>
        <w:rPr>
          <w:rFonts w:hint="eastAsia" w:ascii="宋体" w:hAnsi="宋体"/>
          <w:bCs/>
          <w:szCs w:val="21"/>
        </w:rPr>
        <w:t>外出考察费用</w:t>
      </w:r>
    </w:p>
    <w:p w14:paraId="24A45B76">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经委托人同意，监理人员外出考察发生的费用由委托人审核后支付。</w:t>
      </w:r>
    </w:p>
    <w:p w14:paraId="0E7C4F00">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 xml:space="preserve">8.2 </w:t>
      </w:r>
      <w:r>
        <w:rPr>
          <w:rFonts w:hint="eastAsia" w:ascii="宋体" w:hAnsi="宋体"/>
          <w:bCs/>
          <w:szCs w:val="21"/>
        </w:rPr>
        <w:t>检测费用</w:t>
      </w:r>
    </w:p>
    <w:p w14:paraId="76F7DB5E">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委托人要求监理人进行的材料和设备检测所发生的费用，由委托人支付，支付时间在专用条件中约定。</w:t>
      </w:r>
    </w:p>
    <w:p w14:paraId="11C42569">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 xml:space="preserve">8.3 </w:t>
      </w:r>
      <w:r>
        <w:rPr>
          <w:rFonts w:hint="eastAsia" w:ascii="宋体" w:hAnsi="宋体"/>
          <w:bCs/>
          <w:szCs w:val="21"/>
        </w:rPr>
        <w:t>咨询费用</w:t>
      </w:r>
    </w:p>
    <w:p w14:paraId="4F90EC53">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经委托人同意，根据工程需要由监理人组织的相关咨询论证会以及聘请相关专家等发生的费用由委托人支付，支付时间在专用条件中约定。</w:t>
      </w:r>
    </w:p>
    <w:p w14:paraId="6678E468">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 xml:space="preserve">8.4 </w:t>
      </w:r>
      <w:r>
        <w:rPr>
          <w:rFonts w:hint="eastAsia" w:ascii="宋体" w:hAnsi="宋体"/>
          <w:bCs/>
          <w:szCs w:val="21"/>
        </w:rPr>
        <w:t>奖励</w:t>
      </w:r>
    </w:p>
    <w:p w14:paraId="33345DFA">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监理人在服务过程中提出的合理化建议，使委托人获得经济效益的，双方在专用条件中约定奖励金额的确定方法。奖励金额在合理化建议被采纳后，与最近一期的正常工作酬金同期支付。</w:t>
      </w:r>
    </w:p>
    <w:p w14:paraId="450ED91C">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 xml:space="preserve">8.5 </w:t>
      </w:r>
      <w:r>
        <w:rPr>
          <w:rFonts w:hint="eastAsia" w:ascii="宋体" w:hAnsi="宋体"/>
          <w:bCs/>
          <w:szCs w:val="21"/>
        </w:rPr>
        <w:t>守法诚信</w:t>
      </w:r>
    </w:p>
    <w:p w14:paraId="0B131700">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监理人及其工作人员不得从与实施工程有关的第三方处获得任何经济利益。</w:t>
      </w:r>
    </w:p>
    <w:p w14:paraId="32C52D79">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 xml:space="preserve">8.6 </w:t>
      </w:r>
      <w:r>
        <w:rPr>
          <w:rFonts w:hint="eastAsia" w:ascii="宋体" w:hAnsi="宋体"/>
          <w:bCs/>
          <w:szCs w:val="21"/>
        </w:rPr>
        <w:t>保密</w:t>
      </w:r>
    </w:p>
    <w:p w14:paraId="566DDF0D">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双方不得泄露对方申明的保密资料，亦不得泄露与实施工程有关的第三方所提供的保密资料，保密事项在专用条件中约定。</w:t>
      </w:r>
    </w:p>
    <w:p w14:paraId="44B83942">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 xml:space="preserve">8.7 </w:t>
      </w:r>
      <w:r>
        <w:rPr>
          <w:rFonts w:hint="eastAsia" w:ascii="宋体" w:hAnsi="宋体"/>
          <w:bCs/>
          <w:szCs w:val="21"/>
        </w:rPr>
        <w:t>通知</w:t>
      </w:r>
    </w:p>
    <w:p w14:paraId="70411389">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本合同涉及的通知均应当采用书面形式，并在送达对方时生效，收件人应书面签收。专用条款另有约定，按照约定执行。</w:t>
      </w:r>
    </w:p>
    <w:p w14:paraId="48C7C459">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 xml:space="preserve">8.8 </w:t>
      </w:r>
      <w:r>
        <w:rPr>
          <w:rFonts w:hint="eastAsia" w:ascii="宋体" w:hAnsi="宋体"/>
          <w:bCs/>
          <w:szCs w:val="21"/>
        </w:rPr>
        <w:t>著作权</w:t>
      </w:r>
    </w:p>
    <w:p w14:paraId="046890E7">
      <w:pPr>
        <w:overflowPunct w:val="0"/>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监理人因履行本合同形成的知识产权成果归委托人所有，未经委托人同意，监理人不得复制泄露或向第三人转让或用于本合同外的项目，如发生以上情况，监理人承担给委托人造成一切损失。因履行本合同产生的知识成果侵害第三方权益时，责任由监理人承担，同时视为监理人违约。</w:t>
      </w:r>
    </w:p>
    <w:p w14:paraId="0EF3A2F0">
      <w:pPr>
        <w:overflowPunct w:val="0"/>
        <w:autoSpaceDE w:val="0"/>
        <w:autoSpaceDN w:val="0"/>
        <w:adjustRightInd w:val="0"/>
        <w:snapToGrid w:val="0"/>
        <w:spacing w:line="420" w:lineRule="exact"/>
        <w:ind w:firstLine="640" w:firstLineChars="200"/>
        <w:jc w:val="center"/>
        <w:rPr>
          <w:rFonts w:ascii="宋体" w:hAnsi="宋体"/>
          <w:sz w:val="32"/>
          <w:szCs w:val="32"/>
        </w:rPr>
      </w:pPr>
    </w:p>
    <w:p w14:paraId="668C11D8">
      <w:pPr>
        <w:overflowPunct w:val="0"/>
        <w:autoSpaceDE w:val="0"/>
        <w:autoSpaceDN w:val="0"/>
        <w:adjustRightInd w:val="0"/>
        <w:snapToGrid w:val="0"/>
        <w:spacing w:line="420" w:lineRule="exact"/>
        <w:ind w:firstLine="640" w:firstLineChars="200"/>
        <w:jc w:val="center"/>
        <w:rPr>
          <w:rFonts w:ascii="宋体" w:hAnsi="宋体"/>
          <w:sz w:val="32"/>
          <w:szCs w:val="32"/>
        </w:rPr>
      </w:pPr>
    </w:p>
    <w:p w14:paraId="5F68CF1E">
      <w:pPr>
        <w:overflowPunct w:val="0"/>
        <w:autoSpaceDE w:val="0"/>
        <w:autoSpaceDN w:val="0"/>
        <w:adjustRightInd w:val="0"/>
        <w:snapToGrid w:val="0"/>
        <w:spacing w:line="420" w:lineRule="exact"/>
        <w:ind w:firstLine="640" w:firstLineChars="200"/>
        <w:jc w:val="center"/>
        <w:rPr>
          <w:rFonts w:ascii="宋体" w:hAnsi="宋体"/>
          <w:sz w:val="32"/>
          <w:szCs w:val="32"/>
        </w:rPr>
      </w:pPr>
    </w:p>
    <w:p w14:paraId="163E26FF">
      <w:pPr>
        <w:overflowPunct w:val="0"/>
        <w:autoSpaceDE w:val="0"/>
        <w:autoSpaceDN w:val="0"/>
        <w:adjustRightInd w:val="0"/>
        <w:snapToGrid w:val="0"/>
        <w:spacing w:line="420" w:lineRule="exact"/>
        <w:ind w:firstLine="640" w:firstLineChars="200"/>
        <w:jc w:val="center"/>
        <w:rPr>
          <w:rFonts w:ascii="宋体" w:hAnsi="宋体"/>
          <w:sz w:val="32"/>
          <w:szCs w:val="32"/>
        </w:rPr>
      </w:pPr>
    </w:p>
    <w:p w14:paraId="2706750B">
      <w:pPr>
        <w:overflowPunct w:val="0"/>
        <w:autoSpaceDE w:val="0"/>
        <w:autoSpaceDN w:val="0"/>
        <w:adjustRightInd w:val="0"/>
        <w:snapToGrid w:val="0"/>
        <w:spacing w:line="420" w:lineRule="exact"/>
        <w:ind w:firstLine="640" w:firstLineChars="200"/>
        <w:jc w:val="center"/>
        <w:rPr>
          <w:rFonts w:ascii="宋体" w:hAnsi="宋体"/>
          <w:sz w:val="32"/>
          <w:szCs w:val="32"/>
        </w:rPr>
      </w:pPr>
    </w:p>
    <w:p w14:paraId="23512436">
      <w:pPr>
        <w:overflowPunct w:val="0"/>
        <w:autoSpaceDE w:val="0"/>
        <w:autoSpaceDN w:val="0"/>
        <w:adjustRightInd w:val="0"/>
        <w:snapToGrid w:val="0"/>
        <w:spacing w:line="420" w:lineRule="exact"/>
        <w:ind w:firstLine="640" w:firstLineChars="200"/>
        <w:jc w:val="center"/>
        <w:rPr>
          <w:rFonts w:ascii="宋体" w:hAnsi="宋体"/>
          <w:sz w:val="32"/>
          <w:szCs w:val="32"/>
        </w:rPr>
      </w:pPr>
    </w:p>
    <w:p w14:paraId="36938171">
      <w:pPr>
        <w:overflowPunct w:val="0"/>
        <w:autoSpaceDE w:val="0"/>
        <w:autoSpaceDN w:val="0"/>
        <w:adjustRightInd w:val="0"/>
        <w:snapToGrid w:val="0"/>
        <w:spacing w:line="420" w:lineRule="exact"/>
        <w:ind w:firstLine="640" w:firstLineChars="200"/>
        <w:jc w:val="center"/>
        <w:rPr>
          <w:rFonts w:ascii="宋体" w:hAnsi="宋体"/>
          <w:sz w:val="32"/>
          <w:szCs w:val="32"/>
        </w:rPr>
      </w:pPr>
    </w:p>
    <w:p w14:paraId="737223E3">
      <w:pPr>
        <w:overflowPunct w:val="0"/>
        <w:autoSpaceDE w:val="0"/>
        <w:autoSpaceDN w:val="0"/>
        <w:adjustRightInd w:val="0"/>
        <w:snapToGrid w:val="0"/>
        <w:spacing w:line="420" w:lineRule="exact"/>
        <w:ind w:firstLine="640" w:firstLineChars="200"/>
        <w:jc w:val="center"/>
        <w:rPr>
          <w:rFonts w:ascii="宋体" w:hAnsi="宋体"/>
          <w:sz w:val="32"/>
          <w:szCs w:val="32"/>
        </w:rPr>
      </w:pPr>
    </w:p>
    <w:p w14:paraId="32DCF565">
      <w:pPr>
        <w:overflowPunct w:val="0"/>
        <w:autoSpaceDE w:val="0"/>
        <w:autoSpaceDN w:val="0"/>
        <w:adjustRightInd w:val="0"/>
        <w:snapToGrid w:val="0"/>
        <w:spacing w:line="420" w:lineRule="exact"/>
        <w:ind w:firstLine="640" w:firstLineChars="200"/>
        <w:jc w:val="center"/>
        <w:rPr>
          <w:rFonts w:ascii="宋体" w:hAnsi="宋体"/>
          <w:sz w:val="32"/>
          <w:szCs w:val="32"/>
        </w:rPr>
      </w:pPr>
    </w:p>
    <w:p w14:paraId="6B51921F">
      <w:pPr>
        <w:overflowPunct w:val="0"/>
        <w:autoSpaceDE w:val="0"/>
        <w:autoSpaceDN w:val="0"/>
        <w:adjustRightInd w:val="0"/>
        <w:snapToGrid w:val="0"/>
        <w:spacing w:line="420" w:lineRule="exact"/>
        <w:ind w:firstLine="640" w:firstLineChars="200"/>
        <w:jc w:val="center"/>
        <w:rPr>
          <w:rFonts w:ascii="宋体" w:hAnsi="宋体"/>
          <w:sz w:val="32"/>
          <w:szCs w:val="32"/>
        </w:rPr>
      </w:pPr>
    </w:p>
    <w:p w14:paraId="6E8FBE40">
      <w:pPr>
        <w:overflowPunct w:val="0"/>
        <w:autoSpaceDE w:val="0"/>
        <w:autoSpaceDN w:val="0"/>
        <w:adjustRightInd w:val="0"/>
        <w:snapToGrid w:val="0"/>
        <w:spacing w:line="420" w:lineRule="exact"/>
        <w:ind w:firstLine="640" w:firstLineChars="200"/>
        <w:jc w:val="center"/>
        <w:rPr>
          <w:rFonts w:ascii="宋体" w:hAnsi="宋体"/>
          <w:sz w:val="32"/>
          <w:szCs w:val="32"/>
        </w:rPr>
      </w:pPr>
    </w:p>
    <w:p w14:paraId="6845591A">
      <w:pPr>
        <w:overflowPunct w:val="0"/>
        <w:autoSpaceDE w:val="0"/>
        <w:autoSpaceDN w:val="0"/>
        <w:adjustRightInd w:val="0"/>
        <w:snapToGrid w:val="0"/>
        <w:spacing w:line="420" w:lineRule="exact"/>
        <w:ind w:firstLine="640" w:firstLineChars="200"/>
        <w:jc w:val="center"/>
        <w:rPr>
          <w:rFonts w:ascii="宋体" w:hAnsi="宋体"/>
          <w:sz w:val="32"/>
          <w:szCs w:val="32"/>
        </w:rPr>
      </w:pPr>
    </w:p>
    <w:p w14:paraId="4D6FAE55">
      <w:pPr>
        <w:pStyle w:val="2"/>
      </w:pPr>
    </w:p>
    <w:p w14:paraId="564BE03E">
      <w:pPr>
        <w:overflowPunct w:val="0"/>
        <w:autoSpaceDE w:val="0"/>
        <w:autoSpaceDN w:val="0"/>
        <w:adjustRightInd w:val="0"/>
        <w:snapToGrid w:val="0"/>
        <w:spacing w:line="420" w:lineRule="exact"/>
        <w:ind w:firstLine="640" w:firstLineChars="200"/>
        <w:jc w:val="center"/>
        <w:rPr>
          <w:rFonts w:ascii="宋体" w:hAnsi="宋体"/>
          <w:sz w:val="32"/>
          <w:szCs w:val="32"/>
        </w:rPr>
      </w:pPr>
    </w:p>
    <w:p w14:paraId="6B14A1FD">
      <w:pPr>
        <w:rPr>
          <w:rFonts w:ascii="宋体" w:hAnsi="宋体"/>
          <w:sz w:val="32"/>
          <w:szCs w:val="32"/>
        </w:rPr>
      </w:pPr>
      <w:r>
        <w:rPr>
          <w:rFonts w:ascii="宋体" w:hAnsi="宋体"/>
          <w:sz w:val="32"/>
          <w:szCs w:val="32"/>
        </w:rPr>
        <w:br w:type="page"/>
      </w:r>
    </w:p>
    <w:p w14:paraId="6F77D897">
      <w:pPr>
        <w:overflowPunct w:val="0"/>
        <w:autoSpaceDE w:val="0"/>
        <w:autoSpaceDN w:val="0"/>
        <w:adjustRightInd w:val="0"/>
        <w:snapToGrid w:val="0"/>
        <w:spacing w:line="420" w:lineRule="exact"/>
        <w:ind w:firstLine="640" w:firstLineChars="200"/>
        <w:jc w:val="center"/>
        <w:outlineLvl w:val="0"/>
        <w:rPr>
          <w:rFonts w:ascii="宋体" w:hAnsi="宋体"/>
          <w:sz w:val="32"/>
          <w:szCs w:val="32"/>
        </w:rPr>
      </w:pPr>
      <w:r>
        <w:rPr>
          <w:rFonts w:hint="eastAsia" w:ascii="宋体" w:hAnsi="宋体"/>
          <w:sz w:val="32"/>
          <w:szCs w:val="32"/>
        </w:rPr>
        <w:t>第三部分  专用条件</w:t>
      </w:r>
    </w:p>
    <w:p w14:paraId="5A8E885C">
      <w:pPr>
        <w:overflowPunct w:val="0"/>
        <w:autoSpaceDE w:val="0"/>
        <w:autoSpaceDN w:val="0"/>
        <w:adjustRightInd w:val="0"/>
        <w:snapToGrid w:val="0"/>
        <w:spacing w:line="420" w:lineRule="exact"/>
        <w:ind w:firstLine="482" w:firstLineChars="200"/>
        <w:jc w:val="center"/>
        <w:rPr>
          <w:rFonts w:ascii="宋体" w:hAnsi="宋体"/>
          <w:b/>
          <w:sz w:val="24"/>
        </w:rPr>
      </w:pPr>
    </w:p>
    <w:p w14:paraId="499F9721">
      <w:pPr>
        <w:overflowPunct w:val="0"/>
        <w:autoSpaceDE w:val="0"/>
        <w:autoSpaceDN w:val="0"/>
        <w:adjustRightInd w:val="0"/>
        <w:snapToGrid w:val="0"/>
        <w:spacing w:line="360" w:lineRule="auto"/>
        <w:ind w:firstLine="422" w:firstLineChars="200"/>
        <w:rPr>
          <w:rFonts w:ascii="宋体" w:hAnsi="宋体"/>
          <w:b/>
          <w:szCs w:val="21"/>
        </w:rPr>
      </w:pPr>
      <w:r>
        <w:rPr>
          <w:rFonts w:hint="eastAsia" w:ascii="宋体" w:hAnsi="宋体"/>
          <w:b/>
          <w:szCs w:val="21"/>
        </w:rPr>
        <w:t>1. 定义与解释</w:t>
      </w:r>
    </w:p>
    <w:p w14:paraId="496B7BF3">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  定义</w:t>
      </w:r>
    </w:p>
    <w:p w14:paraId="6CDA548B">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1.1.19“承包人”是指除监理人以外，委托人就工程建设有关事宜签订合同的当事人。</w:t>
      </w:r>
    </w:p>
    <w:p w14:paraId="79BE2305">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1.2  解释</w:t>
      </w:r>
    </w:p>
    <w:p w14:paraId="04634AE3">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1.2.1 本合同文件除使用中文外，还可用</w:t>
      </w:r>
      <w:r>
        <w:rPr>
          <w:rFonts w:hint="eastAsia" w:ascii="宋体" w:hAnsi="宋体"/>
          <w:szCs w:val="21"/>
          <w:u w:val="single"/>
        </w:rPr>
        <w:t xml:space="preserve">    /   </w:t>
      </w:r>
      <w:r>
        <w:rPr>
          <w:rFonts w:hint="eastAsia" w:ascii="宋体" w:hAnsi="宋体"/>
          <w:szCs w:val="21"/>
        </w:rPr>
        <w:t>。</w:t>
      </w:r>
    </w:p>
    <w:p w14:paraId="05322C34">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1.2.2 约定本合同文件的解释顺序为：</w:t>
      </w:r>
      <w:r>
        <w:rPr>
          <w:rFonts w:hint="eastAsia" w:ascii="宋体" w:hAnsi="宋体"/>
          <w:szCs w:val="21"/>
          <w:u w:val="single"/>
        </w:rPr>
        <w:t xml:space="preserve">  按</w:t>
      </w:r>
      <w:r>
        <w:rPr>
          <w:rFonts w:ascii="宋体" w:hAnsi="宋体"/>
          <w:szCs w:val="21"/>
          <w:u w:val="single"/>
        </w:rPr>
        <w:t>“</w:t>
      </w:r>
      <w:r>
        <w:rPr>
          <w:rFonts w:hint="eastAsia" w:ascii="宋体" w:hAnsi="宋体"/>
          <w:szCs w:val="21"/>
          <w:u w:val="single"/>
        </w:rPr>
        <w:t>通用条件</w:t>
      </w:r>
      <w:r>
        <w:rPr>
          <w:rFonts w:ascii="宋体" w:hAnsi="宋体"/>
          <w:szCs w:val="21"/>
          <w:u w:val="single"/>
        </w:rPr>
        <w:t>”</w:t>
      </w:r>
      <w:r>
        <w:rPr>
          <w:rFonts w:hint="eastAsia" w:ascii="宋体" w:hAnsi="宋体"/>
          <w:szCs w:val="21"/>
          <w:u w:val="single"/>
        </w:rPr>
        <w:t xml:space="preserve">执行  </w:t>
      </w:r>
      <w:r>
        <w:rPr>
          <w:rFonts w:hint="eastAsia" w:ascii="宋体" w:hAnsi="宋体"/>
          <w:szCs w:val="21"/>
        </w:rPr>
        <w:t>。</w:t>
      </w:r>
    </w:p>
    <w:p w14:paraId="4A99894D">
      <w:pPr>
        <w:overflowPunct w:val="0"/>
        <w:autoSpaceDE w:val="0"/>
        <w:autoSpaceDN w:val="0"/>
        <w:adjustRightInd w:val="0"/>
        <w:snapToGrid w:val="0"/>
        <w:spacing w:line="360" w:lineRule="auto"/>
        <w:ind w:firstLine="422" w:firstLineChars="200"/>
        <w:rPr>
          <w:rFonts w:ascii="宋体" w:hAnsi="宋体"/>
          <w:b/>
          <w:szCs w:val="21"/>
        </w:rPr>
      </w:pPr>
      <w:r>
        <w:rPr>
          <w:rFonts w:hint="eastAsia" w:ascii="宋体" w:hAnsi="宋体"/>
          <w:b/>
          <w:szCs w:val="21"/>
        </w:rPr>
        <w:t>2. 监理人义务</w:t>
      </w:r>
    </w:p>
    <w:p w14:paraId="16CA75C8">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2.1 监理的范围和</w:t>
      </w:r>
      <w:r>
        <w:rPr>
          <w:rFonts w:hint="eastAsia" w:ascii="宋体" w:hAnsi="宋体"/>
          <w:bCs/>
          <w:szCs w:val="21"/>
        </w:rPr>
        <w:t>内容</w:t>
      </w:r>
    </w:p>
    <w:p w14:paraId="60AA2100">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2.1.1 监理范围包括：</w:t>
      </w:r>
      <w:r>
        <w:rPr>
          <w:rFonts w:hint="eastAsia" w:ascii="宋体" w:hAnsi="宋体"/>
          <w:snapToGrid w:val="0"/>
          <w:kern w:val="0"/>
          <w:szCs w:val="21"/>
        </w:rPr>
        <w:t>按照现行监理规范的要求，完成本项目监理施工图示范围内全部工程的施工准备阶段、施工阶段、竣工验收阶段、竣工结算（含：配合审计工作）至缺陷责任期满的全过程施工监理服务。监理服务内容包括：对该项目的投资控制、进度控制、质量控制、建设安全监管及文明施工的有效管理、组织协调，并进行合同管理和信息管理等</w:t>
      </w:r>
      <w:r>
        <w:rPr>
          <w:rFonts w:hint="eastAsia" w:ascii="宋体" w:hAnsi="宋体"/>
          <w:szCs w:val="21"/>
        </w:rPr>
        <w:t>。</w:t>
      </w:r>
    </w:p>
    <w:p w14:paraId="74BF3C9D">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2.1.2 监理工作内容还包括但不限于：</w:t>
      </w:r>
    </w:p>
    <w:p w14:paraId="05621C17">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 xml:space="preserve">（1） </w:t>
      </w:r>
      <w:r>
        <w:rPr>
          <w:rFonts w:ascii="宋体" w:hAnsi="宋体"/>
          <w:szCs w:val="21"/>
        </w:rPr>
        <w:t>“</w:t>
      </w:r>
      <w:r>
        <w:rPr>
          <w:rFonts w:hint="eastAsia" w:ascii="宋体" w:hAnsi="宋体"/>
          <w:szCs w:val="21"/>
        </w:rPr>
        <w:t>通用条件</w:t>
      </w:r>
      <w:r>
        <w:rPr>
          <w:rFonts w:ascii="宋体" w:hAnsi="宋体"/>
          <w:szCs w:val="21"/>
        </w:rPr>
        <w:t>”</w:t>
      </w:r>
      <w:r>
        <w:rPr>
          <w:rFonts w:hint="eastAsia" w:ascii="宋体" w:hAnsi="宋体"/>
          <w:szCs w:val="21"/>
        </w:rPr>
        <w:t>所包含的内容。</w:t>
      </w:r>
    </w:p>
    <w:p w14:paraId="433F4ABD">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（2）综合管理</w:t>
      </w:r>
    </w:p>
    <w:p w14:paraId="104C225A">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 xml:space="preserve"> 受委托人委托全面监理承包合同履约，审查承包人拟订的区域方案和区域商资格。</w:t>
      </w:r>
    </w:p>
    <w:p w14:paraId="07B2DA75">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 xml:space="preserve"> </w:t>
      </w:r>
      <w:r>
        <w:rPr>
          <w:rFonts w:ascii="宋体" w:hAnsi="宋体"/>
          <w:szCs w:val="21"/>
        </w:rPr>
        <w:t>督促</w:t>
      </w:r>
      <w:r>
        <w:rPr>
          <w:rFonts w:hint="eastAsia" w:ascii="宋体" w:hAnsi="宋体"/>
          <w:szCs w:val="21"/>
        </w:rPr>
        <w:t>委托人按承包合同的规定，落实必须提供的施工条件。检查承包人的开工准备工作，并在检查与审查合格后签发各单项工程的开工令。</w:t>
      </w:r>
    </w:p>
    <w:p w14:paraId="321A9564">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 xml:space="preserve"> </w:t>
      </w:r>
      <w:r>
        <w:rPr>
          <w:rFonts w:ascii="宋体" w:hAnsi="宋体"/>
          <w:szCs w:val="21"/>
        </w:rPr>
        <w:t>审批</w:t>
      </w:r>
      <w:r>
        <w:rPr>
          <w:rFonts w:hint="eastAsia" w:ascii="宋体" w:hAnsi="宋体"/>
          <w:szCs w:val="21"/>
        </w:rPr>
        <w:t>承包人提交的采购计划、施工或安装工程组织设计、施工和设备安装工程进度计划、施工和设备安装工程技术措施计划、作业规程、试验成果、临建工程设计、主体工程施工详图、使用的原材料及试验成果等。</w:t>
      </w:r>
      <w:r>
        <w:rPr>
          <w:rFonts w:ascii="宋体" w:hAnsi="宋体"/>
          <w:szCs w:val="21"/>
        </w:rPr>
        <w:t xml:space="preserve"> 签发补充的设计文件、技术规范等。</w:t>
      </w:r>
    </w:p>
    <w:p w14:paraId="7C7FE308">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 xml:space="preserve"> </w:t>
      </w:r>
      <w:r>
        <w:rPr>
          <w:rFonts w:ascii="宋体" w:hAnsi="宋体"/>
          <w:szCs w:val="21"/>
        </w:rPr>
        <w:t>核查施工和设备安装工程</w:t>
      </w:r>
      <w:r>
        <w:rPr>
          <w:rFonts w:hint="eastAsia" w:ascii="宋体" w:hAnsi="宋体"/>
          <w:szCs w:val="21"/>
        </w:rPr>
        <w:t>承包人进场施工设备的数量、种类、规格型号、设备状况是否与合同文件一致，是否能满足机电安装需要；核查劳动力进场情况及物资材料进场情况；对施工和设备安装工程承包人的组织状况、派驻现场的主要管理人员的资质和管理能力等作出评价。对上述各项中不符合施工和设备安装合同要求、不能满足施工要求者，应及时与承包人协调，要求施工和设备安装承包人采取措施限期解决，并报告委托人。</w:t>
      </w:r>
    </w:p>
    <w:p w14:paraId="76183E1A">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（3）工程进度控制</w:t>
      </w:r>
    </w:p>
    <w:p w14:paraId="346A0CD3">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进度控制主要应从设计、采购、施工和设备安装调试进度计划的编制、各控制性目标的确定、进度计划实施的检查监督与协调、进度的统计分析与进度计划的调整等几方面进行。</w:t>
      </w:r>
    </w:p>
    <w:p w14:paraId="2629CCEF">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内容包括</w:t>
      </w:r>
      <w:r>
        <w:rPr>
          <w:rFonts w:ascii="宋体" w:hAnsi="宋体"/>
          <w:szCs w:val="21"/>
        </w:rPr>
        <w:t>(但不限于)：协助</w:t>
      </w:r>
      <w:r>
        <w:rPr>
          <w:rFonts w:hint="eastAsia" w:ascii="宋体" w:hAnsi="宋体"/>
          <w:szCs w:val="21"/>
        </w:rPr>
        <w:t>委托单位</w:t>
      </w:r>
      <w:r>
        <w:rPr>
          <w:rFonts w:ascii="宋体" w:hAnsi="宋体"/>
          <w:szCs w:val="21"/>
        </w:rPr>
        <w:t>对承包人编制的设计、采购、施工和设备安装调试进度计划进行审查；编制本项目的设计、采购、施工和设备安装调试控制性进度计划；对比控制性进度计划，查找实际工作进度的偏差，并责成承包人及区域人提出纠偏措施。</w:t>
      </w:r>
    </w:p>
    <w:p w14:paraId="18073B79">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（4）工程质量控制</w:t>
      </w:r>
    </w:p>
    <w:p w14:paraId="4B2F2793">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质量控制应依据合同文件、设计文件、技术规范与质量检验标准进行，以单元工程和工序过程为基础，通过巡视、检查、旁站、试验和验收等有效的措施和手段，对工程质量实行全面全过程质量监督和控制。内容包括</w:t>
      </w:r>
      <w:r>
        <w:rPr>
          <w:rFonts w:ascii="宋体" w:hAnsi="宋体"/>
          <w:szCs w:val="21"/>
        </w:rPr>
        <w:t>(但不限于)：</w:t>
      </w:r>
    </w:p>
    <w:p w14:paraId="51520452">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对监理</w:t>
      </w:r>
      <w:r>
        <w:rPr>
          <w:rFonts w:hint="eastAsia" w:ascii="宋体" w:hAnsi="宋体"/>
          <w:szCs w:val="21"/>
        </w:rPr>
        <w:t>项目的构成进行划分</w:t>
      </w:r>
      <w:r>
        <w:rPr>
          <w:rFonts w:ascii="宋体" w:hAnsi="宋体"/>
          <w:szCs w:val="21"/>
        </w:rPr>
        <w:t>(单元工程、</w:t>
      </w:r>
      <w:r>
        <w:rPr>
          <w:rFonts w:hint="eastAsia" w:ascii="宋体" w:hAnsi="宋体"/>
          <w:szCs w:val="21"/>
        </w:rPr>
        <w:t>分部分项</w:t>
      </w:r>
      <w:r>
        <w:rPr>
          <w:rFonts w:ascii="宋体" w:hAnsi="宋体"/>
          <w:szCs w:val="21"/>
        </w:rPr>
        <w:t>工程、单位工程等)，并按</w:t>
      </w:r>
      <w:r>
        <w:rPr>
          <w:rFonts w:hint="eastAsia" w:ascii="宋体" w:hAnsi="宋体"/>
          <w:szCs w:val="21"/>
        </w:rPr>
        <w:t>项目建设程序明确质量控制工作流程，分析和确定质量控制重点及其应采取的监理措施，制订质量控制的各项实施细则、规定及其它管理制度。</w:t>
      </w:r>
    </w:p>
    <w:p w14:paraId="597F7FA7">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核实并签发</w:t>
      </w:r>
      <w:r>
        <w:rPr>
          <w:rFonts w:hint="eastAsia" w:ascii="宋体" w:hAnsi="宋体"/>
          <w:szCs w:val="21"/>
        </w:rPr>
        <w:t>采购、施工和设备安装调试必须遵循的设计要求、采用的技术标准、技术规程规范等质量文件；审核签发设备和工程施工图纸。</w:t>
      </w:r>
    </w:p>
    <w:p w14:paraId="14F3808C">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 xml:space="preserve"> </w:t>
      </w:r>
      <w:r>
        <w:rPr>
          <w:rFonts w:ascii="宋体" w:hAnsi="宋体"/>
          <w:szCs w:val="21"/>
        </w:rPr>
        <w:t>审查</w:t>
      </w:r>
      <w:r>
        <w:rPr>
          <w:rFonts w:hint="eastAsia" w:ascii="宋体" w:hAnsi="宋体"/>
          <w:szCs w:val="21"/>
        </w:rPr>
        <w:t>承包人、供货商、施工和设备安装工程区域人的质量管理体系文件和质量措施，督促其质量管理体系的正常运作。</w:t>
      </w:r>
    </w:p>
    <w:p w14:paraId="23B9C4CA">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 xml:space="preserve"> </w:t>
      </w:r>
      <w:r>
        <w:rPr>
          <w:rFonts w:ascii="宋体" w:hAnsi="宋体"/>
          <w:szCs w:val="21"/>
        </w:rPr>
        <w:t>审查工程</w:t>
      </w:r>
      <w:r>
        <w:rPr>
          <w:rFonts w:hint="eastAsia" w:ascii="宋体" w:hAnsi="宋体"/>
          <w:szCs w:val="21"/>
        </w:rPr>
        <w:t>承包人提交的测量实施报告，其内容应包括测量人员资质、测量仪器及其它设备配备、测量工作规程、合同项目施测方案、测点保护等；审查工程总承包人引伸的测量控制网点测量成果及关键部位施工测量放样放点成果，并进行必要的复测。</w:t>
      </w:r>
    </w:p>
    <w:p w14:paraId="35F3787F">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5)</w:t>
      </w:r>
      <w:r>
        <w:rPr>
          <w:rFonts w:hint="eastAsia" w:ascii="宋体" w:hAnsi="宋体"/>
          <w:szCs w:val="21"/>
        </w:rPr>
        <w:t xml:space="preserve"> </w:t>
      </w:r>
      <w:r>
        <w:rPr>
          <w:rFonts w:ascii="宋体" w:hAnsi="宋体"/>
          <w:szCs w:val="21"/>
        </w:rPr>
        <w:t>审查进场</w:t>
      </w:r>
      <w:r>
        <w:rPr>
          <w:rFonts w:hint="eastAsia" w:ascii="宋体" w:hAnsi="宋体"/>
          <w:szCs w:val="21"/>
        </w:rPr>
        <w:t>设备、材料的质量证明文件及相关分承包人按有关规定进行的试验检测结果。</w:t>
      </w:r>
      <w:r>
        <w:rPr>
          <w:rFonts w:ascii="宋体" w:hAnsi="宋体"/>
          <w:szCs w:val="21"/>
        </w:rPr>
        <w:t>不符合合同要求及国家有关规定的</w:t>
      </w:r>
      <w:r>
        <w:rPr>
          <w:rFonts w:hint="eastAsia" w:ascii="宋体" w:hAnsi="宋体"/>
          <w:szCs w:val="21"/>
        </w:rPr>
        <w:t>设备、材料及其半成品不得投入施工和安装，且应限期清理出场。</w:t>
      </w:r>
    </w:p>
    <w:p w14:paraId="5A1F5D1E">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 xml:space="preserve"> </w:t>
      </w:r>
      <w:r>
        <w:rPr>
          <w:rFonts w:ascii="宋体" w:hAnsi="宋体"/>
          <w:szCs w:val="21"/>
        </w:rPr>
        <w:t>检查施工和设备安装前的其它各项准备工作是否完备(如图纸供应、水电供应、道路、场地、施工组织、施工设备以及其它环境影响因素)，尽力避免可能影响</w:t>
      </w:r>
      <w:r>
        <w:rPr>
          <w:rFonts w:hint="eastAsia" w:ascii="宋体" w:hAnsi="宋体"/>
          <w:szCs w:val="21"/>
        </w:rPr>
        <w:t>工程质量的问题发生。</w:t>
      </w:r>
    </w:p>
    <w:p w14:paraId="54895CD3">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 xml:space="preserve"> </w:t>
      </w:r>
      <w:r>
        <w:rPr>
          <w:rFonts w:ascii="宋体" w:hAnsi="宋体"/>
          <w:szCs w:val="21"/>
        </w:rPr>
        <w:t>对施工和安装质量进行全过程全面的监督管理，在加强现场管理工作的前提下对关键部位、关键施工工序、特殊工序、关键设备和隐蔽工程的施工必须实行旁站监理，对发现的可能影响</w:t>
      </w:r>
      <w:r>
        <w:rPr>
          <w:rFonts w:hint="eastAsia" w:ascii="宋体" w:hAnsi="宋体"/>
          <w:szCs w:val="21"/>
        </w:rPr>
        <w:t>工程质量的问题及时指令承包人采取措施解决，必要时发出停工、返工的指令。</w:t>
      </w:r>
    </w:p>
    <w:p w14:paraId="240D115A">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 xml:space="preserve"> </w:t>
      </w:r>
      <w:r>
        <w:rPr>
          <w:rFonts w:ascii="宋体" w:hAnsi="宋体"/>
          <w:szCs w:val="21"/>
        </w:rPr>
        <w:t>充分运用监理的质量检查签证的控制手段，对施工和设备安装项目及时进行逐层次的逐项的</w:t>
      </w:r>
      <w:r>
        <w:rPr>
          <w:rFonts w:hint="eastAsia" w:ascii="宋体" w:hAnsi="宋体"/>
          <w:szCs w:val="21"/>
        </w:rPr>
        <w:t>施工、安装质量认证和质量评定工作。及时组织进行隐蔽工程、重要部位、重要工序的质量检查验收和签证工作以及部分工程的检查验收工作。</w:t>
      </w:r>
    </w:p>
    <w:p w14:paraId="5C43B09F">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9）监理人依据相关规范对施工承包人施工过程的材料、成品、半成品、工艺、工序等进行的抽样检查试验，且抽样频率不低于承包人自检频率的15%；监理人对承包人的抽检资料独立于承包人自检。</w:t>
      </w:r>
    </w:p>
    <w:p w14:paraId="7696CCEA">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10</w:t>
      </w:r>
      <w:r>
        <w:rPr>
          <w:rFonts w:ascii="宋体" w:hAnsi="宋体"/>
          <w:szCs w:val="21"/>
        </w:rPr>
        <w:t>)</w:t>
      </w:r>
      <w:r>
        <w:rPr>
          <w:rFonts w:hint="eastAsia" w:ascii="宋体" w:hAnsi="宋体"/>
          <w:szCs w:val="21"/>
        </w:rPr>
        <w:t xml:space="preserve"> </w:t>
      </w:r>
      <w:r>
        <w:rPr>
          <w:rFonts w:ascii="宋体" w:hAnsi="宋体"/>
          <w:szCs w:val="21"/>
        </w:rPr>
        <w:t>做好监理日志，随时记录施工中有关质量方面的问题，并对发生质量问题的施工现场及时拍照或录相。</w:t>
      </w:r>
      <w:r>
        <w:rPr>
          <w:rFonts w:hint="eastAsia" w:ascii="宋体" w:hAnsi="宋体"/>
          <w:szCs w:val="21"/>
        </w:rPr>
        <w:t>对</w:t>
      </w:r>
      <w:r>
        <w:rPr>
          <w:rFonts w:ascii="宋体" w:hAnsi="宋体"/>
          <w:szCs w:val="21"/>
        </w:rPr>
        <w:t>关键部位、关键施工工序、特殊工序、关键设备和隐蔽工程</w:t>
      </w:r>
      <w:r>
        <w:rPr>
          <w:rFonts w:hint="eastAsia" w:ascii="宋体" w:hAnsi="宋体"/>
          <w:szCs w:val="21"/>
        </w:rPr>
        <w:t>检查、验收时，应进行拍照和录像，其影像资料随监理日志按月报于委托单位。</w:t>
      </w:r>
    </w:p>
    <w:p w14:paraId="58EDEAD9">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1</w:t>
      </w:r>
      <w:r>
        <w:rPr>
          <w:rFonts w:ascii="宋体" w:hAnsi="宋体"/>
          <w:szCs w:val="21"/>
        </w:rPr>
        <w:t>)</w:t>
      </w:r>
      <w:r>
        <w:rPr>
          <w:rFonts w:hint="eastAsia" w:ascii="宋体" w:hAnsi="宋体"/>
          <w:szCs w:val="21"/>
        </w:rPr>
        <w:t xml:space="preserve"> </w:t>
      </w:r>
      <w:r>
        <w:rPr>
          <w:rFonts w:ascii="宋体" w:hAnsi="宋体"/>
          <w:szCs w:val="21"/>
        </w:rPr>
        <w:t>组织并主持定期或不定期的质量检查和质量分析会，分析、通报施工和设备</w:t>
      </w:r>
      <w:r>
        <w:rPr>
          <w:rFonts w:hint="eastAsia" w:ascii="宋体" w:hAnsi="宋体"/>
          <w:szCs w:val="21"/>
        </w:rPr>
        <w:t>制安质量情况，协调有关单位间的施工活动以消除影响质量的各种外部干扰因素。</w:t>
      </w:r>
    </w:p>
    <w:p w14:paraId="54B433FA">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2</w:t>
      </w:r>
      <w:r>
        <w:rPr>
          <w:rFonts w:ascii="宋体" w:hAnsi="宋体"/>
          <w:szCs w:val="21"/>
        </w:rPr>
        <w:t>)</w:t>
      </w:r>
      <w:r>
        <w:rPr>
          <w:rFonts w:hint="eastAsia" w:ascii="宋体" w:hAnsi="宋体"/>
          <w:szCs w:val="21"/>
        </w:rPr>
        <w:t xml:space="preserve"> </w:t>
      </w:r>
      <w:r>
        <w:rPr>
          <w:rFonts w:ascii="宋体" w:hAnsi="宋体"/>
          <w:szCs w:val="21"/>
        </w:rPr>
        <w:t>代表或协助</w:t>
      </w:r>
      <w:r>
        <w:rPr>
          <w:rFonts w:hint="eastAsia" w:ascii="宋体" w:hAnsi="宋体"/>
          <w:szCs w:val="21"/>
        </w:rPr>
        <w:t>委托人组织进行中间验收、分部分项工程验收，监理人应做好验收前的各项具体准备工作。</w:t>
      </w:r>
    </w:p>
    <w:p w14:paraId="01F59012">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3</w:t>
      </w:r>
      <w:r>
        <w:rPr>
          <w:rFonts w:ascii="宋体" w:hAnsi="宋体"/>
          <w:szCs w:val="21"/>
        </w:rPr>
        <w:t>) 审查工程</w:t>
      </w:r>
      <w:r>
        <w:rPr>
          <w:rFonts w:hint="eastAsia" w:ascii="宋体" w:hAnsi="宋体"/>
          <w:szCs w:val="21"/>
        </w:rPr>
        <w:t>承包人提交的质量事故报告；对质量事故进行调查、提出处理意见，并监督事故的处理。</w:t>
      </w:r>
    </w:p>
    <w:p w14:paraId="2526021F">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4</w:t>
      </w:r>
      <w:r>
        <w:rPr>
          <w:rFonts w:ascii="宋体" w:hAnsi="宋体"/>
          <w:szCs w:val="21"/>
        </w:rPr>
        <w:t>)</w:t>
      </w:r>
      <w:r>
        <w:rPr>
          <w:rFonts w:hint="eastAsia" w:ascii="宋体" w:hAnsi="宋体"/>
          <w:szCs w:val="21"/>
        </w:rPr>
        <w:t xml:space="preserve"> </w:t>
      </w:r>
      <w:r>
        <w:rPr>
          <w:rFonts w:ascii="宋体" w:hAnsi="宋体"/>
          <w:szCs w:val="21"/>
        </w:rPr>
        <w:t>对工程质量进行经常性的分析，并定期提出工程质量报告和按规定格式编制工程质量统计报表(年、季、月)报</w:t>
      </w:r>
      <w:r>
        <w:rPr>
          <w:rFonts w:hint="eastAsia" w:ascii="宋体" w:hAnsi="宋体"/>
          <w:szCs w:val="21"/>
        </w:rPr>
        <w:t>业主。</w:t>
      </w:r>
    </w:p>
    <w:p w14:paraId="45170A3E">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（5）工程造价控制</w:t>
      </w:r>
    </w:p>
    <w:p w14:paraId="790850DC">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监理人应配备专职的造价控制监理工程师，对承包合同费用、工程造价进行有效的控制。内容包括</w:t>
      </w:r>
      <w:r>
        <w:rPr>
          <w:rFonts w:ascii="宋体" w:hAnsi="宋体"/>
          <w:szCs w:val="21"/>
        </w:rPr>
        <w:t>(但不限于)：</w:t>
      </w:r>
    </w:p>
    <w:p w14:paraId="36ED8292">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协助</w:t>
      </w:r>
      <w:r>
        <w:rPr>
          <w:rFonts w:hint="eastAsia" w:ascii="宋体" w:hAnsi="宋体"/>
          <w:szCs w:val="21"/>
        </w:rPr>
        <w:t>委托人监督、审核承包人编制的投资控制目标和分年度投资计划。编制监理工程项目以及各合同项目的投资控制目标，各年度、季度和月份的合理投资计划。审查承包人提交的资金流计划。</w:t>
      </w:r>
    </w:p>
    <w:p w14:paraId="205BA0C7">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对工程计量进行审核，实现对工程量总量的控制和阶段性的控制。</w:t>
      </w:r>
    </w:p>
    <w:p w14:paraId="6E98DE53">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 xml:space="preserve"> 协助承包人审核各分承包人上报的申请结算工程量及工程费用等，并提供审核意见在支付凭证上签名。</w:t>
      </w:r>
    </w:p>
    <w:p w14:paraId="185EC124">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 xml:space="preserve"> </w:t>
      </w:r>
      <w:r>
        <w:rPr>
          <w:rFonts w:ascii="宋体" w:hAnsi="宋体"/>
          <w:szCs w:val="21"/>
        </w:rPr>
        <w:t>为控制和减少索赔事件的发生，监理人应对</w:t>
      </w:r>
      <w:r>
        <w:rPr>
          <w:rFonts w:hint="eastAsia" w:ascii="宋体" w:hAnsi="宋体"/>
          <w:szCs w:val="21"/>
        </w:rPr>
        <w:t>合同的履行进行检查监督和经常性分析，及时发现和预测可能引起索赔的条件及事项，并采取措施尽力避免索赔事件的发生；对工程实施情况做好记录以备索赔要求提出后核查；索赔事件发生后应采取有效措施，尽力避免索赔事件的扩大和延伸；受理并公正处理索赔，提出处理意见，组织各方进行协商，做好调解协调工作。</w:t>
      </w:r>
    </w:p>
    <w:p w14:paraId="61E43854">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5)</w:t>
      </w:r>
      <w:r>
        <w:rPr>
          <w:rFonts w:hint="eastAsia" w:ascii="宋体" w:hAnsi="宋体"/>
          <w:szCs w:val="21"/>
        </w:rPr>
        <w:t xml:space="preserve"> </w:t>
      </w:r>
      <w:r>
        <w:rPr>
          <w:rFonts w:ascii="宋体" w:hAnsi="宋体"/>
          <w:szCs w:val="21"/>
        </w:rPr>
        <w:t>依据</w:t>
      </w:r>
      <w:r>
        <w:rPr>
          <w:rFonts w:hint="eastAsia" w:ascii="宋体" w:hAnsi="宋体"/>
          <w:szCs w:val="21"/>
        </w:rPr>
        <w:t>委托人授权审核各类工程变更</w:t>
      </w:r>
      <w:r>
        <w:rPr>
          <w:rFonts w:ascii="宋体" w:hAnsi="宋体"/>
          <w:szCs w:val="21"/>
        </w:rPr>
        <w:t>(合同变更及设计修改、设计变更等)，并提出处理意见，报</w:t>
      </w:r>
      <w:r>
        <w:rPr>
          <w:rFonts w:hint="eastAsia" w:ascii="宋体" w:hAnsi="宋体"/>
          <w:szCs w:val="21"/>
        </w:rPr>
        <w:t>委托人批准后下达变更指令。</w:t>
      </w:r>
    </w:p>
    <w:p w14:paraId="79B78A8A">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 xml:space="preserve"> </w:t>
      </w:r>
      <w:r>
        <w:rPr>
          <w:rFonts w:ascii="宋体" w:hAnsi="宋体"/>
          <w:szCs w:val="21"/>
        </w:rPr>
        <w:t>对</w:t>
      </w:r>
      <w:r>
        <w:rPr>
          <w:rFonts w:hint="eastAsia" w:ascii="宋体" w:hAnsi="宋体"/>
          <w:szCs w:val="21"/>
        </w:rPr>
        <w:t>采购、施工和设备安装合同费用支付与已完工程量、工程形象进行综合分析，编制每月、季、年的工程量和投资统计报表报业主。按工程进展情况和资金到位的可能情况，进行经常性的工程费用分析，必要时提出投资计划调整、修改和采取相应措施的处理意见上报委托人。</w:t>
      </w:r>
    </w:p>
    <w:p w14:paraId="574F2DA9">
      <w:pPr>
        <w:overflowPunct w:val="0"/>
        <w:autoSpaceDE w:val="0"/>
        <w:autoSpaceDN w:val="0"/>
        <w:adjustRightInd w:val="0"/>
        <w:snapToGrid w:val="0"/>
        <w:spacing w:line="360" w:lineRule="auto"/>
        <w:ind w:left="210" w:leftChars="100" w:firstLine="210" w:firstLineChars="1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 xml:space="preserve"> 参与</w:t>
      </w:r>
      <w:r>
        <w:rPr>
          <w:rFonts w:ascii="宋体" w:hAnsi="宋体"/>
          <w:szCs w:val="21"/>
        </w:rPr>
        <w:t>对</w:t>
      </w:r>
      <w:r>
        <w:rPr>
          <w:rFonts w:hint="eastAsia" w:ascii="宋体" w:hAnsi="宋体"/>
          <w:szCs w:val="21"/>
        </w:rPr>
        <w:t>承包商申报的各种材料设备结算价格审核,审定材料设备质量与价格相符,并提供审查意见。</w:t>
      </w:r>
    </w:p>
    <w:p w14:paraId="47C818F5">
      <w:pPr>
        <w:overflowPunct w:val="0"/>
        <w:autoSpaceDE w:val="0"/>
        <w:autoSpaceDN w:val="0"/>
        <w:adjustRightInd w:val="0"/>
        <w:snapToGrid w:val="0"/>
        <w:spacing w:line="360" w:lineRule="auto"/>
        <w:ind w:left="210" w:leftChars="100" w:firstLine="210" w:firstLineChars="100"/>
        <w:rPr>
          <w:rFonts w:ascii="宋体" w:hAnsi="宋体"/>
          <w:szCs w:val="21"/>
        </w:rPr>
      </w:pPr>
      <w:r>
        <w:rPr>
          <w:rFonts w:hint="eastAsia" w:ascii="宋体" w:hAnsi="宋体"/>
          <w:szCs w:val="21"/>
        </w:rPr>
        <w:t>（6） 工程安全监督</w:t>
      </w:r>
    </w:p>
    <w:p w14:paraId="267AC32E">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监理人在安全监督管理工作中必须坚持“安全第一、预防为主”的原则，通过对勘测、采购、施工和设备安装调试中各种不安全因素的分析和预控制，避免安全事故的发生。内容包括</w:t>
      </w:r>
      <w:r>
        <w:rPr>
          <w:rFonts w:ascii="宋体" w:hAnsi="宋体"/>
          <w:szCs w:val="21"/>
        </w:rPr>
        <w:t xml:space="preserve">(但不限于)： </w:t>
      </w:r>
    </w:p>
    <w:p w14:paraId="18562F8B">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监理人必须配备专职有安全监督资质的监理工程师进行</w:t>
      </w:r>
      <w:r>
        <w:rPr>
          <w:rFonts w:hint="eastAsia" w:ascii="宋体" w:hAnsi="宋体"/>
          <w:szCs w:val="21"/>
        </w:rPr>
        <w:t>工程安全监督工作。</w:t>
      </w:r>
    </w:p>
    <w:p w14:paraId="46B6F1F3">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检查督促工程</w:t>
      </w:r>
      <w:r>
        <w:rPr>
          <w:rFonts w:hint="eastAsia" w:ascii="宋体" w:hAnsi="宋体"/>
          <w:szCs w:val="21"/>
        </w:rPr>
        <w:t>承包人建立健全安全管理制度，督促工程承包人认真执行国家及有关部门颁发的安全生产法规、规定和总承包合同对安全生产的规定。</w:t>
      </w:r>
    </w:p>
    <w:p w14:paraId="721E56A8">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 xml:space="preserve"> </w:t>
      </w:r>
      <w:r>
        <w:rPr>
          <w:rFonts w:ascii="宋体" w:hAnsi="宋体"/>
          <w:szCs w:val="21"/>
        </w:rPr>
        <w:t>对施工生产及安全设施进行经常性的检查监督(定期与不定期)，对违反安全生产规定的施工及时指令整改。</w:t>
      </w:r>
    </w:p>
    <w:p w14:paraId="11C16ECC">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 xml:space="preserve"> </w:t>
      </w:r>
      <w:r>
        <w:rPr>
          <w:rFonts w:ascii="宋体" w:hAnsi="宋体"/>
          <w:szCs w:val="21"/>
        </w:rPr>
        <w:t>检查督促工程</w:t>
      </w:r>
      <w:r>
        <w:rPr>
          <w:rFonts w:hint="eastAsia" w:ascii="宋体" w:hAnsi="宋体"/>
          <w:szCs w:val="21"/>
        </w:rPr>
        <w:t>承包人按照合同规定和国家标准规定做好劳动保护、环境保护及水土保持工作，并将情况定期向业主提交专题报告。</w:t>
      </w:r>
    </w:p>
    <w:p w14:paraId="026655F5">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 xml:space="preserve"> </w:t>
      </w:r>
      <w:r>
        <w:rPr>
          <w:rFonts w:ascii="宋体" w:hAnsi="宋体"/>
          <w:szCs w:val="21"/>
        </w:rPr>
        <w:t>定期组织安全生产检查活动和安全生产评比表彰活动。做好监理合同内施工和设备安装的安全生产协调工作，协助</w:t>
      </w:r>
      <w:r>
        <w:rPr>
          <w:rFonts w:hint="eastAsia" w:ascii="宋体" w:hAnsi="宋体"/>
          <w:szCs w:val="21"/>
        </w:rPr>
        <w:t>委托人做好各施工和设备安装合同间的安全生产协调工作。</w:t>
      </w:r>
    </w:p>
    <w:p w14:paraId="62708835">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 xml:space="preserve"> </w:t>
      </w:r>
      <w:r>
        <w:rPr>
          <w:rFonts w:ascii="宋体" w:hAnsi="宋体"/>
          <w:szCs w:val="21"/>
        </w:rPr>
        <w:t>提供事故分析所需的一切资料，参加安全事故的调查分析，审查工程</w:t>
      </w:r>
      <w:r>
        <w:rPr>
          <w:rFonts w:hint="eastAsia" w:ascii="宋体" w:hAnsi="宋体"/>
          <w:szCs w:val="21"/>
        </w:rPr>
        <w:t>承包人的安全事故报告及安全报表，监督工程承包人对安全事故的处理。</w:t>
      </w:r>
    </w:p>
    <w:p w14:paraId="5567C350">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 xml:space="preserve"> </w:t>
      </w:r>
      <w:r>
        <w:rPr>
          <w:rFonts w:ascii="宋体" w:hAnsi="宋体"/>
          <w:szCs w:val="21"/>
        </w:rPr>
        <w:t>定期(每月)向</w:t>
      </w:r>
      <w:r>
        <w:rPr>
          <w:rFonts w:hint="eastAsia" w:ascii="宋体" w:hAnsi="宋体"/>
          <w:szCs w:val="21"/>
        </w:rPr>
        <w:t>业主报告安全生产情况，并按规定编制监理工程项目的安全生产统计报表。对重大安全事故的处理必须及时向业主报告。</w:t>
      </w:r>
    </w:p>
    <w:p w14:paraId="4C10F451">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（7） 组织协调</w:t>
      </w:r>
    </w:p>
    <w:p w14:paraId="23266B3F">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监理人应通过沟通、调解和与监理工程项目建设直接有关的各方关系，使工程项目建设各方及其建设活动协调一致，以实现承包合同预定的目标。内容包括</w:t>
      </w:r>
      <w:r>
        <w:rPr>
          <w:rFonts w:ascii="宋体" w:hAnsi="宋体"/>
          <w:szCs w:val="21"/>
        </w:rPr>
        <w:t>(但不限于)：</w:t>
      </w:r>
    </w:p>
    <w:p w14:paraId="0F32CB23">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以实现总进度计划和承包合同工期为目标，做好各</w:t>
      </w:r>
      <w:r>
        <w:rPr>
          <w:rFonts w:hint="eastAsia" w:ascii="宋体" w:hAnsi="宋体"/>
          <w:szCs w:val="21"/>
        </w:rPr>
        <w:t>设计、采购、施工和设备安装调试合同项目间的进度协调。</w:t>
      </w:r>
    </w:p>
    <w:p w14:paraId="0D90A3E5">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以监理工程项目的施工总布置为依据，控制协调好各工程施工、安装合同项目的施工布置，控制协调好各施工和设备安装工程</w:t>
      </w:r>
      <w:r>
        <w:rPr>
          <w:rFonts w:hint="eastAsia" w:ascii="宋体" w:hAnsi="宋体"/>
          <w:szCs w:val="21"/>
        </w:rPr>
        <w:t>分承包人对施工场地、施工道路的使用。</w:t>
      </w:r>
    </w:p>
    <w:p w14:paraId="1B3BD688">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 xml:space="preserve"> </w:t>
      </w:r>
      <w:r>
        <w:rPr>
          <w:rFonts w:ascii="宋体" w:hAnsi="宋体"/>
          <w:szCs w:val="21"/>
        </w:rPr>
        <w:t>组织与主持定期与不定期的工地协调会议，编写各有关问题的协调处理意见及各种协调会议的纪要。</w:t>
      </w:r>
    </w:p>
    <w:p w14:paraId="1ACD591A">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（8）其它</w:t>
      </w:r>
    </w:p>
    <w:p w14:paraId="2B1252D4">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 信息管理：做好施工现场监理记录与信息反馈。按本合同附件要求编制监理月、季、年报，对工程资料及档案按期进行整编和管理，并在工程竣工验收或监理服务期结束后移交业主。</w:t>
      </w:r>
      <w:r>
        <w:rPr>
          <w:rFonts w:ascii="宋体" w:hAnsi="宋体"/>
          <w:szCs w:val="21"/>
        </w:rPr>
        <w:t xml:space="preserve"> </w:t>
      </w:r>
    </w:p>
    <w:p w14:paraId="643D74E6">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协助</w:t>
      </w:r>
      <w:r>
        <w:rPr>
          <w:rFonts w:hint="eastAsia" w:ascii="宋体" w:hAnsi="宋体"/>
          <w:szCs w:val="21"/>
        </w:rPr>
        <w:t>委托人按有关规定进行工程各阶段验收、单位工程验收及竣工验收，提交相应的工程监理资料，审查总承包人编制的竣工图纸和资料。督促建设工程办理竣工验收及其备案手续。</w:t>
      </w:r>
    </w:p>
    <w:p w14:paraId="2F5C08EC">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 xml:space="preserve"> </w:t>
      </w:r>
      <w:r>
        <w:rPr>
          <w:rFonts w:ascii="宋体" w:hAnsi="宋体"/>
          <w:szCs w:val="21"/>
        </w:rPr>
        <w:t>监理人应配合参加国家有关部门对工程质量安全鉴定工作，并提供相关资料。</w:t>
      </w:r>
    </w:p>
    <w:p w14:paraId="2C5CA2D9">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 xml:space="preserve"> </w:t>
      </w:r>
      <w:r>
        <w:rPr>
          <w:rFonts w:ascii="宋体" w:hAnsi="宋体"/>
          <w:szCs w:val="21"/>
        </w:rPr>
        <w:t>配合</w:t>
      </w:r>
      <w:r>
        <w:rPr>
          <w:rFonts w:hint="eastAsia" w:ascii="宋体" w:hAnsi="宋体"/>
          <w:szCs w:val="21"/>
        </w:rPr>
        <w:t>委托人聘请的咨询专家工作并提供有关资料与文件；</w:t>
      </w:r>
    </w:p>
    <w:p w14:paraId="15006415">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5)</w:t>
      </w:r>
      <w:r>
        <w:rPr>
          <w:rFonts w:hint="eastAsia" w:ascii="宋体" w:hAnsi="宋体"/>
          <w:szCs w:val="21"/>
        </w:rPr>
        <w:t xml:space="preserve"> </w:t>
      </w:r>
      <w:r>
        <w:rPr>
          <w:rFonts w:ascii="宋体" w:hAnsi="宋体"/>
          <w:szCs w:val="21"/>
        </w:rPr>
        <w:t>对监理合同项目有关的咨询专家建议、意见进行分析研究，并作出相应的书面意见。</w:t>
      </w:r>
    </w:p>
    <w:p w14:paraId="07B7717D">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2.2 监理与相关服务依据</w:t>
      </w:r>
    </w:p>
    <w:p w14:paraId="54EC12EE">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2.2.1 监理依据包括：</w:t>
      </w:r>
      <w:r>
        <w:rPr>
          <w:rFonts w:hint="eastAsia" w:ascii="宋体" w:hAnsi="宋体"/>
          <w:szCs w:val="21"/>
          <w:u w:val="single"/>
        </w:rPr>
        <w:t>同</w:t>
      </w:r>
      <w:r>
        <w:rPr>
          <w:rFonts w:ascii="宋体" w:hAnsi="宋体"/>
          <w:szCs w:val="21"/>
          <w:u w:val="single"/>
        </w:rPr>
        <w:t>“</w:t>
      </w:r>
      <w:r>
        <w:rPr>
          <w:rFonts w:hint="eastAsia" w:ascii="宋体" w:hAnsi="宋体"/>
          <w:szCs w:val="21"/>
          <w:u w:val="single"/>
        </w:rPr>
        <w:t>通用条件</w:t>
      </w:r>
      <w:r>
        <w:rPr>
          <w:rFonts w:ascii="宋体" w:hAnsi="宋体"/>
          <w:szCs w:val="21"/>
          <w:u w:val="single"/>
        </w:rPr>
        <w:t>”</w:t>
      </w:r>
      <w:r>
        <w:rPr>
          <w:rFonts w:hint="eastAsia" w:ascii="宋体" w:hAnsi="宋体"/>
          <w:szCs w:val="21"/>
          <w:u w:val="single"/>
        </w:rPr>
        <w:t xml:space="preserve">2.2.1 </w:t>
      </w:r>
      <w:r>
        <w:rPr>
          <w:rFonts w:hint="eastAsia" w:ascii="宋体" w:hAnsi="宋体"/>
          <w:szCs w:val="21"/>
        </w:rPr>
        <w:t>。</w:t>
      </w:r>
    </w:p>
    <w:p w14:paraId="3C4CFF7A">
      <w:pPr>
        <w:overflowPunct w:val="0"/>
        <w:autoSpaceDE w:val="0"/>
        <w:autoSpaceDN w:val="0"/>
        <w:adjustRightInd w:val="0"/>
        <w:snapToGrid w:val="0"/>
        <w:spacing w:line="360" w:lineRule="auto"/>
        <w:ind w:firstLine="420" w:firstLineChars="200"/>
        <w:rPr>
          <w:rFonts w:ascii="宋体" w:hAnsi="宋体"/>
          <w:dstrike/>
          <w:szCs w:val="21"/>
        </w:rPr>
      </w:pPr>
      <w:r>
        <w:rPr>
          <w:rFonts w:hint="eastAsia" w:ascii="宋体" w:hAnsi="宋体"/>
          <w:szCs w:val="21"/>
        </w:rPr>
        <w:t>2.2.2 相关服务依据包括：</w:t>
      </w:r>
      <w:r>
        <w:rPr>
          <w:rFonts w:hint="eastAsia" w:ascii="宋体" w:hAnsi="宋体"/>
          <w:szCs w:val="21"/>
          <w:u w:val="single"/>
        </w:rPr>
        <w:t>同</w:t>
      </w:r>
      <w:r>
        <w:rPr>
          <w:rFonts w:ascii="宋体" w:hAnsi="宋体"/>
          <w:szCs w:val="21"/>
          <w:u w:val="single"/>
        </w:rPr>
        <w:t>“</w:t>
      </w:r>
      <w:r>
        <w:rPr>
          <w:rFonts w:hint="eastAsia" w:ascii="宋体" w:hAnsi="宋体"/>
          <w:szCs w:val="21"/>
          <w:u w:val="single"/>
        </w:rPr>
        <w:t>通用条件</w:t>
      </w:r>
      <w:r>
        <w:rPr>
          <w:rFonts w:ascii="宋体" w:hAnsi="宋体"/>
          <w:szCs w:val="21"/>
          <w:u w:val="single"/>
        </w:rPr>
        <w:t>”</w:t>
      </w:r>
      <w:r>
        <w:rPr>
          <w:rFonts w:hint="eastAsia" w:ascii="宋体" w:hAnsi="宋体"/>
          <w:szCs w:val="21"/>
          <w:u w:val="single"/>
        </w:rPr>
        <w:t xml:space="preserve">2.2.1 </w:t>
      </w:r>
      <w:r>
        <w:rPr>
          <w:rFonts w:hint="eastAsia" w:ascii="宋体" w:hAnsi="宋体"/>
          <w:szCs w:val="21"/>
        </w:rPr>
        <w:t>。</w:t>
      </w:r>
    </w:p>
    <w:p w14:paraId="3C7B0661">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2.3</w:t>
      </w:r>
      <w:r>
        <w:rPr>
          <w:rFonts w:hint="eastAsia" w:ascii="宋体" w:hAnsi="宋体" w:cs="宋体"/>
          <w:kern w:val="0"/>
          <w:szCs w:val="21"/>
        </w:rPr>
        <w:t>项目监理机构和人员</w:t>
      </w:r>
    </w:p>
    <w:p w14:paraId="2923A54E">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kern w:val="0"/>
          <w:szCs w:val="21"/>
        </w:rPr>
        <w:t>2.3.3监理人更换总监理工程师时，应提前</w:t>
      </w:r>
      <w:r>
        <w:rPr>
          <w:rFonts w:hint="eastAsia" w:ascii="宋体" w:hAnsi="宋体"/>
          <w:b/>
          <w:kern w:val="0"/>
          <w:szCs w:val="21"/>
          <w:u w:val="single"/>
        </w:rPr>
        <w:t>7</w:t>
      </w:r>
      <w:r>
        <w:rPr>
          <w:rFonts w:hint="eastAsia" w:ascii="宋体" w:hAnsi="宋体"/>
          <w:kern w:val="0"/>
          <w:szCs w:val="21"/>
        </w:rPr>
        <w:t>天向委托人书面报告，经委托人同意并按照</w:t>
      </w:r>
      <w:r>
        <w:rPr>
          <w:rFonts w:hint="eastAsia" w:ascii="宋体" w:hAnsi="宋体"/>
          <w:kern w:val="0"/>
          <w:szCs w:val="21"/>
          <w:u w:val="single"/>
        </w:rPr>
        <w:t xml:space="preserve"> 附录3 </w:t>
      </w:r>
      <w:r>
        <w:rPr>
          <w:rFonts w:hint="eastAsia" w:ascii="宋体" w:hAnsi="宋体"/>
          <w:kern w:val="0"/>
          <w:szCs w:val="21"/>
        </w:rPr>
        <w:t>承担违约金后方可更换。监理人更换项目监理机构其他监理人员，应以相当资格与能力的人员替换，并委托人同意。</w:t>
      </w:r>
    </w:p>
    <w:p w14:paraId="232B470D">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 xml:space="preserve">2.3.4 </w:t>
      </w:r>
      <w:r>
        <w:rPr>
          <w:rFonts w:hint="eastAsia" w:ascii="宋体" w:hAnsi="宋体"/>
          <w:kern w:val="0"/>
          <w:szCs w:val="21"/>
        </w:rPr>
        <w:t>更换监理人员的其他情形：</w:t>
      </w:r>
      <w:r>
        <w:rPr>
          <w:rFonts w:hint="eastAsia" w:ascii="宋体" w:hAnsi="宋体"/>
          <w:kern w:val="0"/>
          <w:szCs w:val="21"/>
          <w:u w:val="single"/>
        </w:rPr>
        <w:t xml:space="preserve">离职、丧失职业能力（提供委托人认可的证明材料）  </w:t>
      </w:r>
      <w:r>
        <w:rPr>
          <w:rFonts w:hint="eastAsia" w:ascii="宋体" w:hAnsi="宋体"/>
          <w:kern w:val="0"/>
          <w:szCs w:val="21"/>
        </w:rPr>
        <w:t>。</w:t>
      </w:r>
    </w:p>
    <w:p w14:paraId="13B3463A">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 xml:space="preserve">2.4 </w:t>
      </w:r>
      <w:r>
        <w:rPr>
          <w:rFonts w:hint="eastAsia" w:ascii="宋体" w:hAnsi="宋体" w:cs="宋体"/>
          <w:kern w:val="0"/>
          <w:szCs w:val="21"/>
        </w:rPr>
        <w:t>履行职责</w:t>
      </w:r>
    </w:p>
    <w:p w14:paraId="0492483A">
      <w:pPr>
        <w:overflowPunct w:val="0"/>
        <w:autoSpaceDE w:val="0"/>
        <w:autoSpaceDN w:val="0"/>
        <w:adjustRightInd w:val="0"/>
        <w:snapToGrid w:val="0"/>
        <w:spacing w:line="360" w:lineRule="auto"/>
        <w:ind w:firstLine="420" w:firstLineChars="200"/>
        <w:rPr>
          <w:rFonts w:ascii="宋体" w:hAnsi="宋体"/>
          <w:szCs w:val="21"/>
          <w:u w:val="single"/>
        </w:rPr>
      </w:pPr>
      <w:r>
        <w:rPr>
          <w:rFonts w:hint="eastAsia" w:ascii="宋体" w:hAnsi="宋体"/>
          <w:szCs w:val="21"/>
        </w:rPr>
        <w:t>2.4.3 对监理人的授权范围：</w:t>
      </w:r>
      <w:r>
        <w:rPr>
          <w:rFonts w:hint="eastAsia" w:ascii="宋体" w:hAnsi="宋体"/>
          <w:szCs w:val="21"/>
          <w:u w:val="single"/>
        </w:rPr>
        <w:t xml:space="preserve">  本工程施工阶段的全过程监理工作：质量、进度、投资控制；合同和信息管理；施工现场协调；履行建设工程安全生产管理法定职责。 </w:t>
      </w:r>
    </w:p>
    <w:p w14:paraId="31EABF9E">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kern w:val="0"/>
          <w:szCs w:val="21"/>
        </w:rPr>
        <w:t>2.4.4 监理人有权要求承包人调换其人员</w:t>
      </w:r>
      <w:r>
        <w:rPr>
          <w:rFonts w:hint="eastAsia" w:ascii="宋体" w:hAnsi="宋体"/>
          <w:szCs w:val="21"/>
        </w:rPr>
        <w:t>的限制条件：</w:t>
      </w:r>
      <w:r>
        <w:rPr>
          <w:rFonts w:hint="eastAsia" w:ascii="宋体" w:hAnsi="宋体"/>
          <w:szCs w:val="21"/>
          <w:u w:val="single"/>
        </w:rPr>
        <w:t xml:space="preserve"> 经委托人同意 </w:t>
      </w:r>
      <w:r>
        <w:rPr>
          <w:rFonts w:hint="eastAsia" w:ascii="宋体" w:hAnsi="宋体"/>
          <w:szCs w:val="21"/>
        </w:rPr>
        <w:t xml:space="preserve">。  </w:t>
      </w:r>
    </w:p>
    <w:p w14:paraId="73908EED">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kern w:val="0"/>
          <w:szCs w:val="21"/>
        </w:rPr>
        <w:t xml:space="preserve">2.5 </w:t>
      </w:r>
      <w:r>
        <w:rPr>
          <w:rFonts w:hint="eastAsia" w:ascii="宋体" w:hAnsi="宋体"/>
          <w:szCs w:val="21"/>
        </w:rPr>
        <w:t>提交</w:t>
      </w:r>
      <w:r>
        <w:rPr>
          <w:rFonts w:hint="eastAsia" w:ascii="宋体" w:hAnsi="宋体" w:cs="宋体"/>
          <w:kern w:val="0"/>
          <w:szCs w:val="21"/>
        </w:rPr>
        <w:t>报告</w:t>
      </w:r>
    </w:p>
    <w:p w14:paraId="42DAA895">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cs="宋体"/>
          <w:kern w:val="0"/>
          <w:szCs w:val="21"/>
        </w:rPr>
        <w:t>2.5.1监理规划、监理实施细则、约定的专项报告：</w:t>
      </w:r>
      <w:r>
        <w:rPr>
          <w:rFonts w:hint="eastAsia" w:ascii="宋体" w:hAnsi="宋体"/>
          <w:szCs w:val="21"/>
        </w:rPr>
        <w:t xml:space="preserve">收到工程设计文件后编制监理规划，并在第一次工地例会前7天报委托人5份；编制监理实施细则，并在施工单位开工前5天报委托人5份；约定的专题报告在约定后14天内报委托人5份。逾期提交上述文件资料，视为监理人违约，委托人有权解除本合同，同时，按照本合同约定的暂定酬金签约酬金的30%承担违约金； </w:t>
      </w:r>
    </w:p>
    <w:p w14:paraId="18862A5C">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2.5.2定期信息文件</w:t>
      </w:r>
    </w:p>
    <w:p w14:paraId="5C089F46">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根据监理工程项目、范围及内容，随工程施工进展向业主报送监理周报、月报、年报，其主要内容为：</w:t>
      </w:r>
    </w:p>
    <w:p w14:paraId="6F327BD5">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w:t>
      </w:r>
      <w:r>
        <w:rPr>
          <w:rFonts w:hint="eastAsia" w:ascii="宋体" w:hAnsi="宋体" w:cs="宋体"/>
          <w:kern w:val="0"/>
          <w:szCs w:val="21"/>
        </w:rPr>
        <w:t>工程进展情况；</w:t>
      </w:r>
    </w:p>
    <w:p w14:paraId="790765F3">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r>
        <w:rPr>
          <w:rFonts w:hint="eastAsia" w:ascii="宋体" w:hAnsi="宋体" w:cs="宋体"/>
          <w:kern w:val="0"/>
          <w:szCs w:val="21"/>
        </w:rPr>
        <w:t>施工安装质量情况；</w:t>
      </w:r>
    </w:p>
    <w:p w14:paraId="4750CD54">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 xml:space="preserve"> </w:t>
      </w:r>
      <w:r>
        <w:rPr>
          <w:rFonts w:hint="eastAsia" w:ascii="宋体" w:hAnsi="宋体" w:cs="宋体"/>
          <w:kern w:val="0"/>
          <w:szCs w:val="21"/>
        </w:rPr>
        <w:t>进场施工机械设备及劳动力动态；</w:t>
      </w:r>
    </w:p>
    <w:p w14:paraId="0C4C7237">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 xml:space="preserve"> </w:t>
      </w:r>
      <w:r>
        <w:rPr>
          <w:rFonts w:hint="eastAsia" w:ascii="宋体" w:hAnsi="宋体" w:cs="宋体"/>
          <w:kern w:val="0"/>
          <w:szCs w:val="21"/>
        </w:rPr>
        <w:t>施工安全与文明施工情况；</w:t>
      </w:r>
    </w:p>
    <w:p w14:paraId="50DCBEBD">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w:t>
      </w:r>
      <w:r>
        <w:rPr>
          <w:rFonts w:ascii="宋体" w:hAnsi="宋体" w:cs="宋体"/>
          <w:kern w:val="0"/>
          <w:szCs w:val="21"/>
        </w:rPr>
        <w:t xml:space="preserve"> </w:t>
      </w:r>
      <w:r>
        <w:rPr>
          <w:rFonts w:hint="eastAsia" w:ascii="宋体" w:hAnsi="宋体" w:cs="宋体"/>
          <w:kern w:val="0"/>
          <w:szCs w:val="21"/>
        </w:rPr>
        <w:t>工程变更和机电设备安装合同索赔情况；</w:t>
      </w:r>
    </w:p>
    <w:p w14:paraId="64CBCB16">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r>
        <w:rPr>
          <w:rFonts w:hint="eastAsia" w:ascii="宋体" w:hAnsi="宋体" w:cs="宋体"/>
          <w:kern w:val="0"/>
          <w:szCs w:val="21"/>
        </w:rPr>
        <w:t>工程支付情况；</w:t>
      </w:r>
    </w:p>
    <w:p w14:paraId="70A7726E">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（7)</w:t>
      </w:r>
      <w:r>
        <w:rPr>
          <w:rFonts w:ascii="宋体" w:hAnsi="宋体" w:cs="宋体"/>
          <w:kern w:val="0"/>
          <w:szCs w:val="21"/>
        </w:rPr>
        <w:t xml:space="preserve"> </w:t>
      </w:r>
      <w:r>
        <w:rPr>
          <w:rFonts w:hint="eastAsia" w:ascii="宋体" w:hAnsi="宋体" w:cs="宋体"/>
          <w:kern w:val="0"/>
          <w:szCs w:val="21"/>
        </w:rPr>
        <w:t>安全监测信息(包括资料的整理、分析和信息报告)；</w:t>
      </w:r>
    </w:p>
    <w:p w14:paraId="5BB78E2A">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（8)</w:t>
      </w:r>
      <w:r>
        <w:rPr>
          <w:rFonts w:ascii="宋体" w:hAnsi="宋体" w:cs="宋体"/>
          <w:kern w:val="0"/>
          <w:szCs w:val="21"/>
        </w:rPr>
        <w:t xml:space="preserve"> </w:t>
      </w:r>
      <w:r>
        <w:rPr>
          <w:rFonts w:hint="eastAsia" w:ascii="宋体" w:hAnsi="宋体" w:cs="宋体"/>
          <w:kern w:val="0"/>
          <w:szCs w:val="21"/>
        </w:rPr>
        <w:t>环境保护情况；</w:t>
      </w:r>
    </w:p>
    <w:p w14:paraId="5E49B398">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w:t>
      </w:r>
      <w:r>
        <w:rPr>
          <w:rFonts w:ascii="宋体" w:hAnsi="宋体" w:cs="宋体"/>
          <w:kern w:val="0"/>
          <w:szCs w:val="21"/>
        </w:rPr>
        <w:t xml:space="preserve"> </w:t>
      </w:r>
      <w:r>
        <w:rPr>
          <w:rFonts w:hint="eastAsia" w:ascii="宋体" w:hAnsi="宋体" w:cs="宋体"/>
          <w:kern w:val="0"/>
          <w:szCs w:val="21"/>
        </w:rPr>
        <w:t>监理工作情况；</w:t>
      </w:r>
    </w:p>
    <w:p w14:paraId="33FA01A9">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w:t>
      </w:r>
      <w:r>
        <w:rPr>
          <w:rFonts w:ascii="宋体" w:hAnsi="宋体" w:cs="宋体"/>
          <w:kern w:val="0"/>
          <w:szCs w:val="21"/>
        </w:rPr>
        <w:t xml:space="preserve"> </w:t>
      </w:r>
      <w:r>
        <w:rPr>
          <w:rFonts w:hint="eastAsia" w:ascii="宋体" w:hAnsi="宋体" w:cs="宋体"/>
          <w:kern w:val="0"/>
          <w:szCs w:val="21"/>
        </w:rPr>
        <w:t>采购、施工和设备安装大事记；</w:t>
      </w:r>
    </w:p>
    <w:p w14:paraId="058DEF1D">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（11）监理日志</w:t>
      </w:r>
    </w:p>
    <w:p w14:paraId="7BC71CC7">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（12)</w:t>
      </w:r>
      <w:r>
        <w:rPr>
          <w:rFonts w:ascii="宋体" w:hAnsi="宋体" w:cs="宋体"/>
          <w:kern w:val="0"/>
          <w:szCs w:val="21"/>
        </w:rPr>
        <w:t xml:space="preserve"> </w:t>
      </w:r>
      <w:r>
        <w:rPr>
          <w:rFonts w:hint="eastAsia" w:ascii="宋体" w:hAnsi="宋体" w:cs="宋体"/>
          <w:kern w:val="0"/>
          <w:szCs w:val="21"/>
        </w:rPr>
        <w:t>其它。</w:t>
      </w:r>
    </w:p>
    <w:p w14:paraId="1C8071A2">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2.5.3根据监理工程进展情况的不定期报告</w:t>
      </w:r>
    </w:p>
    <w:p w14:paraId="755BA61A">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w:t>
      </w:r>
      <w:r>
        <w:rPr>
          <w:rFonts w:hint="eastAsia" w:ascii="宋体" w:hAnsi="宋体" w:cs="宋体"/>
          <w:kern w:val="0"/>
          <w:szCs w:val="21"/>
        </w:rPr>
        <w:t>关于工程优化设计或变更或施工进展的建议；</w:t>
      </w:r>
    </w:p>
    <w:p w14:paraId="43CA6B57">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r>
        <w:rPr>
          <w:rFonts w:hint="eastAsia" w:ascii="宋体" w:hAnsi="宋体" w:cs="宋体"/>
          <w:kern w:val="0"/>
          <w:szCs w:val="21"/>
        </w:rPr>
        <w:t>资金、资源投入及合理配置的建议；</w:t>
      </w:r>
    </w:p>
    <w:p w14:paraId="4538D397">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 xml:space="preserve"> </w:t>
      </w:r>
      <w:r>
        <w:rPr>
          <w:rFonts w:hint="eastAsia" w:ascii="宋体" w:hAnsi="宋体" w:cs="宋体"/>
          <w:kern w:val="0"/>
          <w:szCs w:val="21"/>
        </w:rPr>
        <w:t>工程进展预测分析报告；</w:t>
      </w:r>
    </w:p>
    <w:p w14:paraId="1568409A">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 xml:space="preserve"> </w:t>
      </w:r>
      <w:r>
        <w:rPr>
          <w:rFonts w:hint="eastAsia" w:ascii="宋体" w:hAnsi="宋体" w:cs="宋体"/>
          <w:kern w:val="0"/>
          <w:szCs w:val="21"/>
        </w:rPr>
        <w:t>业主要求提交的其他报告；</w:t>
      </w:r>
    </w:p>
    <w:p w14:paraId="641F987A">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w:t>
      </w:r>
      <w:r>
        <w:rPr>
          <w:rFonts w:ascii="宋体" w:hAnsi="宋体" w:cs="宋体"/>
          <w:kern w:val="0"/>
          <w:szCs w:val="21"/>
        </w:rPr>
        <w:t xml:space="preserve"> </w:t>
      </w:r>
      <w:r>
        <w:rPr>
          <w:rFonts w:hint="eastAsia" w:ascii="宋体" w:hAnsi="宋体" w:cs="宋体"/>
          <w:kern w:val="0"/>
          <w:szCs w:val="21"/>
        </w:rPr>
        <w:t>工程阶段验收，竣工验收监理工作报告。</w:t>
      </w:r>
    </w:p>
    <w:p w14:paraId="1B29014B">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2.5.4监理过程文件</w:t>
      </w:r>
    </w:p>
    <w:p w14:paraId="54AB578A">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w:t>
      </w:r>
      <w:r>
        <w:rPr>
          <w:rFonts w:hint="eastAsia" w:ascii="宋体" w:hAnsi="宋体" w:cs="宋体"/>
          <w:kern w:val="0"/>
          <w:szCs w:val="21"/>
        </w:rPr>
        <w:t>施工措施计划批复文件；</w:t>
      </w:r>
    </w:p>
    <w:p w14:paraId="7B9DB882">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r>
        <w:rPr>
          <w:rFonts w:hint="eastAsia" w:ascii="宋体" w:hAnsi="宋体" w:cs="宋体"/>
          <w:kern w:val="0"/>
          <w:szCs w:val="21"/>
        </w:rPr>
        <w:t>施工进度调整批复文件；</w:t>
      </w:r>
    </w:p>
    <w:p w14:paraId="2CCBBF31">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 xml:space="preserve"> </w:t>
      </w:r>
      <w:r>
        <w:rPr>
          <w:rFonts w:hint="eastAsia" w:ascii="宋体" w:hAnsi="宋体" w:cs="宋体"/>
          <w:kern w:val="0"/>
          <w:szCs w:val="21"/>
        </w:rPr>
        <w:t>监理协调会议纪要文件；</w:t>
      </w:r>
    </w:p>
    <w:p w14:paraId="4416BA1B">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 xml:space="preserve"> </w:t>
      </w:r>
      <w:r>
        <w:rPr>
          <w:rFonts w:hint="eastAsia" w:ascii="宋体" w:hAnsi="宋体" w:cs="宋体"/>
          <w:kern w:val="0"/>
          <w:szCs w:val="21"/>
        </w:rPr>
        <w:t>施工质量事故处理文件；</w:t>
      </w:r>
    </w:p>
    <w:p w14:paraId="7F659939">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w:t>
      </w:r>
      <w:r>
        <w:rPr>
          <w:rFonts w:ascii="宋体" w:hAnsi="宋体" w:cs="宋体"/>
          <w:kern w:val="0"/>
          <w:szCs w:val="21"/>
        </w:rPr>
        <w:t xml:space="preserve"> </w:t>
      </w:r>
      <w:r>
        <w:rPr>
          <w:rFonts w:hint="eastAsia" w:ascii="宋体" w:hAnsi="宋体" w:cs="宋体"/>
          <w:kern w:val="0"/>
          <w:szCs w:val="21"/>
        </w:rPr>
        <w:t>施工安全事故处理文件；</w:t>
      </w:r>
    </w:p>
    <w:p w14:paraId="263D8289">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r>
        <w:rPr>
          <w:rFonts w:hint="eastAsia" w:ascii="宋体" w:hAnsi="宋体" w:cs="宋体"/>
          <w:kern w:val="0"/>
          <w:szCs w:val="21"/>
        </w:rPr>
        <w:t>其它按合同文件规定应报送的文件。</w:t>
      </w:r>
    </w:p>
    <w:p w14:paraId="6D121A07">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（7）监理人提交的监理文件份数及时间要求</w:t>
      </w:r>
    </w:p>
    <w:p w14:paraId="15461DE0">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监理人向委托人提交的监理文件一式5份(并附电子文档1份)，其中监理周报、月报、年报一式5份。</w:t>
      </w:r>
    </w:p>
    <w:p w14:paraId="64AE17E1">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时间要求：周报为每周一、月报为月末、年报为1月20日。</w:t>
      </w:r>
    </w:p>
    <w:p w14:paraId="05848046">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违约责任：逾期提交上述文件资料，视为监理人违约，委托人有权解除本合同，同时，按照本合同约定的暂定酬金签约酬金的30%承担违约金。</w:t>
      </w:r>
    </w:p>
    <w:p w14:paraId="23B4D509">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 使用委托人的财产</w:t>
      </w:r>
    </w:p>
    <w:p w14:paraId="1C53B084">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szCs w:val="21"/>
        </w:rPr>
        <w:t>委托人不提供的房屋、设备。</w:t>
      </w:r>
    </w:p>
    <w:p w14:paraId="699F095F">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监理人应在本合同终止后</w:t>
      </w:r>
      <w:r>
        <w:rPr>
          <w:rFonts w:hint="eastAsia" w:ascii="宋体" w:hAnsi="宋体"/>
          <w:szCs w:val="21"/>
          <w:u w:val="single"/>
        </w:rPr>
        <w:t xml:space="preserve"> /  </w:t>
      </w:r>
      <w:r>
        <w:rPr>
          <w:rFonts w:hint="eastAsia" w:ascii="宋体" w:hAnsi="宋体"/>
          <w:szCs w:val="21"/>
        </w:rPr>
        <w:t>天内移交委托人提供的房屋、设备，移交的时间和方式为：</w:t>
      </w:r>
      <w:r>
        <w:rPr>
          <w:rFonts w:hint="eastAsia" w:ascii="宋体" w:hAnsi="宋体"/>
          <w:szCs w:val="21"/>
          <w:u w:val="single"/>
        </w:rPr>
        <w:t xml:space="preserve">  /</w:t>
      </w:r>
      <w:r>
        <w:rPr>
          <w:rFonts w:hint="eastAsia" w:ascii="宋体" w:hAnsi="宋体"/>
          <w:szCs w:val="21"/>
        </w:rPr>
        <w:t>。若监理人逾期移交（若有），委托人有权单方移交，若场地内留有监理人物品，视为遗弃物，委托人有权任意处置，产生的处置费或恢复场地的费用由监理人承担。</w:t>
      </w:r>
    </w:p>
    <w:p w14:paraId="7B7B58D3">
      <w:pPr>
        <w:overflowPunct w:val="0"/>
        <w:autoSpaceDE w:val="0"/>
        <w:autoSpaceDN w:val="0"/>
        <w:adjustRightInd w:val="0"/>
        <w:snapToGrid w:val="0"/>
        <w:spacing w:line="360" w:lineRule="auto"/>
        <w:ind w:firstLine="422" w:firstLineChars="200"/>
        <w:rPr>
          <w:rFonts w:ascii="宋体" w:hAnsi="宋体"/>
          <w:b/>
          <w:szCs w:val="21"/>
        </w:rPr>
      </w:pPr>
      <w:r>
        <w:rPr>
          <w:rFonts w:hint="eastAsia" w:ascii="宋体" w:hAnsi="宋体"/>
          <w:b/>
          <w:kern w:val="0"/>
          <w:szCs w:val="21"/>
        </w:rPr>
        <w:t xml:space="preserve">3. 委托人义务  </w:t>
      </w:r>
    </w:p>
    <w:p w14:paraId="512565A1">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3.3.1通用条件修改为：委托人无义务提供监理人员所需的现场办公用房，生产与生活设施、设备与物品、通讯、交通等均由监理单位自行解决，委托人与施工单位另有约定按照约定执行。</w:t>
      </w:r>
    </w:p>
    <w:p w14:paraId="77606988">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kern w:val="0"/>
          <w:szCs w:val="21"/>
        </w:rPr>
        <w:t xml:space="preserve">3.4 </w:t>
      </w:r>
      <w:r>
        <w:rPr>
          <w:rFonts w:hint="eastAsia" w:ascii="宋体" w:hAnsi="宋体" w:cs="宋体"/>
          <w:kern w:val="0"/>
          <w:szCs w:val="21"/>
        </w:rPr>
        <w:t>委托人代表</w:t>
      </w:r>
    </w:p>
    <w:p w14:paraId="22868504">
      <w:pPr>
        <w:overflowPunct w:val="0"/>
        <w:autoSpaceDE w:val="0"/>
        <w:autoSpaceDN w:val="0"/>
        <w:adjustRightInd w:val="0"/>
        <w:snapToGrid w:val="0"/>
        <w:spacing w:line="360" w:lineRule="auto"/>
        <w:ind w:firstLine="420" w:firstLineChars="200"/>
        <w:rPr>
          <w:rFonts w:ascii="宋体" w:hAnsi="宋体"/>
          <w:szCs w:val="21"/>
          <w:u w:val="single"/>
        </w:rPr>
      </w:pPr>
      <w:r>
        <w:rPr>
          <w:rFonts w:hint="eastAsia" w:ascii="宋体" w:hAnsi="宋体"/>
          <w:szCs w:val="21"/>
        </w:rPr>
        <w:t>委托人代表为：</w:t>
      </w:r>
      <w:r>
        <w:rPr>
          <w:rFonts w:hint="eastAsia" w:ascii="宋体" w:hAnsi="宋体"/>
          <w:szCs w:val="21"/>
          <w:u w:val="single"/>
        </w:rPr>
        <w:t xml:space="preserve">                               </w:t>
      </w:r>
      <w:r>
        <w:rPr>
          <w:rFonts w:hint="eastAsia" w:ascii="宋体" w:hAnsi="宋体"/>
          <w:szCs w:val="21"/>
        </w:rPr>
        <w:t>。</w:t>
      </w:r>
    </w:p>
    <w:p w14:paraId="40ED6B8A">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 xml:space="preserve">3.6 </w:t>
      </w:r>
      <w:r>
        <w:rPr>
          <w:rFonts w:hint="eastAsia" w:ascii="宋体" w:hAnsi="宋体" w:cs="宋体"/>
          <w:kern w:val="0"/>
          <w:szCs w:val="21"/>
        </w:rPr>
        <w:t>答复</w:t>
      </w:r>
    </w:p>
    <w:p w14:paraId="4B2E03CE">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委托人同意在</w:t>
      </w:r>
      <w:r>
        <w:rPr>
          <w:rFonts w:hint="eastAsia" w:ascii="宋体" w:hAnsi="宋体"/>
          <w:szCs w:val="21"/>
          <w:u w:val="single"/>
        </w:rPr>
        <w:t xml:space="preserve">  7  </w:t>
      </w:r>
      <w:r>
        <w:rPr>
          <w:rFonts w:hint="eastAsia" w:ascii="宋体" w:hAnsi="宋体"/>
          <w:szCs w:val="21"/>
        </w:rPr>
        <w:t>天内，对监理人书面提交并要求做出决定的事宜给予答复。</w:t>
      </w:r>
    </w:p>
    <w:p w14:paraId="1869B846">
      <w:pPr>
        <w:overflowPunct w:val="0"/>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4. 违约责任</w:t>
      </w:r>
    </w:p>
    <w:p w14:paraId="562E30DC">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 xml:space="preserve">4.1 </w:t>
      </w:r>
      <w:r>
        <w:rPr>
          <w:rFonts w:hint="eastAsia" w:ascii="宋体" w:hAnsi="宋体" w:cs="宋体"/>
          <w:kern w:val="0"/>
          <w:szCs w:val="21"/>
        </w:rPr>
        <w:t>监理人的违约责任</w:t>
      </w:r>
    </w:p>
    <w:p w14:paraId="1F155BD7">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 监理人违约的其他情形：</w:t>
      </w:r>
    </w:p>
    <w:p w14:paraId="4A972361">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4.1.1.1监理人未按本合同约定的内容、时间、数量向委托人交付报告、成果、文件的。</w:t>
      </w:r>
    </w:p>
    <w:p w14:paraId="71AD905D">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4.1.1.2监理人拒绝对报告、成果、文件出现的遗漏或错误负责修改补充的。</w:t>
      </w:r>
    </w:p>
    <w:p w14:paraId="0B44606C">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4.1.1.3监理人向第三人扩散、转让本合同中委托人提供的技术资料、文件的。</w:t>
      </w:r>
    </w:p>
    <w:p w14:paraId="484B5893">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4.1.1.4未经委托人人同意，监理人将履行本合同形成的知识成果擅自复制泄露或向第三人转让或用于本合同外的项目。</w:t>
      </w:r>
    </w:p>
    <w:p w14:paraId="6A22ECAB">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4.1.1.5拒为委托人提供口头、现场咨询或参加现场论证的。</w:t>
      </w:r>
    </w:p>
    <w:p w14:paraId="0EC11758">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4.1.1.6拒绝承担监理人工作人员的现场安全责任及其工作人员给第三方或委托人造成的一切损失的。</w:t>
      </w:r>
    </w:p>
    <w:p w14:paraId="6C176F2C">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4.1.1.7未为其工作人员办理社会保险、签订劳动合同、按时支付工资的。</w:t>
      </w:r>
    </w:p>
    <w:p w14:paraId="59322C15">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4.1.1.8拒绝更换委托人不满意的工作人员的。</w:t>
      </w:r>
    </w:p>
    <w:p w14:paraId="7897A3F6">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4.1.1.9本合同有关条款规定和补充协议中监理人违约情形。</w:t>
      </w:r>
    </w:p>
    <w:p w14:paraId="1CE6D46B">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4.1.1.10拒绝配合办理竣工结算的。</w:t>
      </w:r>
    </w:p>
    <w:p w14:paraId="6AAE04B5">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4.1.1.11拒绝履行本合同2.1条约定的义务的。</w:t>
      </w:r>
    </w:p>
    <w:p w14:paraId="3D5AE66B">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4.1.1.12因监理人拒绝承担本合同约定的安全责任，致使委托人承担责任的。</w:t>
      </w:r>
    </w:p>
    <w:p w14:paraId="17FF2F28">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4.1.1.13因监理人行为给委托人造成不良影响。</w:t>
      </w:r>
    </w:p>
    <w:p w14:paraId="1D7F3E74">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4.1.1.14擅自将本合同约定服务进行转包或分包的。</w:t>
      </w:r>
    </w:p>
    <w:p w14:paraId="2E3F62A9">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4.1.1.15本合同有关条款规定和补充协议中承包人应负的责任。</w:t>
      </w:r>
    </w:p>
    <w:p w14:paraId="3CE63C57">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4.1.2监理人赔偿金额按下列方法确定：</w:t>
      </w:r>
    </w:p>
    <w:p w14:paraId="3E5E64AC">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（1）因监理人原因而暂停或终止监理业务，其善后工作及恢复监理业务所发生的费用，由监理单位承担，赔偿金按下列方法确定：</w:t>
      </w:r>
      <w:r>
        <w:rPr>
          <w:rFonts w:hint="eastAsia" w:ascii="宋体" w:hAnsi="宋体"/>
          <w:szCs w:val="21"/>
          <w:u w:val="single"/>
        </w:rPr>
        <w:t xml:space="preserve"> 扣除所有未支付费用以及履约保证金</w:t>
      </w:r>
      <w:r>
        <w:rPr>
          <w:rFonts w:hint="eastAsia" w:ascii="宋体" w:hAnsi="宋体"/>
          <w:szCs w:val="21"/>
        </w:rPr>
        <w:t xml:space="preserve">。 </w:t>
      </w:r>
    </w:p>
    <w:p w14:paraId="700E57B9">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szCs w:val="21"/>
        </w:rPr>
        <w:t>（2）除</w:t>
      </w:r>
      <w:r>
        <w:rPr>
          <w:rFonts w:hint="eastAsia" w:ascii="宋体" w:hAnsi="宋体"/>
          <w:kern w:val="0"/>
          <w:szCs w:val="21"/>
        </w:rPr>
        <w:t>4.1.1（1）</w:t>
      </w:r>
      <w:r>
        <w:rPr>
          <w:rFonts w:hint="eastAsia" w:ascii="宋体" w:hAnsi="宋体"/>
          <w:szCs w:val="21"/>
        </w:rPr>
        <w:t>因监理人违反本合同约定给委托人造成损失的，赔偿金按下列方法确定：赔偿金＝直接经济损失</w:t>
      </w:r>
      <w:r>
        <w:rPr>
          <w:rFonts w:hint="eastAsia" w:ascii="宋体" w:hAnsi="宋体" w:cs="宋体"/>
          <w:kern w:val="0"/>
          <w:szCs w:val="21"/>
        </w:rPr>
        <w:t>。监理人承担部分赔偿责任的，其承担赔偿金额由双方协商确定。</w:t>
      </w:r>
    </w:p>
    <w:p w14:paraId="3E916E7A">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4.1.3违约的处理</w:t>
      </w:r>
    </w:p>
    <w:p w14:paraId="62A4C113">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4.1.3.1监理人违约时，委托人有权解除本合同。</w:t>
      </w:r>
    </w:p>
    <w:p w14:paraId="1D7549F4">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4.1.3.2由于监理人原因延误工期或未按规定时间交付报告、成果、文件，每延误一天应承担以工程费万分之五计算的违约金，并承担给委托人造成的一切损失。若延误15天，监理人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09AC32D8">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4.1.3.2交付的报告、成果、文件达不到合同约定条件的部分，委托人可要求监理人返工，监理人按委托人要求的的时间返工，直到符合约定条件，因监理人原因达不到约定条件，由监理人承担返工费，返工后仍不能达到约定条件或监理人未履行返工义务，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17C99B3B">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4.1.3.3监理人拒绝提供咨询、参加论证，每发生一次，按合同签约酬金的（</w:t>
      </w:r>
      <w:r>
        <w:rPr>
          <w:rFonts w:hint="eastAsia" w:ascii="宋体" w:hAnsi="宋体"/>
          <w:szCs w:val="21"/>
          <w:u w:val="single"/>
        </w:rPr>
        <w:t>5%</w:t>
      </w:r>
      <w:r>
        <w:rPr>
          <w:rFonts w:hint="eastAsia" w:ascii="宋体" w:hAnsi="宋体"/>
          <w:szCs w:val="21"/>
        </w:rPr>
        <w:t>）向委托人承担违约金，累计发生3次以上（含本数），委托人有权解除本合同，监理人按合同签约酬金的30%向委托人承担违约金。</w:t>
      </w:r>
    </w:p>
    <w:p w14:paraId="12F97CF7">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4.1.3.4监理人擅自更换项目工作人员，每发生一次，按合同签约酬金的（</w:t>
      </w:r>
      <w:r>
        <w:rPr>
          <w:rFonts w:hint="eastAsia" w:ascii="宋体" w:hAnsi="宋体"/>
          <w:szCs w:val="21"/>
          <w:u w:val="single"/>
        </w:rPr>
        <w:t>5%</w:t>
      </w:r>
      <w:r>
        <w:rPr>
          <w:rFonts w:hint="eastAsia" w:ascii="宋体" w:hAnsi="宋体"/>
          <w:szCs w:val="21"/>
        </w:rPr>
        <w:t>）%向委托人承担违约金，累计发生2次以上（含本数），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4CF07463">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4.1.3.5监理人拒绝更换工作人员，每发生一次，按合同签约酬金的（</w:t>
      </w:r>
      <w:r>
        <w:rPr>
          <w:rFonts w:hint="eastAsia" w:ascii="宋体" w:hAnsi="宋体"/>
          <w:szCs w:val="21"/>
          <w:u w:val="single"/>
        </w:rPr>
        <w:t>5%</w:t>
      </w:r>
      <w:r>
        <w:rPr>
          <w:rFonts w:hint="eastAsia" w:ascii="宋体" w:hAnsi="宋体"/>
          <w:szCs w:val="21"/>
        </w:rPr>
        <w:t>）%向委托人承担违约金，累计发生2次以上（含本数），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16E1DC87">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4.1.3.6因监理人原因解除本合同时，委托人另行委托第三方提供监理服务时，费用由监理人承担。</w:t>
      </w:r>
    </w:p>
    <w:p w14:paraId="4284C4F3">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4.1.3.7监理人需承诺：在项目实施期间，因工作需要，须在甲方电话通知后4小时内到达现场，一次未到支付违约金一万元，按次数累加（该违约金可在监理费中扣划）。累计超过5次（含本数），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009FC111">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4.1.3.8监理人拒绝对报告、成果、文件出现的遗漏或错误负责修改补充的，每延误一天应承担以工程费万分之五计算的违约金，并承担给委托人造成的一切损失。若延误15天，，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7D56E29C">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4.1.3.9监理人向第三人扩散、转让本合同中委托人提供的技术资料、文件的，承担给委托人造成的一切损失。</w:t>
      </w:r>
    </w:p>
    <w:p w14:paraId="2A92E34D">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4.1.3.10未经委托人人同意，监理人将履行本合同形成的知识成果擅自复制泄露或向第三人转让或用于本合同外的项目，承担给委托人造成的一切损失。</w:t>
      </w:r>
    </w:p>
    <w:p w14:paraId="18EE874A">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4.1.3.11因监理人与其工作人员之间的纠纷或其工作人员给第三方造成损失，委托人代为承担责任时，监理人承担给委托人造成的一切损失。</w:t>
      </w:r>
    </w:p>
    <w:p w14:paraId="76DBFC69">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4.1.3.12拒绝配合办理竣工结算，每延误一天应承担以工程费万分之五计算的违约金，并承担给委托人造成的一切损失。若延误15天，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3CE5AB7B">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4.1.3.13因监理人行为给委托人造成不良影响，监理人拒绝消除影响时或不良影响未消除时，委托人有权解除本合同，监理人承担给委托人造成的一切损失。因监理人未按时支付工资，出现信访、上访或到委托人处讨薪情形的，则视为监理人违约，委托人有权选择将监理人欠付的工资支付并有权从应支付给监理人的费用中扣除，同时监理人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5C586041">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4.1.3.14监理人在承担上述一项或多项违约责任后，仍应继续履行合同规定的义务（委托人解除合同的除外）。委托人未能及时追究监理人的任何一项违约责任并不代表委托人放弃追究承包人该项或其他违约责任。</w:t>
      </w:r>
    </w:p>
    <w:p w14:paraId="77C5DE96">
      <w:pPr>
        <w:overflowPunct w:val="0"/>
        <w:autoSpaceDE w:val="0"/>
        <w:autoSpaceDN w:val="0"/>
        <w:adjustRightInd w:val="0"/>
        <w:snapToGrid w:val="0"/>
        <w:spacing w:line="360" w:lineRule="auto"/>
        <w:ind w:firstLine="420" w:firstLineChars="200"/>
      </w:pPr>
      <w:r>
        <w:rPr>
          <w:rFonts w:hint="eastAsia" w:ascii="宋体" w:hAnsi="宋体"/>
          <w:szCs w:val="21"/>
        </w:rPr>
        <w:t>4.1.3.15委托人为维护其合法权益产生的费用由监理人承担，该费用包括但不限于律师费、诉讼费、财产保全费、财产保全担保费、差旅费、评估费、审计费、鉴定费、公证费、公告费等费用。</w:t>
      </w:r>
    </w:p>
    <w:p w14:paraId="11292B69">
      <w:pPr>
        <w:overflowPunct w:val="0"/>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4.2 委</w:t>
      </w:r>
      <w:r>
        <w:rPr>
          <w:rFonts w:hint="eastAsia" w:ascii="宋体" w:hAnsi="宋体" w:cs="宋体"/>
          <w:kern w:val="0"/>
          <w:szCs w:val="21"/>
        </w:rPr>
        <w:t>托人的违约责任</w:t>
      </w:r>
    </w:p>
    <w:p w14:paraId="76289D3E">
      <w:pPr>
        <w:overflowPunct w:val="0"/>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szCs w:val="21"/>
        </w:rPr>
        <w:t>4.2.3 委托人</w:t>
      </w:r>
      <w:r>
        <w:rPr>
          <w:rFonts w:hint="eastAsia" w:ascii="宋体" w:hAnsi="宋体"/>
          <w:kern w:val="0"/>
          <w:szCs w:val="21"/>
        </w:rPr>
        <w:t>逾期付款利息按下列方法确定：</w:t>
      </w:r>
    </w:p>
    <w:p w14:paraId="39A8BD8D">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逾期付款利息＝当期应付款总额×中国人民银行同期活期存款利息÷365天×拖延支付天数。</w:t>
      </w:r>
    </w:p>
    <w:p w14:paraId="4AC6D0BD">
      <w:pPr>
        <w:overflowPunct w:val="0"/>
        <w:autoSpaceDE w:val="0"/>
        <w:autoSpaceDN w:val="0"/>
        <w:adjustRightInd w:val="0"/>
        <w:snapToGrid w:val="0"/>
        <w:spacing w:line="360" w:lineRule="auto"/>
        <w:ind w:firstLine="422" w:firstLineChars="200"/>
        <w:rPr>
          <w:rFonts w:ascii="宋体" w:hAnsi="宋体"/>
          <w:b/>
          <w:szCs w:val="21"/>
        </w:rPr>
      </w:pPr>
      <w:r>
        <w:rPr>
          <w:rFonts w:hint="eastAsia" w:ascii="宋体" w:hAnsi="宋体"/>
          <w:b/>
          <w:bCs/>
          <w:szCs w:val="21"/>
        </w:rPr>
        <w:t>5. 支付</w:t>
      </w:r>
    </w:p>
    <w:p w14:paraId="46A69BF2">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 xml:space="preserve">5.1 </w:t>
      </w:r>
      <w:r>
        <w:rPr>
          <w:rFonts w:hint="eastAsia" w:ascii="宋体" w:hAnsi="宋体"/>
          <w:bCs/>
          <w:szCs w:val="21"/>
        </w:rPr>
        <w:t>支付货币</w:t>
      </w:r>
    </w:p>
    <w:p w14:paraId="7F40D0F2">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币种为：</w:t>
      </w:r>
      <w:r>
        <w:rPr>
          <w:rFonts w:hint="eastAsia" w:ascii="宋体" w:hAnsi="宋体"/>
          <w:szCs w:val="21"/>
          <w:u w:val="single"/>
        </w:rPr>
        <w:t xml:space="preserve">  人民币 </w:t>
      </w:r>
      <w:r>
        <w:rPr>
          <w:rFonts w:hint="eastAsia" w:ascii="宋体" w:hAnsi="宋体"/>
          <w:szCs w:val="21"/>
        </w:rPr>
        <w:t>，比例为：</w:t>
      </w:r>
      <w:r>
        <w:rPr>
          <w:rFonts w:hint="eastAsia" w:ascii="宋体" w:hAnsi="宋体"/>
          <w:szCs w:val="21"/>
          <w:u w:val="single"/>
        </w:rPr>
        <w:t xml:space="preserve">    /  </w:t>
      </w:r>
      <w:r>
        <w:rPr>
          <w:rFonts w:hint="eastAsia" w:ascii="宋体" w:hAnsi="宋体"/>
          <w:szCs w:val="21"/>
        </w:rPr>
        <w:t>，汇率为：</w:t>
      </w:r>
      <w:r>
        <w:rPr>
          <w:rFonts w:hint="eastAsia" w:ascii="宋体" w:hAnsi="宋体"/>
          <w:szCs w:val="21"/>
          <w:u w:val="single"/>
        </w:rPr>
        <w:t xml:space="preserve">   /   </w:t>
      </w:r>
      <w:r>
        <w:rPr>
          <w:rFonts w:hint="eastAsia" w:ascii="宋体" w:hAnsi="宋体"/>
          <w:szCs w:val="21"/>
        </w:rPr>
        <w:t xml:space="preserve">。 </w:t>
      </w:r>
    </w:p>
    <w:p w14:paraId="1F787436">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5.2 支付酬金</w:t>
      </w:r>
    </w:p>
    <w:p w14:paraId="6B8356DD">
      <w:pPr>
        <w:pStyle w:val="2"/>
        <w:ind w:firstLine="400" w:firstLineChars="200"/>
      </w:pPr>
      <w:r>
        <w:rPr>
          <w:rFonts w:hint="eastAsia"/>
        </w:rPr>
        <w:t>本合同计算酬金=经审定的实际结算建筑安装工程费×中标监理费费率；监理人中标固定费率为：</w:t>
      </w:r>
      <w:r>
        <w:rPr>
          <w:rFonts w:hint="eastAsia"/>
          <w:u w:val="single"/>
        </w:rPr>
        <w:t xml:space="preserve">        </w:t>
      </w:r>
      <w:r>
        <w:rPr>
          <w:rFonts w:hint="eastAsia"/>
        </w:rPr>
        <w:t>。</w:t>
      </w:r>
    </w:p>
    <w:p w14:paraId="1084FF68">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5.2.1</w:t>
      </w:r>
      <w:r>
        <w:rPr>
          <w:rFonts w:ascii="宋体" w:hAnsi="宋体"/>
          <w:szCs w:val="21"/>
        </w:rPr>
        <w:t>本项目不采用预付款</w:t>
      </w:r>
    </w:p>
    <w:p w14:paraId="5A1D38EA">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5.2.2监理</w:t>
      </w:r>
      <w:r>
        <w:rPr>
          <w:rFonts w:ascii="宋体" w:hAnsi="宋体"/>
          <w:szCs w:val="21"/>
        </w:rPr>
        <w:t>酬金</w:t>
      </w:r>
    </w:p>
    <w:p w14:paraId="284FCF90">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本项目监理费用按施工进度付款：</w:t>
      </w:r>
    </w:p>
    <w:p w14:paraId="7375DA4C">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①委托人按每季度审核完成进度支付监理酬金，每期实际支付为：委托人确认的</w:t>
      </w:r>
      <w:r>
        <w:rPr>
          <w:rFonts w:hint="eastAsia"/>
        </w:rPr>
        <w:t>建筑安装工程费×中标监理费费率</w:t>
      </w:r>
      <w:r>
        <w:rPr>
          <w:rFonts w:hint="eastAsia" w:ascii="宋体" w:hAnsi="宋体"/>
          <w:szCs w:val="21"/>
        </w:rPr>
        <w:t>×70%。监理人于次月提出申请，委托人自收到监理人提出的申请经确认且收到等额的增值税专用发票后的28日内，支付上一个季度的监理酬金；</w:t>
      </w:r>
    </w:p>
    <w:p w14:paraId="17871658">
      <w:pPr>
        <w:overflowPunct w:val="0"/>
        <w:autoSpaceDE w:val="0"/>
        <w:autoSpaceDN w:val="0"/>
        <w:adjustRightInd w:val="0"/>
        <w:snapToGrid w:val="0"/>
        <w:spacing w:line="360" w:lineRule="auto"/>
        <w:ind w:firstLine="420" w:firstLineChars="200"/>
        <w:jc w:val="left"/>
        <w:textAlignment w:val="baseline"/>
        <w:rPr>
          <w:rFonts w:ascii="宋体" w:hAnsi="宋体" w:cs="宋体"/>
        </w:rPr>
      </w:pPr>
      <w:r>
        <w:rPr>
          <w:rFonts w:hint="eastAsia" w:ascii="宋体" w:hAnsi="宋体"/>
          <w:szCs w:val="21"/>
        </w:rPr>
        <w:t>②项目竣工验收合格、监理人提出申请经确认且收到等额的增值税专用发票后的【60】日内后支付至</w:t>
      </w:r>
      <w:r>
        <w:rPr>
          <w:rFonts w:hint="eastAsia"/>
        </w:rPr>
        <w:t>合同计算酬金</w:t>
      </w:r>
      <w:r>
        <w:rPr>
          <w:rFonts w:hint="eastAsia" w:ascii="宋体" w:hAnsi="宋体"/>
          <w:szCs w:val="21"/>
        </w:rPr>
        <w:t>的70%；所有监理资料按规范整理完毕并移交、监理人提出申请经确认且收到等额的增值税专用发票后的【60】日内支付至</w:t>
      </w:r>
      <w:r>
        <w:rPr>
          <w:rFonts w:hint="eastAsia"/>
        </w:rPr>
        <w:t>合同计算酬金</w:t>
      </w:r>
      <w:r>
        <w:rPr>
          <w:rFonts w:hint="eastAsia" w:ascii="宋体" w:hAnsi="宋体"/>
          <w:szCs w:val="21"/>
        </w:rPr>
        <w:t>的</w:t>
      </w:r>
      <w:r>
        <w:rPr>
          <w:rFonts w:hint="eastAsia" w:ascii="宋体" w:hAnsi="宋体" w:cs="宋体"/>
          <w:szCs w:val="21"/>
        </w:rPr>
        <w:t>80%；办理完结算审定最终监理酬金</w:t>
      </w:r>
      <w:r>
        <w:rPr>
          <w:rFonts w:hint="eastAsia" w:ascii="宋体" w:hAnsi="宋体"/>
          <w:szCs w:val="21"/>
        </w:rPr>
        <w:t>、监理人提出申请经确认且收到等额的增值税专用发票后的【60】日内</w:t>
      </w:r>
      <w:r>
        <w:rPr>
          <w:rFonts w:hint="eastAsia" w:ascii="宋体" w:hAnsi="宋体" w:cs="宋体"/>
          <w:szCs w:val="21"/>
        </w:rPr>
        <w:t>支付至结算金额的95%；</w:t>
      </w:r>
      <w:r>
        <w:rPr>
          <w:rFonts w:ascii="宋体" w:hAnsi="宋体" w:cs="宋体"/>
        </w:rPr>
        <w:t xml:space="preserve"> </w:t>
      </w:r>
    </w:p>
    <w:p w14:paraId="6D1463BF">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ascii="宋体" w:hAnsi="宋体"/>
          <w:szCs w:val="21"/>
        </w:rPr>
        <w:t>保修阶段服务</w:t>
      </w:r>
      <w:r>
        <w:rPr>
          <w:rFonts w:hint="eastAsia" w:ascii="宋体" w:hAnsi="宋体"/>
          <w:szCs w:val="21"/>
        </w:rPr>
        <w:t>（5%）</w:t>
      </w:r>
      <w:r>
        <w:rPr>
          <w:rFonts w:ascii="宋体" w:hAnsi="宋体"/>
          <w:szCs w:val="21"/>
        </w:rPr>
        <w:t>：缺陷责任期满</w:t>
      </w:r>
      <w:r>
        <w:rPr>
          <w:rFonts w:hint="eastAsia" w:ascii="宋体" w:hAnsi="宋体"/>
          <w:szCs w:val="21"/>
        </w:rPr>
        <w:t>，验收合格、监理人提出申请经确认且收到等额的增值税专用发票后的【60】日内</w:t>
      </w:r>
      <w:r>
        <w:rPr>
          <w:rFonts w:ascii="宋体" w:hAnsi="宋体"/>
          <w:szCs w:val="21"/>
        </w:rPr>
        <w:t>内一次性支付</w:t>
      </w:r>
      <w:r>
        <w:rPr>
          <w:rFonts w:hint="eastAsia" w:ascii="宋体" w:hAnsi="宋体"/>
          <w:szCs w:val="21"/>
        </w:rPr>
        <w:t>剩余5%</w:t>
      </w:r>
      <w:r>
        <w:rPr>
          <w:rFonts w:ascii="宋体" w:hAnsi="宋体"/>
          <w:szCs w:val="21"/>
        </w:rPr>
        <w:t>（无息）；</w:t>
      </w:r>
    </w:p>
    <w:p w14:paraId="2382BA25">
      <w:pPr>
        <w:overflowPunct w:val="0"/>
        <w:autoSpaceDE w:val="0"/>
        <w:autoSpaceDN w:val="0"/>
        <w:adjustRightInd w:val="0"/>
        <w:snapToGrid w:val="0"/>
        <w:spacing w:line="360" w:lineRule="auto"/>
        <w:ind w:firstLine="420"/>
        <w:jc w:val="left"/>
        <w:textAlignment w:val="baseline"/>
        <w:rPr>
          <w:rFonts w:ascii="宋体" w:hAnsi="宋体" w:cs="宋体"/>
          <w:kern w:val="1"/>
          <w:szCs w:val="21"/>
        </w:rPr>
      </w:pPr>
      <w:r>
        <w:rPr>
          <w:rFonts w:hint="eastAsia" w:ascii="宋体" w:hAnsi="宋体" w:cs="宋体"/>
          <w:kern w:val="1"/>
          <w:szCs w:val="21"/>
        </w:rPr>
        <w:t>注：若存在下列情形时，下列情形作为付款条件之一，同时适用，若涉及进度款则不包括下列情形第4种：</w:t>
      </w:r>
    </w:p>
    <w:p w14:paraId="4834C30F">
      <w:pPr>
        <w:overflowPunct w:val="0"/>
        <w:autoSpaceDE w:val="0"/>
        <w:autoSpaceDN w:val="0"/>
        <w:adjustRightInd w:val="0"/>
        <w:snapToGrid w:val="0"/>
        <w:spacing w:line="360" w:lineRule="auto"/>
        <w:ind w:firstLine="420"/>
        <w:jc w:val="left"/>
        <w:textAlignment w:val="baseline"/>
        <w:rPr>
          <w:rFonts w:ascii="宋体" w:hAnsi="宋体"/>
        </w:rPr>
      </w:pPr>
      <w:r>
        <w:rPr>
          <w:rFonts w:hint="eastAsia" w:ascii="宋体" w:hAnsi="宋体" w:cs="宋体"/>
          <w:kern w:val="1"/>
          <w:szCs w:val="21"/>
        </w:rPr>
        <w:t>（1）每次付款前，监理单位须向委托人提供有效等额增值税专用发票。</w:t>
      </w:r>
      <w:r>
        <w:rPr>
          <w:rFonts w:hint="eastAsia" w:ascii="宋体" w:hAnsi="宋体"/>
        </w:rPr>
        <w:t>在付款前监理人应当提供等额增值税发票，未足额提供的发票的，委托人有权拒绝付款；</w:t>
      </w:r>
    </w:p>
    <w:p w14:paraId="0111FF44">
      <w:pPr>
        <w:overflowPunct w:val="0"/>
        <w:autoSpaceDE w:val="0"/>
        <w:autoSpaceDN w:val="0"/>
        <w:adjustRightInd w:val="0"/>
        <w:snapToGrid w:val="0"/>
        <w:spacing w:line="360" w:lineRule="auto"/>
        <w:ind w:firstLine="420"/>
        <w:jc w:val="left"/>
        <w:textAlignment w:val="baseline"/>
        <w:rPr>
          <w:rFonts w:ascii="宋体" w:hAnsi="宋体"/>
        </w:rPr>
      </w:pPr>
      <w:r>
        <w:rPr>
          <w:rFonts w:hint="eastAsia" w:ascii="宋体" w:hAnsi="宋体"/>
        </w:rPr>
        <w:t>（2）若合同计算酬金在支付款项时尚无法确定，则以本合同载明工程暂定的建筑安装工程费为基数乘以中标费率做为酬金；</w:t>
      </w:r>
    </w:p>
    <w:p w14:paraId="79AC18A0">
      <w:pPr>
        <w:overflowPunct w:val="0"/>
        <w:autoSpaceDE w:val="0"/>
        <w:autoSpaceDN w:val="0"/>
        <w:adjustRightInd w:val="0"/>
        <w:snapToGrid w:val="0"/>
        <w:spacing w:line="360" w:lineRule="auto"/>
        <w:ind w:firstLine="420"/>
        <w:jc w:val="left"/>
        <w:textAlignment w:val="baseline"/>
        <w:rPr>
          <w:rFonts w:ascii="宋体" w:hAnsi="宋体"/>
        </w:rPr>
      </w:pPr>
      <w:r>
        <w:rPr>
          <w:rFonts w:hint="eastAsia" w:ascii="宋体" w:hAnsi="宋体"/>
        </w:rPr>
        <w:t>（3）若本合同涉及财政资金或专项资金支持，在委托人未收到财政资金或专项资金的情形下，委托人有权迟延付款且不承担违约责任，在符合其他付款条件且收到财政资金或专项资金后付款；</w:t>
      </w:r>
    </w:p>
    <w:p w14:paraId="61D12C59">
      <w:pPr>
        <w:overflowPunct w:val="0"/>
        <w:autoSpaceDE w:val="0"/>
        <w:autoSpaceDN w:val="0"/>
        <w:adjustRightInd w:val="0"/>
        <w:snapToGrid w:val="0"/>
        <w:spacing w:line="360" w:lineRule="auto"/>
        <w:ind w:firstLine="420"/>
        <w:jc w:val="left"/>
        <w:textAlignment w:val="baseline"/>
        <w:rPr>
          <w:rFonts w:ascii="宋体" w:hAnsi="宋体"/>
        </w:rPr>
      </w:pPr>
      <w:r>
        <w:rPr>
          <w:rFonts w:hint="eastAsia" w:ascii="宋体" w:hAnsi="宋体"/>
        </w:rPr>
        <w:t>（4）若需对工程进行审计或财评，则在审计或财评结果未出之前，委托人有权迟延付款且不承担违约责任。</w:t>
      </w:r>
    </w:p>
    <w:p w14:paraId="0C53C173">
      <w:pPr>
        <w:overflowPunct w:val="0"/>
        <w:autoSpaceDE w:val="0"/>
        <w:autoSpaceDN w:val="0"/>
        <w:adjustRightInd w:val="0"/>
        <w:snapToGrid w:val="0"/>
        <w:spacing w:line="360" w:lineRule="auto"/>
        <w:ind w:firstLine="420"/>
        <w:textAlignment w:val="baseline"/>
        <w:rPr>
          <w:rFonts w:ascii="宋体" w:hAnsi="宋体"/>
        </w:rPr>
      </w:pPr>
      <w:r>
        <w:rPr>
          <w:rFonts w:hint="eastAsia" w:ascii="宋体" w:hAnsi="宋体"/>
        </w:rPr>
        <w:t>本合同的审计包括委托人委托第三方审计、重庆市南岸区财政局审计或重庆市南岸区审计局审计，若需重庆市南岸区财政局审计或重庆市南岸区审计局审计，则以重庆市南岸区财政局审计或重庆市南岸区审计局审计结果为准。</w:t>
      </w:r>
    </w:p>
    <w:p w14:paraId="4021EE05">
      <w:pPr>
        <w:overflowPunct w:val="0"/>
        <w:autoSpaceDE w:val="0"/>
        <w:autoSpaceDN w:val="0"/>
        <w:adjustRightInd w:val="0"/>
        <w:snapToGrid w:val="0"/>
        <w:spacing w:line="360" w:lineRule="auto"/>
        <w:ind w:firstLine="420" w:firstLineChars="200"/>
        <w:rPr>
          <w:rFonts w:ascii="宋体" w:hAnsi="宋体"/>
          <w:b/>
          <w:bCs/>
          <w:szCs w:val="21"/>
        </w:rPr>
      </w:pPr>
      <w:r>
        <w:rPr>
          <w:rFonts w:hint="eastAsia" w:ascii="宋体" w:hAnsi="宋体"/>
          <w:bCs/>
          <w:szCs w:val="21"/>
        </w:rPr>
        <w:t>6</w:t>
      </w:r>
      <w:r>
        <w:rPr>
          <w:rFonts w:hint="eastAsia" w:ascii="宋体" w:hAnsi="宋体"/>
          <w:b/>
          <w:bCs/>
          <w:szCs w:val="21"/>
        </w:rPr>
        <w:t>. 合同生效、变更、暂停、解除与终止</w:t>
      </w:r>
    </w:p>
    <w:p w14:paraId="668C1580">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6.1 生效</w:t>
      </w:r>
    </w:p>
    <w:p w14:paraId="69ABD90D">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本合同生效条件：</w:t>
      </w:r>
      <w:r>
        <w:rPr>
          <w:rFonts w:hint="eastAsia" w:ascii="宋体" w:hAnsi="宋体"/>
          <w:szCs w:val="21"/>
          <w:u w:val="single"/>
        </w:rPr>
        <w:t xml:space="preserve"> 同合同协议书 </w:t>
      </w:r>
      <w:r>
        <w:rPr>
          <w:rFonts w:hint="eastAsia" w:ascii="宋体" w:hAnsi="宋体"/>
          <w:szCs w:val="21"/>
        </w:rPr>
        <w:t>。</w:t>
      </w:r>
    </w:p>
    <w:p w14:paraId="7C3FFA49">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6.2 变更</w:t>
      </w:r>
    </w:p>
    <w:p w14:paraId="78262E6B">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6.2.2监理人报酬</w:t>
      </w:r>
    </w:p>
    <w:p w14:paraId="0213F3E8">
      <w:pPr>
        <w:overflowPunct w:val="0"/>
        <w:autoSpaceDE w:val="0"/>
        <w:autoSpaceDN w:val="0"/>
        <w:adjustRightInd w:val="0"/>
        <w:snapToGrid w:val="0"/>
        <w:spacing w:line="360" w:lineRule="auto"/>
        <w:ind w:firstLine="420" w:firstLineChars="200"/>
        <w:rPr>
          <w:rFonts w:ascii="宋体" w:hAnsi="宋体"/>
          <w:szCs w:val="21"/>
          <w:u w:val="single"/>
        </w:rPr>
      </w:pPr>
      <w:r>
        <w:rPr>
          <w:rFonts w:hint="eastAsia" w:ascii="宋体" w:hAnsi="宋体"/>
          <w:szCs w:val="21"/>
          <w:u w:val="single"/>
        </w:rPr>
        <w:t>。</w:t>
      </w:r>
    </w:p>
    <w:p w14:paraId="1991FB7E">
      <w:pPr>
        <w:overflowPunct w:val="0"/>
        <w:autoSpaceDE w:val="0"/>
        <w:autoSpaceDN w:val="0"/>
        <w:adjustRightInd w:val="0"/>
        <w:snapToGrid w:val="0"/>
        <w:spacing w:line="360" w:lineRule="auto"/>
        <w:ind w:firstLine="420" w:firstLineChars="200"/>
        <w:rPr>
          <w:rFonts w:ascii="宋体" w:hAnsi="宋体"/>
          <w:szCs w:val="21"/>
        </w:rPr>
      </w:pPr>
    </w:p>
    <w:p w14:paraId="544124AD">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6.2.6委托人除按5.2计算监理报酬外，不因工期延长、不因工作需要增加监理人员、以及其它任何因素另外增加监理费用。</w:t>
      </w:r>
    </w:p>
    <w:p w14:paraId="7FF875D3">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6.3本合同履行过程中，在监理人无违约的情形下，委托人有权单方随时解除本合同且不承担违约责任，但应根据工程进度按比例支付费用，费用不超过本合同约定签约总金额，支付费用前，监理人应先交付等额增值税专用发票。</w:t>
      </w:r>
    </w:p>
    <w:p w14:paraId="6A0810EE">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6.4合同终止后2日内，监理人应退场，逾期退场，委托人有权强制监理人退场，若场地内留有监理人物品，视为遗弃物，委托人有权任意处置，处置费用由监理人承担，处置所得款项归委托人所有，场地内留有的监理人物品，委托人有权无偿使用；逾期退场，每逾期一日，监理人按照10000元/日向委托人承担损失。同时，合同终止后2日内，监理人负责将监理资料整理一套交付委托人，逾期交付的，每逾期一日，监理人按照10000元/日向委托人承担损失。</w:t>
      </w:r>
    </w:p>
    <w:p w14:paraId="2C33239F">
      <w:pPr>
        <w:overflowPunct w:val="0"/>
        <w:autoSpaceDE w:val="0"/>
        <w:autoSpaceDN w:val="0"/>
        <w:adjustRightInd w:val="0"/>
        <w:snapToGrid w:val="0"/>
        <w:spacing w:line="360" w:lineRule="auto"/>
        <w:ind w:firstLine="422" w:firstLineChars="200"/>
        <w:rPr>
          <w:rFonts w:ascii="宋体" w:hAnsi="宋体"/>
          <w:b/>
          <w:szCs w:val="21"/>
        </w:rPr>
      </w:pPr>
      <w:r>
        <w:rPr>
          <w:rFonts w:hint="eastAsia" w:ascii="宋体" w:hAnsi="宋体"/>
          <w:b/>
          <w:bCs/>
          <w:szCs w:val="21"/>
        </w:rPr>
        <w:t>7. 争议解决</w:t>
      </w:r>
    </w:p>
    <w:p w14:paraId="6C86684A">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 xml:space="preserve">7.2 </w:t>
      </w:r>
      <w:r>
        <w:rPr>
          <w:rFonts w:hint="eastAsia" w:ascii="宋体" w:hAnsi="宋体"/>
          <w:bCs/>
          <w:szCs w:val="21"/>
        </w:rPr>
        <w:t>调解</w:t>
      </w:r>
    </w:p>
    <w:p w14:paraId="77B07445">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本合同争议进行调解时，可提交</w:t>
      </w:r>
      <w:r>
        <w:rPr>
          <w:rFonts w:hint="eastAsia" w:ascii="宋体" w:hAnsi="宋体"/>
          <w:szCs w:val="21"/>
          <w:u w:val="single"/>
        </w:rPr>
        <w:t xml:space="preserve">  双方协商 </w:t>
      </w:r>
      <w:r>
        <w:rPr>
          <w:rFonts w:hint="eastAsia" w:ascii="宋体" w:hAnsi="宋体"/>
          <w:szCs w:val="21"/>
        </w:rPr>
        <w:t>进行调解。</w:t>
      </w:r>
    </w:p>
    <w:p w14:paraId="6D2934A5">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 xml:space="preserve">7.3 </w:t>
      </w:r>
      <w:r>
        <w:rPr>
          <w:rFonts w:hint="eastAsia" w:ascii="宋体" w:hAnsi="宋体"/>
          <w:bCs/>
          <w:szCs w:val="21"/>
        </w:rPr>
        <w:t>仲裁或诉讼</w:t>
      </w:r>
    </w:p>
    <w:p w14:paraId="695CE79B">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合同争议的最终解决方式为下列第</w:t>
      </w:r>
      <w:r>
        <w:rPr>
          <w:rFonts w:hint="eastAsia" w:ascii="宋体" w:hAnsi="宋体"/>
          <w:szCs w:val="21"/>
          <w:u w:val="single"/>
        </w:rPr>
        <w:t xml:space="preserve"> 2 </w:t>
      </w:r>
      <w:r>
        <w:rPr>
          <w:rFonts w:hint="eastAsia" w:ascii="宋体" w:hAnsi="宋体"/>
          <w:szCs w:val="21"/>
        </w:rPr>
        <w:t>种方式：</w:t>
      </w:r>
    </w:p>
    <w:p w14:paraId="7AA6EDB4">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（1）提请</w:t>
      </w:r>
      <w:r>
        <w:rPr>
          <w:rFonts w:hint="eastAsia" w:ascii="宋体" w:hAnsi="宋体"/>
          <w:szCs w:val="21"/>
          <w:u w:val="single"/>
        </w:rPr>
        <w:t xml:space="preserve"> 重庆</w:t>
      </w:r>
      <w:r>
        <w:rPr>
          <w:rFonts w:hint="eastAsia" w:ascii="宋体" w:hAnsi="宋体"/>
          <w:szCs w:val="21"/>
        </w:rPr>
        <w:t>仲裁委员会进行仲裁。</w:t>
      </w:r>
    </w:p>
    <w:p w14:paraId="1C143D98">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工程所在地 </w:t>
      </w:r>
      <w:r>
        <w:rPr>
          <w:rFonts w:hint="eastAsia" w:ascii="宋体" w:hAnsi="宋体"/>
          <w:szCs w:val="21"/>
        </w:rPr>
        <w:t>人民法院提起诉讼。</w:t>
      </w:r>
    </w:p>
    <w:p w14:paraId="0A8DB240">
      <w:pPr>
        <w:overflowPunct w:val="0"/>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8. 其他</w:t>
      </w:r>
    </w:p>
    <w:p w14:paraId="21E05422">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bCs/>
          <w:szCs w:val="21"/>
        </w:rPr>
        <w:t>8.2 检测费用</w:t>
      </w:r>
    </w:p>
    <w:p w14:paraId="39ED7377">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属于监理业务范围内的平行检测、抽检等正常服务，检测费用由监理人自理。属于委托人额外要求增加的监理人进行的材料和设备检测所发生的检测费用，若检测结果合格，其费用由委托人承担，若检测结果不合格检测费用由责任方承担。委托人应支付的检测费用在检测报告取得后15天内支付。</w:t>
      </w:r>
    </w:p>
    <w:p w14:paraId="1039BDE6">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bCs/>
          <w:szCs w:val="21"/>
        </w:rPr>
        <w:t>8.3 咨询费用</w:t>
      </w:r>
    </w:p>
    <w:p w14:paraId="417B19C6">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在监理业务范围内，如需聘用专家咨询或协助，其费用由监理人承担；由委托人聘用的，其费用由委托人承担。</w:t>
      </w:r>
    </w:p>
    <w:p w14:paraId="52553E5A">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8.4 奖励</w:t>
      </w:r>
    </w:p>
    <w:p w14:paraId="1DFB06A9">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合理化建议的奖励金额按下列方法确定为：</w:t>
      </w:r>
    </w:p>
    <w:p w14:paraId="158B7A49">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奖励金额＝工程投资节省额×奖励金额的比率；</w:t>
      </w:r>
    </w:p>
    <w:p w14:paraId="696E2836">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奖励金额的比率为</w:t>
      </w:r>
      <w:r>
        <w:rPr>
          <w:rFonts w:hint="eastAsia" w:ascii="宋体" w:hAnsi="宋体"/>
          <w:szCs w:val="21"/>
          <w:u w:val="single"/>
        </w:rPr>
        <w:t>5%-10</w:t>
      </w:r>
      <w:r>
        <w:rPr>
          <w:rFonts w:hint="eastAsia" w:ascii="宋体" w:hAnsi="宋体"/>
          <w:szCs w:val="21"/>
        </w:rPr>
        <w:t>%。</w:t>
      </w:r>
    </w:p>
    <w:p w14:paraId="2451F1AE">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8.5 通知</w:t>
      </w:r>
    </w:p>
    <w:p w14:paraId="1C8DF25C">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8.5.1双方确认如下方式为通知（包括诉讼文书）送达地址</w:t>
      </w:r>
    </w:p>
    <w:p w14:paraId="77F41470">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8.5.1.1 委托人通讯地址：</w:t>
      </w:r>
      <w:r>
        <w:rPr>
          <w:rFonts w:hint="eastAsia" w:ascii="宋体" w:hAnsi="宋体"/>
          <w:szCs w:val="21"/>
          <w:u w:val="single"/>
        </w:rPr>
        <w:t xml:space="preserve">        </w:t>
      </w:r>
      <w:r>
        <w:rPr>
          <w:rFonts w:hint="eastAsia" w:ascii="宋体" w:hAnsi="宋体"/>
          <w:szCs w:val="21"/>
        </w:rPr>
        <w:t>；联系人（收件人）：</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；电子邮箱：</w:t>
      </w:r>
      <w:r>
        <w:rPr>
          <w:rFonts w:hint="eastAsia" w:ascii="宋体" w:hAnsi="宋体"/>
          <w:szCs w:val="21"/>
          <w:u w:val="single"/>
        </w:rPr>
        <w:t xml:space="preserve">         </w:t>
      </w:r>
      <w:r>
        <w:rPr>
          <w:rFonts w:hint="eastAsia" w:ascii="宋体" w:hAnsi="宋体"/>
          <w:szCs w:val="21"/>
        </w:rPr>
        <w:t>。</w:t>
      </w:r>
    </w:p>
    <w:p w14:paraId="50C6F4E0">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8.5.1.2 监理人通讯地址：</w:t>
      </w:r>
      <w:r>
        <w:rPr>
          <w:rFonts w:hint="eastAsia" w:ascii="宋体" w:hAnsi="宋体"/>
          <w:szCs w:val="21"/>
          <w:u w:val="single"/>
        </w:rPr>
        <w:t xml:space="preserve">        </w:t>
      </w:r>
      <w:r>
        <w:rPr>
          <w:rFonts w:hint="eastAsia" w:ascii="宋体" w:hAnsi="宋体"/>
          <w:szCs w:val="21"/>
        </w:rPr>
        <w:t>；联系人（收件人）：</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；电子邮箱：</w:t>
      </w:r>
      <w:r>
        <w:rPr>
          <w:rFonts w:hint="eastAsia" w:ascii="宋体" w:hAnsi="宋体"/>
          <w:szCs w:val="21"/>
          <w:u w:val="single"/>
        </w:rPr>
        <w:t xml:space="preserve">         </w:t>
      </w:r>
      <w:r>
        <w:rPr>
          <w:rFonts w:hint="eastAsia" w:ascii="宋体" w:hAnsi="宋体"/>
          <w:szCs w:val="21"/>
        </w:rPr>
        <w:t>。</w:t>
      </w:r>
    </w:p>
    <w:p w14:paraId="2179C987">
      <w:pPr>
        <w:widowControl/>
        <w:spacing w:line="360" w:lineRule="auto"/>
        <w:ind w:right="-656" w:firstLine="424"/>
        <w:jc w:val="left"/>
        <w:rPr>
          <w:rFonts w:ascii="宋体" w:hAnsi="宋体"/>
          <w:szCs w:val="21"/>
        </w:rPr>
      </w:pPr>
      <w:r>
        <w:rPr>
          <w:rFonts w:hint="eastAsia" w:ascii="宋体" w:hAnsi="宋体"/>
          <w:szCs w:val="21"/>
        </w:rPr>
        <w:t>8.5.2若一方送达地址、联系人、联系电话发生变更，应书面告知另一方。变更通知送达前，另一方按前述方式送达的文书均视为有效送达，并产生相应法律效力。若当面送达拒绝签收，一方选择邮寄时，自寄出三日起，则视为有效送达。在因本合同及本合同相关事宜发生诉讼/仲裁的情形下，上述约定的各方通信地址，同时作为各方的诉讼/仲裁文书送达地址，该通信地址用于接收诉讼/仲裁文书（包括但不限于传票、判决书、裁决书、权利义务告知书等法律文书）；法院/仲裁机构按该地址送达的法律文书（包括但不限于传票、判决书、裁决书、权利义务告知书等法律文书），即视为当事人签收，受送达人拒收或无法送达的，不影响送达的效力。</w:t>
      </w:r>
    </w:p>
    <w:p w14:paraId="0CBE322A">
      <w:pPr>
        <w:widowControl/>
        <w:spacing w:line="360" w:lineRule="auto"/>
        <w:ind w:right="-656" w:firstLine="424"/>
        <w:jc w:val="left"/>
      </w:pPr>
      <w:r>
        <w:rPr>
          <w:rFonts w:hint="eastAsia" w:ascii="宋体" w:hAnsi="宋体"/>
          <w:szCs w:val="21"/>
        </w:rPr>
        <w:t>8.5.3若通讯地址为空白，则以国家企业信用信息公示系统查询的住所作为通讯地址。</w:t>
      </w:r>
    </w:p>
    <w:p w14:paraId="3F015A4F">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8.6 保密</w:t>
      </w:r>
    </w:p>
    <w:p w14:paraId="49D9B96A">
      <w:pPr>
        <w:overflowPunct w:val="0"/>
        <w:autoSpaceDE w:val="0"/>
        <w:autoSpaceDN w:val="0"/>
        <w:adjustRightInd w:val="0"/>
        <w:snapToGrid w:val="0"/>
        <w:spacing w:line="360" w:lineRule="auto"/>
        <w:ind w:firstLine="420" w:firstLineChars="200"/>
        <w:rPr>
          <w:rFonts w:ascii="宋体" w:hAnsi="宋体"/>
          <w:szCs w:val="21"/>
          <w:u w:val="single"/>
        </w:rPr>
      </w:pPr>
      <w:r>
        <w:rPr>
          <w:rFonts w:hint="eastAsia" w:ascii="宋体" w:hAnsi="宋体"/>
          <w:szCs w:val="21"/>
        </w:rPr>
        <w:t>委托人申明的保密事项和期限：</w:t>
      </w:r>
      <w:r>
        <w:rPr>
          <w:rFonts w:hint="eastAsia" w:ascii="宋体" w:hAnsi="宋体"/>
          <w:szCs w:val="21"/>
          <w:u w:val="single"/>
        </w:rPr>
        <w:t xml:space="preserve">     本项目的所有资料长期保密，未经委托人事先书面同意，监理人不得对外透露本项目的任何信息，否则监理人应赔偿委托人的一切损失   </w:t>
      </w:r>
      <w:r>
        <w:rPr>
          <w:rFonts w:hint="eastAsia" w:ascii="宋体" w:hAnsi="宋体"/>
          <w:szCs w:val="21"/>
        </w:rPr>
        <w:t>。</w:t>
      </w:r>
    </w:p>
    <w:p w14:paraId="78914F10">
      <w:pPr>
        <w:overflowPunct w:val="0"/>
        <w:autoSpaceDE w:val="0"/>
        <w:autoSpaceDN w:val="0"/>
        <w:adjustRightInd w:val="0"/>
        <w:snapToGrid w:val="0"/>
        <w:spacing w:line="360" w:lineRule="auto"/>
        <w:ind w:firstLine="420" w:firstLineChars="200"/>
        <w:rPr>
          <w:rFonts w:ascii="宋体" w:hAnsi="宋体"/>
          <w:szCs w:val="21"/>
          <w:u w:val="single"/>
        </w:rPr>
      </w:pPr>
      <w:r>
        <w:rPr>
          <w:rFonts w:hint="eastAsia" w:ascii="宋体" w:hAnsi="宋体"/>
          <w:szCs w:val="21"/>
        </w:rPr>
        <w:t>监理人申明的保密事项和期限：</w:t>
      </w:r>
      <w:r>
        <w:rPr>
          <w:rFonts w:hint="eastAsia" w:ascii="宋体" w:hAnsi="宋体"/>
          <w:szCs w:val="21"/>
          <w:u w:val="single"/>
        </w:rPr>
        <w:t xml:space="preserve">             /            </w:t>
      </w:r>
      <w:r>
        <w:rPr>
          <w:rFonts w:hint="eastAsia" w:ascii="宋体" w:hAnsi="宋体"/>
          <w:szCs w:val="21"/>
        </w:rPr>
        <w:t>。</w:t>
      </w:r>
    </w:p>
    <w:p w14:paraId="285C12D5">
      <w:pPr>
        <w:overflowPunct w:val="0"/>
        <w:autoSpaceDE w:val="0"/>
        <w:autoSpaceDN w:val="0"/>
        <w:adjustRightInd w:val="0"/>
        <w:snapToGrid w:val="0"/>
        <w:spacing w:line="360" w:lineRule="auto"/>
        <w:ind w:firstLine="420" w:firstLineChars="200"/>
        <w:rPr>
          <w:rFonts w:ascii="宋体" w:hAnsi="宋体"/>
          <w:szCs w:val="21"/>
          <w:u w:val="single"/>
        </w:rPr>
      </w:pPr>
      <w:r>
        <w:rPr>
          <w:rFonts w:hint="eastAsia" w:ascii="宋体" w:hAnsi="宋体"/>
          <w:szCs w:val="21"/>
        </w:rPr>
        <w:t>第三方申明的保密事项和期限：</w:t>
      </w:r>
      <w:r>
        <w:rPr>
          <w:rFonts w:hint="eastAsia" w:ascii="宋体" w:hAnsi="宋体"/>
          <w:szCs w:val="21"/>
          <w:u w:val="single"/>
        </w:rPr>
        <w:t xml:space="preserve">             /            </w:t>
      </w:r>
      <w:r>
        <w:rPr>
          <w:rFonts w:hint="eastAsia" w:ascii="宋体" w:hAnsi="宋体"/>
          <w:szCs w:val="21"/>
        </w:rPr>
        <w:t>。</w:t>
      </w:r>
    </w:p>
    <w:p w14:paraId="0BA016E5">
      <w:pPr>
        <w:overflowPunct w:val="0"/>
        <w:autoSpaceDE w:val="0"/>
        <w:autoSpaceDN w:val="0"/>
        <w:adjustRightInd w:val="0"/>
        <w:snapToGrid w:val="0"/>
        <w:spacing w:line="360" w:lineRule="auto"/>
        <w:ind w:firstLine="420" w:firstLineChars="200"/>
        <w:rPr>
          <w:rFonts w:ascii="宋体" w:hAnsi="宋体"/>
          <w:bCs/>
          <w:szCs w:val="21"/>
        </w:rPr>
      </w:pPr>
      <w:r>
        <w:rPr>
          <w:rFonts w:hint="eastAsia" w:ascii="宋体" w:hAnsi="宋体"/>
          <w:szCs w:val="21"/>
        </w:rPr>
        <w:t>8.8</w:t>
      </w:r>
      <w:r>
        <w:rPr>
          <w:rFonts w:hint="eastAsia" w:ascii="宋体" w:hAnsi="宋体"/>
          <w:bCs/>
          <w:szCs w:val="21"/>
        </w:rPr>
        <w:t>著作权</w:t>
      </w:r>
    </w:p>
    <w:p w14:paraId="43958DCF">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监理人在本合同履行期间及本合同终止后两年内出版涉及本工程的有关监理与相关服务的资料的限制条件：</w:t>
      </w:r>
      <w:r>
        <w:rPr>
          <w:rFonts w:hint="eastAsia" w:ascii="宋体" w:hAnsi="宋体"/>
          <w:szCs w:val="21"/>
          <w:u w:val="single"/>
        </w:rPr>
        <w:t xml:space="preserve">  形成的知识成果归委托人所有，若监理人使用需经委托人同意 </w:t>
      </w:r>
      <w:r>
        <w:rPr>
          <w:rFonts w:hint="eastAsia" w:ascii="宋体" w:hAnsi="宋体"/>
          <w:szCs w:val="21"/>
        </w:rPr>
        <w:t>。</w:t>
      </w:r>
    </w:p>
    <w:p w14:paraId="17E835BA">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9. 补充条款</w:t>
      </w:r>
    </w:p>
    <w:p w14:paraId="29D5E671">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9.1履约担保：</w:t>
      </w:r>
    </w:p>
    <w:p w14:paraId="4FF15AB5">
      <w:pPr>
        <w:snapToGrid w:val="0"/>
        <w:spacing w:after="48" w:line="400" w:lineRule="exact"/>
        <w:ind w:firstLine="420" w:firstLineChars="200"/>
        <w:rPr>
          <w:rStyle w:val="47"/>
          <w:rFonts w:ascii="宋体" w:hAnsi="宋体" w:cs="宋体"/>
          <w:kern w:val="0"/>
          <w:szCs w:val="21"/>
        </w:rPr>
      </w:pPr>
      <w:r>
        <w:rPr>
          <w:rStyle w:val="47"/>
          <w:rFonts w:hint="eastAsia" w:ascii="宋体" w:hAnsi="宋体" w:cs="宋体"/>
          <w:kern w:val="0"/>
          <w:szCs w:val="21"/>
        </w:rPr>
        <w:t>9.1.1担保形式：</w:t>
      </w:r>
      <w:r>
        <w:rPr>
          <w:rStyle w:val="47"/>
          <w:rFonts w:hint="eastAsia" w:ascii="宋体" w:hAnsi="宋体" w:cs="宋体"/>
          <w:kern w:val="0"/>
          <w:szCs w:val="21"/>
          <w:u w:val="single"/>
        </w:rPr>
        <w:t>经委托人认可的商业担保、现金均可；</w:t>
      </w:r>
      <w:r>
        <w:rPr>
          <w:rStyle w:val="47"/>
          <w:rFonts w:hint="eastAsia" w:ascii="宋体" w:hAnsi="宋体" w:cs="宋体"/>
          <w:kern w:val="0"/>
          <w:szCs w:val="21"/>
        </w:rPr>
        <w:t>；</w:t>
      </w:r>
    </w:p>
    <w:p w14:paraId="14AFA2B9">
      <w:pPr>
        <w:snapToGrid w:val="0"/>
        <w:spacing w:after="48" w:line="400" w:lineRule="exact"/>
        <w:ind w:firstLine="420" w:firstLineChars="200"/>
        <w:rPr>
          <w:rStyle w:val="47"/>
          <w:rFonts w:ascii="宋体" w:hAnsi="宋体" w:cs="宋体"/>
          <w:kern w:val="0"/>
          <w:szCs w:val="21"/>
        </w:rPr>
      </w:pPr>
      <w:r>
        <w:rPr>
          <w:rStyle w:val="47"/>
          <w:rFonts w:hint="eastAsia" w:ascii="宋体" w:hAnsi="宋体" w:cs="宋体"/>
          <w:kern w:val="0"/>
          <w:szCs w:val="21"/>
        </w:rPr>
        <w:t>9.1.2担保金额：</w:t>
      </w:r>
      <w:r>
        <w:rPr>
          <w:rStyle w:val="47"/>
          <w:rFonts w:hint="eastAsia" w:ascii="宋体" w:hAnsi="宋体" w:cs="宋体"/>
          <w:kern w:val="0"/>
          <w:szCs w:val="21"/>
          <w:u w:val="single"/>
        </w:rPr>
        <w:t xml:space="preserve">  合同签约金额的10%  ；</w:t>
      </w:r>
    </w:p>
    <w:p w14:paraId="22A47E4D">
      <w:pPr>
        <w:snapToGrid w:val="0"/>
        <w:spacing w:after="48" w:line="400" w:lineRule="exact"/>
        <w:ind w:firstLine="420" w:firstLineChars="200"/>
        <w:rPr>
          <w:rStyle w:val="47"/>
          <w:rFonts w:ascii="宋体" w:hAnsi="宋体" w:cs="宋体"/>
          <w:kern w:val="0"/>
          <w:szCs w:val="21"/>
        </w:rPr>
      </w:pPr>
      <w:r>
        <w:rPr>
          <w:rStyle w:val="47"/>
          <w:rFonts w:hint="eastAsia" w:ascii="宋体" w:hAnsi="宋体" w:cs="宋体"/>
          <w:kern w:val="0"/>
          <w:szCs w:val="21"/>
        </w:rPr>
        <w:t>9.1.3提交时间：承包人领取中选通知书后，并作为签订合同的必备条件。其中：</w:t>
      </w:r>
    </w:p>
    <w:p w14:paraId="68CB4844">
      <w:pPr>
        <w:snapToGrid w:val="0"/>
        <w:spacing w:after="48" w:line="400" w:lineRule="exact"/>
        <w:ind w:firstLine="420" w:firstLineChars="200"/>
        <w:rPr>
          <w:rStyle w:val="47"/>
          <w:rFonts w:ascii="宋体" w:hAnsi="宋体" w:cs="宋体"/>
          <w:kern w:val="0"/>
          <w:szCs w:val="21"/>
        </w:rPr>
      </w:pPr>
      <w:r>
        <w:rPr>
          <w:rStyle w:val="47"/>
          <w:rFonts w:hint="eastAsia" w:ascii="宋体" w:hAnsi="宋体" w:cs="宋体"/>
          <w:kern w:val="0"/>
          <w:szCs w:val="21"/>
        </w:rPr>
        <w:t>①履约担保采用商业担保的，保函必须为发包人认可的担保公司或银行提供的不可撤销且见索即付，且应选择在渝依法设立总部或者设有分支机构的金融机构开具履约保函（包括纸质保函或电子保函）；</w:t>
      </w:r>
    </w:p>
    <w:p w14:paraId="7FDED4DE">
      <w:pPr>
        <w:snapToGrid w:val="0"/>
        <w:spacing w:after="48" w:line="400" w:lineRule="exact"/>
        <w:ind w:firstLine="420" w:firstLineChars="200"/>
        <w:rPr>
          <w:rStyle w:val="47"/>
          <w:rFonts w:ascii="宋体" w:hAnsi="宋体" w:cs="宋体"/>
          <w:kern w:val="0"/>
          <w:szCs w:val="21"/>
        </w:rPr>
      </w:pPr>
      <w:r>
        <w:rPr>
          <w:rStyle w:val="47"/>
          <w:rFonts w:hint="eastAsia" w:ascii="宋体" w:hAnsi="宋体" w:cs="宋体"/>
          <w:kern w:val="0"/>
          <w:szCs w:val="21"/>
        </w:rPr>
        <w:t>②履约担保为银行转账的，承包人须从其企业基本账户将相应的履约担保金额打入比选人下述指定账户。</w:t>
      </w:r>
    </w:p>
    <w:p w14:paraId="0724A02A">
      <w:pPr>
        <w:snapToGrid w:val="0"/>
        <w:spacing w:after="48" w:line="400" w:lineRule="exact"/>
        <w:ind w:firstLine="420" w:firstLineChars="200"/>
        <w:rPr>
          <w:rStyle w:val="47"/>
          <w:rFonts w:ascii="宋体" w:hAnsi="宋体" w:cs="宋体"/>
        </w:rPr>
      </w:pPr>
      <w:r>
        <w:rPr>
          <w:rStyle w:val="47"/>
          <w:rFonts w:hint="eastAsia" w:ascii="宋体" w:hAnsi="宋体" w:cs="宋体"/>
        </w:rPr>
        <w:t>9.1.4退还时间：施工完成后通过审核并经发包人认可后退还（履约保证金不计算利息）。</w:t>
      </w:r>
    </w:p>
    <w:p w14:paraId="602E4794">
      <w:pPr>
        <w:snapToGrid w:val="0"/>
        <w:spacing w:after="48" w:line="400" w:lineRule="exact"/>
        <w:ind w:firstLine="420" w:firstLineChars="200"/>
        <w:rPr>
          <w:rStyle w:val="47"/>
          <w:rFonts w:ascii="宋体" w:hAnsi="宋体" w:cs="宋体"/>
          <w:kern w:val="0"/>
          <w:szCs w:val="21"/>
        </w:rPr>
      </w:pPr>
      <w:r>
        <w:rPr>
          <w:rStyle w:val="47"/>
          <w:rFonts w:hint="eastAsia" w:ascii="宋体" w:hAnsi="宋体" w:cs="宋体"/>
          <w:kern w:val="0"/>
          <w:szCs w:val="21"/>
        </w:rPr>
        <w:t>9.1.5 贯彻落实上级文件精神，进一步减轻企业负担，主要推行以保函方式缴纳，由承包人根据自身情况自行选择缴纳方式。</w:t>
      </w:r>
    </w:p>
    <w:p w14:paraId="776299A0">
      <w:pPr>
        <w:overflowPunct w:val="0"/>
        <w:autoSpaceDE w:val="0"/>
        <w:autoSpaceDN w:val="0"/>
        <w:adjustRightInd w:val="0"/>
        <w:snapToGrid w:val="0"/>
        <w:spacing w:line="360" w:lineRule="auto"/>
        <w:ind w:firstLine="422" w:firstLineChars="200"/>
        <w:jc w:val="left"/>
        <w:rPr>
          <w:rFonts w:ascii="宋体" w:hAnsi="宋体"/>
          <w:snapToGrid w:val="0"/>
          <w:kern w:val="0"/>
          <w:szCs w:val="21"/>
        </w:rPr>
      </w:pPr>
      <w:r>
        <w:rPr>
          <w:rStyle w:val="47"/>
          <w:rFonts w:ascii="宋体" w:hAnsi="宋体"/>
          <w:b/>
          <w:bCs/>
          <w:kern w:val="0"/>
          <w:szCs w:val="21"/>
        </w:rPr>
        <w:t>注：</w:t>
      </w:r>
      <w:r>
        <w:rPr>
          <w:rStyle w:val="47"/>
          <w:rFonts w:hint="eastAsia" w:ascii="宋体" w:hAnsi="宋体"/>
          <w:b/>
          <w:bCs/>
          <w:kern w:val="0"/>
          <w:szCs w:val="21"/>
        </w:rPr>
        <w:t>1</w:t>
      </w:r>
      <w:r>
        <w:rPr>
          <w:rStyle w:val="47"/>
          <w:rFonts w:ascii="宋体" w:hAnsi="宋体"/>
          <w:b/>
          <w:bCs/>
          <w:kern w:val="0"/>
          <w:szCs w:val="21"/>
        </w:rPr>
        <w:t>.</w:t>
      </w:r>
      <w:r>
        <w:rPr>
          <w:rStyle w:val="47"/>
          <w:rFonts w:hint="eastAsia" w:ascii="宋体" w:hAnsi="宋体"/>
          <w:b/>
          <w:bCs/>
          <w:kern w:val="0"/>
          <w:szCs w:val="21"/>
        </w:rPr>
        <w:t>承包人</w:t>
      </w:r>
      <w:r>
        <w:rPr>
          <w:rStyle w:val="47"/>
          <w:rFonts w:ascii="宋体" w:hAnsi="宋体"/>
          <w:b/>
          <w:bCs/>
          <w:kern w:val="0"/>
          <w:szCs w:val="21"/>
        </w:rPr>
        <w:t>提供虚假银行保函的，</w:t>
      </w:r>
      <w:r>
        <w:rPr>
          <w:rStyle w:val="47"/>
          <w:rFonts w:hint="eastAsia" w:ascii="宋体" w:hAnsi="宋体"/>
          <w:b/>
          <w:bCs/>
          <w:kern w:val="0"/>
          <w:szCs w:val="21"/>
        </w:rPr>
        <w:t>发包人</w:t>
      </w:r>
      <w:r>
        <w:rPr>
          <w:rStyle w:val="47"/>
          <w:rFonts w:ascii="宋体" w:hAnsi="宋体"/>
          <w:b/>
          <w:bCs/>
          <w:kern w:val="0"/>
          <w:szCs w:val="21"/>
        </w:rPr>
        <w:t>取消其</w:t>
      </w:r>
      <w:r>
        <w:rPr>
          <w:rStyle w:val="47"/>
          <w:rFonts w:hint="eastAsia" w:ascii="宋体" w:hAnsi="宋体"/>
          <w:b/>
          <w:bCs/>
          <w:kern w:val="0"/>
          <w:szCs w:val="21"/>
        </w:rPr>
        <w:t>中选</w:t>
      </w:r>
      <w:r>
        <w:rPr>
          <w:rStyle w:val="47"/>
          <w:rFonts w:ascii="宋体" w:hAnsi="宋体"/>
          <w:b/>
          <w:bCs/>
          <w:kern w:val="0"/>
          <w:szCs w:val="21"/>
        </w:rPr>
        <w:t>资格，</w:t>
      </w:r>
      <w:r>
        <w:rPr>
          <w:rStyle w:val="47"/>
          <w:rFonts w:hint="eastAsia" w:ascii="宋体" w:hAnsi="宋体"/>
          <w:b/>
          <w:bCs/>
          <w:kern w:val="0"/>
          <w:szCs w:val="21"/>
        </w:rPr>
        <w:t>比选保证金</w:t>
      </w:r>
      <w:r>
        <w:rPr>
          <w:rStyle w:val="47"/>
          <w:rFonts w:ascii="宋体" w:hAnsi="宋体"/>
          <w:b/>
          <w:bCs/>
          <w:kern w:val="0"/>
          <w:szCs w:val="21"/>
        </w:rPr>
        <w:t>不予退还，同时</w:t>
      </w:r>
      <w:r>
        <w:rPr>
          <w:rStyle w:val="47"/>
          <w:rFonts w:hint="eastAsia" w:ascii="宋体" w:hAnsi="宋体"/>
          <w:b/>
          <w:bCs/>
          <w:kern w:val="0"/>
          <w:szCs w:val="21"/>
        </w:rPr>
        <w:t>由比选人将其不良行为上报监督部门记分处理并</w:t>
      </w:r>
      <w:r>
        <w:rPr>
          <w:rStyle w:val="47"/>
          <w:rFonts w:ascii="宋体" w:hAnsi="宋体"/>
          <w:b/>
          <w:bCs/>
          <w:kern w:val="0"/>
          <w:szCs w:val="21"/>
        </w:rPr>
        <w:t>纳入黑名单。</w:t>
      </w:r>
      <w:r>
        <w:rPr>
          <w:rStyle w:val="47"/>
          <w:rFonts w:hint="eastAsia" w:ascii="宋体" w:hAnsi="宋体"/>
          <w:b/>
          <w:bCs/>
          <w:kern w:val="0"/>
          <w:szCs w:val="21"/>
        </w:rPr>
        <w:t>2</w:t>
      </w:r>
      <w:r>
        <w:rPr>
          <w:rStyle w:val="47"/>
          <w:rFonts w:ascii="宋体" w:hAnsi="宋体"/>
          <w:b/>
          <w:bCs/>
          <w:kern w:val="0"/>
          <w:szCs w:val="21"/>
        </w:rPr>
        <w:t>.</w:t>
      </w:r>
      <w:r>
        <w:rPr>
          <w:rStyle w:val="47"/>
          <w:rFonts w:hint="eastAsia" w:ascii="宋体" w:hAnsi="宋体"/>
          <w:b/>
          <w:bCs/>
          <w:kern w:val="0"/>
          <w:szCs w:val="21"/>
        </w:rPr>
        <w:t>中选</w:t>
      </w:r>
      <w:r>
        <w:rPr>
          <w:rStyle w:val="47"/>
          <w:rFonts w:ascii="宋体" w:hAnsi="宋体"/>
          <w:b/>
          <w:bCs/>
          <w:kern w:val="0"/>
          <w:szCs w:val="21"/>
        </w:rPr>
        <w:t>通知书发出之日起30日内，比选人与</w:t>
      </w:r>
      <w:r>
        <w:rPr>
          <w:rStyle w:val="47"/>
          <w:rFonts w:hint="eastAsia" w:ascii="宋体" w:hAnsi="宋体"/>
          <w:b/>
          <w:bCs/>
          <w:kern w:val="0"/>
          <w:szCs w:val="21"/>
        </w:rPr>
        <w:t>承包人</w:t>
      </w:r>
      <w:r>
        <w:rPr>
          <w:rStyle w:val="47"/>
          <w:rFonts w:ascii="宋体" w:hAnsi="宋体"/>
          <w:b/>
          <w:bCs/>
          <w:kern w:val="0"/>
          <w:szCs w:val="21"/>
        </w:rPr>
        <w:t>须完成合同签订事宜。</w:t>
      </w:r>
    </w:p>
    <w:p w14:paraId="26F89C47">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9.2缺陷责任期：</w:t>
      </w:r>
      <w:r>
        <w:rPr>
          <w:rFonts w:hint="eastAsia" w:ascii="宋体" w:hAnsi="宋体"/>
          <w:szCs w:val="21"/>
          <w:u w:val="single"/>
        </w:rPr>
        <w:t xml:space="preserve"> 24 </w:t>
      </w:r>
      <w:r>
        <w:rPr>
          <w:rFonts w:hint="eastAsia" w:ascii="宋体" w:hAnsi="宋体"/>
          <w:szCs w:val="21"/>
        </w:rPr>
        <w:t>个月。</w:t>
      </w:r>
    </w:p>
    <w:p w14:paraId="44484BA8">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9.3监理人从事项目监理一切工作必须服从委托人协调管理，对委托人负责。施工现场的变更签证等应得到委托人意后方可生效。监理人处理承包人文件时限为7天。</w:t>
      </w:r>
    </w:p>
    <w:p w14:paraId="6E8CD4F3">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9.4对于工程所用的重要原材料、构配件、设备的规格、型号、性能、质量等发生疑问时</w:t>
      </w:r>
      <w:r>
        <w:rPr>
          <w:rFonts w:ascii="宋体" w:hAnsi="宋体"/>
          <w:szCs w:val="21"/>
        </w:rPr>
        <w:t>，</w:t>
      </w:r>
      <w:r>
        <w:rPr>
          <w:rFonts w:hint="eastAsia" w:ascii="宋体" w:hAnsi="宋体"/>
          <w:szCs w:val="21"/>
        </w:rPr>
        <w:t>监理人有权要求责任者在征得委托人同意后送指定的检测单位复试</w:t>
      </w:r>
      <w:r>
        <w:rPr>
          <w:rFonts w:ascii="宋体" w:hAnsi="宋体"/>
          <w:szCs w:val="21"/>
        </w:rPr>
        <w:t>，</w:t>
      </w:r>
      <w:r>
        <w:rPr>
          <w:rFonts w:hint="eastAsia" w:ascii="宋体" w:hAnsi="宋体"/>
          <w:szCs w:val="21"/>
        </w:rPr>
        <w:t>并通知承包人。若复试合格</w:t>
      </w:r>
      <w:r>
        <w:rPr>
          <w:rFonts w:ascii="宋体" w:hAnsi="宋体"/>
          <w:szCs w:val="21"/>
        </w:rPr>
        <w:t>，</w:t>
      </w:r>
      <w:r>
        <w:rPr>
          <w:rFonts w:hint="eastAsia" w:ascii="宋体" w:hAnsi="宋体"/>
          <w:szCs w:val="21"/>
        </w:rPr>
        <w:t>费用由委托人负责</w:t>
      </w:r>
      <w:r>
        <w:rPr>
          <w:rFonts w:ascii="宋体" w:hAnsi="宋体"/>
          <w:szCs w:val="21"/>
        </w:rPr>
        <w:t>，</w:t>
      </w:r>
      <w:r>
        <w:rPr>
          <w:rFonts w:hint="eastAsia" w:ascii="宋体" w:hAnsi="宋体"/>
          <w:szCs w:val="21"/>
        </w:rPr>
        <w:t>否则由承包人负责。但这种复试应得到业主认可并通知承包人。</w:t>
      </w:r>
    </w:p>
    <w:p w14:paraId="5D4C2824">
      <w:pPr>
        <w:overflowPunct w:val="0"/>
        <w:autoSpaceDE w:val="0"/>
        <w:autoSpaceDN w:val="0"/>
        <w:adjustRightInd w:val="0"/>
        <w:snapToGrid w:val="0"/>
        <w:spacing w:line="360" w:lineRule="auto"/>
        <w:ind w:firstLine="420" w:firstLineChars="200"/>
        <w:jc w:val="left"/>
        <w:textAlignment w:val="baseline"/>
        <w:rPr>
          <w:rFonts w:ascii="宋体" w:hAnsi="宋体"/>
          <w:kern w:val="0"/>
          <w:szCs w:val="21"/>
        </w:rPr>
      </w:pPr>
      <w:r>
        <w:rPr>
          <w:rFonts w:hint="eastAsia" w:ascii="宋体" w:hAnsi="宋体"/>
          <w:szCs w:val="21"/>
        </w:rPr>
        <w:t>9.5</w:t>
      </w:r>
      <w:r>
        <w:rPr>
          <w:rFonts w:hint="eastAsia" w:ascii="宋体" w:hAnsi="宋体"/>
          <w:kern w:val="0"/>
          <w:szCs w:val="21"/>
        </w:rPr>
        <w:t>监理人员工资、加班费、福利费、工会经费、教育经费、养老保险、住房公积金、办公费、差旅费、通讯费、现场补贴、公司管理费、现场必备的检测设备和交通工具的购置及使用费用以及住宿费、电话费、水电费、交通费、安全措施费、保险费、办公场所费、智慧平台建设费等为完成本工程监理服务所需的全部费用均含在监理人正常工作酬金内。</w:t>
      </w:r>
    </w:p>
    <w:p w14:paraId="2C247BB1">
      <w:pPr>
        <w:overflowPunct w:val="0"/>
        <w:autoSpaceDE w:val="0"/>
        <w:autoSpaceDN w:val="0"/>
        <w:adjustRightInd w:val="0"/>
        <w:snapToGrid w:val="0"/>
        <w:spacing w:line="360" w:lineRule="auto"/>
        <w:ind w:firstLine="420" w:firstLineChars="200"/>
        <w:jc w:val="left"/>
        <w:textAlignment w:val="baseline"/>
        <w:rPr>
          <w:rFonts w:ascii="宋体" w:hAnsi="宋体"/>
          <w:kern w:val="0"/>
          <w:szCs w:val="21"/>
        </w:rPr>
      </w:pPr>
      <w:r>
        <w:rPr>
          <w:rFonts w:hint="eastAsia" w:ascii="宋体" w:hAnsi="宋体"/>
          <w:kern w:val="0"/>
          <w:szCs w:val="21"/>
        </w:rPr>
        <w:t>智慧平台建设费：建设智慧平台管理第三方单位管理培训费：XXX元（大写：XXX元整），承包人在合同签订后一次性支付给第三方单位管理培训机构。(合同签约金额20万元以下无费用；合同签约金额20万-50万（含）费用500元；合同签约金额50万-100万（含）费用1000元；合同签约金额100万-500万（含）费用2000元；合同签约金额500万-1000万（含）费用3000元；合同签约金额1000万以上取万分之二，不足3000元按3000元计。若同一单位无需增加系统端口，则取最高签约合同金额缴费一次，不再重复缴费。）</w:t>
      </w:r>
    </w:p>
    <w:p w14:paraId="57DDB398">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kern w:val="0"/>
          <w:szCs w:val="21"/>
        </w:rPr>
        <w:t>9.6</w:t>
      </w:r>
      <w:r>
        <w:rPr>
          <w:rFonts w:hint="eastAsia" w:ascii="宋体" w:hAnsi="宋体"/>
          <w:szCs w:val="21"/>
        </w:rPr>
        <w:t>属于合同范围内的正常服务，差旅费由监理人自理。根据委托人特殊要求对某些关键、重要的原材料、构配件、设备生产厂家进行考察或对主要设备进行工厂验收，并征得委托人同意，所发生的差旅费（重庆市外）由委托人负责报销。</w:t>
      </w:r>
    </w:p>
    <w:p w14:paraId="43C33DBA">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9.7监理人应按国家规定办理必要的保险，费用自行解决。</w:t>
      </w:r>
    </w:p>
    <w:p w14:paraId="6F54A3FD">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9.8监理人利用本项目监理中形成的技术成果（或无实质性修改后）进行商业性服务得到的利润与委托人分成。</w:t>
      </w:r>
    </w:p>
    <w:p w14:paraId="04598FB4">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9.9本合同到期日，监理人应在合同完成日起一个月内向城建档案管理部门和委托人提交管理期内监理全部管理资料各一套，逾期交付时，每逾期一日，按照10000元/日的标准向委托人承担损失，若其他条款另有约定，同时适用。</w:t>
      </w:r>
    </w:p>
    <w:p w14:paraId="0384B4FD">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9.10因政策调整等原因终止工程的，监理费用按实际工程量结算。</w:t>
      </w:r>
    </w:p>
    <w:p w14:paraId="31837F9B">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9.11监理单位应当遵守并执行附件3《</w:t>
      </w:r>
      <w:r>
        <w:rPr>
          <w:rFonts w:ascii="宋体" w:hAnsi="宋体"/>
          <w:szCs w:val="21"/>
        </w:rPr>
        <w:t>工程建设项目监理管理要求</w:t>
      </w:r>
      <w:r>
        <w:rPr>
          <w:rFonts w:hint="eastAsia" w:ascii="宋体" w:hAnsi="宋体"/>
          <w:szCs w:val="21"/>
        </w:rPr>
        <w:t>》的规定，并承当相应违约责任，监理单位违反该规定所产生的违约金、罚款、赔偿金等，发包单位有权在应付监理单位的任何一笔款项中或履约保证金直接扣除。本合同约定与《</w:t>
      </w:r>
      <w:r>
        <w:rPr>
          <w:rFonts w:ascii="宋体" w:hAnsi="宋体"/>
          <w:szCs w:val="21"/>
        </w:rPr>
        <w:t>工程建设项目监理管理要求</w:t>
      </w:r>
      <w:r>
        <w:rPr>
          <w:rFonts w:hint="eastAsia" w:ascii="宋体" w:hAnsi="宋体"/>
          <w:szCs w:val="21"/>
        </w:rPr>
        <w:t>》规定内容不一致的，以本合同约定为准。</w:t>
      </w:r>
    </w:p>
    <w:p w14:paraId="47AE39C7">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9.12按行业主管部门要求完成监理合同备案，因监理人原因未能在合同签订后30天内完成备案手续的，按500元/天计算监理人给委托人造成的损失。</w:t>
      </w:r>
    </w:p>
    <w:p w14:paraId="067DF986">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9.13 监理人必须遵守发包人单位的管理规章制度。</w:t>
      </w:r>
    </w:p>
    <w:p w14:paraId="21BC65C7">
      <w:pPr>
        <w:pStyle w:val="2"/>
        <w:rPr>
          <w:rFonts w:ascii="宋体" w:hAnsi="宋体"/>
          <w:bCs/>
          <w:sz w:val="24"/>
        </w:rPr>
      </w:pPr>
      <w:r>
        <w:rPr>
          <w:rFonts w:hint="eastAsia" w:ascii="宋体" w:hAnsi="宋体"/>
          <w:szCs w:val="21"/>
        </w:rPr>
        <w:t xml:space="preserve">   </w:t>
      </w:r>
      <w:r>
        <w:rPr>
          <w:rFonts w:hint="eastAsia" w:ascii="宋体" w:hAnsi="宋体"/>
          <w:caps w:val="0"/>
          <w:sz w:val="21"/>
          <w:szCs w:val="21"/>
        </w:rPr>
        <w:t xml:space="preserve"> 9.14 符合重庆市住房和城乡建设委员会《关于实施房屋市政工程监理工作“十不准”规定》。</w:t>
      </w:r>
    </w:p>
    <w:p w14:paraId="4D9F3ED0">
      <w:pPr>
        <w:overflowPunct w:val="0"/>
        <w:autoSpaceDE w:val="0"/>
        <w:autoSpaceDN w:val="0"/>
        <w:adjustRightInd w:val="0"/>
        <w:snapToGrid w:val="0"/>
        <w:spacing w:line="420" w:lineRule="exact"/>
        <w:outlineLvl w:val="2"/>
        <w:rPr>
          <w:rFonts w:ascii="宋体" w:hAnsi="宋体"/>
          <w:bCs/>
          <w:sz w:val="24"/>
        </w:rPr>
      </w:pPr>
    </w:p>
    <w:p w14:paraId="1DA66E7F">
      <w:pPr>
        <w:overflowPunct w:val="0"/>
        <w:autoSpaceDE w:val="0"/>
        <w:autoSpaceDN w:val="0"/>
        <w:adjustRightInd w:val="0"/>
        <w:snapToGrid w:val="0"/>
        <w:spacing w:line="420" w:lineRule="exact"/>
        <w:outlineLvl w:val="2"/>
        <w:rPr>
          <w:rFonts w:ascii="宋体" w:hAnsi="宋体"/>
          <w:bCs/>
          <w:sz w:val="24"/>
        </w:rPr>
      </w:pPr>
    </w:p>
    <w:p w14:paraId="19E7AE23">
      <w:pPr>
        <w:overflowPunct w:val="0"/>
        <w:autoSpaceDE w:val="0"/>
        <w:autoSpaceDN w:val="0"/>
        <w:adjustRightInd w:val="0"/>
        <w:snapToGrid w:val="0"/>
        <w:spacing w:line="420" w:lineRule="exact"/>
        <w:outlineLvl w:val="2"/>
        <w:rPr>
          <w:rFonts w:ascii="宋体" w:hAnsi="宋体"/>
          <w:bCs/>
          <w:sz w:val="24"/>
        </w:rPr>
      </w:pPr>
    </w:p>
    <w:p w14:paraId="6328AEC1">
      <w:pPr>
        <w:overflowPunct w:val="0"/>
        <w:autoSpaceDE w:val="0"/>
        <w:autoSpaceDN w:val="0"/>
        <w:adjustRightInd w:val="0"/>
        <w:snapToGrid w:val="0"/>
        <w:spacing w:line="420" w:lineRule="exact"/>
        <w:outlineLvl w:val="2"/>
        <w:rPr>
          <w:rFonts w:ascii="宋体" w:hAnsi="宋体"/>
          <w:bCs/>
          <w:sz w:val="24"/>
        </w:rPr>
      </w:pPr>
    </w:p>
    <w:p w14:paraId="01812FF1">
      <w:pPr>
        <w:overflowPunct w:val="0"/>
        <w:autoSpaceDE w:val="0"/>
        <w:autoSpaceDN w:val="0"/>
        <w:adjustRightInd w:val="0"/>
        <w:snapToGrid w:val="0"/>
        <w:spacing w:line="420" w:lineRule="exact"/>
        <w:outlineLvl w:val="2"/>
        <w:rPr>
          <w:rFonts w:ascii="宋体" w:hAnsi="宋体"/>
          <w:bCs/>
          <w:sz w:val="24"/>
        </w:rPr>
      </w:pPr>
    </w:p>
    <w:p w14:paraId="444D8912">
      <w:pPr>
        <w:overflowPunct w:val="0"/>
        <w:autoSpaceDE w:val="0"/>
        <w:autoSpaceDN w:val="0"/>
        <w:adjustRightInd w:val="0"/>
        <w:snapToGrid w:val="0"/>
        <w:spacing w:line="420" w:lineRule="exact"/>
        <w:outlineLvl w:val="2"/>
        <w:rPr>
          <w:rFonts w:ascii="宋体" w:hAnsi="宋体"/>
          <w:bCs/>
          <w:sz w:val="24"/>
        </w:rPr>
      </w:pPr>
    </w:p>
    <w:p w14:paraId="3F1DF2DE">
      <w:pPr>
        <w:overflowPunct w:val="0"/>
        <w:autoSpaceDE w:val="0"/>
        <w:autoSpaceDN w:val="0"/>
        <w:adjustRightInd w:val="0"/>
        <w:snapToGrid w:val="0"/>
        <w:spacing w:line="420" w:lineRule="exact"/>
        <w:outlineLvl w:val="2"/>
        <w:rPr>
          <w:rFonts w:ascii="宋体" w:hAnsi="宋体"/>
          <w:bCs/>
          <w:sz w:val="24"/>
        </w:rPr>
      </w:pPr>
    </w:p>
    <w:p w14:paraId="3A976B95">
      <w:pPr>
        <w:overflowPunct w:val="0"/>
        <w:autoSpaceDE w:val="0"/>
        <w:autoSpaceDN w:val="0"/>
        <w:adjustRightInd w:val="0"/>
        <w:snapToGrid w:val="0"/>
        <w:spacing w:line="420" w:lineRule="exact"/>
        <w:outlineLvl w:val="2"/>
        <w:rPr>
          <w:rFonts w:ascii="宋体" w:hAnsi="宋体"/>
          <w:bCs/>
          <w:sz w:val="24"/>
        </w:rPr>
      </w:pPr>
    </w:p>
    <w:p w14:paraId="19250B98">
      <w:pPr>
        <w:overflowPunct w:val="0"/>
        <w:autoSpaceDE w:val="0"/>
        <w:autoSpaceDN w:val="0"/>
        <w:adjustRightInd w:val="0"/>
        <w:snapToGrid w:val="0"/>
        <w:spacing w:line="420" w:lineRule="exact"/>
        <w:outlineLvl w:val="2"/>
        <w:rPr>
          <w:rFonts w:ascii="宋体" w:hAnsi="宋体"/>
          <w:bCs/>
          <w:sz w:val="24"/>
        </w:rPr>
      </w:pPr>
    </w:p>
    <w:p w14:paraId="5738149F">
      <w:pPr>
        <w:overflowPunct w:val="0"/>
        <w:autoSpaceDE w:val="0"/>
        <w:autoSpaceDN w:val="0"/>
        <w:adjustRightInd w:val="0"/>
        <w:snapToGrid w:val="0"/>
        <w:spacing w:line="420" w:lineRule="exact"/>
        <w:outlineLvl w:val="2"/>
        <w:rPr>
          <w:rFonts w:ascii="宋体" w:hAnsi="宋体"/>
          <w:bCs/>
          <w:sz w:val="24"/>
        </w:rPr>
      </w:pPr>
    </w:p>
    <w:p w14:paraId="18B738BF">
      <w:pPr>
        <w:overflowPunct w:val="0"/>
        <w:autoSpaceDE w:val="0"/>
        <w:autoSpaceDN w:val="0"/>
        <w:adjustRightInd w:val="0"/>
        <w:snapToGrid w:val="0"/>
        <w:spacing w:line="420" w:lineRule="exact"/>
        <w:outlineLvl w:val="2"/>
        <w:rPr>
          <w:rFonts w:ascii="宋体" w:hAnsi="宋体"/>
          <w:bCs/>
          <w:sz w:val="24"/>
        </w:rPr>
      </w:pPr>
    </w:p>
    <w:p w14:paraId="1BD99AFD">
      <w:pPr>
        <w:overflowPunct w:val="0"/>
        <w:autoSpaceDE w:val="0"/>
        <w:autoSpaceDN w:val="0"/>
        <w:adjustRightInd w:val="0"/>
        <w:snapToGrid w:val="0"/>
        <w:spacing w:line="420" w:lineRule="exact"/>
        <w:outlineLvl w:val="2"/>
        <w:rPr>
          <w:rFonts w:ascii="宋体" w:hAnsi="宋体"/>
          <w:bCs/>
          <w:sz w:val="24"/>
        </w:rPr>
      </w:pPr>
    </w:p>
    <w:p w14:paraId="5F24B4C9">
      <w:pPr>
        <w:overflowPunct w:val="0"/>
        <w:autoSpaceDE w:val="0"/>
        <w:autoSpaceDN w:val="0"/>
        <w:adjustRightInd w:val="0"/>
        <w:snapToGrid w:val="0"/>
        <w:spacing w:line="420" w:lineRule="exact"/>
        <w:outlineLvl w:val="2"/>
        <w:rPr>
          <w:rFonts w:ascii="宋体" w:hAnsi="宋体"/>
          <w:bCs/>
          <w:sz w:val="24"/>
        </w:rPr>
      </w:pPr>
    </w:p>
    <w:p w14:paraId="6851EFF3">
      <w:pPr>
        <w:rPr>
          <w:rFonts w:ascii="宋体" w:hAnsi="宋体"/>
          <w:bCs/>
          <w:sz w:val="24"/>
        </w:rPr>
      </w:pPr>
      <w:r>
        <w:rPr>
          <w:rFonts w:hint="eastAsia" w:ascii="宋体" w:hAnsi="宋体"/>
          <w:bCs/>
          <w:sz w:val="24"/>
        </w:rPr>
        <w:br w:type="page"/>
      </w:r>
    </w:p>
    <w:p w14:paraId="7F3F7332">
      <w:pPr>
        <w:overflowPunct w:val="0"/>
        <w:autoSpaceDE w:val="0"/>
        <w:autoSpaceDN w:val="0"/>
        <w:adjustRightInd w:val="0"/>
        <w:snapToGrid w:val="0"/>
        <w:spacing w:line="420" w:lineRule="exact"/>
        <w:outlineLvl w:val="2"/>
        <w:rPr>
          <w:rFonts w:ascii="宋体" w:hAnsi="宋体"/>
          <w:bCs/>
          <w:sz w:val="24"/>
        </w:rPr>
      </w:pPr>
      <w:r>
        <w:rPr>
          <w:rFonts w:hint="eastAsia" w:ascii="宋体" w:hAnsi="宋体"/>
          <w:bCs/>
          <w:sz w:val="24"/>
        </w:rPr>
        <w:t xml:space="preserve">附录1  </w:t>
      </w:r>
    </w:p>
    <w:p w14:paraId="155A5142">
      <w:pPr>
        <w:overflowPunct w:val="0"/>
        <w:autoSpaceDE w:val="0"/>
        <w:autoSpaceDN w:val="0"/>
        <w:adjustRightInd w:val="0"/>
        <w:snapToGrid w:val="0"/>
        <w:spacing w:line="420" w:lineRule="exact"/>
        <w:jc w:val="center"/>
        <w:rPr>
          <w:rFonts w:ascii="宋体" w:hAnsi="宋体"/>
          <w:bCs/>
          <w:sz w:val="32"/>
          <w:szCs w:val="32"/>
        </w:rPr>
      </w:pPr>
      <w:r>
        <w:rPr>
          <w:rFonts w:hint="eastAsia" w:ascii="宋体" w:hAnsi="宋体"/>
          <w:bCs/>
          <w:sz w:val="32"/>
          <w:szCs w:val="32"/>
        </w:rPr>
        <w:t>相关服务的范围和内容</w:t>
      </w:r>
    </w:p>
    <w:p w14:paraId="0435C3D6">
      <w:pPr>
        <w:numPr>
          <w:ilvl w:val="1"/>
          <w:numId w:val="4"/>
        </w:numPr>
        <w:overflowPunct w:val="0"/>
        <w:autoSpaceDE w:val="0"/>
        <w:autoSpaceDN w:val="0"/>
        <w:adjustRightInd w:val="0"/>
        <w:snapToGrid w:val="0"/>
        <w:spacing w:line="360" w:lineRule="auto"/>
        <w:jc w:val="left"/>
        <w:textAlignment w:val="baseline"/>
        <w:rPr>
          <w:rFonts w:ascii="宋体" w:hAnsi="宋体"/>
          <w:szCs w:val="21"/>
        </w:rPr>
      </w:pPr>
      <w:r>
        <w:rPr>
          <w:rFonts w:hint="eastAsia" w:ascii="宋体" w:hAnsi="宋体"/>
          <w:bCs/>
          <w:sz w:val="24"/>
        </w:rPr>
        <w:t>保修阶段：</w:t>
      </w:r>
    </w:p>
    <w:p w14:paraId="2FF51853">
      <w:pPr>
        <w:overflowPunct w:val="0"/>
        <w:autoSpaceDE w:val="0"/>
        <w:autoSpaceDN w:val="0"/>
        <w:adjustRightInd w:val="0"/>
        <w:snapToGrid w:val="0"/>
        <w:spacing w:line="360" w:lineRule="auto"/>
        <w:ind w:firstLine="630" w:firstLineChars="300"/>
        <w:jc w:val="left"/>
        <w:textAlignment w:val="baseline"/>
        <w:rPr>
          <w:rFonts w:ascii="宋体" w:hAnsi="宋体"/>
          <w:szCs w:val="21"/>
        </w:rPr>
      </w:pPr>
      <w:r>
        <w:rPr>
          <w:rFonts w:hint="eastAsia" w:ascii="宋体" w:hAnsi="宋体"/>
          <w:szCs w:val="21"/>
        </w:rPr>
        <w:t>监理单位须督促施工单位在保修期限及缺陷责任期内履行相关义务，其中绿化植物存要求活率应达到100%，在养护期内死亡的植物，应立刻更换（因季节性气温影响除外），更换后的植物养护期及保修期按照更换日期重新计算；督促施工单位按《城市绿化养护质量标准》（DBJ50/T-098-2019）中规定的养护质量一级等级要求进行养护管理。</w:t>
      </w:r>
    </w:p>
    <w:p w14:paraId="623CA7E1">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保修期限内，监理单位每周至少对项目现场巡视一次，巡视内容包括但不限工程质量缺陷、市容市貌（项目外观、绿化养护、杂草等所有影响市容市貌的问题），并将巡视情况形成整改台账报建设单位，督促施工单位整改到位。</w:t>
      </w:r>
    </w:p>
    <w:p w14:paraId="05AEA995">
      <w:pPr>
        <w:overflowPunct w:val="0"/>
        <w:autoSpaceDE w:val="0"/>
        <w:autoSpaceDN w:val="0"/>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监理人在缺陷责任期及保修期内，未履行相关义务或者履行义务不到位的，按照500元-1000元/次支付违约金。</w:t>
      </w:r>
    </w:p>
    <w:p w14:paraId="79021737">
      <w:pPr>
        <w:overflowPunct w:val="0"/>
        <w:autoSpaceDE w:val="0"/>
        <w:autoSpaceDN w:val="0"/>
        <w:adjustRightInd w:val="0"/>
        <w:snapToGrid w:val="0"/>
        <w:spacing w:line="420" w:lineRule="exact"/>
        <w:ind w:firstLine="480" w:firstLineChars="200"/>
        <w:rPr>
          <w:rFonts w:ascii="宋体" w:hAnsi="宋体"/>
          <w:b/>
          <w:bCs/>
          <w:sz w:val="24"/>
        </w:rPr>
      </w:pPr>
      <w:r>
        <w:rPr>
          <w:rFonts w:hint="eastAsia" w:ascii="宋体" w:hAnsi="宋体"/>
          <w:bCs/>
          <w:sz w:val="24"/>
        </w:rPr>
        <w:t>1-2 其他（专业技术咨询、外部协调工作等）。</w:t>
      </w:r>
      <w:r>
        <w:rPr>
          <w:rFonts w:hint="eastAsia" w:ascii="宋体" w:hAnsi="宋体"/>
          <w:b/>
          <w:bCs/>
          <w:sz w:val="24"/>
        </w:rPr>
        <w:t xml:space="preserve"> </w:t>
      </w:r>
    </w:p>
    <w:p w14:paraId="01DAFD0E">
      <w:pPr>
        <w:overflowPunct w:val="0"/>
        <w:autoSpaceDE w:val="0"/>
        <w:autoSpaceDN w:val="0"/>
        <w:adjustRightInd w:val="0"/>
        <w:snapToGrid w:val="0"/>
        <w:spacing w:line="420" w:lineRule="exact"/>
        <w:rPr>
          <w:rFonts w:ascii="宋体" w:hAnsi="宋体"/>
          <w:bCs/>
          <w:sz w:val="24"/>
        </w:rPr>
      </w:pPr>
    </w:p>
    <w:p w14:paraId="7658362B">
      <w:pPr>
        <w:overflowPunct w:val="0"/>
        <w:autoSpaceDE w:val="0"/>
        <w:autoSpaceDN w:val="0"/>
        <w:adjustRightInd w:val="0"/>
        <w:snapToGrid w:val="0"/>
        <w:spacing w:line="420" w:lineRule="exact"/>
        <w:rPr>
          <w:rFonts w:ascii="宋体" w:hAnsi="宋体"/>
          <w:bCs/>
          <w:sz w:val="24"/>
        </w:rPr>
      </w:pPr>
    </w:p>
    <w:p w14:paraId="258DAD9A">
      <w:pPr>
        <w:pStyle w:val="2"/>
        <w:rPr>
          <w:rFonts w:ascii="宋体" w:hAnsi="宋体"/>
          <w:bCs/>
          <w:sz w:val="24"/>
        </w:rPr>
      </w:pPr>
    </w:p>
    <w:p w14:paraId="52D72824">
      <w:pPr>
        <w:rPr>
          <w:rFonts w:ascii="宋体" w:hAnsi="宋体"/>
          <w:bCs/>
          <w:sz w:val="24"/>
        </w:rPr>
      </w:pPr>
    </w:p>
    <w:p w14:paraId="35F4C715">
      <w:pPr>
        <w:pStyle w:val="2"/>
        <w:rPr>
          <w:rFonts w:ascii="宋体" w:hAnsi="宋体"/>
          <w:bCs/>
          <w:sz w:val="24"/>
        </w:rPr>
      </w:pPr>
    </w:p>
    <w:p w14:paraId="6FDB7027">
      <w:pPr>
        <w:rPr>
          <w:rFonts w:ascii="宋体" w:hAnsi="宋体"/>
          <w:bCs/>
          <w:sz w:val="24"/>
        </w:rPr>
      </w:pPr>
    </w:p>
    <w:p w14:paraId="1983B79A">
      <w:pPr>
        <w:pStyle w:val="2"/>
        <w:rPr>
          <w:rFonts w:ascii="宋体" w:hAnsi="宋体"/>
          <w:bCs/>
          <w:sz w:val="24"/>
        </w:rPr>
      </w:pPr>
    </w:p>
    <w:p w14:paraId="60A2CD53">
      <w:pPr>
        <w:rPr>
          <w:rFonts w:ascii="宋体" w:hAnsi="宋体"/>
          <w:bCs/>
          <w:sz w:val="24"/>
        </w:rPr>
      </w:pPr>
    </w:p>
    <w:p w14:paraId="2C731057">
      <w:pPr>
        <w:pStyle w:val="2"/>
        <w:rPr>
          <w:rFonts w:ascii="宋体" w:hAnsi="宋体"/>
          <w:bCs/>
          <w:sz w:val="24"/>
        </w:rPr>
      </w:pPr>
    </w:p>
    <w:p w14:paraId="05C69890">
      <w:pPr>
        <w:rPr>
          <w:rFonts w:ascii="宋体" w:hAnsi="宋体"/>
          <w:bCs/>
          <w:sz w:val="24"/>
        </w:rPr>
      </w:pPr>
    </w:p>
    <w:p w14:paraId="3FFC9813">
      <w:pPr>
        <w:pStyle w:val="2"/>
        <w:rPr>
          <w:rFonts w:ascii="宋体" w:hAnsi="宋体"/>
          <w:bCs/>
          <w:sz w:val="24"/>
        </w:rPr>
      </w:pPr>
    </w:p>
    <w:p w14:paraId="3DE011E4">
      <w:pPr>
        <w:rPr>
          <w:rFonts w:ascii="宋体" w:hAnsi="宋体"/>
          <w:bCs/>
          <w:sz w:val="24"/>
        </w:rPr>
      </w:pPr>
    </w:p>
    <w:p w14:paraId="6CD0480A">
      <w:pPr>
        <w:pStyle w:val="2"/>
        <w:rPr>
          <w:rFonts w:ascii="宋体" w:hAnsi="宋体"/>
          <w:bCs/>
          <w:sz w:val="24"/>
        </w:rPr>
      </w:pPr>
    </w:p>
    <w:p w14:paraId="251E2347">
      <w:pPr>
        <w:rPr>
          <w:rFonts w:ascii="宋体" w:hAnsi="宋体"/>
          <w:bCs/>
          <w:sz w:val="24"/>
        </w:rPr>
      </w:pPr>
    </w:p>
    <w:p w14:paraId="451279FF">
      <w:pPr>
        <w:pStyle w:val="2"/>
        <w:rPr>
          <w:rFonts w:ascii="宋体" w:hAnsi="宋体"/>
          <w:bCs/>
          <w:sz w:val="24"/>
        </w:rPr>
      </w:pPr>
    </w:p>
    <w:p w14:paraId="74C5004E">
      <w:pPr>
        <w:rPr>
          <w:rFonts w:ascii="宋体" w:hAnsi="宋体"/>
          <w:bCs/>
          <w:sz w:val="24"/>
        </w:rPr>
      </w:pPr>
    </w:p>
    <w:p w14:paraId="53869C7B">
      <w:pPr>
        <w:pStyle w:val="2"/>
        <w:rPr>
          <w:rFonts w:ascii="宋体" w:hAnsi="宋体"/>
          <w:bCs/>
          <w:sz w:val="24"/>
        </w:rPr>
      </w:pPr>
    </w:p>
    <w:p w14:paraId="13EA0120">
      <w:pPr>
        <w:rPr>
          <w:rFonts w:ascii="宋体" w:hAnsi="宋体"/>
          <w:bCs/>
          <w:sz w:val="24"/>
        </w:rPr>
      </w:pPr>
    </w:p>
    <w:p w14:paraId="1C40275B">
      <w:pPr>
        <w:pStyle w:val="2"/>
        <w:rPr>
          <w:rFonts w:ascii="宋体" w:hAnsi="宋体"/>
          <w:bCs/>
          <w:sz w:val="24"/>
        </w:rPr>
      </w:pPr>
    </w:p>
    <w:p w14:paraId="59C218E6">
      <w:pPr>
        <w:rPr>
          <w:rFonts w:ascii="宋体" w:hAnsi="宋体"/>
          <w:bCs/>
          <w:sz w:val="24"/>
        </w:rPr>
      </w:pPr>
    </w:p>
    <w:p w14:paraId="7EB3E181">
      <w:pPr>
        <w:overflowPunct w:val="0"/>
        <w:autoSpaceDE w:val="0"/>
        <w:autoSpaceDN w:val="0"/>
        <w:adjustRightInd w:val="0"/>
        <w:snapToGrid w:val="0"/>
        <w:spacing w:line="420" w:lineRule="exact"/>
        <w:outlineLvl w:val="2"/>
        <w:rPr>
          <w:rFonts w:ascii="宋体" w:hAnsi="宋体"/>
          <w:bCs/>
          <w:sz w:val="24"/>
        </w:rPr>
      </w:pPr>
      <w:r>
        <w:rPr>
          <w:rFonts w:hint="eastAsia" w:ascii="宋体" w:hAnsi="宋体"/>
          <w:bCs/>
          <w:sz w:val="24"/>
        </w:rPr>
        <w:t xml:space="preserve">附录2  </w:t>
      </w:r>
    </w:p>
    <w:p w14:paraId="39E2C4E7">
      <w:pPr>
        <w:overflowPunct w:val="0"/>
        <w:autoSpaceDE w:val="0"/>
        <w:autoSpaceDN w:val="0"/>
        <w:adjustRightInd w:val="0"/>
        <w:snapToGrid w:val="0"/>
        <w:spacing w:line="420" w:lineRule="exact"/>
        <w:jc w:val="center"/>
        <w:rPr>
          <w:rFonts w:ascii="宋体" w:hAnsi="宋体"/>
          <w:bCs/>
          <w:sz w:val="32"/>
          <w:szCs w:val="32"/>
        </w:rPr>
      </w:pPr>
      <w:r>
        <w:rPr>
          <w:rFonts w:hint="eastAsia" w:ascii="宋体" w:hAnsi="宋体"/>
          <w:bCs/>
          <w:sz w:val="32"/>
          <w:szCs w:val="32"/>
        </w:rPr>
        <w:t>委托人派遣的人员和资料</w:t>
      </w:r>
    </w:p>
    <w:p w14:paraId="44E60EF7">
      <w:pPr>
        <w:overflowPunct w:val="0"/>
        <w:autoSpaceDE w:val="0"/>
        <w:autoSpaceDN w:val="0"/>
        <w:adjustRightInd w:val="0"/>
        <w:snapToGrid w:val="0"/>
        <w:spacing w:line="420" w:lineRule="exact"/>
        <w:ind w:firstLine="482" w:firstLineChars="200"/>
        <w:rPr>
          <w:rFonts w:ascii="宋体" w:hAnsi="宋体"/>
          <w:b/>
          <w:kern w:val="0"/>
          <w:sz w:val="24"/>
        </w:rPr>
      </w:pPr>
      <w:r>
        <w:rPr>
          <w:rFonts w:hint="eastAsia" w:ascii="宋体" w:hAnsi="宋体"/>
          <w:b/>
          <w:kern w:val="0"/>
          <w:sz w:val="24"/>
        </w:rPr>
        <w:t>2-1  委托人派遣的人员</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757E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14:paraId="458AF3BA">
            <w:pPr>
              <w:overflowPunct w:val="0"/>
              <w:autoSpaceDE w:val="0"/>
              <w:autoSpaceDN w:val="0"/>
              <w:adjustRightInd w:val="0"/>
              <w:snapToGrid w:val="0"/>
              <w:spacing w:line="360" w:lineRule="exact"/>
              <w:jc w:val="center"/>
              <w:rPr>
                <w:rFonts w:ascii="宋体" w:hAnsi="宋体"/>
                <w:sz w:val="24"/>
              </w:rPr>
            </w:pPr>
            <w:r>
              <w:rPr>
                <w:rFonts w:hint="eastAsia" w:ascii="宋体" w:hAnsi="宋体"/>
                <w:sz w:val="24"/>
              </w:rPr>
              <w:t>名称</w:t>
            </w:r>
          </w:p>
        </w:tc>
        <w:tc>
          <w:tcPr>
            <w:tcW w:w="1770" w:type="dxa"/>
          </w:tcPr>
          <w:p w14:paraId="4A225B09">
            <w:pPr>
              <w:overflowPunct w:val="0"/>
              <w:autoSpaceDE w:val="0"/>
              <w:autoSpaceDN w:val="0"/>
              <w:adjustRightInd w:val="0"/>
              <w:snapToGrid w:val="0"/>
              <w:spacing w:line="360" w:lineRule="exact"/>
              <w:jc w:val="center"/>
              <w:rPr>
                <w:rFonts w:ascii="宋体" w:hAnsi="宋体"/>
                <w:sz w:val="24"/>
              </w:rPr>
            </w:pPr>
            <w:r>
              <w:rPr>
                <w:rFonts w:hint="eastAsia" w:ascii="宋体" w:hAnsi="宋体"/>
                <w:sz w:val="24"/>
              </w:rPr>
              <w:t>数量</w:t>
            </w:r>
          </w:p>
        </w:tc>
        <w:tc>
          <w:tcPr>
            <w:tcW w:w="2130" w:type="dxa"/>
          </w:tcPr>
          <w:p w14:paraId="6F755FA3">
            <w:pPr>
              <w:overflowPunct w:val="0"/>
              <w:autoSpaceDE w:val="0"/>
              <w:autoSpaceDN w:val="0"/>
              <w:adjustRightInd w:val="0"/>
              <w:snapToGrid w:val="0"/>
              <w:spacing w:line="360" w:lineRule="exact"/>
              <w:jc w:val="center"/>
              <w:rPr>
                <w:rFonts w:ascii="宋体" w:hAnsi="宋体"/>
                <w:sz w:val="24"/>
              </w:rPr>
            </w:pPr>
            <w:r>
              <w:rPr>
                <w:rFonts w:hint="eastAsia" w:ascii="宋体" w:hAnsi="宋体"/>
                <w:sz w:val="24"/>
              </w:rPr>
              <w:t>工作要求</w:t>
            </w:r>
          </w:p>
        </w:tc>
        <w:tc>
          <w:tcPr>
            <w:tcW w:w="1860" w:type="dxa"/>
          </w:tcPr>
          <w:p w14:paraId="3913D1CB">
            <w:pPr>
              <w:overflowPunct w:val="0"/>
              <w:autoSpaceDE w:val="0"/>
              <w:autoSpaceDN w:val="0"/>
              <w:adjustRightInd w:val="0"/>
              <w:snapToGrid w:val="0"/>
              <w:spacing w:line="360" w:lineRule="exact"/>
              <w:jc w:val="center"/>
              <w:rPr>
                <w:rFonts w:ascii="宋体" w:hAnsi="宋体"/>
                <w:sz w:val="24"/>
              </w:rPr>
            </w:pPr>
            <w:r>
              <w:rPr>
                <w:rFonts w:hint="eastAsia" w:ascii="宋体" w:hAnsi="宋体"/>
                <w:sz w:val="24"/>
              </w:rPr>
              <w:t>提供时间</w:t>
            </w:r>
          </w:p>
        </w:tc>
      </w:tr>
      <w:tr w14:paraId="0A41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14:paraId="7253468D">
            <w:pPr>
              <w:overflowPunct w:val="0"/>
              <w:autoSpaceDE w:val="0"/>
              <w:autoSpaceDN w:val="0"/>
              <w:adjustRightInd w:val="0"/>
              <w:snapToGrid w:val="0"/>
              <w:spacing w:line="360" w:lineRule="exact"/>
              <w:rPr>
                <w:rFonts w:ascii="宋体" w:hAnsi="宋体"/>
                <w:sz w:val="24"/>
              </w:rPr>
            </w:pPr>
            <w:r>
              <w:rPr>
                <w:rFonts w:hint="eastAsia" w:ascii="宋体" w:hAnsi="宋体"/>
                <w:sz w:val="24"/>
              </w:rPr>
              <w:t xml:space="preserve">1. 工程技术人员 </w:t>
            </w:r>
          </w:p>
        </w:tc>
        <w:tc>
          <w:tcPr>
            <w:tcW w:w="1770" w:type="dxa"/>
          </w:tcPr>
          <w:p w14:paraId="19DC5DDE">
            <w:pPr>
              <w:overflowPunct w:val="0"/>
              <w:autoSpaceDE w:val="0"/>
              <w:autoSpaceDN w:val="0"/>
              <w:adjustRightInd w:val="0"/>
              <w:snapToGrid w:val="0"/>
              <w:spacing w:line="360" w:lineRule="exact"/>
              <w:rPr>
                <w:rFonts w:ascii="宋体" w:hAnsi="宋体"/>
                <w:sz w:val="24"/>
              </w:rPr>
            </w:pPr>
          </w:p>
        </w:tc>
        <w:tc>
          <w:tcPr>
            <w:tcW w:w="2130" w:type="dxa"/>
          </w:tcPr>
          <w:p w14:paraId="095F0435">
            <w:pPr>
              <w:overflowPunct w:val="0"/>
              <w:autoSpaceDE w:val="0"/>
              <w:autoSpaceDN w:val="0"/>
              <w:adjustRightInd w:val="0"/>
              <w:snapToGrid w:val="0"/>
              <w:spacing w:line="360" w:lineRule="exact"/>
              <w:rPr>
                <w:rFonts w:ascii="宋体" w:hAnsi="宋体"/>
                <w:sz w:val="24"/>
              </w:rPr>
            </w:pPr>
          </w:p>
        </w:tc>
        <w:tc>
          <w:tcPr>
            <w:tcW w:w="1860" w:type="dxa"/>
          </w:tcPr>
          <w:p w14:paraId="2999FA90">
            <w:pPr>
              <w:overflowPunct w:val="0"/>
              <w:autoSpaceDE w:val="0"/>
              <w:autoSpaceDN w:val="0"/>
              <w:adjustRightInd w:val="0"/>
              <w:snapToGrid w:val="0"/>
              <w:spacing w:line="360" w:lineRule="exact"/>
              <w:rPr>
                <w:rFonts w:ascii="宋体" w:hAnsi="宋体"/>
                <w:sz w:val="24"/>
              </w:rPr>
            </w:pPr>
          </w:p>
        </w:tc>
      </w:tr>
      <w:tr w14:paraId="07F2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14:paraId="23326A03">
            <w:pPr>
              <w:overflowPunct w:val="0"/>
              <w:autoSpaceDE w:val="0"/>
              <w:autoSpaceDN w:val="0"/>
              <w:adjustRightInd w:val="0"/>
              <w:snapToGrid w:val="0"/>
              <w:spacing w:line="360" w:lineRule="exact"/>
              <w:rPr>
                <w:rFonts w:ascii="宋体" w:hAnsi="宋体"/>
                <w:sz w:val="24"/>
              </w:rPr>
            </w:pPr>
            <w:r>
              <w:rPr>
                <w:rFonts w:hint="eastAsia" w:ascii="宋体" w:hAnsi="宋体"/>
                <w:sz w:val="24"/>
              </w:rPr>
              <w:t>2. 辅助工作人员</w:t>
            </w:r>
          </w:p>
        </w:tc>
        <w:tc>
          <w:tcPr>
            <w:tcW w:w="1770" w:type="dxa"/>
          </w:tcPr>
          <w:p w14:paraId="7DCCF31E">
            <w:pPr>
              <w:overflowPunct w:val="0"/>
              <w:autoSpaceDE w:val="0"/>
              <w:autoSpaceDN w:val="0"/>
              <w:adjustRightInd w:val="0"/>
              <w:snapToGrid w:val="0"/>
              <w:spacing w:line="360" w:lineRule="exact"/>
              <w:rPr>
                <w:rFonts w:ascii="宋体" w:hAnsi="宋体"/>
                <w:sz w:val="24"/>
              </w:rPr>
            </w:pPr>
          </w:p>
        </w:tc>
        <w:tc>
          <w:tcPr>
            <w:tcW w:w="2130" w:type="dxa"/>
          </w:tcPr>
          <w:p w14:paraId="2BD16644">
            <w:pPr>
              <w:overflowPunct w:val="0"/>
              <w:autoSpaceDE w:val="0"/>
              <w:autoSpaceDN w:val="0"/>
              <w:adjustRightInd w:val="0"/>
              <w:snapToGrid w:val="0"/>
              <w:spacing w:line="360" w:lineRule="exact"/>
              <w:rPr>
                <w:rFonts w:ascii="宋体" w:hAnsi="宋体"/>
                <w:sz w:val="24"/>
              </w:rPr>
            </w:pPr>
          </w:p>
        </w:tc>
        <w:tc>
          <w:tcPr>
            <w:tcW w:w="1860" w:type="dxa"/>
          </w:tcPr>
          <w:p w14:paraId="1C0EBFF0">
            <w:pPr>
              <w:overflowPunct w:val="0"/>
              <w:autoSpaceDE w:val="0"/>
              <w:autoSpaceDN w:val="0"/>
              <w:adjustRightInd w:val="0"/>
              <w:snapToGrid w:val="0"/>
              <w:spacing w:line="360" w:lineRule="exact"/>
              <w:rPr>
                <w:rFonts w:ascii="宋体" w:hAnsi="宋体"/>
                <w:sz w:val="24"/>
              </w:rPr>
            </w:pPr>
          </w:p>
        </w:tc>
      </w:tr>
      <w:tr w14:paraId="06DF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14:paraId="45C837ED">
            <w:pPr>
              <w:overflowPunct w:val="0"/>
              <w:autoSpaceDE w:val="0"/>
              <w:autoSpaceDN w:val="0"/>
              <w:adjustRightInd w:val="0"/>
              <w:snapToGrid w:val="0"/>
              <w:spacing w:line="360" w:lineRule="exact"/>
              <w:rPr>
                <w:rFonts w:ascii="宋体" w:hAnsi="宋体"/>
                <w:sz w:val="24"/>
              </w:rPr>
            </w:pPr>
            <w:r>
              <w:rPr>
                <w:rFonts w:hint="eastAsia" w:ascii="宋体" w:hAnsi="宋体"/>
                <w:sz w:val="24"/>
              </w:rPr>
              <w:t>3. 其他人员</w:t>
            </w:r>
          </w:p>
        </w:tc>
        <w:tc>
          <w:tcPr>
            <w:tcW w:w="1770" w:type="dxa"/>
          </w:tcPr>
          <w:p w14:paraId="7423C8DF">
            <w:pPr>
              <w:overflowPunct w:val="0"/>
              <w:autoSpaceDE w:val="0"/>
              <w:autoSpaceDN w:val="0"/>
              <w:adjustRightInd w:val="0"/>
              <w:snapToGrid w:val="0"/>
              <w:spacing w:line="360" w:lineRule="exact"/>
              <w:rPr>
                <w:rFonts w:ascii="宋体" w:hAnsi="宋体"/>
                <w:sz w:val="24"/>
              </w:rPr>
            </w:pPr>
          </w:p>
        </w:tc>
        <w:tc>
          <w:tcPr>
            <w:tcW w:w="2130" w:type="dxa"/>
          </w:tcPr>
          <w:p w14:paraId="00CC493B">
            <w:pPr>
              <w:overflowPunct w:val="0"/>
              <w:autoSpaceDE w:val="0"/>
              <w:autoSpaceDN w:val="0"/>
              <w:adjustRightInd w:val="0"/>
              <w:snapToGrid w:val="0"/>
              <w:spacing w:line="360" w:lineRule="exact"/>
              <w:rPr>
                <w:rFonts w:ascii="宋体" w:hAnsi="宋体"/>
                <w:sz w:val="24"/>
              </w:rPr>
            </w:pPr>
          </w:p>
        </w:tc>
        <w:tc>
          <w:tcPr>
            <w:tcW w:w="1860" w:type="dxa"/>
          </w:tcPr>
          <w:p w14:paraId="4F9723E7">
            <w:pPr>
              <w:overflowPunct w:val="0"/>
              <w:autoSpaceDE w:val="0"/>
              <w:autoSpaceDN w:val="0"/>
              <w:adjustRightInd w:val="0"/>
              <w:snapToGrid w:val="0"/>
              <w:spacing w:line="360" w:lineRule="exact"/>
              <w:rPr>
                <w:rFonts w:ascii="宋体" w:hAnsi="宋体"/>
                <w:sz w:val="24"/>
              </w:rPr>
            </w:pPr>
          </w:p>
        </w:tc>
      </w:tr>
    </w:tbl>
    <w:p w14:paraId="55E56692">
      <w:pPr>
        <w:overflowPunct w:val="0"/>
        <w:autoSpaceDE w:val="0"/>
        <w:autoSpaceDN w:val="0"/>
        <w:adjustRightInd w:val="0"/>
        <w:snapToGrid w:val="0"/>
        <w:spacing w:line="420" w:lineRule="exact"/>
        <w:ind w:firstLine="482" w:firstLineChars="200"/>
        <w:rPr>
          <w:rFonts w:ascii="宋体" w:hAnsi="宋体"/>
          <w:b/>
          <w:kern w:val="0"/>
          <w:sz w:val="24"/>
        </w:rPr>
      </w:pPr>
      <w:r>
        <w:rPr>
          <w:rFonts w:hint="eastAsia" w:ascii="宋体" w:hAnsi="宋体"/>
          <w:b/>
          <w:kern w:val="0"/>
          <w:sz w:val="24"/>
        </w:rPr>
        <w:t>2-2  委托人提供的资料</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8"/>
        <w:gridCol w:w="1426"/>
        <w:gridCol w:w="1620"/>
        <w:gridCol w:w="1080"/>
      </w:tblGrid>
      <w:tr w14:paraId="0894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tcPr>
          <w:p w14:paraId="3E1CCC71">
            <w:pPr>
              <w:overflowPunct w:val="0"/>
              <w:autoSpaceDE w:val="0"/>
              <w:autoSpaceDN w:val="0"/>
              <w:adjustRightInd w:val="0"/>
              <w:snapToGrid w:val="0"/>
              <w:spacing w:line="360" w:lineRule="exact"/>
              <w:jc w:val="center"/>
              <w:rPr>
                <w:rFonts w:ascii="宋体" w:hAnsi="宋体"/>
                <w:kern w:val="0"/>
                <w:sz w:val="24"/>
              </w:rPr>
            </w:pPr>
            <w:r>
              <w:rPr>
                <w:rFonts w:hint="eastAsia" w:ascii="宋体" w:hAnsi="宋体"/>
                <w:kern w:val="0"/>
                <w:sz w:val="24"/>
              </w:rPr>
              <w:t>名称</w:t>
            </w:r>
          </w:p>
        </w:tc>
        <w:tc>
          <w:tcPr>
            <w:tcW w:w="1426" w:type="dxa"/>
          </w:tcPr>
          <w:p w14:paraId="45D4B9A7">
            <w:pPr>
              <w:overflowPunct w:val="0"/>
              <w:autoSpaceDE w:val="0"/>
              <w:autoSpaceDN w:val="0"/>
              <w:adjustRightInd w:val="0"/>
              <w:snapToGrid w:val="0"/>
              <w:spacing w:line="360" w:lineRule="exact"/>
              <w:jc w:val="center"/>
              <w:rPr>
                <w:rFonts w:ascii="宋体" w:hAnsi="宋体"/>
                <w:kern w:val="0"/>
                <w:sz w:val="24"/>
              </w:rPr>
            </w:pPr>
            <w:r>
              <w:rPr>
                <w:rFonts w:hint="eastAsia" w:ascii="宋体" w:hAnsi="宋体"/>
                <w:kern w:val="0"/>
                <w:sz w:val="24"/>
              </w:rPr>
              <w:t>份数</w:t>
            </w:r>
          </w:p>
        </w:tc>
        <w:tc>
          <w:tcPr>
            <w:tcW w:w="1620" w:type="dxa"/>
          </w:tcPr>
          <w:p w14:paraId="02744BCB">
            <w:pPr>
              <w:overflowPunct w:val="0"/>
              <w:autoSpaceDE w:val="0"/>
              <w:autoSpaceDN w:val="0"/>
              <w:adjustRightInd w:val="0"/>
              <w:snapToGrid w:val="0"/>
              <w:spacing w:line="360" w:lineRule="exact"/>
              <w:jc w:val="center"/>
              <w:rPr>
                <w:rFonts w:ascii="宋体" w:hAnsi="宋体"/>
                <w:kern w:val="0"/>
                <w:sz w:val="24"/>
              </w:rPr>
            </w:pPr>
            <w:r>
              <w:rPr>
                <w:rFonts w:hint="eastAsia" w:ascii="宋体" w:hAnsi="宋体"/>
                <w:kern w:val="0"/>
                <w:sz w:val="24"/>
              </w:rPr>
              <w:t>提供时间</w:t>
            </w:r>
          </w:p>
        </w:tc>
        <w:tc>
          <w:tcPr>
            <w:tcW w:w="1080" w:type="dxa"/>
          </w:tcPr>
          <w:p w14:paraId="18395D28">
            <w:pPr>
              <w:overflowPunct w:val="0"/>
              <w:autoSpaceDE w:val="0"/>
              <w:autoSpaceDN w:val="0"/>
              <w:adjustRightInd w:val="0"/>
              <w:snapToGrid w:val="0"/>
              <w:spacing w:line="360" w:lineRule="exact"/>
              <w:jc w:val="center"/>
              <w:rPr>
                <w:rFonts w:ascii="宋体" w:hAnsi="宋体"/>
                <w:kern w:val="0"/>
                <w:sz w:val="24"/>
              </w:rPr>
            </w:pPr>
            <w:r>
              <w:rPr>
                <w:rFonts w:hint="eastAsia" w:ascii="宋体" w:hAnsi="宋体"/>
                <w:kern w:val="0"/>
                <w:sz w:val="24"/>
              </w:rPr>
              <w:t>备注</w:t>
            </w:r>
          </w:p>
        </w:tc>
      </w:tr>
      <w:tr w14:paraId="6203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tcPr>
          <w:p w14:paraId="2078EF77">
            <w:pPr>
              <w:overflowPunct w:val="0"/>
              <w:autoSpaceDE w:val="0"/>
              <w:autoSpaceDN w:val="0"/>
              <w:adjustRightInd w:val="0"/>
              <w:snapToGrid w:val="0"/>
              <w:spacing w:line="360" w:lineRule="exact"/>
              <w:rPr>
                <w:rFonts w:ascii="宋体" w:hAnsi="宋体"/>
                <w:kern w:val="0"/>
                <w:sz w:val="24"/>
              </w:rPr>
            </w:pPr>
            <w:r>
              <w:rPr>
                <w:rFonts w:hint="eastAsia" w:ascii="宋体" w:hAnsi="宋体"/>
                <w:kern w:val="0"/>
                <w:sz w:val="24"/>
              </w:rPr>
              <w:t>1. 工程立项文件</w:t>
            </w:r>
          </w:p>
        </w:tc>
        <w:tc>
          <w:tcPr>
            <w:tcW w:w="1426" w:type="dxa"/>
          </w:tcPr>
          <w:p w14:paraId="2947D769">
            <w:pPr>
              <w:overflowPunct w:val="0"/>
              <w:autoSpaceDE w:val="0"/>
              <w:autoSpaceDN w:val="0"/>
              <w:adjustRightInd w:val="0"/>
              <w:snapToGrid w:val="0"/>
              <w:spacing w:line="360" w:lineRule="exact"/>
              <w:rPr>
                <w:rFonts w:ascii="宋体" w:hAnsi="宋体"/>
                <w:kern w:val="0"/>
                <w:sz w:val="24"/>
              </w:rPr>
            </w:pPr>
          </w:p>
        </w:tc>
        <w:tc>
          <w:tcPr>
            <w:tcW w:w="1620" w:type="dxa"/>
          </w:tcPr>
          <w:p w14:paraId="1EFE3EF2">
            <w:pPr>
              <w:overflowPunct w:val="0"/>
              <w:autoSpaceDE w:val="0"/>
              <w:autoSpaceDN w:val="0"/>
              <w:adjustRightInd w:val="0"/>
              <w:snapToGrid w:val="0"/>
              <w:spacing w:line="360" w:lineRule="exact"/>
              <w:rPr>
                <w:rFonts w:ascii="宋体" w:hAnsi="宋体"/>
                <w:kern w:val="0"/>
                <w:sz w:val="24"/>
              </w:rPr>
            </w:pPr>
          </w:p>
        </w:tc>
        <w:tc>
          <w:tcPr>
            <w:tcW w:w="1080" w:type="dxa"/>
          </w:tcPr>
          <w:p w14:paraId="5357B071">
            <w:pPr>
              <w:overflowPunct w:val="0"/>
              <w:autoSpaceDE w:val="0"/>
              <w:autoSpaceDN w:val="0"/>
              <w:adjustRightInd w:val="0"/>
              <w:snapToGrid w:val="0"/>
              <w:spacing w:line="360" w:lineRule="exact"/>
              <w:rPr>
                <w:rFonts w:ascii="宋体" w:hAnsi="宋体"/>
                <w:kern w:val="0"/>
                <w:sz w:val="24"/>
              </w:rPr>
            </w:pPr>
          </w:p>
        </w:tc>
      </w:tr>
      <w:tr w14:paraId="3CE5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tcPr>
          <w:p w14:paraId="75E0861C">
            <w:pPr>
              <w:overflowPunct w:val="0"/>
              <w:autoSpaceDE w:val="0"/>
              <w:autoSpaceDN w:val="0"/>
              <w:adjustRightInd w:val="0"/>
              <w:snapToGrid w:val="0"/>
              <w:spacing w:line="360" w:lineRule="exact"/>
              <w:rPr>
                <w:rFonts w:ascii="宋体" w:hAnsi="宋体"/>
                <w:kern w:val="0"/>
                <w:sz w:val="24"/>
              </w:rPr>
            </w:pPr>
            <w:r>
              <w:rPr>
                <w:rFonts w:hint="eastAsia" w:ascii="宋体" w:hAnsi="宋体"/>
                <w:kern w:val="0"/>
                <w:sz w:val="24"/>
              </w:rPr>
              <w:t>2. 工程勘察文件</w:t>
            </w:r>
          </w:p>
        </w:tc>
        <w:tc>
          <w:tcPr>
            <w:tcW w:w="1426" w:type="dxa"/>
          </w:tcPr>
          <w:p w14:paraId="05BC5FA5">
            <w:pPr>
              <w:overflowPunct w:val="0"/>
              <w:autoSpaceDE w:val="0"/>
              <w:autoSpaceDN w:val="0"/>
              <w:adjustRightInd w:val="0"/>
              <w:snapToGrid w:val="0"/>
              <w:spacing w:line="360" w:lineRule="exact"/>
              <w:rPr>
                <w:rFonts w:ascii="宋体" w:hAnsi="宋体"/>
                <w:kern w:val="0"/>
                <w:sz w:val="24"/>
              </w:rPr>
            </w:pPr>
          </w:p>
        </w:tc>
        <w:tc>
          <w:tcPr>
            <w:tcW w:w="1620" w:type="dxa"/>
          </w:tcPr>
          <w:p w14:paraId="2BD36CD2">
            <w:pPr>
              <w:overflowPunct w:val="0"/>
              <w:autoSpaceDE w:val="0"/>
              <w:autoSpaceDN w:val="0"/>
              <w:adjustRightInd w:val="0"/>
              <w:snapToGrid w:val="0"/>
              <w:spacing w:line="360" w:lineRule="exact"/>
              <w:rPr>
                <w:rFonts w:ascii="宋体" w:hAnsi="宋体"/>
                <w:kern w:val="0"/>
                <w:sz w:val="24"/>
              </w:rPr>
            </w:pPr>
          </w:p>
        </w:tc>
        <w:tc>
          <w:tcPr>
            <w:tcW w:w="1080" w:type="dxa"/>
          </w:tcPr>
          <w:p w14:paraId="3138A761">
            <w:pPr>
              <w:overflowPunct w:val="0"/>
              <w:autoSpaceDE w:val="0"/>
              <w:autoSpaceDN w:val="0"/>
              <w:adjustRightInd w:val="0"/>
              <w:snapToGrid w:val="0"/>
              <w:spacing w:line="360" w:lineRule="exact"/>
              <w:rPr>
                <w:rFonts w:ascii="宋体" w:hAnsi="宋体"/>
                <w:kern w:val="0"/>
                <w:sz w:val="24"/>
              </w:rPr>
            </w:pPr>
          </w:p>
        </w:tc>
      </w:tr>
      <w:tr w14:paraId="343B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tcPr>
          <w:p w14:paraId="7B7E4D59">
            <w:pPr>
              <w:overflowPunct w:val="0"/>
              <w:autoSpaceDE w:val="0"/>
              <w:autoSpaceDN w:val="0"/>
              <w:adjustRightInd w:val="0"/>
              <w:snapToGrid w:val="0"/>
              <w:spacing w:line="360" w:lineRule="exact"/>
              <w:rPr>
                <w:rFonts w:ascii="宋体" w:hAnsi="宋体"/>
                <w:kern w:val="0"/>
                <w:sz w:val="24"/>
              </w:rPr>
            </w:pPr>
            <w:r>
              <w:rPr>
                <w:rFonts w:hint="eastAsia" w:ascii="宋体" w:hAnsi="宋体"/>
                <w:kern w:val="0"/>
                <w:sz w:val="24"/>
              </w:rPr>
              <w:t>3. 工程设计及施工图纸</w:t>
            </w:r>
          </w:p>
        </w:tc>
        <w:tc>
          <w:tcPr>
            <w:tcW w:w="1426" w:type="dxa"/>
          </w:tcPr>
          <w:p w14:paraId="4E2251D6">
            <w:pPr>
              <w:overflowPunct w:val="0"/>
              <w:autoSpaceDE w:val="0"/>
              <w:autoSpaceDN w:val="0"/>
              <w:adjustRightInd w:val="0"/>
              <w:snapToGrid w:val="0"/>
              <w:spacing w:line="360" w:lineRule="exact"/>
              <w:rPr>
                <w:rFonts w:ascii="宋体" w:hAnsi="宋体"/>
                <w:kern w:val="0"/>
                <w:sz w:val="24"/>
              </w:rPr>
            </w:pPr>
          </w:p>
        </w:tc>
        <w:tc>
          <w:tcPr>
            <w:tcW w:w="1620" w:type="dxa"/>
          </w:tcPr>
          <w:p w14:paraId="136BE1F7">
            <w:pPr>
              <w:overflowPunct w:val="0"/>
              <w:autoSpaceDE w:val="0"/>
              <w:autoSpaceDN w:val="0"/>
              <w:adjustRightInd w:val="0"/>
              <w:snapToGrid w:val="0"/>
              <w:spacing w:line="360" w:lineRule="exact"/>
              <w:rPr>
                <w:rFonts w:ascii="宋体" w:hAnsi="宋体"/>
                <w:kern w:val="0"/>
                <w:sz w:val="24"/>
              </w:rPr>
            </w:pPr>
          </w:p>
        </w:tc>
        <w:tc>
          <w:tcPr>
            <w:tcW w:w="1080" w:type="dxa"/>
          </w:tcPr>
          <w:p w14:paraId="62A43716">
            <w:pPr>
              <w:overflowPunct w:val="0"/>
              <w:autoSpaceDE w:val="0"/>
              <w:autoSpaceDN w:val="0"/>
              <w:adjustRightInd w:val="0"/>
              <w:snapToGrid w:val="0"/>
              <w:spacing w:line="360" w:lineRule="exact"/>
              <w:rPr>
                <w:rFonts w:ascii="宋体" w:hAnsi="宋体"/>
                <w:kern w:val="0"/>
                <w:sz w:val="24"/>
              </w:rPr>
            </w:pPr>
          </w:p>
        </w:tc>
      </w:tr>
      <w:tr w14:paraId="5715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tcPr>
          <w:p w14:paraId="3F762761">
            <w:pPr>
              <w:overflowPunct w:val="0"/>
              <w:autoSpaceDE w:val="0"/>
              <w:autoSpaceDN w:val="0"/>
              <w:adjustRightInd w:val="0"/>
              <w:snapToGrid w:val="0"/>
              <w:spacing w:line="360" w:lineRule="exact"/>
              <w:rPr>
                <w:rFonts w:ascii="宋体" w:hAnsi="宋体"/>
                <w:kern w:val="0"/>
                <w:sz w:val="24"/>
              </w:rPr>
            </w:pPr>
            <w:r>
              <w:rPr>
                <w:rFonts w:hint="eastAsia" w:ascii="宋体" w:hAnsi="宋体"/>
                <w:kern w:val="0"/>
                <w:sz w:val="24"/>
              </w:rPr>
              <w:t>4. 工程承包合同及其他相关合同</w:t>
            </w:r>
          </w:p>
        </w:tc>
        <w:tc>
          <w:tcPr>
            <w:tcW w:w="1426" w:type="dxa"/>
          </w:tcPr>
          <w:p w14:paraId="38807CCE">
            <w:pPr>
              <w:overflowPunct w:val="0"/>
              <w:autoSpaceDE w:val="0"/>
              <w:autoSpaceDN w:val="0"/>
              <w:adjustRightInd w:val="0"/>
              <w:snapToGrid w:val="0"/>
              <w:spacing w:line="360" w:lineRule="exact"/>
              <w:rPr>
                <w:rFonts w:ascii="宋体" w:hAnsi="宋体"/>
                <w:kern w:val="0"/>
                <w:sz w:val="24"/>
              </w:rPr>
            </w:pPr>
          </w:p>
        </w:tc>
        <w:tc>
          <w:tcPr>
            <w:tcW w:w="1620" w:type="dxa"/>
          </w:tcPr>
          <w:p w14:paraId="79A7FC41">
            <w:pPr>
              <w:overflowPunct w:val="0"/>
              <w:autoSpaceDE w:val="0"/>
              <w:autoSpaceDN w:val="0"/>
              <w:adjustRightInd w:val="0"/>
              <w:snapToGrid w:val="0"/>
              <w:spacing w:line="360" w:lineRule="exact"/>
              <w:rPr>
                <w:rFonts w:ascii="宋体" w:hAnsi="宋体"/>
                <w:kern w:val="0"/>
                <w:sz w:val="24"/>
              </w:rPr>
            </w:pPr>
          </w:p>
        </w:tc>
        <w:tc>
          <w:tcPr>
            <w:tcW w:w="1080" w:type="dxa"/>
          </w:tcPr>
          <w:p w14:paraId="093E969D">
            <w:pPr>
              <w:overflowPunct w:val="0"/>
              <w:autoSpaceDE w:val="0"/>
              <w:autoSpaceDN w:val="0"/>
              <w:adjustRightInd w:val="0"/>
              <w:snapToGrid w:val="0"/>
              <w:spacing w:line="360" w:lineRule="exact"/>
              <w:rPr>
                <w:rFonts w:ascii="宋体" w:hAnsi="宋体"/>
                <w:kern w:val="0"/>
                <w:sz w:val="24"/>
              </w:rPr>
            </w:pPr>
          </w:p>
        </w:tc>
      </w:tr>
      <w:tr w14:paraId="4D23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tcPr>
          <w:p w14:paraId="0B3BD36B">
            <w:pPr>
              <w:overflowPunct w:val="0"/>
              <w:autoSpaceDE w:val="0"/>
              <w:autoSpaceDN w:val="0"/>
              <w:adjustRightInd w:val="0"/>
              <w:snapToGrid w:val="0"/>
              <w:spacing w:line="360" w:lineRule="exact"/>
              <w:rPr>
                <w:rFonts w:ascii="宋体" w:hAnsi="宋体"/>
                <w:kern w:val="0"/>
                <w:sz w:val="24"/>
              </w:rPr>
            </w:pPr>
            <w:r>
              <w:rPr>
                <w:rFonts w:hint="eastAsia" w:ascii="宋体" w:hAnsi="宋体"/>
                <w:kern w:val="0"/>
                <w:sz w:val="24"/>
              </w:rPr>
              <w:t>5. 施工许可文件</w:t>
            </w:r>
          </w:p>
        </w:tc>
        <w:tc>
          <w:tcPr>
            <w:tcW w:w="1426" w:type="dxa"/>
          </w:tcPr>
          <w:p w14:paraId="5ED262D4">
            <w:pPr>
              <w:overflowPunct w:val="0"/>
              <w:autoSpaceDE w:val="0"/>
              <w:autoSpaceDN w:val="0"/>
              <w:adjustRightInd w:val="0"/>
              <w:snapToGrid w:val="0"/>
              <w:spacing w:line="360" w:lineRule="exact"/>
              <w:rPr>
                <w:rFonts w:ascii="宋体" w:hAnsi="宋体"/>
                <w:kern w:val="0"/>
                <w:sz w:val="24"/>
              </w:rPr>
            </w:pPr>
          </w:p>
        </w:tc>
        <w:tc>
          <w:tcPr>
            <w:tcW w:w="1620" w:type="dxa"/>
          </w:tcPr>
          <w:p w14:paraId="09DA2C44">
            <w:pPr>
              <w:overflowPunct w:val="0"/>
              <w:autoSpaceDE w:val="0"/>
              <w:autoSpaceDN w:val="0"/>
              <w:adjustRightInd w:val="0"/>
              <w:snapToGrid w:val="0"/>
              <w:spacing w:line="360" w:lineRule="exact"/>
              <w:rPr>
                <w:rFonts w:ascii="宋体" w:hAnsi="宋体"/>
                <w:kern w:val="0"/>
                <w:sz w:val="24"/>
              </w:rPr>
            </w:pPr>
          </w:p>
        </w:tc>
        <w:tc>
          <w:tcPr>
            <w:tcW w:w="1080" w:type="dxa"/>
          </w:tcPr>
          <w:p w14:paraId="7EB19BF4">
            <w:pPr>
              <w:overflowPunct w:val="0"/>
              <w:autoSpaceDE w:val="0"/>
              <w:autoSpaceDN w:val="0"/>
              <w:adjustRightInd w:val="0"/>
              <w:snapToGrid w:val="0"/>
              <w:spacing w:line="360" w:lineRule="exact"/>
              <w:rPr>
                <w:rFonts w:ascii="宋体" w:hAnsi="宋体"/>
                <w:kern w:val="0"/>
                <w:sz w:val="24"/>
              </w:rPr>
            </w:pPr>
          </w:p>
        </w:tc>
      </w:tr>
      <w:tr w14:paraId="431C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tcPr>
          <w:p w14:paraId="324F3A6F">
            <w:pPr>
              <w:overflowPunct w:val="0"/>
              <w:autoSpaceDE w:val="0"/>
              <w:autoSpaceDN w:val="0"/>
              <w:adjustRightInd w:val="0"/>
              <w:snapToGrid w:val="0"/>
              <w:spacing w:line="360" w:lineRule="exact"/>
              <w:rPr>
                <w:rFonts w:ascii="宋体" w:hAnsi="宋体"/>
                <w:kern w:val="0"/>
                <w:sz w:val="24"/>
              </w:rPr>
            </w:pPr>
            <w:r>
              <w:rPr>
                <w:rFonts w:hint="eastAsia" w:ascii="宋体" w:hAnsi="宋体"/>
                <w:kern w:val="0"/>
                <w:sz w:val="24"/>
              </w:rPr>
              <w:t>6. 其他文件</w:t>
            </w:r>
          </w:p>
        </w:tc>
        <w:tc>
          <w:tcPr>
            <w:tcW w:w="1426" w:type="dxa"/>
          </w:tcPr>
          <w:p w14:paraId="7DDB3916">
            <w:pPr>
              <w:overflowPunct w:val="0"/>
              <w:autoSpaceDE w:val="0"/>
              <w:autoSpaceDN w:val="0"/>
              <w:adjustRightInd w:val="0"/>
              <w:snapToGrid w:val="0"/>
              <w:spacing w:line="360" w:lineRule="exact"/>
              <w:rPr>
                <w:rFonts w:ascii="宋体" w:hAnsi="宋体"/>
                <w:kern w:val="0"/>
                <w:sz w:val="24"/>
              </w:rPr>
            </w:pPr>
          </w:p>
        </w:tc>
        <w:tc>
          <w:tcPr>
            <w:tcW w:w="1620" w:type="dxa"/>
          </w:tcPr>
          <w:p w14:paraId="2BD82BA5">
            <w:pPr>
              <w:overflowPunct w:val="0"/>
              <w:autoSpaceDE w:val="0"/>
              <w:autoSpaceDN w:val="0"/>
              <w:adjustRightInd w:val="0"/>
              <w:snapToGrid w:val="0"/>
              <w:spacing w:line="360" w:lineRule="exact"/>
              <w:rPr>
                <w:rFonts w:ascii="宋体" w:hAnsi="宋体"/>
                <w:kern w:val="0"/>
                <w:sz w:val="24"/>
              </w:rPr>
            </w:pPr>
          </w:p>
        </w:tc>
        <w:tc>
          <w:tcPr>
            <w:tcW w:w="1080" w:type="dxa"/>
          </w:tcPr>
          <w:p w14:paraId="2CD26E4A">
            <w:pPr>
              <w:overflowPunct w:val="0"/>
              <w:autoSpaceDE w:val="0"/>
              <w:autoSpaceDN w:val="0"/>
              <w:adjustRightInd w:val="0"/>
              <w:snapToGrid w:val="0"/>
              <w:spacing w:line="360" w:lineRule="exact"/>
              <w:rPr>
                <w:rFonts w:ascii="宋体" w:hAnsi="宋体"/>
                <w:kern w:val="0"/>
                <w:sz w:val="24"/>
              </w:rPr>
            </w:pPr>
          </w:p>
        </w:tc>
      </w:tr>
    </w:tbl>
    <w:p w14:paraId="498EE3B4">
      <w:pPr>
        <w:overflowPunct w:val="0"/>
        <w:autoSpaceDE w:val="0"/>
        <w:autoSpaceDN w:val="0"/>
        <w:adjustRightInd w:val="0"/>
        <w:snapToGrid w:val="0"/>
        <w:spacing w:line="420" w:lineRule="exact"/>
        <w:outlineLvl w:val="2"/>
        <w:rPr>
          <w:rFonts w:ascii="宋体" w:hAnsi="宋体"/>
          <w:bCs/>
          <w:sz w:val="24"/>
        </w:rPr>
      </w:pPr>
    </w:p>
    <w:p w14:paraId="10EFFBFC">
      <w:pPr>
        <w:overflowPunct w:val="0"/>
        <w:autoSpaceDE w:val="0"/>
        <w:autoSpaceDN w:val="0"/>
        <w:adjustRightInd w:val="0"/>
        <w:snapToGrid w:val="0"/>
        <w:spacing w:line="420" w:lineRule="exact"/>
        <w:outlineLvl w:val="2"/>
        <w:rPr>
          <w:rFonts w:ascii="宋体" w:hAnsi="宋体"/>
          <w:bCs/>
          <w:sz w:val="24"/>
        </w:rPr>
      </w:pPr>
    </w:p>
    <w:p w14:paraId="695035BF">
      <w:pPr>
        <w:overflowPunct w:val="0"/>
        <w:autoSpaceDE w:val="0"/>
        <w:autoSpaceDN w:val="0"/>
        <w:adjustRightInd w:val="0"/>
        <w:snapToGrid w:val="0"/>
        <w:spacing w:line="420" w:lineRule="exact"/>
        <w:outlineLvl w:val="2"/>
        <w:rPr>
          <w:rFonts w:ascii="宋体" w:hAnsi="宋体"/>
          <w:bCs/>
          <w:sz w:val="24"/>
        </w:rPr>
      </w:pPr>
    </w:p>
    <w:p w14:paraId="4E4A457F">
      <w:pPr>
        <w:overflowPunct w:val="0"/>
        <w:autoSpaceDE w:val="0"/>
        <w:autoSpaceDN w:val="0"/>
        <w:adjustRightInd w:val="0"/>
        <w:snapToGrid w:val="0"/>
        <w:spacing w:line="420" w:lineRule="exact"/>
        <w:outlineLvl w:val="2"/>
        <w:rPr>
          <w:rFonts w:ascii="宋体" w:hAnsi="宋体"/>
          <w:bCs/>
          <w:sz w:val="24"/>
        </w:rPr>
      </w:pPr>
    </w:p>
    <w:p w14:paraId="64AE8002">
      <w:pPr>
        <w:overflowPunct w:val="0"/>
        <w:autoSpaceDE w:val="0"/>
        <w:autoSpaceDN w:val="0"/>
        <w:adjustRightInd w:val="0"/>
        <w:snapToGrid w:val="0"/>
        <w:spacing w:line="420" w:lineRule="exact"/>
        <w:outlineLvl w:val="2"/>
        <w:rPr>
          <w:rFonts w:ascii="宋体" w:hAnsi="宋体"/>
          <w:bCs/>
          <w:sz w:val="24"/>
        </w:rPr>
      </w:pPr>
    </w:p>
    <w:p w14:paraId="5A910040">
      <w:pPr>
        <w:overflowPunct w:val="0"/>
        <w:autoSpaceDE w:val="0"/>
        <w:autoSpaceDN w:val="0"/>
        <w:adjustRightInd w:val="0"/>
        <w:snapToGrid w:val="0"/>
        <w:spacing w:line="420" w:lineRule="exact"/>
        <w:outlineLvl w:val="2"/>
        <w:rPr>
          <w:rFonts w:ascii="宋体" w:hAnsi="宋体"/>
          <w:sz w:val="24"/>
        </w:rPr>
      </w:pPr>
      <w:r>
        <w:rPr>
          <w:rFonts w:hint="eastAsia" w:ascii="宋体" w:hAnsi="宋体"/>
          <w:bCs/>
          <w:sz w:val="24"/>
        </w:rPr>
        <w:br w:type="page"/>
      </w:r>
      <w:r>
        <w:rPr>
          <w:rFonts w:hint="eastAsia" w:ascii="宋体" w:hAnsi="宋体"/>
          <w:bCs/>
          <w:sz w:val="24"/>
        </w:rPr>
        <w:t>附录3</w:t>
      </w:r>
    </w:p>
    <w:p w14:paraId="375ED641">
      <w:pPr>
        <w:overflowPunct w:val="0"/>
        <w:autoSpaceDE w:val="0"/>
        <w:autoSpaceDN w:val="0"/>
        <w:adjustRightInd w:val="0"/>
        <w:snapToGrid w:val="0"/>
        <w:spacing w:line="420" w:lineRule="exact"/>
        <w:ind w:firstLine="640" w:firstLineChars="200"/>
        <w:jc w:val="center"/>
        <w:rPr>
          <w:rFonts w:ascii="宋体" w:hAnsi="宋体"/>
          <w:sz w:val="32"/>
          <w:szCs w:val="32"/>
        </w:rPr>
      </w:pPr>
      <w:r>
        <w:rPr>
          <w:rFonts w:ascii="宋体" w:hAnsi="宋体"/>
          <w:sz w:val="32"/>
          <w:szCs w:val="32"/>
        </w:rPr>
        <w:t>工程建设项目监理管理要求</w:t>
      </w:r>
    </w:p>
    <w:p w14:paraId="1CAE4F7E">
      <w:pPr>
        <w:overflowPunct w:val="0"/>
        <w:autoSpaceDE w:val="0"/>
        <w:autoSpaceDN w:val="0"/>
        <w:adjustRightInd w:val="0"/>
        <w:snapToGrid w:val="0"/>
        <w:spacing w:line="420" w:lineRule="exact"/>
        <w:ind w:firstLine="480" w:firstLineChars="200"/>
        <w:rPr>
          <w:rFonts w:ascii="宋体" w:hAnsi="宋体"/>
          <w:sz w:val="24"/>
        </w:rPr>
      </w:pPr>
    </w:p>
    <w:p w14:paraId="1EDDDDF5">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为更好地发挥监理在工程建设中的监督、管理作用，确保工程的质量、安全、进度、造价可控，满足招标文件、施工合同、设计文件及相关法律法规的要求，根据工程建设需要特规定如下：</w:t>
      </w:r>
    </w:p>
    <w:p w14:paraId="79B54A6E">
      <w:pPr>
        <w:overflowPunct w:val="0"/>
        <w:autoSpaceDE w:val="0"/>
        <w:autoSpaceDN w:val="0"/>
        <w:adjustRightInd w:val="0"/>
        <w:snapToGrid w:val="0"/>
        <w:spacing w:line="360" w:lineRule="auto"/>
        <w:ind w:left="480"/>
        <w:rPr>
          <w:rFonts w:ascii="宋体" w:hAnsi="宋体"/>
          <w:szCs w:val="21"/>
        </w:rPr>
      </w:pPr>
      <w:r>
        <w:rPr>
          <w:rFonts w:hint="eastAsia" w:ascii="宋体" w:hAnsi="宋体"/>
          <w:szCs w:val="21"/>
        </w:rPr>
        <w:t>一、</w:t>
      </w:r>
      <w:r>
        <w:rPr>
          <w:rFonts w:ascii="宋体" w:hAnsi="宋体"/>
          <w:szCs w:val="21"/>
        </w:rPr>
        <w:t>组织管理</w:t>
      </w:r>
    </w:p>
    <w:p w14:paraId="5E218CB5">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（一）项目监理人员配备要求</w:t>
      </w:r>
    </w:p>
    <w:p w14:paraId="66CF63AC">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（1）现场监理人员须与合同（</w:t>
      </w:r>
      <w:r>
        <w:rPr>
          <w:rFonts w:hint="eastAsia" w:ascii="宋体" w:hAnsi="宋体"/>
          <w:szCs w:val="21"/>
        </w:rPr>
        <w:t>竞选文件</w:t>
      </w:r>
      <w:r>
        <w:rPr>
          <w:rFonts w:ascii="宋体" w:hAnsi="宋体"/>
          <w:szCs w:val="21"/>
        </w:rPr>
        <w:t>）人员相符，从建设单位发出监理进场通知之日起，三日内组织监理人员进场，未按合同（</w:t>
      </w:r>
      <w:r>
        <w:rPr>
          <w:rFonts w:hint="eastAsia" w:ascii="宋体" w:hAnsi="宋体"/>
          <w:szCs w:val="21"/>
        </w:rPr>
        <w:t>竞选文件</w:t>
      </w:r>
      <w:r>
        <w:rPr>
          <w:rFonts w:ascii="宋体" w:hAnsi="宋体"/>
          <w:szCs w:val="21"/>
        </w:rPr>
        <w:t>）配备进场的，总监、副总监或总监代表按</w:t>
      </w:r>
      <w:r>
        <w:rPr>
          <w:rFonts w:hint="eastAsia" w:ascii="宋体" w:hAnsi="宋体"/>
          <w:szCs w:val="21"/>
        </w:rPr>
        <w:t>15</w:t>
      </w:r>
      <w:r>
        <w:rPr>
          <w:rFonts w:ascii="宋体" w:hAnsi="宋体"/>
          <w:szCs w:val="21"/>
        </w:rPr>
        <w:t>00元/天·人收取违约金，其他监理人员按</w:t>
      </w:r>
      <w:r>
        <w:rPr>
          <w:rFonts w:hint="eastAsia" w:ascii="宋体" w:hAnsi="宋体"/>
          <w:szCs w:val="21"/>
        </w:rPr>
        <w:t>10</w:t>
      </w:r>
      <w:r>
        <w:rPr>
          <w:rFonts w:ascii="宋体" w:hAnsi="宋体"/>
          <w:szCs w:val="21"/>
        </w:rPr>
        <w:t>00元/天·人收取违约金，超过</w:t>
      </w:r>
      <w:r>
        <w:rPr>
          <w:rFonts w:hint="eastAsia" w:ascii="宋体" w:hAnsi="宋体"/>
          <w:szCs w:val="21"/>
        </w:rPr>
        <w:t>10天</w:t>
      </w:r>
      <w:r>
        <w:rPr>
          <w:rFonts w:ascii="宋体" w:hAnsi="宋体"/>
          <w:szCs w:val="21"/>
        </w:rPr>
        <w:t>仍未按要求配置的，</w:t>
      </w:r>
      <w:r>
        <w:rPr>
          <w:rFonts w:hint="eastAsia" w:ascii="宋体" w:hAnsi="宋体"/>
          <w:szCs w:val="21"/>
        </w:rPr>
        <w:t>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若其他条款另有约定，同时适用</w:t>
      </w:r>
      <w:r>
        <w:rPr>
          <w:rFonts w:ascii="宋体" w:hAnsi="宋体"/>
          <w:szCs w:val="21"/>
        </w:rPr>
        <w:t xml:space="preserve">。 </w:t>
      </w:r>
    </w:p>
    <w:p w14:paraId="3861F67C">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2）不得擅自更换现场监理人员，如有特殊原因不能履职的，需附书面证明材料提交建设单位，由工程配套部应会同合同预算部、监察审计部对监理人员变更申请材料进行审查，经分管领导、主要领导批准后方可同意人员变更，并视情况报相关行政主管部门审批；建设单位要求更换的监理人员15日内未到场视为监理未进场，按上述标准收取违约金。变更后监理人员资质和业绩不得低于原</w:t>
      </w:r>
      <w:r>
        <w:rPr>
          <w:rFonts w:hint="eastAsia" w:ascii="宋体" w:hAnsi="宋体"/>
          <w:szCs w:val="21"/>
        </w:rPr>
        <w:t>竞选文件中提交的</w:t>
      </w:r>
      <w:r>
        <w:rPr>
          <w:rFonts w:ascii="宋体" w:hAnsi="宋体"/>
          <w:szCs w:val="21"/>
        </w:rPr>
        <w:t>人员资质和业绩，且变更后监理人员未到场交接之前，原监理人员须正常履职。</w:t>
      </w:r>
    </w:p>
    <w:p w14:paraId="7E3D09C7">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（3）擅自变更监理人员的（原监理人员</w:t>
      </w:r>
      <w:r>
        <w:rPr>
          <w:rFonts w:hint="eastAsia" w:ascii="宋体" w:hAnsi="宋体"/>
          <w:szCs w:val="21"/>
        </w:rPr>
        <w:t>10天</w:t>
      </w:r>
      <w:r>
        <w:rPr>
          <w:rFonts w:ascii="宋体" w:hAnsi="宋体"/>
          <w:szCs w:val="21"/>
        </w:rPr>
        <w:t>未按要求到现场履职的，视为擅自变更监理人员），变更项目总监、副总监或总监代表需交纳合同金额3%·人的违约金（最高不超20万且不低于1万）</w:t>
      </w:r>
      <w:r>
        <w:rPr>
          <w:rFonts w:hint="eastAsia" w:ascii="宋体" w:hAnsi="宋体"/>
          <w:szCs w:val="21"/>
        </w:rPr>
        <w:t>，合同其他条款另有约定按照约定执行</w:t>
      </w:r>
      <w:r>
        <w:rPr>
          <w:rFonts w:ascii="宋体" w:hAnsi="宋体"/>
          <w:szCs w:val="21"/>
        </w:rPr>
        <w:t>。</w:t>
      </w:r>
    </w:p>
    <w:p w14:paraId="1589375F">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（二）项目监理人员考勤</w:t>
      </w:r>
    </w:p>
    <w:p w14:paraId="2BEFFDFB">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常驻</w:t>
      </w:r>
      <w:r>
        <w:rPr>
          <w:rFonts w:ascii="宋体" w:hAnsi="宋体"/>
          <w:szCs w:val="21"/>
        </w:rPr>
        <w:t>监理人员</w:t>
      </w:r>
      <w:r>
        <w:rPr>
          <w:rFonts w:hint="eastAsia" w:ascii="宋体" w:hAnsi="宋体"/>
          <w:szCs w:val="21"/>
        </w:rPr>
        <w:t>平常每天上班时间早上8点半至下午6点半，若现场有工人施工现场就有监理人员旁站，如有事提前1天向业主现场负责人请假，经同意后监理单位派相对应的监理人员替换，不能连续请假3次，若现场检查未在现场一次，监理人向委托人承担违约金1000元，连续3次未到场（含本数），监理人承担违约责任，监理人按照合同签约酬金的30%向委托人承担违约金且承担给委托人造成的一切损失（该损失包括但不限于委托人另行委托第三方履行本合同义务产生的费用、委托人向第三方承担的违约责任或损失），委托人有权解除本合同。</w:t>
      </w:r>
      <w:r>
        <w:rPr>
          <w:rFonts w:ascii="宋体" w:hAnsi="宋体"/>
          <w:szCs w:val="21"/>
        </w:rPr>
        <w:t>值班时间严格遵守合同以及本管理办法要求，建设单位代表进行不定期检查；</w:t>
      </w:r>
    </w:p>
    <w:p w14:paraId="66BC903B">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2）如有特殊情况须向建设单位书面请假，所有监理人员每月原则上请假离开工地不超过5天（周一至周五总监、副总监或总监代表须常驻现场，周末可轮流请假），请假期间监理部须做好工作交接，不得影响监理工作；</w:t>
      </w:r>
    </w:p>
    <w:p w14:paraId="443A4528">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（3）发现缺勤的总监、副总监或总监代表按</w:t>
      </w:r>
      <w:r>
        <w:rPr>
          <w:rFonts w:hint="eastAsia" w:ascii="宋体" w:hAnsi="宋体"/>
          <w:szCs w:val="21"/>
        </w:rPr>
        <w:t>1500</w:t>
      </w:r>
      <w:r>
        <w:rPr>
          <w:rFonts w:ascii="宋体" w:hAnsi="宋体"/>
          <w:szCs w:val="21"/>
        </w:rPr>
        <w:t>元/次·人收取违约金；无特殊原因，月累计缺勤</w:t>
      </w:r>
      <w:r>
        <w:rPr>
          <w:rFonts w:hint="eastAsia" w:ascii="宋体" w:hAnsi="宋体"/>
          <w:szCs w:val="21"/>
        </w:rPr>
        <w:t>3</w:t>
      </w:r>
      <w:r>
        <w:rPr>
          <w:rFonts w:ascii="宋体" w:hAnsi="宋体"/>
          <w:szCs w:val="21"/>
        </w:rPr>
        <w:t>天以上</w:t>
      </w:r>
      <w:r>
        <w:rPr>
          <w:rFonts w:hint="eastAsia" w:ascii="宋体" w:hAnsi="宋体"/>
          <w:szCs w:val="21"/>
        </w:rPr>
        <w:t>（含本数），监理人承担违约责任，监理人按照合同签约酬金的30%向委托人承担违约金且承担给委托人造成的一切损失（该损失包括但不限于委托人另行委托第三方履行本合同义务产生的费用、委托人向第三方承担的违约责任或损失），委托人有权解除本合同</w:t>
      </w:r>
      <w:r>
        <w:rPr>
          <w:rFonts w:ascii="宋体" w:hAnsi="宋体"/>
          <w:szCs w:val="21"/>
        </w:rPr>
        <w:t>。</w:t>
      </w:r>
    </w:p>
    <w:p w14:paraId="46FA11E5">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）发现缺勤的其他</w:t>
      </w:r>
      <w:r>
        <w:rPr>
          <w:rFonts w:hint="eastAsia" w:ascii="宋体" w:hAnsi="宋体"/>
          <w:szCs w:val="21"/>
        </w:rPr>
        <w:t>监理</w:t>
      </w:r>
      <w:r>
        <w:rPr>
          <w:rFonts w:ascii="宋体" w:hAnsi="宋体"/>
          <w:szCs w:val="21"/>
        </w:rPr>
        <w:t>人员按</w:t>
      </w:r>
      <w:r>
        <w:rPr>
          <w:rFonts w:hint="eastAsia" w:ascii="宋体" w:hAnsi="宋体"/>
          <w:szCs w:val="21"/>
        </w:rPr>
        <w:t>1000</w:t>
      </w:r>
      <w:r>
        <w:rPr>
          <w:rFonts w:ascii="宋体" w:hAnsi="宋体"/>
          <w:szCs w:val="21"/>
        </w:rPr>
        <w:t>元/次·人收取违约金；无特殊原因，月累计缺勤</w:t>
      </w:r>
      <w:r>
        <w:rPr>
          <w:rFonts w:hint="eastAsia" w:ascii="宋体" w:hAnsi="宋体"/>
          <w:szCs w:val="21"/>
        </w:rPr>
        <w:t>3</w:t>
      </w:r>
      <w:r>
        <w:rPr>
          <w:rFonts w:ascii="宋体" w:hAnsi="宋体"/>
          <w:szCs w:val="21"/>
        </w:rPr>
        <w:t>天以上</w:t>
      </w:r>
      <w:r>
        <w:rPr>
          <w:rFonts w:hint="eastAsia" w:ascii="宋体" w:hAnsi="宋体"/>
          <w:szCs w:val="21"/>
        </w:rPr>
        <w:t>（含本数），监理人承担违约责任，监理人按照合同签约酬金的30%向委托人承担违约金且承担给委托人造成的一切损失（该损失包括但不限于委托人另行委托第三方履行本合同义务产生的费用、委托人向第三方承担的违约责任或损失），委托人有权解除本合同</w:t>
      </w:r>
      <w:r>
        <w:rPr>
          <w:rFonts w:ascii="宋体" w:hAnsi="宋体"/>
          <w:szCs w:val="21"/>
        </w:rPr>
        <w:t>。</w:t>
      </w:r>
    </w:p>
    <w:p w14:paraId="3749F673">
      <w:pPr>
        <w:overflowPunct w:val="0"/>
        <w:autoSpaceDE w:val="0"/>
        <w:autoSpaceDN w:val="0"/>
        <w:adjustRightInd w:val="0"/>
        <w:snapToGrid w:val="0"/>
        <w:spacing w:line="360" w:lineRule="auto"/>
        <w:ind w:firstLine="420" w:firstLineChars="200"/>
      </w:pPr>
      <w:r>
        <w:rPr>
          <w:rFonts w:hint="eastAsia" w:ascii="宋体" w:hAnsi="宋体"/>
          <w:szCs w:val="21"/>
        </w:rPr>
        <w:t>（5）事假要提前1天向委托人申请，填写请假条，一天以内委托人现场代表批准，两天以上委托人项目负责人批准。获准假后方可休息，同时、监理单位应另外相派对应的监理工程师接替其监理工作。</w:t>
      </w:r>
    </w:p>
    <w:p w14:paraId="4E22C0E9">
      <w:pPr>
        <w:pStyle w:val="2"/>
        <w:spacing w:before="0" w:after="0" w:line="360" w:lineRule="auto"/>
        <w:ind w:firstLine="420" w:firstLineChars="200"/>
        <w:rPr>
          <w:rFonts w:ascii="宋体" w:hAnsi="宋体"/>
          <w:caps w:val="0"/>
          <w:sz w:val="21"/>
          <w:szCs w:val="21"/>
        </w:rPr>
      </w:pPr>
      <w:r>
        <w:rPr>
          <w:rFonts w:hint="eastAsia" w:ascii="宋体" w:hAnsi="宋体"/>
          <w:caps w:val="0"/>
          <w:sz w:val="21"/>
          <w:szCs w:val="21"/>
        </w:rPr>
        <w:t>（6）现场收方：需收方施工单位提前6小时向监理单位申报，若因监理单位自身原因未及时通知业主、跟审单位或延迟收方时间超过半小时，每发生一次，按照10000元/次向委托人承担损失，累计发生3次以上（含本数），监理人承担违约责任，监理人按照合同签约酬金的30%向委托人承担违约金且承担给委托人造成的一切损失（该损失包括但不限于委托人另行委托第三方履行本合同义务产生的费用、委托人向第三方承担的违约责任或损失），委托人有权解除本合同。</w:t>
      </w:r>
    </w:p>
    <w:p w14:paraId="21E8CC57">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7）现场施工作业：若现场有安全施工作业，监理人员必须全程旁站，直到安全操作结束，若经检查发现监理未在现场安全旁站，每发生一次按照10000元/次向委托人承担损失，累计发生3次以上（含本数），监理人承担违约责任，监理人按照合同签约酬金的30%向委托人承担违约金且承担给委托人造成的一切损失（该损失包括但不限于委托人另行委托第三方履行本合同义务产生的费用、委托人向第三方承担的违约责任或损失），委托人有权解除本合同。</w:t>
      </w:r>
    </w:p>
    <w:p w14:paraId="3FF4B1B5">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8）监理单位在审核施工单位提供的所有资料，审核通过上报业主，如审核的资料存在明显不符合常理，脱离市场规律，每发生一次按照10000元/次向委托人承担损失，累计发生3次以上（含本数），监理人承担违约责任，监理人按照合同签约酬金的30%向委托人承担违约金且承担给委托人造成的一切损失（该损失包括但不限于委托人另行委托第三方履行本合同义务产生的费用、委托人向第三方承担的违约责任或损失），委托人有权解除本合同。</w:t>
      </w:r>
    </w:p>
    <w:p w14:paraId="6E92FFCD">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根据工程进度安排需要加班时，所有监理人员必须服从。</w:t>
      </w:r>
    </w:p>
    <w:p w14:paraId="7A7FA212">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（三）项目监理人员廉政、职业操守</w:t>
      </w:r>
    </w:p>
    <w:p w14:paraId="651E0206">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监理人员不得与施工单位勾结、弄虚作假、串通一气，故意隐瞒工程质量安全问题，虚报工程计量支付、变更等，对项目造成损失的，由监理单位承担赔偿责任，并视情况收取违约金，扣减监理费用，情节严重者追究法律责任；</w:t>
      </w:r>
    </w:p>
    <w:p w14:paraId="332BFB86">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（2）不以任何形式收受建设项目施工关联单位、个人的礼物、有价证券、支付凭证、门票等。</w:t>
      </w:r>
    </w:p>
    <w:p w14:paraId="4F9BF8BD">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（3）不以任何形式参与建设项目施工关联单位、个人的宴请、娱乐、旅游等。</w:t>
      </w:r>
    </w:p>
    <w:p w14:paraId="17C0FAE5">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（4）不以任何理由、任何方式（明示、暗示）推荐或介绍材料、机械设备供应商、租赁商；各类服务单位；工程承包、区域、劳务承包单位等。</w:t>
      </w:r>
    </w:p>
    <w:p w14:paraId="157475D2">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（5）家人、亲属、同学等不得直接参与园区内建设项目施工关联工作，确有的，应主动报告，并申请回避。</w:t>
      </w:r>
    </w:p>
    <w:p w14:paraId="1D0F4AC7">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二、进度管理</w:t>
      </w:r>
    </w:p>
    <w:p w14:paraId="08713AC7">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（一）监理单位根据项目工期要求及总进度计划，审查各分部分项工程的年、季、月度计划可行性并提出可行性意见，督促施工单位严格执行。</w:t>
      </w:r>
    </w:p>
    <w:p w14:paraId="28F6FF77">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（二）监理人员须经常深入工地，了解施工单位的工、料、机的投入情况，对进度滞后的工程提出分析意见，采取有效控制措施，督促施工单位按进度计划完成。</w:t>
      </w:r>
    </w:p>
    <w:p w14:paraId="2E4578FB">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（三）项目合同工期分为准备期、建设期两个阶段，监理单位在各阶段须完成但不限于下列内容：</w:t>
      </w:r>
    </w:p>
    <w:p w14:paraId="7447F835">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1.准备期为项目总工期的15%：</w:t>
      </w:r>
    </w:p>
    <w:p w14:paraId="7E6AE90F">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（1）完成监理规划、细则等技术资料报审，做好现场各种检验、试验监理准备工作；</w:t>
      </w:r>
    </w:p>
    <w:p w14:paraId="68ADE367">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（2）完成监理单位驻地建设；</w:t>
      </w:r>
    </w:p>
    <w:p w14:paraId="775E86CE">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（3）督促施工单位完成各种临设搭建、方案报审及其各种检验、试验施工准备工作。</w:t>
      </w:r>
    </w:p>
    <w:p w14:paraId="18359239">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（4）完成对施工单位进场人员、机械设备、材料的检查与审核工作。</w:t>
      </w:r>
    </w:p>
    <w:p w14:paraId="00D78D25">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2.建设期为项目总工期的85%：</w:t>
      </w:r>
    </w:p>
    <w:p w14:paraId="65915CBC">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（1）按合同、招标文件、设计文件及工程量清单要求督促施工单位完成工程建设，各项过程验收手续及相关资料齐全；</w:t>
      </w:r>
    </w:p>
    <w:p w14:paraId="538FA501">
      <w:pPr>
        <w:spacing w:after="120"/>
        <w:ind w:firstLine="422" w:firstLineChars="200"/>
        <w:rPr>
          <w:rFonts w:ascii="宋体" w:hAnsi="宋体" w:cs="宋体"/>
          <w:b/>
          <w:bCs/>
          <w:szCs w:val="21"/>
        </w:rPr>
      </w:pPr>
      <w:r>
        <w:rPr>
          <w:rFonts w:hint="eastAsia" w:ascii="宋体" w:hAnsi="宋体" w:cs="宋体"/>
          <w:b/>
          <w:bCs/>
          <w:szCs w:val="21"/>
        </w:rPr>
        <w:t>（2）组织完成项目涉及的规划、环保、消防、节能、景观绿化、人防、白蚁、防雷、档案、电梯等相应的专项验收；</w:t>
      </w:r>
    </w:p>
    <w:p w14:paraId="17173966">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 xml:space="preserve">（3）组织完成预验收及移交投运等。 </w:t>
      </w:r>
    </w:p>
    <w:p w14:paraId="06EB419A">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（四）合同工期结束，项目进入竣工备案等相关服务期，时间为为项目总工期的20%，监理单位在各阶段须完成但不限于下列内容：：</w:t>
      </w:r>
    </w:p>
    <w:p w14:paraId="726DCD31">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1.根据项目具体情况，现场留守专业人员，制定相应的缺陷、维护工作方案，报建设单位审批，监理并督促施工单位完成投运初期的缺陷整改和维护工作。</w:t>
      </w:r>
    </w:p>
    <w:p w14:paraId="1E951908">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2.完成监理单位竣工资料移交，督促施工单位完成竣工资料移交；</w:t>
      </w:r>
    </w:p>
    <w:p w14:paraId="545E88D0">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3.积极配合建设单位并督促施工单位完成竣工验收及备案工作（若建设单位原因无法竣工备案的，须完成除备案手续之外的所有相关资料，达到竣工备案条件）；</w:t>
      </w:r>
    </w:p>
    <w:p w14:paraId="5A92BC97">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4.完成竣工备案之后（建设单位原因无法备案的须满足本条款3中约定），项目进入缺陷责任期。</w:t>
      </w:r>
    </w:p>
    <w:p w14:paraId="48BB98A2">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三、造价管理</w:t>
      </w:r>
    </w:p>
    <w:p w14:paraId="264E1200">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监理工作范围包括但不限于下列内容：</w:t>
      </w:r>
    </w:p>
    <w:p w14:paraId="434327F3">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（一）设计文件方面</w:t>
      </w:r>
    </w:p>
    <w:p w14:paraId="217368A4">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（1）严把图纸会审关，在保证工程质量及满足相关功能要求的同时，提出合理化建议减少投资；</w:t>
      </w:r>
    </w:p>
    <w:p w14:paraId="407F5689">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（2）结合现场情况审核变更、洽商，审核工程造价，同时建立变更、洽商管理台账，及时清晰的掌握变更、洽商对整个项目的投资影响情况。</w:t>
      </w:r>
    </w:p>
    <w:p w14:paraId="192B23B8">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（二）过程控制方面</w:t>
      </w:r>
    </w:p>
    <w:p w14:paraId="23A1CCC3">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（1）熟悉合同文件、设计文件、工程量清单及相关法律法规，严格现场签证、准确计量、准确审核相关资料；</w:t>
      </w:r>
    </w:p>
    <w:p w14:paraId="16F8F531">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（2）应配备相应的测量监理工程师、监理员及相关的仪器设备，对完成工程项目进行收方确认。</w:t>
      </w:r>
    </w:p>
    <w:p w14:paraId="676DE31F">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（3）严格工程款审批，如实审核已完工程数量及相关质量、试验资料等；</w:t>
      </w:r>
    </w:p>
    <w:p w14:paraId="77252BAF">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（4）正确处理和防范施工索赔，并协助建设单位做好反索赔工作，做好相关记录。</w:t>
      </w:r>
    </w:p>
    <w:p w14:paraId="6002C9F1">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（5）若监理单位原因造成施工索赔，追究监理单位相关违约责任并视情况处以违约金；</w:t>
      </w:r>
    </w:p>
    <w:p w14:paraId="2A12EC2A">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（三）竣工、结算、审计方面</w:t>
      </w:r>
    </w:p>
    <w:p w14:paraId="2DA2010D">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（1）监理单位应根据竣工图结合隐蔽工程资料、现场签证和变更等，审查施工单位是否按设计、规范及合同要求完成所有施工内容；</w:t>
      </w:r>
    </w:p>
    <w:p w14:paraId="23AB1A52">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（2）监理费按费率计算的，若工程结算、审计出现工程费用调整情况，按相应调整比例调整监理费用。</w:t>
      </w:r>
    </w:p>
    <w:p w14:paraId="49CCDF79">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四、计量支付</w:t>
      </w:r>
    </w:p>
    <w:p w14:paraId="68C757DE">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（一）监理费支付（扣减各类处罚后），除按照合同约定外，须满足下列要求：</w:t>
      </w:r>
    </w:p>
    <w:p w14:paraId="00F4AE0E">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1.完成同期监理日报、周报、月报；</w:t>
      </w:r>
    </w:p>
    <w:p w14:paraId="56750294">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2.完成同期《监理日志》、《工地例会纪要》等相关资料；</w:t>
      </w:r>
    </w:p>
    <w:p w14:paraId="6C6ADC97">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3.完成同期《监理指令》及回复等相关资料；</w:t>
      </w:r>
    </w:p>
    <w:p w14:paraId="26D702EB">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4.完成同期平行检验资料；</w:t>
      </w:r>
    </w:p>
    <w:p w14:paraId="060CCC3F">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5.完成同期监理工作相关资料。</w:t>
      </w:r>
    </w:p>
    <w:p w14:paraId="24A2F37B">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（二）监理单位未按照建设单位下发文件、会议纪要以及通知的具体要求进行落实或未落实到位的，多次处罚未整改到位的，暂缓或分次支付当期监理费，直至相关事项得到落实。</w:t>
      </w:r>
    </w:p>
    <w:p w14:paraId="484CD757">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五、质量管理</w:t>
      </w:r>
    </w:p>
    <w:p w14:paraId="66CD21A0">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监理工作范围包括但不限于下列内容：</w:t>
      </w:r>
    </w:p>
    <w:p w14:paraId="28AF9F77">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（一）质量事前控制</w:t>
      </w:r>
    </w:p>
    <w:p w14:paraId="44D49160">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1.组织设计图纸会审会议，严把图纸会审关，减少施工过程中的设计变更、洽商；</w:t>
      </w:r>
    </w:p>
    <w:p w14:paraId="3D33D095">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2.严格审核各项施工方案，使之符合项目建设需求以及法律法规、强制性条文标准，采取有效措施督促施工单位按批准的方案实施；</w:t>
      </w:r>
    </w:p>
    <w:p w14:paraId="32FD1E6E">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3.审查并复核测量控制网点以及所有测量成果；</w:t>
      </w:r>
    </w:p>
    <w:p w14:paraId="711D9C9E">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bCs/>
          <w:szCs w:val="21"/>
        </w:rPr>
        <w:t>4.审查单位工程、分部分项工程和检验批的划分并根据监理规划进行分析和调整，确定质量控制重点并在监理过程中监督实施、组织验收；</w:t>
      </w:r>
    </w:p>
    <w:p w14:paraId="78DB2A72">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5.审核总包、区域、检测、试验等施工关联单位资质及人员资质；</w:t>
      </w:r>
    </w:p>
    <w:p w14:paraId="15AAD10D">
      <w:pPr>
        <w:overflowPunct w:val="0"/>
        <w:autoSpaceDE w:val="0"/>
        <w:autoSpaceDN w:val="0"/>
        <w:adjustRightInd w:val="0"/>
        <w:snapToGrid w:val="0"/>
        <w:spacing w:line="360" w:lineRule="auto"/>
        <w:ind w:firstLine="420" w:firstLineChars="200"/>
        <w:rPr>
          <w:rFonts w:ascii="宋体" w:hAnsi="宋体"/>
          <w:bCs/>
          <w:szCs w:val="21"/>
        </w:rPr>
      </w:pPr>
      <w:r>
        <w:rPr>
          <w:rFonts w:ascii="宋体" w:hAnsi="宋体"/>
          <w:bCs/>
          <w:szCs w:val="21"/>
        </w:rPr>
        <w:t>6.检查特种人员（如测量工、电工、焊工、检测、预应力张拉工、起重工、脚手架工、防水工、司机等）持证上岗情况，并监督实施；</w:t>
      </w:r>
    </w:p>
    <w:p w14:paraId="2D5E798A">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bCs/>
          <w:szCs w:val="21"/>
        </w:rPr>
        <w:t>7.督促落实施工现场试验室、养护室规范建立，查验其检验、试验设备以及各种工器具的有效合格证件；</w:t>
      </w:r>
    </w:p>
    <w:p w14:paraId="78B3E523">
      <w:pPr>
        <w:overflowPunct w:val="0"/>
        <w:autoSpaceDE w:val="0"/>
        <w:autoSpaceDN w:val="0"/>
        <w:adjustRightInd w:val="0"/>
        <w:snapToGrid w:val="0"/>
        <w:spacing w:line="360" w:lineRule="auto"/>
        <w:ind w:firstLine="420" w:firstLineChars="200"/>
        <w:rPr>
          <w:rFonts w:ascii="宋体" w:hAnsi="宋体"/>
          <w:bCs/>
          <w:szCs w:val="21"/>
        </w:rPr>
      </w:pPr>
      <w:r>
        <w:rPr>
          <w:rFonts w:ascii="宋体" w:hAnsi="宋体"/>
          <w:szCs w:val="21"/>
        </w:rPr>
        <w:t>8.</w:t>
      </w:r>
      <w:r>
        <w:rPr>
          <w:rFonts w:ascii="宋体" w:hAnsi="宋体"/>
          <w:bCs/>
          <w:szCs w:val="21"/>
        </w:rPr>
        <w:t>原材料、机械设备进场验收手续齐全，质量证明资料与实物核验符合设计及规范要求，监理应采取有效措施防止使用未经批准的材料、机械设备；</w:t>
      </w:r>
    </w:p>
    <w:p w14:paraId="7DA2AA63">
      <w:pPr>
        <w:overflowPunct w:val="0"/>
        <w:autoSpaceDE w:val="0"/>
        <w:autoSpaceDN w:val="0"/>
        <w:adjustRightInd w:val="0"/>
        <w:snapToGrid w:val="0"/>
        <w:spacing w:line="360" w:lineRule="auto"/>
        <w:ind w:firstLine="420" w:firstLineChars="200"/>
        <w:rPr>
          <w:rFonts w:ascii="宋体" w:hAnsi="宋体"/>
          <w:bCs/>
          <w:szCs w:val="21"/>
        </w:rPr>
      </w:pPr>
      <w:r>
        <w:rPr>
          <w:rFonts w:ascii="宋体" w:hAnsi="宋体"/>
          <w:bCs/>
          <w:szCs w:val="21"/>
        </w:rPr>
        <w:t>9.见证取样：配备相应见证取样监理人员，对涉及结构安全的试块、试件及工程材料现场取样、封样、送检工作进行监督管理。</w:t>
      </w:r>
    </w:p>
    <w:p w14:paraId="101326A2">
      <w:pPr>
        <w:overflowPunct w:val="0"/>
        <w:autoSpaceDE w:val="0"/>
        <w:autoSpaceDN w:val="0"/>
        <w:adjustRightInd w:val="0"/>
        <w:snapToGrid w:val="0"/>
        <w:spacing w:line="360" w:lineRule="auto"/>
        <w:ind w:firstLine="420" w:firstLineChars="200"/>
        <w:rPr>
          <w:rFonts w:ascii="宋体" w:hAnsi="宋体"/>
          <w:bCs/>
          <w:szCs w:val="21"/>
        </w:rPr>
      </w:pPr>
      <w:r>
        <w:rPr>
          <w:rFonts w:ascii="宋体" w:hAnsi="宋体"/>
          <w:bCs/>
          <w:szCs w:val="21"/>
        </w:rPr>
        <w:t>10.平行检验：</w:t>
      </w:r>
    </w:p>
    <w:p w14:paraId="68079E37">
      <w:pPr>
        <w:overflowPunct w:val="0"/>
        <w:autoSpaceDE w:val="0"/>
        <w:autoSpaceDN w:val="0"/>
        <w:adjustRightInd w:val="0"/>
        <w:snapToGrid w:val="0"/>
        <w:spacing w:line="360" w:lineRule="auto"/>
        <w:ind w:firstLine="420" w:firstLineChars="200"/>
        <w:rPr>
          <w:rFonts w:ascii="宋体" w:hAnsi="宋体"/>
          <w:bCs/>
          <w:szCs w:val="21"/>
        </w:rPr>
      </w:pPr>
      <w:r>
        <w:rPr>
          <w:rFonts w:ascii="宋体" w:hAnsi="宋体"/>
          <w:bCs/>
          <w:szCs w:val="21"/>
        </w:rPr>
        <w:t>（1）配备相应试验、测量监理工程师、监理员，设备及各种工器具，按监理规范和相关质量验收及评定标准、规范等，对施工单位的测量、试验、验收工作进行检查、测量、试验、验证。</w:t>
      </w:r>
      <w:r>
        <w:rPr>
          <w:rFonts w:ascii="宋体" w:hAnsi="宋体"/>
          <w:szCs w:val="21"/>
        </w:rPr>
        <w:t>平行检验结果作为进入下道工序和工程验收的依据；</w:t>
      </w:r>
    </w:p>
    <w:p w14:paraId="5B5591A0">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bCs/>
          <w:szCs w:val="21"/>
        </w:rPr>
        <w:t>（2）监理应根据项目具体情况编制平行检验方案，包含工程概况及特点；检验依据；检验人员；检验项目及内容、频率；检验方法；数据处理、相关表格等，</w:t>
      </w:r>
      <w:r>
        <w:rPr>
          <w:rFonts w:ascii="宋体" w:hAnsi="宋体"/>
          <w:szCs w:val="21"/>
        </w:rPr>
        <w:t>报建设单位审批后实施，简单项目或1000万以下工程项目可简化平行检验工作。</w:t>
      </w:r>
    </w:p>
    <w:p w14:paraId="4FC425C1">
      <w:pPr>
        <w:overflowPunct w:val="0"/>
        <w:autoSpaceDE w:val="0"/>
        <w:autoSpaceDN w:val="0"/>
        <w:adjustRightInd w:val="0"/>
        <w:snapToGrid w:val="0"/>
        <w:spacing w:line="360" w:lineRule="auto"/>
        <w:ind w:firstLine="420" w:firstLineChars="200"/>
        <w:rPr>
          <w:rFonts w:ascii="宋体" w:hAnsi="宋体"/>
          <w:bCs/>
          <w:szCs w:val="21"/>
        </w:rPr>
      </w:pPr>
      <w:r>
        <w:rPr>
          <w:rFonts w:ascii="宋体" w:hAnsi="宋体"/>
          <w:bCs/>
          <w:szCs w:val="21"/>
        </w:rPr>
        <w:t>（3）测量平行检验：导线测量平行检验、施工放线平行检验等。</w:t>
      </w:r>
    </w:p>
    <w:p w14:paraId="6CE92748">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bCs/>
          <w:szCs w:val="21"/>
        </w:rPr>
        <w:t>（4）试验平行检验：对工程，对施工单位所有试验项目（主要原材料、半成品、构配件的技术性能；施工过程中的主要施工工序、施工成果）进行平行检验，检验频率不得低于施工单位检验频率的15%（最少不少于一组），监理单位有试验资质的可自行检验；需外委托的，需提交试验单位资质报建设单</w:t>
      </w:r>
      <w:r>
        <w:rPr>
          <w:rFonts w:ascii="宋体" w:hAnsi="宋体"/>
          <w:szCs w:val="21"/>
        </w:rPr>
        <w:t>位审批，对于专业检测、试验机构出具的检验、试验报告，监理机构应收集查看检测试验报告是否合格。</w:t>
      </w:r>
    </w:p>
    <w:p w14:paraId="2C09EF40">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5）验收平行检验：监理人员应对全部分部、分项工程以及每个分部分项工程包括的全部检验批进行独立检查、测量、验收，分部分项工程外观验收频率100%的进行验收，全部检验项目100%的进行验收，实测实量检验项目，检验频率按不低于工程质量验收评定标准规定的施工单位质量自检频率的30%进行。</w:t>
      </w:r>
    </w:p>
    <w:p w14:paraId="424D36E0">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（6）平行检验活动必须由监理机构组织，应按公正、独立、自主的原则进行，以确保平行检验所获得的数据和质量评估结论准确。</w:t>
      </w:r>
    </w:p>
    <w:p w14:paraId="27356415">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（7）平行检验及相关费用纳入合同总价，建设单位不单独支付费用。</w:t>
      </w:r>
    </w:p>
    <w:p w14:paraId="05445AFC">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8）建设单位现场代表可对平行检验工作进行监督、抽检，若抽检结果合格，抽检费用由建设单位承担（按国家相关费用标准）；若抽检不合格，抽检费用由监理单位承担，建设单位有权视情况收取违约金，扣减监理费用。</w:t>
      </w:r>
    </w:p>
    <w:p w14:paraId="6A02ED34">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（二）质量事中控制</w:t>
      </w:r>
    </w:p>
    <w:p w14:paraId="6D1FD3C8">
      <w:pPr>
        <w:overflowPunct w:val="0"/>
        <w:autoSpaceDE w:val="0"/>
        <w:autoSpaceDN w:val="0"/>
        <w:adjustRightInd w:val="0"/>
        <w:snapToGrid w:val="0"/>
        <w:spacing w:line="360" w:lineRule="auto"/>
        <w:ind w:firstLine="420" w:firstLineChars="200"/>
        <w:rPr>
          <w:rFonts w:ascii="宋体" w:hAnsi="宋体"/>
          <w:bCs/>
          <w:szCs w:val="21"/>
        </w:rPr>
      </w:pPr>
      <w:r>
        <w:rPr>
          <w:rFonts w:ascii="宋体" w:hAnsi="宋体"/>
          <w:bCs/>
          <w:szCs w:val="21"/>
        </w:rPr>
        <w:t>1.负责对</w:t>
      </w:r>
      <w:r>
        <w:rPr>
          <w:rFonts w:ascii="宋体" w:hAnsi="宋体"/>
          <w:szCs w:val="21"/>
        </w:rPr>
        <w:t>施工</w:t>
      </w:r>
      <w:r>
        <w:rPr>
          <w:rFonts w:ascii="宋体" w:hAnsi="宋体"/>
          <w:bCs/>
          <w:szCs w:val="21"/>
        </w:rPr>
        <w:t>质量进行全过程监理，使之满足合同文件、设计文件及相关技术规范要求</w:t>
      </w:r>
      <w:r>
        <w:rPr>
          <w:rFonts w:ascii="宋体" w:hAnsi="宋体"/>
          <w:szCs w:val="21"/>
        </w:rPr>
        <w:t>；</w:t>
      </w:r>
    </w:p>
    <w:p w14:paraId="6F0AFFCB">
      <w:pPr>
        <w:overflowPunct w:val="0"/>
        <w:autoSpaceDE w:val="0"/>
        <w:autoSpaceDN w:val="0"/>
        <w:adjustRightInd w:val="0"/>
        <w:snapToGrid w:val="0"/>
        <w:spacing w:line="360" w:lineRule="auto"/>
        <w:ind w:firstLine="420" w:firstLineChars="200"/>
        <w:rPr>
          <w:rFonts w:ascii="宋体" w:hAnsi="宋体"/>
          <w:bCs/>
          <w:szCs w:val="21"/>
        </w:rPr>
      </w:pPr>
      <w:r>
        <w:rPr>
          <w:rFonts w:ascii="宋体" w:hAnsi="宋体"/>
          <w:szCs w:val="21"/>
        </w:rPr>
        <w:t>2.严禁擅自修改设计内容施工，若出现变更，应及时完善相关手续，同时建立变更管理台账，</w:t>
      </w:r>
      <w:r>
        <w:rPr>
          <w:rFonts w:ascii="宋体" w:hAnsi="宋体"/>
          <w:bCs/>
          <w:szCs w:val="21"/>
        </w:rPr>
        <w:t>并督促施工单位按批准的变更文件进行施工；</w:t>
      </w:r>
    </w:p>
    <w:p w14:paraId="0F725889">
      <w:pPr>
        <w:overflowPunct w:val="0"/>
        <w:autoSpaceDE w:val="0"/>
        <w:autoSpaceDN w:val="0"/>
        <w:adjustRightInd w:val="0"/>
        <w:snapToGrid w:val="0"/>
        <w:spacing w:line="360" w:lineRule="auto"/>
        <w:ind w:firstLine="420" w:firstLineChars="200"/>
        <w:rPr>
          <w:rFonts w:ascii="宋体" w:hAnsi="宋体"/>
          <w:bCs/>
          <w:szCs w:val="21"/>
        </w:rPr>
      </w:pPr>
      <w:r>
        <w:rPr>
          <w:rFonts w:ascii="宋体" w:hAnsi="宋体"/>
          <w:bCs/>
          <w:szCs w:val="21"/>
        </w:rPr>
        <w:t>3.负责对施工现场实行监理旁站：即只要施工现场在施工，监理人员就必须坚守现场，尤其是重要部位、重要工序及隐蔽工程的施工必须实行监理旁站；</w:t>
      </w:r>
    </w:p>
    <w:p w14:paraId="75AFF1D5">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4.施工过程中，监理人员应加强过程检查、主动发现并敢于指出问题，对施工过程中明显违反施工规范、与图纸不符、有严重错误的问题，应及时指出并要求施工单位限期整改，必要时签发监理通知单，以减少工序验收时不必要的返工；</w:t>
      </w:r>
    </w:p>
    <w:p w14:paraId="3D69B86E">
      <w:pPr>
        <w:overflowPunct w:val="0"/>
        <w:autoSpaceDE w:val="0"/>
        <w:autoSpaceDN w:val="0"/>
        <w:adjustRightInd w:val="0"/>
        <w:snapToGrid w:val="0"/>
        <w:spacing w:line="360" w:lineRule="auto"/>
        <w:ind w:firstLine="420" w:firstLineChars="200"/>
        <w:rPr>
          <w:rFonts w:ascii="宋体" w:hAnsi="宋体"/>
          <w:bCs/>
          <w:szCs w:val="21"/>
        </w:rPr>
      </w:pPr>
      <w:r>
        <w:rPr>
          <w:rFonts w:ascii="宋体" w:hAnsi="宋体"/>
          <w:bCs/>
          <w:szCs w:val="21"/>
        </w:rPr>
        <w:t>5.若发现已经或可能形成质量事故的重大隐患，应立即告知建设单位，</w:t>
      </w:r>
      <w:r>
        <w:rPr>
          <w:rFonts w:ascii="宋体" w:hAnsi="宋体"/>
          <w:szCs w:val="21"/>
        </w:rPr>
        <w:t>并且</w:t>
      </w:r>
      <w:r>
        <w:rPr>
          <w:rFonts w:ascii="宋体" w:hAnsi="宋体"/>
          <w:bCs/>
          <w:szCs w:val="21"/>
        </w:rPr>
        <w:t>停工整改，整改完毕并通过验收后方可复工；</w:t>
      </w:r>
    </w:p>
    <w:p w14:paraId="5EB4DACE">
      <w:pPr>
        <w:overflowPunct w:val="0"/>
        <w:autoSpaceDE w:val="0"/>
        <w:autoSpaceDN w:val="0"/>
        <w:adjustRightInd w:val="0"/>
        <w:snapToGrid w:val="0"/>
        <w:spacing w:line="360" w:lineRule="auto"/>
        <w:ind w:firstLine="420" w:firstLineChars="200"/>
        <w:rPr>
          <w:rFonts w:ascii="宋体" w:hAnsi="宋体"/>
          <w:bCs/>
          <w:szCs w:val="21"/>
        </w:rPr>
      </w:pPr>
      <w:r>
        <w:rPr>
          <w:rFonts w:ascii="宋体" w:hAnsi="宋体"/>
          <w:bCs/>
          <w:szCs w:val="21"/>
        </w:rPr>
        <w:t>6.工序检查：坚持上道工序不经检查验收不准进行下道工序的原则，必须经监理工程师</w:t>
      </w:r>
      <w:r>
        <w:rPr>
          <w:rFonts w:ascii="宋体" w:hAnsi="宋体"/>
          <w:szCs w:val="21"/>
        </w:rPr>
        <w:t>亲手量测各项详细数据资料</w:t>
      </w:r>
      <w:r>
        <w:rPr>
          <w:rFonts w:ascii="宋体" w:hAnsi="宋体"/>
          <w:bCs/>
          <w:szCs w:val="21"/>
        </w:rPr>
        <w:t>并验收合格后才能进入下一道工序；</w:t>
      </w:r>
    </w:p>
    <w:p w14:paraId="5182C0BD">
      <w:pPr>
        <w:overflowPunct w:val="0"/>
        <w:autoSpaceDE w:val="0"/>
        <w:autoSpaceDN w:val="0"/>
        <w:adjustRightInd w:val="0"/>
        <w:snapToGrid w:val="0"/>
        <w:spacing w:line="360" w:lineRule="auto"/>
        <w:ind w:firstLine="420" w:firstLineChars="200"/>
        <w:rPr>
          <w:rFonts w:ascii="宋体" w:hAnsi="宋体"/>
          <w:bCs/>
          <w:szCs w:val="21"/>
        </w:rPr>
      </w:pPr>
      <w:r>
        <w:rPr>
          <w:rFonts w:ascii="宋体" w:hAnsi="宋体"/>
          <w:bCs/>
          <w:szCs w:val="21"/>
        </w:rPr>
        <w:t>7.定期</w:t>
      </w:r>
      <w:r>
        <w:rPr>
          <w:rFonts w:ascii="宋体" w:hAnsi="宋体"/>
          <w:szCs w:val="21"/>
        </w:rPr>
        <w:t>召开</w:t>
      </w:r>
      <w:r>
        <w:rPr>
          <w:rFonts w:ascii="宋体" w:hAnsi="宋体"/>
          <w:bCs/>
          <w:szCs w:val="21"/>
        </w:rPr>
        <w:t>质量分析会，通报质量状况，分析质量趋势，提出改进措施并监督实施；</w:t>
      </w:r>
    </w:p>
    <w:p w14:paraId="6512515B">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bCs/>
          <w:szCs w:val="21"/>
        </w:rPr>
        <w:t>8.组织各分部分项工程、关键工序和隐蔽工程的质量验收，</w:t>
      </w:r>
      <w:r>
        <w:rPr>
          <w:rFonts w:ascii="宋体" w:hAnsi="宋体"/>
          <w:szCs w:val="21"/>
        </w:rPr>
        <w:t>各项验收须满足合同文件、设计文件、工程量清单以及相应规范要求并一次验收合格。</w:t>
      </w:r>
    </w:p>
    <w:p w14:paraId="401BF1CB">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（三）质量事后控制</w:t>
      </w:r>
    </w:p>
    <w:p w14:paraId="2C6E66C1">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1.参与工程分部试运行及项目试运行；</w:t>
      </w:r>
    </w:p>
    <w:p w14:paraId="4E03A691">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2.负责对工程项目进行质量评定，如实提交质量评估报告；</w:t>
      </w:r>
    </w:p>
    <w:p w14:paraId="50C996DA">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3.协助建设单位准备竣工验收资料与达标投产工作；</w:t>
      </w:r>
    </w:p>
    <w:p w14:paraId="3665FF4C">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4.审核施工单位的《质量保修证书》；</w:t>
      </w:r>
    </w:p>
    <w:p w14:paraId="553E8C56">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5.缺陷责任期满，组织各参建单位及使用单位进行验收，按验收意见督促施工单位进行整改，整改完毕后重新组织验收，直至验收通过方可终止缺陷责任期。</w:t>
      </w:r>
    </w:p>
    <w:p w14:paraId="5B4E1048">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bCs/>
          <w:szCs w:val="21"/>
        </w:rPr>
        <w:t>六、档案、资料管理</w:t>
      </w:r>
    </w:p>
    <w:p w14:paraId="57192631">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（一）《监理日志》、《监理周报》和《监理月报》</w:t>
      </w:r>
    </w:p>
    <w:p w14:paraId="09B1BC52">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1.《监理日志》总监每周审查</w:t>
      </w:r>
      <w:r>
        <w:rPr>
          <w:rFonts w:hint="eastAsia" w:ascii="宋体" w:hAnsi="宋体"/>
          <w:szCs w:val="21"/>
        </w:rPr>
        <w:t>签名</w:t>
      </w:r>
      <w:r>
        <w:rPr>
          <w:rFonts w:ascii="宋体" w:hAnsi="宋体"/>
          <w:szCs w:val="21"/>
        </w:rPr>
        <w:t>，副总监或总监代表每天审查</w:t>
      </w:r>
      <w:r>
        <w:rPr>
          <w:rFonts w:hint="eastAsia" w:ascii="宋体" w:hAnsi="宋体"/>
          <w:szCs w:val="21"/>
        </w:rPr>
        <w:t>签名</w:t>
      </w:r>
      <w:r>
        <w:rPr>
          <w:rFonts w:ascii="宋体" w:hAnsi="宋体"/>
          <w:szCs w:val="21"/>
        </w:rPr>
        <w:t>，建设单位代表不定期检查，记录情况须准确、详细，且能真实反映现场施工情况；</w:t>
      </w:r>
    </w:p>
    <w:p w14:paraId="7EDB53BC">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2.《监理周报》必须真实反应现场施工质量安全情况、本周进展及下周计划、实际进展与月进度计划匹配情况以及需要建设单位协调解决的问题；</w:t>
      </w:r>
    </w:p>
    <w:p w14:paraId="6472BB75">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3.《监理月报》必须真实反应现场施工质量安全情况、本月进展及下月计划、实际进展与总进度计划匹配情况、进度滞后的工期保证方案（根据项目需要）以及需要建设单位协调解决的问题等。</w:t>
      </w:r>
    </w:p>
    <w:p w14:paraId="45376C04">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（二）会议纪要、工程资料</w:t>
      </w:r>
    </w:p>
    <w:p w14:paraId="7CD45846">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1.现场会议后</w:t>
      </w:r>
      <w:r>
        <w:rPr>
          <w:rFonts w:hint="eastAsia" w:ascii="宋体" w:hAnsi="宋体"/>
          <w:szCs w:val="21"/>
        </w:rPr>
        <w:t>24</w:t>
      </w:r>
      <w:r>
        <w:rPr>
          <w:rFonts w:ascii="宋体" w:hAnsi="宋体"/>
          <w:szCs w:val="21"/>
        </w:rPr>
        <w:t>小时内下发会议纪要；</w:t>
      </w:r>
    </w:p>
    <w:p w14:paraId="56B03CD8">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2.审查工程资料，督促施工单位及时递交，并及时、真实、准确签证，杜绝漏签、错签，严禁代签；</w:t>
      </w:r>
    </w:p>
    <w:p w14:paraId="1C2CECEE">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3.工程资料审查：自接到施工单位递交之日起，7天内完成审核及签认，不能按时完成时须向施工单位和建设单位说明原因。</w:t>
      </w:r>
    </w:p>
    <w:p w14:paraId="1C6A5EC3">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（三）按照监理规范及相关规定，除档案馆要求的资料外，监理工作相关的其他资料，如《监理日志》、《工作联系单》等文字、语音、影像资料等均需完整的提交一份给建设单位。</w:t>
      </w:r>
    </w:p>
    <w:p w14:paraId="40E35672">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七、安全文明管理</w:t>
      </w:r>
    </w:p>
    <w:p w14:paraId="55C0691B">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监理工作范围包括但不限于下列内容：</w:t>
      </w:r>
    </w:p>
    <w:p w14:paraId="676B4B75">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（一）配备专职安全监理工程师，做好日常安全文明监理工作以及作业前安全交底工作，自觉遵守并严格执行安全文明管理制度。</w:t>
      </w:r>
    </w:p>
    <w:p w14:paraId="306EE1E4">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（二）</w:t>
      </w:r>
      <w:r>
        <w:rPr>
          <w:rFonts w:ascii="宋体" w:hAnsi="宋体"/>
          <w:bCs/>
          <w:szCs w:val="21"/>
        </w:rPr>
        <w:t>审核施工安全专项方案，督促施工单位落实安全保证体系。</w:t>
      </w:r>
    </w:p>
    <w:p w14:paraId="18A386BD">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（三）督促施工单位建立健全安全生产责任制，人员到位、责任到人。</w:t>
      </w:r>
    </w:p>
    <w:p w14:paraId="78B33394">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（四）督促施工单位履行安全文明生产制度，项目监理部应定期组织现场安全文明生产的检查，对检查发现的问题应及时要求施工单位整改，并将整改结果上报建设单位。</w:t>
      </w:r>
    </w:p>
    <w:p w14:paraId="48212564">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八、备注</w:t>
      </w:r>
    </w:p>
    <w:p w14:paraId="12234034">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一）未按设计、相关规范、合同、本要求规定等进行监理的视为违约，建设单位有权视情况追究违约责任，并收取违约金，扣减监理费用，若监理单位对违约事项拒签的，按双倍收取违约金，建设单位可直接扣减监理费用，无需监理单位签认。</w:t>
      </w:r>
    </w:p>
    <w:p w14:paraId="757446FE">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（二）1000万以下工程项目监理，建设单位可根据工程项目具体情况简化管理。</w:t>
      </w:r>
    </w:p>
    <w:p w14:paraId="615167BC">
      <w:pPr>
        <w:pStyle w:val="48"/>
        <w:widowControl w:val="0"/>
        <w:overflowPunct w:val="0"/>
        <w:autoSpaceDE w:val="0"/>
        <w:autoSpaceDN w:val="0"/>
        <w:adjustRightInd w:val="0"/>
        <w:snapToGrid w:val="0"/>
        <w:spacing w:before="0" w:beforeAutospacing="0" w:after="0" w:afterAutospacing="0" w:line="360" w:lineRule="auto"/>
        <w:ind w:firstLine="420" w:firstLineChars="200"/>
        <w:rPr>
          <w:rFonts w:cs="Times New Roman"/>
          <w:sz w:val="21"/>
          <w:szCs w:val="21"/>
        </w:rPr>
      </w:pPr>
      <w:r>
        <w:rPr>
          <w:rFonts w:cs="Times New Roman"/>
          <w:sz w:val="21"/>
          <w:szCs w:val="21"/>
        </w:rPr>
        <w:t>（三）以上违约金在当期进度产值实际支付款项中予以扣除，纳入工程结算。</w:t>
      </w:r>
    </w:p>
    <w:p w14:paraId="2B4D9978">
      <w:pPr>
        <w:pStyle w:val="48"/>
        <w:widowControl w:val="0"/>
        <w:overflowPunct w:val="0"/>
        <w:autoSpaceDE w:val="0"/>
        <w:autoSpaceDN w:val="0"/>
        <w:adjustRightInd w:val="0"/>
        <w:snapToGrid w:val="0"/>
        <w:spacing w:before="0" w:beforeAutospacing="0" w:after="0" w:afterAutospacing="0" w:line="360" w:lineRule="auto"/>
        <w:ind w:firstLine="420" w:firstLineChars="200"/>
        <w:rPr>
          <w:rFonts w:cs="Times New Roman"/>
          <w:sz w:val="21"/>
          <w:szCs w:val="21"/>
        </w:rPr>
      </w:pPr>
      <w:r>
        <w:rPr>
          <w:rFonts w:cs="Times New Roman"/>
          <w:sz w:val="21"/>
          <w:szCs w:val="21"/>
        </w:rPr>
        <w:t>（四）各级管理人员对监理单位不良行为处罚权限：工程配套部现场代表权限为单次处罚金1000元以内；工程配套部部长为单次处罚金5000元以内；分管领导为单次处罚金30000元以内；主要领导为单次处罚金50000元内；超过时应由园区相关会议决定。</w:t>
      </w:r>
    </w:p>
    <w:p w14:paraId="0F161F8C">
      <w:pPr>
        <w:overflowPunct w:val="0"/>
        <w:autoSpaceDE w:val="0"/>
        <w:autoSpaceDN w:val="0"/>
        <w:adjustRightInd w:val="0"/>
        <w:snapToGrid w:val="0"/>
        <w:spacing w:line="360" w:lineRule="auto"/>
        <w:ind w:firstLine="420" w:firstLineChars="200"/>
        <w:rPr>
          <w:rFonts w:ascii="宋体" w:hAnsi="宋体"/>
          <w:szCs w:val="21"/>
        </w:rPr>
      </w:pPr>
      <w:r>
        <w:rPr>
          <w:rFonts w:ascii="宋体" w:hAnsi="宋体"/>
          <w:szCs w:val="21"/>
        </w:rPr>
        <w:t>（五）本要求由建设单位负责解释，并有权根据项目建设情况进行修订，若有修订按修订后的执行。</w:t>
      </w:r>
    </w:p>
    <w:p w14:paraId="74BC3698">
      <w:pPr>
        <w:overflowPunct w:val="0"/>
        <w:autoSpaceDE w:val="0"/>
        <w:autoSpaceDN w:val="0"/>
        <w:adjustRightInd w:val="0"/>
        <w:snapToGrid w:val="0"/>
        <w:spacing w:line="360" w:lineRule="auto"/>
        <w:ind w:firstLine="420" w:firstLineChars="200"/>
        <w:jc w:val="left"/>
        <w:rPr>
          <w:rFonts w:ascii="宋体" w:hAnsi="宋体"/>
          <w:szCs w:val="21"/>
        </w:rPr>
      </w:pPr>
      <w:r>
        <w:rPr>
          <w:rFonts w:ascii="宋体" w:hAnsi="宋体"/>
          <w:szCs w:val="21"/>
        </w:rPr>
        <w:t>（六）其他要求：</w:t>
      </w:r>
    </w:p>
    <w:p w14:paraId="4F3047E6">
      <w:pPr>
        <w:overflowPunct w:val="0"/>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1、自工程开工之日起至竣工之日止，每天（下午5点至6点）向业主报当天施工日报(施工日报按业主要求的模板)，并附施工照片，照片要有日期、时间，如发现一次未按时向业主报施工日报，向监理单位罚款1000元/次，连续3次未报，请监理单位法人到业主单位谈话。</w:t>
      </w:r>
    </w:p>
    <w:p w14:paraId="6CC23079">
      <w:pPr>
        <w:overflowPunct w:val="0"/>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2、每周例会由总监召集， 现场施工例会规定参加人员：监理单位驻工地代表；施工单位项目经理、技术及经济负责人、施工员；建设单位现场代表等；</w:t>
      </w:r>
    </w:p>
    <w:p w14:paraId="5D6536BC">
      <w:pPr>
        <w:overflowPunct w:val="0"/>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3、 现场施工工程例会内容：听取各施工单位关于本阶段工程项目的施工进度、施工质量等完成情况、下一步工作安排计划及施工存在问题的汇报；监理工程师总结评价，指出施工单位施工中的不足和问题，提出下一步工程项目的工作要点和要求；建设单位提出意见和要求，并对各单位提出的问题做答复；</w:t>
      </w:r>
    </w:p>
    <w:p w14:paraId="5FEEB9D5">
      <w:pPr>
        <w:overflowPunct w:val="0"/>
        <w:autoSpaceDE w:val="0"/>
        <w:autoSpaceDN w:val="0"/>
        <w:adjustRightInd w:val="0"/>
        <w:snapToGrid w:val="0"/>
        <w:spacing w:line="360" w:lineRule="auto"/>
        <w:jc w:val="left"/>
        <w:rPr>
          <w:rFonts w:ascii="宋体" w:hAnsi="宋体"/>
          <w:szCs w:val="21"/>
        </w:rPr>
      </w:pPr>
      <w:r>
        <w:rPr>
          <w:rFonts w:hint="eastAsia" w:ascii="宋体" w:hAnsi="宋体"/>
          <w:szCs w:val="21"/>
        </w:rPr>
        <w:t xml:space="preserve">   4、 现场施工工程例会在完成后的24小时内，监理工程师必须编写会议纪要，会议纪要要有各施工单位负责人、总监理工程师、建设单位现场代表签字认可。</w:t>
      </w:r>
    </w:p>
    <w:p w14:paraId="071CDC0F">
      <w:pPr>
        <w:spacing w:after="120"/>
        <w:rPr>
          <w:rFonts w:ascii="宋体" w:hAnsi="宋体"/>
          <w:szCs w:val="21"/>
        </w:rPr>
      </w:pPr>
    </w:p>
    <w:p w14:paraId="3064399B">
      <w:pPr>
        <w:rPr>
          <w:rFonts w:ascii="宋体" w:hAnsi="宋体"/>
          <w:szCs w:val="21"/>
        </w:rPr>
      </w:pPr>
    </w:p>
    <w:p w14:paraId="3BAFA6DA">
      <w:pPr>
        <w:spacing w:after="120"/>
        <w:rPr>
          <w:rFonts w:ascii="宋体" w:hAnsi="宋体"/>
          <w:szCs w:val="21"/>
        </w:rPr>
      </w:pPr>
    </w:p>
    <w:p w14:paraId="2B78CFC2">
      <w:pPr>
        <w:rPr>
          <w:rFonts w:ascii="宋体" w:hAnsi="宋体"/>
          <w:szCs w:val="21"/>
        </w:rPr>
      </w:pPr>
    </w:p>
    <w:p w14:paraId="0C6D8470">
      <w:pPr>
        <w:spacing w:after="120"/>
        <w:rPr>
          <w:rFonts w:ascii="宋体" w:hAnsi="宋体"/>
          <w:szCs w:val="21"/>
        </w:rPr>
      </w:pPr>
    </w:p>
    <w:p w14:paraId="05A6AEFE">
      <w:pPr>
        <w:overflowPunct w:val="0"/>
        <w:autoSpaceDE w:val="0"/>
        <w:autoSpaceDN w:val="0"/>
        <w:adjustRightInd w:val="0"/>
        <w:snapToGrid w:val="0"/>
        <w:spacing w:line="420" w:lineRule="exact"/>
        <w:outlineLvl w:val="2"/>
        <w:rPr>
          <w:rFonts w:ascii="宋体" w:hAnsi="宋体" w:cs="宋体"/>
          <w:bCs/>
          <w:snapToGrid w:val="0"/>
          <w:spacing w:val="-2"/>
          <w:sz w:val="24"/>
        </w:rPr>
      </w:pPr>
      <w:r>
        <w:rPr>
          <w:rFonts w:hint="eastAsia" w:ascii="宋体" w:hAnsi="宋体"/>
          <w:bCs/>
          <w:sz w:val="24"/>
        </w:rPr>
        <w:br w:type="page"/>
      </w:r>
      <w:r>
        <w:rPr>
          <w:rFonts w:hint="eastAsia" w:ascii="宋体" w:hAnsi="宋体"/>
          <w:bCs/>
          <w:sz w:val="24"/>
        </w:rPr>
        <w:t>附录4</w:t>
      </w:r>
    </w:p>
    <w:p w14:paraId="165EC11B">
      <w:pPr>
        <w:widowControl/>
        <w:snapToGrid w:val="0"/>
        <w:spacing w:line="594" w:lineRule="exact"/>
        <w:jc w:val="center"/>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监理人员配置表</w:t>
      </w:r>
    </w:p>
    <w:p w14:paraId="59451036"/>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1871"/>
        <w:gridCol w:w="1871"/>
        <w:gridCol w:w="1871"/>
        <w:gridCol w:w="1871"/>
      </w:tblGrid>
      <w:tr w14:paraId="3F10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871" w:type="dxa"/>
          </w:tcPr>
          <w:p w14:paraId="596F0ADC">
            <w:pPr>
              <w:widowControl/>
              <w:snapToGrid w:val="0"/>
              <w:spacing w:line="594" w:lineRule="exact"/>
              <w:ind w:firstLine="320" w:firstLineChars="1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姓 名</w:t>
            </w:r>
          </w:p>
        </w:tc>
        <w:tc>
          <w:tcPr>
            <w:tcW w:w="1871" w:type="dxa"/>
          </w:tcPr>
          <w:p w14:paraId="627285AA">
            <w:pPr>
              <w:widowControl/>
              <w:snapToGrid w:val="0"/>
              <w:spacing w:line="594" w:lineRule="exact"/>
              <w:jc w:val="center"/>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职务/职称</w:t>
            </w:r>
          </w:p>
        </w:tc>
        <w:tc>
          <w:tcPr>
            <w:tcW w:w="1871" w:type="dxa"/>
          </w:tcPr>
          <w:p w14:paraId="447B222B">
            <w:pPr>
              <w:widowControl/>
              <w:snapToGrid w:val="0"/>
              <w:spacing w:line="594" w:lineRule="exact"/>
              <w:jc w:val="center"/>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担任职责</w:t>
            </w:r>
          </w:p>
        </w:tc>
        <w:tc>
          <w:tcPr>
            <w:tcW w:w="1871" w:type="dxa"/>
          </w:tcPr>
          <w:p w14:paraId="7ED23253">
            <w:pPr>
              <w:widowControl/>
              <w:snapToGrid w:val="0"/>
              <w:spacing w:line="594" w:lineRule="exact"/>
              <w:jc w:val="center"/>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联系方式</w:t>
            </w:r>
          </w:p>
        </w:tc>
        <w:tc>
          <w:tcPr>
            <w:tcW w:w="1871" w:type="dxa"/>
          </w:tcPr>
          <w:p w14:paraId="7F555407">
            <w:pPr>
              <w:widowControl/>
              <w:snapToGrid w:val="0"/>
              <w:spacing w:line="594" w:lineRule="exact"/>
              <w:ind w:firstLine="320" w:firstLineChars="10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备注</w:t>
            </w:r>
          </w:p>
        </w:tc>
      </w:tr>
      <w:tr w14:paraId="0444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871" w:type="dxa"/>
            <w:vAlign w:val="center"/>
          </w:tcPr>
          <w:p w14:paraId="56753536">
            <w:pPr>
              <w:spacing w:line="594" w:lineRule="exact"/>
              <w:jc w:val="center"/>
              <w:rPr>
                <w:rFonts w:ascii="宋体" w:hAnsi="宋体" w:cs="宋体"/>
                <w:bCs/>
                <w:sz w:val="24"/>
              </w:rPr>
            </w:pPr>
          </w:p>
        </w:tc>
        <w:tc>
          <w:tcPr>
            <w:tcW w:w="1871" w:type="dxa"/>
            <w:vAlign w:val="center"/>
          </w:tcPr>
          <w:p w14:paraId="36F25D57">
            <w:pPr>
              <w:spacing w:line="400" w:lineRule="exact"/>
              <w:jc w:val="center"/>
              <w:rPr>
                <w:rFonts w:ascii="宋体" w:hAnsi="宋体" w:cs="宋体"/>
                <w:bCs/>
                <w:sz w:val="24"/>
              </w:rPr>
            </w:pPr>
          </w:p>
        </w:tc>
        <w:tc>
          <w:tcPr>
            <w:tcW w:w="1871" w:type="dxa"/>
            <w:vAlign w:val="center"/>
          </w:tcPr>
          <w:p w14:paraId="5DBDD530">
            <w:pPr>
              <w:spacing w:line="594" w:lineRule="exact"/>
              <w:jc w:val="center"/>
              <w:rPr>
                <w:rFonts w:ascii="方正仿宋_GBK" w:hAnsi="方正仿宋_GBK" w:eastAsia="方正仿宋_GBK" w:cs="方正仿宋_GBK"/>
                <w:bCs/>
                <w:sz w:val="24"/>
              </w:rPr>
            </w:pPr>
          </w:p>
        </w:tc>
        <w:tc>
          <w:tcPr>
            <w:tcW w:w="1871" w:type="dxa"/>
            <w:vAlign w:val="center"/>
          </w:tcPr>
          <w:p w14:paraId="39F08BE1">
            <w:pPr>
              <w:spacing w:line="594" w:lineRule="exact"/>
              <w:jc w:val="center"/>
              <w:rPr>
                <w:rFonts w:ascii="宋体" w:hAnsi="宋体" w:cs="宋体"/>
                <w:bCs/>
                <w:sz w:val="24"/>
              </w:rPr>
            </w:pPr>
          </w:p>
        </w:tc>
        <w:tc>
          <w:tcPr>
            <w:tcW w:w="1871" w:type="dxa"/>
            <w:vAlign w:val="center"/>
          </w:tcPr>
          <w:p w14:paraId="33BC55D7">
            <w:pPr>
              <w:spacing w:line="594" w:lineRule="exact"/>
              <w:jc w:val="center"/>
              <w:rPr>
                <w:rFonts w:ascii="宋体" w:hAnsi="宋体" w:cs="宋体"/>
                <w:bCs/>
                <w:sz w:val="24"/>
              </w:rPr>
            </w:pPr>
          </w:p>
        </w:tc>
      </w:tr>
      <w:tr w14:paraId="70A8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871" w:type="dxa"/>
            <w:vAlign w:val="center"/>
          </w:tcPr>
          <w:p w14:paraId="5282F4C2">
            <w:pPr>
              <w:spacing w:line="594" w:lineRule="exact"/>
              <w:jc w:val="center"/>
              <w:rPr>
                <w:rFonts w:ascii="宋体" w:hAnsi="宋体" w:cs="宋体"/>
                <w:bCs/>
                <w:sz w:val="24"/>
              </w:rPr>
            </w:pPr>
          </w:p>
        </w:tc>
        <w:tc>
          <w:tcPr>
            <w:tcW w:w="1871" w:type="dxa"/>
            <w:vAlign w:val="center"/>
          </w:tcPr>
          <w:p w14:paraId="3F76E5D9">
            <w:pPr>
              <w:spacing w:line="594" w:lineRule="exact"/>
              <w:jc w:val="center"/>
              <w:rPr>
                <w:rFonts w:ascii="宋体" w:hAnsi="宋体" w:cs="宋体"/>
                <w:bCs/>
                <w:sz w:val="24"/>
              </w:rPr>
            </w:pPr>
          </w:p>
        </w:tc>
        <w:tc>
          <w:tcPr>
            <w:tcW w:w="1871" w:type="dxa"/>
            <w:vAlign w:val="center"/>
          </w:tcPr>
          <w:p w14:paraId="08CAA5FE">
            <w:pPr>
              <w:spacing w:line="594" w:lineRule="exact"/>
              <w:jc w:val="center"/>
              <w:rPr>
                <w:rFonts w:ascii="方正仿宋_GBK" w:hAnsi="方正仿宋_GBK" w:eastAsia="方正仿宋_GBK" w:cs="方正仿宋_GBK"/>
                <w:bCs/>
                <w:sz w:val="24"/>
              </w:rPr>
            </w:pPr>
          </w:p>
        </w:tc>
        <w:tc>
          <w:tcPr>
            <w:tcW w:w="1871" w:type="dxa"/>
            <w:vAlign w:val="center"/>
          </w:tcPr>
          <w:p w14:paraId="2A66E254">
            <w:pPr>
              <w:spacing w:line="594" w:lineRule="exact"/>
              <w:jc w:val="center"/>
              <w:rPr>
                <w:rFonts w:ascii="宋体" w:hAnsi="宋体" w:cs="宋体"/>
                <w:bCs/>
                <w:sz w:val="24"/>
              </w:rPr>
            </w:pPr>
          </w:p>
        </w:tc>
        <w:tc>
          <w:tcPr>
            <w:tcW w:w="1871" w:type="dxa"/>
            <w:vAlign w:val="center"/>
          </w:tcPr>
          <w:p w14:paraId="504B7D19">
            <w:pPr>
              <w:spacing w:line="594" w:lineRule="exact"/>
              <w:jc w:val="center"/>
              <w:rPr>
                <w:rFonts w:ascii="宋体" w:hAnsi="宋体" w:cs="宋体"/>
                <w:bCs/>
                <w:sz w:val="24"/>
              </w:rPr>
            </w:pPr>
          </w:p>
        </w:tc>
      </w:tr>
      <w:tr w14:paraId="0560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871" w:type="dxa"/>
            <w:vAlign w:val="center"/>
          </w:tcPr>
          <w:p w14:paraId="2D8FF72B">
            <w:pPr>
              <w:spacing w:line="594" w:lineRule="exact"/>
              <w:jc w:val="center"/>
              <w:rPr>
                <w:rFonts w:ascii="宋体" w:hAnsi="宋体" w:cs="宋体"/>
                <w:bCs/>
                <w:sz w:val="24"/>
              </w:rPr>
            </w:pPr>
          </w:p>
        </w:tc>
        <w:tc>
          <w:tcPr>
            <w:tcW w:w="1871" w:type="dxa"/>
            <w:vAlign w:val="center"/>
          </w:tcPr>
          <w:p w14:paraId="31FC6150">
            <w:pPr>
              <w:spacing w:line="594" w:lineRule="exact"/>
              <w:jc w:val="center"/>
              <w:rPr>
                <w:rFonts w:ascii="宋体" w:hAnsi="宋体" w:cs="宋体"/>
                <w:bCs/>
                <w:sz w:val="24"/>
              </w:rPr>
            </w:pPr>
          </w:p>
        </w:tc>
        <w:tc>
          <w:tcPr>
            <w:tcW w:w="1871" w:type="dxa"/>
            <w:vAlign w:val="center"/>
          </w:tcPr>
          <w:p w14:paraId="20CBF677">
            <w:pPr>
              <w:spacing w:line="594" w:lineRule="exact"/>
              <w:jc w:val="center"/>
              <w:rPr>
                <w:rFonts w:ascii="方正仿宋_GBK" w:hAnsi="方正仿宋_GBK" w:eastAsia="方正仿宋_GBK" w:cs="方正仿宋_GBK"/>
                <w:bCs/>
                <w:sz w:val="24"/>
              </w:rPr>
            </w:pPr>
          </w:p>
        </w:tc>
        <w:tc>
          <w:tcPr>
            <w:tcW w:w="1871" w:type="dxa"/>
            <w:vAlign w:val="center"/>
          </w:tcPr>
          <w:p w14:paraId="2245296B">
            <w:pPr>
              <w:spacing w:line="594" w:lineRule="exact"/>
              <w:jc w:val="center"/>
              <w:rPr>
                <w:rFonts w:ascii="宋体" w:hAnsi="宋体" w:cs="宋体"/>
                <w:bCs/>
                <w:sz w:val="24"/>
              </w:rPr>
            </w:pPr>
          </w:p>
        </w:tc>
        <w:tc>
          <w:tcPr>
            <w:tcW w:w="1871" w:type="dxa"/>
            <w:vAlign w:val="center"/>
          </w:tcPr>
          <w:p w14:paraId="323E80F2">
            <w:pPr>
              <w:spacing w:line="594" w:lineRule="exact"/>
              <w:jc w:val="center"/>
              <w:rPr>
                <w:rFonts w:ascii="宋体" w:hAnsi="宋体" w:cs="宋体"/>
                <w:bCs/>
                <w:sz w:val="24"/>
              </w:rPr>
            </w:pPr>
          </w:p>
        </w:tc>
      </w:tr>
      <w:tr w14:paraId="2C8F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71" w:type="dxa"/>
            <w:vAlign w:val="center"/>
          </w:tcPr>
          <w:p w14:paraId="1308DFDE">
            <w:pPr>
              <w:spacing w:line="594" w:lineRule="exact"/>
              <w:jc w:val="center"/>
              <w:rPr>
                <w:rFonts w:ascii="宋体" w:hAnsi="宋体" w:cs="宋体"/>
                <w:bCs/>
                <w:sz w:val="24"/>
              </w:rPr>
            </w:pPr>
          </w:p>
        </w:tc>
        <w:tc>
          <w:tcPr>
            <w:tcW w:w="1871" w:type="dxa"/>
            <w:vAlign w:val="center"/>
          </w:tcPr>
          <w:p w14:paraId="10C2F1A1">
            <w:pPr>
              <w:spacing w:line="594" w:lineRule="exact"/>
              <w:jc w:val="center"/>
              <w:rPr>
                <w:rFonts w:ascii="宋体" w:hAnsi="宋体" w:cs="宋体"/>
                <w:bCs/>
                <w:sz w:val="24"/>
              </w:rPr>
            </w:pPr>
          </w:p>
        </w:tc>
        <w:tc>
          <w:tcPr>
            <w:tcW w:w="1871" w:type="dxa"/>
            <w:vAlign w:val="center"/>
          </w:tcPr>
          <w:p w14:paraId="35F1E92D">
            <w:pPr>
              <w:spacing w:line="594" w:lineRule="exact"/>
              <w:jc w:val="center"/>
              <w:rPr>
                <w:rFonts w:ascii="方正仿宋_GBK" w:hAnsi="方正仿宋_GBK" w:eastAsia="方正仿宋_GBK" w:cs="方正仿宋_GBK"/>
                <w:bCs/>
                <w:sz w:val="24"/>
              </w:rPr>
            </w:pPr>
          </w:p>
        </w:tc>
        <w:tc>
          <w:tcPr>
            <w:tcW w:w="1871" w:type="dxa"/>
            <w:vAlign w:val="center"/>
          </w:tcPr>
          <w:p w14:paraId="51C80FB6">
            <w:pPr>
              <w:spacing w:line="594" w:lineRule="exact"/>
              <w:jc w:val="center"/>
              <w:rPr>
                <w:rFonts w:ascii="宋体" w:hAnsi="宋体" w:cs="宋体"/>
                <w:bCs/>
                <w:sz w:val="24"/>
              </w:rPr>
            </w:pPr>
          </w:p>
        </w:tc>
        <w:tc>
          <w:tcPr>
            <w:tcW w:w="1871" w:type="dxa"/>
            <w:vAlign w:val="center"/>
          </w:tcPr>
          <w:p w14:paraId="710BD6A2">
            <w:pPr>
              <w:spacing w:line="594" w:lineRule="exact"/>
              <w:jc w:val="center"/>
              <w:rPr>
                <w:rFonts w:ascii="宋体" w:hAnsi="宋体" w:cs="宋体"/>
                <w:bCs/>
                <w:sz w:val="24"/>
              </w:rPr>
            </w:pPr>
          </w:p>
        </w:tc>
      </w:tr>
      <w:tr w14:paraId="3543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71" w:type="dxa"/>
            <w:vAlign w:val="center"/>
          </w:tcPr>
          <w:p w14:paraId="21C71DEE">
            <w:pPr>
              <w:spacing w:line="594" w:lineRule="exact"/>
              <w:jc w:val="center"/>
              <w:rPr>
                <w:rFonts w:ascii="宋体" w:hAnsi="宋体" w:cs="宋体"/>
                <w:bCs/>
                <w:sz w:val="24"/>
              </w:rPr>
            </w:pPr>
          </w:p>
        </w:tc>
        <w:tc>
          <w:tcPr>
            <w:tcW w:w="1871" w:type="dxa"/>
            <w:vAlign w:val="center"/>
          </w:tcPr>
          <w:p w14:paraId="080F7A9C">
            <w:pPr>
              <w:spacing w:line="594" w:lineRule="exact"/>
              <w:jc w:val="center"/>
              <w:rPr>
                <w:rFonts w:ascii="宋体" w:hAnsi="宋体" w:cs="宋体"/>
                <w:bCs/>
                <w:sz w:val="24"/>
              </w:rPr>
            </w:pPr>
          </w:p>
        </w:tc>
        <w:tc>
          <w:tcPr>
            <w:tcW w:w="1871" w:type="dxa"/>
            <w:vAlign w:val="center"/>
          </w:tcPr>
          <w:p w14:paraId="3EB2E80D">
            <w:pPr>
              <w:spacing w:line="594" w:lineRule="exact"/>
              <w:jc w:val="center"/>
              <w:rPr>
                <w:rFonts w:ascii="方正仿宋_GBK" w:hAnsi="方正仿宋_GBK" w:eastAsia="方正仿宋_GBK" w:cs="方正仿宋_GBK"/>
                <w:bCs/>
                <w:sz w:val="24"/>
              </w:rPr>
            </w:pPr>
          </w:p>
        </w:tc>
        <w:tc>
          <w:tcPr>
            <w:tcW w:w="1871" w:type="dxa"/>
            <w:vAlign w:val="center"/>
          </w:tcPr>
          <w:p w14:paraId="570BBB6B">
            <w:pPr>
              <w:spacing w:line="594" w:lineRule="exact"/>
              <w:jc w:val="center"/>
              <w:rPr>
                <w:rFonts w:ascii="宋体" w:hAnsi="宋体" w:cs="宋体"/>
                <w:bCs/>
                <w:sz w:val="24"/>
              </w:rPr>
            </w:pPr>
          </w:p>
        </w:tc>
        <w:tc>
          <w:tcPr>
            <w:tcW w:w="1871" w:type="dxa"/>
            <w:vAlign w:val="center"/>
          </w:tcPr>
          <w:p w14:paraId="0839CDF2">
            <w:pPr>
              <w:spacing w:line="594" w:lineRule="exact"/>
              <w:jc w:val="center"/>
              <w:rPr>
                <w:rFonts w:ascii="宋体" w:hAnsi="宋体" w:cs="宋体"/>
                <w:bCs/>
                <w:sz w:val="24"/>
              </w:rPr>
            </w:pPr>
          </w:p>
        </w:tc>
      </w:tr>
      <w:tr w14:paraId="35B3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71" w:type="dxa"/>
            <w:vAlign w:val="center"/>
          </w:tcPr>
          <w:p w14:paraId="049674C7">
            <w:pPr>
              <w:spacing w:line="594" w:lineRule="exact"/>
              <w:jc w:val="center"/>
              <w:rPr>
                <w:rFonts w:ascii="宋体" w:hAnsi="宋体" w:cs="宋体"/>
                <w:bCs/>
                <w:sz w:val="24"/>
              </w:rPr>
            </w:pPr>
          </w:p>
        </w:tc>
        <w:tc>
          <w:tcPr>
            <w:tcW w:w="1871" w:type="dxa"/>
            <w:vAlign w:val="center"/>
          </w:tcPr>
          <w:p w14:paraId="2E5290B6">
            <w:pPr>
              <w:spacing w:line="594" w:lineRule="exact"/>
              <w:jc w:val="center"/>
              <w:rPr>
                <w:rFonts w:ascii="宋体" w:hAnsi="宋体" w:cs="宋体"/>
                <w:bCs/>
                <w:sz w:val="24"/>
              </w:rPr>
            </w:pPr>
          </w:p>
        </w:tc>
        <w:tc>
          <w:tcPr>
            <w:tcW w:w="1871" w:type="dxa"/>
            <w:vAlign w:val="center"/>
          </w:tcPr>
          <w:p w14:paraId="375EB092">
            <w:pPr>
              <w:spacing w:line="594" w:lineRule="exact"/>
              <w:jc w:val="center"/>
              <w:rPr>
                <w:rFonts w:ascii="方正仿宋_GBK" w:hAnsi="方正仿宋_GBK" w:eastAsia="方正仿宋_GBK" w:cs="方正仿宋_GBK"/>
                <w:bCs/>
                <w:sz w:val="24"/>
              </w:rPr>
            </w:pPr>
          </w:p>
        </w:tc>
        <w:tc>
          <w:tcPr>
            <w:tcW w:w="1871" w:type="dxa"/>
            <w:vAlign w:val="center"/>
          </w:tcPr>
          <w:p w14:paraId="2CC71B5C">
            <w:pPr>
              <w:spacing w:line="594" w:lineRule="exact"/>
              <w:jc w:val="center"/>
              <w:rPr>
                <w:rFonts w:ascii="宋体" w:hAnsi="宋体" w:cs="宋体"/>
                <w:bCs/>
                <w:sz w:val="24"/>
              </w:rPr>
            </w:pPr>
          </w:p>
        </w:tc>
        <w:tc>
          <w:tcPr>
            <w:tcW w:w="1871" w:type="dxa"/>
            <w:vAlign w:val="center"/>
          </w:tcPr>
          <w:p w14:paraId="103C0704">
            <w:pPr>
              <w:spacing w:line="594" w:lineRule="exact"/>
              <w:jc w:val="center"/>
              <w:rPr>
                <w:rFonts w:ascii="宋体" w:hAnsi="宋体" w:cs="宋体"/>
                <w:bCs/>
                <w:sz w:val="24"/>
              </w:rPr>
            </w:pPr>
          </w:p>
        </w:tc>
      </w:tr>
    </w:tbl>
    <w:p w14:paraId="7F41C75D">
      <w:pPr>
        <w:overflowPunct w:val="0"/>
        <w:autoSpaceDE w:val="0"/>
        <w:autoSpaceDN w:val="0"/>
        <w:adjustRightInd w:val="0"/>
        <w:snapToGrid w:val="0"/>
        <w:spacing w:line="420" w:lineRule="exact"/>
        <w:ind w:firstLine="472" w:firstLineChars="200"/>
        <w:rPr>
          <w:rFonts w:ascii="宋体" w:hAnsi="宋体" w:cs="宋体"/>
          <w:snapToGrid w:val="0"/>
          <w:spacing w:val="-2"/>
          <w:sz w:val="24"/>
        </w:rPr>
      </w:pPr>
    </w:p>
    <w:p w14:paraId="5FB69593">
      <w:pPr>
        <w:overflowPunct w:val="0"/>
        <w:autoSpaceDE w:val="0"/>
        <w:autoSpaceDN w:val="0"/>
        <w:adjustRightInd w:val="0"/>
        <w:snapToGrid w:val="0"/>
        <w:spacing w:line="420" w:lineRule="exact"/>
        <w:ind w:firstLine="420" w:firstLineChars="200"/>
        <w:rPr>
          <w:rFonts w:ascii="宋体" w:hAnsi="宋体" w:cs="宋体"/>
          <w:szCs w:val="21"/>
        </w:rPr>
      </w:pPr>
      <w:r>
        <w:rPr>
          <w:rFonts w:hint="eastAsia" w:ascii="宋体" w:hAnsi="宋体" w:cs="宋体"/>
          <w:szCs w:val="21"/>
        </w:rPr>
        <w:t>备注：</w:t>
      </w:r>
    </w:p>
    <w:p w14:paraId="068CAA62">
      <w:pPr>
        <w:overflowPunct w:val="0"/>
        <w:autoSpaceDE w:val="0"/>
        <w:autoSpaceDN w:val="0"/>
        <w:adjustRightInd w:val="0"/>
        <w:snapToGrid w:val="0"/>
        <w:spacing w:line="420" w:lineRule="exact"/>
        <w:ind w:firstLine="420" w:firstLineChars="200"/>
        <w:rPr>
          <w:rFonts w:ascii="宋体" w:hAnsi="宋体" w:cs="宋体"/>
          <w:snapToGrid w:val="0"/>
          <w:spacing w:val="-2"/>
          <w:sz w:val="24"/>
        </w:rPr>
      </w:pPr>
      <w:r>
        <w:rPr>
          <w:rFonts w:hint="eastAsia" w:ascii="宋体" w:hAnsi="宋体" w:cs="宋体"/>
          <w:szCs w:val="21"/>
        </w:rPr>
        <w:t>1、监理人须按照渝建发〔2014〕35号、渝建发〔2014〕101号、渝建〔2016〕373号文件要求配置监理人员；有要求时，确保中标备案完成。</w:t>
      </w:r>
    </w:p>
    <w:p w14:paraId="16D366E9">
      <w:pPr>
        <w:overflowPunct w:val="0"/>
        <w:autoSpaceDE w:val="0"/>
        <w:autoSpaceDN w:val="0"/>
        <w:adjustRightInd w:val="0"/>
        <w:snapToGrid w:val="0"/>
        <w:spacing w:line="420" w:lineRule="exact"/>
        <w:ind w:firstLine="420" w:firstLineChars="200"/>
        <w:rPr>
          <w:rFonts w:ascii="宋体" w:hAnsi="宋体" w:cs="宋体"/>
          <w:szCs w:val="21"/>
        </w:rPr>
      </w:pPr>
      <w:r>
        <w:rPr>
          <w:rFonts w:hint="eastAsia" w:ascii="宋体" w:hAnsi="宋体" w:cs="宋体"/>
          <w:szCs w:val="21"/>
        </w:rPr>
        <w:t>2、签订合同时提交以上人员任命书，并附身份证、职称证书、职业资格证及社保附件加盖公章（三套）。</w:t>
      </w:r>
    </w:p>
    <w:p w14:paraId="0C67F018">
      <w:pPr>
        <w:overflowPunct w:val="0"/>
        <w:autoSpaceDE w:val="0"/>
        <w:autoSpaceDN w:val="0"/>
        <w:adjustRightInd w:val="0"/>
        <w:snapToGrid w:val="0"/>
        <w:spacing w:line="420" w:lineRule="exact"/>
        <w:rPr>
          <w:rFonts w:ascii="宋体" w:hAnsi="宋体"/>
          <w:bCs/>
          <w:sz w:val="24"/>
        </w:rPr>
      </w:pPr>
    </w:p>
    <w:p w14:paraId="37EA7164">
      <w:pPr>
        <w:overflowPunct w:val="0"/>
        <w:autoSpaceDE w:val="0"/>
        <w:autoSpaceDN w:val="0"/>
        <w:adjustRightInd w:val="0"/>
        <w:snapToGrid w:val="0"/>
        <w:spacing w:line="420" w:lineRule="exact"/>
        <w:rPr>
          <w:rFonts w:ascii="宋体" w:hAnsi="宋体"/>
          <w:bCs/>
          <w:sz w:val="24"/>
        </w:rPr>
      </w:pPr>
    </w:p>
    <w:p w14:paraId="6AAB8852">
      <w:pPr>
        <w:overflowPunct w:val="0"/>
        <w:autoSpaceDE w:val="0"/>
        <w:autoSpaceDN w:val="0"/>
        <w:adjustRightInd w:val="0"/>
        <w:snapToGrid w:val="0"/>
        <w:spacing w:line="420" w:lineRule="exact"/>
        <w:rPr>
          <w:rFonts w:ascii="宋体" w:hAnsi="宋体"/>
          <w:bCs/>
          <w:sz w:val="24"/>
        </w:rPr>
      </w:pPr>
    </w:p>
    <w:p w14:paraId="0F9CECD8">
      <w:pPr>
        <w:overflowPunct w:val="0"/>
        <w:autoSpaceDE w:val="0"/>
        <w:autoSpaceDN w:val="0"/>
        <w:adjustRightInd w:val="0"/>
        <w:snapToGrid w:val="0"/>
        <w:spacing w:line="420" w:lineRule="exact"/>
        <w:rPr>
          <w:rFonts w:ascii="宋体" w:hAnsi="宋体"/>
          <w:bCs/>
          <w:sz w:val="24"/>
        </w:rPr>
      </w:pPr>
    </w:p>
    <w:p w14:paraId="0B56F980">
      <w:pPr>
        <w:rPr>
          <w:rFonts w:ascii="宋体" w:hAnsi="宋体" w:cs="宋体"/>
          <w:bCs/>
          <w:snapToGrid w:val="0"/>
          <w:spacing w:val="-2"/>
          <w:sz w:val="24"/>
        </w:rPr>
      </w:pPr>
      <w:r>
        <w:br w:type="page"/>
      </w:r>
      <w:r>
        <w:rPr>
          <w:rFonts w:hint="eastAsia" w:ascii="宋体" w:hAnsi="宋体"/>
          <w:bCs/>
          <w:sz w:val="24"/>
        </w:rPr>
        <w:t>附录5</w:t>
      </w:r>
    </w:p>
    <w:p w14:paraId="3B5C8580">
      <w:pPr>
        <w:overflowPunct w:val="0"/>
        <w:autoSpaceDE w:val="0"/>
        <w:autoSpaceDN w:val="0"/>
        <w:adjustRightInd w:val="0"/>
        <w:snapToGrid w:val="0"/>
        <w:spacing w:line="420" w:lineRule="exact"/>
        <w:ind w:firstLine="632" w:firstLineChars="200"/>
        <w:jc w:val="center"/>
        <w:rPr>
          <w:rFonts w:ascii="宋体" w:hAnsi="宋体"/>
          <w:snapToGrid w:val="0"/>
          <w:spacing w:val="-2"/>
          <w:sz w:val="32"/>
          <w:szCs w:val="32"/>
        </w:rPr>
      </w:pPr>
      <w:r>
        <w:rPr>
          <w:rFonts w:hint="eastAsia" w:ascii="宋体" w:hAnsi="宋体"/>
          <w:snapToGrid w:val="0"/>
          <w:spacing w:val="-2"/>
          <w:sz w:val="32"/>
          <w:szCs w:val="32"/>
        </w:rPr>
        <w:t>廉政责任书</w:t>
      </w:r>
    </w:p>
    <w:p w14:paraId="7537C1D4">
      <w:pPr>
        <w:overflowPunct w:val="0"/>
        <w:autoSpaceDE w:val="0"/>
        <w:autoSpaceDN w:val="0"/>
        <w:adjustRightInd w:val="0"/>
        <w:snapToGrid w:val="0"/>
        <w:spacing w:line="420" w:lineRule="exact"/>
        <w:ind w:firstLine="480" w:firstLineChars="200"/>
        <w:rPr>
          <w:rFonts w:ascii="宋体" w:hAnsi="宋体"/>
          <w:sz w:val="24"/>
        </w:rPr>
      </w:pPr>
    </w:p>
    <w:p w14:paraId="2296898B">
      <w:pPr>
        <w:overflowPunct w:val="0"/>
        <w:autoSpaceDE w:val="0"/>
        <w:autoSpaceDN w:val="0"/>
        <w:adjustRightInd w:val="0"/>
        <w:snapToGrid w:val="0"/>
        <w:spacing w:line="420" w:lineRule="exact"/>
        <w:rPr>
          <w:rFonts w:ascii="宋体" w:hAnsi="宋体"/>
          <w:sz w:val="24"/>
        </w:rPr>
      </w:pPr>
      <w:r>
        <w:rPr>
          <w:rFonts w:hint="eastAsia" w:ascii="宋体" w:hAnsi="宋体"/>
          <w:sz w:val="24"/>
        </w:rPr>
        <w:t>委托人：</w:t>
      </w:r>
      <w:r>
        <w:rPr>
          <w:rFonts w:hint="eastAsia" w:ascii="宋体" w:hAnsi="宋体" w:cs="宋体"/>
          <w:kern w:val="0"/>
          <w:szCs w:val="21"/>
          <w:u w:val="single"/>
        </w:rPr>
        <w:t xml:space="preserve">               </w:t>
      </w:r>
      <w:r>
        <w:rPr>
          <w:rFonts w:hint="eastAsia" w:ascii="宋体" w:hAnsi="宋体"/>
          <w:sz w:val="24"/>
        </w:rPr>
        <w:t xml:space="preserve"> </w:t>
      </w:r>
    </w:p>
    <w:p w14:paraId="63F55F15">
      <w:pPr>
        <w:overflowPunct w:val="0"/>
        <w:autoSpaceDE w:val="0"/>
        <w:autoSpaceDN w:val="0"/>
        <w:adjustRightInd w:val="0"/>
        <w:snapToGrid w:val="0"/>
        <w:spacing w:line="420" w:lineRule="exact"/>
        <w:rPr>
          <w:rFonts w:ascii="宋体" w:hAnsi="宋体" w:cs="宋体"/>
          <w:kern w:val="0"/>
          <w:szCs w:val="21"/>
          <w:u w:val="single"/>
        </w:rPr>
      </w:pPr>
      <w:r>
        <w:rPr>
          <w:rFonts w:hint="eastAsia" w:ascii="宋体" w:hAnsi="宋体"/>
          <w:sz w:val="24"/>
        </w:rPr>
        <w:t>监理人：</w:t>
      </w:r>
      <w:r>
        <w:rPr>
          <w:rFonts w:hint="eastAsia" w:ascii="宋体" w:hAnsi="宋体"/>
          <w:sz w:val="24"/>
          <w:u w:val="single"/>
        </w:rPr>
        <w:t xml:space="preserve">             </w:t>
      </w:r>
    </w:p>
    <w:p w14:paraId="205EA704">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为加强建设工程廉政建设，规范建设工程各项活动中委托人监理人双方的行为，防止谋取不正当利益的违法违纪现象的发生，保护国家、集体和当事人的合法权益，根据国家有关工程建设的法律法规和廉政建设的有关规定，订立本廉政责任书。</w:t>
      </w:r>
    </w:p>
    <w:p w14:paraId="1CD0378D">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一、双方的责任</w:t>
      </w:r>
    </w:p>
    <w:p w14:paraId="48F69869">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1.1应严格遵守国家关于建设工程的有关法律、法规，相关政策，以及廉政建设的各项规定。</w:t>
      </w:r>
    </w:p>
    <w:p w14:paraId="256543E9">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1.2严格执行建设工程合同文件，自觉按合同办事。</w:t>
      </w:r>
    </w:p>
    <w:p w14:paraId="379DC6C5">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1.3各项活动必须坚持公开、公平、公正、诚信、透明的原则(除法律法规另有规定者外)，不得为获取不正当的利益，损害国家、集体和对方利益，不得违反建设工程管理的规章制度。</w:t>
      </w:r>
    </w:p>
    <w:p w14:paraId="33D8BA09">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1.4发现对方在业务活动中有违规、违纪、违法行为的，应及时提醒对方，情节严重的，应向其上级主管部门或纪检监察、司法等有关机关举报。</w:t>
      </w:r>
    </w:p>
    <w:p w14:paraId="5D7E6F68">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二、委托人责任</w:t>
      </w:r>
    </w:p>
    <w:p w14:paraId="4114C1CC">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委托人的领导和从事该建设工程项目的工作人员，在工程建设的事前、事中、事后应遵守以下规定：</w:t>
      </w:r>
    </w:p>
    <w:p w14:paraId="44E9FB92">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2.1不得向监理人和相关单位索要或接受回扣、礼金、有价证券、贵重物品和好处费、感谢费等。</w:t>
      </w:r>
    </w:p>
    <w:p w14:paraId="38A61573">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2.2不得在监理人和相关单位报销任何应由委托人或个人支付的费用。</w:t>
      </w:r>
    </w:p>
    <w:p w14:paraId="436C905D">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2.3不得要求、暗示或接受监理人和相关单位为个人装修住房、婚丧嫁娶、配偶子女的工作安排以及出国(境)、旅游等提供方便。</w:t>
      </w:r>
    </w:p>
    <w:p w14:paraId="0CA1721B">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2.4不得参加有可能影响公正执行公务的监理人和相关单位的宴请、健身、娱乐等活动。</w:t>
      </w:r>
    </w:p>
    <w:p w14:paraId="48B38D90">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2.5不得向监理人和相关单位介绍或为配偶、子女、亲属参与同委托人工程建设管理合同有关的业务活动；不得以任何理由要求监理人和相关单位使用某种产品、材料和设备。</w:t>
      </w:r>
    </w:p>
    <w:p w14:paraId="1037DC6A">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三、监理人责任</w:t>
      </w:r>
    </w:p>
    <w:p w14:paraId="4AA20114">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应与委托人保持正常的业务交往，按照有关法律法规和程序开展业务工作，严格执行工程建设的有关方针、政策，执行工程建设强制性标准，并遵守以下规定：</w:t>
      </w:r>
    </w:p>
    <w:p w14:paraId="14D7326F">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3.1不得以任何理由向委托人及其工作人员索要、接受或赠送礼金、有价证券、贵重物品及回扣、好处费、感谢费等。</w:t>
      </w:r>
    </w:p>
    <w:p w14:paraId="6EE30C99">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3.2不得以任何理由为委托人和相关单位报销应由对方或个人支付的费用。</w:t>
      </w:r>
    </w:p>
    <w:p w14:paraId="4D327F89">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3.3不得接受或暗示为委托人、相关单位或个人装修住房、婚丧嫁娶、配偶子女的工作安排以及出国(境)、旅游等提供方便。</w:t>
      </w:r>
    </w:p>
    <w:p w14:paraId="5BEEC626">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3.4不得以任何理由为委托人、相关单位或个人组织有可能影响公正执行公务的宴请、健身、娱乐等活动。</w:t>
      </w:r>
    </w:p>
    <w:p w14:paraId="65A2C7D1">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四、违约责任</w:t>
      </w:r>
    </w:p>
    <w:p w14:paraId="5D42DB2D">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4.1委托人工作人员有违反本责任书第一、二条责任行为的，依据有关法律、法规给予处理；涉嫌犯罪的，移交司法机关追究刑事责任；给监理人单位造成经济损失的，应予以赔偿。</w:t>
      </w:r>
    </w:p>
    <w:p w14:paraId="44BACF15">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4.2监理人工作人员有违反本责任书第一、三条责任行为的，依据有关法律法规处理；涉嫌犯罪的，移交司法机关追究刑事责任；给委托人单位造成经济损失的，应予以赔偿。</w:t>
      </w:r>
    </w:p>
    <w:p w14:paraId="270F478A">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4.3本责任书作为建设工程监理合同的组成部分，与建设工程监理合同具有同等法律效力。经双方签署后立即生效。</w:t>
      </w:r>
    </w:p>
    <w:p w14:paraId="526CD38F">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五、责任书有效期</w:t>
      </w:r>
    </w:p>
    <w:p w14:paraId="6C40CDB1">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本责任书的有效期为双方签署之日起至该工程项目竣工验收合格时止。</w:t>
      </w:r>
    </w:p>
    <w:p w14:paraId="4B86969C">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六、责任书份数</w:t>
      </w:r>
    </w:p>
    <w:p w14:paraId="680C0517">
      <w:pPr>
        <w:overflowPunct w:val="0"/>
        <w:autoSpaceDE w:val="0"/>
        <w:autoSpaceDN w:val="0"/>
        <w:adjustRightInd w:val="0"/>
        <w:snapToGrid w:val="0"/>
        <w:spacing w:line="420" w:lineRule="exact"/>
        <w:ind w:firstLine="480" w:firstLineChars="200"/>
        <w:rPr>
          <w:rFonts w:ascii="宋体" w:hAnsi="宋体"/>
          <w:sz w:val="24"/>
        </w:rPr>
      </w:pPr>
      <w:r>
        <w:rPr>
          <w:rFonts w:hint="eastAsia" w:ascii="宋体" w:hAnsi="宋体"/>
          <w:sz w:val="24"/>
        </w:rPr>
        <w:t>本责任书份数同合同协议书。</w:t>
      </w:r>
    </w:p>
    <w:p w14:paraId="783B22CF">
      <w:pPr>
        <w:overflowPunct w:val="0"/>
        <w:autoSpaceDE w:val="0"/>
        <w:autoSpaceDN w:val="0"/>
        <w:adjustRightInd w:val="0"/>
        <w:snapToGrid w:val="0"/>
        <w:spacing w:line="420" w:lineRule="exact"/>
        <w:ind w:firstLine="480" w:firstLineChars="200"/>
        <w:rPr>
          <w:rFonts w:ascii="宋体" w:hAnsi="宋体"/>
          <w:sz w:val="24"/>
        </w:rPr>
      </w:pPr>
    </w:p>
    <w:p w14:paraId="3C99AD98">
      <w:pPr>
        <w:overflowPunct w:val="0"/>
        <w:autoSpaceDE w:val="0"/>
        <w:autoSpaceDN w:val="0"/>
        <w:adjustRightInd w:val="0"/>
        <w:snapToGrid w:val="0"/>
        <w:spacing w:line="560" w:lineRule="exact"/>
        <w:ind w:right="-227" w:rightChars="-108"/>
        <w:rPr>
          <w:rFonts w:ascii="宋体" w:hAnsi="宋体"/>
          <w:sz w:val="24"/>
        </w:rPr>
      </w:pPr>
      <w:r>
        <w:rPr>
          <w:rFonts w:hint="eastAsia" w:ascii="宋体" w:hAnsi="宋体"/>
          <w:sz w:val="24"/>
        </w:rPr>
        <w:t>委托人: (盖章)                           监理人： (盖章)</w:t>
      </w:r>
    </w:p>
    <w:p w14:paraId="66DF9F09">
      <w:pPr>
        <w:widowControl/>
        <w:spacing w:line="360" w:lineRule="auto"/>
        <w:ind w:right="-656" w:firstLine="1922" w:firstLineChars="801"/>
        <w:jc w:val="left"/>
        <w:rPr>
          <w:rFonts w:ascii="宋体" w:hAnsi="宋体"/>
          <w:sz w:val="24"/>
        </w:rPr>
      </w:pPr>
      <w:r>
        <w:rPr>
          <w:rFonts w:hint="eastAsia" w:ascii="宋体" w:hAnsi="宋体"/>
          <w:sz w:val="24"/>
        </w:rPr>
        <w:t xml:space="preserve">                 </w:t>
      </w:r>
    </w:p>
    <w:p w14:paraId="71C88E49">
      <w:pPr>
        <w:overflowPunct w:val="0"/>
        <w:autoSpaceDE w:val="0"/>
        <w:autoSpaceDN w:val="0"/>
        <w:adjustRightInd w:val="0"/>
        <w:snapToGrid w:val="0"/>
        <w:spacing w:line="560" w:lineRule="exact"/>
        <w:rPr>
          <w:rFonts w:ascii="宋体" w:hAnsi="宋体"/>
          <w:sz w:val="24"/>
        </w:rPr>
      </w:pPr>
      <w:r>
        <w:rPr>
          <w:rFonts w:hint="eastAsia" w:ascii="宋体" w:hAnsi="宋体"/>
          <w:sz w:val="24"/>
        </w:rPr>
        <w:t>法定代表人或其委托代理人：               法定代表人或其委托代理人：</w:t>
      </w:r>
    </w:p>
    <w:p w14:paraId="4084221D">
      <w:pPr>
        <w:overflowPunct w:val="0"/>
        <w:autoSpaceDE w:val="0"/>
        <w:autoSpaceDN w:val="0"/>
        <w:adjustRightInd w:val="0"/>
        <w:snapToGrid w:val="0"/>
        <w:spacing w:line="560" w:lineRule="exact"/>
        <w:rPr>
          <w:rFonts w:ascii="宋体" w:hAnsi="宋体"/>
          <w:sz w:val="24"/>
        </w:rPr>
      </w:pPr>
      <w:r>
        <w:rPr>
          <w:rFonts w:hint="eastAsia" w:ascii="宋体" w:hAnsi="宋体"/>
          <w:sz w:val="24"/>
        </w:rPr>
        <w:t xml:space="preserve">电话：                                   电话：   </w:t>
      </w:r>
    </w:p>
    <w:p w14:paraId="56D5A563">
      <w:pPr>
        <w:overflowPunct w:val="0"/>
        <w:autoSpaceDE w:val="0"/>
        <w:autoSpaceDN w:val="0"/>
        <w:adjustRightInd w:val="0"/>
        <w:snapToGrid w:val="0"/>
        <w:spacing w:line="560" w:lineRule="exact"/>
        <w:rPr>
          <w:rFonts w:ascii="宋体" w:hAnsi="宋体"/>
          <w:sz w:val="24"/>
        </w:rPr>
      </w:pPr>
      <w:r>
        <w:rPr>
          <w:rFonts w:hint="eastAsia" w:ascii="宋体" w:hAnsi="宋体"/>
          <w:sz w:val="24"/>
        </w:rPr>
        <w:t>传真：                                   传真：</w:t>
      </w:r>
    </w:p>
    <w:p w14:paraId="5001EDC3">
      <w:pPr>
        <w:overflowPunct w:val="0"/>
        <w:autoSpaceDE w:val="0"/>
        <w:autoSpaceDN w:val="0"/>
        <w:adjustRightInd w:val="0"/>
        <w:snapToGrid w:val="0"/>
        <w:spacing w:line="560" w:lineRule="exact"/>
        <w:ind w:firstLine="480" w:firstLineChars="200"/>
        <w:rPr>
          <w:rFonts w:ascii="宋体" w:hAnsi="宋体"/>
          <w:sz w:val="24"/>
        </w:rPr>
      </w:pPr>
    </w:p>
    <w:p w14:paraId="438F40D3">
      <w:pPr>
        <w:overflowPunct w:val="0"/>
        <w:autoSpaceDE w:val="0"/>
        <w:autoSpaceDN w:val="0"/>
        <w:adjustRightInd w:val="0"/>
        <w:snapToGrid w:val="0"/>
        <w:spacing w:line="560" w:lineRule="exact"/>
        <w:ind w:firstLine="480" w:firstLineChars="200"/>
        <w:rPr>
          <w:rFonts w:ascii="宋体" w:hAnsi="宋体"/>
          <w:sz w:val="24"/>
        </w:rPr>
      </w:pPr>
      <w:r>
        <w:rPr>
          <w:rFonts w:hint="eastAsia" w:ascii="宋体" w:hAnsi="宋体"/>
          <w:sz w:val="24"/>
        </w:rPr>
        <w:t xml:space="preserve">                </w:t>
      </w:r>
    </w:p>
    <w:p w14:paraId="05F38332">
      <w:pPr>
        <w:overflowPunct w:val="0"/>
        <w:autoSpaceDE w:val="0"/>
        <w:autoSpaceDN w:val="0"/>
        <w:adjustRightInd w:val="0"/>
        <w:snapToGrid w:val="0"/>
        <w:spacing w:line="560" w:lineRule="exact"/>
        <w:ind w:firstLine="480" w:firstLineChars="200"/>
        <w:rPr>
          <w:rFonts w:ascii="宋体" w:hAnsi="宋体"/>
          <w:sz w:val="24"/>
        </w:rPr>
      </w:pPr>
      <w:r>
        <w:rPr>
          <w:rFonts w:hint="eastAsia" w:ascii="宋体" w:hAnsi="宋体"/>
          <w:sz w:val="24"/>
        </w:rPr>
        <w:t xml:space="preserve">                    </w:t>
      </w:r>
    </w:p>
    <w:p w14:paraId="2517DB4B">
      <w:pPr>
        <w:pStyle w:val="2"/>
        <w:rPr>
          <w:rFonts w:ascii="宋体" w:hAnsi="宋体"/>
          <w:sz w:val="24"/>
        </w:rPr>
      </w:pPr>
    </w:p>
    <w:p w14:paraId="628903B2">
      <w:pPr>
        <w:rPr>
          <w:rFonts w:ascii="宋体" w:hAnsi="宋体"/>
          <w:sz w:val="24"/>
        </w:rPr>
      </w:pPr>
    </w:p>
    <w:p w14:paraId="5E8667F2">
      <w:pPr>
        <w:pStyle w:val="2"/>
      </w:pPr>
    </w:p>
    <w:p w14:paraId="260FE0C1"/>
    <w:p w14:paraId="117CB10F">
      <w:pPr>
        <w:rPr>
          <w:rFonts w:ascii="宋体" w:hAnsi="宋体"/>
          <w:sz w:val="24"/>
        </w:rPr>
      </w:pPr>
    </w:p>
    <w:p w14:paraId="55C36996">
      <w:pPr>
        <w:pStyle w:val="2"/>
        <w:rPr>
          <w:rFonts w:ascii="宋体" w:hAnsi="宋体"/>
          <w:sz w:val="24"/>
        </w:rPr>
      </w:pPr>
    </w:p>
    <w:p w14:paraId="14DA3B80">
      <w:pPr>
        <w:overflowPunct w:val="0"/>
        <w:autoSpaceDE w:val="0"/>
        <w:autoSpaceDN w:val="0"/>
        <w:adjustRightInd w:val="0"/>
        <w:snapToGrid w:val="0"/>
        <w:spacing w:line="420" w:lineRule="exact"/>
        <w:outlineLvl w:val="2"/>
        <w:rPr>
          <w:rFonts w:ascii="宋体" w:hAnsi="宋体" w:cs="宋体"/>
          <w:bCs/>
          <w:snapToGrid w:val="0"/>
          <w:spacing w:val="-2"/>
          <w:sz w:val="24"/>
        </w:rPr>
      </w:pPr>
      <w:r>
        <w:rPr>
          <w:rFonts w:hint="eastAsia" w:ascii="宋体" w:hAnsi="宋体"/>
          <w:bCs/>
          <w:sz w:val="24"/>
        </w:rPr>
        <w:t>附录6</w:t>
      </w:r>
    </w:p>
    <w:p w14:paraId="60FBDE05">
      <w:pPr>
        <w:overflowPunct w:val="0"/>
        <w:autoSpaceDE w:val="0"/>
        <w:autoSpaceDN w:val="0"/>
        <w:adjustRightInd w:val="0"/>
        <w:snapToGrid w:val="0"/>
        <w:spacing w:line="420" w:lineRule="exact"/>
        <w:ind w:firstLine="602" w:firstLineChars="200"/>
        <w:jc w:val="center"/>
        <w:rPr>
          <w:rFonts w:ascii="宋体" w:hAnsi="宋体"/>
          <w:b/>
          <w:sz w:val="30"/>
          <w:szCs w:val="30"/>
        </w:rPr>
      </w:pPr>
      <w:r>
        <w:rPr>
          <w:rFonts w:ascii="宋体" w:hAnsi="宋体"/>
          <w:b/>
          <w:sz w:val="30"/>
          <w:szCs w:val="30"/>
        </w:rPr>
        <w:t>建设项目安全生产管理办法</w:t>
      </w:r>
    </w:p>
    <w:p w14:paraId="091F9E0E">
      <w:pPr>
        <w:overflowPunct w:val="0"/>
        <w:autoSpaceDE w:val="0"/>
        <w:autoSpaceDN w:val="0"/>
        <w:adjustRightInd w:val="0"/>
        <w:snapToGrid w:val="0"/>
        <w:spacing w:line="420" w:lineRule="exact"/>
        <w:ind w:firstLine="480" w:firstLineChars="200"/>
        <w:jc w:val="center"/>
        <w:rPr>
          <w:rFonts w:ascii="宋体" w:hAnsi="宋体"/>
          <w:sz w:val="24"/>
        </w:rPr>
      </w:pPr>
    </w:p>
    <w:p w14:paraId="7E345D54">
      <w:pPr>
        <w:overflowPunct w:val="0"/>
        <w:autoSpaceDE w:val="0"/>
        <w:autoSpaceDN w:val="0"/>
        <w:adjustRightInd w:val="0"/>
        <w:snapToGrid w:val="0"/>
        <w:spacing w:line="420" w:lineRule="exact"/>
        <w:ind w:firstLine="482" w:firstLineChars="200"/>
        <w:jc w:val="center"/>
        <w:rPr>
          <w:rFonts w:ascii="宋体" w:hAnsi="宋体"/>
          <w:b/>
          <w:bCs/>
          <w:sz w:val="24"/>
        </w:rPr>
      </w:pPr>
      <w:r>
        <w:rPr>
          <w:rFonts w:ascii="宋体" w:hAnsi="宋体"/>
          <w:b/>
          <w:bCs/>
          <w:sz w:val="24"/>
        </w:rPr>
        <w:t>第一章</w:t>
      </w:r>
      <w:r>
        <w:rPr>
          <w:rFonts w:hint="eastAsia" w:ascii="宋体" w:hAnsi="宋体"/>
          <w:b/>
          <w:bCs/>
          <w:sz w:val="24"/>
        </w:rPr>
        <w:t xml:space="preserve">  </w:t>
      </w:r>
      <w:r>
        <w:rPr>
          <w:rFonts w:ascii="宋体" w:hAnsi="宋体"/>
          <w:b/>
          <w:bCs/>
          <w:sz w:val="24"/>
        </w:rPr>
        <w:t>总</w:t>
      </w:r>
      <w:r>
        <w:rPr>
          <w:rFonts w:hint="eastAsia" w:ascii="宋体" w:hAnsi="宋体"/>
          <w:b/>
          <w:bCs/>
          <w:sz w:val="24"/>
        </w:rPr>
        <w:t xml:space="preserve">  </w:t>
      </w:r>
      <w:r>
        <w:rPr>
          <w:rFonts w:ascii="宋体" w:hAnsi="宋体"/>
          <w:b/>
          <w:bCs/>
          <w:sz w:val="24"/>
        </w:rPr>
        <w:t>则</w:t>
      </w:r>
    </w:p>
    <w:p w14:paraId="1DA2EB4F">
      <w:pPr>
        <w:overflowPunct w:val="0"/>
        <w:autoSpaceDE w:val="0"/>
        <w:autoSpaceDN w:val="0"/>
        <w:adjustRightInd w:val="0"/>
        <w:snapToGrid w:val="0"/>
        <w:spacing w:line="420" w:lineRule="exact"/>
        <w:rPr>
          <w:rFonts w:ascii="宋体" w:hAnsi="宋体"/>
          <w:kern w:val="0"/>
          <w:szCs w:val="21"/>
        </w:rPr>
      </w:pPr>
      <w:r>
        <w:rPr>
          <w:rFonts w:hint="eastAsia" w:ascii="宋体" w:hAnsi="宋体"/>
          <w:kern w:val="0"/>
          <w:szCs w:val="21"/>
        </w:rPr>
        <w:t xml:space="preserve">第一条  </w:t>
      </w:r>
      <w:r>
        <w:rPr>
          <w:rFonts w:ascii="宋体" w:hAnsi="宋体"/>
          <w:kern w:val="0"/>
          <w:szCs w:val="21"/>
        </w:rPr>
        <w:t>为</w:t>
      </w:r>
      <w:r>
        <w:rPr>
          <w:rFonts w:hint="eastAsia" w:ascii="宋体" w:hAnsi="宋体"/>
          <w:kern w:val="0"/>
          <w:szCs w:val="21"/>
        </w:rPr>
        <w:t>规范</w:t>
      </w:r>
      <w:r>
        <w:rPr>
          <w:rFonts w:hint="eastAsia" w:ascii="宋体" w:hAnsi="宋体"/>
          <w:kern w:val="0"/>
          <w:szCs w:val="21"/>
          <w:u w:val="single"/>
        </w:rPr>
        <w:t xml:space="preserve">  </w:t>
      </w:r>
      <w:r>
        <w:rPr>
          <w:rFonts w:hint="eastAsia" w:ascii="宋体" w:hAnsi="宋体"/>
          <w:sz w:val="24"/>
          <w:u w:val="single"/>
        </w:rPr>
        <w:t xml:space="preserve">                 </w:t>
      </w:r>
      <w:r>
        <w:rPr>
          <w:rFonts w:hint="eastAsia" w:ascii="宋体" w:hAnsi="宋体"/>
          <w:kern w:val="0"/>
          <w:szCs w:val="21"/>
        </w:rPr>
        <w:t>（以下简称“</w:t>
      </w:r>
      <w:r>
        <w:rPr>
          <w:rFonts w:ascii="宋体" w:hAnsi="宋体"/>
          <w:kern w:val="0"/>
          <w:szCs w:val="21"/>
        </w:rPr>
        <w:t>公司</w:t>
      </w:r>
      <w:r>
        <w:rPr>
          <w:rFonts w:hint="eastAsia" w:ascii="宋体" w:hAnsi="宋体"/>
          <w:kern w:val="0"/>
          <w:szCs w:val="21"/>
        </w:rPr>
        <w:t>”）</w:t>
      </w:r>
      <w:r>
        <w:rPr>
          <w:rFonts w:ascii="宋体" w:hAnsi="宋体"/>
          <w:kern w:val="0"/>
          <w:szCs w:val="21"/>
        </w:rPr>
        <w:t>的建设项目安全生产管理，根据国家《安全生产法》、《建筑工程安全生产管理条例》、《建筑施工安全检查标准》、《重庆市建设工程安全生产管理办法》等规定，制定本办法。</w:t>
      </w:r>
    </w:p>
    <w:p w14:paraId="5134E402">
      <w:pPr>
        <w:overflowPunct w:val="0"/>
        <w:autoSpaceDE w:val="0"/>
        <w:autoSpaceDN w:val="0"/>
        <w:adjustRightInd w:val="0"/>
        <w:snapToGrid w:val="0"/>
        <w:spacing w:line="420" w:lineRule="exact"/>
        <w:ind w:firstLine="420" w:firstLineChars="200"/>
        <w:rPr>
          <w:rFonts w:ascii="宋体" w:hAnsi="宋体"/>
          <w:kern w:val="0"/>
          <w:szCs w:val="21"/>
        </w:rPr>
      </w:pPr>
      <w:r>
        <w:rPr>
          <w:rFonts w:hint="eastAsia" w:ascii="宋体" w:hAnsi="宋体"/>
          <w:kern w:val="0"/>
          <w:szCs w:val="21"/>
        </w:rPr>
        <w:t xml:space="preserve">第二条  </w:t>
      </w:r>
      <w:r>
        <w:rPr>
          <w:rFonts w:ascii="宋体" w:hAnsi="宋体"/>
          <w:kern w:val="0"/>
          <w:szCs w:val="21"/>
        </w:rPr>
        <w:t>公司所有建设项目须遵循</w:t>
      </w:r>
      <w:r>
        <w:rPr>
          <w:rFonts w:hint="eastAsia" w:ascii="宋体" w:hAnsi="宋体"/>
          <w:kern w:val="0"/>
          <w:szCs w:val="21"/>
        </w:rPr>
        <w:t>“</w:t>
      </w:r>
      <w:r>
        <w:rPr>
          <w:rFonts w:ascii="宋体" w:hAnsi="宋体"/>
          <w:kern w:val="0"/>
          <w:szCs w:val="21"/>
        </w:rPr>
        <w:t>安全生产，人人有责</w:t>
      </w:r>
      <w:r>
        <w:rPr>
          <w:rFonts w:hint="eastAsia" w:ascii="宋体" w:hAnsi="宋体"/>
          <w:kern w:val="0"/>
          <w:szCs w:val="21"/>
        </w:rPr>
        <w:t>”、“</w:t>
      </w:r>
      <w:r>
        <w:rPr>
          <w:rFonts w:ascii="宋体" w:hAnsi="宋体"/>
          <w:kern w:val="0"/>
          <w:szCs w:val="21"/>
        </w:rPr>
        <w:t>管项目必须管安全</w:t>
      </w:r>
      <w:r>
        <w:rPr>
          <w:rFonts w:hint="eastAsia" w:ascii="宋体" w:hAnsi="宋体"/>
          <w:kern w:val="0"/>
          <w:szCs w:val="21"/>
        </w:rPr>
        <w:t>”</w:t>
      </w:r>
      <w:r>
        <w:rPr>
          <w:rFonts w:ascii="宋体" w:hAnsi="宋体"/>
          <w:kern w:val="0"/>
          <w:szCs w:val="21"/>
        </w:rPr>
        <w:t>的原则，实行公司统一领导，专门机构具体组织、监督的管理体制。</w:t>
      </w:r>
    </w:p>
    <w:p w14:paraId="29F23E53">
      <w:pPr>
        <w:overflowPunct w:val="0"/>
        <w:autoSpaceDE w:val="0"/>
        <w:autoSpaceDN w:val="0"/>
        <w:adjustRightInd w:val="0"/>
        <w:snapToGrid w:val="0"/>
        <w:spacing w:line="420" w:lineRule="exact"/>
        <w:ind w:firstLine="420" w:firstLineChars="200"/>
        <w:rPr>
          <w:rFonts w:ascii="宋体" w:hAnsi="宋体"/>
          <w:kern w:val="0"/>
          <w:szCs w:val="21"/>
        </w:rPr>
      </w:pPr>
      <w:r>
        <w:rPr>
          <w:rFonts w:hint="eastAsia" w:ascii="宋体" w:hAnsi="宋体"/>
          <w:kern w:val="0"/>
          <w:szCs w:val="21"/>
        </w:rPr>
        <w:t xml:space="preserve">第三条  </w:t>
      </w:r>
      <w:r>
        <w:rPr>
          <w:rFonts w:ascii="宋体" w:hAnsi="宋体"/>
          <w:kern w:val="0"/>
          <w:szCs w:val="21"/>
        </w:rPr>
        <w:t>安全管理以责任死亡事故为零</w:t>
      </w:r>
      <w:r>
        <w:rPr>
          <w:rFonts w:hint="eastAsia" w:ascii="宋体" w:hAnsi="宋体"/>
          <w:kern w:val="0"/>
          <w:szCs w:val="21"/>
        </w:rPr>
        <w:t>，</w:t>
      </w:r>
      <w:r>
        <w:rPr>
          <w:rFonts w:ascii="宋体" w:hAnsi="宋体"/>
          <w:kern w:val="0"/>
          <w:szCs w:val="21"/>
        </w:rPr>
        <w:t>人身重伤责任事故为零</w:t>
      </w:r>
      <w:r>
        <w:rPr>
          <w:rFonts w:hint="eastAsia" w:ascii="宋体" w:hAnsi="宋体"/>
          <w:kern w:val="0"/>
          <w:szCs w:val="21"/>
        </w:rPr>
        <w:t>，</w:t>
      </w:r>
      <w:r>
        <w:rPr>
          <w:rFonts w:ascii="宋体" w:hAnsi="宋体"/>
          <w:kern w:val="0"/>
          <w:szCs w:val="21"/>
        </w:rPr>
        <w:t>重大机械设备责任事故为零</w:t>
      </w:r>
      <w:r>
        <w:rPr>
          <w:rFonts w:hint="eastAsia" w:ascii="宋体" w:hAnsi="宋体"/>
          <w:kern w:val="0"/>
          <w:szCs w:val="21"/>
        </w:rPr>
        <w:t>，</w:t>
      </w:r>
      <w:r>
        <w:rPr>
          <w:rFonts w:ascii="宋体" w:hAnsi="宋体"/>
          <w:kern w:val="0"/>
          <w:szCs w:val="21"/>
        </w:rPr>
        <w:t>重大火灾责任事故为零</w:t>
      </w:r>
      <w:r>
        <w:rPr>
          <w:rFonts w:hint="eastAsia" w:ascii="宋体" w:hAnsi="宋体"/>
          <w:kern w:val="0"/>
          <w:szCs w:val="21"/>
        </w:rPr>
        <w:t>，</w:t>
      </w:r>
      <w:r>
        <w:rPr>
          <w:rFonts w:ascii="宋体" w:hAnsi="宋体"/>
          <w:kern w:val="0"/>
          <w:szCs w:val="21"/>
        </w:rPr>
        <w:t>重大坍塌责任事故为零</w:t>
      </w:r>
      <w:r>
        <w:rPr>
          <w:rFonts w:hint="eastAsia" w:ascii="宋体" w:hAnsi="宋体"/>
          <w:kern w:val="0"/>
          <w:szCs w:val="21"/>
        </w:rPr>
        <w:t>，</w:t>
      </w:r>
      <w:r>
        <w:rPr>
          <w:rFonts w:ascii="宋体" w:hAnsi="宋体"/>
          <w:kern w:val="0"/>
          <w:szCs w:val="21"/>
        </w:rPr>
        <w:t>重大职业卫生伤害责任事故为零</w:t>
      </w:r>
      <w:r>
        <w:rPr>
          <w:rFonts w:hint="eastAsia" w:ascii="宋体" w:hAnsi="宋体"/>
          <w:kern w:val="0"/>
          <w:szCs w:val="21"/>
        </w:rPr>
        <w:t>，</w:t>
      </w:r>
      <w:r>
        <w:rPr>
          <w:rFonts w:ascii="宋体" w:hAnsi="宋体"/>
          <w:kern w:val="0"/>
          <w:szCs w:val="21"/>
        </w:rPr>
        <w:t>重大环境污染责任事故为零为目标。</w:t>
      </w:r>
    </w:p>
    <w:p w14:paraId="227A6410">
      <w:pPr>
        <w:overflowPunct w:val="0"/>
        <w:autoSpaceDE w:val="0"/>
        <w:autoSpaceDN w:val="0"/>
        <w:adjustRightInd w:val="0"/>
        <w:snapToGrid w:val="0"/>
        <w:spacing w:line="420" w:lineRule="exact"/>
        <w:ind w:firstLine="422" w:firstLineChars="200"/>
        <w:jc w:val="center"/>
        <w:rPr>
          <w:rFonts w:ascii="宋体" w:hAnsi="宋体"/>
          <w:b/>
          <w:bCs/>
          <w:szCs w:val="21"/>
        </w:rPr>
      </w:pPr>
      <w:r>
        <w:rPr>
          <w:rFonts w:ascii="宋体" w:hAnsi="宋体"/>
          <w:b/>
          <w:bCs/>
          <w:szCs w:val="21"/>
        </w:rPr>
        <w:t>第二章</w:t>
      </w:r>
      <w:r>
        <w:rPr>
          <w:rFonts w:hint="eastAsia" w:ascii="宋体" w:hAnsi="宋体"/>
          <w:b/>
          <w:bCs/>
          <w:szCs w:val="21"/>
        </w:rPr>
        <w:t xml:space="preserve">  </w:t>
      </w:r>
      <w:r>
        <w:rPr>
          <w:rFonts w:ascii="宋体" w:hAnsi="宋体"/>
          <w:b/>
          <w:bCs/>
          <w:szCs w:val="21"/>
        </w:rPr>
        <w:t>机构与人员配备</w:t>
      </w:r>
    </w:p>
    <w:p w14:paraId="69593B69">
      <w:pPr>
        <w:overflowPunct w:val="0"/>
        <w:autoSpaceDE w:val="0"/>
        <w:autoSpaceDN w:val="0"/>
        <w:adjustRightInd w:val="0"/>
        <w:snapToGrid w:val="0"/>
        <w:spacing w:line="420" w:lineRule="exact"/>
        <w:ind w:firstLine="420" w:firstLineChars="200"/>
        <w:rPr>
          <w:rFonts w:ascii="宋体" w:hAnsi="宋体"/>
          <w:kern w:val="0"/>
          <w:szCs w:val="21"/>
        </w:rPr>
      </w:pPr>
      <w:r>
        <w:rPr>
          <w:rFonts w:hint="eastAsia" w:ascii="宋体" w:hAnsi="宋体"/>
          <w:kern w:val="0"/>
          <w:szCs w:val="21"/>
        </w:rPr>
        <w:t xml:space="preserve">第四条  </w:t>
      </w:r>
      <w:r>
        <w:rPr>
          <w:rFonts w:ascii="宋体" w:hAnsi="宋体"/>
          <w:kern w:val="0"/>
          <w:szCs w:val="21"/>
        </w:rPr>
        <w:t>公司成立以总经理为组长、分管安全副总经理为常务副组长、其他领导班子成员为副组长，各内设机构负责人为成员的安全生产领导小组（以下简称</w:t>
      </w:r>
      <w:r>
        <w:rPr>
          <w:rFonts w:hint="eastAsia" w:ascii="宋体" w:hAnsi="宋体"/>
          <w:kern w:val="0"/>
          <w:szCs w:val="21"/>
        </w:rPr>
        <w:t>“</w:t>
      </w:r>
      <w:r>
        <w:rPr>
          <w:rFonts w:ascii="宋体" w:hAnsi="宋体"/>
          <w:kern w:val="0"/>
          <w:szCs w:val="21"/>
        </w:rPr>
        <w:t>安全领导小组</w:t>
      </w:r>
      <w:r>
        <w:rPr>
          <w:rFonts w:hint="eastAsia" w:ascii="宋体" w:hAnsi="宋体"/>
          <w:kern w:val="0"/>
          <w:szCs w:val="21"/>
        </w:rPr>
        <w:t>”</w:t>
      </w:r>
      <w:r>
        <w:rPr>
          <w:rFonts w:ascii="宋体" w:hAnsi="宋体"/>
          <w:kern w:val="0"/>
          <w:szCs w:val="21"/>
        </w:rPr>
        <w:t>），在公司负责安全的部门设立安全办，安全办在安全领导小组领导下，对施工生产安全进行综合管理。安全办配备专职安全员，专职安全员须经</w:t>
      </w:r>
      <w:r>
        <w:rPr>
          <w:rFonts w:hint="eastAsia" w:ascii="宋体" w:hAnsi="宋体"/>
          <w:kern w:val="0"/>
          <w:szCs w:val="21"/>
        </w:rPr>
        <w:t>应急管理</w:t>
      </w:r>
      <w:r>
        <w:rPr>
          <w:rFonts w:ascii="宋体" w:hAnsi="宋体"/>
          <w:kern w:val="0"/>
          <w:szCs w:val="21"/>
        </w:rPr>
        <w:t>部门培训合格后方可上岗。</w:t>
      </w:r>
    </w:p>
    <w:p w14:paraId="74C07F63">
      <w:pPr>
        <w:overflowPunct w:val="0"/>
        <w:autoSpaceDE w:val="0"/>
        <w:autoSpaceDN w:val="0"/>
        <w:adjustRightInd w:val="0"/>
        <w:snapToGrid w:val="0"/>
        <w:spacing w:line="420" w:lineRule="exact"/>
        <w:ind w:firstLine="420" w:firstLineChars="200"/>
        <w:rPr>
          <w:rFonts w:ascii="宋体" w:hAnsi="宋体"/>
          <w:kern w:val="0"/>
          <w:szCs w:val="21"/>
        </w:rPr>
      </w:pPr>
      <w:r>
        <w:rPr>
          <w:rFonts w:hint="eastAsia" w:ascii="宋体" w:hAnsi="宋体"/>
          <w:kern w:val="0"/>
          <w:szCs w:val="21"/>
        </w:rPr>
        <w:t xml:space="preserve">第五条  </w:t>
      </w:r>
      <w:r>
        <w:rPr>
          <w:rFonts w:ascii="宋体" w:hAnsi="宋体"/>
          <w:kern w:val="0"/>
          <w:szCs w:val="21"/>
        </w:rPr>
        <w:t>公司负责安全工作的部门是安全生产监督机构。</w:t>
      </w:r>
    </w:p>
    <w:p w14:paraId="0D232AD4">
      <w:pPr>
        <w:overflowPunct w:val="0"/>
        <w:autoSpaceDE w:val="0"/>
        <w:autoSpaceDN w:val="0"/>
        <w:adjustRightInd w:val="0"/>
        <w:snapToGrid w:val="0"/>
        <w:spacing w:line="420" w:lineRule="exact"/>
        <w:ind w:firstLine="420" w:firstLineChars="200"/>
        <w:rPr>
          <w:rFonts w:ascii="宋体" w:hAnsi="宋体"/>
          <w:b/>
          <w:szCs w:val="21"/>
        </w:rPr>
      </w:pPr>
      <w:r>
        <w:rPr>
          <w:rFonts w:hint="eastAsia" w:ascii="宋体" w:hAnsi="宋体"/>
          <w:kern w:val="0"/>
          <w:szCs w:val="21"/>
        </w:rPr>
        <w:t xml:space="preserve">第六条  </w:t>
      </w:r>
      <w:r>
        <w:rPr>
          <w:rFonts w:ascii="宋体" w:hAnsi="宋体"/>
          <w:kern w:val="0"/>
          <w:szCs w:val="21"/>
        </w:rPr>
        <w:t>安全领导小组应当督促公司各建设项目的相关作业单位成立安全生产领导机构，按规定设置安全生产管理部门，配备相对稳定的专职安全管理人员，并负责检查、督促各项施工安全措施的落实。</w:t>
      </w:r>
    </w:p>
    <w:p w14:paraId="6C0E1E41">
      <w:pPr>
        <w:overflowPunct w:val="0"/>
        <w:autoSpaceDE w:val="0"/>
        <w:autoSpaceDN w:val="0"/>
        <w:adjustRightInd w:val="0"/>
        <w:snapToGrid w:val="0"/>
        <w:spacing w:line="420" w:lineRule="exact"/>
        <w:ind w:firstLine="422" w:firstLineChars="200"/>
        <w:jc w:val="center"/>
        <w:rPr>
          <w:rFonts w:ascii="宋体" w:hAnsi="宋体"/>
          <w:b/>
          <w:bCs/>
          <w:szCs w:val="21"/>
        </w:rPr>
      </w:pPr>
      <w:r>
        <w:rPr>
          <w:rFonts w:ascii="宋体" w:hAnsi="宋体"/>
          <w:b/>
          <w:bCs/>
          <w:szCs w:val="21"/>
        </w:rPr>
        <w:t>第三章</w:t>
      </w:r>
      <w:r>
        <w:rPr>
          <w:rFonts w:hint="eastAsia" w:ascii="宋体" w:hAnsi="宋体"/>
          <w:b/>
          <w:bCs/>
          <w:szCs w:val="21"/>
        </w:rPr>
        <w:t xml:space="preserve">  </w:t>
      </w:r>
      <w:r>
        <w:rPr>
          <w:rFonts w:ascii="宋体" w:hAnsi="宋体"/>
          <w:b/>
          <w:bCs/>
          <w:szCs w:val="21"/>
        </w:rPr>
        <w:t>安全生产管理职责</w:t>
      </w:r>
    </w:p>
    <w:p w14:paraId="08345819">
      <w:pPr>
        <w:tabs>
          <w:tab w:val="left" w:pos="662"/>
        </w:tabs>
        <w:overflowPunct w:val="0"/>
        <w:autoSpaceDE w:val="0"/>
        <w:autoSpaceDN w:val="0"/>
        <w:adjustRightInd w:val="0"/>
        <w:snapToGrid w:val="0"/>
        <w:spacing w:line="420" w:lineRule="exact"/>
        <w:ind w:firstLine="420" w:firstLineChars="200"/>
        <w:jc w:val="left"/>
        <w:rPr>
          <w:rFonts w:ascii="宋体" w:hAnsi="宋体"/>
          <w:kern w:val="0"/>
          <w:szCs w:val="21"/>
        </w:rPr>
      </w:pPr>
      <w:r>
        <w:rPr>
          <w:rFonts w:hint="eastAsia" w:ascii="宋体" w:hAnsi="宋体"/>
          <w:kern w:val="0"/>
          <w:szCs w:val="21"/>
        </w:rPr>
        <w:t xml:space="preserve">第七条  </w:t>
      </w:r>
      <w:r>
        <w:rPr>
          <w:rFonts w:ascii="宋体" w:hAnsi="宋体"/>
          <w:kern w:val="0"/>
          <w:szCs w:val="21"/>
        </w:rPr>
        <w:t>安全领导小组的职责</w:t>
      </w:r>
      <w:r>
        <w:rPr>
          <w:rFonts w:hint="eastAsia" w:ascii="宋体" w:hAnsi="宋体"/>
          <w:kern w:val="0"/>
          <w:szCs w:val="21"/>
        </w:rPr>
        <w:t>：</w:t>
      </w:r>
    </w:p>
    <w:p w14:paraId="44A5AA48">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（一）负责公司安全生产工作的组织协调和管理</w:t>
      </w:r>
      <w:r>
        <w:rPr>
          <w:rFonts w:hint="eastAsia" w:ascii="宋体" w:hAnsi="宋体"/>
          <w:kern w:val="0"/>
          <w:szCs w:val="21"/>
        </w:rPr>
        <w:t>，</w:t>
      </w:r>
      <w:r>
        <w:rPr>
          <w:rFonts w:ascii="宋体" w:hAnsi="宋体"/>
          <w:kern w:val="0"/>
          <w:szCs w:val="21"/>
        </w:rPr>
        <w:t>负责监督安全生产相关法律法规的执行</w:t>
      </w:r>
      <w:r>
        <w:rPr>
          <w:rFonts w:hint="eastAsia" w:ascii="宋体" w:hAnsi="宋体"/>
          <w:kern w:val="0"/>
          <w:szCs w:val="21"/>
        </w:rPr>
        <w:t>，</w:t>
      </w:r>
      <w:r>
        <w:rPr>
          <w:rFonts w:ascii="宋体" w:hAnsi="宋体"/>
          <w:kern w:val="0"/>
          <w:szCs w:val="21"/>
        </w:rPr>
        <w:t>负责贯彻落实安全生产工作的相关政策和行业主管部门</w:t>
      </w:r>
      <w:r>
        <w:rPr>
          <w:rFonts w:hint="eastAsia" w:ascii="宋体" w:hAnsi="宋体"/>
          <w:kern w:val="0"/>
          <w:szCs w:val="21"/>
        </w:rPr>
        <w:t>以及</w:t>
      </w:r>
      <w:r>
        <w:rPr>
          <w:rFonts w:ascii="宋体" w:hAnsi="宋体"/>
          <w:kern w:val="0"/>
          <w:szCs w:val="21"/>
        </w:rPr>
        <w:t>公司领导的工作部署</w:t>
      </w:r>
      <w:r>
        <w:rPr>
          <w:rFonts w:hint="eastAsia" w:ascii="宋体" w:hAnsi="宋体"/>
          <w:kern w:val="0"/>
          <w:szCs w:val="21"/>
        </w:rPr>
        <w:t>；</w:t>
      </w:r>
    </w:p>
    <w:p w14:paraId="3C3DD19E">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（二）加强对安全生产工作的领导，将安全生产工作纳入公司发展规划，及时协调解决安全生产工作中的重大问题</w:t>
      </w:r>
      <w:r>
        <w:rPr>
          <w:rFonts w:hint="eastAsia" w:ascii="宋体" w:hAnsi="宋体"/>
          <w:kern w:val="0"/>
          <w:szCs w:val="21"/>
        </w:rPr>
        <w:t>；</w:t>
      </w:r>
    </w:p>
    <w:p w14:paraId="6FBA0352">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w:t>
      </w:r>
      <w:r>
        <w:rPr>
          <w:rFonts w:hint="eastAsia" w:ascii="宋体" w:hAnsi="宋体"/>
          <w:kern w:val="0"/>
          <w:szCs w:val="21"/>
        </w:rPr>
        <w:t>三</w:t>
      </w:r>
      <w:r>
        <w:rPr>
          <w:rFonts w:ascii="宋体" w:hAnsi="宋体"/>
          <w:kern w:val="0"/>
          <w:szCs w:val="21"/>
        </w:rPr>
        <w:t>）配备与安全生产工作相适应的人员，并保障必要的办公设施和工作经费</w:t>
      </w:r>
      <w:r>
        <w:rPr>
          <w:rFonts w:hint="eastAsia" w:ascii="宋体" w:hAnsi="宋体"/>
          <w:kern w:val="0"/>
          <w:szCs w:val="21"/>
        </w:rPr>
        <w:t>；</w:t>
      </w:r>
    </w:p>
    <w:p w14:paraId="736B0857">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w:t>
      </w:r>
      <w:r>
        <w:rPr>
          <w:rFonts w:hint="eastAsia" w:ascii="宋体" w:hAnsi="宋体"/>
          <w:kern w:val="0"/>
          <w:szCs w:val="21"/>
        </w:rPr>
        <w:t>四</w:t>
      </w:r>
      <w:r>
        <w:rPr>
          <w:rFonts w:ascii="宋体" w:hAnsi="宋体"/>
          <w:kern w:val="0"/>
          <w:szCs w:val="21"/>
        </w:rPr>
        <w:t>）负责发布公司的安全生产信息</w:t>
      </w:r>
      <w:r>
        <w:rPr>
          <w:rFonts w:hint="eastAsia" w:ascii="宋体" w:hAnsi="宋体"/>
          <w:kern w:val="0"/>
          <w:szCs w:val="21"/>
        </w:rPr>
        <w:t>；</w:t>
      </w:r>
    </w:p>
    <w:p w14:paraId="7ACD9F6A">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w:t>
      </w:r>
      <w:r>
        <w:rPr>
          <w:rFonts w:hint="eastAsia" w:ascii="宋体" w:hAnsi="宋体"/>
          <w:kern w:val="0"/>
          <w:szCs w:val="21"/>
        </w:rPr>
        <w:t>五</w:t>
      </w:r>
      <w:r>
        <w:rPr>
          <w:rFonts w:ascii="宋体" w:hAnsi="宋体"/>
          <w:kern w:val="0"/>
          <w:szCs w:val="21"/>
        </w:rPr>
        <w:t>）制定或者审批公司各项安全生产管理制度、安全生产的考核目标和责任追究制度。</w:t>
      </w:r>
    </w:p>
    <w:p w14:paraId="19A345AE">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hint="eastAsia" w:ascii="宋体" w:hAnsi="宋体"/>
          <w:kern w:val="0"/>
          <w:szCs w:val="21"/>
        </w:rPr>
        <w:t xml:space="preserve">第八条  </w:t>
      </w:r>
      <w:r>
        <w:rPr>
          <w:rFonts w:ascii="宋体" w:hAnsi="宋体"/>
          <w:kern w:val="0"/>
          <w:szCs w:val="21"/>
        </w:rPr>
        <w:t>安全办职责</w:t>
      </w:r>
      <w:r>
        <w:rPr>
          <w:rFonts w:hint="eastAsia" w:ascii="宋体" w:hAnsi="宋体"/>
          <w:kern w:val="0"/>
          <w:szCs w:val="21"/>
        </w:rPr>
        <w:t>：</w:t>
      </w:r>
    </w:p>
    <w:p w14:paraId="006E611C">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（一）拟订和实施公司各项安全生产管理制度，建立公司安全生产台账</w:t>
      </w:r>
      <w:r>
        <w:rPr>
          <w:rFonts w:hint="eastAsia" w:ascii="宋体" w:hAnsi="宋体"/>
          <w:kern w:val="0"/>
          <w:szCs w:val="21"/>
        </w:rPr>
        <w:t>；</w:t>
      </w:r>
    </w:p>
    <w:p w14:paraId="7FD26BE7">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（二）对公司各建设项目进行安全生产巡查，督促监理、施工单位对安全隐患事项及时进行整改</w:t>
      </w:r>
      <w:r>
        <w:rPr>
          <w:rFonts w:hint="eastAsia" w:ascii="宋体" w:hAnsi="宋体"/>
          <w:kern w:val="0"/>
          <w:szCs w:val="21"/>
        </w:rPr>
        <w:t>；</w:t>
      </w:r>
    </w:p>
    <w:p w14:paraId="2E093ABC">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（三）对公司区域内的重大危险源登记建档，制定监控、消除危险源的方案并负责监督实施</w:t>
      </w:r>
      <w:r>
        <w:rPr>
          <w:rFonts w:hint="eastAsia" w:ascii="宋体" w:hAnsi="宋体"/>
          <w:kern w:val="0"/>
          <w:szCs w:val="21"/>
        </w:rPr>
        <w:t>；</w:t>
      </w:r>
    </w:p>
    <w:p w14:paraId="3CB4EB01">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（四）编制安全生产应急救援综合预案，定期组织演练</w:t>
      </w:r>
      <w:r>
        <w:rPr>
          <w:rFonts w:hint="eastAsia" w:ascii="宋体" w:hAnsi="宋体"/>
          <w:kern w:val="0"/>
          <w:szCs w:val="21"/>
        </w:rPr>
        <w:t>；</w:t>
      </w:r>
    </w:p>
    <w:p w14:paraId="0A5F1D6C">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（五）加强安全生产宣传教育，提高员工和参建单位的安全意识，营造良好的安全生产氛围</w:t>
      </w:r>
      <w:r>
        <w:rPr>
          <w:rFonts w:hint="eastAsia" w:ascii="宋体" w:hAnsi="宋体"/>
          <w:kern w:val="0"/>
          <w:szCs w:val="21"/>
        </w:rPr>
        <w:t>；</w:t>
      </w:r>
    </w:p>
    <w:p w14:paraId="67B15B49">
      <w:pPr>
        <w:overflowPunct w:val="0"/>
        <w:autoSpaceDE w:val="0"/>
        <w:autoSpaceDN w:val="0"/>
        <w:adjustRightInd w:val="0"/>
        <w:snapToGrid w:val="0"/>
        <w:spacing w:line="420" w:lineRule="exact"/>
        <w:ind w:firstLine="420" w:firstLineChars="200"/>
        <w:rPr>
          <w:rFonts w:ascii="宋体" w:hAnsi="宋体"/>
          <w:kern w:val="0"/>
          <w:szCs w:val="21"/>
        </w:rPr>
      </w:pPr>
      <w:r>
        <w:rPr>
          <w:rFonts w:ascii="宋体" w:hAnsi="宋体"/>
          <w:kern w:val="0"/>
          <w:szCs w:val="21"/>
        </w:rPr>
        <w:t>（六）按规定上报安全事故，有效开展救援，督促事故责任单位做好善后工作。积极配合上级部门开展事故调查，并协助将事故责任追究落实到位</w:t>
      </w:r>
      <w:r>
        <w:rPr>
          <w:rFonts w:hint="eastAsia" w:ascii="宋体" w:hAnsi="宋体"/>
          <w:kern w:val="0"/>
          <w:szCs w:val="21"/>
        </w:rPr>
        <w:t>；</w:t>
      </w:r>
    </w:p>
    <w:p w14:paraId="54386D00">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w:t>
      </w:r>
      <w:r>
        <w:rPr>
          <w:rFonts w:hint="eastAsia" w:ascii="宋体" w:hAnsi="宋体"/>
          <w:kern w:val="0"/>
          <w:szCs w:val="21"/>
        </w:rPr>
        <w:t>七</w:t>
      </w:r>
      <w:r>
        <w:rPr>
          <w:rFonts w:ascii="宋体" w:hAnsi="宋体"/>
          <w:kern w:val="0"/>
          <w:szCs w:val="21"/>
        </w:rPr>
        <w:t>）承办公司召开的安全生产工作会议及各类安全生产活动，并对主管部门作出的安全生产决定、事项进行贯彻落实</w:t>
      </w:r>
      <w:r>
        <w:rPr>
          <w:rFonts w:hint="eastAsia" w:ascii="宋体" w:hAnsi="宋体"/>
          <w:kern w:val="0"/>
          <w:szCs w:val="21"/>
        </w:rPr>
        <w:t>；</w:t>
      </w:r>
    </w:p>
    <w:p w14:paraId="5B6D0849">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w:t>
      </w:r>
      <w:r>
        <w:rPr>
          <w:rFonts w:hint="eastAsia" w:ascii="宋体" w:hAnsi="宋体"/>
          <w:kern w:val="0"/>
          <w:szCs w:val="21"/>
        </w:rPr>
        <w:t>八</w:t>
      </w:r>
      <w:r>
        <w:rPr>
          <w:rFonts w:ascii="宋体" w:hAnsi="宋体"/>
          <w:kern w:val="0"/>
          <w:szCs w:val="21"/>
        </w:rPr>
        <w:t>）其它安全生产工作。</w:t>
      </w:r>
    </w:p>
    <w:p w14:paraId="0F5E528D">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hint="eastAsia" w:ascii="宋体" w:hAnsi="宋体"/>
          <w:kern w:val="0"/>
          <w:szCs w:val="21"/>
        </w:rPr>
        <w:t xml:space="preserve">第九条  </w:t>
      </w:r>
      <w:r>
        <w:rPr>
          <w:rFonts w:ascii="宋体" w:hAnsi="宋体"/>
          <w:kern w:val="0"/>
          <w:szCs w:val="21"/>
        </w:rPr>
        <w:t>公司负责安全部门</w:t>
      </w:r>
      <w:r>
        <w:rPr>
          <w:rFonts w:hint="eastAsia" w:ascii="宋体" w:hAnsi="宋体"/>
          <w:kern w:val="0"/>
          <w:szCs w:val="21"/>
        </w:rPr>
        <w:t>的</w:t>
      </w:r>
      <w:r>
        <w:rPr>
          <w:rFonts w:ascii="宋体" w:hAnsi="宋体"/>
          <w:kern w:val="0"/>
          <w:szCs w:val="21"/>
        </w:rPr>
        <w:t>职责</w:t>
      </w:r>
      <w:r>
        <w:rPr>
          <w:rFonts w:hint="eastAsia" w:ascii="宋体" w:hAnsi="宋体"/>
          <w:kern w:val="0"/>
          <w:szCs w:val="21"/>
        </w:rPr>
        <w:t>：</w:t>
      </w:r>
    </w:p>
    <w:p w14:paraId="4C09C7B7">
      <w:pPr>
        <w:overflowPunct w:val="0"/>
        <w:autoSpaceDE w:val="0"/>
        <w:autoSpaceDN w:val="0"/>
        <w:adjustRightInd w:val="0"/>
        <w:snapToGrid w:val="0"/>
        <w:spacing w:line="420" w:lineRule="exact"/>
        <w:ind w:firstLine="420" w:firstLineChars="200"/>
        <w:rPr>
          <w:rFonts w:ascii="宋体" w:hAnsi="宋体"/>
          <w:kern w:val="0"/>
          <w:szCs w:val="21"/>
        </w:rPr>
      </w:pPr>
      <w:r>
        <w:rPr>
          <w:rFonts w:ascii="宋体" w:hAnsi="宋体"/>
          <w:kern w:val="0"/>
          <w:szCs w:val="21"/>
        </w:rPr>
        <w:t>（一）负责定期或不定期对各建设项目的安全生产工作进行督查，督促相关部门和人员依法履行安全生产和监督管理职责</w:t>
      </w:r>
      <w:r>
        <w:rPr>
          <w:rFonts w:hint="eastAsia" w:ascii="宋体" w:hAnsi="宋体"/>
          <w:kern w:val="0"/>
          <w:szCs w:val="21"/>
        </w:rPr>
        <w:t>；</w:t>
      </w:r>
    </w:p>
    <w:p w14:paraId="23453076">
      <w:pPr>
        <w:overflowPunct w:val="0"/>
        <w:autoSpaceDE w:val="0"/>
        <w:autoSpaceDN w:val="0"/>
        <w:adjustRightInd w:val="0"/>
        <w:snapToGrid w:val="0"/>
        <w:spacing w:line="420" w:lineRule="exact"/>
        <w:ind w:firstLine="420" w:firstLineChars="200"/>
        <w:rPr>
          <w:rFonts w:ascii="宋体" w:hAnsi="宋体"/>
          <w:kern w:val="0"/>
          <w:szCs w:val="21"/>
        </w:rPr>
      </w:pPr>
      <w:r>
        <w:rPr>
          <w:rFonts w:ascii="宋体" w:hAnsi="宋体"/>
          <w:kern w:val="0"/>
          <w:szCs w:val="21"/>
        </w:rPr>
        <w:t>（二）对各个工程项目的整改落实情况进行监督和复查，对整改不到位或未及时整改的项目，督促公司规划建设部门对监理、施工等相关责任单位和责任人进行责任追究</w:t>
      </w:r>
      <w:r>
        <w:rPr>
          <w:rFonts w:hint="eastAsia" w:ascii="宋体" w:hAnsi="宋体"/>
          <w:kern w:val="0"/>
          <w:szCs w:val="21"/>
        </w:rPr>
        <w:t>；</w:t>
      </w:r>
    </w:p>
    <w:p w14:paraId="66AA3A1B">
      <w:pPr>
        <w:overflowPunct w:val="0"/>
        <w:autoSpaceDE w:val="0"/>
        <w:autoSpaceDN w:val="0"/>
        <w:adjustRightInd w:val="0"/>
        <w:snapToGrid w:val="0"/>
        <w:spacing w:line="420" w:lineRule="exact"/>
        <w:ind w:firstLine="420" w:firstLineChars="200"/>
        <w:rPr>
          <w:rFonts w:ascii="宋体" w:hAnsi="宋体"/>
          <w:kern w:val="0"/>
          <w:szCs w:val="21"/>
        </w:rPr>
      </w:pPr>
      <w:r>
        <w:rPr>
          <w:rFonts w:ascii="宋体" w:hAnsi="宋体"/>
          <w:kern w:val="0"/>
          <w:szCs w:val="21"/>
        </w:rPr>
        <w:t>（三）参与调查公司区域内发生的生产安全事故，查处事故涉及的以权谋私、权钱交易等违法违纪行为，构成犯罪的，依法移送司法机关处理</w:t>
      </w:r>
      <w:r>
        <w:rPr>
          <w:rFonts w:hint="eastAsia" w:ascii="宋体" w:hAnsi="宋体"/>
          <w:kern w:val="0"/>
          <w:szCs w:val="21"/>
        </w:rPr>
        <w:t>；</w:t>
      </w:r>
    </w:p>
    <w:p w14:paraId="339F2336">
      <w:pPr>
        <w:overflowPunct w:val="0"/>
        <w:autoSpaceDE w:val="0"/>
        <w:autoSpaceDN w:val="0"/>
        <w:adjustRightInd w:val="0"/>
        <w:snapToGrid w:val="0"/>
        <w:spacing w:line="420" w:lineRule="exact"/>
        <w:ind w:firstLine="420" w:firstLineChars="200"/>
        <w:rPr>
          <w:rFonts w:ascii="宋体" w:hAnsi="宋体"/>
          <w:kern w:val="0"/>
          <w:szCs w:val="21"/>
        </w:rPr>
      </w:pPr>
      <w:r>
        <w:rPr>
          <w:rFonts w:ascii="宋体" w:hAnsi="宋体"/>
          <w:kern w:val="0"/>
          <w:szCs w:val="21"/>
        </w:rPr>
        <w:t>（四）督促落实对生产安全事故责任人员的责任追究</w:t>
      </w:r>
      <w:r>
        <w:rPr>
          <w:rFonts w:hint="eastAsia" w:ascii="宋体" w:hAnsi="宋体"/>
          <w:kern w:val="0"/>
          <w:szCs w:val="21"/>
        </w:rPr>
        <w:t>；</w:t>
      </w:r>
    </w:p>
    <w:p w14:paraId="314917B0">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（五）其它安全生产职责。</w:t>
      </w:r>
    </w:p>
    <w:p w14:paraId="3320CBB0">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hint="eastAsia" w:ascii="宋体" w:hAnsi="宋体"/>
          <w:kern w:val="0"/>
          <w:szCs w:val="21"/>
        </w:rPr>
        <w:t xml:space="preserve">第十条  </w:t>
      </w:r>
      <w:r>
        <w:rPr>
          <w:rFonts w:ascii="宋体" w:hAnsi="宋体"/>
          <w:kern w:val="0"/>
          <w:szCs w:val="21"/>
        </w:rPr>
        <w:t>公司现场代表职责</w:t>
      </w:r>
      <w:r>
        <w:rPr>
          <w:rFonts w:hint="eastAsia" w:ascii="宋体" w:hAnsi="宋体"/>
          <w:kern w:val="0"/>
          <w:szCs w:val="21"/>
        </w:rPr>
        <w:t>：</w:t>
      </w:r>
    </w:p>
    <w:p w14:paraId="78A8022F">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（一）严格履行</w:t>
      </w:r>
      <w:r>
        <w:rPr>
          <w:rFonts w:hint="eastAsia" w:ascii="宋体" w:hAnsi="宋体"/>
          <w:kern w:val="0"/>
          <w:szCs w:val="21"/>
        </w:rPr>
        <w:t>“</w:t>
      </w:r>
      <w:r>
        <w:rPr>
          <w:rFonts w:ascii="宋体" w:hAnsi="宋体"/>
          <w:kern w:val="0"/>
          <w:szCs w:val="21"/>
        </w:rPr>
        <w:t>管项目必须管安全</w:t>
      </w:r>
      <w:r>
        <w:rPr>
          <w:rFonts w:hint="eastAsia" w:ascii="宋体" w:hAnsi="宋体"/>
          <w:kern w:val="0"/>
          <w:szCs w:val="21"/>
        </w:rPr>
        <w:t>”</w:t>
      </w:r>
      <w:r>
        <w:rPr>
          <w:rFonts w:ascii="宋体" w:hAnsi="宋体"/>
          <w:kern w:val="0"/>
          <w:szCs w:val="21"/>
        </w:rPr>
        <w:t>的职责，坚持每天巡查，做好检查记录，督促监理、施工等工程建设单位对存在的安全隐患及时进行整改，确保隐患彻底整改</w:t>
      </w:r>
      <w:r>
        <w:rPr>
          <w:rFonts w:hint="eastAsia" w:ascii="宋体" w:hAnsi="宋体"/>
          <w:kern w:val="0"/>
          <w:szCs w:val="21"/>
        </w:rPr>
        <w:t>；</w:t>
      </w:r>
    </w:p>
    <w:p w14:paraId="1A1BE7F7">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（二）其它安全生产职责。</w:t>
      </w:r>
    </w:p>
    <w:p w14:paraId="45DF0B00">
      <w:pPr>
        <w:tabs>
          <w:tab w:val="left" w:pos="7560"/>
        </w:tabs>
        <w:overflowPunct w:val="0"/>
        <w:autoSpaceDE w:val="0"/>
        <w:autoSpaceDN w:val="0"/>
        <w:adjustRightInd w:val="0"/>
        <w:snapToGrid w:val="0"/>
        <w:spacing w:line="420" w:lineRule="exact"/>
        <w:ind w:firstLine="420" w:firstLineChars="200"/>
        <w:jc w:val="left"/>
        <w:rPr>
          <w:rFonts w:ascii="宋体" w:hAnsi="宋体"/>
          <w:kern w:val="0"/>
          <w:szCs w:val="21"/>
        </w:rPr>
      </w:pPr>
      <w:r>
        <w:rPr>
          <w:rFonts w:hint="eastAsia" w:ascii="宋体" w:hAnsi="宋体"/>
          <w:kern w:val="0"/>
          <w:szCs w:val="21"/>
        </w:rPr>
        <w:t xml:space="preserve">第十一条  </w:t>
      </w:r>
      <w:r>
        <w:rPr>
          <w:rFonts w:ascii="宋体" w:hAnsi="宋体"/>
          <w:kern w:val="0"/>
          <w:szCs w:val="21"/>
        </w:rPr>
        <w:t>公司安全办安全员的职责</w:t>
      </w:r>
      <w:r>
        <w:rPr>
          <w:rFonts w:hint="eastAsia" w:ascii="宋体" w:hAnsi="宋体"/>
          <w:kern w:val="0"/>
          <w:szCs w:val="21"/>
        </w:rPr>
        <w:t>：</w:t>
      </w:r>
    </w:p>
    <w:p w14:paraId="42310C46">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（一）负责综合管理，监督、指导和协调各工程建设单位的安全生产工作</w:t>
      </w:r>
      <w:r>
        <w:rPr>
          <w:rFonts w:hint="eastAsia" w:ascii="宋体" w:hAnsi="宋体"/>
          <w:kern w:val="0"/>
          <w:szCs w:val="21"/>
        </w:rPr>
        <w:t>；</w:t>
      </w:r>
    </w:p>
    <w:p w14:paraId="66821F3F">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（二）拟订安全生产工作规划和计划，调查研究并提出安全生产的措施和建议</w:t>
      </w:r>
      <w:r>
        <w:rPr>
          <w:rFonts w:hint="eastAsia" w:ascii="宋体" w:hAnsi="宋体"/>
          <w:kern w:val="0"/>
          <w:szCs w:val="21"/>
        </w:rPr>
        <w:t>；</w:t>
      </w:r>
    </w:p>
    <w:p w14:paraId="682A8A69">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（三）编制安全生产应急救援综合预案</w:t>
      </w:r>
      <w:r>
        <w:rPr>
          <w:rFonts w:hint="eastAsia" w:ascii="宋体" w:hAnsi="宋体"/>
          <w:kern w:val="0"/>
          <w:szCs w:val="21"/>
        </w:rPr>
        <w:t>；</w:t>
      </w:r>
    </w:p>
    <w:p w14:paraId="77621816">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（四）对公司各建设项目进行安全生产巡查，做好检查记录，督促监理、施工等工程建设单位对存在的安全隐患及时进行整改，确保隐患彻底整改</w:t>
      </w:r>
      <w:r>
        <w:rPr>
          <w:rFonts w:hint="eastAsia" w:ascii="宋体" w:hAnsi="宋体"/>
          <w:kern w:val="0"/>
          <w:szCs w:val="21"/>
        </w:rPr>
        <w:t>；</w:t>
      </w:r>
    </w:p>
    <w:p w14:paraId="185FCAE6">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（五）督促工程参建单位落实专人，做好对重大危险源的监控管理工作</w:t>
      </w:r>
      <w:r>
        <w:rPr>
          <w:rFonts w:hint="eastAsia" w:ascii="宋体" w:hAnsi="宋体"/>
          <w:kern w:val="0"/>
          <w:szCs w:val="21"/>
        </w:rPr>
        <w:t>；</w:t>
      </w:r>
    </w:p>
    <w:p w14:paraId="4CCCB700">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（六）负责采写公司的安全生产信息</w:t>
      </w:r>
      <w:r>
        <w:rPr>
          <w:rFonts w:hint="eastAsia" w:ascii="宋体" w:hAnsi="宋体"/>
          <w:kern w:val="0"/>
          <w:szCs w:val="21"/>
        </w:rPr>
        <w:t>；</w:t>
      </w:r>
    </w:p>
    <w:p w14:paraId="62B72406">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（七）协助领导开展安全事故应急救援和调查处理工作</w:t>
      </w:r>
      <w:r>
        <w:rPr>
          <w:rFonts w:hint="eastAsia" w:ascii="宋体" w:hAnsi="宋体"/>
          <w:kern w:val="0"/>
          <w:szCs w:val="21"/>
        </w:rPr>
        <w:t>；</w:t>
      </w:r>
    </w:p>
    <w:p w14:paraId="152A5C80">
      <w:pPr>
        <w:overflowPunct w:val="0"/>
        <w:autoSpaceDE w:val="0"/>
        <w:autoSpaceDN w:val="0"/>
        <w:adjustRightInd w:val="0"/>
        <w:snapToGrid w:val="0"/>
        <w:spacing w:line="420" w:lineRule="exact"/>
        <w:ind w:firstLine="420" w:firstLineChars="200"/>
        <w:jc w:val="left"/>
        <w:rPr>
          <w:rFonts w:ascii="宋体" w:hAnsi="宋体"/>
          <w:kern w:val="0"/>
          <w:szCs w:val="21"/>
        </w:rPr>
      </w:pPr>
      <w:r>
        <w:rPr>
          <w:rFonts w:ascii="宋体" w:hAnsi="宋体"/>
          <w:kern w:val="0"/>
          <w:szCs w:val="21"/>
        </w:rPr>
        <w:t>（八）组织安全生产大检查和开展专项督查</w:t>
      </w:r>
      <w:r>
        <w:rPr>
          <w:rFonts w:hint="eastAsia" w:ascii="宋体" w:hAnsi="宋体"/>
          <w:kern w:val="0"/>
          <w:szCs w:val="21"/>
        </w:rPr>
        <w:t>；</w:t>
      </w:r>
    </w:p>
    <w:p w14:paraId="760CF781">
      <w:pPr>
        <w:overflowPunct w:val="0"/>
        <w:autoSpaceDE w:val="0"/>
        <w:autoSpaceDN w:val="0"/>
        <w:adjustRightInd w:val="0"/>
        <w:snapToGrid w:val="0"/>
        <w:spacing w:line="420" w:lineRule="exact"/>
        <w:ind w:firstLine="420" w:firstLineChars="200"/>
        <w:jc w:val="left"/>
        <w:rPr>
          <w:rFonts w:ascii="宋体" w:hAnsi="宋体"/>
          <w:b/>
          <w:szCs w:val="21"/>
        </w:rPr>
      </w:pPr>
      <w:r>
        <w:rPr>
          <w:rFonts w:ascii="宋体" w:hAnsi="宋体"/>
          <w:kern w:val="0"/>
          <w:szCs w:val="21"/>
        </w:rPr>
        <w:t>（九）其它安全生产职责。</w:t>
      </w:r>
    </w:p>
    <w:p w14:paraId="10F5DD13">
      <w:pPr>
        <w:overflowPunct w:val="0"/>
        <w:autoSpaceDE w:val="0"/>
        <w:autoSpaceDN w:val="0"/>
        <w:adjustRightInd w:val="0"/>
        <w:snapToGrid w:val="0"/>
        <w:spacing w:line="420" w:lineRule="exact"/>
        <w:ind w:firstLine="422" w:firstLineChars="200"/>
        <w:jc w:val="center"/>
        <w:rPr>
          <w:rFonts w:ascii="宋体" w:hAnsi="宋体"/>
          <w:b/>
          <w:szCs w:val="21"/>
        </w:rPr>
      </w:pPr>
      <w:r>
        <w:rPr>
          <w:rFonts w:ascii="宋体" w:hAnsi="宋体"/>
          <w:b/>
          <w:szCs w:val="21"/>
        </w:rPr>
        <w:t>第四章</w:t>
      </w:r>
      <w:r>
        <w:rPr>
          <w:rFonts w:hint="eastAsia" w:ascii="宋体" w:hAnsi="宋体"/>
          <w:b/>
          <w:szCs w:val="21"/>
        </w:rPr>
        <w:t xml:space="preserve">  </w:t>
      </w:r>
      <w:r>
        <w:rPr>
          <w:rFonts w:ascii="宋体" w:hAnsi="宋体"/>
          <w:b/>
          <w:szCs w:val="21"/>
        </w:rPr>
        <w:t>安全生产检查监督机制</w:t>
      </w:r>
    </w:p>
    <w:p w14:paraId="1909422E">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kern w:val="0"/>
          <w:szCs w:val="21"/>
        </w:rPr>
        <w:t>第十二条</w:t>
      </w:r>
      <w:r>
        <w:rPr>
          <w:rFonts w:hint="eastAsia" w:ascii="宋体" w:hAnsi="宋体"/>
          <w:szCs w:val="21"/>
        </w:rPr>
        <w:t xml:space="preserve">  </w:t>
      </w:r>
      <w:r>
        <w:rPr>
          <w:rFonts w:ascii="宋体" w:hAnsi="宋体"/>
          <w:szCs w:val="21"/>
        </w:rPr>
        <w:t>公司所有与建设项目有关的合同，如涉及安全生产责任的，应在合同中明确约定监理单位、施工单位按照本办法规定及本办法附件</w:t>
      </w:r>
      <w:r>
        <w:rPr>
          <w:rFonts w:hint="eastAsia" w:ascii="宋体" w:hAnsi="宋体"/>
          <w:szCs w:val="21"/>
        </w:rPr>
        <w:t>7-1</w:t>
      </w:r>
      <w:r>
        <w:rPr>
          <w:rFonts w:ascii="宋体" w:hAnsi="宋体"/>
          <w:szCs w:val="21"/>
        </w:rPr>
        <w:t>中的标准承担违约责任，并签署承诺书（附件</w:t>
      </w:r>
      <w:r>
        <w:rPr>
          <w:rFonts w:hint="eastAsia" w:ascii="宋体" w:hAnsi="宋体"/>
          <w:szCs w:val="21"/>
        </w:rPr>
        <w:t>7-2</w:t>
      </w:r>
      <w:r>
        <w:rPr>
          <w:rFonts w:ascii="宋体" w:hAnsi="宋体"/>
          <w:szCs w:val="21"/>
        </w:rPr>
        <w:t>）。</w:t>
      </w:r>
    </w:p>
    <w:p w14:paraId="72C938E0">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kern w:val="0"/>
          <w:szCs w:val="21"/>
        </w:rPr>
        <w:t xml:space="preserve">第十三条  </w:t>
      </w:r>
      <w:r>
        <w:rPr>
          <w:rFonts w:ascii="宋体" w:hAnsi="宋体"/>
          <w:szCs w:val="21"/>
        </w:rPr>
        <w:t>安全生产管理必须横向到边、纵向到底，坚持时时、月月、年年管理。公司安全办和现场代表每天进行安全巡查；公司安全办每月组织一次拉网式检查；每季度由分管领导带队，进行一次安全大检查；</w:t>
      </w:r>
      <w:r>
        <w:rPr>
          <w:rFonts w:ascii="宋体" w:hAnsi="宋体"/>
          <w:kern w:val="0"/>
          <w:szCs w:val="21"/>
        </w:rPr>
        <w:t>公司每季度召开一次安全生产工作会，年底召开安全生产工作总结大会。</w:t>
      </w:r>
    </w:p>
    <w:p w14:paraId="37C483D6">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kern w:val="0"/>
          <w:szCs w:val="21"/>
        </w:rPr>
        <w:t xml:space="preserve">第十四条  </w:t>
      </w:r>
      <w:r>
        <w:rPr>
          <w:rFonts w:ascii="宋体" w:hAnsi="宋体"/>
          <w:kern w:val="0"/>
          <w:szCs w:val="21"/>
        </w:rPr>
        <w:t>公司安全办应加强与区安全生产、建设主管部门的沟通联系，不定期地开展安全联合大检查。</w:t>
      </w:r>
    </w:p>
    <w:p w14:paraId="0DB9A616">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kern w:val="0"/>
          <w:szCs w:val="21"/>
        </w:rPr>
        <w:t xml:space="preserve">第十五条  </w:t>
      </w:r>
      <w:r>
        <w:rPr>
          <w:rFonts w:ascii="宋体" w:hAnsi="宋体"/>
          <w:kern w:val="0"/>
          <w:szCs w:val="21"/>
        </w:rPr>
        <w:t>公司负责安全</w:t>
      </w:r>
      <w:r>
        <w:rPr>
          <w:rFonts w:hint="eastAsia" w:ascii="宋体" w:hAnsi="宋体"/>
          <w:kern w:val="0"/>
          <w:szCs w:val="21"/>
        </w:rPr>
        <w:t>工作的</w:t>
      </w:r>
      <w:r>
        <w:rPr>
          <w:rFonts w:ascii="宋体" w:hAnsi="宋体"/>
          <w:kern w:val="0"/>
          <w:szCs w:val="21"/>
        </w:rPr>
        <w:t>部门</w:t>
      </w:r>
      <w:r>
        <w:rPr>
          <w:rFonts w:ascii="宋体" w:hAnsi="宋体"/>
          <w:szCs w:val="21"/>
        </w:rPr>
        <w:t>应不定期地对各个工地进行明察暗访，及时了解各项目安全生产情况，并对存在的安全隐患和管理问题进行督促整改。</w:t>
      </w:r>
    </w:p>
    <w:p w14:paraId="5A0F8C52">
      <w:pPr>
        <w:overflowPunct w:val="0"/>
        <w:autoSpaceDE w:val="0"/>
        <w:autoSpaceDN w:val="0"/>
        <w:adjustRightInd w:val="0"/>
        <w:snapToGrid w:val="0"/>
        <w:spacing w:line="420" w:lineRule="exact"/>
        <w:ind w:firstLine="422" w:firstLineChars="200"/>
        <w:jc w:val="center"/>
        <w:rPr>
          <w:rFonts w:ascii="宋体" w:hAnsi="宋体"/>
          <w:b/>
          <w:szCs w:val="21"/>
        </w:rPr>
      </w:pPr>
      <w:r>
        <w:rPr>
          <w:rFonts w:ascii="宋体" w:hAnsi="宋体"/>
          <w:b/>
          <w:szCs w:val="21"/>
        </w:rPr>
        <w:t>第五章</w:t>
      </w:r>
      <w:r>
        <w:rPr>
          <w:rFonts w:hint="eastAsia" w:ascii="宋体" w:hAnsi="宋体"/>
          <w:b/>
          <w:szCs w:val="21"/>
        </w:rPr>
        <w:t xml:space="preserve">  </w:t>
      </w:r>
      <w:r>
        <w:rPr>
          <w:rFonts w:ascii="宋体" w:hAnsi="宋体"/>
          <w:b/>
          <w:szCs w:val="21"/>
        </w:rPr>
        <w:t>安全生产的责任追究</w:t>
      </w:r>
    </w:p>
    <w:p w14:paraId="3B0856C3">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kern w:val="0"/>
          <w:szCs w:val="21"/>
        </w:rPr>
        <w:t>第十六条</w:t>
      </w:r>
      <w:r>
        <w:rPr>
          <w:rFonts w:hint="eastAsia" w:ascii="宋体" w:hAnsi="宋体"/>
          <w:szCs w:val="21"/>
        </w:rPr>
        <w:t xml:space="preserve">  </w:t>
      </w:r>
      <w:r>
        <w:rPr>
          <w:rFonts w:ascii="宋体" w:hAnsi="宋体"/>
          <w:szCs w:val="21"/>
        </w:rPr>
        <w:t>若承包单位和监理单位未按照合同履行好安全生产职责，公司应按照本办法附件</w:t>
      </w:r>
      <w:r>
        <w:rPr>
          <w:rFonts w:hint="eastAsia" w:ascii="宋体" w:hAnsi="宋体"/>
          <w:szCs w:val="21"/>
        </w:rPr>
        <w:t>7-1</w:t>
      </w:r>
      <w:r>
        <w:rPr>
          <w:rFonts w:ascii="宋体" w:hAnsi="宋体"/>
          <w:szCs w:val="21"/>
        </w:rPr>
        <w:t>的规定和合同约定追究违约责任。其中，在主管部门或区级其他相关部门组织的大检查中被通报批评的项目，处以施工单位违约金20000元，监理单位违约金10000元；在区级大检查中被通报批评的项目，处以施工单位违约金10000元，监理单位违约金5000元；在公司拉网式大检查中被通报批评的项目，处以施工单位违约金5000元，监理单位违约金3000元。</w:t>
      </w:r>
    </w:p>
    <w:p w14:paraId="2D79A8AE">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kern w:val="0"/>
          <w:szCs w:val="21"/>
        </w:rPr>
        <w:t>第十七条</w:t>
      </w:r>
      <w:r>
        <w:rPr>
          <w:rFonts w:hint="eastAsia" w:ascii="宋体" w:hAnsi="宋体"/>
          <w:szCs w:val="21"/>
        </w:rPr>
        <w:t xml:space="preserve">  </w:t>
      </w:r>
      <w:r>
        <w:rPr>
          <w:rFonts w:ascii="宋体" w:hAnsi="宋体"/>
          <w:szCs w:val="21"/>
        </w:rPr>
        <w:t>施工现场存在重大安全隐患，必须停工限期整改。对拒不整改的，上报建设行政主管部门予以处理。</w:t>
      </w:r>
    </w:p>
    <w:p w14:paraId="04644E7D">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kern w:val="0"/>
          <w:szCs w:val="21"/>
        </w:rPr>
        <w:t>第十八条</w:t>
      </w:r>
      <w:r>
        <w:rPr>
          <w:rFonts w:hint="eastAsia" w:ascii="宋体" w:hAnsi="宋体"/>
          <w:szCs w:val="21"/>
        </w:rPr>
        <w:t xml:space="preserve">  </w:t>
      </w:r>
      <w:r>
        <w:rPr>
          <w:rFonts w:ascii="宋体" w:hAnsi="宋体"/>
          <w:szCs w:val="21"/>
        </w:rPr>
        <w:t>承担违约责任的单位，在接到违约责任通知单后7日内将违约金缴至公司财务部门。如超过期限</w:t>
      </w:r>
      <w:r>
        <w:rPr>
          <w:rFonts w:hint="eastAsia" w:ascii="宋体" w:hAnsi="宋体"/>
          <w:szCs w:val="21"/>
        </w:rPr>
        <w:t>未缴纳违约金</w:t>
      </w:r>
      <w:r>
        <w:rPr>
          <w:rFonts w:ascii="宋体" w:hAnsi="宋体"/>
          <w:szCs w:val="21"/>
        </w:rPr>
        <w:t>，公司将从工程计量支付款或监理服务费中扣除，或暂缓支付进度款。</w:t>
      </w:r>
    </w:p>
    <w:p w14:paraId="1BA24A26">
      <w:pPr>
        <w:overflowPunct w:val="0"/>
        <w:autoSpaceDE w:val="0"/>
        <w:autoSpaceDN w:val="0"/>
        <w:adjustRightInd w:val="0"/>
        <w:snapToGrid w:val="0"/>
        <w:spacing w:line="420" w:lineRule="exact"/>
        <w:ind w:firstLine="420" w:firstLineChars="200"/>
        <w:rPr>
          <w:rFonts w:ascii="宋体" w:hAnsi="宋体"/>
          <w:b/>
          <w:szCs w:val="21"/>
        </w:rPr>
      </w:pPr>
      <w:r>
        <w:rPr>
          <w:rFonts w:hint="eastAsia" w:ascii="宋体" w:hAnsi="宋体"/>
          <w:kern w:val="0"/>
          <w:szCs w:val="21"/>
        </w:rPr>
        <w:t>第十九条</w:t>
      </w:r>
      <w:r>
        <w:rPr>
          <w:rFonts w:hint="eastAsia" w:ascii="宋体" w:hAnsi="宋体"/>
          <w:szCs w:val="21"/>
        </w:rPr>
        <w:t xml:space="preserve">  </w:t>
      </w:r>
      <w:r>
        <w:rPr>
          <w:rFonts w:ascii="宋体" w:hAnsi="宋体"/>
          <w:szCs w:val="21"/>
        </w:rPr>
        <w:t>对公司安全办、安全管理人员、现场代表和其它相关部门、人员在安全生产监督管理工作中涉及的失职渎职、徇私舞弊等行为，</w:t>
      </w:r>
      <w:r>
        <w:rPr>
          <w:rFonts w:ascii="宋体" w:hAnsi="宋体"/>
          <w:kern w:val="0"/>
          <w:szCs w:val="21"/>
        </w:rPr>
        <w:t>公司综合部门</w:t>
      </w:r>
      <w:r>
        <w:rPr>
          <w:rFonts w:ascii="宋体" w:hAnsi="宋体"/>
          <w:szCs w:val="21"/>
        </w:rPr>
        <w:t>应严格进行责任追究，对责任人予以组织处理、经济处罚和纪律处分，涉嫌犯罪的，移交司法机关依法处理。</w:t>
      </w:r>
    </w:p>
    <w:p w14:paraId="2117BEC3">
      <w:pPr>
        <w:overflowPunct w:val="0"/>
        <w:autoSpaceDE w:val="0"/>
        <w:autoSpaceDN w:val="0"/>
        <w:adjustRightInd w:val="0"/>
        <w:snapToGrid w:val="0"/>
        <w:spacing w:line="420" w:lineRule="exact"/>
        <w:ind w:firstLine="422" w:firstLineChars="200"/>
        <w:jc w:val="center"/>
        <w:rPr>
          <w:rFonts w:ascii="宋体" w:hAnsi="宋体"/>
          <w:b/>
          <w:szCs w:val="21"/>
        </w:rPr>
      </w:pPr>
      <w:r>
        <w:rPr>
          <w:rFonts w:ascii="宋体" w:hAnsi="宋体"/>
          <w:b/>
          <w:szCs w:val="21"/>
        </w:rPr>
        <w:t>第</w:t>
      </w:r>
      <w:r>
        <w:rPr>
          <w:rFonts w:hint="eastAsia" w:ascii="宋体" w:hAnsi="宋体"/>
          <w:b/>
          <w:szCs w:val="21"/>
        </w:rPr>
        <w:t>六</w:t>
      </w:r>
      <w:r>
        <w:rPr>
          <w:rFonts w:ascii="宋体" w:hAnsi="宋体"/>
          <w:b/>
          <w:szCs w:val="21"/>
        </w:rPr>
        <w:t>章</w:t>
      </w:r>
      <w:r>
        <w:rPr>
          <w:rFonts w:hint="eastAsia" w:ascii="宋体" w:hAnsi="宋体"/>
          <w:b/>
          <w:szCs w:val="21"/>
        </w:rPr>
        <w:t xml:space="preserve">  </w:t>
      </w:r>
      <w:r>
        <w:rPr>
          <w:rFonts w:ascii="宋体" w:hAnsi="宋体"/>
          <w:b/>
          <w:szCs w:val="21"/>
        </w:rPr>
        <w:t>附</w:t>
      </w:r>
      <w:r>
        <w:rPr>
          <w:rFonts w:hint="eastAsia" w:ascii="宋体" w:hAnsi="宋体"/>
          <w:b/>
          <w:szCs w:val="21"/>
        </w:rPr>
        <w:t xml:space="preserve">  </w:t>
      </w:r>
      <w:r>
        <w:rPr>
          <w:rFonts w:ascii="宋体" w:hAnsi="宋体"/>
          <w:b/>
          <w:szCs w:val="21"/>
        </w:rPr>
        <w:t>则</w:t>
      </w:r>
    </w:p>
    <w:p w14:paraId="4B245766">
      <w:pPr>
        <w:overflowPunct w:val="0"/>
        <w:autoSpaceDE w:val="0"/>
        <w:autoSpaceDN w:val="0"/>
        <w:adjustRightInd w:val="0"/>
        <w:snapToGrid w:val="0"/>
        <w:spacing w:line="420" w:lineRule="exact"/>
        <w:ind w:firstLine="420" w:firstLineChars="200"/>
        <w:rPr>
          <w:rFonts w:ascii="宋体" w:hAnsi="宋体"/>
          <w:szCs w:val="21"/>
        </w:rPr>
      </w:pPr>
      <w:r>
        <w:rPr>
          <w:rFonts w:hint="eastAsia" w:ascii="宋体" w:hAnsi="宋体"/>
          <w:kern w:val="0"/>
          <w:szCs w:val="21"/>
        </w:rPr>
        <w:t>第二十条</w:t>
      </w:r>
      <w:r>
        <w:rPr>
          <w:rFonts w:hint="eastAsia" w:ascii="宋体" w:hAnsi="宋体"/>
          <w:szCs w:val="21"/>
        </w:rPr>
        <w:t xml:space="preserve">  </w:t>
      </w:r>
      <w:r>
        <w:rPr>
          <w:rFonts w:ascii="宋体" w:hAnsi="宋体"/>
          <w:szCs w:val="21"/>
        </w:rPr>
        <w:t>本办法自发布之日起</w:t>
      </w:r>
      <w:r>
        <w:rPr>
          <w:rFonts w:hint="eastAsia" w:ascii="宋体" w:hAnsi="宋体"/>
          <w:szCs w:val="21"/>
        </w:rPr>
        <w:t>实施</w:t>
      </w:r>
      <w:r>
        <w:rPr>
          <w:rFonts w:ascii="宋体" w:hAnsi="宋体"/>
          <w:szCs w:val="21"/>
        </w:rPr>
        <w:t>。</w:t>
      </w:r>
    </w:p>
    <w:p w14:paraId="1453983C">
      <w:pPr>
        <w:overflowPunct w:val="0"/>
        <w:autoSpaceDE w:val="0"/>
        <w:autoSpaceDN w:val="0"/>
        <w:adjustRightInd w:val="0"/>
        <w:snapToGrid w:val="0"/>
        <w:spacing w:line="420" w:lineRule="exact"/>
        <w:ind w:firstLine="420" w:firstLineChars="200"/>
        <w:rPr>
          <w:rFonts w:ascii="宋体" w:hAnsi="宋体"/>
          <w:szCs w:val="21"/>
        </w:rPr>
      </w:pPr>
    </w:p>
    <w:p w14:paraId="319BE6B8">
      <w:pPr>
        <w:spacing w:line="440" w:lineRule="exact"/>
        <w:outlineLvl w:val="2"/>
        <w:rPr>
          <w:rFonts w:ascii="宋体" w:hAnsi="宋体"/>
          <w:sz w:val="24"/>
        </w:rPr>
      </w:pPr>
      <w:bookmarkStart w:id="693" w:name="_Toc296347230"/>
      <w:bookmarkStart w:id="694" w:name="_Toc296944570"/>
      <w:bookmarkStart w:id="695" w:name="_Toc296891059"/>
      <w:bookmarkStart w:id="696" w:name="_Toc296346732"/>
      <w:bookmarkStart w:id="697" w:name="_Toc296503231"/>
      <w:bookmarkStart w:id="698" w:name="_Toc296891271"/>
    </w:p>
    <w:p w14:paraId="005B3FE4">
      <w:pPr>
        <w:spacing w:line="440" w:lineRule="exact"/>
        <w:outlineLvl w:val="2"/>
        <w:rPr>
          <w:rFonts w:ascii="宋体" w:hAnsi="宋体"/>
          <w:sz w:val="24"/>
        </w:rPr>
      </w:pPr>
    </w:p>
    <w:p w14:paraId="1E7660C7">
      <w:pPr>
        <w:spacing w:line="440" w:lineRule="exact"/>
        <w:outlineLvl w:val="2"/>
        <w:rPr>
          <w:rFonts w:ascii="宋体" w:hAnsi="宋体"/>
          <w:sz w:val="24"/>
        </w:rPr>
      </w:pPr>
    </w:p>
    <w:p w14:paraId="57590713">
      <w:pPr>
        <w:spacing w:line="440" w:lineRule="exact"/>
        <w:outlineLvl w:val="2"/>
        <w:rPr>
          <w:rFonts w:ascii="宋体" w:hAnsi="宋体"/>
          <w:sz w:val="24"/>
        </w:rPr>
      </w:pPr>
    </w:p>
    <w:p w14:paraId="5104B9C8">
      <w:pPr>
        <w:spacing w:line="440" w:lineRule="exact"/>
        <w:outlineLvl w:val="2"/>
        <w:rPr>
          <w:rFonts w:ascii="宋体" w:hAnsi="宋体"/>
          <w:sz w:val="24"/>
        </w:rPr>
      </w:pPr>
    </w:p>
    <w:p w14:paraId="2EB3B87A">
      <w:pPr>
        <w:spacing w:line="440" w:lineRule="exact"/>
        <w:outlineLvl w:val="2"/>
        <w:rPr>
          <w:rFonts w:ascii="宋体" w:hAnsi="宋体"/>
          <w:sz w:val="24"/>
        </w:rPr>
      </w:pPr>
    </w:p>
    <w:p w14:paraId="0C76EAD0">
      <w:pPr>
        <w:spacing w:line="440" w:lineRule="exact"/>
        <w:outlineLvl w:val="2"/>
        <w:rPr>
          <w:rFonts w:ascii="宋体" w:hAnsi="宋体"/>
          <w:sz w:val="24"/>
        </w:rPr>
      </w:pPr>
    </w:p>
    <w:p w14:paraId="65E067C2">
      <w:pPr>
        <w:spacing w:line="440" w:lineRule="exact"/>
        <w:outlineLvl w:val="2"/>
        <w:rPr>
          <w:rFonts w:ascii="宋体" w:hAnsi="宋体"/>
          <w:sz w:val="24"/>
        </w:rPr>
      </w:pPr>
    </w:p>
    <w:p w14:paraId="5507DA7F">
      <w:pPr>
        <w:spacing w:line="440" w:lineRule="exact"/>
        <w:outlineLvl w:val="2"/>
        <w:rPr>
          <w:rFonts w:ascii="宋体" w:hAnsi="宋体"/>
          <w:sz w:val="24"/>
        </w:rPr>
      </w:pPr>
    </w:p>
    <w:bookmarkEnd w:id="693"/>
    <w:bookmarkEnd w:id="694"/>
    <w:bookmarkEnd w:id="695"/>
    <w:bookmarkEnd w:id="696"/>
    <w:bookmarkEnd w:id="697"/>
    <w:bookmarkEnd w:id="698"/>
    <w:p w14:paraId="747FD7C7">
      <w:pPr>
        <w:overflowPunct w:val="0"/>
        <w:autoSpaceDE w:val="0"/>
        <w:autoSpaceDN w:val="0"/>
        <w:adjustRightInd w:val="0"/>
        <w:snapToGrid w:val="0"/>
        <w:spacing w:line="420" w:lineRule="exact"/>
        <w:outlineLvl w:val="3"/>
        <w:rPr>
          <w:rFonts w:ascii="宋体" w:hAnsi="宋体"/>
          <w:szCs w:val="21"/>
        </w:rPr>
      </w:pPr>
      <w:r>
        <w:rPr>
          <w:rFonts w:hint="eastAsia" w:ascii="宋体" w:hAnsi="宋体"/>
          <w:szCs w:val="21"/>
        </w:rPr>
        <w:br w:type="page"/>
      </w:r>
      <w:r>
        <w:rPr>
          <w:rFonts w:hint="eastAsia" w:ascii="宋体" w:hAnsi="宋体"/>
          <w:bCs/>
          <w:sz w:val="24"/>
        </w:rPr>
        <w:t>附录7-1   公司安全生产违约处罚标准</w:t>
      </w:r>
    </w:p>
    <w:p w14:paraId="194DEDCC">
      <w:pPr>
        <w:overflowPunct w:val="0"/>
        <w:autoSpaceDE w:val="0"/>
        <w:autoSpaceDN w:val="0"/>
        <w:adjustRightInd w:val="0"/>
        <w:snapToGrid w:val="0"/>
        <w:spacing w:line="320" w:lineRule="exact"/>
        <w:rPr>
          <w:rFonts w:ascii="宋体" w:hAnsi="宋体"/>
          <w:szCs w:val="21"/>
        </w:rPr>
      </w:pPr>
    </w:p>
    <w:p w14:paraId="760759BF">
      <w:pPr>
        <w:spacing w:line="360" w:lineRule="auto"/>
        <w:jc w:val="center"/>
        <w:rPr>
          <w:rFonts w:ascii="宋体" w:hAnsi="宋体"/>
          <w:b/>
          <w:szCs w:val="21"/>
        </w:rPr>
      </w:pPr>
      <w:r>
        <w:rPr>
          <w:rFonts w:ascii="宋体" w:hAnsi="宋体"/>
          <w:b/>
          <w:szCs w:val="21"/>
        </w:rPr>
        <w:t>监理人质量安全履责行为违约金处罚标准</w:t>
      </w:r>
    </w:p>
    <w:tbl>
      <w:tblPr>
        <w:tblStyle w:val="20"/>
        <w:tblW w:w="9679" w:type="dxa"/>
        <w:jc w:val="center"/>
        <w:tblLayout w:type="fixed"/>
        <w:tblCellMar>
          <w:top w:w="0" w:type="dxa"/>
          <w:left w:w="108" w:type="dxa"/>
          <w:bottom w:w="0" w:type="dxa"/>
          <w:right w:w="108" w:type="dxa"/>
        </w:tblCellMar>
      </w:tblPr>
      <w:tblGrid>
        <w:gridCol w:w="589"/>
        <w:gridCol w:w="1374"/>
        <w:gridCol w:w="4395"/>
        <w:gridCol w:w="2471"/>
        <w:gridCol w:w="850"/>
      </w:tblGrid>
      <w:tr w14:paraId="5811C3D0">
        <w:tblPrEx>
          <w:tblCellMar>
            <w:top w:w="0" w:type="dxa"/>
            <w:left w:w="108" w:type="dxa"/>
            <w:bottom w:w="0" w:type="dxa"/>
            <w:right w:w="108" w:type="dxa"/>
          </w:tblCellMar>
        </w:tblPrEx>
        <w:trPr>
          <w:tblHeader/>
          <w:jc w:val="center"/>
        </w:trPr>
        <w:tc>
          <w:tcPr>
            <w:tcW w:w="1963" w:type="dxa"/>
            <w:gridSpan w:val="2"/>
            <w:tcBorders>
              <w:top w:val="single" w:color="auto" w:sz="4" w:space="0"/>
              <w:left w:val="single" w:color="auto" w:sz="4" w:space="0"/>
              <w:bottom w:val="single" w:color="auto" w:sz="4" w:space="0"/>
              <w:right w:val="single" w:color="000000" w:sz="4" w:space="0"/>
            </w:tcBorders>
            <w:vAlign w:val="center"/>
          </w:tcPr>
          <w:p w14:paraId="12F0FB18">
            <w:pPr>
              <w:widowControl/>
              <w:spacing w:line="400" w:lineRule="exact"/>
              <w:jc w:val="center"/>
              <w:rPr>
                <w:rFonts w:ascii="宋体" w:hAnsi="宋体" w:cs="宋体"/>
                <w:kern w:val="0"/>
                <w:szCs w:val="21"/>
              </w:rPr>
            </w:pPr>
            <w:r>
              <w:rPr>
                <w:rFonts w:hint="eastAsia" w:ascii="宋体" w:hAnsi="宋体" w:cs="宋体"/>
                <w:kern w:val="0"/>
                <w:szCs w:val="21"/>
              </w:rPr>
              <w:t>事项</w:t>
            </w:r>
          </w:p>
        </w:tc>
        <w:tc>
          <w:tcPr>
            <w:tcW w:w="4395" w:type="dxa"/>
            <w:tcBorders>
              <w:top w:val="single" w:color="auto" w:sz="4" w:space="0"/>
              <w:left w:val="nil"/>
              <w:bottom w:val="single" w:color="auto" w:sz="4" w:space="0"/>
              <w:right w:val="single" w:color="auto" w:sz="4" w:space="0"/>
            </w:tcBorders>
            <w:vAlign w:val="center"/>
          </w:tcPr>
          <w:p w14:paraId="030341E7">
            <w:pPr>
              <w:widowControl/>
              <w:spacing w:line="400" w:lineRule="exact"/>
              <w:jc w:val="center"/>
              <w:rPr>
                <w:rFonts w:ascii="宋体" w:hAnsi="宋体" w:cs="宋体"/>
                <w:kern w:val="0"/>
                <w:szCs w:val="21"/>
              </w:rPr>
            </w:pPr>
            <w:r>
              <w:rPr>
                <w:rFonts w:hint="eastAsia" w:ascii="宋体" w:hAnsi="宋体" w:cs="宋体"/>
                <w:kern w:val="0"/>
                <w:szCs w:val="21"/>
              </w:rPr>
              <w:t>违约情形</w:t>
            </w:r>
          </w:p>
        </w:tc>
        <w:tc>
          <w:tcPr>
            <w:tcW w:w="2471" w:type="dxa"/>
            <w:tcBorders>
              <w:top w:val="single" w:color="auto" w:sz="4" w:space="0"/>
              <w:left w:val="nil"/>
              <w:bottom w:val="single" w:color="auto" w:sz="4" w:space="0"/>
              <w:right w:val="single" w:color="auto" w:sz="4" w:space="0"/>
            </w:tcBorders>
            <w:vAlign w:val="center"/>
          </w:tcPr>
          <w:p w14:paraId="24F1C81C">
            <w:pPr>
              <w:widowControl/>
              <w:spacing w:line="400" w:lineRule="exact"/>
              <w:jc w:val="center"/>
              <w:rPr>
                <w:rFonts w:ascii="宋体" w:hAnsi="宋体" w:cs="宋体"/>
                <w:kern w:val="0"/>
                <w:szCs w:val="21"/>
              </w:rPr>
            </w:pPr>
            <w:r>
              <w:rPr>
                <w:rFonts w:hint="eastAsia" w:ascii="宋体" w:hAnsi="宋体" w:cs="宋体"/>
                <w:kern w:val="0"/>
                <w:szCs w:val="21"/>
              </w:rPr>
              <w:t>每次违约处罚标准（以签约合同价为基数计算）</w:t>
            </w:r>
          </w:p>
        </w:tc>
        <w:tc>
          <w:tcPr>
            <w:tcW w:w="850" w:type="dxa"/>
            <w:tcBorders>
              <w:top w:val="single" w:color="auto" w:sz="4" w:space="0"/>
              <w:left w:val="nil"/>
              <w:bottom w:val="single" w:color="auto" w:sz="4" w:space="0"/>
              <w:right w:val="single" w:color="auto" w:sz="4" w:space="0"/>
            </w:tcBorders>
            <w:vAlign w:val="center"/>
          </w:tcPr>
          <w:p w14:paraId="5A473912">
            <w:pPr>
              <w:widowControl/>
              <w:spacing w:line="400" w:lineRule="exact"/>
              <w:jc w:val="center"/>
              <w:rPr>
                <w:rFonts w:ascii="宋体" w:hAnsi="宋体" w:cs="宋体"/>
                <w:kern w:val="0"/>
                <w:szCs w:val="21"/>
              </w:rPr>
            </w:pPr>
            <w:r>
              <w:rPr>
                <w:rFonts w:hint="eastAsia" w:ascii="宋体" w:hAnsi="宋体" w:cs="宋体"/>
                <w:kern w:val="0"/>
                <w:szCs w:val="21"/>
              </w:rPr>
              <w:t>备注</w:t>
            </w:r>
          </w:p>
        </w:tc>
      </w:tr>
      <w:tr w14:paraId="5DDAEDC7">
        <w:tblPrEx>
          <w:tblCellMar>
            <w:top w:w="0" w:type="dxa"/>
            <w:left w:w="108" w:type="dxa"/>
            <w:bottom w:w="0" w:type="dxa"/>
            <w:right w:w="108" w:type="dxa"/>
          </w:tblCellMar>
        </w:tblPrEx>
        <w:trPr>
          <w:jc w:val="center"/>
        </w:trPr>
        <w:tc>
          <w:tcPr>
            <w:tcW w:w="589" w:type="dxa"/>
            <w:vMerge w:val="restart"/>
            <w:tcBorders>
              <w:top w:val="nil"/>
              <w:left w:val="single" w:color="auto" w:sz="4" w:space="0"/>
              <w:bottom w:val="single" w:color="000000" w:sz="4" w:space="0"/>
              <w:right w:val="single" w:color="auto" w:sz="4" w:space="0"/>
            </w:tcBorders>
            <w:vAlign w:val="center"/>
          </w:tcPr>
          <w:p w14:paraId="06248273">
            <w:pPr>
              <w:widowControl/>
              <w:spacing w:line="400" w:lineRule="exact"/>
              <w:jc w:val="center"/>
              <w:rPr>
                <w:rFonts w:ascii="宋体" w:hAnsi="宋体" w:cs="宋体"/>
                <w:kern w:val="0"/>
                <w:szCs w:val="21"/>
              </w:rPr>
            </w:pPr>
            <w:r>
              <w:rPr>
                <w:rFonts w:hint="eastAsia" w:ascii="宋体" w:hAnsi="宋体" w:cs="宋体"/>
                <w:kern w:val="0"/>
                <w:szCs w:val="21"/>
              </w:rPr>
              <w:t>质量控制履责</w:t>
            </w:r>
          </w:p>
        </w:tc>
        <w:tc>
          <w:tcPr>
            <w:tcW w:w="1374" w:type="dxa"/>
            <w:vMerge w:val="restart"/>
            <w:tcBorders>
              <w:top w:val="nil"/>
              <w:left w:val="single" w:color="auto" w:sz="4" w:space="0"/>
              <w:bottom w:val="single" w:color="000000" w:sz="4" w:space="0"/>
              <w:right w:val="single" w:color="auto" w:sz="4" w:space="0"/>
            </w:tcBorders>
            <w:vAlign w:val="center"/>
          </w:tcPr>
          <w:p w14:paraId="3C1E1191">
            <w:pPr>
              <w:widowControl/>
              <w:spacing w:line="400" w:lineRule="exact"/>
              <w:jc w:val="left"/>
              <w:rPr>
                <w:rFonts w:ascii="宋体" w:hAnsi="宋体" w:cs="宋体"/>
                <w:kern w:val="0"/>
                <w:szCs w:val="21"/>
              </w:rPr>
            </w:pPr>
            <w:r>
              <w:rPr>
                <w:rFonts w:hint="eastAsia" w:ascii="宋体" w:hAnsi="宋体" w:cs="宋体"/>
                <w:kern w:val="0"/>
                <w:szCs w:val="21"/>
              </w:rPr>
              <w:t>开工审批</w:t>
            </w:r>
          </w:p>
        </w:tc>
        <w:tc>
          <w:tcPr>
            <w:tcW w:w="4395" w:type="dxa"/>
            <w:tcBorders>
              <w:top w:val="nil"/>
              <w:left w:val="nil"/>
              <w:bottom w:val="single" w:color="auto" w:sz="4" w:space="0"/>
              <w:right w:val="single" w:color="auto" w:sz="4" w:space="0"/>
            </w:tcBorders>
            <w:vAlign w:val="center"/>
          </w:tcPr>
          <w:p w14:paraId="0E000588">
            <w:pPr>
              <w:widowControl/>
              <w:spacing w:line="400" w:lineRule="exact"/>
              <w:jc w:val="left"/>
              <w:rPr>
                <w:rFonts w:ascii="宋体" w:hAnsi="宋体" w:cs="宋体"/>
                <w:kern w:val="0"/>
                <w:szCs w:val="21"/>
              </w:rPr>
            </w:pPr>
            <w:r>
              <w:rPr>
                <w:rFonts w:hint="eastAsia" w:ascii="宋体" w:hAnsi="宋体" w:cs="宋体"/>
                <w:kern w:val="0"/>
                <w:szCs w:val="21"/>
              </w:rPr>
              <w:t>未审查开工报审资料</w:t>
            </w:r>
          </w:p>
        </w:tc>
        <w:tc>
          <w:tcPr>
            <w:tcW w:w="2471" w:type="dxa"/>
            <w:tcBorders>
              <w:top w:val="nil"/>
              <w:left w:val="nil"/>
              <w:bottom w:val="single" w:color="auto" w:sz="4" w:space="0"/>
              <w:right w:val="single" w:color="auto" w:sz="4" w:space="0"/>
            </w:tcBorders>
            <w:vAlign w:val="center"/>
          </w:tcPr>
          <w:p w14:paraId="4B96219E">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vAlign w:val="center"/>
          </w:tcPr>
          <w:p w14:paraId="1A1E6B23">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4D76AF55">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6F4E3CFB">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single" w:color="000000" w:sz="4" w:space="0"/>
              <w:right w:val="single" w:color="auto" w:sz="4" w:space="0"/>
            </w:tcBorders>
            <w:vAlign w:val="center"/>
          </w:tcPr>
          <w:p w14:paraId="598B8CDF">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vAlign w:val="center"/>
          </w:tcPr>
          <w:p w14:paraId="59B21CB8">
            <w:pPr>
              <w:widowControl/>
              <w:spacing w:line="400" w:lineRule="exact"/>
              <w:jc w:val="left"/>
              <w:rPr>
                <w:rFonts w:ascii="宋体" w:hAnsi="宋体" w:cs="宋体"/>
                <w:kern w:val="0"/>
                <w:szCs w:val="21"/>
              </w:rPr>
            </w:pPr>
            <w:r>
              <w:rPr>
                <w:rFonts w:hint="eastAsia" w:ascii="宋体" w:hAnsi="宋体" w:cs="宋体"/>
                <w:kern w:val="0"/>
                <w:szCs w:val="21"/>
              </w:rPr>
              <w:t>未留存开工报审资料和无明确审查意见</w:t>
            </w:r>
          </w:p>
        </w:tc>
        <w:tc>
          <w:tcPr>
            <w:tcW w:w="2471" w:type="dxa"/>
            <w:tcBorders>
              <w:top w:val="nil"/>
              <w:left w:val="nil"/>
              <w:bottom w:val="single" w:color="auto" w:sz="4" w:space="0"/>
              <w:right w:val="single" w:color="auto" w:sz="4" w:space="0"/>
            </w:tcBorders>
            <w:vAlign w:val="center"/>
          </w:tcPr>
          <w:p w14:paraId="3A58B070">
            <w:pPr>
              <w:widowControl/>
              <w:spacing w:line="400" w:lineRule="exact"/>
              <w:jc w:val="left"/>
              <w:rPr>
                <w:rFonts w:ascii="宋体" w:hAnsi="宋体" w:cs="宋体"/>
                <w:kern w:val="0"/>
                <w:szCs w:val="21"/>
              </w:rPr>
            </w:pPr>
            <w:r>
              <w:rPr>
                <w:rFonts w:hint="eastAsia" w:ascii="宋体" w:hAnsi="宋体" w:cs="宋体"/>
                <w:kern w:val="0"/>
                <w:szCs w:val="21"/>
              </w:rPr>
              <w:t>0.25‰-0.5‰</w:t>
            </w:r>
          </w:p>
        </w:tc>
        <w:tc>
          <w:tcPr>
            <w:tcW w:w="850" w:type="dxa"/>
            <w:tcBorders>
              <w:top w:val="nil"/>
              <w:left w:val="nil"/>
              <w:bottom w:val="single" w:color="auto" w:sz="4" w:space="0"/>
              <w:right w:val="single" w:color="auto" w:sz="4" w:space="0"/>
            </w:tcBorders>
            <w:vAlign w:val="center"/>
          </w:tcPr>
          <w:p w14:paraId="3514A721">
            <w:pPr>
              <w:widowControl/>
              <w:spacing w:line="400" w:lineRule="exact"/>
              <w:jc w:val="center"/>
              <w:rPr>
                <w:rFonts w:ascii="宋体" w:hAnsi="宋体" w:cs="宋体"/>
                <w:kern w:val="0"/>
                <w:szCs w:val="21"/>
              </w:rPr>
            </w:pPr>
          </w:p>
        </w:tc>
      </w:tr>
      <w:tr w14:paraId="59B6A25C">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364660ED">
            <w:pPr>
              <w:widowControl/>
              <w:spacing w:line="400" w:lineRule="exact"/>
              <w:jc w:val="left"/>
              <w:rPr>
                <w:rFonts w:ascii="宋体" w:hAnsi="宋体" w:cs="宋体"/>
                <w:kern w:val="0"/>
                <w:szCs w:val="21"/>
              </w:rPr>
            </w:pPr>
          </w:p>
        </w:tc>
        <w:tc>
          <w:tcPr>
            <w:tcW w:w="1374" w:type="dxa"/>
            <w:vMerge w:val="restart"/>
            <w:tcBorders>
              <w:top w:val="nil"/>
              <w:left w:val="single" w:color="auto" w:sz="4" w:space="0"/>
              <w:bottom w:val="nil"/>
              <w:right w:val="single" w:color="auto" w:sz="4" w:space="0"/>
            </w:tcBorders>
            <w:vAlign w:val="center"/>
          </w:tcPr>
          <w:p w14:paraId="51CB02C8">
            <w:pPr>
              <w:widowControl/>
              <w:spacing w:line="400" w:lineRule="exact"/>
              <w:jc w:val="left"/>
              <w:rPr>
                <w:rFonts w:ascii="宋体" w:hAnsi="宋体" w:cs="宋体"/>
                <w:kern w:val="0"/>
                <w:szCs w:val="21"/>
              </w:rPr>
            </w:pPr>
            <w:r>
              <w:rPr>
                <w:rFonts w:hint="eastAsia" w:ascii="宋体" w:hAnsi="宋体" w:cs="宋体"/>
                <w:kern w:val="0"/>
                <w:szCs w:val="21"/>
              </w:rPr>
              <w:t>审查施工组织设计和施工方案</w:t>
            </w:r>
          </w:p>
        </w:tc>
        <w:tc>
          <w:tcPr>
            <w:tcW w:w="4395" w:type="dxa"/>
            <w:tcBorders>
              <w:top w:val="nil"/>
              <w:left w:val="nil"/>
              <w:bottom w:val="single" w:color="auto" w:sz="4" w:space="0"/>
              <w:right w:val="single" w:color="auto" w:sz="4" w:space="0"/>
            </w:tcBorders>
            <w:vAlign w:val="center"/>
          </w:tcPr>
          <w:p w14:paraId="049A75EA">
            <w:pPr>
              <w:widowControl/>
              <w:spacing w:line="400" w:lineRule="exact"/>
              <w:jc w:val="left"/>
              <w:rPr>
                <w:rFonts w:ascii="宋体" w:hAnsi="宋体" w:cs="宋体"/>
                <w:kern w:val="0"/>
                <w:szCs w:val="21"/>
              </w:rPr>
            </w:pPr>
            <w:r>
              <w:rPr>
                <w:rFonts w:hint="eastAsia" w:ascii="宋体" w:hAnsi="宋体" w:cs="宋体"/>
                <w:kern w:val="0"/>
                <w:szCs w:val="21"/>
              </w:rPr>
              <w:t>未审查施工组织设计及专项方案</w:t>
            </w:r>
          </w:p>
        </w:tc>
        <w:tc>
          <w:tcPr>
            <w:tcW w:w="2471" w:type="dxa"/>
            <w:tcBorders>
              <w:top w:val="nil"/>
              <w:left w:val="nil"/>
              <w:bottom w:val="single" w:color="auto" w:sz="4" w:space="0"/>
              <w:right w:val="single" w:color="auto" w:sz="4" w:space="0"/>
            </w:tcBorders>
            <w:vAlign w:val="center"/>
          </w:tcPr>
          <w:p w14:paraId="60E379AC">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vAlign w:val="center"/>
          </w:tcPr>
          <w:p w14:paraId="6FF6576F">
            <w:pPr>
              <w:widowControl/>
              <w:spacing w:line="400" w:lineRule="exact"/>
              <w:jc w:val="center"/>
              <w:rPr>
                <w:rFonts w:ascii="宋体" w:hAnsi="宋体" w:cs="宋体"/>
                <w:kern w:val="0"/>
                <w:szCs w:val="21"/>
              </w:rPr>
            </w:pPr>
          </w:p>
        </w:tc>
      </w:tr>
      <w:tr w14:paraId="79B4645F">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26161CDD">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nil"/>
              <w:right w:val="single" w:color="auto" w:sz="4" w:space="0"/>
            </w:tcBorders>
            <w:vAlign w:val="center"/>
          </w:tcPr>
          <w:p w14:paraId="7096C673">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vAlign w:val="center"/>
          </w:tcPr>
          <w:p w14:paraId="5362B3E4">
            <w:pPr>
              <w:spacing w:line="400" w:lineRule="exact"/>
              <w:rPr>
                <w:rFonts w:ascii="宋体" w:hAnsi="宋体" w:cs="宋体"/>
                <w:szCs w:val="21"/>
              </w:rPr>
            </w:pPr>
            <w:r>
              <w:rPr>
                <w:rFonts w:hint="eastAsia" w:ascii="宋体" w:hAnsi="宋体"/>
                <w:szCs w:val="21"/>
              </w:rPr>
              <w:t>未识别是否符合强制性标准</w:t>
            </w:r>
          </w:p>
        </w:tc>
        <w:tc>
          <w:tcPr>
            <w:tcW w:w="2471" w:type="dxa"/>
            <w:tcBorders>
              <w:top w:val="nil"/>
              <w:left w:val="nil"/>
              <w:bottom w:val="single" w:color="auto" w:sz="4" w:space="0"/>
              <w:right w:val="single" w:color="auto" w:sz="4" w:space="0"/>
            </w:tcBorders>
            <w:vAlign w:val="center"/>
          </w:tcPr>
          <w:p w14:paraId="5B192310">
            <w:pPr>
              <w:spacing w:line="400" w:lineRule="exact"/>
              <w:rPr>
                <w:rFonts w:ascii="宋体" w:hAnsi="宋体" w:cs="宋体"/>
                <w:szCs w:val="21"/>
              </w:rPr>
            </w:pPr>
            <w:r>
              <w:rPr>
                <w:rFonts w:hint="eastAsia" w:ascii="宋体" w:hAnsi="宋体"/>
                <w:szCs w:val="21"/>
              </w:rPr>
              <w:t>0.5‰-1‰</w:t>
            </w:r>
          </w:p>
        </w:tc>
        <w:tc>
          <w:tcPr>
            <w:tcW w:w="850" w:type="dxa"/>
            <w:tcBorders>
              <w:top w:val="nil"/>
              <w:left w:val="nil"/>
              <w:bottom w:val="single" w:color="auto" w:sz="4" w:space="0"/>
              <w:right w:val="single" w:color="auto" w:sz="4" w:space="0"/>
            </w:tcBorders>
            <w:vAlign w:val="center"/>
          </w:tcPr>
          <w:p w14:paraId="41022D44">
            <w:pPr>
              <w:widowControl/>
              <w:spacing w:line="400" w:lineRule="exact"/>
              <w:jc w:val="center"/>
              <w:rPr>
                <w:rFonts w:ascii="宋体" w:hAnsi="宋体" w:cs="宋体"/>
                <w:kern w:val="0"/>
                <w:szCs w:val="21"/>
              </w:rPr>
            </w:pPr>
          </w:p>
        </w:tc>
      </w:tr>
      <w:tr w14:paraId="6062FCAC">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5458C2CD">
            <w:pPr>
              <w:widowControl/>
              <w:spacing w:line="400" w:lineRule="exact"/>
              <w:jc w:val="left"/>
              <w:rPr>
                <w:rFonts w:ascii="宋体" w:hAnsi="宋体" w:cs="宋体"/>
                <w:kern w:val="0"/>
                <w:szCs w:val="21"/>
              </w:rPr>
            </w:pPr>
          </w:p>
        </w:tc>
        <w:tc>
          <w:tcPr>
            <w:tcW w:w="1374" w:type="dxa"/>
            <w:tcBorders>
              <w:top w:val="single" w:color="auto" w:sz="4" w:space="0"/>
              <w:left w:val="nil"/>
              <w:bottom w:val="single" w:color="auto" w:sz="4" w:space="0"/>
              <w:right w:val="single" w:color="auto" w:sz="4" w:space="0"/>
            </w:tcBorders>
            <w:vAlign w:val="center"/>
          </w:tcPr>
          <w:p w14:paraId="3ABE2BBD">
            <w:pPr>
              <w:widowControl/>
              <w:spacing w:line="400" w:lineRule="exact"/>
              <w:jc w:val="left"/>
              <w:rPr>
                <w:rFonts w:ascii="宋体" w:hAnsi="宋体" w:cs="宋体"/>
                <w:kern w:val="0"/>
                <w:szCs w:val="21"/>
              </w:rPr>
            </w:pPr>
            <w:r>
              <w:rPr>
                <w:rFonts w:hint="eastAsia" w:ascii="宋体" w:hAnsi="宋体" w:cs="宋体"/>
                <w:kern w:val="0"/>
                <w:szCs w:val="21"/>
              </w:rPr>
              <w:t>审核区域单位</w:t>
            </w:r>
          </w:p>
        </w:tc>
        <w:tc>
          <w:tcPr>
            <w:tcW w:w="4395" w:type="dxa"/>
            <w:tcBorders>
              <w:top w:val="nil"/>
              <w:left w:val="nil"/>
              <w:bottom w:val="single" w:color="auto" w:sz="4" w:space="0"/>
              <w:right w:val="single" w:color="auto" w:sz="4" w:space="0"/>
            </w:tcBorders>
            <w:vAlign w:val="center"/>
          </w:tcPr>
          <w:p w14:paraId="73414D07">
            <w:pPr>
              <w:widowControl/>
              <w:spacing w:line="400" w:lineRule="exact"/>
              <w:jc w:val="left"/>
              <w:rPr>
                <w:rFonts w:ascii="宋体" w:hAnsi="宋体" w:cs="宋体"/>
                <w:kern w:val="0"/>
                <w:szCs w:val="21"/>
              </w:rPr>
            </w:pPr>
            <w:r>
              <w:rPr>
                <w:rFonts w:hint="eastAsia" w:ascii="宋体" w:hAnsi="宋体" w:cs="宋体"/>
                <w:kern w:val="0"/>
                <w:szCs w:val="21"/>
              </w:rPr>
              <w:t>未审核施工单位报送的区域单位资格</w:t>
            </w:r>
          </w:p>
        </w:tc>
        <w:tc>
          <w:tcPr>
            <w:tcW w:w="2471" w:type="dxa"/>
            <w:tcBorders>
              <w:top w:val="nil"/>
              <w:left w:val="nil"/>
              <w:bottom w:val="single" w:color="auto" w:sz="4" w:space="0"/>
              <w:right w:val="single" w:color="auto" w:sz="4" w:space="0"/>
            </w:tcBorders>
            <w:vAlign w:val="center"/>
          </w:tcPr>
          <w:p w14:paraId="2AB49B7C">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vAlign w:val="center"/>
          </w:tcPr>
          <w:p w14:paraId="798F021F">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3398ABEA">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521AF9AF">
            <w:pPr>
              <w:widowControl/>
              <w:spacing w:line="400" w:lineRule="exact"/>
              <w:jc w:val="left"/>
              <w:rPr>
                <w:rFonts w:ascii="宋体" w:hAnsi="宋体" w:cs="宋体"/>
                <w:kern w:val="0"/>
                <w:szCs w:val="21"/>
              </w:rPr>
            </w:pPr>
          </w:p>
        </w:tc>
        <w:tc>
          <w:tcPr>
            <w:tcW w:w="1374" w:type="dxa"/>
            <w:vMerge w:val="restart"/>
            <w:tcBorders>
              <w:top w:val="nil"/>
              <w:left w:val="single" w:color="auto" w:sz="4" w:space="0"/>
              <w:bottom w:val="single" w:color="000000" w:sz="4" w:space="0"/>
              <w:right w:val="single" w:color="auto" w:sz="4" w:space="0"/>
            </w:tcBorders>
            <w:vAlign w:val="center"/>
          </w:tcPr>
          <w:p w14:paraId="463B0CD5">
            <w:pPr>
              <w:widowControl/>
              <w:spacing w:line="400" w:lineRule="exact"/>
              <w:jc w:val="left"/>
              <w:rPr>
                <w:rFonts w:ascii="宋体" w:hAnsi="宋体" w:cs="宋体"/>
                <w:kern w:val="0"/>
                <w:szCs w:val="21"/>
              </w:rPr>
            </w:pPr>
            <w:r>
              <w:rPr>
                <w:rFonts w:hint="eastAsia" w:ascii="宋体" w:hAnsi="宋体" w:cs="宋体"/>
                <w:kern w:val="0"/>
                <w:szCs w:val="21"/>
              </w:rPr>
              <w:t>检查复核施工测量成果</w:t>
            </w:r>
          </w:p>
        </w:tc>
        <w:tc>
          <w:tcPr>
            <w:tcW w:w="4395" w:type="dxa"/>
            <w:tcBorders>
              <w:top w:val="nil"/>
              <w:left w:val="nil"/>
              <w:bottom w:val="single" w:color="auto" w:sz="4" w:space="0"/>
              <w:right w:val="single" w:color="auto" w:sz="4" w:space="0"/>
            </w:tcBorders>
            <w:vAlign w:val="center"/>
          </w:tcPr>
          <w:p w14:paraId="32E93AEE">
            <w:pPr>
              <w:widowControl/>
              <w:spacing w:line="400" w:lineRule="exact"/>
              <w:jc w:val="left"/>
              <w:rPr>
                <w:rFonts w:ascii="宋体" w:hAnsi="宋体" w:cs="宋体"/>
                <w:kern w:val="0"/>
                <w:szCs w:val="21"/>
              </w:rPr>
            </w:pPr>
            <w:r>
              <w:rPr>
                <w:rFonts w:hint="eastAsia" w:ascii="宋体" w:hAnsi="宋体" w:cs="宋体"/>
                <w:kern w:val="0"/>
                <w:szCs w:val="21"/>
              </w:rPr>
              <w:t>未检查、复核施工单位报审的测量人员资格或测量设备检定证书</w:t>
            </w:r>
          </w:p>
        </w:tc>
        <w:tc>
          <w:tcPr>
            <w:tcW w:w="2471" w:type="dxa"/>
            <w:tcBorders>
              <w:top w:val="nil"/>
              <w:left w:val="nil"/>
              <w:bottom w:val="single" w:color="auto" w:sz="4" w:space="0"/>
              <w:right w:val="single" w:color="auto" w:sz="4" w:space="0"/>
            </w:tcBorders>
            <w:vAlign w:val="center"/>
          </w:tcPr>
          <w:p w14:paraId="60D4A0F6">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vAlign w:val="center"/>
          </w:tcPr>
          <w:p w14:paraId="07FDD814">
            <w:pPr>
              <w:widowControl/>
              <w:spacing w:line="400" w:lineRule="exact"/>
              <w:jc w:val="center"/>
              <w:rPr>
                <w:rFonts w:ascii="宋体" w:hAnsi="宋体" w:cs="宋体"/>
                <w:kern w:val="0"/>
                <w:szCs w:val="21"/>
              </w:rPr>
            </w:pPr>
          </w:p>
        </w:tc>
      </w:tr>
      <w:tr w14:paraId="0470BB58">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2A241F73">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single" w:color="000000" w:sz="4" w:space="0"/>
              <w:right w:val="single" w:color="auto" w:sz="4" w:space="0"/>
            </w:tcBorders>
            <w:vAlign w:val="center"/>
          </w:tcPr>
          <w:p w14:paraId="126BE818">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vAlign w:val="center"/>
          </w:tcPr>
          <w:p w14:paraId="1BD38F8E">
            <w:pPr>
              <w:widowControl/>
              <w:spacing w:line="400" w:lineRule="exact"/>
              <w:jc w:val="left"/>
              <w:rPr>
                <w:rFonts w:ascii="宋体" w:hAnsi="宋体" w:cs="宋体"/>
                <w:kern w:val="0"/>
                <w:szCs w:val="21"/>
              </w:rPr>
            </w:pPr>
            <w:r>
              <w:rPr>
                <w:rFonts w:hint="eastAsia" w:ascii="宋体" w:hAnsi="宋体" w:cs="宋体"/>
                <w:kern w:val="0"/>
                <w:szCs w:val="21"/>
              </w:rPr>
              <w:t>未检查、复核测量成果、交桩记录及控制桩保护措施</w:t>
            </w:r>
          </w:p>
        </w:tc>
        <w:tc>
          <w:tcPr>
            <w:tcW w:w="2471" w:type="dxa"/>
            <w:tcBorders>
              <w:top w:val="nil"/>
              <w:left w:val="nil"/>
              <w:bottom w:val="single" w:color="auto" w:sz="4" w:space="0"/>
              <w:right w:val="single" w:color="auto" w:sz="4" w:space="0"/>
            </w:tcBorders>
            <w:vAlign w:val="center"/>
          </w:tcPr>
          <w:p w14:paraId="3186FB02">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vAlign w:val="center"/>
          </w:tcPr>
          <w:p w14:paraId="62E2EA57">
            <w:pPr>
              <w:widowControl/>
              <w:spacing w:line="400" w:lineRule="exact"/>
              <w:jc w:val="center"/>
              <w:rPr>
                <w:rFonts w:ascii="宋体" w:hAnsi="宋体" w:cs="宋体"/>
                <w:kern w:val="0"/>
                <w:szCs w:val="21"/>
              </w:rPr>
            </w:pPr>
          </w:p>
        </w:tc>
      </w:tr>
      <w:tr w14:paraId="5F76E16A">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6697E037">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single" w:color="000000" w:sz="4" w:space="0"/>
              <w:right w:val="single" w:color="auto" w:sz="4" w:space="0"/>
            </w:tcBorders>
            <w:vAlign w:val="center"/>
          </w:tcPr>
          <w:p w14:paraId="5B429299">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vAlign w:val="center"/>
          </w:tcPr>
          <w:p w14:paraId="1F84FEA4">
            <w:pPr>
              <w:widowControl/>
              <w:spacing w:line="400" w:lineRule="exact"/>
              <w:jc w:val="left"/>
              <w:rPr>
                <w:rFonts w:ascii="宋体" w:hAnsi="宋体" w:cs="宋体"/>
                <w:kern w:val="0"/>
                <w:szCs w:val="21"/>
              </w:rPr>
            </w:pPr>
            <w:r>
              <w:rPr>
                <w:rFonts w:hint="eastAsia" w:ascii="宋体" w:hAnsi="宋体" w:cs="宋体"/>
                <w:kern w:val="0"/>
                <w:szCs w:val="21"/>
              </w:rPr>
              <w:t>未对复核测量成果进行签认</w:t>
            </w:r>
          </w:p>
        </w:tc>
        <w:tc>
          <w:tcPr>
            <w:tcW w:w="2471" w:type="dxa"/>
            <w:tcBorders>
              <w:top w:val="nil"/>
              <w:left w:val="nil"/>
              <w:bottom w:val="single" w:color="auto" w:sz="4" w:space="0"/>
              <w:right w:val="single" w:color="auto" w:sz="4" w:space="0"/>
            </w:tcBorders>
            <w:vAlign w:val="center"/>
          </w:tcPr>
          <w:p w14:paraId="7DF3DDBA">
            <w:pPr>
              <w:widowControl/>
              <w:spacing w:line="400" w:lineRule="exact"/>
              <w:jc w:val="left"/>
              <w:rPr>
                <w:rFonts w:ascii="宋体" w:hAnsi="宋体" w:cs="宋体"/>
                <w:kern w:val="0"/>
                <w:szCs w:val="21"/>
              </w:rPr>
            </w:pPr>
            <w:r>
              <w:rPr>
                <w:rFonts w:hint="eastAsia" w:ascii="宋体" w:hAnsi="宋体" w:cs="宋体"/>
                <w:kern w:val="0"/>
                <w:szCs w:val="21"/>
              </w:rPr>
              <w:t>0.25‰-0.5‰</w:t>
            </w:r>
          </w:p>
        </w:tc>
        <w:tc>
          <w:tcPr>
            <w:tcW w:w="850" w:type="dxa"/>
            <w:tcBorders>
              <w:top w:val="nil"/>
              <w:left w:val="nil"/>
              <w:bottom w:val="single" w:color="auto" w:sz="4" w:space="0"/>
              <w:right w:val="single" w:color="auto" w:sz="4" w:space="0"/>
            </w:tcBorders>
            <w:vAlign w:val="center"/>
          </w:tcPr>
          <w:p w14:paraId="7997A237">
            <w:pPr>
              <w:widowControl/>
              <w:spacing w:line="400" w:lineRule="exact"/>
              <w:jc w:val="center"/>
              <w:rPr>
                <w:rFonts w:ascii="宋体" w:hAnsi="宋体" w:cs="宋体"/>
                <w:kern w:val="0"/>
                <w:szCs w:val="21"/>
              </w:rPr>
            </w:pPr>
          </w:p>
        </w:tc>
      </w:tr>
      <w:tr w14:paraId="5E26370F">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263518CD">
            <w:pPr>
              <w:widowControl/>
              <w:spacing w:line="400" w:lineRule="exact"/>
              <w:jc w:val="left"/>
              <w:rPr>
                <w:rFonts w:ascii="宋体" w:hAnsi="宋体" w:cs="宋体"/>
                <w:kern w:val="0"/>
                <w:szCs w:val="21"/>
              </w:rPr>
            </w:pPr>
          </w:p>
        </w:tc>
        <w:tc>
          <w:tcPr>
            <w:tcW w:w="1374" w:type="dxa"/>
            <w:vMerge w:val="restart"/>
            <w:tcBorders>
              <w:top w:val="nil"/>
              <w:left w:val="single" w:color="auto" w:sz="4" w:space="0"/>
              <w:bottom w:val="nil"/>
              <w:right w:val="single" w:color="auto" w:sz="4" w:space="0"/>
            </w:tcBorders>
            <w:vAlign w:val="center"/>
          </w:tcPr>
          <w:p w14:paraId="3F79A32E">
            <w:pPr>
              <w:widowControl/>
              <w:spacing w:line="400" w:lineRule="exact"/>
              <w:jc w:val="left"/>
              <w:rPr>
                <w:rFonts w:ascii="宋体" w:hAnsi="宋体" w:cs="宋体"/>
                <w:kern w:val="0"/>
                <w:szCs w:val="21"/>
              </w:rPr>
            </w:pPr>
            <w:r>
              <w:rPr>
                <w:rFonts w:hint="eastAsia" w:ascii="宋体" w:hAnsi="宋体" w:cs="宋体"/>
                <w:kern w:val="0"/>
                <w:szCs w:val="21"/>
              </w:rPr>
              <w:t>材料/构配件/设备审查</w:t>
            </w:r>
          </w:p>
        </w:tc>
        <w:tc>
          <w:tcPr>
            <w:tcW w:w="4395" w:type="dxa"/>
            <w:tcBorders>
              <w:top w:val="nil"/>
              <w:left w:val="nil"/>
              <w:bottom w:val="single" w:color="auto" w:sz="4" w:space="0"/>
              <w:right w:val="single" w:color="auto" w:sz="4" w:space="0"/>
            </w:tcBorders>
            <w:vAlign w:val="center"/>
          </w:tcPr>
          <w:p w14:paraId="1AE46898">
            <w:pPr>
              <w:widowControl/>
              <w:spacing w:line="400" w:lineRule="exact"/>
              <w:jc w:val="left"/>
              <w:rPr>
                <w:rFonts w:ascii="宋体" w:hAnsi="宋体" w:cs="宋体"/>
                <w:kern w:val="0"/>
                <w:szCs w:val="21"/>
              </w:rPr>
            </w:pPr>
            <w:r>
              <w:rPr>
                <w:rFonts w:hint="eastAsia" w:ascii="宋体" w:hAnsi="宋体" w:cs="宋体"/>
                <w:kern w:val="0"/>
                <w:szCs w:val="21"/>
              </w:rPr>
              <w:t>未审查质量证明文件，未对实物进行检查、验收，将不合格的签认为合格</w:t>
            </w:r>
          </w:p>
        </w:tc>
        <w:tc>
          <w:tcPr>
            <w:tcW w:w="2471" w:type="dxa"/>
            <w:tcBorders>
              <w:top w:val="nil"/>
              <w:left w:val="nil"/>
              <w:bottom w:val="single" w:color="auto" w:sz="4" w:space="0"/>
              <w:right w:val="single" w:color="auto" w:sz="4" w:space="0"/>
            </w:tcBorders>
            <w:vAlign w:val="center"/>
          </w:tcPr>
          <w:p w14:paraId="2D42EA3F">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vAlign w:val="center"/>
          </w:tcPr>
          <w:p w14:paraId="2E01CB77">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281427B0">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3E6A4922">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nil"/>
              <w:right w:val="single" w:color="auto" w:sz="4" w:space="0"/>
            </w:tcBorders>
            <w:vAlign w:val="center"/>
          </w:tcPr>
          <w:p w14:paraId="2DEF8C7F">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vAlign w:val="center"/>
          </w:tcPr>
          <w:p w14:paraId="71CA0B88">
            <w:pPr>
              <w:widowControl/>
              <w:spacing w:line="400" w:lineRule="exact"/>
              <w:jc w:val="left"/>
              <w:rPr>
                <w:rFonts w:ascii="宋体" w:hAnsi="宋体" w:cs="宋体"/>
                <w:kern w:val="0"/>
                <w:szCs w:val="21"/>
              </w:rPr>
            </w:pPr>
            <w:r>
              <w:rPr>
                <w:rFonts w:hint="eastAsia" w:ascii="宋体" w:hAnsi="宋体" w:cs="宋体"/>
                <w:kern w:val="0"/>
                <w:szCs w:val="21"/>
              </w:rPr>
              <w:t>对进场不合格的材料、构配件、设备未要求施工单位将其撤出施工现场</w:t>
            </w:r>
          </w:p>
        </w:tc>
        <w:tc>
          <w:tcPr>
            <w:tcW w:w="2471" w:type="dxa"/>
            <w:tcBorders>
              <w:top w:val="nil"/>
              <w:left w:val="nil"/>
              <w:bottom w:val="single" w:color="auto" w:sz="4" w:space="0"/>
              <w:right w:val="single" w:color="auto" w:sz="4" w:space="0"/>
            </w:tcBorders>
            <w:vAlign w:val="center"/>
          </w:tcPr>
          <w:p w14:paraId="05F49A57">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vAlign w:val="center"/>
          </w:tcPr>
          <w:p w14:paraId="2F010643">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6A6D28D5">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60DA6CE6">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nil"/>
              <w:right w:val="single" w:color="auto" w:sz="4" w:space="0"/>
            </w:tcBorders>
            <w:vAlign w:val="center"/>
          </w:tcPr>
          <w:p w14:paraId="3C1CE6D4">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vAlign w:val="center"/>
          </w:tcPr>
          <w:p w14:paraId="73AD4051">
            <w:pPr>
              <w:widowControl/>
              <w:spacing w:line="400" w:lineRule="exact"/>
              <w:jc w:val="left"/>
              <w:rPr>
                <w:rFonts w:ascii="宋体" w:hAnsi="宋体" w:cs="宋体"/>
                <w:kern w:val="0"/>
                <w:szCs w:val="21"/>
              </w:rPr>
            </w:pPr>
            <w:r>
              <w:rPr>
                <w:rFonts w:hint="eastAsia" w:ascii="宋体" w:hAnsi="宋体" w:cs="宋体"/>
                <w:kern w:val="0"/>
                <w:szCs w:val="21"/>
              </w:rPr>
              <w:t>未对用于工程的材料按有关规定进行见证取样</w:t>
            </w:r>
          </w:p>
        </w:tc>
        <w:tc>
          <w:tcPr>
            <w:tcW w:w="2471" w:type="dxa"/>
            <w:tcBorders>
              <w:top w:val="nil"/>
              <w:left w:val="nil"/>
              <w:bottom w:val="single" w:color="auto" w:sz="4" w:space="0"/>
              <w:right w:val="single" w:color="auto" w:sz="4" w:space="0"/>
            </w:tcBorders>
            <w:vAlign w:val="center"/>
          </w:tcPr>
          <w:p w14:paraId="0E298F13">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vAlign w:val="center"/>
          </w:tcPr>
          <w:p w14:paraId="0CD86BF0">
            <w:pPr>
              <w:widowControl/>
              <w:spacing w:line="400" w:lineRule="exact"/>
              <w:jc w:val="center"/>
              <w:rPr>
                <w:rFonts w:ascii="宋体" w:hAnsi="宋体" w:cs="宋体"/>
                <w:kern w:val="0"/>
                <w:szCs w:val="21"/>
              </w:rPr>
            </w:pPr>
          </w:p>
        </w:tc>
      </w:tr>
      <w:tr w14:paraId="2819C03B">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386C997D">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nil"/>
              <w:right w:val="single" w:color="auto" w:sz="4" w:space="0"/>
            </w:tcBorders>
            <w:vAlign w:val="center"/>
          </w:tcPr>
          <w:p w14:paraId="04AF1067">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vAlign w:val="center"/>
          </w:tcPr>
          <w:p w14:paraId="2A986129">
            <w:pPr>
              <w:widowControl/>
              <w:spacing w:line="400" w:lineRule="exact"/>
              <w:jc w:val="left"/>
              <w:rPr>
                <w:rFonts w:ascii="宋体" w:hAnsi="宋体" w:cs="宋体"/>
                <w:kern w:val="0"/>
                <w:szCs w:val="21"/>
              </w:rPr>
            </w:pPr>
            <w:r>
              <w:rPr>
                <w:rFonts w:hint="eastAsia" w:ascii="宋体" w:hAnsi="宋体" w:cs="宋体"/>
                <w:kern w:val="0"/>
                <w:szCs w:val="21"/>
              </w:rPr>
              <w:t>未按监理合同约定进行平行检验</w:t>
            </w:r>
          </w:p>
        </w:tc>
        <w:tc>
          <w:tcPr>
            <w:tcW w:w="2471" w:type="dxa"/>
            <w:tcBorders>
              <w:top w:val="nil"/>
              <w:left w:val="nil"/>
              <w:bottom w:val="single" w:color="auto" w:sz="4" w:space="0"/>
              <w:right w:val="single" w:color="auto" w:sz="4" w:space="0"/>
            </w:tcBorders>
            <w:vAlign w:val="center"/>
          </w:tcPr>
          <w:p w14:paraId="1E1F9046">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vAlign w:val="center"/>
          </w:tcPr>
          <w:p w14:paraId="7D411597">
            <w:pPr>
              <w:widowControl/>
              <w:spacing w:line="400" w:lineRule="exact"/>
              <w:jc w:val="center"/>
              <w:rPr>
                <w:rFonts w:ascii="宋体" w:hAnsi="宋体" w:cs="宋体"/>
                <w:kern w:val="0"/>
                <w:szCs w:val="21"/>
              </w:rPr>
            </w:pPr>
          </w:p>
        </w:tc>
      </w:tr>
      <w:tr w14:paraId="278984BA">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2D2250C3">
            <w:pPr>
              <w:widowControl/>
              <w:spacing w:line="400" w:lineRule="exact"/>
              <w:jc w:val="left"/>
              <w:rPr>
                <w:rFonts w:ascii="宋体" w:hAnsi="宋体" w:cs="宋体"/>
                <w:kern w:val="0"/>
                <w:szCs w:val="21"/>
              </w:rPr>
            </w:pPr>
          </w:p>
        </w:tc>
        <w:tc>
          <w:tcPr>
            <w:tcW w:w="1374" w:type="dxa"/>
            <w:tcBorders>
              <w:top w:val="single" w:color="auto" w:sz="4" w:space="0"/>
              <w:left w:val="nil"/>
              <w:bottom w:val="nil"/>
              <w:right w:val="single" w:color="auto" w:sz="4" w:space="0"/>
            </w:tcBorders>
            <w:vAlign w:val="center"/>
          </w:tcPr>
          <w:p w14:paraId="07A3EFF0">
            <w:pPr>
              <w:widowControl/>
              <w:spacing w:line="400" w:lineRule="exact"/>
              <w:jc w:val="left"/>
              <w:rPr>
                <w:rFonts w:ascii="宋体" w:hAnsi="宋体" w:cs="宋体"/>
                <w:kern w:val="0"/>
                <w:szCs w:val="21"/>
              </w:rPr>
            </w:pPr>
            <w:r>
              <w:rPr>
                <w:rFonts w:hint="eastAsia" w:ascii="宋体" w:hAnsi="宋体" w:cs="宋体"/>
                <w:kern w:val="0"/>
                <w:szCs w:val="21"/>
              </w:rPr>
              <w:t>旁站</w:t>
            </w:r>
          </w:p>
        </w:tc>
        <w:tc>
          <w:tcPr>
            <w:tcW w:w="4395" w:type="dxa"/>
            <w:tcBorders>
              <w:top w:val="nil"/>
              <w:left w:val="nil"/>
              <w:bottom w:val="single" w:color="auto" w:sz="4" w:space="0"/>
              <w:right w:val="single" w:color="auto" w:sz="4" w:space="0"/>
            </w:tcBorders>
            <w:vAlign w:val="center"/>
          </w:tcPr>
          <w:p w14:paraId="18090220">
            <w:pPr>
              <w:widowControl/>
              <w:spacing w:line="400" w:lineRule="exact"/>
              <w:jc w:val="left"/>
              <w:rPr>
                <w:rFonts w:ascii="宋体" w:hAnsi="宋体" w:cs="宋体"/>
                <w:kern w:val="0"/>
                <w:szCs w:val="21"/>
              </w:rPr>
            </w:pPr>
            <w:r>
              <w:rPr>
                <w:rFonts w:hint="eastAsia" w:ascii="宋体" w:hAnsi="宋体" w:cs="宋体"/>
                <w:kern w:val="0"/>
                <w:szCs w:val="21"/>
              </w:rPr>
              <w:t>未按旁站方案确定的关键部位、关键工序的施工质量进行旁站</w:t>
            </w:r>
          </w:p>
        </w:tc>
        <w:tc>
          <w:tcPr>
            <w:tcW w:w="2471" w:type="dxa"/>
            <w:tcBorders>
              <w:top w:val="nil"/>
              <w:left w:val="nil"/>
              <w:bottom w:val="single" w:color="auto" w:sz="4" w:space="0"/>
              <w:right w:val="single" w:color="auto" w:sz="4" w:space="0"/>
            </w:tcBorders>
            <w:vAlign w:val="center"/>
          </w:tcPr>
          <w:p w14:paraId="2F44940A">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vAlign w:val="center"/>
          </w:tcPr>
          <w:p w14:paraId="3A4886A9">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5A2463E9">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0D527934">
            <w:pPr>
              <w:widowControl/>
              <w:spacing w:line="400" w:lineRule="exact"/>
              <w:jc w:val="left"/>
              <w:rPr>
                <w:rFonts w:ascii="宋体" w:hAnsi="宋体" w:cs="宋体"/>
                <w:kern w:val="0"/>
                <w:szCs w:val="21"/>
              </w:rPr>
            </w:pPr>
          </w:p>
        </w:tc>
        <w:tc>
          <w:tcPr>
            <w:tcW w:w="1374" w:type="dxa"/>
            <w:tcBorders>
              <w:top w:val="single" w:color="auto" w:sz="4" w:space="0"/>
              <w:left w:val="nil"/>
              <w:bottom w:val="nil"/>
              <w:right w:val="single" w:color="auto" w:sz="4" w:space="0"/>
            </w:tcBorders>
            <w:vAlign w:val="center"/>
          </w:tcPr>
          <w:p w14:paraId="72E2150B">
            <w:pPr>
              <w:widowControl/>
              <w:spacing w:line="400" w:lineRule="exact"/>
              <w:jc w:val="left"/>
              <w:rPr>
                <w:rFonts w:ascii="宋体" w:hAnsi="宋体" w:cs="宋体"/>
                <w:kern w:val="0"/>
                <w:szCs w:val="21"/>
              </w:rPr>
            </w:pPr>
            <w:r>
              <w:rPr>
                <w:rFonts w:hint="eastAsia" w:ascii="宋体" w:hAnsi="宋体" w:cs="宋体"/>
                <w:kern w:val="0"/>
                <w:szCs w:val="21"/>
              </w:rPr>
              <w:t>工程质量巡视</w:t>
            </w:r>
          </w:p>
        </w:tc>
        <w:tc>
          <w:tcPr>
            <w:tcW w:w="4395" w:type="dxa"/>
            <w:tcBorders>
              <w:top w:val="nil"/>
              <w:left w:val="nil"/>
              <w:bottom w:val="single" w:color="auto" w:sz="4" w:space="0"/>
              <w:right w:val="single" w:color="auto" w:sz="4" w:space="0"/>
            </w:tcBorders>
            <w:vAlign w:val="center"/>
          </w:tcPr>
          <w:p w14:paraId="3632547E">
            <w:pPr>
              <w:widowControl/>
              <w:spacing w:line="400" w:lineRule="exact"/>
              <w:jc w:val="left"/>
              <w:rPr>
                <w:rFonts w:ascii="宋体" w:hAnsi="宋体" w:cs="宋体"/>
                <w:kern w:val="0"/>
                <w:szCs w:val="21"/>
              </w:rPr>
            </w:pPr>
            <w:r>
              <w:rPr>
                <w:rFonts w:hint="eastAsia" w:ascii="宋体" w:hAnsi="宋体" w:cs="宋体"/>
                <w:kern w:val="0"/>
                <w:szCs w:val="21"/>
              </w:rPr>
              <w:t>发现质量隐患未及时处理，对质量隐患无处理记录或整改结果</w:t>
            </w:r>
          </w:p>
        </w:tc>
        <w:tc>
          <w:tcPr>
            <w:tcW w:w="2471" w:type="dxa"/>
            <w:tcBorders>
              <w:top w:val="nil"/>
              <w:left w:val="nil"/>
              <w:bottom w:val="single" w:color="auto" w:sz="4" w:space="0"/>
              <w:right w:val="single" w:color="auto" w:sz="4" w:space="0"/>
            </w:tcBorders>
            <w:vAlign w:val="center"/>
          </w:tcPr>
          <w:p w14:paraId="5A675743">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vAlign w:val="center"/>
          </w:tcPr>
          <w:p w14:paraId="635F7C2F">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64C877A3">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3D38BAF8">
            <w:pPr>
              <w:widowControl/>
              <w:spacing w:line="400" w:lineRule="exact"/>
              <w:jc w:val="left"/>
              <w:rPr>
                <w:rFonts w:ascii="宋体" w:hAnsi="宋体" w:cs="宋体"/>
                <w:kern w:val="0"/>
                <w:szCs w:val="21"/>
              </w:rPr>
            </w:pPr>
          </w:p>
        </w:tc>
        <w:tc>
          <w:tcPr>
            <w:tcW w:w="1374" w:type="dxa"/>
            <w:vMerge w:val="restart"/>
            <w:tcBorders>
              <w:top w:val="single" w:color="auto" w:sz="4" w:space="0"/>
              <w:left w:val="single" w:color="auto" w:sz="4" w:space="0"/>
              <w:bottom w:val="single" w:color="000000" w:sz="4" w:space="0"/>
              <w:right w:val="single" w:color="auto" w:sz="4" w:space="0"/>
            </w:tcBorders>
            <w:vAlign w:val="center"/>
          </w:tcPr>
          <w:p w14:paraId="55026C3D">
            <w:pPr>
              <w:widowControl/>
              <w:spacing w:line="400" w:lineRule="exact"/>
              <w:jc w:val="left"/>
              <w:rPr>
                <w:rFonts w:ascii="宋体" w:hAnsi="宋体" w:cs="宋体"/>
                <w:kern w:val="0"/>
                <w:szCs w:val="21"/>
              </w:rPr>
            </w:pPr>
            <w:r>
              <w:rPr>
                <w:rFonts w:hint="eastAsia" w:ascii="宋体" w:hAnsi="宋体" w:cs="宋体"/>
                <w:kern w:val="0"/>
                <w:szCs w:val="21"/>
              </w:rPr>
              <w:t>隐检、检验批、分项分部验收</w:t>
            </w:r>
          </w:p>
        </w:tc>
        <w:tc>
          <w:tcPr>
            <w:tcW w:w="4395" w:type="dxa"/>
            <w:tcBorders>
              <w:top w:val="nil"/>
              <w:left w:val="nil"/>
              <w:bottom w:val="single" w:color="auto" w:sz="4" w:space="0"/>
              <w:right w:val="single" w:color="auto" w:sz="4" w:space="0"/>
            </w:tcBorders>
            <w:vAlign w:val="center"/>
          </w:tcPr>
          <w:p w14:paraId="63E4912E">
            <w:pPr>
              <w:widowControl/>
              <w:spacing w:line="400" w:lineRule="exact"/>
              <w:jc w:val="left"/>
              <w:rPr>
                <w:rFonts w:ascii="宋体" w:hAnsi="宋体" w:cs="宋体"/>
                <w:kern w:val="0"/>
                <w:szCs w:val="21"/>
              </w:rPr>
            </w:pPr>
            <w:r>
              <w:rPr>
                <w:rFonts w:hint="eastAsia" w:ascii="宋体" w:hAnsi="宋体" w:cs="宋体"/>
                <w:kern w:val="0"/>
                <w:szCs w:val="21"/>
              </w:rPr>
              <w:t>未对实体进行检查、验收，将不合格的签认为合格</w:t>
            </w:r>
          </w:p>
        </w:tc>
        <w:tc>
          <w:tcPr>
            <w:tcW w:w="2471" w:type="dxa"/>
            <w:tcBorders>
              <w:top w:val="nil"/>
              <w:left w:val="nil"/>
              <w:bottom w:val="single" w:color="auto" w:sz="4" w:space="0"/>
              <w:right w:val="single" w:color="auto" w:sz="4" w:space="0"/>
            </w:tcBorders>
            <w:vAlign w:val="center"/>
          </w:tcPr>
          <w:p w14:paraId="5055801C">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vAlign w:val="center"/>
          </w:tcPr>
          <w:p w14:paraId="5723BACA">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69E1E73B">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26C9736A">
            <w:pPr>
              <w:widowControl/>
              <w:spacing w:line="400" w:lineRule="exact"/>
              <w:jc w:val="left"/>
              <w:rPr>
                <w:rFonts w:ascii="宋体" w:hAnsi="宋体" w:cs="宋体"/>
                <w:kern w:val="0"/>
                <w:szCs w:val="21"/>
              </w:rPr>
            </w:pPr>
          </w:p>
        </w:tc>
        <w:tc>
          <w:tcPr>
            <w:tcW w:w="1374" w:type="dxa"/>
            <w:vMerge w:val="continue"/>
            <w:tcBorders>
              <w:top w:val="single" w:color="auto" w:sz="4" w:space="0"/>
              <w:left w:val="single" w:color="auto" w:sz="4" w:space="0"/>
              <w:bottom w:val="single" w:color="000000" w:sz="4" w:space="0"/>
              <w:right w:val="single" w:color="auto" w:sz="4" w:space="0"/>
            </w:tcBorders>
            <w:vAlign w:val="center"/>
          </w:tcPr>
          <w:p w14:paraId="6075F5E2">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vAlign w:val="center"/>
          </w:tcPr>
          <w:p w14:paraId="4A33CAAC">
            <w:pPr>
              <w:widowControl/>
              <w:spacing w:line="400" w:lineRule="exact"/>
              <w:jc w:val="left"/>
              <w:rPr>
                <w:rFonts w:ascii="宋体" w:hAnsi="宋体" w:cs="宋体"/>
                <w:kern w:val="0"/>
                <w:szCs w:val="21"/>
              </w:rPr>
            </w:pPr>
            <w:r>
              <w:rPr>
                <w:rFonts w:hint="eastAsia" w:ascii="宋体" w:hAnsi="宋体" w:cs="宋体"/>
                <w:kern w:val="0"/>
                <w:szCs w:val="21"/>
              </w:rPr>
              <w:t>无分部、分项及检验批划分方案</w:t>
            </w:r>
          </w:p>
        </w:tc>
        <w:tc>
          <w:tcPr>
            <w:tcW w:w="2471" w:type="dxa"/>
            <w:tcBorders>
              <w:top w:val="nil"/>
              <w:left w:val="nil"/>
              <w:bottom w:val="single" w:color="auto" w:sz="4" w:space="0"/>
              <w:right w:val="single" w:color="auto" w:sz="4" w:space="0"/>
            </w:tcBorders>
            <w:vAlign w:val="center"/>
          </w:tcPr>
          <w:p w14:paraId="4C32608F">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vAlign w:val="center"/>
          </w:tcPr>
          <w:p w14:paraId="7F6089DE">
            <w:pPr>
              <w:widowControl/>
              <w:spacing w:line="400" w:lineRule="exact"/>
              <w:jc w:val="center"/>
              <w:rPr>
                <w:rFonts w:ascii="宋体" w:hAnsi="宋体" w:cs="宋体"/>
                <w:kern w:val="0"/>
                <w:szCs w:val="21"/>
              </w:rPr>
            </w:pPr>
          </w:p>
        </w:tc>
      </w:tr>
      <w:tr w14:paraId="719457CB">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623D2CCA">
            <w:pPr>
              <w:widowControl/>
              <w:spacing w:line="400" w:lineRule="exact"/>
              <w:jc w:val="left"/>
              <w:rPr>
                <w:rFonts w:ascii="宋体" w:hAnsi="宋体" w:cs="宋体"/>
                <w:kern w:val="0"/>
                <w:szCs w:val="21"/>
              </w:rPr>
            </w:pPr>
          </w:p>
        </w:tc>
        <w:tc>
          <w:tcPr>
            <w:tcW w:w="1374" w:type="dxa"/>
            <w:vMerge w:val="continue"/>
            <w:tcBorders>
              <w:top w:val="single" w:color="auto" w:sz="4" w:space="0"/>
              <w:left w:val="single" w:color="auto" w:sz="4" w:space="0"/>
              <w:bottom w:val="single" w:color="000000" w:sz="4" w:space="0"/>
              <w:right w:val="single" w:color="auto" w:sz="4" w:space="0"/>
            </w:tcBorders>
            <w:vAlign w:val="center"/>
          </w:tcPr>
          <w:p w14:paraId="3A1A9ED8">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vAlign w:val="center"/>
          </w:tcPr>
          <w:p w14:paraId="5466C29D">
            <w:pPr>
              <w:widowControl/>
              <w:spacing w:line="400" w:lineRule="exact"/>
              <w:jc w:val="left"/>
              <w:rPr>
                <w:rFonts w:ascii="宋体" w:hAnsi="宋体" w:cs="宋体"/>
                <w:kern w:val="0"/>
                <w:szCs w:val="21"/>
              </w:rPr>
            </w:pPr>
            <w:r>
              <w:rPr>
                <w:rFonts w:hint="eastAsia" w:ascii="宋体" w:hAnsi="宋体" w:cs="宋体"/>
                <w:kern w:val="0"/>
                <w:szCs w:val="21"/>
              </w:rPr>
              <w:t>承包人报验后未及时进行验收</w:t>
            </w:r>
          </w:p>
        </w:tc>
        <w:tc>
          <w:tcPr>
            <w:tcW w:w="2471" w:type="dxa"/>
            <w:tcBorders>
              <w:top w:val="nil"/>
              <w:left w:val="nil"/>
              <w:bottom w:val="single" w:color="auto" w:sz="4" w:space="0"/>
              <w:right w:val="single" w:color="auto" w:sz="4" w:space="0"/>
            </w:tcBorders>
            <w:vAlign w:val="center"/>
          </w:tcPr>
          <w:p w14:paraId="3D8B7953">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vAlign w:val="center"/>
          </w:tcPr>
          <w:p w14:paraId="75C14001">
            <w:pPr>
              <w:widowControl/>
              <w:spacing w:line="400" w:lineRule="exact"/>
              <w:jc w:val="center"/>
              <w:rPr>
                <w:rFonts w:ascii="宋体" w:hAnsi="宋体" w:cs="宋体"/>
                <w:kern w:val="0"/>
                <w:szCs w:val="21"/>
              </w:rPr>
            </w:pPr>
          </w:p>
        </w:tc>
      </w:tr>
      <w:tr w14:paraId="6D85D276">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6761F559">
            <w:pPr>
              <w:widowControl/>
              <w:spacing w:line="400" w:lineRule="exact"/>
              <w:jc w:val="left"/>
              <w:rPr>
                <w:rFonts w:ascii="宋体" w:hAnsi="宋体" w:cs="宋体"/>
                <w:kern w:val="0"/>
                <w:szCs w:val="21"/>
              </w:rPr>
            </w:pPr>
          </w:p>
        </w:tc>
        <w:tc>
          <w:tcPr>
            <w:tcW w:w="1374" w:type="dxa"/>
            <w:vMerge w:val="continue"/>
            <w:tcBorders>
              <w:top w:val="single" w:color="auto" w:sz="4" w:space="0"/>
              <w:left w:val="single" w:color="auto" w:sz="4" w:space="0"/>
              <w:bottom w:val="single" w:color="000000" w:sz="4" w:space="0"/>
              <w:right w:val="single" w:color="auto" w:sz="4" w:space="0"/>
            </w:tcBorders>
            <w:vAlign w:val="center"/>
          </w:tcPr>
          <w:p w14:paraId="3E957FD2">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vAlign w:val="center"/>
          </w:tcPr>
          <w:p w14:paraId="205D7D1C">
            <w:pPr>
              <w:widowControl/>
              <w:spacing w:line="400" w:lineRule="exact"/>
              <w:jc w:val="left"/>
              <w:rPr>
                <w:rFonts w:ascii="宋体" w:hAnsi="宋体" w:cs="宋体"/>
                <w:kern w:val="0"/>
                <w:szCs w:val="21"/>
              </w:rPr>
            </w:pPr>
            <w:r>
              <w:rPr>
                <w:rFonts w:hint="eastAsia" w:ascii="宋体" w:hAnsi="宋体" w:cs="宋体"/>
                <w:kern w:val="0"/>
                <w:szCs w:val="21"/>
              </w:rPr>
              <w:t>验收资料不完整或签批不规范</w:t>
            </w:r>
          </w:p>
        </w:tc>
        <w:tc>
          <w:tcPr>
            <w:tcW w:w="2471" w:type="dxa"/>
            <w:tcBorders>
              <w:top w:val="nil"/>
              <w:left w:val="nil"/>
              <w:bottom w:val="single" w:color="auto" w:sz="4" w:space="0"/>
              <w:right w:val="single" w:color="auto" w:sz="4" w:space="0"/>
            </w:tcBorders>
            <w:vAlign w:val="center"/>
          </w:tcPr>
          <w:p w14:paraId="28BA21D8">
            <w:pPr>
              <w:widowControl/>
              <w:spacing w:line="400" w:lineRule="exact"/>
              <w:jc w:val="left"/>
              <w:rPr>
                <w:rFonts w:ascii="宋体" w:hAnsi="宋体" w:cs="宋体"/>
                <w:kern w:val="0"/>
                <w:szCs w:val="21"/>
              </w:rPr>
            </w:pPr>
            <w:r>
              <w:rPr>
                <w:rFonts w:hint="eastAsia" w:ascii="宋体" w:hAnsi="宋体" w:cs="宋体"/>
                <w:kern w:val="0"/>
                <w:szCs w:val="21"/>
              </w:rPr>
              <w:t>0.25‰-0.5‰</w:t>
            </w:r>
          </w:p>
        </w:tc>
        <w:tc>
          <w:tcPr>
            <w:tcW w:w="850" w:type="dxa"/>
            <w:tcBorders>
              <w:top w:val="nil"/>
              <w:left w:val="nil"/>
              <w:bottom w:val="single" w:color="auto" w:sz="4" w:space="0"/>
              <w:right w:val="single" w:color="auto" w:sz="4" w:space="0"/>
            </w:tcBorders>
            <w:vAlign w:val="center"/>
          </w:tcPr>
          <w:p w14:paraId="71B04C4A">
            <w:pPr>
              <w:widowControl/>
              <w:spacing w:line="400" w:lineRule="exact"/>
              <w:jc w:val="center"/>
              <w:rPr>
                <w:rFonts w:ascii="宋体" w:hAnsi="宋体" w:cs="宋体"/>
                <w:kern w:val="0"/>
                <w:szCs w:val="21"/>
              </w:rPr>
            </w:pPr>
          </w:p>
        </w:tc>
      </w:tr>
      <w:tr w14:paraId="3F938BF0">
        <w:tblPrEx>
          <w:tblCellMar>
            <w:top w:w="0" w:type="dxa"/>
            <w:left w:w="108" w:type="dxa"/>
            <w:bottom w:w="0" w:type="dxa"/>
            <w:right w:w="108" w:type="dxa"/>
          </w:tblCellMar>
        </w:tblPrEx>
        <w:trPr>
          <w:jc w:val="center"/>
        </w:trPr>
        <w:tc>
          <w:tcPr>
            <w:tcW w:w="589" w:type="dxa"/>
            <w:vMerge w:val="restart"/>
            <w:tcBorders>
              <w:top w:val="nil"/>
              <w:left w:val="single" w:color="auto" w:sz="4" w:space="0"/>
              <w:bottom w:val="single" w:color="000000" w:sz="4" w:space="0"/>
              <w:right w:val="single" w:color="auto" w:sz="4" w:space="0"/>
            </w:tcBorders>
            <w:vAlign w:val="center"/>
          </w:tcPr>
          <w:p w14:paraId="63257601">
            <w:pPr>
              <w:widowControl/>
              <w:spacing w:line="400" w:lineRule="exact"/>
              <w:jc w:val="center"/>
              <w:rPr>
                <w:rFonts w:ascii="宋体" w:hAnsi="宋体" w:cs="宋体"/>
                <w:kern w:val="0"/>
                <w:szCs w:val="21"/>
              </w:rPr>
            </w:pPr>
            <w:r>
              <w:rPr>
                <w:rFonts w:hint="eastAsia" w:ascii="宋体" w:hAnsi="宋体" w:cs="宋体"/>
                <w:kern w:val="0"/>
                <w:szCs w:val="21"/>
              </w:rPr>
              <w:t>安全生产管理履责</w:t>
            </w:r>
          </w:p>
        </w:tc>
        <w:tc>
          <w:tcPr>
            <w:tcW w:w="1374" w:type="dxa"/>
            <w:vMerge w:val="restart"/>
            <w:tcBorders>
              <w:top w:val="nil"/>
              <w:left w:val="single" w:color="auto" w:sz="4" w:space="0"/>
              <w:bottom w:val="single" w:color="000000" w:sz="4" w:space="0"/>
              <w:right w:val="single" w:color="auto" w:sz="4" w:space="0"/>
            </w:tcBorders>
            <w:vAlign w:val="center"/>
          </w:tcPr>
          <w:p w14:paraId="6D9506F8">
            <w:pPr>
              <w:widowControl/>
              <w:spacing w:line="400" w:lineRule="exact"/>
              <w:jc w:val="center"/>
              <w:rPr>
                <w:rFonts w:ascii="宋体" w:hAnsi="宋体" w:cs="宋体"/>
                <w:kern w:val="0"/>
                <w:szCs w:val="21"/>
              </w:rPr>
            </w:pPr>
            <w:r>
              <w:rPr>
                <w:rFonts w:hint="eastAsia" w:ascii="宋体" w:hAnsi="宋体" w:cs="宋体"/>
                <w:kern w:val="0"/>
                <w:szCs w:val="21"/>
              </w:rPr>
              <w:t>安全生产管理的监理工作</w:t>
            </w:r>
          </w:p>
        </w:tc>
        <w:tc>
          <w:tcPr>
            <w:tcW w:w="4395" w:type="dxa"/>
            <w:tcBorders>
              <w:top w:val="nil"/>
              <w:left w:val="nil"/>
              <w:bottom w:val="single" w:color="auto" w:sz="4" w:space="0"/>
              <w:right w:val="single" w:color="auto" w:sz="4" w:space="0"/>
            </w:tcBorders>
            <w:vAlign w:val="center"/>
          </w:tcPr>
          <w:p w14:paraId="60F44B20">
            <w:pPr>
              <w:widowControl/>
              <w:spacing w:line="400" w:lineRule="exact"/>
              <w:jc w:val="left"/>
              <w:rPr>
                <w:rFonts w:ascii="宋体" w:hAnsi="宋体" w:cs="宋体"/>
                <w:kern w:val="0"/>
                <w:szCs w:val="21"/>
              </w:rPr>
            </w:pPr>
            <w:r>
              <w:rPr>
                <w:rFonts w:hint="eastAsia" w:ascii="宋体" w:hAnsi="宋体" w:cs="宋体"/>
                <w:kern w:val="0"/>
                <w:szCs w:val="21"/>
              </w:rPr>
              <w:t>未核查施工单位安全生产许可证、规章制度、安全生产管理体系等</w:t>
            </w:r>
          </w:p>
        </w:tc>
        <w:tc>
          <w:tcPr>
            <w:tcW w:w="2471" w:type="dxa"/>
            <w:tcBorders>
              <w:top w:val="nil"/>
              <w:left w:val="nil"/>
              <w:bottom w:val="single" w:color="auto" w:sz="4" w:space="0"/>
              <w:right w:val="single" w:color="auto" w:sz="4" w:space="0"/>
            </w:tcBorders>
            <w:vAlign w:val="center"/>
          </w:tcPr>
          <w:p w14:paraId="7BED44B9">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vAlign w:val="center"/>
          </w:tcPr>
          <w:p w14:paraId="44ECF336">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59312D6F">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098E6FF6">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single" w:color="000000" w:sz="4" w:space="0"/>
              <w:right w:val="single" w:color="auto" w:sz="4" w:space="0"/>
            </w:tcBorders>
            <w:vAlign w:val="center"/>
          </w:tcPr>
          <w:p w14:paraId="1EED5009">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vAlign w:val="center"/>
          </w:tcPr>
          <w:p w14:paraId="36641658">
            <w:pPr>
              <w:widowControl/>
              <w:spacing w:line="400" w:lineRule="exact"/>
              <w:jc w:val="left"/>
              <w:rPr>
                <w:rFonts w:ascii="宋体" w:hAnsi="宋体" w:cs="宋体"/>
                <w:kern w:val="0"/>
                <w:szCs w:val="21"/>
              </w:rPr>
            </w:pPr>
            <w:r>
              <w:rPr>
                <w:rFonts w:hint="eastAsia" w:ascii="宋体" w:hAnsi="宋体" w:cs="宋体"/>
                <w:kern w:val="0"/>
                <w:szCs w:val="21"/>
              </w:rPr>
              <w:t>对施工单位项目经理、专职安全管理人员和特殊作业人员资格不合格未作识别</w:t>
            </w:r>
          </w:p>
        </w:tc>
        <w:tc>
          <w:tcPr>
            <w:tcW w:w="2471" w:type="dxa"/>
            <w:tcBorders>
              <w:top w:val="nil"/>
              <w:left w:val="nil"/>
              <w:bottom w:val="single" w:color="auto" w:sz="4" w:space="0"/>
              <w:right w:val="single" w:color="auto" w:sz="4" w:space="0"/>
            </w:tcBorders>
            <w:vAlign w:val="center"/>
          </w:tcPr>
          <w:p w14:paraId="45D97F80">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vAlign w:val="center"/>
          </w:tcPr>
          <w:p w14:paraId="7EC1D214">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069B66FA">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0B8A3CFD">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single" w:color="000000" w:sz="4" w:space="0"/>
              <w:right w:val="single" w:color="auto" w:sz="4" w:space="0"/>
            </w:tcBorders>
            <w:vAlign w:val="center"/>
          </w:tcPr>
          <w:p w14:paraId="5E74C7E7">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vAlign w:val="center"/>
          </w:tcPr>
          <w:p w14:paraId="769A8BBE">
            <w:pPr>
              <w:widowControl/>
              <w:spacing w:line="400" w:lineRule="exact"/>
              <w:jc w:val="left"/>
              <w:rPr>
                <w:rFonts w:ascii="宋体" w:hAnsi="宋体" w:cs="宋体"/>
                <w:kern w:val="0"/>
                <w:szCs w:val="21"/>
              </w:rPr>
            </w:pPr>
            <w:r>
              <w:rPr>
                <w:rFonts w:hint="eastAsia" w:ascii="宋体" w:hAnsi="宋体" w:cs="宋体"/>
                <w:kern w:val="0"/>
                <w:szCs w:val="21"/>
              </w:rPr>
              <w:t>未核查施工机械和设施（大型起重吊装机械、自升式设备等）的安全许可验收手续</w:t>
            </w:r>
          </w:p>
        </w:tc>
        <w:tc>
          <w:tcPr>
            <w:tcW w:w="2471" w:type="dxa"/>
            <w:tcBorders>
              <w:top w:val="nil"/>
              <w:left w:val="nil"/>
              <w:bottom w:val="single" w:color="auto" w:sz="4" w:space="0"/>
              <w:right w:val="single" w:color="auto" w:sz="4" w:space="0"/>
            </w:tcBorders>
            <w:vAlign w:val="center"/>
          </w:tcPr>
          <w:p w14:paraId="65D290B6">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vAlign w:val="center"/>
          </w:tcPr>
          <w:p w14:paraId="449A4F11">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6F7B9256">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519A6DCB">
            <w:pPr>
              <w:widowControl/>
              <w:spacing w:line="400" w:lineRule="exact"/>
              <w:jc w:val="left"/>
              <w:rPr>
                <w:rFonts w:ascii="宋体" w:hAnsi="宋体" w:cs="宋体"/>
                <w:kern w:val="0"/>
                <w:szCs w:val="21"/>
              </w:rPr>
            </w:pPr>
          </w:p>
        </w:tc>
        <w:tc>
          <w:tcPr>
            <w:tcW w:w="1374" w:type="dxa"/>
            <w:vMerge w:val="restart"/>
            <w:tcBorders>
              <w:top w:val="nil"/>
              <w:left w:val="single" w:color="auto" w:sz="4" w:space="0"/>
              <w:bottom w:val="single" w:color="000000" w:sz="4" w:space="0"/>
              <w:right w:val="single" w:color="auto" w:sz="4" w:space="0"/>
            </w:tcBorders>
            <w:vAlign w:val="center"/>
          </w:tcPr>
          <w:p w14:paraId="3B3F1F6D">
            <w:pPr>
              <w:widowControl/>
              <w:spacing w:line="400" w:lineRule="exact"/>
              <w:jc w:val="center"/>
              <w:rPr>
                <w:rFonts w:ascii="宋体" w:hAnsi="宋体" w:cs="宋体"/>
                <w:kern w:val="0"/>
                <w:szCs w:val="21"/>
              </w:rPr>
            </w:pPr>
            <w:r>
              <w:rPr>
                <w:rFonts w:hint="eastAsia" w:ascii="宋体" w:hAnsi="宋体" w:cs="宋体"/>
                <w:kern w:val="0"/>
                <w:szCs w:val="21"/>
              </w:rPr>
              <w:t>审查安全专项施工方案</w:t>
            </w:r>
          </w:p>
        </w:tc>
        <w:tc>
          <w:tcPr>
            <w:tcW w:w="4395" w:type="dxa"/>
            <w:tcBorders>
              <w:top w:val="nil"/>
              <w:left w:val="nil"/>
              <w:bottom w:val="single" w:color="auto" w:sz="4" w:space="0"/>
              <w:right w:val="single" w:color="auto" w:sz="4" w:space="0"/>
            </w:tcBorders>
            <w:vAlign w:val="center"/>
          </w:tcPr>
          <w:p w14:paraId="65D24F07">
            <w:pPr>
              <w:widowControl/>
              <w:spacing w:line="400" w:lineRule="exact"/>
              <w:jc w:val="left"/>
              <w:rPr>
                <w:rFonts w:ascii="宋体" w:hAnsi="宋体" w:cs="宋体"/>
                <w:kern w:val="0"/>
                <w:szCs w:val="21"/>
              </w:rPr>
            </w:pPr>
            <w:r>
              <w:rPr>
                <w:rFonts w:hint="eastAsia" w:ascii="宋体" w:hAnsi="宋体" w:cs="宋体"/>
                <w:kern w:val="0"/>
                <w:szCs w:val="21"/>
              </w:rPr>
              <w:t>未审查</w:t>
            </w:r>
          </w:p>
        </w:tc>
        <w:tc>
          <w:tcPr>
            <w:tcW w:w="2471" w:type="dxa"/>
            <w:tcBorders>
              <w:top w:val="nil"/>
              <w:left w:val="nil"/>
              <w:bottom w:val="single" w:color="auto" w:sz="4" w:space="0"/>
              <w:right w:val="single" w:color="auto" w:sz="4" w:space="0"/>
            </w:tcBorders>
            <w:vAlign w:val="center"/>
          </w:tcPr>
          <w:p w14:paraId="0E844067">
            <w:pPr>
              <w:widowControl/>
              <w:spacing w:line="400" w:lineRule="exact"/>
              <w:jc w:val="left"/>
              <w:rPr>
                <w:rFonts w:ascii="宋体" w:hAnsi="宋体" w:cs="宋体"/>
                <w:kern w:val="0"/>
                <w:szCs w:val="21"/>
              </w:rPr>
            </w:pPr>
            <w:r>
              <w:rPr>
                <w:rFonts w:hint="eastAsia" w:ascii="宋体" w:hAnsi="宋体" w:cs="宋体"/>
                <w:kern w:val="0"/>
                <w:szCs w:val="21"/>
              </w:rPr>
              <w:t>1‰-2‰</w:t>
            </w:r>
          </w:p>
        </w:tc>
        <w:tc>
          <w:tcPr>
            <w:tcW w:w="850" w:type="dxa"/>
            <w:tcBorders>
              <w:top w:val="nil"/>
              <w:left w:val="nil"/>
              <w:bottom w:val="single" w:color="auto" w:sz="4" w:space="0"/>
              <w:right w:val="single" w:color="auto" w:sz="4" w:space="0"/>
            </w:tcBorders>
            <w:vAlign w:val="center"/>
          </w:tcPr>
          <w:p w14:paraId="5A271CE2">
            <w:pPr>
              <w:widowControl/>
              <w:spacing w:line="400" w:lineRule="exact"/>
              <w:jc w:val="center"/>
              <w:rPr>
                <w:rFonts w:ascii="宋体" w:hAnsi="宋体" w:cs="宋体"/>
                <w:kern w:val="0"/>
                <w:szCs w:val="21"/>
              </w:rPr>
            </w:pPr>
            <w:r>
              <w:rPr>
                <w:rFonts w:hint="eastAsia" w:ascii="宋体" w:hAnsi="宋体" w:cs="宋体"/>
                <w:kern w:val="0"/>
                <w:szCs w:val="21"/>
              </w:rPr>
              <w:t>★</w:t>
            </w:r>
          </w:p>
        </w:tc>
      </w:tr>
      <w:tr w14:paraId="2877CC0B">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3D90E23A">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single" w:color="000000" w:sz="4" w:space="0"/>
              <w:right w:val="single" w:color="auto" w:sz="4" w:space="0"/>
            </w:tcBorders>
            <w:vAlign w:val="center"/>
          </w:tcPr>
          <w:p w14:paraId="5892106C">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vAlign w:val="center"/>
          </w:tcPr>
          <w:p w14:paraId="6EA2149C">
            <w:pPr>
              <w:widowControl/>
              <w:spacing w:line="400" w:lineRule="exact"/>
              <w:jc w:val="left"/>
              <w:rPr>
                <w:rFonts w:ascii="宋体" w:hAnsi="宋体" w:cs="宋体"/>
                <w:kern w:val="0"/>
                <w:szCs w:val="21"/>
              </w:rPr>
            </w:pPr>
            <w:r>
              <w:rPr>
                <w:rFonts w:hint="eastAsia" w:ascii="宋体" w:hAnsi="宋体" w:cs="宋体"/>
                <w:kern w:val="0"/>
                <w:szCs w:val="21"/>
              </w:rPr>
              <w:t>未识别是否符合强制性标准</w:t>
            </w:r>
          </w:p>
        </w:tc>
        <w:tc>
          <w:tcPr>
            <w:tcW w:w="2471" w:type="dxa"/>
            <w:tcBorders>
              <w:top w:val="nil"/>
              <w:left w:val="nil"/>
              <w:bottom w:val="single" w:color="auto" w:sz="4" w:space="0"/>
              <w:right w:val="single" w:color="auto" w:sz="4" w:space="0"/>
            </w:tcBorders>
            <w:vAlign w:val="center"/>
          </w:tcPr>
          <w:p w14:paraId="14092E4E">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vAlign w:val="center"/>
          </w:tcPr>
          <w:p w14:paraId="3C515589">
            <w:pPr>
              <w:widowControl/>
              <w:spacing w:line="400" w:lineRule="exact"/>
              <w:jc w:val="center"/>
              <w:rPr>
                <w:rFonts w:ascii="宋体" w:hAnsi="宋体" w:cs="宋体"/>
                <w:kern w:val="0"/>
                <w:szCs w:val="21"/>
              </w:rPr>
            </w:pPr>
          </w:p>
        </w:tc>
      </w:tr>
      <w:tr w14:paraId="1D55A497">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1C749176">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single" w:color="000000" w:sz="4" w:space="0"/>
              <w:right w:val="single" w:color="auto" w:sz="4" w:space="0"/>
            </w:tcBorders>
            <w:vAlign w:val="center"/>
          </w:tcPr>
          <w:p w14:paraId="26DA6AD0">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vAlign w:val="center"/>
          </w:tcPr>
          <w:p w14:paraId="492A651B">
            <w:pPr>
              <w:widowControl/>
              <w:spacing w:line="400" w:lineRule="exact"/>
              <w:jc w:val="left"/>
              <w:rPr>
                <w:rFonts w:ascii="宋体" w:hAnsi="宋体" w:cs="宋体"/>
                <w:kern w:val="0"/>
                <w:szCs w:val="21"/>
              </w:rPr>
            </w:pPr>
            <w:r>
              <w:rPr>
                <w:rFonts w:hint="eastAsia" w:ascii="宋体" w:hAnsi="宋体" w:cs="宋体"/>
                <w:kern w:val="0"/>
                <w:szCs w:val="21"/>
              </w:rPr>
              <w:t>未检查施工单位对超过一定规模的危险性较大的分部分项工程的专项施工方案是否组织专家论证、审查</w:t>
            </w:r>
          </w:p>
        </w:tc>
        <w:tc>
          <w:tcPr>
            <w:tcW w:w="2471" w:type="dxa"/>
            <w:tcBorders>
              <w:top w:val="nil"/>
              <w:left w:val="nil"/>
              <w:bottom w:val="single" w:color="auto" w:sz="4" w:space="0"/>
              <w:right w:val="single" w:color="auto" w:sz="4" w:space="0"/>
            </w:tcBorders>
            <w:vAlign w:val="center"/>
          </w:tcPr>
          <w:p w14:paraId="213EE94E">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vAlign w:val="center"/>
          </w:tcPr>
          <w:p w14:paraId="4F4B68E3">
            <w:pPr>
              <w:widowControl/>
              <w:spacing w:line="400" w:lineRule="exact"/>
              <w:jc w:val="center"/>
              <w:rPr>
                <w:rFonts w:ascii="宋体" w:hAnsi="宋体" w:cs="宋体"/>
                <w:kern w:val="0"/>
                <w:szCs w:val="21"/>
              </w:rPr>
            </w:pPr>
          </w:p>
        </w:tc>
      </w:tr>
      <w:tr w14:paraId="6EF264E8">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0315DE83">
            <w:pPr>
              <w:widowControl/>
              <w:spacing w:line="400" w:lineRule="exact"/>
              <w:jc w:val="left"/>
              <w:rPr>
                <w:rFonts w:ascii="宋体" w:hAnsi="宋体" w:cs="宋体"/>
                <w:kern w:val="0"/>
                <w:szCs w:val="21"/>
              </w:rPr>
            </w:pPr>
          </w:p>
        </w:tc>
        <w:tc>
          <w:tcPr>
            <w:tcW w:w="1374" w:type="dxa"/>
            <w:tcBorders>
              <w:top w:val="nil"/>
              <w:left w:val="nil"/>
              <w:bottom w:val="single" w:color="auto" w:sz="4" w:space="0"/>
              <w:right w:val="single" w:color="auto" w:sz="4" w:space="0"/>
            </w:tcBorders>
            <w:vAlign w:val="center"/>
          </w:tcPr>
          <w:p w14:paraId="5A6AF754">
            <w:pPr>
              <w:widowControl/>
              <w:spacing w:line="400" w:lineRule="exact"/>
              <w:jc w:val="center"/>
              <w:rPr>
                <w:rFonts w:ascii="宋体" w:hAnsi="宋体" w:cs="宋体"/>
                <w:kern w:val="0"/>
                <w:szCs w:val="21"/>
              </w:rPr>
            </w:pPr>
            <w:r>
              <w:rPr>
                <w:rFonts w:hint="eastAsia" w:ascii="宋体" w:hAnsi="宋体" w:cs="宋体"/>
                <w:kern w:val="0"/>
                <w:szCs w:val="21"/>
              </w:rPr>
              <w:t>安全费用</w:t>
            </w:r>
          </w:p>
        </w:tc>
        <w:tc>
          <w:tcPr>
            <w:tcW w:w="4395" w:type="dxa"/>
            <w:tcBorders>
              <w:top w:val="nil"/>
              <w:left w:val="nil"/>
              <w:bottom w:val="single" w:color="auto" w:sz="4" w:space="0"/>
              <w:right w:val="single" w:color="auto" w:sz="4" w:space="0"/>
            </w:tcBorders>
            <w:vAlign w:val="center"/>
          </w:tcPr>
          <w:p w14:paraId="4CB48378">
            <w:pPr>
              <w:widowControl/>
              <w:spacing w:line="400" w:lineRule="exact"/>
              <w:jc w:val="left"/>
              <w:rPr>
                <w:rFonts w:ascii="宋体" w:hAnsi="宋体" w:cs="宋体"/>
                <w:kern w:val="0"/>
                <w:szCs w:val="21"/>
              </w:rPr>
            </w:pPr>
            <w:r>
              <w:rPr>
                <w:rFonts w:hint="eastAsia" w:ascii="宋体" w:hAnsi="宋体" w:cs="宋体"/>
                <w:kern w:val="0"/>
                <w:szCs w:val="21"/>
              </w:rPr>
              <w:t>未对施工单位安全费用使用情况、安全投入落实情况进行监督</w:t>
            </w:r>
          </w:p>
        </w:tc>
        <w:tc>
          <w:tcPr>
            <w:tcW w:w="2471" w:type="dxa"/>
            <w:tcBorders>
              <w:top w:val="nil"/>
              <w:left w:val="nil"/>
              <w:bottom w:val="single" w:color="auto" w:sz="4" w:space="0"/>
              <w:right w:val="single" w:color="auto" w:sz="4" w:space="0"/>
            </w:tcBorders>
            <w:vAlign w:val="center"/>
          </w:tcPr>
          <w:p w14:paraId="4C7C695B">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vAlign w:val="center"/>
          </w:tcPr>
          <w:p w14:paraId="682FC416">
            <w:pPr>
              <w:widowControl/>
              <w:spacing w:line="400" w:lineRule="exact"/>
              <w:jc w:val="center"/>
              <w:rPr>
                <w:rFonts w:ascii="宋体" w:hAnsi="宋体" w:cs="宋体"/>
                <w:kern w:val="0"/>
                <w:szCs w:val="21"/>
              </w:rPr>
            </w:pPr>
          </w:p>
        </w:tc>
      </w:tr>
      <w:tr w14:paraId="5AFC2B8F">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4B22DE42">
            <w:pPr>
              <w:widowControl/>
              <w:spacing w:line="400" w:lineRule="exact"/>
              <w:jc w:val="left"/>
              <w:rPr>
                <w:rFonts w:ascii="宋体" w:hAnsi="宋体" w:cs="宋体"/>
                <w:kern w:val="0"/>
                <w:szCs w:val="21"/>
              </w:rPr>
            </w:pPr>
          </w:p>
        </w:tc>
        <w:tc>
          <w:tcPr>
            <w:tcW w:w="1374" w:type="dxa"/>
            <w:tcBorders>
              <w:top w:val="nil"/>
              <w:left w:val="nil"/>
              <w:bottom w:val="single" w:color="auto" w:sz="4" w:space="0"/>
              <w:right w:val="single" w:color="auto" w:sz="4" w:space="0"/>
            </w:tcBorders>
            <w:vAlign w:val="center"/>
          </w:tcPr>
          <w:p w14:paraId="411BDFFA">
            <w:pPr>
              <w:widowControl/>
              <w:spacing w:line="400" w:lineRule="exact"/>
              <w:jc w:val="center"/>
              <w:rPr>
                <w:rFonts w:ascii="宋体" w:hAnsi="宋体" w:cs="宋体"/>
                <w:kern w:val="0"/>
                <w:szCs w:val="21"/>
              </w:rPr>
            </w:pPr>
            <w:r>
              <w:rPr>
                <w:rFonts w:hint="eastAsia" w:ascii="宋体" w:hAnsi="宋体" w:cs="宋体"/>
                <w:kern w:val="0"/>
                <w:szCs w:val="21"/>
              </w:rPr>
              <w:t>应急管理</w:t>
            </w:r>
          </w:p>
        </w:tc>
        <w:tc>
          <w:tcPr>
            <w:tcW w:w="4395" w:type="dxa"/>
            <w:tcBorders>
              <w:top w:val="nil"/>
              <w:left w:val="nil"/>
              <w:bottom w:val="single" w:color="auto" w:sz="4" w:space="0"/>
              <w:right w:val="single" w:color="auto" w:sz="4" w:space="0"/>
            </w:tcBorders>
            <w:vAlign w:val="center"/>
          </w:tcPr>
          <w:p w14:paraId="3936F250">
            <w:pPr>
              <w:widowControl/>
              <w:spacing w:line="400" w:lineRule="exact"/>
              <w:jc w:val="left"/>
              <w:rPr>
                <w:rFonts w:ascii="宋体" w:hAnsi="宋体" w:cs="宋体"/>
                <w:kern w:val="0"/>
                <w:szCs w:val="21"/>
              </w:rPr>
            </w:pPr>
            <w:r>
              <w:rPr>
                <w:rFonts w:hint="eastAsia" w:ascii="宋体" w:hAnsi="宋体" w:cs="宋体"/>
                <w:kern w:val="0"/>
                <w:szCs w:val="21"/>
              </w:rPr>
              <w:t>未对施工单位应急救援预案进行审查或未督促开展演练</w:t>
            </w:r>
          </w:p>
        </w:tc>
        <w:tc>
          <w:tcPr>
            <w:tcW w:w="2471" w:type="dxa"/>
            <w:tcBorders>
              <w:top w:val="nil"/>
              <w:left w:val="nil"/>
              <w:bottom w:val="single" w:color="auto" w:sz="4" w:space="0"/>
              <w:right w:val="single" w:color="auto" w:sz="4" w:space="0"/>
            </w:tcBorders>
            <w:vAlign w:val="center"/>
          </w:tcPr>
          <w:p w14:paraId="2F1CE3C7">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vAlign w:val="center"/>
          </w:tcPr>
          <w:p w14:paraId="34EE672F">
            <w:pPr>
              <w:widowControl/>
              <w:spacing w:line="400" w:lineRule="exact"/>
              <w:jc w:val="center"/>
              <w:rPr>
                <w:rFonts w:ascii="宋体" w:hAnsi="宋体" w:cs="宋体"/>
                <w:kern w:val="0"/>
                <w:szCs w:val="21"/>
              </w:rPr>
            </w:pPr>
          </w:p>
        </w:tc>
      </w:tr>
      <w:tr w14:paraId="69384805">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6D207E54">
            <w:pPr>
              <w:widowControl/>
              <w:spacing w:line="400" w:lineRule="exact"/>
              <w:jc w:val="left"/>
              <w:rPr>
                <w:rFonts w:ascii="宋体" w:hAnsi="宋体" w:cs="宋体"/>
                <w:kern w:val="0"/>
                <w:szCs w:val="21"/>
              </w:rPr>
            </w:pPr>
          </w:p>
        </w:tc>
        <w:tc>
          <w:tcPr>
            <w:tcW w:w="1374" w:type="dxa"/>
            <w:vMerge w:val="restart"/>
            <w:tcBorders>
              <w:top w:val="nil"/>
              <w:left w:val="single" w:color="auto" w:sz="4" w:space="0"/>
              <w:bottom w:val="single" w:color="000000" w:sz="4" w:space="0"/>
              <w:right w:val="single" w:color="auto" w:sz="4" w:space="0"/>
            </w:tcBorders>
            <w:vAlign w:val="center"/>
          </w:tcPr>
          <w:p w14:paraId="02E4A16E">
            <w:pPr>
              <w:widowControl/>
              <w:spacing w:line="400" w:lineRule="exact"/>
              <w:jc w:val="center"/>
              <w:rPr>
                <w:rFonts w:ascii="宋体" w:hAnsi="宋体" w:cs="宋体"/>
                <w:kern w:val="0"/>
                <w:szCs w:val="21"/>
              </w:rPr>
            </w:pPr>
            <w:r>
              <w:rPr>
                <w:rFonts w:hint="eastAsia" w:ascii="宋体" w:hAnsi="宋体" w:cs="宋体"/>
                <w:kern w:val="0"/>
                <w:szCs w:val="21"/>
              </w:rPr>
              <w:t>工程安全巡视</w:t>
            </w:r>
          </w:p>
        </w:tc>
        <w:tc>
          <w:tcPr>
            <w:tcW w:w="4395" w:type="dxa"/>
            <w:tcBorders>
              <w:top w:val="nil"/>
              <w:left w:val="nil"/>
              <w:bottom w:val="single" w:color="auto" w:sz="4" w:space="0"/>
              <w:right w:val="single" w:color="auto" w:sz="4" w:space="0"/>
            </w:tcBorders>
            <w:vAlign w:val="center"/>
          </w:tcPr>
          <w:p w14:paraId="60E27569">
            <w:pPr>
              <w:widowControl/>
              <w:spacing w:line="400" w:lineRule="exact"/>
              <w:jc w:val="left"/>
              <w:rPr>
                <w:rFonts w:ascii="宋体" w:hAnsi="宋体" w:cs="宋体"/>
                <w:kern w:val="0"/>
                <w:szCs w:val="21"/>
              </w:rPr>
            </w:pPr>
            <w:r>
              <w:rPr>
                <w:rFonts w:hint="eastAsia" w:ascii="宋体" w:hAnsi="宋体" w:cs="宋体"/>
                <w:kern w:val="0"/>
                <w:szCs w:val="21"/>
              </w:rPr>
              <w:t>未按监理规划或实施细则进行巡查</w:t>
            </w:r>
          </w:p>
        </w:tc>
        <w:tc>
          <w:tcPr>
            <w:tcW w:w="2471" w:type="dxa"/>
            <w:tcBorders>
              <w:top w:val="nil"/>
              <w:left w:val="nil"/>
              <w:bottom w:val="single" w:color="auto" w:sz="4" w:space="0"/>
              <w:right w:val="single" w:color="auto" w:sz="4" w:space="0"/>
            </w:tcBorders>
            <w:vAlign w:val="center"/>
          </w:tcPr>
          <w:p w14:paraId="3324E73F">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vAlign w:val="center"/>
          </w:tcPr>
          <w:p w14:paraId="05F97179">
            <w:pPr>
              <w:widowControl/>
              <w:spacing w:line="400" w:lineRule="exact"/>
              <w:jc w:val="center"/>
              <w:rPr>
                <w:rFonts w:ascii="宋体" w:hAnsi="宋体" w:cs="宋体"/>
                <w:kern w:val="0"/>
                <w:szCs w:val="21"/>
              </w:rPr>
            </w:pPr>
          </w:p>
        </w:tc>
      </w:tr>
      <w:tr w14:paraId="03ADC3DD">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3CB3D4ED">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single" w:color="000000" w:sz="4" w:space="0"/>
              <w:right w:val="single" w:color="auto" w:sz="4" w:space="0"/>
            </w:tcBorders>
            <w:vAlign w:val="center"/>
          </w:tcPr>
          <w:p w14:paraId="18266806">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vAlign w:val="center"/>
          </w:tcPr>
          <w:p w14:paraId="33A71016">
            <w:pPr>
              <w:widowControl/>
              <w:spacing w:line="400" w:lineRule="exact"/>
              <w:jc w:val="left"/>
              <w:rPr>
                <w:rFonts w:ascii="宋体" w:hAnsi="宋体" w:cs="宋体"/>
                <w:kern w:val="0"/>
                <w:szCs w:val="21"/>
              </w:rPr>
            </w:pPr>
            <w:r>
              <w:rPr>
                <w:rFonts w:hint="eastAsia" w:ascii="宋体" w:hAnsi="宋体" w:cs="宋体"/>
                <w:kern w:val="0"/>
                <w:szCs w:val="21"/>
              </w:rPr>
              <w:t>发现安全隐患未及时处理</w:t>
            </w:r>
          </w:p>
        </w:tc>
        <w:tc>
          <w:tcPr>
            <w:tcW w:w="2471" w:type="dxa"/>
            <w:tcBorders>
              <w:top w:val="nil"/>
              <w:left w:val="nil"/>
              <w:bottom w:val="single" w:color="auto" w:sz="4" w:space="0"/>
              <w:right w:val="single" w:color="auto" w:sz="4" w:space="0"/>
            </w:tcBorders>
            <w:vAlign w:val="center"/>
          </w:tcPr>
          <w:p w14:paraId="5F88CB84">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vAlign w:val="center"/>
          </w:tcPr>
          <w:p w14:paraId="50AD9D7F">
            <w:pPr>
              <w:widowControl/>
              <w:spacing w:line="400" w:lineRule="exact"/>
              <w:jc w:val="center"/>
              <w:rPr>
                <w:rFonts w:ascii="宋体" w:hAnsi="宋体" w:cs="宋体"/>
                <w:kern w:val="0"/>
                <w:szCs w:val="21"/>
              </w:rPr>
            </w:pPr>
          </w:p>
        </w:tc>
      </w:tr>
      <w:tr w14:paraId="33735BCE">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394114B">
            <w:pPr>
              <w:widowControl/>
              <w:spacing w:line="400" w:lineRule="exact"/>
              <w:jc w:val="left"/>
              <w:rPr>
                <w:rFonts w:ascii="宋体" w:hAnsi="宋体" w:cs="宋体"/>
                <w:kern w:val="0"/>
                <w:szCs w:val="21"/>
              </w:rPr>
            </w:pPr>
          </w:p>
        </w:tc>
        <w:tc>
          <w:tcPr>
            <w:tcW w:w="1374" w:type="dxa"/>
            <w:vMerge w:val="continue"/>
            <w:tcBorders>
              <w:top w:val="nil"/>
              <w:left w:val="single" w:color="auto" w:sz="4" w:space="0"/>
              <w:bottom w:val="single" w:color="000000" w:sz="4" w:space="0"/>
              <w:right w:val="single" w:color="auto" w:sz="4" w:space="0"/>
            </w:tcBorders>
            <w:vAlign w:val="center"/>
          </w:tcPr>
          <w:p w14:paraId="7228E370">
            <w:pPr>
              <w:widowControl/>
              <w:spacing w:line="400" w:lineRule="exact"/>
              <w:jc w:val="left"/>
              <w:rPr>
                <w:rFonts w:ascii="宋体" w:hAnsi="宋体" w:cs="宋体"/>
                <w:kern w:val="0"/>
                <w:szCs w:val="21"/>
              </w:rPr>
            </w:pPr>
          </w:p>
        </w:tc>
        <w:tc>
          <w:tcPr>
            <w:tcW w:w="4395" w:type="dxa"/>
            <w:tcBorders>
              <w:top w:val="nil"/>
              <w:left w:val="nil"/>
              <w:bottom w:val="single" w:color="auto" w:sz="4" w:space="0"/>
              <w:right w:val="single" w:color="auto" w:sz="4" w:space="0"/>
            </w:tcBorders>
            <w:vAlign w:val="center"/>
          </w:tcPr>
          <w:p w14:paraId="799090D6">
            <w:pPr>
              <w:widowControl/>
              <w:spacing w:line="400" w:lineRule="exact"/>
              <w:jc w:val="left"/>
              <w:rPr>
                <w:rFonts w:ascii="宋体" w:hAnsi="宋体" w:cs="宋体"/>
                <w:kern w:val="0"/>
                <w:szCs w:val="21"/>
              </w:rPr>
            </w:pPr>
            <w:r>
              <w:rPr>
                <w:rFonts w:hint="eastAsia" w:ascii="宋体" w:hAnsi="宋体" w:cs="宋体"/>
                <w:kern w:val="0"/>
                <w:szCs w:val="21"/>
              </w:rPr>
              <w:t>对安全隐患处理意见或整改结果无记录</w:t>
            </w:r>
          </w:p>
        </w:tc>
        <w:tc>
          <w:tcPr>
            <w:tcW w:w="2471" w:type="dxa"/>
            <w:tcBorders>
              <w:top w:val="nil"/>
              <w:left w:val="nil"/>
              <w:bottom w:val="single" w:color="auto" w:sz="4" w:space="0"/>
              <w:right w:val="single" w:color="auto" w:sz="4" w:space="0"/>
            </w:tcBorders>
            <w:vAlign w:val="center"/>
          </w:tcPr>
          <w:p w14:paraId="147850E9">
            <w:pPr>
              <w:widowControl/>
              <w:spacing w:line="400" w:lineRule="exact"/>
              <w:jc w:val="left"/>
              <w:rPr>
                <w:rFonts w:ascii="宋体" w:hAnsi="宋体" w:cs="宋体"/>
                <w:kern w:val="0"/>
                <w:szCs w:val="21"/>
              </w:rPr>
            </w:pPr>
            <w:r>
              <w:rPr>
                <w:rFonts w:hint="eastAsia" w:ascii="宋体" w:hAnsi="宋体" w:cs="宋体"/>
                <w:kern w:val="0"/>
                <w:szCs w:val="21"/>
              </w:rPr>
              <w:t>0.25‰-0.5‰</w:t>
            </w:r>
          </w:p>
        </w:tc>
        <w:tc>
          <w:tcPr>
            <w:tcW w:w="850" w:type="dxa"/>
            <w:tcBorders>
              <w:top w:val="nil"/>
              <w:left w:val="nil"/>
              <w:bottom w:val="single" w:color="auto" w:sz="4" w:space="0"/>
              <w:right w:val="single" w:color="auto" w:sz="4" w:space="0"/>
            </w:tcBorders>
            <w:vAlign w:val="center"/>
          </w:tcPr>
          <w:p w14:paraId="04C996D7">
            <w:pPr>
              <w:widowControl/>
              <w:spacing w:line="400" w:lineRule="exact"/>
              <w:jc w:val="center"/>
              <w:rPr>
                <w:rFonts w:ascii="宋体" w:hAnsi="宋体" w:cs="宋体"/>
                <w:kern w:val="0"/>
                <w:szCs w:val="21"/>
              </w:rPr>
            </w:pPr>
          </w:p>
        </w:tc>
      </w:tr>
      <w:tr w14:paraId="3308B9FD">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BB7359F">
            <w:pPr>
              <w:widowControl/>
              <w:spacing w:line="400" w:lineRule="exact"/>
              <w:jc w:val="left"/>
              <w:rPr>
                <w:rFonts w:ascii="宋体" w:hAnsi="宋体" w:cs="宋体"/>
                <w:kern w:val="0"/>
                <w:szCs w:val="21"/>
              </w:rPr>
            </w:pPr>
          </w:p>
        </w:tc>
        <w:tc>
          <w:tcPr>
            <w:tcW w:w="1374" w:type="dxa"/>
            <w:tcBorders>
              <w:top w:val="nil"/>
              <w:left w:val="nil"/>
              <w:bottom w:val="single" w:color="auto" w:sz="4" w:space="0"/>
              <w:right w:val="single" w:color="auto" w:sz="4" w:space="0"/>
            </w:tcBorders>
            <w:vAlign w:val="center"/>
          </w:tcPr>
          <w:p w14:paraId="03040864">
            <w:pPr>
              <w:widowControl/>
              <w:spacing w:line="400" w:lineRule="exact"/>
              <w:jc w:val="center"/>
              <w:rPr>
                <w:rFonts w:ascii="宋体" w:hAnsi="宋体" w:cs="宋体"/>
                <w:kern w:val="0"/>
                <w:szCs w:val="21"/>
              </w:rPr>
            </w:pPr>
            <w:r>
              <w:rPr>
                <w:rFonts w:hint="eastAsia" w:ascii="宋体" w:hAnsi="宋体" w:cs="宋体"/>
                <w:kern w:val="0"/>
                <w:szCs w:val="21"/>
              </w:rPr>
              <w:t>报告制度</w:t>
            </w:r>
          </w:p>
        </w:tc>
        <w:tc>
          <w:tcPr>
            <w:tcW w:w="4395" w:type="dxa"/>
            <w:tcBorders>
              <w:top w:val="nil"/>
              <w:left w:val="nil"/>
              <w:bottom w:val="single" w:color="auto" w:sz="4" w:space="0"/>
              <w:right w:val="single" w:color="auto" w:sz="4" w:space="0"/>
            </w:tcBorders>
            <w:vAlign w:val="center"/>
          </w:tcPr>
          <w:p w14:paraId="718395B4">
            <w:pPr>
              <w:widowControl/>
              <w:spacing w:line="400" w:lineRule="exact"/>
              <w:jc w:val="left"/>
              <w:rPr>
                <w:rFonts w:ascii="宋体" w:hAnsi="宋体" w:cs="宋体"/>
                <w:kern w:val="0"/>
                <w:szCs w:val="21"/>
              </w:rPr>
            </w:pPr>
            <w:r>
              <w:rPr>
                <w:rFonts w:hint="eastAsia" w:ascii="宋体" w:hAnsi="宋体" w:cs="宋体"/>
                <w:kern w:val="0"/>
                <w:szCs w:val="21"/>
              </w:rPr>
              <w:t>对发现安全事故隐患已经发出监理通知但施工单位拒不整改或不停止施工，监理未及时向建设单位和行政管理部门报告</w:t>
            </w:r>
          </w:p>
        </w:tc>
        <w:tc>
          <w:tcPr>
            <w:tcW w:w="2471" w:type="dxa"/>
            <w:tcBorders>
              <w:top w:val="nil"/>
              <w:left w:val="nil"/>
              <w:bottom w:val="single" w:color="auto" w:sz="4" w:space="0"/>
              <w:right w:val="single" w:color="auto" w:sz="4" w:space="0"/>
            </w:tcBorders>
            <w:vAlign w:val="center"/>
          </w:tcPr>
          <w:p w14:paraId="4A4ED86F">
            <w:pPr>
              <w:widowControl/>
              <w:spacing w:line="400" w:lineRule="exact"/>
              <w:jc w:val="left"/>
              <w:rPr>
                <w:rFonts w:ascii="宋体" w:hAnsi="宋体" w:cs="宋体"/>
                <w:kern w:val="0"/>
                <w:szCs w:val="21"/>
              </w:rPr>
            </w:pPr>
            <w:r>
              <w:rPr>
                <w:rFonts w:hint="eastAsia" w:ascii="宋体" w:hAnsi="宋体" w:cs="宋体"/>
                <w:kern w:val="0"/>
                <w:szCs w:val="21"/>
              </w:rPr>
              <w:t>0.5‰-1‰</w:t>
            </w:r>
          </w:p>
        </w:tc>
        <w:tc>
          <w:tcPr>
            <w:tcW w:w="850" w:type="dxa"/>
            <w:tcBorders>
              <w:top w:val="nil"/>
              <w:left w:val="nil"/>
              <w:bottom w:val="single" w:color="auto" w:sz="4" w:space="0"/>
              <w:right w:val="single" w:color="auto" w:sz="4" w:space="0"/>
            </w:tcBorders>
            <w:vAlign w:val="center"/>
          </w:tcPr>
          <w:p w14:paraId="544498A3">
            <w:pPr>
              <w:widowControl/>
              <w:spacing w:line="400" w:lineRule="exact"/>
              <w:jc w:val="center"/>
              <w:rPr>
                <w:rFonts w:ascii="宋体" w:hAnsi="宋体" w:cs="宋体"/>
                <w:kern w:val="0"/>
                <w:szCs w:val="21"/>
              </w:rPr>
            </w:pPr>
          </w:p>
        </w:tc>
      </w:tr>
      <w:tr w14:paraId="305C1058">
        <w:tblPrEx>
          <w:tblCellMar>
            <w:top w:w="0" w:type="dxa"/>
            <w:left w:w="108" w:type="dxa"/>
            <w:bottom w:w="0" w:type="dxa"/>
            <w:right w:w="108" w:type="dxa"/>
          </w:tblCellMar>
        </w:tblPrEx>
        <w:trPr>
          <w:jc w:val="center"/>
        </w:trPr>
        <w:tc>
          <w:tcPr>
            <w:tcW w:w="9679" w:type="dxa"/>
            <w:gridSpan w:val="5"/>
            <w:tcBorders>
              <w:top w:val="single" w:color="auto" w:sz="4" w:space="0"/>
              <w:left w:val="single" w:color="auto" w:sz="4" w:space="0"/>
              <w:bottom w:val="single" w:color="auto" w:sz="4" w:space="0"/>
              <w:right w:val="single" w:color="000000" w:sz="4" w:space="0"/>
            </w:tcBorders>
            <w:vAlign w:val="center"/>
          </w:tcPr>
          <w:p w14:paraId="41E2B7DF">
            <w:pPr>
              <w:widowControl/>
              <w:spacing w:line="400" w:lineRule="exact"/>
              <w:jc w:val="left"/>
              <w:rPr>
                <w:rFonts w:ascii="宋体" w:hAnsi="宋体" w:cs="宋体"/>
                <w:kern w:val="0"/>
                <w:szCs w:val="21"/>
              </w:rPr>
            </w:pPr>
            <w:r>
              <w:rPr>
                <w:rFonts w:hint="eastAsia" w:ascii="宋体" w:hAnsi="宋体" w:cs="宋体"/>
                <w:kern w:val="0"/>
                <w:szCs w:val="21"/>
              </w:rPr>
              <w:t>注：1、上表所列违约事项具体处罚标准由委托人及监理人在签订合同时在上表规定范围内自行约定。</w:t>
            </w:r>
          </w:p>
          <w:p w14:paraId="014F6B0A">
            <w:pPr>
              <w:widowControl/>
              <w:spacing w:line="400" w:lineRule="exact"/>
              <w:jc w:val="left"/>
              <w:rPr>
                <w:rFonts w:ascii="宋体" w:hAnsi="宋体" w:cs="宋体"/>
                <w:kern w:val="0"/>
                <w:szCs w:val="21"/>
              </w:rPr>
            </w:pPr>
            <w:r>
              <w:rPr>
                <w:rFonts w:hint="eastAsia" w:ascii="宋体" w:hAnsi="宋体" w:cs="宋体"/>
                <w:kern w:val="0"/>
                <w:szCs w:val="21"/>
              </w:rPr>
              <w:t>2、监理人发生以上★号违约情况时，委托人有权直接根据上表签订合同时约定的标准进行处罚。</w:t>
            </w:r>
          </w:p>
          <w:p w14:paraId="154C0B54">
            <w:pPr>
              <w:widowControl/>
              <w:spacing w:line="400" w:lineRule="exact"/>
              <w:jc w:val="left"/>
              <w:rPr>
                <w:rFonts w:ascii="宋体" w:hAnsi="宋体" w:cs="宋体"/>
                <w:kern w:val="0"/>
                <w:szCs w:val="21"/>
              </w:rPr>
            </w:pPr>
            <w:r>
              <w:rPr>
                <w:rFonts w:hint="eastAsia" w:ascii="宋体" w:hAnsi="宋体" w:cs="宋体"/>
                <w:kern w:val="0"/>
                <w:szCs w:val="21"/>
              </w:rPr>
              <w:t>3、监理人发生以上非★号违约情况时，委托人可向监理人发出整改通知，要求其在限定期限内纠正。监理人收到整改通知后在限定期限内仍未纠正的，委托人有权根据上表签订合同时约定的标准进行处罚。</w:t>
            </w:r>
          </w:p>
        </w:tc>
      </w:tr>
    </w:tbl>
    <w:p w14:paraId="52588AD8">
      <w:pPr>
        <w:widowControl/>
        <w:spacing w:line="360" w:lineRule="auto"/>
        <w:jc w:val="left"/>
        <w:rPr>
          <w:rFonts w:ascii="宋体" w:hAnsi="宋体"/>
          <w:szCs w:val="21"/>
        </w:rPr>
      </w:pPr>
    </w:p>
    <w:p w14:paraId="6BDCBF1B">
      <w:pPr>
        <w:overflowPunct w:val="0"/>
        <w:autoSpaceDE w:val="0"/>
        <w:autoSpaceDN w:val="0"/>
        <w:adjustRightInd w:val="0"/>
        <w:snapToGrid w:val="0"/>
        <w:spacing w:line="320" w:lineRule="exact"/>
        <w:jc w:val="center"/>
        <w:rPr>
          <w:rFonts w:ascii="宋体" w:hAnsi="宋体" w:cs="方正仿宋_GBK"/>
          <w:b/>
          <w:bCs/>
          <w:sz w:val="30"/>
          <w:szCs w:val="30"/>
        </w:rPr>
      </w:pPr>
      <w:r>
        <w:rPr>
          <w:rFonts w:hint="eastAsia" w:ascii="宋体" w:hAnsi="宋体" w:cs="方正仿宋_GBK"/>
          <w:b/>
          <w:bCs/>
          <w:sz w:val="30"/>
          <w:szCs w:val="30"/>
        </w:rPr>
        <w:t>公司安全生产违约处罚标准</w:t>
      </w:r>
    </w:p>
    <w:p w14:paraId="3FD5F2AD">
      <w:pPr>
        <w:overflowPunct w:val="0"/>
        <w:autoSpaceDE w:val="0"/>
        <w:autoSpaceDN w:val="0"/>
        <w:adjustRightInd w:val="0"/>
        <w:snapToGrid w:val="0"/>
        <w:spacing w:line="320" w:lineRule="exact"/>
        <w:jc w:val="center"/>
        <w:rPr>
          <w:rFonts w:ascii="宋体" w:hAnsi="宋体" w:cs="方正仿宋_GBK"/>
          <w:bCs/>
          <w:szCs w:val="21"/>
        </w:rPr>
      </w:pPr>
    </w:p>
    <w:tbl>
      <w:tblPr>
        <w:tblStyle w:val="20"/>
        <w:tblW w:w="9356" w:type="dxa"/>
        <w:jc w:val="center"/>
        <w:tblLayout w:type="fixed"/>
        <w:tblCellMar>
          <w:top w:w="0" w:type="dxa"/>
          <w:left w:w="108" w:type="dxa"/>
          <w:bottom w:w="0" w:type="dxa"/>
          <w:right w:w="108" w:type="dxa"/>
        </w:tblCellMar>
      </w:tblPr>
      <w:tblGrid>
        <w:gridCol w:w="710"/>
        <w:gridCol w:w="708"/>
        <w:gridCol w:w="3686"/>
        <w:gridCol w:w="3402"/>
        <w:gridCol w:w="850"/>
      </w:tblGrid>
      <w:tr w14:paraId="08630C06">
        <w:tblPrEx>
          <w:tblCellMar>
            <w:top w:w="0" w:type="dxa"/>
            <w:left w:w="108" w:type="dxa"/>
            <w:bottom w:w="0" w:type="dxa"/>
            <w:right w:w="108" w:type="dxa"/>
          </w:tblCellMar>
        </w:tblPrEx>
        <w:trPr>
          <w:cantSplit/>
          <w:trHeight w:val="454" w:hRule="exact"/>
          <w:jc w:val="center"/>
        </w:trPr>
        <w:tc>
          <w:tcPr>
            <w:tcW w:w="710" w:type="dxa"/>
            <w:tcBorders>
              <w:top w:val="single" w:color="auto" w:sz="4" w:space="0"/>
              <w:left w:val="single" w:color="auto" w:sz="4" w:space="0"/>
              <w:bottom w:val="single" w:color="auto" w:sz="4" w:space="0"/>
              <w:right w:val="single" w:color="auto" w:sz="4" w:space="0"/>
            </w:tcBorders>
            <w:vAlign w:val="center"/>
          </w:tcPr>
          <w:p w14:paraId="4003C003">
            <w:pPr>
              <w:overflowPunct w:val="0"/>
              <w:autoSpaceDE w:val="0"/>
              <w:autoSpaceDN w:val="0"/>
              <w:adjustRightInd w:val="0"/>
              <w:snapToGrid w:val="0"/>
              <w:spacing w:line="320" w:lineRule="exact"/>
              <w:jc w:val="center"/>
              <w:rPr>
                <w:rFonts w:ascii="宋体" w:hAnsi="宋体" w:cs="宋体"/>
                <w:b/>
                <w:bCs/>
                <w:kern w:val="0"/>
                <w:szCs w:val="21"/>
              </w:rPr>
            </w:pPr>
            <w:r>
              <w:rPr>
                <w:rFonts w:hint="eastAsia" w:ascii="宋体" w:hAnsi="宋体" w:cs="宋体"/>
                <w:b/>
                <w:bCs/>
                <w:kern w:val="0"/>
                <w:szCs w:val="21"/>
              </w:rPr>
              <w:t>分类</w:t>
            </w:r>
          </w:p>
        </w:tc>
        <w:tc>
          <w:tcPr>
            <w:tcW w:w="708" w:type="dxa"/>
            <w:tcBorders>
              <w:top w:val="single" w:color="auto" w:sz="4" w:space="0"/>
              <w:left w:val="nil"/>
              <w:bottom w:val="single" w:color="auto" w:sz="4" w:space="0"/>
              <w:right w:val="single" w:color="auto" w:sz="4" w:space="0"/>
            </w:tcBorders>
            <w:vAlign w:val="center"/>
          </w:tcPr>
          <w:p w14:paraId="0E12EC48">
            <w:pPr>
              <w:overflowPunct w:val="0"/>
              <w:autoSpaceDE w:val="0"/>
              <w:autoSpaceDN w:val="0"/>
              <w:adjustRightInd w:val="0"/>
              <w:snapToGrid w:val="0"/>
              <w:spacing w:line="320" w:lineRule="exact"/>
              <w:jc w:val="center"/>
              <w:rPr>
                <w:rFonts w:ascii="宋体" w:hAnsi="宋体" w:cs="宋体"/>
                <w:b/>
                <w:bCs/>
                <w:kern w:val="0"/>
                <w:szCs w:val="21"/>
              </w:rPr>
            </w:pPr>
            <w:r>
              <w:rPr>
                <w:rFonts w:hint="eastAsia" w:ascii="宋体" w:hAnsi="宋体" w:cs="宋体"/>
                <w:b/>
                <w:bCs/>
                <w:kern w:val="0"/>
                <w:szCs w:val="21"/>
              </w:rPr>
              <w:t>编号</w:t>
            </w:r>
          </w:p>
        </w:tc>
        <w:tc>
          <w:tcPr>
            <w:tcW w:w="3686" w:type="dxa"/>
            <w:tcBorders>
              <w:top w:val="single" w:color="auto" w:sz="4" w:space="0"/>
              <w:left w:val="nil"/>
              <w:bottom w:val="single" w:color="auto" w:sz="4" w:space="0"/>
              <w:right w:val="single" w:color="auto" w:sz="4" w:space="0"/>
            </w:tcBorders>
            <w:vAlign w:val="center"/>
          </w:tcPr>
          <w:p w14:paraId="601A9813">
            <w:pPr>
              <w:overflowPunct w:val="0"/>
              <w:autoSpaceDE w:val="0"/>
              <w:autoSpaceDN w:val="0"/>
              <w:adjustRightInd w:val="0"/>
              <w:snapToGrid w:val="0"/>
              <w:spacing w:line="320" w:lineRule="exact"/>
              <w:jc w:val="center"/>
              <w:rPr>
                <w:rFonts w:ascii="宋体" w:hAnsi="宋体" w:cs="宋体"/>
                <w:b/>
                <w:bCs/>
                <w:kern w:val="0"/>
                <w:szCs w:val="21"/>
              </w:rPr>
            </w:pPr>
            <w:r>
              <w:rPr>
                <w:rFonts w:hint="eastAsia" w:ascii="宋体" w:hAnsi="宋体" w:cs="宋体"/>
                <w:b/>
                <w:bCs/>
                <w:kern w:val="0"/>
                <w:szCs w:val="21"/>
              </w:rPr>
              <w:t>处罚事由</w:t>
            </w:r>
          </w:p>
        </w:tc>
        <w:tc>
          <w:tcPr>
            <w:tcW w:w="3402" w:type="dxa"/>
            <w:tcBorders>
              <w:top w:val="single" w:color="auto" w:sz="4" w:space="0"/>
              <w:left w:val="nil"/>
              <w:bottom w:val="single" w:color="auto" w:sz="4" w:space="0"/>
              <w:right w:val="single" w:color="auto" w:sz="4" w:space="0"/>
            </w:tcBorders>
            <w:vAlign w:val="center"/>
          </w:tcPr>
          <w:p w14:paraId="25D5C68C">
            <w:pPr>
              <w:overflowPunct w:val="0"/>
              <w:autoSpaceDE w:val="0"/>
              <w:autoSpaceDN w:val="0"/>
              <w:adjustRightInd w:val="0"/>
              <w:snapToGrid w:val="0"/>
              <w:spacing w:line="320" w:lineRule="exact"/>
              <w:jc w:val="center"/>
              <w:rPr>
                <w:rFonts w:ascii="宋体" w:hAnsi="宋体" w:cs="宋体"/>
                <w:b/>
                <w:bCs/>
                <w:kern w:val="0"/>
                <w:szCs w:val="21"/>
              </w:rPr>
            </w:pPr>
            <w:r>
              <w:rPr>
                <w:rFonts w:hint="eastAsia" w:ascii="宋体" w:hAnsi="宋体" w:cs="宋体"/>
                <w:b/>
                <w:bCs/>
                <w:kern w:val="0"/>
                <w:szCs w:val="21"/>
              </w:rPr>
              <w:t>处罚标准</w:t>
            </w:r>
          </w:p>
        </w:tc>
        <w:tc>
          <w:tcPr>
            <w:tcW w:w="850" w:type="dxa"/>
            <w:tcBorders>
              <w:top w:val="single" w:color="auto" w:sz="4" w:space="0"/>
              <w:left w:val="nil"/>
              <w:bottom w:val="single" w:color="auto" w:sz="4" w:space="0"/>
              <w:right w:val="single" w:color="auto" w:sz="4" w:space="0"/>
            </w:tcBorders>
            <w:vAlign w:val="center"/>
          </w:tcPr>
          <w:p w14:paraId="0EEAFC09">
            <w:pPr>
              <w:overflowPunct w:val="0"/>
              <w:autoSpaceDE w:val="0"/>
              <w:autoSpaceDN w:val="0"/>
              <w:adjustRightInd w:val="0"/>
              <w:snapToGrid w:val="0"/>
              <w:spacing w:line="320" w:lineRule="exact"/>
              <w:jc w:val="center"/>
              <w:rPr>
                <w:rFonts w:ascii="宋体" w:hAnsi="宋体" w:cs="宋体"/>
                <w:b/>
                <w:bCs/>
                <w:kern w:val="0"/>
                <w:szCs w:val="21"/>
              </w:rPr>
            </w:pPr>
            <w:r>
              <w:rPr>
                <w:rFonts w:hint="eastAsia" w:ascii="宋体" w:hAnsi="宋体" w:cs="宋体"/>
                <w:b/>
                <w:bCs/>
                <w:kern w:val="0"/>
                <w:szCs w:val="21"/>
              </w:rPr>
              <w:t>备注</w:t>
            </w:r>
          </w:p>
        </w:tc>
      </w:tr>
      <w:tr w14:paraId="21A42516">
        <w:tblPrEx>
          <w:tblCellMar>
            <w:top w:w="0" w:type="dxa"/>
            <w:left w:w="108" w:type="dxa"/>
            <w:bottom w:w="0" w:type="dxa"/>
            <w:right w:w="108" w:type="dxa"/>
          </w:tblCellMar>
        </w:tblPrEx>
        <w:trPr>
          <w:cantSplit/>
          <w:trHeight w:val="737" w:hRule="exact"/>
          <w:jc w:val="center"/>
        </w:trPr>
        <w:tc>
          <w:tcPr>
            <w:tcW w:w="710" w:type="dxa"/>
            <w:vMerge w:val="restart"/>
            <w:tcBorders>
              <w:top w:val="nil"/>
              <w:left w:val="single" w:color="auto" w:sz="4" w:space="0"/>
              <w:right w:val="single" w:color="auto" w:sz="4" w:space="0"/>
            </w:tcBorders>
            <w:vAlign w:val="center"/>
          </w:tcPr>
          <w:p w14:paraId="25E0D749">
            <w:pPr>
              <w:overflowPunct w:val="0"/>
              <w:autoSpaceDE w:val="0"/>
              <w:autoSpaceDN w:val="0"/>
              <w:adjustRightInd w:val="0"/>
              <w:snapToGrid w:val="0"/>
              <w:spacing w:line="320" w:lineRule="exact"/>
              <w:jc w:val="left"/>
              <w:rPr>
                <w:rFonts w:ascii="宋体" w:hAnsi="宋体" w:cs="宋体"/>
                <w:b/>
                <w:bCs/>
                <w:kern w:val="0"/>
                <w:szCs w:val="21"/>
              </w:rPr>
            </w:pPr>
            <w:r>
              <w:rPr>
                <w:rFonts w:hint="eastAsia" w:ascii="宋体" w:hAnsi="宋体" w:cs="宋体"/>
                <w:b/>
                <w:bCs/>
                <w:kern w:val="0"/>
                <w:szCs w:val="21"/>
              </w:rPr>
              <w:t>事故处罚办法</w:t>
            </w:r>
          </w:p>
        </w:tc>
        <w:tc>
          <w:tcPr>
            <w:tcW w:w="708" w:type="dxa"/>
            <w:tcBorders>
              <w:top w:val="nil"/>
              <w:left w:val="nil"/>
              <w:bottom w:val="single" w:color="auto" w:sz="4" w:space="0"/>
              <w:right w:val="single" w:color="auto" w:sz="4" w:space="0"/>
            </w:tcBorders>
            <w:vAlign w:val="center"/>
          </w:tcPr>
          <w:p w14:paraId="7ED9C496">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1</w:t>
            </w:r>
          </w:p>
        </w:tc>
        <w:tc>
          <w:tcPr>
            <w:tcW w:w="3686" w:type="dxa"/>
            <w:tcBorders>
              <w:top w:val="nil"/>
              <w:left w:val="nil"/>
              <w:bottom w:val="single" w:color="auto" w:sz="4" w:space="0"/>
              <w:right w:val="single" w:color="auto" w:sz="4" w:space="0"/>
            </w:tcBorders>
            <w:vAlign w:val="center"/>
          </w:tcPr>
          <w:p w14:paraId="61357EE5">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凡发生安全生产责任事故，未实现本工程安全管理目标的单位。</w:t>
            </w:r>
          </w:p>
        </w:tc>
        <w:tc>
          <w:tcPr>
            <w:tcW w:w="3402" w:type="dxa"/>
            <w:tcBorders>
              <w:top w:val="nil"/>
              <w:left w:val="nil"/>
              <w:bottom w:val="single" w:color="auto" w:sz="4" w:space="0"/>
              <w:right w:val="single" w:color="auto" w:sz="4" w:space="0"/>
            </w:tcBorders>
            <w:vAlign w:val="center"/>
          </w:tcPr>
          <w:p w14:paraId="538B9908">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取消年终“安全生产先进单位”、“安全生产先进工作者”参评资格。</w:t>
            </w:r>
          </w:p>
        </w:tc>
        <w:tc>
          <w:tcPr>
            <w:tcW w:w="850" w:type="dxa"/>
            <w:tcBorders>
              <w:top w:val="nil"/>
              <w:left w:val="nil"/>
              <w:bottom w:val="single" w:color="auto" w:sz="4" w:space="0"/>
              <w:right w:val="single" w:color="auto" w:sz="4" w:space="0"/>
            </w:tcBorders>
            <w:vAlign w:val="center"/>
          </w:tcPr>
          <w:p w14:paraId="4FBBF6E5">
            <w:pPr>
              <w:overflowPunct w:val="0"/>
              <w:autoSpaceDE w:val="0"/>
              <w:autoSpaceDN w:val="0"/>
              <w:adjustRightInd w:val="0"/>
              <w:snapToGrid w:val="0"/>
              <w:spacing w:line="320" w:lineRule="exact"/>
              <w:jc w:val="left"/>
              <w:rPr>
                <w:rFonts w:ascii="宋体" w:hAnsi="宋体" w:cs="宋体"/>
                <w:kern w:val="0"/>
                <w:szCs w:val="21"/>
              </w:rPr>
            </w:pPr>
          </w:p>
        </w:tc>
      </w:tr>
      <w:tr w14:paraId="5D7C4A58">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right w:val="single" w:color="auto" w:sz="4" w:space="0"/>
            </w:tcBorders>
            <w:vAlign w:val="center"/>
          </w:tcPr>
          <w:p w14:paraId="73660985">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nil"/>
              <w:left w:val="nil"/>
              <w:bottom w:val="single" w:color="auto" w:sz="4" w:space="0"/>
              <w:right w:val="single" w:color="auto" w:sz="4" w:space="0"/>
            </w:tcBorders>
            <w:vAlign w:val="center"/>
          </w:tcPr>
          <w:p w14:paraId="0C100197">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2</w:t>
            </w:r>
          </w:p>
        </w:tc>
        <w:tc>
          <w:tcPr>
            <w:tcW w:w="3686" w:type="dxa"/>
            <w:tcBorders>
              <w:top w:val="nil"/>
              <w:left w:val="nil"/>
              <w:bottom w:val="single" w:color="auto" w:sz="4" w:space="0"/>
              <w:right w:val="single" w:color="auto" w:sz="4" w:space="0"/>
            </w:tcBorders>
            <w:vAlign w:val="center"/>
          </w:tcPr>
          <w:p w14:paraId="5211005C">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施工单位发生3人以上人身死亡责任事故。</w:t>
            </w:r>
          </w:p>
        </w:tc>
        <w:tc>
          <w:tcPr>
            <w:tcW w:w="3402" w:type="dxa"/>
            <w:tcBorders>
              <w:top w:val="nil"/>
              <w:left w:val="nil"/>
              <w:bottom w:val="single" w:color="auto" w:sz="4" w:space="0"/>
              <w:right w:val="single" w:color="auto" w:sz="4" w:space="0"/>
            </w:tcBorders>
            <w:vAlign w:val="center"/>
          </w:tcPr>
          <w:p w14:paraId="12234283">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处以施工单位30万元以上违约金；处以监理单位10万元以上违约金。</w:t>
            </w:r>
          </w:p>
        </w:tc>
        <w:tc>
          <w:tcPr>
            <w:tcW w:w="850" w:type="dxa"/>
            <w:tcBorders>
              <w:top w:val="nil"/>
              <w:left w:val="nil"/>
              <w:bottom w:val="single" w:color="auto" w:sz="4" w:space="0"/>
              <w:right w:val="single" w:color="auto" w:sz="4" w:space="0"/>
            </w:tcBorders>
            <w:vAlign w:val="center"/>
          </w:tcPr>
          <w:p w14:paraId="31A5A9C5">
            <w:pPr>
              <w:overflowPunct w:val="0"/>
              <w:autoSpaceDE w:val="0"/>
              <w:autoSpaceDN w:val="0"/>
              <w:adjustRightInd w:val="0"/>
              <w:snapToGrid w:val="0"/>
              <w:spacing w:line="320" w:lineRule="exact"/>
              <w:jc w:val="left"/>
              <w:rPr>
                <w:rFonts w:ascii="宋体" w:hAnsi="宋体" w:cs="宋体"/>
                <w:kern w:val="0"/>
                <w:szCs w:val="21"/>
              </w:rPr>
            </w:pPr>
          </w:p>
        </w:tc>
      </w:tr>
      <w:tr w14:paraId="0927B3FE">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right w:val="single" w:color="auto" w:sz="4" w:space="0"/>
            </w:tcBorders>
            <w:vAlign w:val="center"/>
          </w:tcPr>
          <w:p w14:paraId="600A5767">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nil"/>
              <w:left w:val="nil"/>
              <w:bottom w:val="single" w:color="auto" w:sz="4" w:space="0"/>
              <w:right w:val="single" w:color="auto" w:sz="4" w:space="0"/>
            </w:tcBorders>
            <w:vAlign w:val="center"/>
          </w:tcPr>
          <w:p w14:paraId="370C6E6F">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3</w:t>
            </w:r>
          </w:p>
        </w:tc>
        <w:tc>
          <w:tcPr>
            <w:tcW w:w="3686" w:type="dxa"/>
            <w:tcBorders>
              <w:top w:val="nil"/>
              <w:left w:val="nil"/>
              <w:bottom w:val="single" w:color="auto" w:sz="4" w:space="0"/>
              <w:right w:val="single" w:color="auto" w:sz="4" w:space="0"/>
            </w:tcBorders>
            <w:vAlign w:val="center"/>
          </w:tcPr>
          <w:p w14:paraId="314357EB">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施工单位发生1-3人人身死亡责任事故。</w:t>
            </w:r>
          </w:p>
        </w:tc>
        <w:tc>
          <w:tcPr>
            <w:tcW w:w="3402" w:type="dxa"/>
            <w:tcBorders>
              <w:top w:val="nil"/>
              <w:left w:val="nil"/>
              <w:bottom w:val="single" w:color="auto" w:sz="4" w:space="0"/>
              <w:right w:val="single" w:color="auto" w:sz="4" w:space="0"/>
            </w:tcBorders>
            <w:vAlign w:val="center"/>
          </w:tcPr>
          <w:p w14:paraId="255C18D3">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处以施工单位10-30万元的违约金；处以监理单位5-10万元违约金。</w:t>
            </w:r>
          </w:p>
        </w:tc>
        <w:tc>
          <w:tcPr>
            <w:tcW w:w="850" w:type="dxa"/>
            <w:tcBorders>
              <w:top w:val="nil"/>
              <w:left w:val="nil"/>
              <w:bottom w:val="single" w:color="auto" w:sz="4" w:space="0"/>
              <w:right w:val="single" w:color="auto" w:sz="4" w:space="0"/>
            </w:tcBorders>
            <w:vAlign w:val="center"/>
          </w:tcPr>
          <w:p w14:paraId="23A1ECD2">
            <w:pPr>
              <w:overflowPunct w:val="0"/>
              <w:autoSpaceDE w:val="0"/>
              <w:autoSpaceDN w:val="0"/>
              <w:adjustRightInd w:val="0"/>
              <w:snapToGrid w:val="0"/>
              <w:spacing w:line="320" w:lineRule="exact"/>
              <w:jc w:val="left"/>
              <w:rPr>
                <w:rFonts w:ascii="宋体" w:hAnsi="宋体" w:cs="宋体"/>
                <w:kern w:val="0"/>
                <w:szCs w:val="21"/>
              </w:rPr>
            </w:pPr>
          </w:p>
        </w:tc>
      </w:tr>
      <w:tr w14:paraId="3116E960">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right w:val="single" w:color="auto" w:sz="4" w:space="0"/>
            </w:tcBorders>
            <w:vAlign w:val="center"/>
          </w:tcPr>
          <w:p w14:paraId="454EB85D">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nil"/>
              <w:left w:val="nil"/>
              <w:bottom w:val="single" w:color="auto" w:sz="4" w:space="0"/>
              <w:right w:val="single" w:color="auto" w:sz="4" w:space="0"/>
            </w:tcBorders>
            <w:vAlign w:val="center"/>
          </w:tcPr>
          <w:p w14:paraId="5EAA0DA4">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4</w:t>
            </w:r>
          </w:p>
        </w:tc>
        <w:tc>
          <w:tcPr>
            <w:tcW w:w="3686" w:type="dxa"/>
            <w:tcBorders>
              <w:top w:val="nil"/>
              <w:left w:val="nil"/>
              <w:bottom w:val="single" w:color="auto" w:sz="4" w:space="0"/>
              <w:right w:val="single" w:color="auto" w:sz="4" w:space="0"/>
            </w:tcBorders>
            <w:vAlign w:val="center"/>
          </w:tcPr>
          <w:p w14:paraId="38B03860">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施工单位发生重伤事故或3人(含3人)以上群伤事故。</w:t>
            </w:r>
          </w:p>
        </w:tc>
        <w:tc>
          <w:tcPr>
            <w:tcW w:w="3402" w:type="dxa"/>
            <w:tcBorders>
              <w:top w:val="nil"/>
              <w:left w:val="nil"/>
              <w:bottom w:val="single" w:color="auto" w:sz="4" w:space="0"/>
              <w:right w:val="single" w:color="auto" w:sz="4" w:space="0"/>
            </w:tcBorders>
            <w:vAlign w:val="center"/>
          </w:tcPr>
          <w:p w14:paraId="3BBE4D5B">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对施工单位处以5-10万元的违约金。</w:t>
            </w:r>
          </w:p>
        </w:tc>
        <w:tc>
          <w:tcPr>
            <w:tcW w:w="850" w:type="dxa"/>
            <w:tcBorders>
              <w:top w:val="nil"/>
              <w:left w:val="nil"/>
              <w:bottom w:val="single" w:color="auto" w:sz="4" w:space="0"/>
              <w:right w:val="single" w:color="auto" w:sz="4" w:space="0"/>
            </w:tcBorders>
            <w:vAlign w:val="center"/>
          </w:tcPr>
          <w:p w14:paraId="2B2E86FE">
            <w:pPr>
              <w:overflowPunct w:val="0"/>
              <w:autoSpaceDE w:val="0"/>
              <w:autoSpaceDN w:val="0"/>
              <w:adjustRightInd w:val="0"/>
              <w:snapToGrid w:val="0"/>
              <w:spacing w:line="320" w:lineRule="exact"/>
              <w:jc w:val="left"/>
              <w:rPr>
                <w:rFonts w:ascii="宋体" w:hAnsi="宋体" w:cs="宋体"/>
                <w:kern w:val="0"/>
                <w:szCs w:val="21"/>
              </w:rPr>
            </w:pPr>
          </w:p>
        </w:tc>
      </w:tr>
      <w:tr w14:paraId="75F93A1D">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right w:val="single" w:color="auto" w:sz="4" w:space="0"/>
            </w:tcBorders>
            <w:vAlign w:val="center"/>
          </w:tcPr>
          <w:p w14:paraId="76EC84E8">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nil"/>
              <w:left w:val="nil"/>
              <w:bottom w:val="single" w:color="auto" w:sz="4" w:space="0"/>
              <w:right w:val="single" w:color="auto" w:sz="4" w:space="0"/>
            </w:tcBorders>
            <w:vAlign w:val="center"/>
          </w:tcPr>
          <w:p w14:paraId="11E1606D">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5</w:t>
            </w:r>
          </w:p>
        </w:tc>
        <w:tc>
          <w:tcPr>
            <w:tcW w:w="3686" w:type="dxa"/>
            <w:tcBorders>
              <w:top w:val="nil"/>
              <w:left w:val="nil"/>
              <w:bottom w:val="single" w:color="auto" w:sz="4" w:space="0"/>
              <w:right w:val="single" w:color="auto" w:sz="4" w:space="0"/>
            </w:tcBorders>
            <w:vAlign w:val="center"/>
          </w:tcPr>
          <w:p w14:paraId="7CD9E2D6">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发生爆炸物品丢失或者被盗事件。</w:t>
            </w:r>
          </w:p>
        </w:tc>
        <w:tc>
          <w:tcPr>
            <w:tcW w:w="3402" w:type="dxa"/>
            <w:tcBorders>
              <w:top w:val="nil"/>
              <w:left w:val="nil"/>
              <w:bottom w:val="single" w:color="auto" w:sz="4" w:space="0"/>
              <w:right w:val="single" w:color="auto" w:sz="4" w:space="0"/>
            </w:tcBorders>
            <w:vAlign w:val="center"/>
          </w:tcPr>
          <w:p w14:paraId="0C4D3EB8">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对施工单位处以5-10万元的违约金。</w:t>
            </w:r>
          </w:p>
        </w:tc>
        <w:tc>
          <w:tcPr>
            <w:tcW w:w="850" w:type="dxa"/>
            <w:tcBorders>
              <w:top w:val="nil"/>
              <w:left w:val="nil"/>
              <w:bottom w:val="single" w:color="auto" w:sz="4" w:space="0"/>
              <w:right w:val="single" w:color="auto" w:sz="4" w:space="0"/>
            </w:tcBorders>
            <w:vAlign w:val="center"/>
          </w:tcPr>
          <w:p w14:paraId="6492921D">
            <w:pPr>
              <w:overflowPunct w:val="0"/>
              <w:autoSpaceDE w:val="0"/>
              <w:autoSpaceDN w:val="0"/>
              <w:adjustRightInd w:val="0"/>
              <w:snapToGrid w:val="0"/>
              <w:spacing w:line="320" w:lineRule="exact"/>
              <w:jc w:val="left"/>
              <w:rPr>
                <w:rFonts w:ascii="宋体" w:hAnsi="宋体" w:cs="宋体"/>
                <w:kern w:val="0"/>
                <w:szCs w:val="21"/>
              </w:rPr>
            </w:pPr>
          </w:p>
        </w:tc>
      </w:tr>
      <w:tr w14:paraId="0FE4BD5B">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right w:val="single" w:color="auto" w:sz="4" w:space="0"/>
            </w:tcBorders>
            <w:vAlign w:val="center"/>
          </w:tcPr>
          <w:p w14:paraId="662ACB8B">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nil"/>
              <w:left w:val="nil"/>
              <w:bottom w:val="single" w:color="auto" w:sz="4" w:space="0"/>
              <w:right w:val="single" w:color="auto" w:sz="4" w:space="0"/>
            </w:tcBorders>
            <w:vAlign w:val="center"/>
          </w:tcPr>
          <w:p w14:paraId="76BEEF13">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6</w:t>
            </w:r>
          </w:p>
        </w:tc>
        <w:tc>
          <w:tcPr>
            <w:tcW w:w="3686" w:type="dxa"/>
            <w:tcBorders>
              <w:top w:val="nil"/>
              <w:left w:val="nil"/>
              <w:bottom w:val="single" w:color="auto" w:sz="4" w:space="0"/>
              <w:right w:val="single" w:color="auto" w:sz="4" w:space="0"/>
            </w:tcBorders>
            <w:vAlign w:val="center"/>
          </w:tcPr>
          <w:p w14:paraId="4EFF7FF1">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发生机械设备、火灾、环境污染、职业卫生伤害(含中毒)事故。</w:t>
            </w:r>
          </w:p>
        </w:tc>
        <w:tc>
          <w:tcPr>
            <w:tcW w:w="3402" w:type="dxa"/>
            <w:tcBorders>
              <w:top w:val="nil"/>
              <w:left w:val="nil"/>
              <w:bottom w:val="single" w:color="auto" w:sz="4" w:space="0"/>
              <w:right w:val="single" w:color="auto" w:sz="4" w:space="0"/>
            </w:tcBorders>
            <w:vAlign w:val="center"/>
          </w:tcPr>
          <w:p w14:paraId="15ACA1A3">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对施工单位处以3-5万元的违约金。</w:t>
            </w:r>
          </w:p>
        </w:tc>
        <w:tc>
          <w:tcPr>
            <w:tcW w:w="850" w:type="dxa"/>
            <w:tcBorders>
              <w:top w:val="nil"/>
              <w:left w:val="nil"/>
              <w:bottom w:val="single" w:color="auto" w:sz="4" w:space="0"/>
              <w:right w:val="single" w:color="auto" w:sz="4" w:space="0"/>
            </w:tcBorders>
            <w:vAlign w:val="center"/>
          </w:tcPr>
          <w:p w14:paraId="647FBFEB">
            <w:pPr>
              <w:overflowPunct w:val="0"/>
              <w:autoSpaceDE w:val="0"/>
              <w:autoSpaceDN w:val="0"/>
              <w:adjustRightInd w:val="0"/>
              <w:snapToGrid w:val="0"/>
              <w:spacing w:line="320" w:lineRule="exact"/>
              <w:jc w:val="left"/>
              <w:rPr>
                <w:rFonts w:ascii="宋体" w:hAnsi="宋体" w:cs="宋体"/>
                <w:kern w:val="0"/>
                <w:szCs w:val="21"/>
              </w:rPr>
            </w:pPr>
          </w:p>
        </w:tc>
      </w:tr>
      <w:tr w14:paraId="1CD2F565">
        <w:tblPrEx>
          <w:tblCellMar>
            <w:top w:w="0" w:type="dxa"/>
            <w:left w:w="108" w:type="dxa"/>
            <w:bottom w:w="0" w:type="dxa"/>
            <w:right w:w="108" w:type="dxa"/>
          </w:tblCellMar>
        </w:tblPrEx>
        <w:trPr>
          <w:cantSplit/>
          <w:trHeight w:val="454" w:hRule="exact"/>
          <w:jc w:val="center"/>
        </w:trPr>
        <w:tc>
          <w:tcPr>
            <w:tcW w:w="710" w:type="dxa"/>
            <w:vMerge w:val="continue"/>
            <w:tcBorders>
              <w:left w:val="single" w:color="auto" w:sz="4" w:space="0"/>
              <w:right w:val="single" w:color="auto" w:sz="4" w:space="0"/>
            </w:tcBorders>
            <w:vAlign w:val="center"/>
          </w:tcPr>
          <w:p w14:paraId="37FBC6C0">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nil"/>
              <w:left w:val="nil"/>
              <w:bottom w:val="single" w:color="auto" w:sz="4" w:space="0"/>
              <w:right w:val="single" w:color="auto" w:sz="4" w:space="0"/>
            </w:tcBorders>
            <w:vAlign w:val="center"/>
          </w:tcPr>
          <w:p w14:paraId="78410009">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7</w:t>
            </w:r>
          </w:p>
        </w:tc>
        <w:tc>
          <w:tcPr>
            <w:tcW w:w="3686" w:type="dxa"/>
            <w:tcBorders>
              <w:top w:val="nil"/>
              <w:left w:val="nil"/>
              <w:bottom w:val="single" w:color="auto" w:sz="4" w:space="0"/>
              <w:right w:val="single" w:color="auto" w:sz="4" w:space="0"/>
            </w:tcBorders>
            <w:vAlign w:val="center"/>
          </w:tcPr>
          <w:p w14:paraId="7E07F57E">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施工现场发生高空坠物现象。</w:t>
            </w:r>
          </w:p>
        </w:tc>
        <w:tc>
          <w:tcPr>
            <w:tcW w:w="3402" w:type="dxa"/>
            <w:tcBorders>
              <w:top w:val="nil"/>
              <w:left w:val="nil"/>
              <w:bottom w:val="single" w:color="auto" w:sz="4" w:space="0"/>
              <w:right w:val="single" w:color="auto" w:sz="4" w:space="0"/>
            </w:tcBorders>
            <w:vAlign w:val="center"/>
          </w:tcPr>
          <w:p w14:paraId="6F9B431C">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对施工单位处以l-2万元的违约金。</w:t>
            </w:r>
          </w:p>
        </w:tc>
        <w:tc>
          <w:tcPr>
            <w:tcW w:w="850" w:type="dxa"/>
            <w:tcBorders>
              <w:top w:val="nil"/>
              <w:left w:val="nil"/>
              <w:bottom w:val="single" w:color="auto" w:sz="4" w:space="0"/>
              <w:right w:val="single" w:color="auto" w:sz="4" w:space="0"/>
            </w:tcBorders>
            <w:vAlign w:val="center"/>
          </w:tcPr>
          <w:p w14:paraId="7D56543B">
            <w:pPr>
              <w:overflowPunct w:val="0"/>
              <w:autoSpaceDE w:val="0"/>
              <w:autoSpaceDN w:val="0"/>
              <w:adjustRightInd w:val="0"/>
              <w:snapToGrid w:val="0"/>
              <w:spacing w:line="320" w:lineRule="exact"/>
              <w:jc w:val="left"/>
              <w:rPr>
                <w:rFonts w:ascii="宋体" w:hAnsi="宋体" w:cs="宋体"/>
                <w:kern w:val="0"/>
                <w:szCs w:val="21"/>
              </w:rPr>
            </w:pPr>
          </w:p>
        </w:tc>
      </w:tr>
      <w:tr w14:paraId="0D4ED120">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right w:val="single" w:color="auto" w:sz="4" w:space="0"/>
            </w:tcBorders>
            <w:vAlign w:val="center"/>
          </w:tcPr>
          <w:p w14:paraId="6AAC646D">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nil"/>
              <w:left w:val="nil"/>
              <w:bottom w:val="single" w:color="auto" w:sz="4" w:space="0"/>
              <w:right w:val="single" w:color="auto" w:sz="4" w:space="0"/>
            </w:tcBorders>
            <w:vAlign w:val="center"/>
          </w:tcPr>
          <w:p w14:paraId="4E340A70">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8</w:t>
            </w:r>
          </w:p>
        </w:tc>
        <w:tc>
          <w:tcPr>
            <w:tcW w:w="3686" w:type="dxa"/>
            <w:tcBorders>
              <w:top w:val="nil"/>
              <w:left w:val="nil"/>
              <w:bottom w:val="single" w:color="auto" w:sz="4" w:space="0"/>
              <w:right w:val="single" w:color="auto" w:sz="4" w:space="0"/>
            </w:tcBorders>
            <w:vAlign w:val="center"/>
          </w:tcPr>
          <w:p w14:paraId="14BD9591">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施工单位因拖欠农民工工资引发影响恶劣的群体性事件。</w:t>
            </w:r>
          </w:p>
        </w:tc>
        <w:tc>
          <w:tcPr>
            <w:tcW w:w="3402" w:type="dxa"/>
            <w:tcBorders>
              <w:top w:val="nil"/>
              <w:left w:val="nil"/>
              <w:bottom w:val="single" w:color="auto" w:sz="4" w:space="0"/>
              <w:right w:val="single" w:color="auto" w:sz="4" w:space="0"/>
            </w:tcBorders>
            <w:vAlign w:val="center"/>
          </w:tcPr>
          <w:p w14:paraId="099985F4">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对施工单位处以3-5万元的违约金。</w:t>
            </w:r>
          </w:p>
        </w:tc>
        <w:tc>
          <w:tcPr>
            <w:tcW w:w="850" w:type="dxa"/>
            <w:tcBorders>
              <w:top w:val="nil"/>
              <w:left w:val="nil"/>
              <w:bottom w:val="single" w:color="auto" w:sz="4" w:space="0"/>
              <w:right w:val="single" w:color="auto" w:sz="4" w:space="0"/>
            </w:tcBorders>
            <w:vAlign w:val="center"/>
          </w:tcPr>
          <w:p w14:paraId="626D5930">
            <w:pPr>
              <w:overflowPunct w:val="0"/>
              <w:autoSpaceDE w:val="0"/>
              <w:autoSpaceDN w:val="0"/>
              <w:adjustRightInd w:val="0"/>
              <w:snapToGrid w:val="0"/>
              <w:spacing w:line="320" w:lineRule="exact"/>
              <w:jc w:val="left"/>
              <w:rPr>
                <w:rFonts w:ascii="宋体" w:hAnsi="宋体" w:cs="宋体"/>
                <w:kern w:val="0"/>
                <w:szCs w:val="21"/>
              </w:rPr>
            </w:pPr>
          </w:p>
        </w:tc>
      </w:tr>
      <w:tr w14:paraId="5426C0E0">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bottom w:val="single" w:color="auto" w:sz="4" w:space="0"/>
              <w:right w:val="single" w:color="auto" w:sz="4" w:space="0"/>
            </w:tcBorders>
            <w:vAlign w:val="center"/>
          </w:tcPr>
          <w:p w14:paraId="0AC83239">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nil"/>
              <w:left w:val="nil"/>
              <w:bottom w:val="single" w:color="auto" w:sz="4" w:space="0"/>
              <w:right w:val="single" w:color="auto" w:sz="4" w:space="0"/>
            </w:tcBorders>
            <w:vAlign w:val="center"/>
          </w:tcPr>
          <w:p w14:paraId="16CEAA63">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9</w:t>
            </w:r>
          </w:p>
        </w:tc>
        <w:tc>
          <w:tcPr>
            <w:tcW w:w="3686" w:type="dxa"/>
            <w:tcBorders>
              <w:top w:val="nil"/>
              <w:left w:val="nil"/>
              <w:bottom w:val="single" w:color="auto" w:sz="4" w:space="0"/>
              <w:right w:val="single" w:color="auto" w:sz="4" w:space="0"/>
            </w:tcBorders>
            <w:vAlign w:val="center"/>
          </w:tcPr>
          <w:p w14:paraId="542DE971">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发生事故后隐瞒不报、谎报或拖延不报的单位。</w:t>
            </w:r>
          </w:p>
        </w:tc>
        <w:tc>
          <w:tcPr>
            <w:tcW w:w="3402" w:type="dxa"/>
            <w:tcBorders>
              <w:top w:val="nil"/>
              <w:left w:val="nil"/>
              <w:bottom w:val="single" w:color="auto" w:sz="4" w:space="0"/>
              <w:right w:val="single" w:color="auto" w:sz="4" w:space="0"/>
            </w:tcBorders>
            <w:vAlign w:val="center"/>
          </w:tcPr>
          <w:p w14:paraId="796B8487">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处以该单位3-5万元的违约金。</w:t>
            </w:r>
          </w:p>
        </w:tc>
        <w:tc>
          <w:tcPr>
            <w:tcW w:w="850" w:type="dxa"/>
            <w:tcBorders>
              <w:top w:val="nil"/>
              <w:left w:val="nil"/>
              <w:bottom w:val="single" w:color="auto" w:sz="4" w:space="0"/>
              <w:right w:val="single" w:color="auto" w:sz="4" w:space="0"/>
            </w:tcBorders>
            <w:vAlign w:val="center"/>
          </w:tcPr>
          <w:p w14:paraId="4794EB3A">
            <w:pPr>
              <w:overflowPunct w:val="0"/>
              <w:autoSpaceDE w:val="0"/>
              <w:autoSpaceDN w:val="0"/>
              <w:adjustRightInd w:val="0"/>
              <w:snapToGrid w:val="0"/>
              <w:spacing w:line="320" w:lineRule="exact"/>
              <w:jc w:val="left"/>
              <w:rPr>
                <w:rFonts w:ascii="宋体" w:hAnsi="宋体" w:cs="宋体"/>
                <w:kern w:val="0"/>
                <w:szCs w:val="21"/>
              </w:rPr>
            </w:pPr>
          </w:p>
        </w:tc>
      </w:tr>
      <w:tr w14:paraId="7A4DFFCC">
        <w:tblPrEx>
          <w:tblCellMar>
            <w:top w:w="0" w:type="dxa"/>
            <w:left w:w="108" w:type="dxa"/>
            <w:bottom w:w="0" w:type="dxa"/>
            <w:right w:w="108" w:type="dxa"/>
          </w:tblCellMar>
        </w:tblPrEx>
        <w:trPr>
          <w:cantSplit/>
          <w:trHeight w:val="1701" w:hRule="exact"/>
          <w:jc w:val="center"/>
        </w:trPr>
        <w:tc>
          <w:tcPr>
            <w:tcW w:w="710" w:type="dxa"/>
            <w:vMerge w:val="restart"/>
            <w:tcBorders>
              <w:top w:val="single" w:color="auto" w:sz="4" w:space="0"/>
              <w:left w:val="single" w:color="auto" w:sz="4" w:space="0"/>
              <w:bottom w:val="single" w:color="auto" w:sz="4" w:space="0"/>
              <w:right w:val="single" w:color="auto" w:sz="4" w:space="0"/>
            </w:tcBorders>
            <w:vAlign w:val="center"/>
          </w:tcPr>
          <w:p w14:paraId="3F8668FF">
            <w:pPr>
              <w:overflowPunct w:val="0"/>
              <w:autoSpaceDE w:val="0"/>
              <w:autoSpaceDN w:val="0"/>
              <w:adjustRightInd w:val="0"/>
              <w:snapToGrid w:val="0"/>
              <w:spacing w:line="320" w:lineRule="exact"/>
              <w:jc w:val="left"/>
              <w:rPr>
                <w:rFonts w:ascii="宋体" w:hAnsi="宋体" w:cs="宋体"/>
                <w:b/>
                <w:bCs/>
                <w:kern w:val="0"/>
                <w:szCs w:val="21"/>
              </w:rPr>
            </w:pPr>
            <w:r>
              <w:rPr>
                <w:rFonts w:hint="eastAsia" w:ascii="宋体" w:hAnsi="宋体" w:cs="宋体"/>
                <w:b/>
                <w:bCs/>
                <w:kern w:val="0"/>
                <w:szCs w:val="21"/>
              </w:rPr>
              <w:t>违规违章处罚办法</w:t>
            </w:r>
          </w:p>
        </w:tc>
        <w:tc>
          <w:tcPr>
            <w:tcW w:w="708" w:type="dxa"/>
            <w:tcBorders>
              <w:top w:val="single" w:color="auto" w:sz="4" w:space="0"/>
              <w:left w:val="nil"/>
              <w:bottom w:val="single" w:color="auto" w:sz="4" w:space="0"/>
              <w:right w:val="single" w:color="auto" w:sz="4" w:space="0"/>
            </w:tcBorders>
            <w:vAlign w:val="center"/>
          </w:tcPr>
          <w:p w14:paraId="574E69F6">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10</w:t>
            </w:r>
          </w:p>
        </w:tc>
        <w:tc>
          <w:tcPr>
            <w:tcW w:w="3686" w:type="dxa"/>
            <w:tcBorders>
              <w:top w:val="single" w:color="auto" w:sz="4" w:space="0"/>
              <w:left w:val="nil"/>
              <w:bottom w:val="single" w:color="auto" w:sz="4" w:space="0"/>
              <w:right w:val="single" w:color="auto" w:sz="4" w:space="0"/>
            </w:tcBorders>
            <w:vAlign w:val="center"/>
          </w:tcPr>
          <w:p w14:paraId="6CF8F607">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未建立健全安全生产责任制度(含消防)和安全生产教育培训制度，未制定安全生产规章制度和操作规程(含消防)或经检查发现制度、规程流于形式而未严格执行。</w:t>
            </w:r>
          </w:p>
        </w:tc>
        <w:tc>
          <w:tcPr>
            <w:tcW w:w="3402" w:type="dxa"/>
            <w:tcBorders>
              <w:top w:val="nil"/>
              <w:left w:val="nil"/>
              <w:bottom w:val="single" w:color="auto" w:sz="4" w:space="0"/>
              <w:right w:val="single" w:color="auto" w:sz="4" w:space="0"/>
            </w:tcBorders>
            <w:vAlign w:val="center"/>
          </w:tcPr>
          <w:p w14:paraId="1C2B196E">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vAlign w:val="center"/>
          </w:tcPr>
          <w:p w14:paraId="22A28615">
            <w:pPr>
              <w:overflowPunct w:val="0"/>
              <w:autoSpaceDE w:val="0"/>
              <w:autoSpaceDN w:val="0"/>
              <w:adjustRightInd w:val="0"/>
              <w:snapToGrid w:val="0"/>
              <w:spacing w:line="320" w:lineRule="exact"/>
              <w:jc w:val="left"/>
              <w:rPr>
                <w:rFonts w:ascii="宋体" w:hAnsi="宋体" w:cs="宋体"/>
                <w:kern w:val="0"/>
                <w:szCs w:val="21"/>
              </w:rPr>
            </w:pPr>
          </w:p>
        </w:tc>
      </w:tr>
      <w:tr w14:paraId="09C8E85D">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45412AD9">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single" w:color="auto" w:sz="4" w:space="0"/>
              <w:left w:val="nil"/>
              <w:bottom w:val="single" w:color="auto" w:sz="4" w:space="0"/>
              <w:right w:val="single" w:color="auto" w:sz="4" w:space="0"/>
            </w:tcBorders>
            <w:vAlign w:val="center"/>
          </w:tcPr>
          <w:p w14:paraId="54649EC8">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11</w:t>
            </w:r>
          </w:p>
        </w:tc>
        <w:tc>
          <w:tcPr>
            <w:tcW w:w="3686" w:type="dxa"/>
            <w:tcBorders>
              <w:top w:val="single" w:color="auto" w:sz="4" w:space="0"/>
              <w:left w:val="nil"/>
              <w:bottom w:val="single" w:color="auto" w:sz="4" w:space="0"/>
              <w:right w:val="single" w:color="auto" w:sz="4" w:space="0"/>
            </w:tcBorders>
            <w:vAlign w:val="center"/>
          </w:tcPr>
          <w:p w14:paraId="569D7244">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在施工组织设计中未编制安全技术措施和施工现场临时用电方案。</w:t>
            </w:r>
          </w:p>
        </w:tc>
        <w:tc>
          <w:tcPr>
            <w:tcW w:w="3402" w:type="dxa"/>
            <w:tcBorders>
              <w:top w:val="nil"/>
              <w:left w:val="nil"/>
              <w:bottom w:val="single" w:color="auto" w:sz="4" w:space="0"/>
              <w:right w:val="single" w:color="auto" w:sz="4" w:space="0"/>
            </w:tcBorders>
            <w:vAlign w:val="center"/>
          </w:tcPr>
          <w:p w14:paraId="0C4381E5">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vAlign w:val="center"/>
          </w:tcPr>
          <w:p w14:paraId="1274865D">
            <w:pPr>
              <w:overflowPunct w:val="0"/>
              <w:autoSpaceDE w:val="0"/>
              <w:autoSpaceDN w:val="0"/>
              <w:adjustRightInd w:val="0"/>
              <w:snapToGrid w:val="0"/>
              <w:spacing w:line="320" w:lineRule="exact"/>
              <w:jc w:val="left"/>
              <w:rPr>
                <w:rFonts w:ascii="宋体" w:hAnsi="宋体" w:cs="宋体"/>
                <w:kern w:val="0"/>
                <w:szCs w:val="21"/>
              </w:rPr>
            </w:pPr>
          </w:p>
        </w:tc>
      </w:tr>
      <w:tr w14:paraId="115B383C">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7D9BCBBB">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single" w:color="auto" w:sz="4" w:space="0"/>
              <w:left w:val="nil"/>
              <w:bottom w:val="single" w:color="auto" w:sz="4" w:space="0"/>
              <w:right w:val="single" w:color="auto" w:sz="4" w:space="0"/>
            </w:tcBorders>
            <w:vAlign w:val="center"/>
          </w:tcPr>
          <w:p w14:paraId="7B7FCEAA">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12</w:t>
            </w:r>
          </w:p>
        </w:tc>
        <w:tc>
          <w:tcPr>
            <w:tcW w:w="3686" w:type="dxa"/>
            <w:tcBorders>
              <w:top w:val="single" w:color="auto" w:sz="4" w:space="0"/>
              <w:left w:val="nil"/>
              <w:bottom w:val="single" w:color="auto" w:sz="4" w:space="0"/>
              <w:right w:val="single" w:color="auto" w:sz="4" w:space="0"/>
            </w:tcBorders>
            <w:vAlign w:val="center"/>
          </w:tcPr>
          <w:p w14:paraId="5D49FC10">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对所承担的工程项目未进行定期和专项安全检查，无安全检查记录或记录不全。</w:t>
            </w:r>
          </w:p>
        </w:tc>
        <w:tc>
          <w:tcPr>
            <w:tcW w:w="3402" w:type="dxa"/>
            <w:tcBorders>
              <w:top w:val="single" w:color="auto" w:sz="4" w:space="0"/>
              <w:left w:val="nil"/>
              <w:bottom w:val="single" w:color="auto" w:sz="4" w:space="0"/>
              <w:right w:val="single" w:color="auto" w:sz="4" w:space="0"/>
            </w:tcBorders>
            <w:vAlign w:val="center"/>
          </w:tcPr>
          <w:p w14:paraId="099989AA">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视情节对施工单位处以1000-3000元违约金；对监理单位监管不力的，处以1000-2000元违约金。</w:t>
            </w:r>
          </w:p>
        </w:tc>
        <w:tc>
          <w:tcPr>
            <w:tcW w:w="850" w:type="dxa"/>
            <w:tcBorders>
              <w:top w:val="single" w:color="auto" w:sz="4" w:space="0"/>
              <w:left w:val="nil"/>
              <w:bottom w:val="single" w:color="auto" w:sz="4" w:space="0"/>
              <w:right w:val="single" w:color="auto" w:sz="4" w:space="0"/>
            </w:tcBorders>
            <w:vAlign w:val="center"/>
          </w:tcPr>
          <w:p w14:paraId="03D11DCC">
            <w:pPr>
              <w:overflowPunct w:val="0"/>
              <w:autoSpaceDE w:val="0"/>
              <w:autoSpaceDN w:val="0"/>
              <w:adjustRightInd w:val="0"/>
              <w:snapToGrid w:val="0"/>
              <w:spacing w:line="320" w:lineRule="exact"/>
              <w:jc w:val="left"/>
              <w:rPr>
                <w:rFonts w:ascii="宋体" w:hAnsi="宋体" w:cs="宋体"/>
                <w:kern w:val="0"/>
                <w:szCs w:val="21"/>
              </w:rPr>
            </w:pPr>
          </w:p>
        </w:tc>
      </w:tr>
      <w:tr w14:paraId="7F961137">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6E95CF3F">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single" w:color="auto" w:sz="4" w:space="0"/>
              <w:left w:val="nil"/>
              <w:bottom w:val="single" w:color="auto" w:sz="4" w:space="0"/>
              <w:right w:val="single" w:color="auto" w:sz="4" w:space="0"/>
            </w:tcBorders>
            <w:vAlign w:val="center"/>
          </w:tcPr>
          <w:p w14:paraId="1F39AF66">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13</w:t>
            </w:r>
          </w:p>
        </w:tc>
        <w:tc>
          <w:tcPr>
            <w:tcW w:w="3686" w:type="dxa"/>
            <w:tcBorders>
              <w:top w:val="single" w:color="auto" w:sz="4" w:space="0"/>
              <w:left w:val="nil"/>
              <w:bottom w:val="single" w:color="auto" w:sz="4" w:space="0"/>
              <w:right w:val="single" w:color="auto" w:sz="4" w:space="0"/>
            </w:tcBorders>
            <w:vAlign w:val="center"/>
          </w:tcPr>
          <w:p w14:paraId="0D870242">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未按规定组织全体施工人员进行年度安全工作规程考试。</w:t>
            </w:r>
          </w:p>
        </w:tc>
        <w:tc>
          <w:tcPr>
            <w:tcW w:w="3402" w:type="dxa"/>
            <w:tcBorders>
              <w:top w:val="single" w:color="auto" w:sz="4" w:space="0"/>
              <w:left w:val="nil"/>
              <w:bottom w:val="single" w:color="auto" w:sz="4" w:space="0"/>
              <w:right w:val="single" w:color="auto" w:sz="4" w:space="0"/>
            </w:tcBorders>
            <w:vAlign w:val="center"/>
          </w:tcPr>
          <w:p w14:paraId="5CA00714">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视情节对施工单位处以1000-3000元违约金；对监理单位监管不力的，处以1000-2000元违约金。</w:t>
            </w:r>
          </w:p>
        </w:tc>
        <w:tc>
          <w:tcPr>
            <w:tcW w:w="850" w:type="dxa"/>
            <w:tcBorders>
              <w:top w:val="single" w:color="auto" w:sz="4" w:space="0"/>
              <w:left w:val="nil"/>
              <w:bottom w:val="single" w:color="auto" w:sz="4" w:space="0"/>
              <w:right w:val="single" w:color="auto" w:sz="4" w:space="0"/>
            </w:tcBorders>
            <w:vAlign w:val="center"/>
          </w:tcPr>
          <w:p w14:paraId="0A3545A9">
            <w:pPr>
              <w:overflowPunct w:val="0"/>
              <w:autoSpaceDE w:val="0"/>
              <w:autoSpaceDN w:val="0"/>
              <w:adjustRightInd w:val="0"/>
              <w:snapToGrid w:val="0"/>
              <w:spacing w:line="320" w:lineRule="exact"/>
              <w:jc w:val="left"/>
              <w:rPr>
                <w:rFonts w:ascii="宋体" w:hAnsi="宋体" w:cs="宋体"/>
                <w:kern w:val="0"/>
                <w:szCs w:val="21"/>
              </w:rPr>
            </w:pPr>
          </w:p>
        </w:tc>
      </w:tr>
      <w:tr w14:paraId="125531EE">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26BD8FA9">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single" w:color="auto" w:sz="4" w:space="0"/>
              <w:left w:val="nil"/>
              <w:bottom w:val="single" w:color="auto" w:sz="4" w:space="0"/>
              <w:right w:val="single" w:color="auto" w:sz="4" w:space="0"/>
            </w:tcBorders>
            <w:vAlign w:val="center"/>
          </w:tcPr>
          <w:p w14:paraId="2AB71360">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14</w:t>
            </w:r>
          </w:p>
        </w:tc>
        <w:tc>
          <w:tcPr>
            <w:tcW w:w="3686" w:type="dxa"/>
            <w:tcBorders>
              <w:top w:val="single" w:color="auto" w:sz="4" w:space="0"/>
              <w:left w:val="nil"/>
              <w:bottom w:val="single" w:color="auto" w:sz="4" w:space="0"/>
              <w:right w:val="single" w:color="auto" w:sz="4" w:space="0"/>
            </w:tcBorders>
            <w:vAlign w:val="center"/>
          </w:tcPr>
          <w:p w14:paraId="0A2FFCDA">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未按有关规定设置安全监督机构并配备满足施工要求的安监人员。</w:t>
            </w:r>
          </w:p>
        </w:tc>
        <w:tc>
          <w:tcPr>
            <w:tcW w:w="3402" w:type="dxa"/>
            <w:tcBorders>
              <w:top w:val="single" w:color="auto" w:sz="4" w:space="0"/>
              <w:left w:val="nil"/>
              <w:bottom w:val="single" w:color="auto" w:sz="4" w:space="0"/>
              <w:right w:val="single" w:color="auto" w:sz="4" w:space="0"/>
            </w:tcBorders>
            <w:vAlign w:val="center"/>
          </w:tcPr>
          <w:p w14:paraId="338C60C6">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视情节对施工单位处以1000-3000元违约金；对监理单位监管不力的，处以1000-2000元违约金。</w:t>
            </w:r>
          </w:p>
        </w:tc>
        <w:tc>
          <w:tcPr>
            <w:tcW w:w="850" w:type="dxa"/>
            <w:tcBorders>
              <w:top w:val="single" w:color="auto" w:sz="4" w:space="0"/>
              <w:left w:val="nil"/>
              <w:bottom w:val="single" w:color="auto" w:sz="4" w:space="0"/>
              <w:right w:val="single" w:color="auto" w:sz="4" w:space="0"/>
            </w:tcBorders>
            <w:vAlign w:val="center"/>
          </w:tcPr>
          <w:p w14:paraId="544BAA1A">
            <w:pPr>
              <w:overflowPunct w:val="0"/>
              <w:autoSpaceDE w:val="0"/>
              <w:autoSpaceDN w:val="0"/>
              <w:adjustRightInd w:val="0"/>
              <w:snapToGrid w:val="0"/>
              <w:spacing w:line="320" w:lineRule="exact"/>
              <w:jc w:val="left"/>
              <w:rPr>
                <w:rFonts w:ascii="宋体" w:hAnsi="宋体" w:cs="宋体"/>
                <w:kern w:val="0"/>
                <w:szCs w:val="21"/>
              </w:rPr>
            </w:pPr>
          </w:p>
        </w:tc>
      </w:tr>
      <w:tr w14:paraId="6E893F93">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right w:val="single" w:color="auto" w:sz="4" w:space="0"/>
            </w:tcBorders>
            <w:vAlign w:val="center"/>
          </w:tcPr>
          <w:p w14:paraId="7F4A96FC">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single" w:color="auto" w:sz="4" w:space="0"/>
              <w:left w:val="nil"/>
              <w:bottom w:val="single" w:color="auto" w:sz="4" w:space="0"/>
              <w:right w:val="single" w:color="auto" w:sz="4" w:space="0"/>
            </w:tcBorders>
            <w:vAlign w:val="center"/>
          </w:tcPr>
          <w:p w14:paraId="486F5856">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3686" w:type="dxa"/>
            <w:tcBorders>
              <w:top w:val="single" w:color="auto" w:sz="4" w:space="0"/>
              <w:left w:val="nil"/>
              <w:bottom w:val="single" w:color="auto" w:sz="4" w:space="0"/>
              <w:right w:val="single" w:color="auto" w:sz="4" w:space="0"/>
            </w:tcBorders>
            <w:vAlign w:val="center"/>
          </w:tcPr>
          <w:p w14:paraId="56E5D58A">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对新招入的施工人员未按规定进行三级安全教育（含没有三级安全教育记录）而安排上岗作业。</w:t>
            </w:r>
          </w:p>
        </w:tc>
        <w:tc>
          <w:tcPr>
            <w:tcW w:w="3402" w:type="dxa"/>
            <w:tcBorders>
              <w:top w:val="single" w:color="auto" w:sz="4" w:space="0"/>
              <w:left w:val="nil"/>
              <w:bottom w:val="single" w:color="auto" w:sz="4" w:space="0"/>
              <w:right w:val="single" w:color="auto" w:sz="4" w:space="0"/>
            </w:tcBorders>
            <w:vAlign w:val="center"/>
          </w:tcPr>
          <w:p w14:paraId="2E54171C">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视情节对施工单位处以1000-3000元违约金；对监理单位监管不力的，处以1000-2000元违约金。</w:t>
            </w:r>
          </w:p>
        </w:tc>
        <w:tc>
          <w:tcPr>
            <w:tcW w:w="850" w:type="dxa"/>
            <w:tcBorders>
              <w:top w:val="single" w:color="auto" w:sz="4" w:space="0"/>
              <w:left w:val="nil"/>
              <w:bottom w:val="single" w:color="auto" w:sz="4" w:space="0"/>
              <w:right w:val="single" w:color="auto" w:sz="4" w:space="0"/>
            </w:tcBorders>
            <w:vAlign w:val="center"/>
          </w:tcPr>
          <w:p w14:paraId="14D950C2">
            <w:pPr>
              <w:overflowPunct w:val="0"/>
              <w:autoSpaceDE w:val="0"/>
              <w:autoSpaceDN w:val="0"/>
              <w:adjustRightInd w:val="0"/>
              <w:snapToGrid w:val="0"/>
              <w:spacing w:line="320" w:lineRule="exact"/>
              <w:jc w:val="left"/>
              <w:rPr>
                <w:rFonts w:ascii="宋体" w:hAnsi="宋体" w:cs="宋体"/>
                <w:kern w:val="0"/>
                <w:szCs w:val="21"/>
              </w:rPr>
            </w:pPr>
          </w:p>
        </w:tc>
      </w:tr>
      <w:tr w14:paraId="67DAA637">
        <w:tblPrEx>
          <w:tblCellMar>
            <w:top w:w="0" w:type="dxa"/>
            <w:left w:w="108" w:type="dxa"/>
            <w:bottom w:w="0" w:type="dxa"/>
            <w:right w:w="108" w:type="dxa"/>
          </w:tblCellMar>
        </w:tblPrEx>
        <w:trPr>
          <w:cantSplit/>
          <w:trHeight w:val="2381" w:hRule="exact"/>
          <w:jc w:val="center"/>
        </w:trPr>
        <w:tc>
          <w:tcPr>
            <w:tcW w:w="710" w:type="dxa"/>
            <w:vMerge w:val="restart"/>
            <w:tcBorders>
              <w:left w:val="single" w:color="auto" w:sz="4" w:space="0"/>
              <w:right w:val="single" w:color="auto" w:sz="4" w:space="0"/>
            </w:tcBorders>
            <w:vAlign w:val="center"/>
          </w:tcPr>
          <w:p w14:paraId="26C76239">
            <w:pPr>
              <w:overflowPunct w:val="0"/>
              <w:autoSpaceDE w:val="0"/>
              <w:autoSpaceDN w:val="0"/>
              <w:adjustRightInd w:val="0"/>
              <w:snapToGrid w:val="0"/>
              <w:spacing w:line="320" w:lineRule="exact"/>
              <w:jc w:val="left"/>
              <w:rPr>
                <w:rFonts w:ascii="宋体" w:hAnsi="宋体" w:cs="宋体"/>
                <w:b/>
                <w:bCs/>
                <w:kern w:val="0"/>
                <w:szCs w:val="21"/>
              </w:rPr>
            </w:pPr>
            <w:r>
              <w:rPr>
                <w:rFonts w:hint="eastAsia" w:ascii="宋体" w:hAnsi="宋体" w:cs="宋体"/>
                <w:b/>
                <w:bCs/>
                <w:kern w:val="0"/>
                <w:szCs w:val="21"/>
              </w:rPr>
              <w:t>违规违章处罚办法</w:t>
            </w:r>
          </w:p>
        </w:tc>
        <w:tc>
          <w:tcPr>
            <w:tcW w:w="708" w:type="dxa"/>
            <w:tcBorders>
              <w:top w:val="single" w:color="auto" w:sz="4" w:space="0"/>
              <w:left w:val="nil"/>
              <w:bottom w:val="single" w:color="auto" w:sz="4" w:space="0"/>
              <w:right w:val="single" w:color="auto" w:sz="4" w:space="0"/>
            </w:tcBorders>
            <w:vAlign w:val="center"/>
          </w:tcPr>
          <w:p w14:paraId="759B208A">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16</w:t>
            </w:r>
          </w:p>
        </w:tc>
        <w:tc>
          <w:tcPr>
            <w:tcW w:w="3686" w:type="dxa"/>
            <w:tcBorders>
              <w:top w:val="single" w:color="auto" w:sz="4" w:space="0"/>
              <w:left w:val="nil"/>
              <w:bottom w:val="single" w:color="auto" w:sz="4" w:space="0"/>
              <w:right w:val="single" w:color="auto" w:sz="4" w:space="0"/>
            </w:tcBorders>
            <w:vAlign w:val="center"/>
          </w:tcPr>
          <w:p w14:paraId="3CAF9B6C">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对基坑支护与降水工程、土方开挖工程、模板工程、起重吊装工程、桥梁架设及安装工程、隧道挖掘通风和支护工程、脚手架工程、拆除、爆破工程等九种任何一项未编制专项施工方案，并未经施工单位技术负责人、总监理工程师签名确认后施工。</w:t>
            </w:r>
          </w:p>
        </w:tc>
        <w:tc>
          <w:tcPr>
            <w:tcW w:w="3402" w:type="dxa"/>
            <w:tcBorders>
              <w:top w:val="single" w:color="auto" w:sz="4" w:space="0"/>
              <w:left w:val="nil"/>
              <w:bottom w:val="single" w:color="auto" w:sz="4" w:space="0"/>
              <w:right w:val="single" w:color="auto" w:sz="4" w:space="0"/>
            </w:tcBorders>
            <w:vAlign w:val="center"/>
          </w:tcPr>
          <w:p w14:paraId="00F2C2AC">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视情节对施工单位处以1000-3000元违约金；对监理单位监管不力的，处以1000-2000元违约金。</w:t>
            </w:r>
          </w:p>
        </w:tc>
        <w:tc>
          <w:tcPr>
            <w:tcW w:w="850" w:type="dxa"/>
            <w:tcBorders>
              <w:top w:val="single" w:color="auto" w:sz="4" w:space="0"/>
              <w:left w:val="nil"/>
              <w:bottom w:val="single" w:color="auto" w:sz="4" w:space="0"/>
              <w:right w:val="single" w:color="auto" w:sz="4" w:space="0"/>
            </w:tcBorders>
            <w:vAlign w:val="center"/>
          </w:tcPr>
          <w:p w14:paraId="6576DFA8">
            <w:pPr>
              <w:overflowPunct w:val="0"/>
              <w:autoSpaceDE w:val="0"/>
              <w:autoSpaceDN w:val="0"/>
              <w:adjustRightInd w:val="0"/>
              <w:snapToGrid w:val="0"/>
              <w:spacing w:line="320" w:lineRule="exact"/>
              <w:jc w:val="left"/>
              <w:rPr>
                <w:rFonts w:ascii="宋体" w:hAnsi="宋体" w:cs="宋体"/>
                <w:kern w:val="0"/>
                <w:szCs w:val="21"/>
              </w:rPr>
            </w:pPr>
          </w:p>
        </w:tc>
      </w:tr>
      <w:tr w14:paraId="5F1730D7">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vAlign w:val="center"/>
          </w:tcPr>
          <w:p w14:paraId="5E7B168F">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single" w:color="auto" w:sz="4" w:space="0"/>
              <w:left w:val="nil"/>
              <w:bottom w:val="single" w:color="auto" w:sz="4" w:space="0"/>
              <w:right w:val="single" w:color="auto" w:sz="4" w:space="0"/>
            </w:tcBorders>
            <w:vAlign w:val="center"/>
          </w:tcPr>
          <w:p w14:paraId="34B19984">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17</w:t>
            </w:r>
          </w:p>
        </w:tc>
        <w:tc>
          <w:tcPr>
            <w:tcW w:w="3686" w:type="dxa"/>
            <w:tcBorders>
              <w:top w:val="single" w:color="auto" w:sz="4" w:space="0"/>
              <w:left w:val="nil"/>
              <w:bottom w:val="single" w:color="auto" w:sz="4" w:space="0"/>
              <w:right w:val="single" w:color="auto" w:sz="4" w:space="0"/>
            </w:tcBorders>
            <w:vAlign w:val="center"/>
          </w:tcPr>
          <w:p w14:paraId="5E18C20F">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各项施工方案实施过程中未由专职安全生产管理人员现场进行监督。</w:t>
            </w:r>
          </w:p>
        </w:tc>
        <w:tc>
          <w:tcPr>
            <w:tcW w:w="3402" w:type="dxa"/>
            <w:tcBorders>
              <w:top w:val="single" w:color="auto" w:sz="4" w:space="0"/>
              <w:left w:val="nil"/>
              <w:bottom w:val="single" w:color="auto" w:sz="4" w:space="0"/>
              <w:right w:val="single" w:color="auto" w:sz="4" w:space="0"/>
            </w:tcBorders>
            <w:vAlign w:val="center"/>
          </w:tcPr>
          <w:p w14:paraId="078E5A95">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vAlign w:val="center"/>
          </w:tcPr>
          <w:p w14:paraId="78C5D942">
            <w:pPr>
              <w:overflowPunct w:val="0"/>
              <w:autoSpaceDE w:val="0"/>
              <w:autoSpaceDN w:val="0"/>
              <w:adjustRightInd w:val="0"/>
              <w:snapToGrid w:val="0"/>
              <w:spacing w:line="320" w:lineRule="exact"/>
              <w:jc w:val="left"/>
              <w:rPr>
                <w:rFonts w:ascii="宋体" w:hAnsi="宋体" w:cs="宋体"/>
                <w:kern w:val="0"/>
                <w:szCs w:val="21"/>
              </w:rPr>
            </w:pPr>
          </w:p>
        </w:tc>
      </w:tr>
      <w:tr w14:paraId="170DFA4C">
        <w:tblPrEx>
          <w:tblCellMar>
            <w:top w:w="0" w:type="dxa"/>
            <w:left w:w="108" w:type="dxa"/>
            <w:bottom w:w="0" w:type="dxa"/>
            <w:right w:w="108" w:type="dxa"/>
          </w:tblCellMar>
        </w:tblPrEx>
        <w:trPr>
          <w:cantSplit/>
          <w:trHeight w:val="1701" w:hRule="exact"/>
          <w:jc w:val="center"/>
        </w:trPr>
        <w:tc>
          <w:tcPr>
            <w:tcW w:w="710" w:type="dxa"/>
            <w:vMerge w:val="continue"/>
            <w:tcBorders>
              <w:left w:val="single" w:color="auto" w:sz="4" w:space="0"/>
              <w:right w:val="single" w:color="auto" w:sz="4" w:space="0"/>
            </w:tcBorders>
            <w:vAlign w:val="center"/>
          </w:tcPr>
          <w:p w14:paraId="38BD7EE0">
            <w:pPr>
              <w:overflowPunct w:val="0"/>
              <w:autoSpaceDE w:val="0"/>
              <w:autoSpaceDN w:val="0"/>
              <w:adjustRightInd w:val="0"/>
              <w:snapToGrid w:val="0"/>
              <w:spacing w:line="320" w:lineRule="exact"/>
              <w:jc w:val="left"/>
              <w:rPr>
                <w:rFonts w:ascii="宋体" w:hAnsi="宋体" w:cs="宋体"/>
                <w:kern w:val="0"/>
                <w:szCs w:val="21"/>
              </w:rPr>
            </w:pPr>
          </w:p>
        </w:tc>
        <w:tc>
          <w:tcPr>
            <w:tcW w:w="708" w:type="dxa"/>
            <w:tcBorders>
              <w:top w:val="single" w:color="auto" w:sz="4" w:space="0"/>
              <w:left w:val="nil"/>
              <w:bottom w:val="single" w:color="auto" w:sz="4" w:space="0"/>
              <w:right w:val="single" w:color="auto" w:sz="4" w:space="0"/>
            </w:tcBorders>
            <w:vAlign w:val="center"/>
          </w:tcPr>
          <w:p w14:paraId="277D7C45">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18</w:t>
            </w:r>
          </w:p>
        </w:tc>
        <w:tc>
          <w:tcPr>
            <w:tcW w:w="3686" w:type="dxa"/>
            <w:tcBorders>
              <w:top w:val="single" w:color="auto" w:sz="4" w:space="0"/>
              <w:left w:val="nil"/>
              <w:bottom w:val="single" w:color="auto" w:sz="4" w:space="0"/>
              <w:right w:val="single" w:color="auto" w:sz="4" w:space="0"/>
            </w:tcBorders>
            <w:vAlign w:val="center"/>
          </w:tcPr>
          <w:p w14:paraId="197BDD82">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开工前未进行安全技术交底（以接受交底的全体技术人员签名为准）而进行施工作业，未按规定为施工人员提供符合国家标准或者行业标准的劳动保护用品。</w:t>
            </w:r>
          </w:p>
        </w:tc>
        <w:tc>
          <w:tcPr>
            <w:tcW w:w="3402" w:type="dxa"/>
            <w:tcBorders>
              <w:top w:val="single" w:color="auto" w:sz="4" w:space="0"/>
              <w:left w:val="nil"/>
              <w:bottom w:val="single" w:color="auto" w:sz="4" w:space="0"/>
              <w:right w:val="single" w:color="auto" w:sz="4" w:space="0"/>
            </w:tcBorders>
            <w:vAlign w:val="center"/>
          </w:tcPr>
          <w:p w14:paraId="3E4E7F70">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vAlign w:val="center"/>
          </w:tcPr>
          <w:p w14:paraId="31FFBC83">
            <w:pPr>
              <w:overflowPunct w:val="0"/>
              <w:autoSpaceDE w:val="0"/>
              <w:autoSpaceDN w:val="0"/>
              <w:adjustRightInd w:val="0"/>
              <w:snapToGrid w:val="0"/>
              <w:spacing w:line="320" w:lineRule="exact"/>
              <w:jc w:val="left"/>
              <w:rPr>
                <w:rFonts w:ascii="宋体" w:hAnsi="宋体" w:cs="宋体"/>
                <w:kern w:val="0"/>
                <w:szCs w:val="21"/>
              </w:rPr>
            </w:pPr>
          </w:p>
        </w:tc>
      </w:tr>
      <w:tr w14:paraId="13B25FA8">
        <w:tblPrEx>
          <w:tblCellMar>
            <w:top w:w="0" w:type="dxa"/>
            <w:left w:w="108" w:type="dxa"/>
            <w:bottom w:w="0" w:type="dxa"/>
            <w:right w:w="108" w:type="dxa"/>
          </w:tblCellMar>
        </w:tblPrEx>
        <w:trPr>
          <w:cantSplit/>
          <w:trHeight w:val="1474" w:hRule="exact"/>
          <w:jc w:val="center"/>
        </w:trPr>
        <w:tc>
          <w:tcPr>
            <w:tcW w:w="710" w:type="dxa"/>
            <w:vMerge w:val="continue"/>
            <w:tcBorders>
              <w:left w:val="single" w:color="auto" w:sz="4" w:space="0"/>
              <w:right w:val="single" w:color="auto" w:sz="4" w:space="0"/>
            </w:tcBorders>
            <w:vAlign w:val="center"/>
          </w:tcPr>
          <w:p w14:paraId="7EEF1BEA">
            <w:pPr>
              <w:overflowPunct w:val="0"/>
              <w:autoSpaceDE w:val="0"/>
              <w:autoSpaceDN w:val="0"/>
              <w:adjustRightInd w:val="0"/>
              <w:snapToGrid w:val="0"/>
              <w:spacing w:line="320" w:lineRule="exact"/>
              <w:jc w:val="left"/>
              <w:rPr>
                <w:rFonts w:ascii="宋体" w:hAnsi="宋体" w:cs="宋体"/>
                <w:kern w:val="0"/>
                <w:szCs w:val="21"/>
              </w:rPr>
            </w:pPr>
          </w:p>
        </w:tc>
        <w:tc>
          <w:tcPr>
            <w:tcW w:w="708" w:type="dxa"/>
            <w:tcBorders>
              <w:top w:val="single" w:color="auto" w:sz="4" w:space="0"/>
              <w:left w:val="nil"/>
              <w:bottom w:val="single" w:color="auto" w:sz="4" w:space="0"/>
              <w:right w:val="single" w:color="auto" w:sz="4" w:space="0"/>
            </w:tcBorders>
            <w:vAlign w:val="center"/>
          </w:tcPr>
          <w:p w14:paraId="004A96AE">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19</w:t>
            </w:r>
          </w:p>
        </w:tc>
        <w:tc>
          <w:tcPr>
            <w:tcW w:w="3686" w:type="dxa"/>
            <w:tcBorders>
              <w:top w:val="single" w:color="auto" w:sz="4" w:space="0"/>
              <w:left w:val="nil"/>
              <w:bottom w:val="single" w:color="auto" w:sz="4" w:space="0"/>
              <w:right w:val="single" w:color="auto" w:sz="4" w:space="0"/>
            </w:tcBorders>
            <w:vAlign w:val="center"/>
          </w:tcPr>
          <w:p w14:paraId="286913B7">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起重机械（汽车起重机、塔式起重机、门式起重机、架桥机）未经具有专业资质的检验检测机构检验检测合格，缺少安全使用证或者安全标志而投入使用。</w:t>
            </w:r>
          </w:p>
        </w:tc>
        <w:tc>
          <w:tcPr>
            <w:tcW w:w="3402" w:type="dxa"/>
            <w:tcBorders>
              <w:top w:val="single" w:color="auto" w:sz="4" w:space="0"/>
              <w:left w:val="nil"/>
              <w:bottom w:val="single" w:color="auto" w:sz="4" w:space="0"/>
              <w:right w:val="single" w:color="auto" w:sz="4" w:space="0"/>
            </w:tcBorders>
            <w:vAlign w:val="center"/>
          </w:tcPr>
          <w:p w14:paraId="72A7A9D4">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vAlign w:val="center"/>
          </w:tcPr>
          <w:p w14:paraId="683E07D7">
            <w:pPr>
              <w:overflowPunct w:val="0"/>
              <w:autoSpaceDE w:val="0"/>
              <w:autoSpaceDN w:val="0"/>
              <w:adjustRightInd w:val="0"/>
              <w:snapToGrid w:val="0"/>
              <w:spacing w:line="320" w:lineRule="exact"/>
              <w:jc w:val="left"/>
              <w:rPr>
                <w:rFonts w:ascii="宋体" w:hAnsi="宋体" w:cs="宋体"/>
                <w:kern w:val="0"/>
                <w:szCs w:val="21"/>
              </w:rPr>
            </w:pPr>
          </w:p>
        </w:tc>
      </w:tr>
      <w:tr w14:paraId="4514D63E">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vAlign w:val="center"/>
          </w:tcPr>
          <w:p w14:paraId="7A05E004">
            <w:pPr>
              <w:overflowPunct w:val="0"/>
              <w:autoSpaceDE w:val="0"/>
              <w:autoSpaceDN w:val="0"/>
              <w:adjustRightInd w:val="0"/>
              <w:snapToGrid w:val="0"/>
              <w:spacing w:line="320" w:lineRule="exact"/>
              <w:rPr>
                <w:rFonts w:ascii="宋体" w:hAnsi="宋体" w:cs="宋体"/>
                <w:b/>
                <w:bCs/>
                <w:kern w:val="0"/>
                <w:szCs w:val="21"/>
              </w:rPr>
            </w:pPr>
          </w:p>
        </w:tc>
        <w:tc>
          <w:tcPr>
            <w:tcW w:w="708" w:type="dxa"/>
            <w:tcBorders>
              <w:top w:val="single" w:color="auto" w:sz="4" w:space="0"/>
              <w:left w:val="nil"/>
              <w:bottom w:val="single" w:color="auto" w:sz="4" w:space="0"/>
              <w:right w:val="single" w:color="auto" w:sz="4" w:space="0"/>
            </w:tcBorders>
            <w:vAlign w:val="center"/>
          </w:tcPr>
          <w:p w14:paraId="7DF8A88F">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20</w:t>
            </w:r>
          </w:p>
        </w:tc>
        <w:tc>
          <w:tcPr>
            <w:tcW w:w="3686" w:type="dxa"/>
            <w:tcBorders>
              <w:top w:val="single" w:color="auto" w:sz="4" w:space="0"/>
              <w:left w:val="nil"/>
              <w:bottom w:val="single" w:color="auto" w:sz="4" w:space="0"/>
              <w:right w:val="single" w:color="auto" w:sz="4" w:space="0"/>
            </w:tcBorders>
            <w:vAlign w:val="center"/>
          </w:tcPr>
          <w:p w14:paraId="237D3798">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起重吊装、爆破作业不设指挥，无联系信号或信号不当，安全技术措施不落实。</w:t>
            </w:r>
          </w:p>
        </w:tc>
        <w:tc>
          <w:tcPr>
            <w:tcW w:w="3402" w:type="dxa"/>
            <w:tcBorders>
              <w:top w:val="single" w:color="auto" w:sz="4" w:space="0"/>
              <w:left w:val="nil"/>
              <w:bottom w:val="single" w:color="auto" w:sz="4" w:space="0"/>
              <w:right w:val="single" w:color="auto" w:sz="4" w:space="0"/>
            </w:tcBorders>
            <w:vAlign w:val="center"/>
          </w:tcPr>
          <w:p w14:paraId="239E943F">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vAlign w:val="center"/>
          </w:tcPr>
          <w:p w14:paraId="130976DF">
            <w:pPr>
              <w:overflowPunct w:val="0"/>
              <w:autoSpaceDE w:val="0"/>
              <w:autoSpaceDN w:val="0"/>
              <w:adjustRightInd w:val="0"/>
              <w:snapToGrid w:val="0"/>
              <w:spacing w:line="320" w:lineRule="exact"/>
              <w:jc w:val="left"/>
              <w:rPr>
                <w:rFonts w:ascii="宋体" w:hAnsi="宋体" w:cs="宋体"/>
                <w:kern w:val="0"/>
                <w:szCs w:val="21"/>
              </w:rPr>
            </w:pPr>
          </w:p>
        </w:tc>
      </w:tr>
      <w:tr w14:paraId="1025E275">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vAlign w:val="center"/>
          </w:tcPr>
          <w:p w14:paraId="2386C9E0">
            <w:pPr>
              <w:overflowPunct w:val="0"/>
              <w:autoSpaceDE w:val="0"/>
              <w:autoSpaceDN w:val="0"/>
              <w:adjustRightInd w:val="0"/>
              <w:snapToGrid w:val="0"/>
              <w:spacing w:line="320" w:lineRule="exact"/>
              <w:jc w:val="left"/>
              <w:rPr>
                <w:rFonts w:ascii="宋体" w:hAnsi="宋体" w:cs="宋体"/>
                <w:kern w:val="0"/>
                <w:szCs w:val="21"/>
              </w:rPr>
            </w:pPr>
          </w:p>
        </w:tc>
        <w:tc>
          <w:tcPr>
            <w:tcW w:w="708" w:type="dxa"/>
            <w:tcBorders>
              <w:top w:val="nil"/>
              <w:left w:val="nil"/>
              <w:bottom w:val="single" w:color="auto" w:sz="4" w:space="0"/>
              <w:right w:val="single" w:color="auto" w:sz="4" w:space="0"/>
            </w:tcBorders>
            <w:vAlign w:val="center"/>
          </w:tcPr>
          <w:p w14:paraId="7353924B">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21</w:t>
            </w:r>
          </w:p>
        </w:tc>
        <w:tc>
          <w:tcPr>
            <w:tcW w:w="3686" w:type="dxa"/>
            <w:tcBorders>
              <w:top w:val="nil"/>
              <w:left w:val="nil"/>
              <w:bottom w:val="single" w:color="auto" w:sz="4" w:space="0"/>
              <w:right w:val="single" w:color="auto" w:sz="4" w:space="0"/>
            </w:tcBorders>
            <w:vAlign w:val="center"/>
          </w:tcPr>
          <w:p w14:paraId="5ECB1090">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雷管和炸药放置在同一容器或者同一辆车内运送。</w:t>
            </w:r>
          </w:p>
        </w:tc>
        <w:tc>
          <w:tcPr>
            <w:tcW w:w="3402" w:type="dxa"/>
            <w:tcBorders>
              <w:top w:val="nil"/>
              <w:left w:val="nil"/>
              <w:bottom w:val="single" w:color="auto" w:sz="4" w:space="0"/>
              <w:right w:val="single" w:color="auto" w:sz="4" w:space="0"/>
            </w:tcBorders>
            <w:vAlign w:val="center"/>
          </w:tcPr>
          <w:p w14:paraId="1EE07CDE">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视情节对施工单位处以1000-5000元违约金；对监理单位监管不力的，处以1000-3000元违约金。</w:t>
            </w:r>
          </w:p>
        </w:tc>
        <w:tc>
          <w:tcPr>
            <w:tcW w:w="850" w:type="dxa"/>
            <w:tcBorders>
              <w:top w:val="nil"/>
              <w:left w:val="nil"/>
              <w:bottom w:val="single" w:color="auto" w:sz="4" w:space="0"/>
              <w:right w:val="single" w:color="auto" w:sz="4" w:space="0"/>
            </w:tcBorders>
            <w:vAlign w:val="center"/>
          </w:tcPr>
          <w:p w14:paraId="04C5CEA9">
            <w:pPr>
              <w:overflowPunct w:val="0"/>
              <w:autoSpaceDE w:val="0"/>
              <w:autoSpaceDN w:val="0"/>
              <w:adjustRightInd w:val="0"/>
              <w:snapToGrid w:val="0"/>
              <w:spacing w:line="320" w:lineRule="exact"/>
              <w:jc w:val="left"/>
              <w:rPr>
                <w:rFonts w:ascii="宋体" w:hAnsi="宋体" w:cs="宋体"/>
                <w:kern w:val="0"/>
                <w:szCs w:val="21"/>
              </w:rPr>
            </w:pPr>
          </w:p>
        </w:tc>
      </w:tr>
      <w:tr w14:paraId="665070A8">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vAlign w:val="center"/>
          </w:tcPr>
          <w:p w14:paraId="720BBCC9">
            <w:pPr>
              <w:overflowPunct w:val="0"/>
              <w:autoSpaceDE w:val="0"/>
              <w:autoSpaceDN w:val="0"/>
              <w:adjustRightInd w:val="0"/>
              <w:snapToGrid w:val="0"/>
              <w:spacing w:line="320" w:lineRule="exact"/>
              <w:jc w:val="left"/>
              <w:rPr>
                <w:rFonts w:ascii="宋体" w:hAnsi="宋体" w:cs="宋体"/>
                <w:kern w:val="0"/>
                <w:szCs w:val="21"/>
              </w:rPr>
            </w:pPr>
          </w:p>
        </w:tc>
        <w:tc>
          <w:tcPr>
            <w:tcW w:w="708" w:type="dxa"/>
            <w:tcBorders>
              <w:top w:val="nil"/>
              <w:left w:val="nil"/>
              <w:bottom w:val="single" w:color="auto" w:sz="4" w:space="0"/>
              <w:right w:val="single" w:color="auto" w:sz="4" w:space="0"/>
            </w:tcBorders>
            <w:vAlign w:val="center"/>
          </w:tcPr>
          <w:p w14:paraId="1F2DA2F7">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22</w:t>
            </w:r>
          </w:p>
        </w:tc>
        <w:tc>
          <w:tcPr>
            <w:tcW w:w="3686" w:type="dxa"/>
            <w:tcBorders>
              <w:top w:val="nil"/>
              <w:left w:val="nil"/>
              <w:bottom w:val="single" w:color="auto" w:sz="4" w:space="0"/>
              <w:right w:val="single" w:color="auto" w:sz="4" w:space="0"/>
            </w:tcBorders>
            <w:vAlign w:val="center"/>
          </w:tcPr>
          <w:p w14:paraId="0B8487AF">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用翻斗车、自卸汽车、拖车、拖拉机、机动三轮车、人力三轮车、自行车、摩托车和皮带运输机运送爆破器材。</w:t>
            </w:r>
          </w:p>
        </w:tc>
        <w:tc>
          <w:tcPr>
            <w:tcW w:w="3402" w:type="dxa"/>
            <w:tcBorders>
              <w:top w:val="nil"/>
              <w:left w:val="nil"/>
              <w:bottom w:val="single" w:color="auto" w:sz="4" w:space="0"/>
              <w:right w:val="single" w:color="auto" w:sz="4" w:space="0"/>
            </w:tcBorders>
            <w:vAlign w:val="center"/>
          </w:tcPr>
          <w:p w14:paraId="6E9BC5FF">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视情节对施工单位处以1000-5000元违约金；对监理单位监管不力的，处以1000-3000元违约金。</w:t>
            </w:r>
          </w:p>
        </w:tc>
        <w:tc>
          <w:tcPr>
            <w:tcW w:w="850" w:type="dxa"/>
            <w:tcBorders>
              <w:top w:val="nil"/>
              <w:left w:val="nil"/>
              <w:bottom w:val="single" w:color="auto" w:sz="4" w:space="0"/>
              <w:right w:val="single" w:color="auto" w:sz="4" w:space="0"/>
            </w:tcBorders>
            <w:vAlign w:val="center"/>
          </w:tcPr>
          <w:p w14:paraId="6A21A6B9">
            <w:pPr>
              <w:overflowPunct w:val="0"/>
              <w:autoSpaceDE w:val="0"/>
              <w:autoSpaceDN w:val="0"/>
              <w:adjustRightInd w:val="0"/>
              <w:snapToGrid w:val="0"/>
              <w:spacing w:line="320" w:lineRule="exact"/>
              <w:jc w:val="left"/>
              <w:rPr>
                <w:rFonts w:ascii="宋体" w:hAnsi="宋体" w:cs="宋体"/>
                <w:kern w:val="0"/>
                <w:szCs w:val="21"/>
              </w:rPr>
            </w:pPr>
          </w:p>
        </w:tc>
      </w:tr>
      <w:tr w14:paraId="66F6273A">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vAlign w:val="center"/>
          </w:tcPr>
          <w:p w14:paraId="04AE16DF">
            <w:pPr>
              <w:overflowPunct w:val="0"/>
              <w:autoSpaceDE w:val="0"/>
              <w:autoSpaceDN w:val="0"/>
              <w:adjustRightInd w:val="0"/>
              <w:snapToGrid w:val="0"/>
              <w:spacing w:line="320" w:lineRule="exact"/>
              <w:jc w:val="left"/>
              <w:rPr>
                <w:rFonts w:ascii="宋体" w:hAnsi="宋体" w:cs="宋体"/>
                <w:kern w:val="0"/>
                <w:szCs w:val="21"/>
              </w:rPr>
            </w:pPr>
          </w:p>
        </w:tc>
        <w:tc>
          <w:tcPr>
            <w:tcW w:w="708" w:type="dxa"/>
            <w:tcBorders>
              <w:top w:val="nil"/>
              <w:left w:val="nil"/>
              <w:bottom w:val="single" w:color="auto" w:sz="4" w:space="0"/>
              <w:right w:val="single" w:color="auto" w:sz="4" w:space="0"/>
            </w:tcBorders>
            <w:vAlign w:val="center"/>
          </w:tcPr>
          <w:p w14:paraId="63C78368">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23</w:t>
            </w:r>
          </w:p>
        </w:tc>
        <w:tc>
          <w:tcPr>
            <w:tcW w:w="3686" w:type="dxa"/>
            <w:tcBorders>
              <w:top w:val="nil"/>
              <w:left w:val="nil"/>
              <w:bottom w:val="single" w:color="auto" w:sz="4" w:space="0"/>
              <w:right w:val="single" w:color="auto" w:sz="4" w:space="0"/>
            </w:tcBorders>
            <w:vAlign w:val="center"/>
          </w:tcPr>
          <w:p w14:paraId="1D2C5723">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爆炸物品出入库台账无记录或记录不全(含签名)、账实不符。</w:t>
            </w:r>
          </w:p>
        </w:tc>
        <w:tc>
          <w:tcPr>
            <w:tcW w:w="3402" w:type="dxa"/>
            <w:tcBorders>
              <w:top w:val="nil"/>
              <w:left w:val="nil"/>
              <w:bottom w:val="single" w:color="auto" w:sz="4" w:space="0"/>
              <w:right w:val="single" w:color="auto" w:sz="4" w:space="0"/>
            </w:tcBorders>
            <w:vAlign w:val="center"/>
          </w:tcPr>
          <w:p w14:paraId="62A735C6">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视情节对施工单位处以1000-5000元违约金；对监理单位监管不力的，处以1000-3000元违约金。</w:t>
            </w:r>
          </w:p>
        </w:tc>
        <w:tc>
          <w:tcPr>
            <w:tcW w:w="850" w:type="dxa"/>
            <w:tcBorders>
              <w:top w:val="nil"/>
              <w:left w:val="nil"/>
              <w:bottom w:val="single" w:color="auto" w:sz="4" w:space="0"/>
              <w:right w:val="single" w:color="auto" w:sz="4" w:space="0"/>
            </w:tcBorders>
            <w:vAlign w:val="center"/>
          </w:tcPr>
          <w:p w14:paraId="349BA60D">
            <w:pPr>
              <w:overflowPunct w:val="0"/>
              <w:autoSpaceDE w:val="0"/>
              <w:autoSpaceDN w:val="0"/>
              <w:adjustRightInd w:val="0"/>
              <w:snapToGrid w:val="0"/>
              <w:spacing w:line="320" w:lineRule="exact"/>
              <w:jc w:val="left"/>
              <w:rPr>
                <w:rFonts w:ascii="宋体" w:hAnsi="宋体" w:cs="宋体"/>
                <w:kern w:val="0"/>
                <w:szCs w:val="21"/>
              </w:rPr>
            </w:pPr>
          </w:p>
        </w:tc>
      </w:tr>
      <w:tr w14:paraId="509CD17B">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vAlign w:val="center"/>
          </w:tcPr>
          <w:p w14:paraId="138C45AA">
            <w:pPr>
              <w:overflowPunct w:val="0"/>
              <w:autoSpaceDE w:val="0"/>
              <w:autoSpaceDN w:val="0"/>
              <w:adjustRightInd w:val="0"/>
              <w:snapToGrid w:val="0"/>
              <w:spacing w:line="320" w:lineRule="exact"/>
              <w:jc w:val="left"/>
              <w:rPr>
                <w:rFonts w:ascii="宋体" w:hAnsi="宋体" w:cs="宋体"/>
                <w:kern w:val="0"/>
                <w:szCs w:val="21"/>
              </w:rPr>
            </w:pPr>
          </w:p>
        </w:tc>
        <w:tc>
          <w:tcPr>
            <w:tcW w:w="708" w:type="dxa"/>
            <w:tcBorders>
              <w:top w:val="nil"/>
              <w:left w:val="nil"/>
              <w:bottom w:val="single" w:color="auto" w:sz="4" w:space="0"/>
              <w:right w:val="single" w:color="auto" w:sz="4" w:space="0"/>
            </w:tcBorders>
            <w:vAlign w:val="center"/>
          </w:tcPr>
          <w:p w14:paraId="1DE55621">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24</w:t>
            </w:r>
          </w:p>
        </w:tc>
        <w:tc>
          <w:tcPr>
            <w:tcW w:w="3686" w:type="dxa"/>
            <w:tcBorders>
              <w:top w:val="nil"/>
              <w:left w:val="nil"/>
              <w:bottom w:val="single" w:color="auto" w:sz="4" w:space="0"/>
              <w:right w:val="single" w:color="auto" w:sz="4" w:space="0"/>
            </w:tcBorders>
            <w:vAlign w:val="center"/>
          </w:tcPr>
          <w:p w14:paraId="380953B6">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通风机停止时，隧道洞内有人作业或逗留。</w:t>
            </w:r>
          </w:p>
        </w:tc>
        <w:tc>
          <w:tcPr>
            <w:tcW w:w="3402" w:type="dxa"/>
            <w:tcBorders>
              <w:top w:val="nil"/>
              <w:left w:val="nil"/>
              <w:bottom w:val="single" w:color="auto" w:sz="4" w:space="0"/>
              <w:right w:val="single" w:color="auto" w:sz="4" w:space="0"/>
            </w:tcBorders>
            <w:vAlign w:val="center"/>
          </w:tcPr>
          <w:p w14:paraId="44C0EA6E">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视情节对施工单位处以1000-5000元违约金；对监理单位监管不力的，处以1000-3000元违约金。</w:t>
            </w:r>
          </w:p>
        </w:tc>
        <w:tc>
          <w:tcPr>
            <w:tcW w:w="850" w:type="dxa"/>
            <w:tcBorders>
              <w:top w:val="nil"/>
              <w:left w:val="nil"/>
              <w:bottom w:val="single" w:color="auto" w:sz="4" w:space="0"/>
              <w:right w:val="single" w:color="auto" w:sz="4" w:space="0"/>
            </w:tcBorders>
            <w:vAlign w:val="center"/>
          </w:tcPr>
          <w:p w14:paraId="25FA3110">
            <w:pPr>
              <w:overflowPunct w:val="0"/>
              <w:autoSpaceDE w:val="0"/>
              <w:autoSpaceDN w:val="0"/>
              <w:adjustRightInd w:val="0"/>
              <w:snapToGrid w:val="0"/>
              <w:spacing w:line="320" w:lineRule="exact"/>
              <w:jc w:val="left"/>
              <w:rPr>
                <w:rFonts w:ascii="宋体" w:hAnsi="宋体" w:cs="宋体"/>
                <w:kern w:val="0"/>
                <w:szCs w:val="21"/>
              </w:rPr>
            </w:pPr>
          </w:p>
        </w:tc>
      </w:tr>
      <w:tr w14:paraId="12C96142">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bottom w:val="single" w:color="auto" w:sz="4" w:space="0"/>
              <w:right w:val="single" w:color="auto" w:sz="4" w:space="0"/>
            </w:tcBorders>
            <w:vAlign w:val="center"/>
          </w:tcPr>
          <w:p w14:paraId="0B5A5503">
            <w:pPr>
              <w:overflowPunct w:val="0"/>
              <w:autoSpaceDE w:val="0"/>
              <w:autoSpaceDN w:val="0"/>
              <w:adjustRightInd w:val="0"/>
              <w:snapToGrid w:val="0"/>
              <w:spacing w:line="320" w:lineRule="exact"/>
              <w:jc w:val="left"/>
              <w:rPr>
                <w:rFonts w:ascii="宋体" w:hAnsi="宋体" w:cs="宋体"/>
                <w:kern w:val="0"/>
                <w:szCs w:val="21"/>
              </w:rPr>
            </w:pPr>
          </w:p>
        </w:tc>
        <w:tc>
          <w:tcPr>
            <w:tcW w:w="708" w:type="dxa"/>
            <w:tcBorders>
              <w:top w:val="nil"/>
              <w:left w:val="nil"/>
              <w:bottom w:val="single" w:color="auto" w:sz="4" w:space="0"/>
              <w:right w:val="single" w:color="auto" w:sz="4" w:space="0"/>
            </w:tcBorders>
            <w:vAlign w:val="center"/>
          </w:tcPr>
          <w:p w14:paraId="51802C4C">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25</w:t>
            </w:r>
          </w:p>
        </w:tc>
        <w:tc>
          <w:tcPr>
            <w:tcW w:w="3686" w:type="dxa"/>
            <w:tcBorders>
              <w:top w:val="nil"/>
              <w:left w:val="nil"/>
              <w:bottom w:val="single" w:color="auto" w:sz="4" w:space="0"/>
              <w:right w:val="single" w:color="auto" w:sz="4" w:space="0"/>
            </w:tcBorders>
            <w:vAlign w:val="center"/>
          </w:tcPr>
          <w:p w14:paraId="62721AE8">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隧道洞内、油库区、炸药库区、氧气库、乙炔库、发(变)电房内明火作业或取暖或发现吸烟者</w:t>
            </w:r>
          </w:p>
        </w:tc>
        <w:tc>
          <w:tcPr>
            <w:tcW w:w="3402" w:type="dxa"/>
            <w:tcBorders>
              <w:top w:val="nil"/>
              <w:left w:val="nil"/>
              <w:bottom w:val="single" w:color="auto" w:sz="4" w:space="0"/>
              <w:right w:val="single" w:color="auto" w:sz="4" w:space="0"/>
            </w:tcBorders>
            <w:vAlign w:val="center"/>
          </w:tcPr>
          <w:p w14:paraId="1D89757E">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视情节对施工单位处以1000-5000元违约金；对监理单位监管不力的，处以1000-3000元违约金。</w:t>
            </w:r>
          </w:p>
        </w:tc>
        <w:tc>
          <w:tcPr>
            <w:tcW w:w="850" w:type="dxa"/>
            <w:tcBorders>
              <w:top w:val="nil"/>
              <w:left w:val="nil"/>
              <w:bottom w:val="single" w:color="auto" w:sz="4" w:space="0"/>
              <w:right w:val="single" w:color="auto" w:sz="4" w:space="0"/>
            </w:tcBorders>
            <w:vAlign w:val="center"/>
          </w:tcPr>
          <w:p w14:paraId="28307C04">
            <w:pPr>
              <w:overflowPunct w:val="0"/>
              <w:autoSpaceDE w:val="0"/>
              <w:autoSpaceDN w:val="0"/>
              <w:adjustRightInd w:val="0"/>
              <w:snapToGrid w:val="0"/>
              <w:spacing w:line="320" w:lineRule="exact"/>
              <w:jc w:val="left"/>
              <w:rPr>
                <w:rFonts w:ascii="宋体" w:hAnsi="宋体" w:cs="宋体"/>
                <w:kern w:val="0"/>
                <w:szCs w:val="21"/>
              </w:rPr>
            </w:pPr>
          </w:p>
        </w:tc>
      </w:tr>
      <w:tr w14:paraId="45EDFE48">
        <w:tblPrEx>
          <w:tblCellMar>
            <w:top w:w="0" w:type="dxa"/>
            <w:left w:w="108" w:type="dxa"/>
            <w:bottom w:w="0" w:type="dxa"/>
            <w:right w:w="108" w:type="dxa"/>
          </w:tblCellMar>
        </w:tblPrEx>
        <w:trPr>
          <w:cantSplit/>
          <w:trHeight w:val="1361" w:hRule="exact"/>
          <w:jc w:val="center"/>
        </w:trPr>
        <w:tc>
          <w:tcPr>
            <w:tcW w:w="710" w:type="dxa"/>
            <w:vMerge w:val="restart"/>
            <w:tcBorders>
              <w:top w:val="single" w:color="auto" w:sz="4" w:space="0"/>
              <w:left w:val="single" w:color="auto" w:sz="4" w:space="0"/>
              <w:bottom w:val="single" w:color="auto" w:sz="4" w:space="0"/>
              <w:right w:val="single" w:color="auto" w:sz="4" w:space="0"/>
            </w:tcBorders>
            <w:vAlign w:val="center"/>
          </w:tcPr>
          <w:p w14:paraId="5ADAEC06">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b/>
                <w:bCs/>
                <w:kern w:val="0"/>
                <w:szCs w:val="21"/>
              </w:rPr>
              <w:t>违规违章处罚办法</w:t>
            </w:r>
          </w:p>
        </w:tc>
        <w:tc>
          <w:tcPr>
            <w:tcW w:w="708" w:type="dxa"/>
            <w:tcBorders>
              <w:top w:val="single" w:color="auto" w:sz="4" w:space="0"/>
              <w:left w:val="nil"/>
              <w:bottom w:val="single" w:color="auto" w:sz="4" w:space="0"/>
              <w:right w:val="single" w:color="auto" w:sz="4" w:space="0"/>
            </w:tcBorders>
            <w:vAlign w:val="center"/>
          </w:tcPr>
          <w:p w14:paraId="1417B51C">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26</w:t>
            </w:r>
          </w:p>
        </w:tc>
        <w:tc>
          <w:tcPr>
            <w:tcW w:w="3686" w:type="dxa"/>
            <w:tcBorders>
              <w:top w:val="single" w:color="auto" w:sz="4" w:space="0"/>
              <w:left w:val="nil"/>
              <w:bottom w:val="single" w:color="auto" w:sz="4" w:space="0"/>
              <w:right w:val="single" w:color="auto" w:sz="4" w:space="0"/>
            </w:tcBorders>
            <w:vAlign w:val="center"/>
          </w:tcPr>
          <w:p w14:paraId="0B2B2933">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随意排放废油、废水、废气、废物、泥浆，乱倒生活垃圾、建筑垃圾，对环境造成不良影响，不按指定位置取土、弃土。</w:t>
            </w:r>
          </w:p>
        </w:tc>
        <w:tc>
          <w:tcPr>
            <w:tcW w:w="3402" w:type="dxa"/>
            <w:tcBorders>
              <w:top w:val="single" w:color="auto" w:sz="4" w:space="0"/>
              <w:left w:val="nil"/>
              <w:bottom w:val="single" w:color="auto" w:sz="4" w:space="0"/>
              <w:right w:val="single" w:color="auto" w:sz="4" w:space="0"/>
            </w:tcBorders>
            <w:vAlign w:val="center"/>
          </w:tcPr>
          <w:p w14:paraId="45F57D38">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vAlign w:val="center"/>
          </w:tcPr>
          <w:p w14:paraId="5D9711AF">
            <w:pPr>
              <w:overflowPunct w:val="0"/>
              <w:autoSpaceDE w:val="0"/>
              <w:autoSpaceDN w:val="0"/>
              <w:adjustRightInd w:val="0"/>
              <w:snapToGrid w:val="0"/>
              <w:spacing w:line="320" w:lineRule="exact"/>
              <w:jc w:val="left"/>
              <w:rPr>
                <w:rFonts w:ascii="宋体" w:hAnsi="宋体" w:cs="宋体"/>
                <w:kern w:val="0"/>
                <w:szCs w:val="21"/>
              </w:rPr>
            </w:pPr>
          </w:p>
        </w:tc>
      </w:tr>
      <w:tr w14:paraId="2159CDD2">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7D521F12">
            <w:pPr>
              <w:overflowPunct w:val="0"/>
              <w:autoSpaceDE w:val="0"/>
              <w:autoSpaceDN w:val="0"/>
              <w:adjustRightInd w:val="0"/>
              <w:snapToGrid w:val="0"/>
              <w:spacing w:line="320" w:lineRule="exact"/>
              <w:rPr>
                <w:rFonts w:ascii="宋体" w:hAnsi="宋体" w:cs="宋体"/>
                <w:kern w:val="0"/>
                <w:szCs w:val="21"/>
              </w:rPr>
            </w:pPr>
          </w:p>
        </w:tc>
        <w:tc>
          <w:tcPr>
            <w:tcW w:w="708" w:type="dxa"/>
            <w:tcBorders>
              <w:top w:val="single" w:color="auto" w:sz="4" w:space="0"/>
              <w:left w:val="nil"/>
              <w:bottom w:val="single" w:color="auto" w:sz="4" w:space="0"/>
              <w:right w:val="single" w:color="auto" w:sz="4" w:space="0"/>
            </w:tcBorders>
            <w:vAlign w:val="center"/>
          </w:tcPr>
          <w:p w14:paraId="57BA2B8B">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27</w:t>
            </w:r>
          </w:p>
        </w:tc>
        <w:tc>
          <w:tcPr>
            <w:tcW w:w="3686" w:type="dxa"/>
            <w:tcBorders>
              <w:top w:val="single" w:color="auto" w:sz="4" w:space="0"/>
              <w:left w:val="nil"/>
              <w:bottom w:val="single" w:color="auto" w:sz="4" w:space="0"/>
              <w:right w:val="single" w:color="auto" w:sz="4" w:space="0"/>
            </w:tcBorders>
            <w:vAlign w:val="center"/>
          </w:tcPr>
          <w:p w14:paraId="27E617A7">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施工区域内，因管理不善发生较严重的打架斗殴或食品卫生安全事件。</w:t>
            </w:r>
          </w:p>
        </w:tc>
        <w:tc>
          <w:tcPr>
            <w:tcW w:w="3402" w:type="dxa"/>
            <w:tcBorders>
              <w:top w:val="single" w:color="auto" w:sz="4" w:space="0"/>
              <w:left w:val="nil"/>
              <w:bottom w:val="single" w:color="auto" w:sz="4" w:space="0"/>
              <w:right w:val="single" w:color="auto" w:sz="4" w:space="0"/>
            </w:tcBorders>
            <w:vAlign w:val="center"/>
          </w:tcPr>
          <w:p w14:paraId="07431470">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vAlign w:val="center"/>
          </w:tcPr>
          <w:p w14:paraId="2B303905">
            <w:pPr>
              <w:overflowPunct w:val="0"/>
              <w:autoSpaceDE w:val="0"/>
              <w:autoSpaceDN w:val="0"/>
              <w:adjustRightInd w:val="0"/>
              <w:snapToGrid w:val="0"/>
              <w:spacing w:line="320" w:lineRule="exact"/>
              <w:jc w:val="left"/>
              <w:rPr>
                <w:rFonts w:ascii="宋体" w:hAnsi="宋体" w:cs="宋体"/>
                <w:kern w:val="0"/>
                <w:szCs w:val="21"/>
              </w:rPr>
            </w:pPr>
          </w:p>
        </w:tc>
      </w:tr>
      <w:tr w14:paraId="7C1526E4">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48106A02">
            <w:pPr>
              <w:overflowPunct w:val="0"/>
              <w:autoSpaceDE w:val="0"/>
              <w:autoSpaceDN w:val="0"/>
              <w:adjustRightInd w:val="0"/>
              <w:snapToGrid w:val="0"/>
              <w:spacing w:line="320" w:lineRule="exact"/>
              <w:rPr>
                <w:rFonts w:ascii="宋体" w:hAnsi="宋体" w:cs="宋体"/>
                <w:kern w:val="0"/>
                <w:szCs w:val="21"/>
              </w:rPr>
            </w:pPr>
          </w:p>
        </w:tc>
        <w:tc>
          <w:tcPr>
            <w:tcW w:w="708" w:type="dxa"/>
            <w:tcBorders>
              <w:top w:val="single" w:color="auto" w:sz="4" w:space="0"/>
              <w:left w:val="nil"/>
              <w:bottom w:val="single" w:color="auto" w:sz="4" w:space="0"/>
              <w:right w:val="single" w:color="auto" w:sz="4" w:space="0"/>
            </w:tcBorders>
            <w:vAlign w:val="center"/>
          </w:tcPr>
          <w:p w14:paraId="713C71CE">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28</w:t>
            </w:r>
          </w:p>
        </w:tc>
        <w:tc>
          <w:tcPr>
            <w:tcW w:w="3686" w:type="dxa"/>
            <w:tcBorders>
              <w:top w:val="single" w:color="auto" w:sz="4" w:space="0"/>
              <w:left w:val="nil"/>
              <w:bottom w:val="single" w:color="auto" w:sz="4" w:space="0"/>
              <w:right w:val="single" w:color="auto" w:sz="4" w:space="0"/>
            </w:tcBorders>
            <w:vAlign w:val="center"/>
          </w:tcPr>
          <w:p w14:paraId="0D0C406B">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施工车辆通行道路(含路基)未采取防止扬尘措施。</w:t>
            </w:r>
          </w:p>
        </w:tc>
        <w:tc>
          <w:tcPr>
            <w:tcW w:w="3402" w:type="dxa"/>
            <w:tcBorders>
              <w:top w:val="single" w:color="auto" w:sz="4" w:space="0"/>
              <w:left w:val="nil"/>
              <w:bottom w:val="single" w:color="auto" w:sz="4" w:space="0"/>
              <w:right w:val="single" w:color="auto" w:sz="4" w:space="0"/>
            </w:tcBorders>
            <w:vAlign w:val="center"/>
          </w:tcPr>
          <w:p w14:paraId="3D415D5E">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vAlign w:val="center"/>
          </w:tcPr>
          <w:p w14:paraId="565EF7EA">
            <w:pPr>
              <w:overflowPunct w:val="0"/>
              <w:autoSpaceDE w:val="0"/>
              <w:autoSpaceDN w:val="0"/>
              <w:adjustRightInd w:val="0"/>
              <w:snapToGrid w:val="0"/>
              <w:spacing w:line="320" w:lineRule="exact"/>
              <w:jc w:val="left"/>
              <w:rPr>
                <w:rFonts w:ascii="宋体" w:hAnsi="宋体" w:cs="宋体"/>
                <w:kern w:val="0"/>
                <w:szCs w:val="21"/>
              </w:rPr>
            </w:pPr>
          </w:p>
        </w:tc>
      </w:tr>
      <w:tr w14:paraId="08F12A9D">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1DB2C2B5">
            <w:pPr>
              <w:overflowPunct w:val="0"/>
              <w:autoSpaceDE w:val="0"/>
              <w:autoSpaceDN w:val="0"/>
              <w:adjustRightInd w:val="0"/>
              <w:snapToGrid w:val="0"/>
              <w:spacing w:line="320" w:lineRule="exact"/>
              <w:rPr>
                <w:rFonts w:ascii="宋体" w:hAnsi="宋体" w:cs="宋体"/>
                <w:b/>
                <w:bCs/>
                <w:kern w:val="0"/>
                <w:szCs w:val="21"/>
              </w:rPr>
            </w:pPr>
          </w:p>
        </w:tc>
        <w:tc>
          <w:tcPr>
            <w:tcW w:w="708" w:type="dxa"/>
            <w:tcBorders>
              <w:top w:val="single" w:color="auto" w:sz="4" w:space="0"/>
              <w:left w:val="nil"/>
              <w:bottom w:val="single" w:color="auto" w:sz="4" w:space="0"/>
              <w:right w:val="single" w:color="auto" w:sz="4" w:space="0"/>
            </w:tcBorders>
            <w:vAlign w:val="center"/>
          </w:tcPr>
          <w:p w14:paraId="35C94911">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29</w:t>
            </w:r>
          </w:p>
        </w:tc>
        <w:tc>
          <w:tcPr>
            <w:tcW w:w="3686" w:type="dxa"/>
            <w:tcBorders>
              <w:top w:val="single" w:color="auto" w:sz="4" w:space="0"/>
              <w:left w:val="nil"/>
              <w:bottom w:val="single" w:color="auto" w:sz="4" w:space="0"/>
              <w:right w:val="single" w:color="auto" w:sz="4" w:space="0"/>
            </w:tcBorders>
            <w:vAlign w:val="center"/>
          </w:tcPr>
          <w:p w14:paraId="678B892A">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发生因工程施工造成对当地村民生产生活产生不良影响的举报事件(含口头举报)，经警告不改的。</w:t>
            </w:r>
          </w:p>
        </w:tc>
        <w:tc>
          <w:tcPr>
            <w:tcW w:w="3402" w:type="dxa"/>
            <w:tcBorders>
              <w:top w:val="single" w:color="auto" w:sz="4" w:space="0"/>
              <w:left w:val="nil"/>
              <w:bottom w:val="single" w:color="auto" w:sz="4" w:space="0"/>
              <w:right w:val="single" w:color="auto" w:sz="4" w:space="0"/>
            </w:tcBorders>
            <w:vAlign w:val="center"/>
          </w:tcPr>
          <w:p w14:paraId="1CA2BF88">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vAlign w:val="center"/>
          </w:tcPr>
          <w:p w14:paraId="7F9FD8F1">
            <w:pPr>
              <w:overflowPunct w:val="0"/>
              <w:autoSpaceDE w:val="0"/>
              <w:autoSpaceDN w:val="0"/>
              <w:adjustRightInd w:val="0"/>
              <w:snapToGrid w:val="0"/>
              <w:spacing w:line="320" w:lineRule="exact"/>
              <w:jc w:val="left"/>
              <w:rPr>
                <w:rFonts w:ascii="宋体" w:hAnsi="宋体" w:cs="宋体"/>
                <w:kern w:val="0"/>
                <w:szCs w:val="21"/>
              </w:rPr>
            </w:pPr>
          </w:p>
        </w:tc>
      </w:tr>
      <w:tr w14:paraId="42E389C1">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6076B0E6">
            <w:pPr>
              <w:overflowPunct w:val="0"/>
              <w:autoSpaceDE w:val="0"/>
              <w:autoSpaceDN w:val="0"/>
              <w:adjustRightInd w:val="0"/>
              <w:snapToGrid w:val="0"/>
              <w:spacing w:line="320" w:lineRule="exact"/>
              <w:jc w:val="left"/>
              <w:rPr>
                <w:rFonts w:ascii="宋体" w:hAnsi="宋体" w:cs="宋体"/>
                <w:kern w:val="0"/>
                <w:szCs w:val="21"/>
              </w:rPr>
            </w:pPr>
          </w:p>
        </w:tc>
        <w:tc>
          <w:tcPr>
            <w:tcW w:w="708" w:type="dxa"/>
            <w:tcBorders>
              <w:top w:val="single" w:color="auto" w:sz="4" w:space="0"/>
              <w:left w:val="nil"/>
              <w:bottom w:val="single" w:color="auto" w:sz="4" w:space="0"/>
              <w:right w:val="single" w:color="auto" w:sz="4" w:space="0"/>
            </w:tcBorders>
            <w:vAlign w:val="center"/>
          </w:tcPr>
          <w:p w14:paraId="49BAADC8">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30</w:t>
            </w:r>
          </w:p>
        </w:tc>
        <w:tc>
          <w:tcPr>
            <w:tcW w:w="3686" w:type="dxa"/>
            <w:tcBorders>
              <w:top w:val="single" w:color="auto" w:sz="4" w:space="0"/>
              <w:left w:val="nil"/>
              <w:bottom w:val="single" w:color="auto" w:sz="4" w:space="0"/>
              <w:right w:val="single" w:color="auto" w:sz="4" w:space="0"/>
            </w:tcBorders>
            <w:vAlign w:val="center"/>
          </w:tcPr>
          <w:p w14:paraId="1A843E3B">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对公司和主管部门下发的“安全整改通知单”，不按要求限期整改、借故拖延或不服从管理。</w:t>
            </w:r>
          </w:p>
        </w:tc>
        <w:tc>
          <w:tcPr>
            <w:tcW w:w="3402" w:type="dxa"/>
            <w:tcBorders>
              <w:top w:val="single" w:color="auto" w:sz="4" w:space="0"/>
              <w:left w:val="nil"/>
              <w:bottom w:val="single" w:color="auto" w:sz="4" w:space="0"/>
              <w:right w:val="single" w:color="auto" w:sz="4" w:space="0"/>
            </w:tcBorders>
            <w:vAlign w:val="center"/>
          </w:tcPr>
          <w:p w14:paraId="075B8AB5">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vAlign w:val="center"/>
          </w:tcPr>
          <w:p w14:paraId="58FA5FC5">
            <w:pPr>
              <w:overflowPunct w:val="0"/>
              <w:autoSpaceDE w:val="0"/>
              <w:autoSpaceDN w:val="0"/>
              <w:adjustRightInd w:val="0"/>
              <w:snapToGrid w:val="0"/>
              <w:spacing w:line="320" w:lineRule="exact"/>
              <w:jc w:val="left"/>
              <w:rPr>
                <w:rFonts w:ascii="宋体" w:hAnsi="宋体" w:cs="宋体"/>
                <w:kern w:val="0"/>
                <w:szCs w:val="21"/>
              </w:rPr>
            </w:pPr>
          </w:p>
        </w:tc>
      </w:tr>
      <w:tr w14:paraId="0695B333">
        <w:tblPrEx>
          <w:tblCellMar>
            <w:top w:w="0" w:type="dxa"/>
            <w:left w:w="108" w:type="dxa"/>
            <w:bottom w:w="0" w:type="dxa"/>
            <w:right w:w="108" w:type="dxa"/>
          </w:tblCellMar>
        </w:tblPrEx>
        <w:trPr>
          <w:cantSplit/>
          <w:trHeight w:val="1361"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24C1DDA6">
            <w:pPr>
              <w:overflowPunct w:val="0"/>
              <w:autoSpaceDE w:val="0"/>
              <w:autoSpaceDN w:val="0"/>
              <w:adjustRightInd w:val="0"/>
              <w:snapToGrid w:val="0"/>
              <w:spacing w:line="320" w:lineRule="exact"/>
              <w:jc w:val="left"/>
              <w:rPr>
                <w:rFonts w:ascii="宋体" w:hAnsi="宋体" w:cs="宋体"/>
                <w:kern w:val="0"/>
                <w:szCs w:val="21"/>
              </w:rPr>
            </w:pPr>
          </w:p>
        </w:tc>
        <w:tc>
          <w:tcPr>
            <w:tcW w:w="708" w:type="dxa"/>
            <w:tcBorders>
              <w:top w:val="single" w:color="auto" w:sz="4" w:space="0"/>
              <w:left w:val="nil"/>
              <w:bottom w:val="single" w:color="auto" w:sz="4" w:space="0"/>
              <w:right w:val="single" w:color="auto" w:sz="4" w:space="0"/>
            </w:tcBorders>
            <w:vAlign w:val="center"/>
          </w:tcPr>
          <w:p w14:paraId="3E9E6841">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31</w:t>
            </w:r>
          </w:p>
        </w:tc>
        <w:tc>
          <w:tcPr>
            <w:tcW w:w="3686" w:type="dxa"/>
            <w:tcBorders>
              <w:top w:val="single" w:color="auto" w:sz="4" w:space="0"/>
              <w:left w:val="nil"/>
              <w:bottom w:val="single" w:color="auto" w:sz="4" w:space="0"/>
              <w:right w:val="single" w:color="auto" w:sz="4" w:space="0"/>
            </w:tcBorders>
            <w:vAlign w:val="center"/>
          </w:tcPr>
          <w:p w14:paraId="03FA7ACE">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人工挖孔桩无专项安全技术措施方案，孔内无通风装置、无低压照明、孔洞周边无有效防护措施、无作业人员上下通道。</w:t>
            </w:r>
          </w:p>
        </w:tc>
        <w:tc>
          <w:tcPr>
            <w:tcW w:w="3402" w:type="dxa"/>
            <w:tcBorders>
              <w:top w:val="single" w:color="auto" w:sz="4" w:space="0"/>
              <w:left w:val="nil"/>
              <w:bottom w:val="single" w:color="auto" w:sz="4" w:space="0"/>
              <w:right w:val="single" w:color="auto" w:sz="4" w:space="0"/>
            </w:tcBorders>
            <w:vAlign w:val="center"/>
          </w:tcPr>
          <w:p w14:paraId="7DE503CC">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vAlign w:val="center"/>
          </w:tcPr>
          <w:p w14:paraId="037084ED">
            <w:pPr>
              <w:overflowPunct w:val="0"/>
              <w:autoSpaceDE w:val="0"/>
              <w:autoSpaceDN w:val="0"/>
              <w:adjustRightInd w:val="0"/>
              <w:snapToGrid w:val="0"/>
              <w:spacing w:line="320" w:lineRule="exact"/>
              <w:jc w:val="left"/>
              <w:rPr>
                <w:rFonts w:ascii="宋体" w:hAnsi="宋体" w:cs="宋体"/>
                <w:kern w:val="0"/>
                <w:szCs w:val="21"/>
              </w:rPr>
            </w:pPr>
          </w:p>
        </w:tc>
      </w:tr>
      <w:tr w14:paraId="4202E5CE">
        <w:tblPrEx>
          <w:tblCellMar>
            <w:top w:w="0" w:type="dxa"/>
            <w:left w:w="108" w:type="dxa"/>
            <w:bottom w:w="0" w:type="dxa"/>
            <w:right w:w="108" w:type="dxa"/>
          </w:tblCellMar>
        </w:tblPrEx>
        <w:trPr>
          <w:cantSplit/>
          <w:trHeight w:val="1361"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26ADF468">
            <w:pPr>
              <w:overflowPunct w:val="0"/>
              <w:autoSpaceDE w:val="0"/>
              <w:autoSpaceDN w:val="0"/>
              <w:adjustRightInd w:val="0"/>
              <w:snapToGrid w:val="0"/>
              <w:spacing w:line="320" w:lineRule="exact"/>
              <w:jc w:val="left"/>
              <w:rPr>
                <w:rFonts w:ascii="宋体" w:hAnsi="宋体" w:cs="宋体"/>
                <w:kern w:val="0"/>
                <w:szCs w:val="21"/>
              </w:rPr>
            </w:pPr>
          </w:p>
        </w:tc>
        <w:tc>
          <w:tcPr>
            <w:tcW w:w="708" w:type="dxa"/>
            <w:tcBorders>
              <w:top w:val="single" w:color="auto" w:sz="4" w:space="0"/>
              <w:left w:val="nil"/>
              <w:bottom w:val="single" w:color="auto" w:sz="4" w:space="0"/>
              <w:right w:val="single" w:color="auto" w:sz="4" w:space="0"/>
            </w:tcBorders>
            <w:vAlign w:val="center"/>
          </w:tcPr>
          <w:p w14:paraId="099AB42A">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32</w:t>
            </w:r>
          </w:p>
        </w:tc>
        <w:tc>
          <w:tcPr>
            <w:tcW w:w="3686" w:type="dxa"/>
            <w:tcBorders>
              <w:top w:val="single" w:color="auto" w:sz="4" w:space="0"/>
              <w:left w:val="nil"/>
              <w:bottom w:val="single" w:color="auto" w:sz="4" w:space="0"/>
              <w:right w:val="single" w:color="auto" w:sz="4" w:space="0"/>
            </w:tcBorders>
            <w:vAlign w:val="center"/>
          </w:tcPr>
          <w:p w14:paraId="728AD883">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工地上较高的建(构)筑物(如水泥罐)、炸药库、油库、发(变)电房、塔式起重机、门式起重机未按规定装设有效避雷装置。</w:t>
            </w:r>
          </w:p>
        </w:tc>
        <w:tc>
          <w:tcPr>
            <w:tcW w:w="3402" w:type="dxa"/>
            <w:tcBorders>
              <w:top w:val="single" w:color="auto" w:sz="4" w:space="0"/>
              <w:left w:val="nil"/>
              <w:bottom w:val="single" w:color="auto" w:sz="4" w:space="0"/>
              <w:right w:val="single" w:color="auto" w:sz="4" w:space="0"/>
            </w:tcBorders>
            <w:vAlign w:val="center"/>
          </w:tcPr>
          <w:p w14:paraId="6FBD96AF">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vAlign w:val="center"/>
          </w:tcPr>
          <w:p w14:paraId="711CD861">
            <w:pPr>
              <w:overflowPunct w:val="0"/>
              <w:autoSpaceDE w:val="0"/>
              <w:autoSpaceDN w:val="0"/>
              <w:adjustRightInd w:val="0"/>
              <w:snapToGrid w:val="0"/>
              <w:spacing w:line="320" w:lineRule="exact"/>
              <w:jc w:val="left"/>
              <w:rPr>
                <w:rFonts w:ascii="宋体" w:hAnsi="宋体" w:cs="宋体"/>
                <w:kern w:val="0"/>
                <w:szCs w:val="21"/>
              </w:rPr>
            </w:pPr>
          </w:p>
        </w:tc>
      </w:tr>
      <w:tr w14:paraId="42607A78">
        <w:tblPrEx>
          <w:tblCellMar>
            <w:top w:w="0" w:type="dxa"/>
            <w:left w:w="108" w:type="dxa"/>
            <w:bottom w:w="0" w:type="dxa"/>
            <w:right w:w="108" w:type="dxa"/>
          </w:tblCellMar>
        </w:tblPrEx>
        <w:trPr>
          <w:cantSplit/>
          <w:trHeight w:val="1361"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278BB048">
            <w:pPr>
              <w:overflowPunct w:val="0"/>
              <w:autoSpaceDE w:val="0"/>
              <w:autoSpaceDN w:val="0"/>
              <w:adjustRightInd w:val="0"/>
              <w:snapToGrid w:val="0"/>
              <w:spacing w:line="320" w:lineRule="exact"/>
              <w:jc w:val="left"/>
              <w:rPr>
                <w:rFonts w:ascii="宋体" w:hAnsi="宋体" w:cs="宋体"/>
                <w:kern w:val="0"/>
                <w:szCs w:val="21"/>
              </w:rPr>
            </w:pPr>
          </w:p>
        </w:tc>
        <w:tc>
          <w:tcPr>
            <w:tcW w:w="708" w:type="dxa"/>
            <w:tcBorders>
              <w:top w:val="single" w:color="auto" w:sz="4" w:space="0"/>
              <w:left w:val="nil"/>
              <w:bottom w:val="single" w:color="auto" w:sz="4" w:space="0"/>
              <w:right w:val="single" w:color="auto" w:sz="4" w:space="0"/>
            </w:tcBorders>
            <w:vAlign w:val="center"/>
          </w:tcPr>
          <w:p w14:paraId="156728CE">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33</w:t>
            </w:r>
          </w:p>
        </w:tc>
        <w:tc>
          <w:tcPr>
            <w:tcW w:w="3686" w:type="dxa"/>
            <w:tcBorders>
              <w:top w:val="single" w:color="auto" w:sz="4" w:space="0"/>
              <w:left w:val="nil"/>
              <w:bottom w:val="single" w:color="auto" w:sz="4" w:space="0"/>
              <w:right w:val="single" w:color="auto" w:sz="4" w:space="0"/>
            </w:tcBorders>
            <w:vAlign w:val="center"/>
          </w:tcPr>
          <w:p w14:paraId="401D6258">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油库区、炸药库区、氧气库、乙炔库、发(变)电房、检修车间、仓库、生活区(职工宿舍)等未按规定配置有效消防器材。</w:t>
            </w:r>
          </w:p>
        </w:tc>
        <w:tc>
          <w:tcPr>
            <w:tcW w:w="3402" w:type="dxa"/>
            <w:tcBorders>
              <w:top w:val="single" w:color="auto" w:sz="4" w:space="0"/>
              <w:left w:val="nil"/>
              <w:bottom w:val="single" w:color="auto" w:sz="4" w:space="0"/>
              <w:right w:val="single" w:color="auto" w:sz="4" w:space="0"/>
            </w:tcBorders>
            <w:vAlign w:val="center"/>
          </w:tcPr>
          <w:p w14:paraId="0BDF639B">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vAlign w:val="center"/>
          </w:tcPr>
          <w:p w14:paraId="1B98428F">
            <w:pPr>
              <w:overflowPunct w:val="0"/>
              <w:autoSpaceDE w:val="0"/>
              <w:autoSpaceDN w:val="0"/>
              <w:adjustRightInd w:val="0"/>
              <w:snapToGrid w:val="0"/>
              <w:spacing w:line="320" w:lineRule="exact"/>
              <w:jc w:val="left"/>
              <w:rPr>
                <w:rFonts w:ascii="宋体" w:hAnsi="宋体" w:cs="宋体"/>
                <w:kern w:val="0"/>
                <w:szCs w:val="21"/>
              </w:rPr>
            </w:pPr>
          </w:p>
        </w:tc>
      </w:tr>
      <w:tr w14:paraId="300F562D">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02808FAD">
            <w:pPr>
              <w:overflowPunct w:val="0"/>
              <w:autoSpaceDE w:val="0"/>
              <w:autoSpaceDN w:val="0"/>
              <w:adjustRightInd w:val="0"/>
              <w:snapToGrid w:val="0"/>
              <w:spacing w:line="320" w:lineRule="exact"/>
              <w:jc w:val="left"/>
              <w:rPr>
                <w:rFonts w:ascii="宋体" w:hAnsi="宋体" w:cs="宋体"/>
                <w:kern w:val="0"/>
                <w:szCs w:val="21"/>
              </w:rPr>
            </w:pPr>
          </w:p>
        </w:tc>
        <w:tc>
          <w:tcPr>
            <w:tcW w:w="708" w:type="dxa"/>
            <w:tcBorders>
              <w:top w:val="single" w:color="auto" w:sz="4" w:space="0"/>
              <w:left w:val="nil"/>
              <w:bottom w:val="single" w:color="auto" w:sz="4" w:space="0"/>
              <w:right w:val="single" w:color="auto" w:sz="4" w:space="0"/>
            </w:tcBorders>
            <w:vAlign w:val="center"/>
          </w:tcPr>
          <w:p w14:paraId="186BD7C0">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34</w:t>
            </w:r>
          </w:p>
        </w:tc>
        <w:tc>
          <w:tcPr>
            <w:tcW w:w="3686" w:type="dxa"/>
            <w:tcBorders>
              <w:top w:val="single" w:color="auto" w:sz="4" w:space="0"/>
              <w:left w:val="nil"/>
              <w:bottom w:val="single" w:color="auto" w:sz="4" w:space="0"/>
              <w:right w:val="single" w:color="auto" w:sz="4" w:space="0"/>
            </w:tcBorders>
            <w:vAlign w:val="center"/>
          </w:tcPr>
          <w:p w14:paraId="16F45002">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氧气和乙炔的运输、储存、使用或安全距离不符合规程要求。</w:t>
            </w:r>
          </w:p>
        </w:tc>
        <w:tc>
          <w:tcPr>
            <w:tcW w:w="3402" w:type="dxa"/>
            <w:tcBorders>
              <w:top w:val="single" w:color="auto" w:sz="4" w:space="0"/>
              <w:left w:val="nil"/>
              <w:bottom w:val="single" w:color="auto" w:sz="4" w:space="0"/>
              <w:right w:val="single" w:color="auto" w:sz="4" w:space="0"/>
            </w:tcBorders>
            <w:vAlign w:val="center"/>
          </w:tcPr>
          <w:p w14:paraId="0DEFACBC">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vAlign w:val="center"/>
          </w:tcPr>
          <w:p w14:paraId="63C71A10">
            <w:pPr>
              <w:overflowPunct w:val="0"/>
              <w:autoSpaceDE w:val="0"/>
              <w:autoSpaceDN w:val="0"/>
              <w:adjustRightInd w:val="0"/>
              <w:snapToGrid w:val="0"/>
              <w:spacing w:line="320" w:lineRule="exact"/>
              <w:jc w:val="left"/>
              <w:rPr>
                <w:rFonts w:ascii="宋体" w:hAnsi="宋体" w:cs="宋体"/>
                <w:kern w:val="0"/>
                <w:szCs w:val="21"/>
              </w:rPr>
            </w:pPr>
          </w:p>
        </w:tc>
      </w:tr>
      <w:tr w14:paraId="358E6008">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3C980BC7">
            <w:pPr>
              <w:overflowPunct w:val="0"/>
              <w:autoSpaceDE w:val="0"/>
              <w:autoSpaceDN w:val="0"/>
              <w:adjustRightInd w:val="0"/>
              <w:snapToGrid w:val="0"/>
              <w:spacing w:line="320" w:lineRule="exact"/>
              <w:jc w:val="left"/>
              <w:rPr>
                <w:rFonts w:ascii="宋体" w:hAnsi="宋体" w:cs="宋体"/>
                <w:kern w:val="0"/>
                <w:szCs w:val="21"/>
              </w:rPr>
            </w:pPr>
          </w:p>
        </w:tc>
        <w:tc>
          <w:tcPr>
            <w:tcW w:w="708" w:type="dxa"/>
            <w:tcBorders>
              <w:top w:val="single" w:color="auto" w:sz="4" w:space="0"/>
              <w:left w:val="nil"/>
              <w:bottom w:val="single" w:color="auto" w:sz="4" w:space="0"/>
              <w:right w:val="single" w:color="auto" w:sz="4" w:space="0"/>
            </w:tcBorders>
            <w:vAlign w:val="center"/>
          </w:tcPr>
          <w:p w14:paraId="4EC4A41B">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35</w:t>
            </w:r>
          </w:p>
        </w:tc>
        <w:tc>
          <w:tcPr>
            <w:tcW w:w="3686" w:type="dxa"/>
            <w:tcBorders>
              <w:top w:val="single" w:color="auto" w:sz="4" w:space="0"/>
              <w:left w:val="nil"/>
              <w:bottom w:val="single" w:color="auto" w:sz="4" w:space="0"/>
              <w:right w:val="single" w:color="auto" w:sz="4" w:space="0"/>
            </w:tcBorders>
            <w:vAlign w:val="center"/>
          </w:tcPr>
          <w:p w14:paraId="398B23A4">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未按经审批的施工方案施工，脚手架未按规程要求搭设并经监理组织验收便投入使用。</w:t>
            </w:r>
          </w:p>
        </w:tc>
        <w:tc>
          <w:tcPr>
            <w:tcW w:w="3402" w:type="dxa"/>
            <w:tcBorders>
              <w:top w:val="single" w:color="auto" w:sz="4" w:space="0"/>
              <w:left w:val="nil"/>
              <w:bottom w:val="single" w:color="auto" w:sz="4" w:space="0"/>
              <w:right w:val="single" w:color="auto" w:sz="4" w:space="0"/>
            </w:tcBorders>
            <w:vAlign w:val="center"/>
          </w:tcPr>
          <w:p w14:paraId="126EE3F2">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vAlign w:val="center"/>
          </w:tcPr>
          <w:p w14:paraId="4D76573A">
            <w:pPr>
              <w:overflowPunct w:val="0"/>
              <w:autoSpaceDE w:val="0"/>
              <w:autoSpaceDN w:val="0"/>
              <w:adjustRightInd w:val="0"/>
              <w:snapToGrid w:val="0"/>
              <w:spacing w:line="320" w:lineRule="exact"/>
              <w:jc w:val="left"/>
              <w:rPr>
                <w:rFonts w:ascii="宋体" w:hAnsi="宋体" w:cs="宋体"/>
                <w:kern w:val="0"/>
                <w:szCs w:val="21"/>
              </w:rPr>
            </w:pPr>
          </w:p>
        </w:tc>
      </w:tr>
      <w:tr w14:paraId="17C9B3B9">
        <w:tblPrEx>
          <w:tblCellMar>
            <w:top w:w="0" w:type="dxa"/>
            <w:left w:w="108" w:type="dxa"/>
            <w:bottom w:w="0" w:type="dxa"/>
            <w:right w:w="108" w:type="dxa"/>
          </w:tblCellMar>
        </w:tblPrEx>
        <w:trPr>
          <w:cantSplit/>
          <w:trHeight w:val="2381"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0C180820">
            <w:pPr>
              <w:overflowPunct w:val="0"/>
              <w:autoSpaceDE w:val="0"/>
              <w:autoSpaceDN w:val="0"/>
              <w:adjustRightInd w:val="0"/>
              <w:snapToGrid w:val="0"/>
              <w:spacing w:line="320" w:lineRule="exact"/>
              <w:jc w:val="left"/>
              <w:rPr>
                <w:rFonts w:ascii="宋体" w:hAnsi="宋体" w:cs="宋体"/>
                <w:kern w:val="0"/>
                <w:szCs w:val="21"/>
              </w:rPr>
            </w:pPr>
          </w:p>
        </w:tc>
        <w:tc>
          <w:tcPr>
            <w:tcW w:w="708" w:type="dxa"/>
            <w:tcBorders>
              <w:top w:val="single" w:color="auto" w:sz="4" w:space="0"/>
              <w:left w:val="nil"/>
              <w:bottom w:val="single" w:color="auto" w:sz="4" w:space="0"/>
              <w:right w:val="single" w:color="auto" w:sz="4" w:space="0"/>
            </w:tcBorders>
            <w:vAlign w:val="center"/>
          </w:tcPr>
          <w:p w14:paraId="3752139B">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36</w:t>
            </w:r>
          </w:p>
        </w:tc>
        <w:tc>
          <w:tcPr>
            <w:tcW w:w="3686" w:type="dxa"/>
            <w:tcBorders>
              <w:top w:val="single" w:color="auto" w:sz="4" w:space="0"/>
              <w:left w:val="nil"/>
              <w:bottom w:val="single" w:color="auto" w:sz="4" w:space="0"/>
              <w:right w:val="single" w:color="auto" w:sz="4" w:space="0"/>
            </w:tcBorders>
            <w:vAlign w:val="center"/>
          </w:tcPr>
          <w:p w14:paraId="4661F292">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施工单位在施工现场入口处、施工起重机械、临时用电设施、脚手架、出入通道口、施工便道拐弯处、孔洞口、桥梁口、隧道口、基坑边沿、桩基础施工、爆破物及有害危险气体和液体存放处等危险部位未设置明显的安全警示标志或安全警示标志不符合国家标准。</w:t>
            </w:r>
          </w:p>
        </w:tc>
        <w:tc>
          <w:tcPr>
            <w:tcW w:w="3402" w:type="dxa"/>
            <w:tcBorders>
              <w:top w:val="single" w:color="auto" w:sz="4" w:space="0"/>
              <w:left w:val="nil"/>
              <w:bottom w:val="single" w:color="auto" w:sz="4" w:space="0"/>
              <w:right w:val="single" w:color="auto" w:sz="4" w:space="0"/>
            </w:tcBorders>
            <w:vAlign w:val="center"/>
          </w:tcPr>
          <w:p w14:paraId="2A4CA6AD">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vAlign w:val="center"/>
          </w:tcPr>
          <w:p w14:paraId="1D248121">
            <w:pPr>
              <w:overflowPunct w:val="0"/>
              <w:autoSpaceDE w:val="0"/>
              <w:autoSpaceDN w:val="0"/>
              <w:adjustRightInd w:val="0"/>
              <w:snapToGrid w:val="0"/>
              <w:spacing w:line="320" w:lineRule="exact"/>
              <w:jc w:val="left"/>
              <w:rPr>
                <w:rFonts w:ascii="宋体" w:hAnsi="宋体" w:cs="宋体"/>
                <w:kern w:val="0"/>
                <w:szCs w:val="21"/>
              </w:rPr>
            </w:pPr>
          </w:p>
        </w:tc>
      </w:tr>
      <w:tr w14:paraId="1CB09916">
        <w:tblPrEx>
          <w:tblCellMar>
            <w:top w:w="0" w:type="dxa"/>
            <w:left w:w="108" w:type="dxa"/>
            <w:bottom w:w="0" w:type="dxa"/>
            <w:right w:w="108" w:type="dxa"/>
          </w:tblCellMar>
        </w:tblPrEx>
        <w:trPr>
          <w:cantSplit/>
          <w:trHeight w:val="1701" w:hRule="exact"/>
          <w:jc w:val="center"/>
        </w:trPr>
        <w:tc>
          <w:tcPr>
            <w:tcW w:w="710" w:type="dxa"/>
            <w:vMerge w:val="restart"/>
            <w:tcBorders>
              <w:top w:val="single" w:color="auto" w:sz="4" w:space="0"/>
              <w:left w:val="single" w:color="auto" w:sz="4" w:space="0"/>
              <w:right w:val="single" w:color="auto" w:sz="4" w:space="0"/>
            </w:tcBorders>
            <w:vAlign w:val="center"/>
          </w:tcPr>
          <w:p w14:paraId="3113AA55">
            <w:pPr>
              <w:overflowPunct w:val="0"/>
              <w:autoSpaceDE w:val="0"/>
              <w:autoSpaceDN w:val="0"/>
              <w:adjustRightInd w:val="0"/>
              <w:snapToGrid w:val="0"/>
              <w:spacing w:line="320" w:lineRule="exact"/>
              <w:rPr>
                <w:rFonts w:ascii="宋体" w:hAnsi="宋体" w:cs="宋体"/>
                <w:b/>
                <w:bCs/>
                <w:kern w:val="0"/>
                <w:szCs w:val="21"/>
              </w:rPr>
            </w:pPr>
            <w:r>
              <w:rPr>
                <w:rFonts w:hint="eastAsia" w:ascii="宋体" w:hAnsi="宋体" w:cs="宋体"/>
                <w:b/>
                <w:bCs/>
                <w:kern w:val="0"/>
                <w:szCs w:val="21"/>
              </w:rPr>
              <w:t>违规违章处罚办法</w:t>
            </w:r>
          </w:p>
        </w:tc>
        <w:tc>
          <w:tcPr>
            <w:tcW w:w="708" w:type="dxa"/>
            <w:tcBorders>
              <w:top w:val="single" w:color="auto" w:sz="4" w:space="0"/>
              <w:left w:val="nil"/>
              <w:bottom w:val="single" w:color="auto" w:sz="4" w:space="0"/>
              <w:right w:val="single" w:color="auto" w:sz="4" w:space="0"/>
            </w:tcBorders>
            <w:vAlign w:val="center"/>
          </w:tcPr>
          <w:p w14:paraId="6929CB63">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37</w:t>
            </w:r>
          </w:p>
        </w:tc>
        <w:tc>
          <w:tcPr>
            <w:tcW w:w="3686" w:type="dxa"/>
            <w:tcBorders>
              <w:top w:val="single" w:color="auto" w:sz="4" w:space="0"/>
              <w:left w:val="nil"/>
              <w:bottom w:val="single" w:color="auto" w:sz="4" w:space="0"/>
              <w:right w:val="single" w:color="auto" w:sz="4" w:space="0"/>
            </w:tcBorders>
            <w:vAlign w:val="center"/>
          </w:tcPr>
          <w:p w14:paraId="6BBEEB37">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特种作业人员（指从事电气、起重、驾驶、焊接、爆破、脚手架搭设、射线等作业人员）未经专门的安全作业培训并取得特种作业操作资格证书便安排上岗作业。</w:t>
            </w:r>
          </w:p>
        </w:tc>
        <w:tc>
          <w:tcPr>
            <w:tcW w:w="3402" w:type="dxa"/>
            <w:tcBorders>
              <w:top w:val="single" w:color="auto" w:sz="4" w:space="0"/>
              <w:left w:val="nil"/>
              <w:bottom w:val="single" w:color="auto" w:sz="4" w:space="0"/>
              <w:right w:val="single" w:color="auto" w:sz="4" w:space="0"/>
            </w:tcBorders>
            <w:vAlign w:val="center"/>
          </w:tcPr>
          <w:p w14:paraId="7D21A943">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vAlign w:val="center"/>
          </w:tcPr>
          <w:p w14:paraId="7799C337">
            <w:pPr>
              <w:overflowPunct w:val="0"/>
              <w:autoSpaceDE w:val="0"/>
              <w:autoSpaceDN w:val="0"/>
              <w:adjustRightInd w:val="0"/>
              <w:snapToGrid w:val="0"/>
              <w:spacing w:line="320" w:lineRule="exact"/>
              <w:jc w:val="left"/>
              <w:rPr>
                <w:rFonts w:ascii="宋体" w:hAnsi="宋体" w:cs="宋体"/>
                <w:kern w:val="0"/>
                <w:szCs w:val="21"/>
              </w:rPr>
            </w:pPr>
          </w:p>
        </w:tc>
      </w:tr>
      <w:tr w14:paraId="0A84184B">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vAlign w:val="center"/>
          </w:tcPr>
          <w:p w14:paraId="1A19B5F6">
            <w:pPr>
              <w:overflowPunct w:val="0"/>
              <w:autoSpaceDE w:val="0"/>
              <w:autoSpaceDN w:val="0"/>
              <w:adjustRightInd w:val="0"/>
              <w:snapToGrid w:val="0"/>
              <w:spacing w:line="320" w:lineRule="exact"/>
              <w:rPr>
                <w:rFonts w:ascii="宋体" w:hAnsi="宋体" w:cs="宋体"/>
                <w:b/>
                <w:bCs/>
                <w:kern w:val="0"/>
                <w:szCs w:val="21"/>
              </w:rPr>
            </w:pPr>
          </w:p>
        </w:tc>
        <w:tc>
          <w:tcPr>
            <w:tcW w:w="708" w:type="dxa"/>
            <w:tcBorders>
              <w:top w:val="single" w:color="auto" w:sz="4" w:space="0"/>
              <w:left w:val="nil"/>
              <w:bottom w:val="single" w:color="auto" w:sz="4" w:space="0"/>
              <w:right w:val="single" w:color="auto" w:sz="4" w:space="0"/>
            </w:tcBorders>
            <w:vAlign w:val="center"/>
          </w:tcPr>
          <w:p w14:paraId="66A7A5F1">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38</w:t>
            </w:r>
          </w:p>
        </w:tc>
        <w:tc>
          <w:tcPr>
            <w:tcW w:w="3686" w:type="dxa"/>
            <w:tcBorders>
              <w:top w:val="single" w:color="auto" w:sz="4" w:space="0"/>
              <w:left w:val="nil"/>
              <w:bottom w:val="single" w:color="auto" w:sz="4" w:space="0"/>
              <w:right w:val="single" w:color="auto" w:sz="4" w:space="0"/>
            </w:tcBorders>
            <w:vAlign w:val="center"/>
          </w:tcPr>
          <w:p w14:paraId="2D943C73">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未执行一机、一闸、一漏、一箱用电原则。</w:t>
            </w:r>
          </w:p>
        </w:tc>
        <w:tc>
          <w:tcPr>
            <w:tcW w:w="3402" w:type="dxa"/>
            <w:tcBorders>
              <w:top w:val="single" w:color="auto" w:sz="4" w:space="0"/>
              <w:left w:val="nil"/>
              <w:bottom w:val="single" w:color="auto" w:sz="4" w:space="0"/>
              <w:right w:val="single" w:color="auto" w:sz="4" w:space="0"/>
            </w:tcBorders>
            <w:vAlign w:val="center"/>
          </w:tcPr>
          <w:p w14:paraId="6B698A6C">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视情节对施工单位处以1000-3000元违约金；对监理单位监管不力的，处以1000-2000元违约金。</w:t>
            </w:r>
          </w:p>
        </w:tc>
        <w:tc>
          <w:tcPr>
            <w:tcW w:w="850" w:type="dxa"/>
            <w:tcBorders>
              <w:top w:val="single" w:color="auto" w:sz="4" w:space="0"/>
              <w:left w:val="nil"/>
              <w:bottom w:val="single" w:color="auto" w:sz="4" w:space="0"/>
              <w:right w:val="single" w:color="auto" w:sz="4" w:space="0"/>
            </w:tcBorders>
            <w:vAlign w:val="center"/>
          </w:tcPr>
          <w:p w14:paraId="4269A7DA">
            <w:pPr>
              <w:overflowPunct w:val="0"/>
              <w:autoSpaceDE w:val="0"/>
              <w:autoSpaceDN w:val="0"/>
              <w:adjustRightInd w:val="0"/>
              <w:snapToGrid w:val="0"/>
              <w:spacing w:line="320" w:lineRule="exact"/>
              <w:jc w:val="left"/>
              <w:rPr>
                <w:rFonts w:ascii="宋体" w:hAnsi="宋体" w:cs="宋体"/>
                <w:kern w:val="0"/>
                <w:szCs w:val="21"/>
              </w:rPr>
            </w:pPr>
          </w:p>
        </w:tc>
      </w:tr>
      <w:tr w14:paraId="1C471BF5">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vAlign w:val="center"/>
          </w:tcPr>
          <w:p w14:paraId="477D3C06">
            <w:pPr>
              <w:overflowPunct w:val="0"/>
              <w:autoSpaceDE w:val="0"/>
              <w:autoSpaceDN w:val="0"/>
              <w:adjustRightInd w:val="0"/>
              <w:snapToGrid w:val="0"/>
              <w:spacing w:line="320" w:lineRule="exact"/>
              <w:jc w:val="left"/>
              <w:rPr>
                <w:rFonts w:ascii="宋体" w:hAnsi="宋体" w:cs="宋体"/>
                <w:kern w:val="0"/>
                <w:szCs w:val="21"/>
              </w:rPr>
            </w:pPr>
          </w:p>
        </w:tc>
        <w:tc>
          <w:tcPr>
            <w:tcW w:w="708" w:type="dxa"/>
            <w:tcBorders>
              <w:top w:val="nil"/>
              <w:left w:val="nil"/>
              <w:bottom w:val="single" w:color="auto" w:sz="4" w:space="0"/>
              <w:right w:val="single" w:color="auto" w:sz="4" w:space="0"/>
            </w:tcBorders>
            <w:vAlign w:val="center"/>
          </w:tcPr>
          <w:p w14:paraId="0F2DA7B4">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39</w:t>
            </w:r>
          </w:p>
        </w:tc>
        <w:tc>
          <w:tcPr>
            <w:tcW w:w="3686" w:type="dxa"/>
            <w:tcBorders>
              <w:top w:val="nil"/>
              <w:left w:val="nil"/>
              <w:bottom w:val="single" w:color="auto" w:sz="4" w:space="0"/>
              <w:right w:val="single" w:color="auto" w:sz="4" w:space="0"/>
            </w:tcBorders>
            <w:vAlign w:val="center"/>
          </w:tcPr>
          <w:p w14:paraId="532664CF">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开关箱无盖、开关露天摆设、开关无盖或盖不全，电力线路乱拉乱接或席地铺设，保险丝、地线、零线违规使用。</w:t>
            </w:r>
          </w:p>
        </w:tc>
        <w:tc>
          <w:tcPr>
            <w:tcW w:w="3402" w:type="dxa"/>
            <w:tcBorders>
              <w:top w:val="nil"/>
              <w:left w:val="nil"/>
              <w:bottom w:val="single" w:color="auto" w:sz="4" w:space="0"/>
              <w:right w:val="single" w:color="auto" w:sz="4" w:space="0"/>
            </w:tcBorders>
            <w:vAlign w:val="center"/>
          </w:tcPr>
          <w:p w14:paraId="6BC5F438">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vAlign w:val="center"/>
          </w:tcPr>
          <w:p w14:paraId="026806AF">
            <w:pPr>
              <w:overflowPunct w:val="0"/>
              <w:autoSpaceDE w:val="0"/>
              <w:autoSpaceDN w:val="0"/>
              <w:adjustRightInd w:val="0"/>
              <w:snapToGrid w:val="0"/>
              <w:spacing w:line="320" w:lineRule="exact"/>
              <w:jc w:val="left"/>
              <w:rPr>
                <w:rFonts w:ascii="宋体" w:hAnsi="宋体" w:cs="宋体"/>
                <w:kern w:val="0"/>
                <w:szCs w:val="21"/>
              </w:rPr>
            </w:pPr>
          </w:p>
        </w:tc>
      </w:tr>
      <w:tr w14:paraId="48CECBF2">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vAlign w:val="center"/>
          </w:tcPr>
          <w:p w14:paraId="35D4A214">
            <w:pPr>
              <w:overflowPunct w:val="0"/>
              <w:autoSpaceDE w:val="0"/>
              <w:autoSpaceDN w:val="0"/>
              <w:adjustRightInd w:val="0"/>
              <w:snapToGrid w:val="0"/>
              <w:spacing w:line="320" w:lineRule="exact"/>
              <w:jc w:val="left"/>
              <w:rPr>
                <w:rFonts w:ascii="宋体" w:hAnsi="宋体" w:cs="宋体"/>
                <w:kern w:val="0"/>
                <w:szCs w:val="21"/>
              </w:rPr>
            </w:pPr>
          </w:p>
        </w:tc>
        <w:tc>
          <w:tcPr>
            <w:tcW w:w="708" w:type="dxa"/>
            <w:tcBorders>
              <w:top w:val="nil"/>
              <w:left w:val="nil"/>
              <w:bottom w:val="single" w:color="auto" w:sz="4" w:space="0"/>
              <w:right w:val="single" w:color="auto" w:sz="4" w:space="0"/>
            </w:tcBorders>
            <w:vAlign w:val="center"/>
          </w:tcPr>
          <w:p w14:paraId="4805484B">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40</w:t>
            </w:r>
          </w:p>
        </w:tc>
        <w:tc>
          <w:tcPr>
            <w:tcW w:w="3686" w:type="dxa"/>
            <w:tcBorders>
              <w:top w:val="nil"/>
              <w:left w:val="nil"/>
              <w:bottom w:val="single" w:color="auto" w:sz="4" w:space="0"/>
              <w:right w:val="single" w:color="auto" w:sz="4" w:space="0"/>
            </w:tcBorders>
            <w:vAlign w:val="center"/>
          </w:tcPr>
          <w:p w14:paraId="03E1C1C7">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施工现场每使用一辆“三无”车辆或证件不全车辆。</w:t>
            </w:r>
          </w:p>
        </w:tc>
        <w:tc>
          <w:tcPr>
            <w:tcW w:w="3402" w:type="dxa"/>
            <w:tcBorders>
              <w:top w:val="nil"/>
              <w:left w:val="nil"/>
              <w:bottom w:val="single" w:color="auto" w:sz="4" w:space="0"/>
              <w:right w:val="single" w:color="auto" w:sz="4" w:space="0"/>
            </w:tcBorders>
            <w:vAlign w:val="center"/>
          </w:tcPr>
          <w:p w14:paraId="6833EE6A">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vAlign w:val="center"/>
          </w:tcPr>
          <w:p w14:paraId="24960787">
            <w:pPr>
              <w:overflowPunct w:val="0"/>
              <w:autoSpaceDE w:val="0"/>
              <w:autoSpaceDN w:val="0"/>
              <w:adjustRightInd w:val="0"/>
              <w:snapToGrid w:val="0"/>
              <w:spacing w:line="320" w:lineRule="exact"/>
              <w:jc w:val="left"/>
              <w:rPr>
                <w:rFonts w:ascii="宋体" w:hAnsi="宋体" w:cs="宋体"/>
                <w:kern w:val="0"/>
                <w:szCs w:val="21"/>
              </w:rPr>
            </w:pPr>
          </w:p>
        </w:tc>
      </w:tr>
      <w:tr w14:paraId="7FB6BB4B">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vAlign w:val="center"/>
          </w:tcPr>
          <w:p w14:paraId="756B34B3">
            <w:pPr>
              <w:overflowPunct w:val="0"/>
              <w:autoSpaceDE w:val="0"/>
              <w:autoSpaceDN w:val="0"/>
              <w:adjustRightInd w:val="0"/>
              <w:snapToGrid w:val="0"/>
              <w:spacing w:line="320" w:lineRule="exact"/>
              <w:jc w:val="left"/>
              <w:rPr>
                <w:rFonts w:ascii="宋体" w:hAnsi="宋体" w:cs="宋体"/>
                <w:kern w:val="0"/>
                <w:szCs w:val="21"/>
              </w:rPr>
            </w:pPr>
          </w:p>
        </w:tc>
        <w:tc>
          <w:tcPr>
            <w:tcW w:w="708" w:type="dxa"/>
            <w:tcBorders>
              <w:top w:val="nil"/>
              <w:left w:val="nil"/>
              <w:bottom w:val="single" w:color="auto" w:sz="4" w:space="0"/>
              <w:right w:val="single" w:color="auto" w:sz="4" w:space="0"/>
            </w:tcBorders>
            <w:vAlign w:val="center"/>
          </w:tcPr>
          <w:p w14:paraId="41E809E7">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41</w:t>
            </w:r>
          </w:p>
        </w:tc>
        <w:tc>
          <w:tcPr>
            <w:tcW w:w="3686" w:type="dxa"/>
            <w:tcBorders>
              <w:top w:val="nil"/>
              <w:left w:val="nil"/>
              <w:bottom w:val="single" w:color="auto" w:sz="4" w:space="0"/>
              <w:right w:val="single" w:color="auto" w:sz="4" w:space="0"/>
            </w:tcBorders>
            <w:vAlign w:val="center"/>
          </w:tcPr>
          <w:p w14:paraId="24D391C6">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转动机械无防护罩，电焊机及电气设备无接地保护、无防雨措施。</w:t>
            </w:r>
          </w:p>
        </w:tc>
        <w:tc>
          <w:tcPr>
            <w:tcW w:w="3402" w:type="dxa"/>
            <w:tcBorders>
              <w:top w:val="nil"/>
              <w:left w:val="nil"/>
              <w:bottom w:val="single" w:color="auto" w:sz="4" w:space="0"/>
              <w:right w:val="single" w:color="auto" w:sz="4" w:space="0"/>
            </w:tcBorders>
            <w:vAlign w:val="center"/>
          </w:tcPr>
          <w:p w14:paraId="51C966A3">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vAlign w:val="center"/>
          </w:tcPr>
          <w:p w14:paraId="05251B66">
            <w:pPr>
              <w:overflowPunct w:val="0"/>
              <w:autoSpaceDE w:val="0"/>
              <w:autoSpaceDN w:val="0"/>
              <w:adjustRightInd w:val="0"/>
              <w:snapToGrid w:val="0"/>
              <w:spacing w:line="320" w:lineRule="exact"/>
              <w:jc w:val="left"/>
              <w:rPr>
                <w:rFonts w:ascii="宋体" w:hAnsi="宋体" w:cs="宋体"/>
                <w:kern w:val="0"/>
                <w:szCs w:val="21"/>
              </w:rPr>
            </w:pPr>
          </w:p>
        </w:tc>
      </w:tr>
      <w:tr w14:paraId="0DF9A3FB">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vAlign w:val="center"/>
          </w:tcPr>
          <w:p w14:paraId="6EA7EA7E">
            <w:pPr>
              <w:overflowPunct w:val="0"/>
              <w:autoSpaceDE w:val="0"/>
              <w:autoSpaceDN w:val="0"/>
              <w:adjustRightInd w:val="0"/>
              <w:snapToGrid w:val="0"/>
              <w:spacing w:line="320" w:lineRule="exact"/>
              <w:jc w:val="left"/>
              <w:rPr>
                <w:rFonts w:ascii="宋体" w:hAnsi="宋体" w:cs="宋体"/>
                <w:kern w:val="0"/>
                <w:szCs w:val="21"/>
              </w:rPr>
            </w:pPr>
          </w:p>
        </w:tc>
        <w:tc>
          <w:tcPr>
            <w:tcW w:w="708" w:type="dxa"/>
            <w:tcBorders>
              <w:top w:val="nil"/>
              <w:left w:val="nil"/>
              <w:bottom w:val="single" w:color="auto" w:sz="4" w:space="0"/>
              <w:right w:val="single" w:color="auto" w:sz="4" w:space="0"/>
            </w:tcBorders>
            <w:vAlign w:val="center"/>
          </w:tcPr>
          <w:p w14:paraId="70B391D4">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42</w:t>
            </w:r>
          </w:p>
        </w:tc>
        <w:tc>
          <w:tcPr>
            <w:tcW w:w="3686" w:type="dxa"/>
            <w:tcBorders>
              <w:top w:val="nil"/>
              <w:left w:val="nil"/>
              <w:bottom w:val="single" w:color="auto" w:sz="4" w:space="0"/>
              <w:right w:val="single" w:color="auto" w:sz="4" w:space="0"/>
            </w:tcBorders>
            <w:vAlign w:val="center"/>
          </w:tcPr>
          <w:p w14:paraId="4B1AA537">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高处作业未设置平台或平台未满铺脚手板，高处作业临边无栏杆，该铺设而未铺设安全网。</w:t>
            </w:r>
          </w:p>
        </w:tc>
        <w:tc>
          <w:tcPr>
            <w:tcW w:w="3402" w:type="dxa"/>
            <w:tcBorders>
              <w:top w:val="nil"/>
              <w:left w:val="nil"/>
              <w:bottom w:val="single" w:color="auto" w:sz="4" w:space="0"/>
              <w:right w:val="single" w:color="auto" w:sz="4" w:space="0"/>
            </w:tcBorders>
            <w:vAlign w:val="center"/>
          </w:tcPr>
          <w:p w14:paraId="5E8B66DC">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vAlign w:val="center"/>
          </w:tcPr>
          <w:p w14:paraId="21BF76D5">
            <w:pPr>
              <w:overflowPunct w:val="0"/>
              <w:autoSpaceDE w:val="0"/>
              <w:autoSpaceDN w:val="0"/>
              <w:adjustRightInd w:val="0"/>
              <w:snapToGrid w:val="0"/>
              <w:spacing w:line="320" w:lineRule="exact"/>
              <w:jc w:val="left"/>
              <w:rPr>
                <w:rFonts w:ascii="宋体" w:hAnsi="宋体" w:cs="宋体"/>
                <w:kern w:val="0"/>
                <w:szCs w:val="21"/>
              </w:rPr>
            </w:pPr>
          </w:p>
        </w:tc>
      </w:tr>
      <w:tr w14:paraId="6272F1CF">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bottom w:val="single" w:color="auto" w:sz="4" w:space="0"/>
              <w:right w:val="single" w:color="auto" w:sz="4" w:space="0"/>
            </w:tcBorders>
            <w:vAlign w:val="center"/>
          </w:tcPr>
          <w:p w14:paraId="619D59E9">
            <w:pPr>
              <w:overflowPunct w:val="0"/>
              <w:autoSpaceDE w:val="0"/>
              <w:autoSpaceDN w:val="0"/>
              <w:adjustRightInd w:val="0"/>
              <w:snapToGrid w:val="0"/>
              <w:spacing w:line="320" w:lineRule="exact"/>
              <w:jc w:val="left"/>
              <w:rPr>
                <w:rFonts w:ascii="宋体" w:hAnsi="宋体" w:cs="宋体"/>
                <w:kern w:val="0"/>
                <w:szCs w:val="21"/>
              </w:rPr>
            </w:pPr>
          </w:p>
        </w:tc>
        <w:tc>
          <w:tcPr>
            <w:tcW w:w="708" w:type="dxa"/>
            <w:tcBorders>
              <w:top w:val="nil"/>
              <w:left w:val="nil"/>
              <w:bottom w:val="single" w:color="auto" w:sz="4" w:space="0"/>
              <w:right w:val="single" w:color="auto" w:sz="4" w:space="0"/>
            </w:tcBorders>
            <w:vAlign w:val="center"/>
          </w:tcPr>
          <w:p w14:paraId="13430ADB">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43</w:t>
            </w:r>
          </w:p>
        </w:tc>
        <w:tc>
          <w:tcPr>
            <w:tcW w:w="3686" w:type="dxa"/>
            <w:tcBorders>
              <w:top w:val="nil"/>
              <w:left w:val="nil"/>
              <w:bottom w:val="single" w:color="auto" w:sz="4" w:space="0"/>
              <w:right w:val="single" w:color="auto" w:sz="4" w:space="0"/>
            </w:tcBorders>
            <w:vAlign w:val="center"/>
          </w:tcPr>
          <w:p w14:paraId="23763418">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高处作业向上或向下抛掷工具、材料或垃圾。</w:t>
            </w:r>
          </w:p>
        </w:tc>
        <w:tc>
          <w:tcPr>
            <w:tcW w:w="3402" w:type="dxa"/>
            <w:tcBorders>
              <w:top w:val="nil"/>
              <w:left w:val="nil"/>
              <w:bottom w:val="single" w:color="auto" w:sz="4" w:space="0"/>
              <w:right w:val="single" w:color="auto" w:sz="4" w:space="0"/>
            </w:tcBorders>
            <w:vAlign w:val="center"/>
          </w:tcPr>
          <w:p w14:paraId="6CA39E27">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vAlign w:val="center"/>
          </w:tcPr>
          <w:p w14:paraId="7039C456">
            <w:pPr>
              <w:overflowPunct w:val="0"/>
              <w:autoSpaceDE w:val="0"/>
              <w:autoSpaceDN w:val="0"/>
              <w:adjustRightInd w:val="0"/>
              <w:snapToGrid w:val="0"/>
              <w:spacing w:line="320" w:lineRule="exact"/>
              <w:jc w:val="left"/>
              <w:rPr>
                <w:rFonts w:ascii="宋体" w:hAnsi="宋体" w:cs="宋体"/>
                <w:kern w:val="0"/>
                <w:szCs w:val="21"/>
              </w:rPr>
            </w:pPr>
          </w:p>
        </w:tc>
      </w:tr>
      <w:tr w14:paraId="593FCE2C">
        <w:tblPrEx>
          <w:tblCellMar>
            <w:top w:w="0" w:type="dxa"/>
            <w:left w:w="108" w:type="dxa"/>
            <w:bottom w:w="0" w:type="dxa"/>
            <w:right w:w="108" w:type="dxa"/>
          </w:tblCellMar>
        </w:tblPrEx>
        <w:trPr>
          <w:cantSplit/>
          <w:trHeight w:val="1021" w:hRule="exact"/>
          <w:jc w:val="center"/>
        </w:trPr>
        <w:tc>
          <w:tcPr>
            <w:tcW w:w="710" w:type="dxa"/>
            <w:vMerge w:val="restart"/>
            <w:tcBorders>
              <w:top w:val="single" w:color="auto" w:sz="4" w:space="0"/>
              <w:left w:val="single" w:color="auto" w:sz="4" w:space="0"/>
              <w:bottom w:val="single" w:color="auto" w:sz="4" w:space="0"/>
              <w:right w:val="single" w:color="auto" w:sz="4" w:space="0"/>
            </w:tcBorders>
            <w:vAlign w:val="center"/>
          </w:tcPr>
          <w:p w14:paraId="7739A31A">
            <w:pPr>
              <w:overflowPunct w:val="0"/>
              <w:autoSpaceDE w:val="0"/>
              <w:autoSpaceDN w:val="0"/>
              <w:adjustRightInd w:val="0"/>
              <w:snapToGrid w:val="0"/>
              <w:spacing w:line="320" w:lineRule="exact"/>
              <w:jc w:val="left"/>
              <w:rPr>
                <w:rFonts w:ascii="宋体" w:hAnsi="宋体" w:cs="宋体"/>
                <w:b/>
                <w:bCs/>
                <w:kern w:val="0"/>
                <w:szCs w:val="21"/>
              </w:rPr>
            </w:pPr>
            <w:r>
              <w:rPr>
                <w:rFonts w:hint="eastAsia" w:ascii="宋体" w:hAnsi="宋体" w:cs="宋体"/>
                <w:b/>
                <w:bCs/>
                <w:kern w:val="0"/>
                <w:szCs w:val="21"/>
              </w:rPr>
              <w:t>连带处罚办法</w:t>
            </w:r>
          </w:p>
        </w:tc>
        <w:tc>
          <w:tcPr>
            <w:tcW w:w="708" w:type="dxa"/>
            <w:tcBorders>
              <w:top w:val="single" w:color="auto" w:sz="4" w:space="0"/>
              <w:left w:val="nil"/>
              <w:bottom w:val="single" w:color="auto" w:sz="4" w:space="0"/>
              <w:right w:val="single" w:color="auto" w:sz="4" w:space="0"/>
            </w:tcBorders>
            <w:vAlign w:val="center"/>
          </w:tcPr>
          <w:p w14:paraId="25F209CF">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44</w:t>
            </w:r>
          </w:p>
        </w:tc>
        <w:tc>
          <w:tcPr>
            <w:tcW w:w="3686" w:type="dxa"/>
            <w:tcBorders>
              <w:top w:val="single" w:color="auto" w:sz="4" w:space="0"/>
              <w:left w:val="nil"/>
              <w:bottom w:val="single" w:color="auto" w:sz="4" w:space="0"/>
              <w:right w:val="single" w:color="auto" w:sz="4" w:space="0"/>
            </w:tcBorders>
            <w:vAlign w:val="center"/>
          </w:tcPr>
          <w:p w14:paraId="348B44DF">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进入施工现场不戴安全帽或不扣好帽带，安全帽质量不符合国家标准或行业标准要求。</w:t>
            </w:r>
          </w:p>
        </w:tc>
        <w:tc>
          <w:tcPr>
            <w:tcW w:w="3402" w:type="dxa"/>
            <w:tcBorders>
              <w:top w:val="single" w:color="auto" w:sz="4" w:space="0"/>
              <w:left w:val="nil"/>
              <w:bottom w:val="single" w:color="auto" w:sz="4" w:space="0"/>
              <w:right w:val="single" w:color="auto" w:sz="4" w:space="0"/>
            </w:tcBorders>
            <w:vAlign w:val="center"/>
          </w:tcPr>
          <w:p w14:paraId="617F59CC">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视情节对施工单位处以200-1000元违约金；对监理单位监管不力的，处以200-500元违约金。</w:t>
            </w:r>
          </w:p>
        </w:tc>
        <w:tc>
          <w:tcPr>
            <w:tcW w:w="850" w:type="dxa"/>
            <w:tcBorders>
              <w:top w:val="single" w:color="auto" w:sz="4" w:space="0"/>
              <w:left w:val="nil"/>
              <w:bottom w:val="single" w:color="auto" w:sz="4" w:space="0"/>
              <w:right w:val="single" w:color="auto" w:sz="4" w:space="0"/>
            </w:tcBorders>
            <w:vAlign w:val="center"/>
          </w:tcPr>
          <w:p w14:paraId="250ABAE9">
            <w:pPr>
              <w:overflowPunct w:val="0"/>
              <w:autoSpaceDE w:val="0"/>
              <w:autoSpaceDN w:val="0"/>
              <w:adjustRightInd w:val="0"/>
              <w:snapToGrid w:val="0"/>
              <w:spacing w:line="320" w:lineRule="exact"/>
              <w:jc w:val="left"/>
              <w:rPr>
                <w:rFonts w:ascii="宋体" w:hAnsi="宋体" w:cs="宋体"/>
                <w:kern w:val="0"/>
                <w:szCs w:val="21"/>
              </w:rPr>
            </w:pPr>
          </w:p>
        </w:tc>
      </w:tr>
      <w:tr w14:paraId="5636AECD">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53473DC6">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single" w:color="auto" w:sz="4" w:space="0"/>
              <w:left w:val="nil"/>
              <w:bottom w:val="single" w:color="auto" w:sz="4" w:space="0"/>
              <w:right w:val="single" w:color="auto" w:sz="4" w:space="0"/>
            </w:tcBorders>
            <w:vAlign w:val="center"/>
          </w:tcPr>
          <w:p w14:paraId="25CE6DF4">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45</w:t>
            </w:r>
          </w:p>
        </w:tc>
        <w:tc>
          <w:tcPr>
            <w:tcW w:w="3686" w:type="dxa"/>
            <w:tcBorders>
              <w:top w:val="single" w:color="auto" w:sz="4" w:space="0"/>
              <w:left w:val="nil"/>
              <w:bottom w:val="single" w:color="auto" w:sz="4" w:space="0"/>
              <w:right w:val="single" w:color="auto" w:sz="4" w:space="0"/>
            </w:tcBorders>
            <w:vAlign w:val="center"/>
          </w:tcPr>
          <w:p w14:paraId="19AE2163">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高空作业不系安全带，安全带未挂在牢固物体上或低挂高用。</w:t>
            </w:r>
          </w:p>
        </w:tc>
        <w:tc>
          <w:tcPr>
            <w:tcW w:w="3402" w:type="dxa"/>
            <w:tcBorders>
              <w:top w:val="single" w:color="auto" w:sz="4" w:space="0"/>
              <w:left w:val="nil"/>
              <w:bottom w:val="single" w:color="auto" w:sz="4" w:space="0"/>
              <w:right w:val="single" w:color="auto" w:sz="4" w:space="0"/>
            </w:tcBorders>
            <w:vAlign w:val="center"/>
          </w:tcPr>
          <w:p w14:paraId="49C80A69">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视情节对施工单位处以200-1000元违约金；对监理单位监管不力的，处以200-500元违约金。</w:t>
            </w:r>
          </w:p>
        </w:tc>
        <w:tc>
          <w:tcPr>
            <w:tcW w:w="850" w:type="dxa"/>
            <w:tcBorders>
              <w:top w:val="single" w:color="auto" w:sz="4" w:space="0"/>
              <w:left w:val="nil"/>
              <w:bottom w:val="single" w:color="auto" w:sz="4" w:space="0"/>
              <w:right w:val="single" w:color="auto" w:sz="4" w:space="0"/>
            </w:tcBorders>
            <w:vAlign w:val="center"/>
          </w:tcPr>
          <w:p w14:paraId="55F4E0BD">
            <w:pPr>
              <w:overflowPunct w:val="0"/>
              <w:autoSpaceDE w:val="0"/>
              <w:autoSpaceDN w:val="0"/>
              <w:adjustRightInd w:val="0"/>
              <w:snapToGrid w:val="0"/>
              <w:spacing w:line="320" w:lineRule="exact"/>
              <w:jc w:val="left"/>
              <w:rPr>
                <w:rFonts w:ascii="宋体" w:hAnsi="宋体" w:cs="宋体"/>
                <w:kern w:val="0"/>
                <w:szCs w:val="21"/>
              </w:rPr>
            </w:pPr>
          </w:p>
        </w:tc>
      </w:tr>
      <w:tr w14:paraId="6BEB6D27">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2220C1EE">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single" w:color="auto" w:sz="4" w:space="0"/>
              <w:left w:val="nil"/>
              <w:bottom w:val="single" w:color="auto" w:sz="4" w:space="0"/>
              <w:right w:val="single" w:color="auto" w:sz="4" w:space="0"/>
            </w:tcBorders>
            <w:vAlign w:val="center"/>
          </w:tcPr>
          <w:p w14:paraId="26005AD4">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46</w:t>
            </w:r>
          </w:p>
        </w:tc>
        <w:tc>
          <w:tcPr>
            <w:tcW w:w="3686" w:type="dxa"/>
            <w:tcBorders>
              <w:top w:val="single" w:color="auto" w:sz="4" w:space="0"/>
              <w:left w:val="nil"/>
              <w:bottom w:val="single" w:color="auto" w:sz="4" w:space="0"/>
              <w:right w:val="single" w:color="auto" w:sz="4" w:space="0"/>
            </w:tcBorders>
            <w:vAlign w:val="center"/>
          </w:tcPr>
          <w:p w14:paraId="3574A32A">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施工作业过程中光膀子或者衣服不扣纽扣。</w:t>
            </w:r>
          </w:p>
        </w:tc>
        <w:tc>
          <w:tcPr>
            <w:tcW w:w="3402" w:type="dxa"/>
            <w:tcBorders>
              <w:top w:val="single" w:color="auto" w:sz="4" w:space="0"/>
              <w:left w:val="nil"/>
              <w:bottom w:val="single" w:color="auto" w:sz="4" w:space="0"/>
              <w:right w:val="single" w:color="auto" w:sz="4" w:space="0"/>
            </w:tcBorders>
            <w:vAlign w:val="center"/>
          </w:tcPr>
          <w:p w14:paraId="672E69F7">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视情节对施工单位处以200-1000元违约金；对监理单位监管不力的，处以200-500元违约金。</w:t>
            </w:r>
          </w:p>
        </w:tc>
        <w:tc>
          <w:tcPr>
            <w:tcW w:w="850" w:type="dxa"/>
            <w:tcBorders>
              <w:top w:val="single" w:color="auto" w:sz="4" w:space="0"/>
              <w:left w:val="nil"/>
              <w:bottom w:val="single" w:color="auto" w:sz="4" w:space="0"/>
              <w:right w:val="single" w:color="auto" w:sz="4" w:space="0"/>
            </w:tcBorders>
            <w:vAlign w:val="center"/>
          </w:tcPr>
          <w:p w14:paraId="3A85945F">
            <w:pPr>
              <w:overflowPunct w:val="0"/>
              <w:autoSpaceDE w:val="0"/>
              <w:autoSpaceDN w:val="0"/>
              <w:adjustRightInd w:val="0"/>
              <w:snapToGrid w:val="0"/>
              <w:spacing w:line="320" w:lineRule="exact"/>
              <w:jc w:val="left"/>
              <w:rPr>
                <w:rFonts w:ascii="宋体" w:hAnsi="宋体" w:cs="宋体"/>
                <w:kern w:val="0"/>
                <w:szCs w:val="21"/>
              </w:rPr>
            </w:pPr>
          </w:p>
        </w:tc>
      </w:tr>
      <w:tr w14:paraId="63EBEB91">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396D8C94">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single" w:color="auto" w:sz="4" w:space="0"/>
              <w:left w:val="nil"/>
              <w:bottom w:val="single" w:color="auto" w:sz="4" w:space="0"/>
              <w:right w:val="single" w:color="auto" w:sz="4" w:space="0"/>
            </w:tcBorders>
            <w:vAlign w:val="center"/>
          </w:tcPr>
          <w:p w14:paraId="215E948C">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47</w:t>
            </w:r>
          </w:p>
        </w:tc>
        <w:tc>
          <w:tcPr>
            <w:tcW w:w="3686" w:type="dxa"/>
            <w:tcBorders>
              <w:top w:val="single" w:color="auto" w:sz="4" w:space="0"/>
              <w:left w:val="nil"/>
              <w:bottom w:val="single" w:color="auto" w:sz="4" w:space="0"/>
              <w:right w:val="single" w:color="auto" w:sz="4" w:space="0"/>
            </w:tcBorders>
            <w:vAlign w:val="center"/>
          </w:tcPr>
          <w:p w14:paraId="16A27749">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穿短裤、穿拖鞋或光脚进入施工现场。</w:t>
            </w:r>
          </w:p>
        </w:tc>
        <w:tc>
          <w:tcPr>
            <w:tcW w:w="3402" w:type="dxa"/>
            <w:tcBorders>
              <w:top w:val="single" w:color="auto" w:sz="4" w:space="0"/>
              <w:left w:val="nil"/>
              <w:bottom w:val="single" w:color="auto" w:sz="4" w:space="0"/>
              <w:right w:val="single" w:color="auto" w:sz="4" w:space="0"/>
            </w:tcBorders>
            <w:vAlign w:val="center"/>
          </w:tcPr>
          <w:p w14:paraId="12193706">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视情节对施工单位处以200-1000元违约金；对监理单位监管不力的，处以200-500元违约金。</w:t>
            </w:r>
          </w:p>
        </w:tc>
        <w:tc>
          <w:tcPr>
            <w:tcW w:w="850" w:type="dxa"/>
            <w:tcBorders>
              <w:top w:val="single" w:color="auto" w:sz="4" w:space="0"/>
              <w:left w:val="nil"/>
              <w:bottom w:val="single" w:color="auto" w:sz="4" w:space="0"/>
              <w:right w:val="single" w:color="auto" w:sz="4" w:space="0"/>
            </w:tcBorders>
            <w:vAlign w:val="center"/>
          </w:tcPr>
          <w:p w14:paraId="39BF2A4C">
            <w:pPr>
              <w:overflowPunct w:val="0"/>
              <w:autoSpaceDE w:val="0"/>
              <w:autoSpaceDN w:val="0"/>
              <w:adjustRightInd w:val="0"/>
              <w:snapToGrid w:val="0"/>
              <w:spacing w:line="320" w:lineRule="exact"/>
              <w:jc w:val="left"/>
              <w:rPr>
                <w:rFonts w:ascii="宋体" w:hAnsi="宋体" w:cs="宋体"/>
                <w:kern w:val="0"/>
                <w:szCs w:val="21"/>
              </w:rPr>
            </w:pPr>
          </w:p>
        </w:tc>
      </w:tr>
      <w:tr w14:paraId="2B0799BD">
        <w:tblPrEx>
          <w:tblCellMar>
            <w:top w:w="0" w:type="dxa"/>
            <w:left w:w="108" w:type="dxa"/>
            <w:bottom w:w="0" w:type="dxa"/>
            <w:right w:w="108" w:type="dxa"/>
          </w:tblCellMar>
        </w:tblPrEx>
        <w:trPr>
          <w:cantSplit/>
          <w:trHeight w:val="1021" w:hRule="exact"/>
          <w:jc w:val="center"/>
        </w:trPr>
        <w:tc>
          <w:tcPr>
            <w:tcW w:w="710" w:type="dxa"/>
            <w:vMerge w:val="continue"/>
            <w:tcBorders>
              <w:top w:val="nil"/>
              <w:left w:val="single" w:color="auto" w:sz="4" w:space="0"/>
              <w:bottom w:val="single" w:color="auto" w:sz="4" w:space="0"/>
              <w:right w:val="single" w:color="auto" w:sz="4" w:space="0"/>
            </w:tcBorders>
            <w:vAlign w:val="center"/>
          </w:tcPr>
          <w:p w14:paraId="030098B3">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nil"/>
              <w:left w:val="nil"/>
              <w:bottom w:val="single" w:color="auto" w:sz="4" w:space="0"/>
              <w:right w:val="single" w:color="auto" w:sz="4" w:space="0"/>
            </w:tcBorders>
            <w:vAlign w:val="center"/>
          </w:tcPr>
          <w:p w14:paraId="03842027">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48</w:t>
            </w:r>
          </w:p>
        </w:tc>
        <w:tc>
          <w:tcPr>
            <w:tcW w:w="3686" w:type="dxa"/>
            <w:tcBorders>
              <w:top w:val="nil"/>
              <w:left w:val="nil"/>
              <w:bottom w:val="single" w:color="auto" w:sz="4" w:space="0"/>
              <w:right w:val="single" w:color="auto" w:sz="4" w:space="0"/>
            </w:tcBorders>
            <w:vAlign w:val="center"/>
          </w:tcPr>
          <w:p w14:paraId="45CB0E7F">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穿高跟鞋、裙子进入施工现场。</w:t>
            </w:r>
          </w:p>
        </w:tc>
        <w:tc>
          <w:tcPr>
            <w:tcW w:w="3402" w:type="dxa"/>
            <w:tcBorders>
              <w:top w:val="nil"/>
              <w:left w:val="nil"/>
              <w:bottom w:val="single" w:color="auto" w:sz="4" w:space="0"/>
              <w:right w:val="single" w:color="auto" w:sz="4" w:space="0"/>
            </w:tcBorders>
            <w:vAlign w:val="center"/>
          </w:tcPr>
          <w:p w14:paraId="36BB4B52">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视情节对施工单位处以200-1000元违约金；对监理单位监管不力的，处以200-500元违约金。</w:t>
            </w:r>
          </w:p>
        </w:tc>
        <w:tc>
          <w:tcPr>
            <w:tcW w:w="850" w:type="dxa"/>
            <w:tcBorders>
              <w:top w:val="nil"/>
              <w:left w:val="nil"/>
              <w:bottom w:val="single" w:color="auto" w:sz="4" w:space="0"/>
              <w:right w:val="single" w:color="auto" w:sz="4" w:space="0"/>
            </w:tcBorders>
            <w:vAlign w:val="center"/>
          </w:tcPr>
          <w:p w14:paraId="6935084C">
            <w:pPr>
              <w:overflowPunct w:val="0"/>
              <w:autoSpaceDE w:val="0"/>
              <w:autoSpaceDN w:val="0"/>
              <w:adjustRightInd w:val="0"/>
              <w:snapToGrid w:val="0"/>
              <w:spacing w:line="320" w:lineRule="exact"/>
              <w:jc w:val="left"/>
              <w:rPr>
                <w:rFonts w:ascii="宋体" w:hAnsi="宋体" w:cs="宋体"/>
                <w:kern w:val="0"/>
                <w:szCs w:val="21"/>
              </w:rPr>
            </w:pPr>
          </w:p>
        </w:tc>
      </w:tr>
      <w:tr w14:paraId="71FC2C5C">
        <w:tblPrEx>
          <w:tblCellMar>
            <w:top w:w="0" w:type="dxa"/>
            <w:left w:w="108" w:type="dxa"/>
            <w:bottom w:w="0" w:type="dxa"/>
            <w:right w:w="108" w:type="dxa"/>
          </w:tblCellMar>
        </w:tblPrEx>
        <w:trPr>
          <w:cantSplit/>
          <w:trHeight w:val="1021" w:hRule="exact"/>
          <w:jc w:val="center"/>
        </w:trPr>
        <w:tc>
          <w:tcPr>
            <w:tcW w:w="710" w:type="dxa"/>
            <w:vMerge w:val="continue"/>
            <w:tcBorders>
              <w:top w:val="nil"/>
              <w:left w:val="single" w:color="auto" w:sz="4" w:space="0"/>
              <w:bottom w:val="single" w:color="auto" w:sz="4" w:space="0"/>
              <w:right w:val="single" w:color="auto" w:sz="4" w:space="0"/>
            </w:tcBorders>
            <w:vAlign w:val="center"/>
          </w:tcPr>
          <w:p w14:paraId="3D05BB67">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nil"/>
              <w:left w:val="nil"/>
              <w:bottom w:val="single" w:color="auto" w:sz="4" w:space="0"/>
              <w:right w:val="single" w:color="auto" w:sz="4" w:space="0"/>
            </w:tcBorders>
            <w:vAlign w:val="center"/>
          </w:tcPr>
          <w:p w14:paraId="45FD5B0A">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49</w:t>
            </w:r>
          </w:p>
        </w:tc>
        <w:tc>
          <w:tcPr>
            <w:tcW w:w="3686" w:type="dxa"/>
            <w:tcBorders>
              <w:top w:val="nil"/>
              <w:left w:val="nil"/>
              <w:bottom w:val="single" w:color="auto" w:sz="4" w:space="0"/>
              <w:right w:val="single" w:color="auto" w:sz="4" w:space="0"/>
            </w:tcBorders>
            <w:vAlign w:val="center"/>
          </w:tcPr>
          <w:p w14:paraId="3C799391">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酒后上岗作业，违章驾驶或无证驾驶。</w:t>
            </w:r>
          </w:p>
        </w:tc>
        <w:tc>
          <w:tcPr>
            <w:tcW w:w="3402" w:type="dxa"/>
            <w:tcBorders>
              <w:top w:val="nil"/>
              <w:left w:val="nil"/>
              <w:bottom w:val="single" w:color="auto" w:sz="4" w:space="0"/>
              <w:right w:val="single" w:color="auto" w:sz="4" w:space="0"/>
            </w:tcBorders>
            <w:vAlign w:val="center"/>
          </w:tcPr>
          <w:p w14:paraId="1FC0E57C">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视情节对施工单位处以200-1000元违约金；对监理单位监管不力的，处以200-500元违约金。</w:t>
            </w:r>
          </w:p>
        </w:tc>
        <w:tc>
          <w:tcPr>
            <w:tcW w:w="850" w:type="dxa"/>
            <w:tcBorders>
              <w:top w:val="nil"/>
              <w:left w:val="nil"/>
              <w:bottom w:val="single" w:color="auto" w:sz="4" w:space="0"/>
              <w:right w:val="single" w:color="auto" w:sz="4" w:space="0"/>
            </w:tcBorders>
            <w:vAlign w:val="center"/>
          </w:tcPr>
          <w:p w14:paraId="3D90931E">
            <w:pPr>
              <w:overflowPunct w:val="0"/>
              <w:autoSpaceDE w:val="0"/>
              <w:autoSpaceDN w:val="0"/>
              <w:adjustRightInd w:val="0"/>
              <w:snapToGrid w:val="0"/>
              <w:spacing w:line="320" w:lineRule="exact"/>
              <w:jc w:val="left"/>
              <w:rPr>
                <w:rFonts w:ascii="宋体" w:hAnsi="宋体" w:cs="宋体"/>
                <w:kern w:val="0"/>
                <w:szCs w:val="21"/>
              </w:rPr>
            </w:pPr>
          </w:p>
        </w:tc>
      </w:tr>
      <w:tr w14:paraId="7F5CD4B5">
        <w:tblPrEx>
          <w:tblCellMar>
            <w:top w:w="0" w:type="dxa"/>
            <w:left w:w="108" w:type="dxa"/>
            <w:bottom w:w="0" w:type="dxa"/>
            <w:right w:w="108" w:type="dxa"/>
          </w:tblCellMar>
        </w:tblPrEx>
        <w:trPr>
          <w:cantSplit/>
          <w:trHeight w:val="737" w:hRule="exact"/>
          <w:jc w:val="center"/>
        </w:trPr>
        <w:tc>
          <w:tcPr>
            <w:tcW w:w="710" w:type="dxa"/>
            <w:vMerge w:val="restart"/>
            <w:tcBorders>
              <w:top w:val="single" w:color="auto" w:sz="4" w:space="0"/>
              <w:left w:val="single" w:color="auto" w:sz="4" w:space="0"/>
              <w:bottom w:val="single" w:color="auto" w:sz="4" w:space="0"/>
              <w:right w:val="single" w:color="auto" w:sz="4" w:space="0"/>
            </w:tcBorders>
            <w:vAlign w:val="center"/>
          </w:tcPr>
          <w:p w14:paraId="13EACC5F">
            <w:pPr>
              <w:overflowPunct w:val="0"/>
              <w:autoSpaceDE w:val="0"/>
              <w:autoSpaceDN w:val="0"/>
              <w:adjustRightInd w:val="0"/>
              <w:snapToGrid w:val="0"/>
              <w:spacing w:line="320" w:lineRule="exact"/>
              <w:jc w:val="left"/>
              <w:rPr>
                <w:rFonts w:ascii="宋体" w:hAnsi="宋体" w:cs="宋体"/>
                <w:b/>
                <w:bCs/>
                <w:kern w:val="0"/>
                <w:szCs w:val="21"/>
              </w:rPr>
            </w:pPr>
            <w:r>
              <w:rPr>
                <w:rFonts w:hint="eastAsia" w:ascii="宋体" w:hAnsi="宋体" w:cs="宋体"/>
                <w:b/>
                <w:bCs/>
                <w:kern w:val="0"/>
                <w:szCs w:val="21"/>
              </w:rPr>
              <w:t>其它</w:t>
            </w:r>
          </w:p>
        </w:tc>
        <w:tc>
          <w:tcPr>
            <w:tcW w:w="708" w:type="dxa"/>
            <w:tcBorders>
              <w:top w:val="single" w:color="auto" w:sz="4" w:space="0"/>
              <w:left w:val="single" w:color="auto" w:sz="4" w:space="0"/>
              <w:bottom w:val="single" w:color="auto" w:sz="4" w:space="0"/>
              <w:right w:val="single" w:color="auto" w:sz="4" w:space="0"/>
            </w:tcBorders>
            <w:vAlign w:val="center"/>
          </w:tcPr>
          <w:p w14:paraId="5BF4B7C1">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50</w:t>
            </w:r>
          </w:p>
        </w:tc>
        <w:tc>
          <w:tcPr>
            <w:tcW w:w="3686" w:type="dxa"/>
            <w:tcBorders>
              <w:top w:val="single" w:color="auto" w:sz="4" w:space="0"/>
              <w:left w:val="single" w:color="auto" w:sz="4" w:space="0"/>
              <w:bottom w:val="single" w:color="auto" w:sz="4" w:space="0"/>
              <w:right w:val="single" w:color="auto" w:sz="4" w:space="0"/>
            </w:tcBorders>
            <w:vAlign w:val="center"/>
          </w:tcPr>
          <w:p w14:paraId="6BBFE773">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对公司人员、监理单位和施工单位进入施工现场不戴安全帽或不扣好帽带者。</w:t>
            </w:r>
          </w:p>
        </w:tc>
        <w:tc>
          <w:tcPr>
            <w:tcW w:w="3402" w:type="dxa"/>
            <w:tcBorders>
              <w:top w:val="nil"/>
              <w:left w:val="single" w:color="auto" w:sz="4" w:space="0"/>
              <w:bottom w:val="single" w:color="auto" w:sz="4" w:space="0"/>
              <w:right w:val="single" w:color="auto" w:sz="4" w:space="0"/>
            </w:tcBorders>
            <w:vAlign w:val="center"/>
          </w:tcPr>
          <w:p w14:paraId="0E5921F0">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每发现一人次，对监理单位、施工单位处以200元违约金。</w:t>
            </w:r>
          </w:p>
        </w:tc>
        <w:tc>
          <w:tcPr>
            <w:tcW w:w="850" w:type="dxa"/>
            <w:tcBorders>
              <w:top w:val="nil"/>
              <w:left w:val="nil"/>
              <w:bottom w:val="single" w:color="auto" w:sz="4" w:space="0"/>
              <w:right w:val="single" w:color="auto" w:sz="4" w:space="0"/>
            </w:tcBorders>
            <w:vAlign w:val="center"/>
          </w:tcPr>
          <w:p w14:paraId="6A0C0A40">
            <w:pPr>
              <w:overflowPunct w:val="0"/>
              <w:autoSpaceDE w:val="0"/>
              <w:autoSpaceDN w:val="0"/>
              <w:adjustRightInd w:val="0"/>
              <w:snapToGrid w:val="0"/>
              <w:spacing w:line="320" w:lineRule="exact"/>
              <w:jc w:val="left"/>
              <w:rPr>
                <w:rFonts w:ascii="宋体" w:hAnsi="宋体" w:cs="宋体"/>
                <w:kern w:val="0"/>
                <w:szCs w:val="21"/>
              </w:rPr>
            </w:pPr>
          </w:p>
        </w:tc>
      </w:tr>
      <w:tr w14:paraId="56F03EEE">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0FFDB597">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114E5538">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51</w:t>
            </w:r>
          </w:p>
        </w:tc>
        <w:tc>
          <w:tcPr>
            <w:tcW w:w="3686" w:type="dxa"/>
            <w:tcBorders>
              <w:top w:val="single" w:color="auto" w:sz="4" w:space="0"/>
              <w:left w:val="single" w:color="auto" w:sz="4" w:space="0"/>
              <w:bottom w:val="single" w:color="auto" w:sz="4" w:space="0"/>
              <w:right w:val="single" w:color="auto" w:sz="4" w:space="0"/>
            </w:tcBorders>
            <w:vAlign w:val="center"/>
          </w:tcPr>
          <w:p w14:paraId="2AC26CAF">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公司在工作检查中，发现现场监理人员对违规违章行为视而不见，未加以制止的。</w:t>
            </w:r>
          </w:p>
        </w:tc>
        <w:tc>
          <w:tcPr>
            <w:tcW w:w="3402" w:type="dxa"/>
            <w:tcBorders>
              <w:top w:val="nil"/>
              <w:left w:val="single" w:color="auto" w:sz="4" w:space="0"/>
              <w:bottom w:val="single" w:color="auto" w:sz="4" w:space="0"/>
              <w:right w:val="single" w:color="auto" w:sz="4" w:space="0"/>
            </w:tcBorders>
            <w:vAlign w:val="center"/>
          </w:tcPr>
          <w:p w14:paraId="4F526514">
            <w:pPr>
              <w:overflowPunct w:val="0"/>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对监理单位处以2000元违约金。</w:t>
            </w:r>
          </w:p>
        </w:tc>
        <w:tc>
          <w:tcPr>
            <w:tcW w:w="850" w:type="dxa"/>
            <w:tcBorders>
              <w:top w:val="nil"/>
              <w:left w:val="nil"/>
              <w:bottom w:val="single" w:color="auto" w:sz="4" w:space="0"/>
              <w:right w:val="single" w:color="auto" w:sz="4" w:space="0"/>
            </w:tcBorders>
            <w:vAlign w:val="center"/>
          </w:tcPr>
          <w:p w14:paraId="733F9DA7">
            <w:pPr>
              <w:overflowPunct w:val="0"/>
              <w:autoSpaceDE w:val="0"/>
              <w:autoSpaceDN w:val="0"/>
              <w:adjustRightInd w:val="0"/>
              <w:snapToGrid w:val="0"/>
              <w:spacing w:line="320" w:lineRule="exact"/>
              <w:jc w:val="left"/>
              <w:rPr>
                <w:rFonts w:ascii="宋体" w:hAnsi="宋体" w:cs="宋体"/>
                <w:kern w:val="0"/>
                <w:szCs w:val="21"/>
              </w:rPr>
            </w:pPr>
          </w:p>
        </w:tc>
      </w:tr>
      <w:tr w14:paraId="0C08DF78">
        <w:tblPrEx>
          <w:tblCellMar>
            <w:top w:w="0" w:type="dxa"/>
            <w:left w:w="108" w:type="dxa"/>
            <w:bottom w:w="0" w:type="dxa"/>
            <w:right w:w="108" w:type="dxa"/>
          </w:tblCellMar>
        </w:tblPrEx>
        <w:trPr>
          <w:cantSplit/>
          <w:trHeight w:val="737" w:hRule="exac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5455E802">
            <w:pPr>
              <w:overflowPunct w:val="0"/>
              <w:autoSpaceDE w:val="0"/>
              <w:autoSpaceDN w:val="0"/>
              <w:adjustRightInd w:val="0"/>
              <w:snapToGrid w:val="0"/>
              <w:spacing w:line="320" w:lineRule="exact"/>
              <w:jc w:val="left"/>
              <w:rPr>
                <w:rFonts w:ascii="宋体" w:hAnsi="宋体" w:cs="宋体"/>
                <w:b/>
                <w:bCs/>
                <w:kern w:val="0"/>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505633BB">
            <w:pPr>
              <w:overflowPunct w:val="0"/>
              <w:autoSpaceDE w:val="0"/>
              <w:autoSpaceDN w:val="0"/>
              <w:adjustRightInd w:val="0"/>
              <w:snapToGrid w:val="0"/>
              <w:spacing w:line="320" w:lineRule="exact"/>
              <w:jc w:val="center"/>
              <w:rPr>
                <w:rFonts w:ascii="宋体" w:hAnsi="宋体" w:cs="宋体"/>
                <w:kern w:val="0"/>
                <w:szCs w:val="21"/>
              </w:rPr>
            </w:pPr>
            <w:r>
              <w:rPr>
                <w:rFonts w:hint="eastAsia" w:ascii="宋体" w:hAnsi="宋体" w:cs="宋体"/>
                <w:kern w:val="0"/>
                <w:szCs w:val="21"/>
              </w:rPr>
              <w:t>52</w:t>
            </w:r>
          </w:p>
        </w:tc>
        <w:tc>
          <w:tcPr>
            <w:tcW w:w="3686" w:type="dxa"/>
            <w:tcBorders>
              <w:top w:val="single" w:color="auto" w:sz="4" w:space="0"/>
              <w:left w:val="single" w:color="auto" w:sz="4" w:space="0"/>
              <w:bottom w:val="single" w:color="auto" w:sz="4" w:space="0"/>
              <w:right w:val="single" w:color="auto" w:sz="4" w:space="0"/>
            </w:tcBorders>
            <w:vAlign w:val="center"/>
          </w:tcPr>
          <w:p w14:paraId="04779E98">
            <w:pPr>
              <w:overflowPunct w:val="0"/>
              <w:autoSpaceDE w:val="0"/>
              <w:autoSpaceDN w:val="0"/>
              <w:adjustRightInd w:val="0"/>
              <w:snapToGrid w:val="0"/>
              <w:spacing w:line="320" w:lineRule="exact"/>
              <w:jc w:val="left"/>
              <w:rPr>
                <w:rFonts w:ascii="宋体" w:hAnsi="宋体" w:cs="宋体"/>
                <w:kern w:val="0"/>
                <w:szCs w:val="21"/>
              </w:rPr>
            </w:pPr>
            <w:r>
              <w:rPr>
                <w:rFonts w:hint="eastAsia" w:ascii="宋体" w:hAnsi="宋体" w:cs="宋体"/>
                <w:kern w:val="0"/>
                <w:szCs w:val="21"/>
              </w:rPr>
              <w:t>其它未尽事宜，根据法律法规和公司相关规定执行。</w:t>
            </w:r>
          </w:p>
        </w:tc>
        <w:tc>
          <w:tcPr>
            <w:tcW w:w="3402" w:type="dxa"/>
            <w:tcBorders>
              <w:top w:val="nil"/>
              <w:left w:val="single" w:color="auto" w:sz="4" w:space="0"/>
              <w:bottom w:val="single" w:color="auto" w:sz="4" w:space="0"/>
              <w:right w:val="single" w:color="auto" w:sz="4" w:space="0"/>
            </w:tcBorders>
            <w:vAlign w:val="center"/>
          </w:tcPr>
          <w:p w14:paraId="008A8631">
            <w:pPr>
              <w:overflowPunct w:val="0"/>
              <w:autoSpaceDE w:val="0"/>
              <w:autoSpaceDN w:val="0"/>
              <w:adjustRightInd w:val="0"/>
              <w:snapToGrid w:val="0"/>
              <w:spacing w:line="320" w:lineRule="exact"/>
              <w:rPr>
                <w:rFonts w:ascii="宋体" w:hAnsi="宋体" w:cs="宋体"/>
                <w:kern w:val="0"/>
                <w:szCs w:val="21"/>
              </w:rPr>
            </w:pPr>
          </w:p>
        </w:tc>
        <w:tc>
          <w:tcPr>
            <w:tcW w:w="850" w:type="dxa"/>
            <w:tcBorders>
              <w:top w:val="nil"/>
              <w:left w:val="nil"/>
              <w:bottom w:val="single" w:color="auto" w:sz="4" w:space="0"/>
              <w:right w:val="single" w:color="auto" w:sz="4" w:space="0"/>
            </w:tcBorders>
            <w:vAlign w:val="center"/>
          </w:tcPr>
          <w:p w14:paraId="7984CF61">
            <w:pPr>
              <w:overflowPunct w:val="0"/>
              <w:autoSpaceDE w:val="0"/>
              <w:autoSpaceDN w:val="0"/>
              <w:adjustRightInd w:val="0"/>
              <w:snapToGrid w:val="0"/>
              <w:spacing w:line="320" w:lineRule="exact"/>
              <w:jc w:val="left"/>
              <w:rPr>
                <w:rFonts w:ascii="宋体" w:hAnsi="宋体" w:cs="宋体"/>
                <w:kern w:val="0"/>
                <w:szCs w:val="21"/>
              </w:rPr>
            </w:pPr>
          </w:p>
        </w:tc>
      </w:tr>
    </w:tbl>
    <w:p w14:paraId="66A4B503">
      <w:pPr>
        <w:adjustRightInd w:val="0"/>
        <w:snapToGrid w:val="0"/>
        <w:spacing w:line="420" w:lineRule="exact"/>
        <w:outlineLvl w:val="3"/>
        <w:rPr>
          <w:rFonts w:ascii="宋体" w:hAnsi="宋体"/>
          <w:sz w:val="24"/>
        </w:rPr>
      </w:pPr>
    </w:p>
    <w:p w14:paraId="20B9F9D2">
      <w:pPr>
        <w:adjustRightInd w:val="0"/>
        <w:snapToGrid w:val="0"/>
        <w:spacing w:line="420" w:lineRule="exact"/>
        <w:outlineLvl w:val="3"/>
        <w:rPr>
          <w:rFonts w:ascii="宋体" w:hAnsi="宋体" w:cs="方正仿宋_GBK"/>
          <w:sz w:val="24"/>
        </w:rPr>
      </w:pPr>
      <w:r>
        <w:rPr>
          <w:rFonts w:hint="eastAsia" w:ascii="宋体" w:hAnsi="宋体"/>
          <w:sz w:val="24"/>
        </w:rPr>
        <w:t>附录7-2   安全生产承诺书</w:t>
      </w:r>
    </w:p>
    <w:p w14:paraId="4DD53F37">
      <w:pPr>
        <w:adjustRightInd w:val="0"/>
        <w:snapToGrid w:val="0"/>
        <w:spacing w:line="420" w:lineRule="exact"/>
        <w:ind w:firstLine="602" w:firstLineChars="200"/>
        <w:jc w:val="center"/>
        <w:rPr>
          <w:rFonts w:ascii="宋体" w:hAnsi="宋体" w:cs="方正仿宋_GBK"/>
          <w:b/>
          <w:sz w:val="30"/>
          <w:szCs w:val="30"/>
        </w:rPr>
      </w:pPr>
      <w:r>
        <w:rPr>
          <w:rFonts w:hint="eastAsia" w:ascii="宋体" w:hAnsi="宋体" w:cs="方正仿宋_GBK"/>
          <w:b/>
          <w:sz w:val="30"/>
          <w:szCs w:val="30"/>
        </w:rPr>
        <w:t>安全生产承诺书</w:t>
      </w:r>
    </w:p>
    <w:p w14:paraId="65AE96FF">
      <w:pPr>
        <w:adjustRightInd w:val="0"/>
        <w:snapToGrid w:val="0"/>
        <w:spacing w:line="420" w:lineRule="exact"/>
        <w:ind w:firstLine="480" w:firstLineChars="200"/>
        <w:rPr>
          <w:rFonts w:ascii="宋体" w:hAnsi="宋体" w:cs="方正仿宋_GBK"/>
          <w:sz w:val="24"/>
        </w:rPr>
      </w:pPr>
    </w:p>
    <w:p w14:paraId="30BCDF5D">
      <w:pPr>
        <w:adjustRightInd w:val="0"/>
        <w:snapToGrid w:val="0"/>
        <w:spacing w:line="420" w:lineRule="exact"/>
        <w:rPr>
          <w:rFonts w:ascii="宋体" w:hAnsi="宋体" w:cs="方正仿宋_GBK"/>
          <w:sz w:val="24"/>
        </w:rPr>
      </w:pPr>
      <w:r>
        <w:rPr>
          <w:rFonts w:hint="eastAsia" w:ascii="宋体" w:hAnsi="宋体" w:cs="方正仿宋_GBK"/>
          <w:sz w:val="24"/>
        </w:rPr>
        <w:t xml:space="preserve">委托人: </w:t>
      </w:r>
    </w:p>
    <w:p w14:paraId="69F9A1C4">
      <w:pPr>
        <w:adjustRightInd w:val="0"/>
        <w:snapToGrid w:val="0"/>
        <w:spacing w:line="420" w:lineRule="exact"/>
        <w:ind w:firstLine="480" w:firstLineChars="200"/>
        <w:rPr>
          <w:rFonts w:ascii="宋体" w:hAnsi="宋体" w:cs="方正仿宋_GBK"/>
          <w:sz w:val="24"/>
        </w:rPr>
      </w:pPr>
      <w:r>
        <w:rPr>
          <w:rFonts w:hint="eastAsia" w:ascii="宋体" w:hAnsi="宋体" w:cs="方正仿宋_GBK"/>
          <w:sz w:val="24"/>
        </w:rPr>
        <w:t>我单位已认真阅读《建设项目安全生产管理办法》，并承诺严格遵守《建设项目安全生产管理办法》中规定和合同约定的内容，若发生安全生产违约行为，自愿承担《建设项目安全生产管理办法》中规定和合同约定的违约责任。</w:t>
      </w:r>
    </w:p>
    <w:p w14:paraId="1C5F9A4E">
      <w:pPr>
        <w:adjustRightInd w:val="0"/>
        <w:snapToGrid w:val="0"/>
        <w:spacing w:line="420" w:lineRule="exact"/>
        <w:ind w:firstLine="480" w:firstLineChars="200"/>
        <w:rPr>
          <w:rFonts w:ascii="宋体" w:hAnsi="宋体" w:cs="方正仿宋_GBK"/>
          <w:sz w:val="24"/>
        </w:rPr>
      </w:pPr>
    </w:p>
    <w:p w14:paraId="1383B205">
      <w:pPr>
        <w:adjustRightInd w:val="0"/>
        <w:snapToGrid w:val="0"/>
        <w:spacing w:line="420" w:lineRule="exact"/>
        <w:ind w:firstLine="480" w:firstLineChars="200"/>
        <w:rPr>
          <w:rFonts w:ascii="宋体" w:hAnsi="宋体" w:cs="方正仿宋_GBK"/>
          <w:sz w:val="24"/>
        </w:rPr>
      </w:pPr>
    </w:p>
    <w:p w14:paraId="4664BF15">
      <w:pPr>
        <w:adjustRightInd w:val="0"/>
        <w:snapToGrid w:val="0"/>
        <w:spacing w:line="420" w:lineRule="exact"/>
        <w:ind w:firstLine="480" w:firstLineChars="200"/>
        <w:jc w:val="right"/>
        <w:rPr>
          <w:rFonts w:ascii="宋体" w:hAnsi="宋体" w:cs="方正仿宋_GBK"/>
          <w:sz w:val="24"/>
        </w:rPr>
      </w:pPr>
    </w:p>
    <w:p w14:paraId="7A329A2A">
      <w:pPr>
        <w:wordWrap w:val="0"/>
        <w:adjustRightInd w:val="0"/>
        <w:snapToGrid w:val="0"/>
        <w:spacing w:line="420" w:lineRule="exact"/>
        <w:ind w:firstLine="5280" w:firstLineChars="2200"/>
        <w:rPr>
          <w:rFonts w:ascii="宋体" w:hAnsi="宋体" w:cs="方正仿宋_GBK"/>
          <w:sz w:val="24"/>
        </w:rPr>
      </w:pPr>
      <w:r>
        <w:rPr>
          <w:rFonts w:hint="eastAsia" w:ascii="宋体" w:hAnsi="宋体" w:cs="方正仿宋_GBK"/>
          <w:sz w:val="24"/>
        </w:rPr>
        <w:t xml:space="preserve"> 承诺单位: （法人公章） </w:t>
      </w:r>
    </w:p>
    <w:p w14:paraId="7F8D1965">
      <w:pPr>
        <w:adjustRightInd w:val="0"/>
        <w:snapToGrid w:val="0"/>
        <w:spacing w:line="420" w:lineRule="exact"/>
        <w:ind w:firstLine="480" w:firstLineChars="200"/>
        <w:jc w:val="right"/>
        <w:rPr>
          <w:rFonts w:ascii="宋体" w:hAnsi="宋体" w:cs="方正仿宋_GBK"/>
          <w:sz w:val="24"/>
        </w:rPr>
      </w:pPr>
    </w:p>
    <w:p w14:paraId="0738F198">
      <w:pPr>
        <w:wordWrap w:val="0"/>
        <w:adjustRightInd w:val="0"/>
        <w:snapToGrid w:val="0"/>
        <w:spacing w:line="420" w:lineRule="exact"/>
        <w:ind w:firstLine="480" w:firstLineChars="200"/>
        <w:jc w:val="center"/>
        <w:rPr>
          <w:rFonts w:ascii="宋体" w:hAnsi="宋体" w:cs="方正仿宋_GBK"/>
          <w:sz w:val="24"/>
        </w:rPr>
      </w:pPr>
      <w:r>
        <w:rPr>
          <w:rFonts w:hint="eastAsia" w:ascii="宋体" w:hAnsi="宋体" w:cs="方正仿宋_GBK"/>
          <w:sz w:val="24"/>
        </w:rPr>
        <w:t xml:space="preserve">                项目负责人： </w:t>
      </w:r>
    </w:p>
    <w:p w14:paraId="552B986D">
      <w:pPr>
        <w:adjustRightInd w:val="0"/>
        <w:snapToGrid w:val="0"/>
        <w:spacing w:line="420" w:lineRule="exact"/>
        <w:ind w:firstLine="480" w:firstLineChars="200"/>
        <w:rPr>
          <w:rFonts w:ascii="宋体" w:hAnsi="宋体" w:cs="方正仿宋_GBK"/>
          <w:sz w:val="24"/>
        </w:rPr>
      </w:pPr>
    </w:p>
    <w:p w14:paraId="6ACA4977">
      <w:pPr>
        <w:adjustRightInd w:val="0"/>
        <w:snapToGrid w:val="0"/>
        <w:spacing w:line="420" w:lineRule="exact"/>
        <w:ind w:firstLine="480" w:firstLineChars="200"/>
        <w:jc w:val="right"/>
        <w:rPr>
          <w:rFonts w:ascii="宋体" w:hAnsi="宋体" w:cs="方正仿宋_GBK"/>
          <w:sz w:val="24"/>
        </w:rPr>
      </w:pPr>
      <w:r>
        <w:rPr>
          <w:rFonts w:hint="eastAsia" w:ascii="宋体" w:hAnsi="宋体" w:cs="方正仿宋_GBK"/>
          <w:sz w:val="24"/>
        </w:rPr>
        <w:t xml:space="preserve">                               年   月   日  </w:t>
      </w:r>
    </w:p>
    <w:p w14:paraId="14A39F40">
      <w:pPr>
        <w:spacing w:line="440" w:lineRule="exact"/>
        <w:rPr>
          <w:rFonts w:ascii="宋体" w:hAnsi="宋体"/>
          <w:sz w:val="24"/>
        </w:rPr>
      </w:pPr>
    </w:p>
    <w:p w14:paraId="42B018F8"/>
    <w:p w14:paraId="35E92730"/>
    <w:p w14:paraId="4D670C2F">
      <w:r>
        <w:br w:type="page"/>
      </w:r>
    </w:p>
    <w:bookmarkEnd w:id="689"/>
    <w:bookmarkEnd w:id="690"/>
    <w:bookmarkEnd w:id="691"/>
    <w:p w14:paraId="78922DF4">
      <w:pPr>
        <w:pStyle w:val="3"/>
        <w:spacing w:line="360" w:lineRule="auto"/>
        <w:jc w:val="center"/>
        <w:rPr>
          <w:rFonts w:ascii="宋体" w:hAnsi="宋体" w:cs="宋体"/>
        </w:rPr>
      </w:pPr>
      <w:bookmarkStart w:id="699" w:name="_Toc427308797"/>
      <w:bookmarkEnd w:id="699"/>
      <w:bookmarkStart w:id="700" w:name="_Toc427308803"/>
      <w:bookmarkEnd w:id="700"/>
      <w:bookmarkStart w:id="701" w:name="_Toc413659131"/>
      <w:bookmarkEnd w:id="701"/>
      <w:bookmarkStart w:id="702" w:name="_Toc413659129"/>
      <w:bookmarkEnd w:id="702"/>
      <w:bookmarkStart w:id="703" w:name="_Toc413659120"/>
      <w:bookmarkEnd w:id="703"/>
      <w:bookmarkStart w:id="704" w:name="_Toc427308800"/>
      <w:bookmarkEnd w:id="704"/>
      <w:bookmarkStart w:id="705" w:name="_Toc426028162"/>
      <w:bookmarkEnd w:id="705"/>
      <w:bookmarkStart w:id="706" w:name="_bookmark159"/>
      <w:bookmarkEnd w:id="706"/>
      <w:bookmarkStart w:id="707" w:name="_Toc427308796"/>
      <w:bookmarkEnd w:id="707"/>
      <w:bookmarkStart w:id="708" w:name="_Toc413659121"/>
      <w:bookmarkEnd w:id="708"/>
      <w:bookmarkStart w:id="709" w:name="招标文件07章技术标准和要求"/>
      <w:bookmarkEnd w:id="709"/>
      <w:bookmarkStart w:id="710" w:name="_Toc413659127"/>
      <w:bookmarkEnd w:id="710"/>
      <w:bookmarkStart w:id="711" w:name="_Toc427308798"/>
      <w:bookmarkEnd w:id="711"/>
      <w:bookmarkStart w:id="712" w:name="_bookmark158"/>
      <w:bookmarkEnd w:id="712"/>
      <w:bookmarkStart w:id="713" w:name="_Toc413659123"/>
      <w:bookmarkEnd w:id="713"/>
      <w:bookmarkStart w:id="714" w:name="_Toc426028161"/>
      <w:bookmarkEnd w:id="714"/>
      <w:bookmarkStart w:id="715" w:name="_Toc413659132"/>
      <w:bookmarkEnd w:id="715"/>
      <w:bookmarkStart w:id="716" w:name="_Toc413659119"/>
      <w:bookmarkEnd w:id="716"/>
      <w:bookmarkStart w:id="717" w:name="_bookmark94"/>
      <w:bookmarkEnd w:id="717"/>
      <w:bookmarkStart w:id="718" w:name="_Toc426028157"/>
      <w:bookmarkEnd w:id="718"/>
      <w:bookmarkStart w:id="719" w:name="招标文件06章图纸"/>
      <w:bookmarkEnd w:id="719"/>
      <w:bookmarkStart w:id="720" w:name="招标文件06章图纸01"/>
      <w:bookmarkEnd w:id="720"/>
      <w:bookmarkStart w:id="721" w:name="_Toc426028153"/>
      <w:bookmarkEnd w:id="721"/>
      <w:bookmarkStart w:id="722" w:name="招标文件08章投标文件格式"/>
      <w:bookmarkEnd w:id="722"/>
      <w:bookmarkStart w:id="723" w:name="_Toc413659130"/>
      <w:bookmarkEnd w:id="723"/>
      <w:bookmarkStart w:id="724" w:name="_Toc426028159"/>
      <w:bookmarkEnd w:id="724"/>
      <w:bookmarkStart w:id="725" w:name="_bookmark157"/>
      <w:bookmarkEnd w:id="725"/>
      <w:bookmarkStart w:id="726" w:name="_Toc426028160"/>
      <w:bookmarkEnd w:id="726"/>
      <w:bookmarkStart w:id="727" w:name="_Toc427308802"/>
      <w:bookmarkEnd w:id="727"/>
      <w:bookmarkStart w:id="728" w:name="_Toc426028152"/>
      <w:bookmarkEnd w:id="728"/>
      <w:bookmarkStart w:id="729" w:name="_Toc426028155"/>
      <w:bookmarkEnd w:id="729"/>
      <w:bookmarkStart w:id="730" w:name="_Toc427308805"/>
      <w:bookmarkEnd w:id="730"/>
      <w:bookmarkStart w:id="731" w:name="_Toc426028151"/>
      <w:bookmarkEnd w:id="731"/>
      <w:bookmarkStart w:id="732" w:name="_Toc427308806"/>
      <w:bookmarkEnd w:id="732"/>
      <w:bookmarkStart w:id="733" w:name="_Toc427308804"/>
      <w:bookmarkEnd w:id="733"/>
      <w:bookmarkStart w:id="734" w:name="_Toc534185829"/>
      <w:bookmarkStart w:id="735" w:name="_Toc509218852"/>
      <w:bookmarkStart w:id="736" w:name="_Toc287620812"/>
      <w:bookmarkStart w:id="737" w:name="_Toc5129"/>
      <w:bookmarkStart w:id="738" w:name="_Toc14772"/>
      <w:bookmarkStart w:id="739" w:name="_Toc430530528"/>
      <w:bookmarkStart w:id="740" w:name="_Toc287607865"/>
      <w:bookmarkStart w:id="741" w:name="_Toc296890982"/>
      <w:bookmarkStart w:id="742" w:name="_Toc351203480"/>
      <w:bookmarkStart w:id="743" w:name="_Toc296503025"/>
      <w:r>
        <w:rPr>
          <w:rFonts w:hint="eastAsia" w:ascii="宋体" w:hAnsi="宋体" w:cs="宋体"/>
        </w:rPr>
        <w:t>第五章  竞选文件格式</w:t>
      </w:r>
      <w:bookmarkEnd w:id="734"/>
      <w:bookmarkEnd w:id="735"/>
      <w:bookmarkEnd w:id="736"/>
      <w:bookmarkEnd w:id="737"/>
      <w:bookmarkEnd w:id="738"/>
      <w:bookmarkEnd w:id="739"/>
      <w:bookmarkEnd w:id="740"/>
    </w:p>
    <w:p w14:paraId="771EC13B"/>
    <w:p w14:paraId="4353B067">
      <w:pPr>
        <w:pStyle w:val="2"/>
      </w:pPr>
    </w:p>
    <w:p w14:paraId="49599276"/>
    <w:p w14:paraId="64DA2B1D">
      <w:pPr>
        <w:pStyle w:val="2"/>
      </w:pPr>
    </w:p>
    <w:p w14:paraId="7F001FDE"/>
    <w:p w14:paraId="7984985C">
      <w:pPr>
        <w:pStyle w:val="2"/>
      </w:pPr>
    </w:p>
    <w:p w14:paraId="4573224A"/>
    <w:p w14:paraId="3DA088E0">
      <w:pPr>
        <w:pStyle w:val="2"/>
      </w:pPr>
    </w:p>
    <w:p w14:paraId="4EFA521B"/>
    <w:p w14:paraId="0FAE5C64">
      <w:pPr>
        <w:pStyle w:val="2"/>
      </w:pPr>
    </w:p>
    <w:p w14:paraId="42EBC03C"/>
    <w:p w14:paraId="6A9C7DD7">
      <w:pPr>
        <w:pStyle w:val="2"/>
      </w:pPr>
    </w:p>
    <w:p w14:paraId="0135B2E3"/>
    <w:p w14:paraId="48464D5B">
      <w:pPr>
        <w:pStyle w:val="2"/>
      </w:pPr>
    </w:p>
    <w:p w14:paraId="5FBD006E"/>
    <w:p w14:paraId="1DD8624A">
      <w:pPr>
        <w:pStyle w:val="2"/>
      </w:pPr>
    </w:p>
    <w:p w14:paraId="62BAA29A"/>
    <w:p w14:paraId="529800AD">
      <w:pPr>
        <w:pStyle w:val="2"/>
      </w:pPr>
    </w:p>
    <w:p w14:paraId="38CC012A"/>
    <w:p w14:paraId="0908A280">
      <w:pPr>
        <w:pStyle w:val="2"/>
      </w:pPr>
    </w:p>
    <w:p w14:paraId="5637C905"/>
    <w:p w14:paraId="658C7FAA">
      <w:pPr>
        <w:pStyle w:val="2"/>
      </w:pPr>
    </w:p>
    <w:p w14:paraId="37839D02"/>
    <w:p w14:paraId="2F6EBAA4">
      <w:pPr>
        <w:pStyle w:val="2"/>
      </w:pPr>
    </w:p>
    <w:p w14:paraId="4FA64822"/>
    <w:p w14:paraId="370BC238">
      <w:pPr>
        <w:pStyle w:val="2"/>
      </w:pPr>
    </w:p>
    <w:p w14:paraId="4C00D5A7"/>
    <w:p w14:paraId="70C7FF78">
      <w:pPr>
        <w:pStyle w:val="2"/>
      </w:pPr>
    </w:p>
    <w:p w14:paraId="0D6D9B33"/>
    <w:p w14:paraId="67164BA9">
      <w:pPr>
        <w:pStyle w:val="2"/>
      </w:pPr>
    </w:p>
    <w:p w14:paraId="3F64E7D2">
      <w:pPr>
        <w:spacing w:line="360" w:lineRule="auto"/>
        <w:jc w:val="center"/>
        <w:rPr>
          <w:rFonts w:ascii="宋体" w:hAnsi="宋体" w:cs="宋体"/>
          <w:sz w:val="36"/>
          <w:szCs w:val="36"/>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0" b="7620"/>
                <wp:wrapNone/>
                <wp:docPr id="118" name="矩形 118"/>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36A1BA8D"/>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kqBOSIgIAAEIEAAAOAAAAZHJzL2Uyb0RvYy54bWyt&#10;U82O0zAQviPxDpbvNM1S9idqulq1KkJaYKWFB3AcJ7FIPGbsNikvg8RtH4LHQbwGY6ftluWyB3KI&#10;PD/+Zr5vxvProWvZVqHTYHKeTqacKSOh1KbO+edP61eXnDkvTClaMCrnO+X49eLli3lvM3UGDbSl&#10;QkYgxmW9zXnjvc2SxMlGdcJNwCpDwQqwE55MrJMSRU/oXZucTafnSQ9YWgSpnCPvagzyPSI+BxCq&#10;Sku1ArnplPEjKqpWeKLkGm0dX8Ruq0pJ/7GqnPKszTkx9fFPRehchH+ymIusRmEbLfctiOe08IRT&#10;J7ShokeolfCCbVD/A9VpieCg8hMJXTISiYoQi3T6RJv7RlgVuZDUzh5Fd/8PVn7Y3iHTJW1CSoM3&#10;oqOR//7+8OvnDxY8pE9vXUZp9/YOA0Nnb0F+cczAshGmVjeI0DdKlNRVGvKTvy4Ew9FVVvTvoSRw&#10;sfEQpRoq7AIgicCGOJHdcSJq8EyS83J6cXFGs5IUOr96PaNzqCCyw2WLzr9V0LFwyDnSwCO42N46&#10;P6YeUmLz0Opyrds2GlgXyxbZVtByrOO3R3enaa0JyQbCtRFx9Ki4XvsyB5qjXH4oBkoNzgLKHbFH&#10;GFePHh4dGsBvnPW0djl3XzcCFWftO0MKXqWzWdjTaMzeRPJ4GilOI8JIgsq552w8Lv242xuLum6o&#10;UhrVMHBDqlc6KvLY1X5WtFpR0/0zCLt7asesx6e/+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Xqn2gAAAA0BAAAPAAAAAAAAAAEAIAAAACIAAABkcnMvZG93bnJldi54bWxQSwECFAAUAAAACACH&#10;TuJApKgTkiICAABCBAAADgAAAAAAAAABACAAAAApAQAAZHJzL2Uyb0RvYy54bWxQSwUGAAAAAAYA&#10;BgBZAQAAvQUAAAAA&#10;">
                <v:fill on="t" focussize="0,0"/>
                <v:stroke on="f"/>
                <v:imagedata o:title=""/>
                <o:lock v:ext="edit" aspectratio="f"/>
                <v:textbox>
                  <w:txbxContent>
                    <w:p w14:paraId="36A1BA8D"/>
                  </w:txbxContent>
                </v:textbox>
              </v:rect>
            </w:pict>
          </mc:Fallback>
        </mc:AlternateContent>
      </w:r>
      <w:bookmarkStart w:id="744" w:name="_Toc224103493"/>
      <w:r>
        <w:rPr>
          <w:rFonts w:hint="eastAsia" w:ascii="宋体" w:hAnsi="宋体" w:cs="宋体"/>
          <w:sz w:val="36"/>
          <w:szCs w:val="36"/>
        </w:rPr>
        <w:t>目  录</w:t>
      </w:r>
      <w:bookmarkEnd w:id="744"/>
    </w:p>
    <w:p w14:paraId="18648397">
      <w:pPr>
        <w:spacing w:line="360" w:lineRule="auto"/>
        <w:rPr>
          <w:rFonts w:ascii="宋体" w:hAnsi="宋体" w:cs="宋体"/>
          <w:b/>
        </w:rPr>
      </w:pPr>
      <w:r>
        <w:rPr>
          <w:rFonts w:hint="eastAsia" w:ascii="宋体" w:hAnsi="宋体"/>
          <w:b/>
        </w:rPr>
        <w:t>一、竞选</w:t>
      </w:r>
      <w:r>
        <w:rPr>
          <w:rFonts w:hint="eastAsia" w:ascii="宋体" w:hAnsi="宋体" w:cs="宋体"/>
          <w:b/>
        </w:rPr>
        <w:t>函部分</w:t>
      </w:r>
    </w:p>
    <w:p w14:paraId="381B9751">
      <w:pPr>
        <w:spacing w:line="360" w:lineRule="auto"/>
        <w:ind w:firstLine="420" w:firstLineChars="200"/>
        <w:rPr>
          <w:rFonts w:ascii="宋体" w:hAnsi="宋体" w:cs="宋体"/>
        </w:rPr>
      </w:pPr>
      <w:r>
        <w:rPr>
          <w:rFonts w:hint="eastAsia" w:ascii="宋体" w:hAnsi="宋体" w:cs="宋体"/>
        </w:rPr>
        <w:t>（一）竞选函</w:t>
      </w:r>
    </w:p>
    <w:p w14:paraId="0D6E4433">
      <w:pPr>
        <w:spacing w:line="360" w:lineRule="auto"/>
        <w:ind w:firstLine="420" w:firstLineChars="200"/>
        <w:rPr>
          <w:rFonts w:ascii="宋体" w:hAnsi="宋体" w:cs="宋体"/>
        </w:rPr>
      </w:pPr>
      <w:r>
        <w:rPr>
          <w:rFonts w:hint="eastAsia" w:ascii="宋体" w:hAnsi="宋体" w:cs="宋体"/>
        </w:rPr>
        <w:t>（二）竞选函附录</w:t>
      </w:r>
    </w:p>
    <w:p w14:paraId="467EB2F1">
      <w:pPr>
        <w:spacing w:line="360" w:lineRule="auto"/>
        <w:ind w:firstLine="420" w:firstLineChars="200"/>
        <w:rPr>
          <w:rFonts w:ascii="宋体" w:hAnsi="宋体" w:cs="宋体"/>
        </w:rPr>
      </w:pPr>
      <w:r>
        <w:rPr>
          <w:rFonts w:hint="eastAsia" w:ascii="宋体" w:hAnsi="宋体" w:cs="宋体"/>
        </w:rPr>
        <w:t>（三）</w:t>
      </w:r>
      <w:r>
        <w:rPr>
          <w:rFonts w:hint="eastAsia" w:ascii="宋体" w:hAnsi="宋体"/>
          <w:szCs w:val="21"/>
        </w:rPr>
        <w:t>法定代表人身份证明或附有法定代表人身份证明的授权委托书</w:t>
      </w:r>
    </w:p>
    <w:p w14:paraId="3D7E5823">
      <w:pPr>
        <w:spacing w:line="360" w:lineRule="auto"/>
        <w:ind w:firstLine="420" w:firstLineChars="200"/>
        <w:rPr>
          <w:rFonts w:ascii="宋体" w:hAnsi="宋体" w:cs="宋体"/>
        </w:rPr>
      </w:pPr>
      <w:r>
        <w:rPr>
          <w:rFonts w:ascii="宋体" w:hAnsi="宋体" w:cs="宋体"/>
        </w:rPr>
        <w:t>（四）</w:t>
      </w:r>
      <w:r>
        <w:rPr>
          <w:rFonts w:hint="eastAsia" w:ascii="宋体" w:hAnsi="宋体"/>
        </w:rPr>
        <w:t>低价风险担保提交承诺书（如有）</w:t>
      </w:r>
    </w:p>
    <w:p w14:paraId="11C183FF">
      <w:pPr>
        <w:spacing w:line="360" w:lineRule="auto"/>
        <w:rPr>
          <w:rFonts w:ascii="宋体" w:hAnsi="宋体" w:cs="宋体"/>
          <w:b/>
        </w:rPr>
      </w:pPr>
      <w:r>
        <w:rPr>
          <w:rFonts w:hint="eastAsia" w:ascii="宋体" w:hAnsi="宋体" w:cs="宋体"/>
          <w:b/>
        </w:rPr>
        <w:t>二、技术部分</w:t>
      </w:r>
    </w:p>
    <w:p w14:paraId="70261AE9">
      <w:pPr>
        <w:spacing w:line="360" w:lineRule="auto"/>
        <w:rPr>
          <w:rFonts w:ascii="宋体" w:hAnsi="宋体" w:cs="宋体"/>
          <w:b/>
        </w:rPr>
      </w:pPr>
      <w:r>
        <w:rPr>
          <w:rFonts w:hint="eastAsia" w:ascii="宋体" w:hAnsi="宋体" w:cs="宋体"/>
          <w:b/>
          <w:bCs/>
        </w:rPr>
        <w:t>三</w:t>
      </w:r>
      <w:r>
        <w:rPr>
          <w:rFonts w:hint="eastAsia" w:ascii="宋体" w:hAnsi="宋体" w:cs="宋体"/>
          <w:b/>
        </w:rPr>
        <w:t>、资格审查部分</w:t>
      </w:r>
    </w:p>
    <w:p w14:paraId="5C815AA1">
      <w:pPr>
        <w:spacing w:line="360" w:lineRule="auto"/>
        <w:ind w:firstLine="420" w:firstLineChars="200"/>
        <w:jc w:val="left"/>
        <w:rPr>
          <w:rFonts w:ascii="宋体" w:hAnsi="宋体" w:cs="宋体"/>
        </w:rPr>
      </w:pPr>
      <w:r>
        <w:rPr>
          <w:rFonts w:hint="eastAsia" w:ascii="宋体" w:hAnsi="宋体" w:cs="宋体"/>
        </w:rPr>
        <w:t>（一）</w:t>
      </w:r>
      <w:r>
        <w:rPr>
          <w:rFonts w:hint="eastAsia" w:ascii="宋体" w:hAnsi="宋体"/>
          <w:szCs w:val="21"/>
        </w:rPr>
        <w:t>法定代表人身份证明或附有法定代表人身份证明的授权委托书</w:t>
      </w:r>
    </w:p>
    <w:p w14:paraId="549163EA">
      <w:pPr>
        <w:spacing w:line="360" w:lineRule="auto"/>
        <w:ind w:firstLine="420" w:firstLineChars="200"/>
        <w:rPr>
          <w:rFonts w:ascii="宋体" w:hAnsi="宋体" w:cs="宋体"/>
        </w:rPr>
      </w:pPr>
      <w:r>
        <w:rPr>
          <w:rFonts w:hint="eastAsia" w:ascii="宋体" w:hAnsi="宋体" w:cs="宋体"/>
        </w:rPr>
        <w:t>（二）竞选人基本情况表</w:t>
      </w:r>
    </w:p>
    <w:p w14:paraId="55185732">
      <w:pPr>
        <w:spacing w:line="360" w:lineRule="auto"/>
        <w:ind w:firstLine="420" w:firstLineChars="200"/>
        <w:rPr>
          <w:rFonts w:ascii="宋体" w:hAnsi="宋体"/>
          <w:szCs w:val="21"/>
        </w:rPr>
      </w:pPr>
      <w:r>
        <w:rPr>
          <w:rFonts w:hint="eastAsia" w:ascii="宋体" w:hAnsi="宋体" w:cs="宋体"/>
        </w:rPr>
        <w:t>（三）</w:t>
      </w:r>
      <w:r>
        <w:rPr>
          <w:rFonts w:hint="eastAsia" w:ascii="宋体" w:hAnsi="宋体"/>
          <w:szCs w:val="21"/>
        </w:rPr>
        <w:t>近年财务状况表</w:t>
      </w:r>
    </w:p>
    <w:p w14:paraId="1EEF0185">
      <w:pPr>
        <w:spacing w:line="360" w:lineRule="auto"/>
        <w:ind w:firstLine="420" w:firstLineChars="200"/>
        <w:rPr>
          <w:rFonts w:ascii="宋体" w:hAnsi="宋体" w:cs="宋体"/>
        </w:rPr>
      </w:pPr>
      <w:r>
        <w:rPr>
          <w:rFonts w:hint="eastAsia" w:ascii="宋体" w:hAnsi="宋体" w:cs="宋体"/>
        </w:rPr>
        <w:t>（四）</w:t>
      </w:r>
      <w:r>
        <w:rPr>
          <w:rFonts w:hint="eastAsia" w:ascii="宋体" w:hAnsi="宋体"/>
          <w:szCs w:val="21"/>
        </w:rPr>
        <w:t>近年完成的类似项目情况表</w:t>
      </w:r>
    </w:p>
    <w:p w14:paraId="3C4BE095">
      <w:pPr>
        <w:spacing w:line="360" w:lineRule="auto"/>
        <w:ind w:firstLine="420" w:firstLineChars="200"/>
        <w:rPr>
          <w:rFonts w:ascii="宋体" w:hAnsi="宋体" w:cs="宋体"/>
        </w:rPr>
      </w:pPr>
      <w:r>
        <w:rPr>
          <w:rFonts w:hint="eastAsia" w:ascii="宋体" w:hAnsi="宋体" w:cs="宋体"/>
        </w:rPr>
        <w:t>（五）承诺</w:t>
      </w:r>
    </w:p>
    <w:p w14:paraId="272B4F6A">
      <w:pPr>
        <w:spacing w:line="360" w:lineRule="auto"/>
        <w:ind w:firstLine="420" w:firstLineChars="200"/>
        <w:rPr>
          <w:rFonts w:ascii="宋体" w:hAnsi="宋体" w:cs="宋体"/>
        </w:rPr>
      </w:pPr>
      <w:r>
        <w:rPr>
          <w:rFonts w:hint="eastAsia" w:ascii="宋体" w:hAnsi="宋体" w:cs="宋体"/>
        </w:rPr>
        <w:t>（六）主要人员简历表</w:t>
      </w:r>
    </w:p>
    <w:p w14:paraId="6F8C3CBD">
      <w:pPr>
        <w:spacing w:line="360" w:lineRule="auto"/>
        <w:ind w:firstLine="420" w:firstLineChars="200"/>
        <w:rPr>
          <w:rFonts w:ascii="宋体" w:hAnsi="宋体" w:cs="宋体"/>
          <w:szCs w:val="21"/>
        </w:rPr>
      </w:pPr>
      <w:r>
        <w:rPr>
          <w:rFonts w:hint="eastAsia" w:ascii="宋体" w:hAnsi="宋体" w:cs="宋体"/>
        </w:rPr>
        <w:t>（七）其他资料</w:t>
      </w:r>
    </w:p>
    <w:p w14:paraId="49BEF23A">
      <w:pPr>
        <w:spacing w:line="360" w:lineRule="auto"/>
        <w:ind w:firstLine="420" w:firstLineChars="200"/>
        <w:rPr>
          <w:rFonts w:ascii="宋体" w:hAnsi="宋体" w:cs="宋体"/>
        </w:rPr>
      </w:pPr>
    </w:p>
    <w:p w14:paraId="3CBB37F0">
      <w:pPr>
        <w:pStyle w:val="4"/>
        <w:spacing w:line="360" w:lineRule="auto"/>
        <w:jc w:val="center"/>
        <w:rPr>
          <w:rFonts w:ascii="宋体" w:hAnsi="宋体" w:cs="宋体"/>
          <w:kern w:val="0"/>
          <w:sz w:val="24"/>
        </w:rPr>
      </w:pPr>
      <w:bookmarkStart w:id="745" w:name="_Toc534185830"/>
      <w:bookmarkStart w:id="746" w:name="_Toc27983320"/>
      <w:bookmarkStart w:id="747" w:name="_Toc15801"/>
      <w:bookmarkStart w:id="748" w:name="_Toc509218853"/>
      <w:bookmarkStart w:id="749" w:name="_Toc6306"/>
    </w:p>
    <w:p w14:paraId="0FB16E7A">
      <w:pPr>
        <w:spacing w:line="360" w:lineRule="auto"/>
        <w:jc w:val="center"/>
        <w:rPr>
          <w:rFonts w:ascii="宋体" w:hAnsi="宋体"/>
          <w:sz w:val="44"/>
          <w:szCs w:val="44"/>
        </w:rPr>
      </w:pPr>
    </w:p>
    <w:p w14:paraId="6D7BEA06">
      <w:pPr>
        <w:spacing w:line="360" w:lineRule="auto"/>
        <w:jc w:val="center"/>
        <w:rPr>
          <w:rFonts w:ascii="宋体" w:hAnsi="宋体"/>
          <w:sz w:val="44"/>
          <w:szCs w:val="44"/>
        </w:rPr>
      </w:pPr>
    </w:p>
    <w:p w14:paraId="0351F452">
      <w:pPr>
        <w:pStyle w:val="2"/>
      </w:pPr>
    </w:p>
    <w:p w14:paraId="2C67C0C0"/>
    <w:p w14:paraId="7352E09F">
      <w:pPr>
        <w:pStyle w:val="2"/>
      </w:pPr>
    </w:p>
    <w:p w14:paraId="3D81E445"/>
    <w:p w14:paraId="50604EF4">
      <w:pPr>
        <w:pStyle w:val="2"/>
      </w:pPr>
    </w:p>
    <w:p w14:paraId="16D998CD"/>
    <w:p w14:paraId="70DB4BB8">
      <w:pPr>
        <w:spacing w:line="360" w:lineRule="auto"/>
        <w:jc w:val="center"/>
        <w:rPr>
          <w:rFonts w:ascii="宋体" w:hAnsi="宋体"/>
          <w:sz w:val="44"/>
          <w:szCs w:val="44"/>
        </w:rPr>
      </w:pPr>
    </w:p>
    <w:p w14:paraId="0FD4DF5F">
      <w:pPr>
        <w:spacing w:line="360" w:lineRule="auto"/>
        <w:jc w:val="center"/>
        <w:rPr>
          <w:rFonts w:ascii="宋体" w:hAnsi="宋体"/>
          <w:sz w:val="44"/>
          <w:szCs w:val="44"/>
        </w:rPr>
      </w:pPr>
    </w:p>
    <w:p w14:paraId="7EB81A60">
      <w:pPr>
        <w:pStyle w:val="2"/>
      </w:pPr>
    </w:p>
    <w:bookmarkEnd w:id="745"/>
    <w:bookmarkEnd w:id="746"/>
    <w:bookmarkEnd w:id="747"/>
    <w:bookmarkEnd w:id="748"/>
    <w:bookmarkEnd w:id="749"/>
    <w:p w14:paraId="47396DFA">
      <w:pPr>
        <w:pStyle w:val="4"/>
        <w:spacing w:line="360" w:lineRule="auto"/>
        <w:jc w:val="center"/>
        <w:rPr>
          <w:rFonts w:ascii="宋体" w:hAnsi="宋体" w:cs="宋体"/>
          <w:b w:val="0"/>
          <w:bCs w:val="0"/>
          <w:sz w:val="44"/>
          <w:szCs w:val="44"/>
        </w:rPr>
      </w:pPr>
      <w:bookmarkStart w:id="750" w:name="_Toc28457"/>
      <w:bookmarkStart w:id="751" w:name="_Toc15678"/>
      <w:bookmarkStart w:id="752" w:name="_Toc430530536"/>
      <w:bookmarkStart w:id="753" w:name="_Toc3391"/>
      <w:bookmarkStart w:id="754" w:name="_Toc224103502"/>
      <w:bookmarkStart w:id="755" w:name="_Toc287607874"/>
      <w:bookmarkStart w:id="756" w:name="_Toc287620821"/>
      <w:r>
        <w:rPr>
          <w:rFonts w:hint="eastAsia" w:ascii="宋体" w:hAnsi="宋体"/>
          <w:b w:val="0"/>
          <w:bCs w:val="0"/>
          <w:sz w:val="44"/>
          <w:szCs w:val="44"/>
        </w:rPr>
        <w:t>一、</w:t>
      </w:r>
      <w:bookmarkStart w:id="757" w:name="_Toc430530529"/>
      <w:bookmarkStart w:id="758" w:name="_Toc224103494"/>
      <w:bookmarkStart w:id="759" w:name="_Toc287620813"/>
      <w:bookmarkStart w:id="760" w:name="_Toc2213"/>
      <w:bookmarkStart w:id="761" w:name="_Toc277082642"/>
      <w:bookmarkStart w:id="762" w:name="_Toc8975"/>
      <w:bookmarkStart w:id="763" w:name="_Toc287607866"/>
      <w:bookmarkStart w:id="764" w:name="_Toc26929"/>
      <w:r>
        <w:rPr>
          <w:rFonts w:hint="eastAsia" w:ascii="宋体" w:hAnsi="宋体" w:cs="宋体"/>
          <w:b w:val="0"/>
          <w:bCs w:val="0"/>
          <w:sz w:val="44"/>
          <w:szCs w:val="44"/>
        </w:rPr>
        <w:t>竞选函部分</w:t>
      </w:r>
      <w:bookmarkEnd w:id="757"/>
      <w:bookmarkEnd w:id="758"/>
      <w:bookmarkEnd w:id="759"/>
      <w:bookmarkEnd w:id="760"/>
      <w:bookmarkEnd w:id="761"/>
      <w:bookmarkEnd w:id="762"/>
      <w:bookmarkEnd w:id="763"/>
      <w:bookmarkEnd w:id="764"/>
    </w:p>
    <w:p w14:paraId="0659C239">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286E2971">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5C5F1826">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570FD71D">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04AB4942">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2827AD03">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724EDD73">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23AE23A2">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5670D6A4">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3532CB85">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17B51CA2">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7CC1357B">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14:paraId="7AF045E8">
      <w:pPr>
        <w:pStyle w:val="8"/>
      </w:pPr>
    </w:p>
    <w:p w14:paraId="7BEF0FBB">
      <w:pPr>
        <w:spacing w:line="360" w:lineRule="auto"/>
        <w:jc w:val="center"/>
        <w:rPr>
          <w:rFonts w:ascii="宋体" w:hAnsi="宋体" w:cs="宋体"/>
          <w:kern w:val="0"/>
          <w:sz w:val="32"/>
          <w:szCs w:val="32"/>
          <w:u w:val="single"/>
        </w:rPr>
      </w:pPr>
    </w:p>
    <w:p w14:paraId="6B5E3C84">
      <w:pPr>
        <w:spacing w:line="360" w:lineRule="auto"/>
        <w:jc w:val="center"/>
        <w:rPr>
          <w:rFonts w:ascii="宋体" w:hAnsi="宋体" w:cs="宋体"/>
          <w:kern w:val="0"/>
          <w:sz w:val="32"/>
          <w:szCs w:val="32"/>
          <w:u w:val="single"/>
        </w:rPr>
      </w:pPr>
    </w:p>
    <w:p w14:paraId="7C9E913A">
      <w:pPr>
        <w:spacing w:line="360" w:lineRule="auto"/>
        <w:jc w:val="center"/>
        <w:rPr>
          <w:rFonts w:ascii="宋体" w:hAnsi="宋体" w:cs="宋体"/>
          <w:kern w:val="0"/>
          <w:sz w:val="32"/>
          <w:szCs w:val="32"/>
          <w:u w:val="single"/>
        </w:rPr>
      </w:pPr>
    </w:p>
    <w:p w14:paraId="3A010CE7">
      <w:pPr>
        <w:spacing w:line="360" w:lineRule="auto"/>
        <w:jc w:val="center"/>
        <w:rPr>
          <w:rFonts w:ascii="宋体" w:hAnsi="宋体" w:cs="宋体"/>
          <w:kern w:val="0"/>
          <w:sz w:val="32"/>
          <w:szCs w:val="32"/>
          <w:u w:val="single"/>
        </w:rPr>
      </w:pPr>
    </w:p>
    <w:p w14:paraId="63502C7F">
      <w:pPr>
        <w:pStyle w:val="2"/>
      </w:pPr>
    </w:p>
    <w:p w14:paraId="703398CB"/>
    <w:p w14:paraId="52EA19F2">
      <w:pPr>
        <w:pStyle w:val="2"/>
      </w:pPr>
    </w:p>
    <w:p w14:paraId="59BA1806"/>
    <w:p w14:paraId="3F497904">
      <w:pPr>
        <w:pStyle w:val="2"/>
      </w:pPr>
    </w:p>
    <w:p w14:paraId="70062DAF">
      <w:pPr>
        <w:spacing w:line="360" w:lineRule="auto"/>
        <w:jc w:val="center"/>
        <w:rPr>
          <w:rFonts w:ascii="宋体" w:hAnsi="宋体" w:cs="宋体"/>
          <w:kern w:val="0"/>
          <w:sz w:val="32"/>
          <w:szCs w:val="32"/>
          <w:u w:val="single"/>
        </w:rPr>
      </w:pPr>
    </w:p>
    <w:p w14:paraId="6314FFC1">
      <w:pPr>
        <w:spacing w:line="360" w:lineRule="auto"/>
        <w:jc w:val="center"/>
        <w:rPr>
          <w:rFonts w:ascii="宋体" w:hAnsi="宋体" w:cs="宋体"/>
          <w:kern w:val="0"/>
          <w:sz w:val="32"/>
          <w:szCs w:val="32"/>
          <w:u w:val="single"/>
        </w:rPr>
      </w:pPr>
    </w:p>
    <w:p w14:paraId="74F22566">
      <w:pPr>
        <w:spacing w:line="360" w:lineRule="auto"/>
        <w:jc w:val="center"/>
        <w:rPr>
          <w:rFonts w:ascii="宋体" w:hAnsi="宋体" w:cs="宋体"/>
          <w:kern w:val="0"/>
          <w:sz w:val="32"/>
          <w:szCs w:val="32"/>
        </w:rPr>
      </w:pPr>
      <w:r>
        <w:rPr>
          <w:rFonts w:hint="eastAsia" w:ascii="宋体" w:hAnsi="宋体" w:cs="宋体"/>
          <w:kern w:val="0"/>
          <w:sz w:val="32"/>
          <w:szCs w:val="32"/>
          <w:u w:val="single"/>
        </w:rPr>
        <w:t xml:space="preserve">                          </w:t>
      </w:r>
      <w:r>
        <w:rPr>
          <w:rFonts w:hint="eastAsia" w:ascii="宋体" w:hAnsi="宋体" w:cs="宋体"/>
          <w:kern w:val="0"/>
          <w:sz w:val="32"/>
          <w:szCs w:val="32"/>
        </w:rPr>
        <w:t>（项目名称）</w:t>
      </w:r>
    </w:p>
    <w:p w14:paraId="5E5F45B0">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00D4B930">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063E4A02">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249B38DB">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02740F38">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3A5DD331">
      <w:pPr>
        <w:tabs>
          <w:tab w:val="left" w:pos="3600"/>
          <w:tab w:val="left" w:pos="4480"/>
          <w:tab w:val="left" w:pos="5360"/>
        </w:tabs>
        <w:autoSpaceDE w:val="0"/>
        <w:autoSpaceDN w:val="0"/>
        <w:adjustRightInd w:val="0"/>
        <w:snapToGrid w:val="0"/>
        <w:spacing w:line="360" w:lineRule="auto"/>
        <w:jc w:val="center"/>
        <w:rPr>
          <w:rFonts w:ascii="宋体" w:hAnsi="宋体" w:cs="宋体"/>
          <w:kern w:val="0"/>
          <w:sz w:val="72"/>
          <w:szCs w:val="72"/>
        </w:rPr>
      </w:pPr>
      <w:r>
        <w:rPr>
          <w:rFonts w:hint="eastAsia" w:ascii="宋体" w:hAnsi="宋体" w:cs="宋体"/>
          <w:kern w:val="0"/>
          <w:sz w:val="72"/>
          <w:szCs w:val="72"/>
        </w:rPr>
        <w:t>竞 选 文 件</w:t>
      </w:r>
    </w:p>
    <w:p w14:paraId="69AC9B25">
      <w:pPr>
        <w:autoSpaceDE w:val="0"/>
        <w:autoSpaceDN w:val="0"/>
        <w:adjustRightInd w:val="0"/>
        <w:snapToGrid w:val="0"/>
        <w:spacing w:line="360" w:lineRule="auto"/>
        <w:jc w:val="left"/>
        <w:rPr>
          <w:rFonts w:ascii="宋体" w:hAnsi="宋体" w:cs="宋体"/>
          <w:kern w:val="0"/>
          <w:sz w:val="16"/>
          <w:szCs w:val="16"/>
        </w:rPr>
      </w:pPr>
    </w:p>
    <w:p w14:paraId="20B35162">
      <w:pPr>
        <w:autoSpaceDE w:val="0"/>
        <w:autoSpaceDN w:val="0"/>
        <w:adjustRightInd w:val="0"/>
        <w:snapToGrid w:val="0"/>
        <w:spacing w:line="360" w:lineRule="auto"/>
        <w:jc w:val="center"/>
        <w:rPr>
          <w:rFonts w:ascii="宋体" w:hAnsi="宋体" w:cs="宋体"/>
          <w:kern w:val="0"/>
          <w:sz w:val="36"/>
          <w:szCs w:val="36"/>
        </w:rPr>
      </w:pPr>
      <w:r>
        <w:rPr>
          <w:rFonts w:hint="eastAsia" w:ascii="宋体" w:hAnsi="宋体" w:cs="宋体"/>
          <w:kern w:val="0"/>
          <w:sz w:val="36"/>
          <w:szCs w:val="36"/>
        </w:rPr>
        <w:t>竞选函部分</w:t>
      </w:r>
    </w:p>
    <w:p w14:paraId="365E406E">
      <w:pPr>
        <w:autoSpaceDE w:val="0"/>
        <w:autoSpaceDN w:val="0"/>
        <w:adjustRightInd w:val="0"/>
        <w:snapToGrid w:val="0"/>
        <w:spacing w:line="360" w:lineRule="auto"/>
        <w:jc w:val="left"/>
        <w:rPr>
          <w:rFonts w:ascii="宋体" w:hAnsi="宋体" w:cs="宋体"/>
          <w:b/>
          <w:kern w:val="0"/>
          <w:sz w:val="20"/>
          <w:szCs w:val="20"/>
        </w:rPr>
      </w:pPr>
    </w:p>
    <w:p w14:paraId="18A1EF46">
      <w:pPr>
        <w:autoSpaceDE w:val="0"/>
        <w:autoSpaceDN w:val="0"/>
        <w:adjustRightInd w:val="0"/>
        <w:snapToGrid w:val="0"/>
        <w:spacing w:line="360" w:lineRule="auto"/>
        <w:jc w:val="left"/>
        <w:rPr>
          <w:rFonts w:ascii="宋体" w:hAnsi="宋体" w:cs="宋体"/>
          <w:b/>
          <w:kern w:val="0"/>
          <w:sz w:val="20"/>
          <w:szCs w:val="20"/>
        </w:rPr>
      </w:pPr>
    </w:p>
    <w:p w14:paraId="39D63E3B">
      <w:pPr>
        <w:autoSpaceDE w:val="0"/>
        <w:autoSpaceDN w:val="0"/>
        <w:adjustRightInd w:val="0"/>
        <w:snapToGrid w:val="0"/>
        <w:spacing w:line="360" w:lineRule="auto"/>
        <w:jc w:val="left"/>
        <w:rPr>
          <w:rFonts w:ascii="宋体" w:hAnsi="宋体" w:cs="宋体"/>
          <w:b/>
          <w:kern w:val="0"/>
          <w:sz w:val="20"/>
          <w:szCs w:val="20"/>
        </w:rPr>
      </w:pPr>
    </w:p>
    <w:p w14:paraId="3ED68E2D">
      <w:pPr>
        <w:autoSpaceDE w:val="0"/>
        <w:autoSpaceDN w:val="0"/>
        <w:adjustRightInd w:val="0"/>
        <w:snapToGrid w:val="0"/>
        <w:spacing w:line="360" w:lineRule="auto"/>
        <w:jc w:val="left"/>
        <w:rPr>
          <w:rFonts w:ascii="宋体" w:hAnsi="宋体" w:cs="宋体"/>
          <w:b/>
          <w:kern w:val="0"/>
          <w:sz w:val="20"/>
          <w:szCs w:val="20"/>
        </w:rPr>
      </w:pPr>
    </w:p>
    <w:p w14:paraId="4BCB830D">
      <w:pPr>
        <w:autoSpaceDE w:val="0"/>
        <w:autoSpaceDN w:val="0"/>
        <w:adjustRightInd w:val="0"/>
        <w:snapToGrid w:val="0"/>
        <w:spacing w:line="360" w:lineRule="auto"/>
        <w:jc w:val="left"/>
        <w:rPr>
          <w:rFonts w:ascii="宋体" w:hAnsi="宋体" w:cs="宋体"/>
          <w:b/>
          <w:kern w:val="0"/>
          <w:sz w:val="20"/>
          <w:szCs w:val="20"/>
        </w:rPr>
      </w:pPr>
    </w:p>
    <w:p w14:paraId="7590E2E1">
      <w:pPr>
        <w:autoSpaceDE w:val="0"/>
        <w:autoSpaceDN w:val="0"/>
        <w:adjustRightInd w:val="0"/>
        <w:snapToGrid w:val="0"/>
        <w:spacing w:line="360" w:lineRule="auto"/>
        <w:jc w:val="left"/>
        <w:rPr>
          <w:rFonts w:ascii="宋体" w:hAnsi="宋体" w:cs="宋体"/>
          <w:b/>
          <w:kern w:val="0"/>
          <w:sz w:val="20"/>
          <w:szCs w:val="20"/>
        </w:rPr>
      </w:pPr>
    </w:p>
    <w:p w14:paraId="140456EE">
      <w:pPr>
        <w:autoSpaceDE w:val="0"/>
        <w:autoSpaceDN w:val="0"/>
        <w:adjustRightInd w:val="0"/>
        <w:snapToGrid w:val="0"/>
        <w:spacing w:line="360" w:lineRule="auto"/>
        <w:jc w:val="left"/>
        <w:rPr>
          <w:rFonts w:ascii="宋体" w:hAnsi="宋体" w:cs="宋体"/>
          <w:b/>
          <w:kern w:val="0"/>
          <w:sz w:val="20"/>
          <w:szCs w:val="20"/>
        </w:rPr>
      </w:pPr>
    </w:p>
    <w:p w14:paraId="2E14F01C">
      <w:pPr>
        <w:autoSpaceDE w:val="0"/>
        <w:autoSpaceDN w:val="0"/>
        <w:adjustRightInd w:val="0"/>
        <w:snapToGrid w:val="0"/>
        <w:spacing w:line="360" w:lineRule="auto"/>
        <w:jc w:val="left"/>
        <w:rPr>
          <w:rFonts w:ascii="宋体" w:hAnsi="宋体" w:cs="宋体"/>
          <w:b/>
          <w:kern w:val="0"/>
          <w:sz w:val="20"/>
          <w:szCs w:val="20"/>
        </w:rPr>
      </w:pPr>
    </w:p>
    <w:p w14:paraId="367CB9D4">
      <w:pPr>
        <w:autoSpaceDE w:val="0"/>
        <w:autoSpaceDN w:val="0"/>
        <w:adjustRightInd w:val="0"/>
        <w:snapToGrid w:val="0"/>
        <w:spacing w:line="360" w:lineRule="auto"/>
        <w:jc w:val="left"/>
        <w:rPr>
          <w:rFonts w:ascii="宋体" w:hAnsi="宋体" w:cs="宋体"/>
          <w:b/>
          <w:kern w:val="0"/>
          <w:sz w:val="20"/>
          <w:szCs w:val="20"/>
        </w:rPr>
      </w:pPr>
    </w:p>
    <w:p w14:paraId="3414F2A3">
      <w:pPr>
        <w:autoSpaceDE w:val="0"/>
        <w:autoSpaceDN w:val="0"/>
        <w:adjustRightInd w:val="0"/>
        <w:snapToGrid w:val="0"/>
        <w:spacing w:line="360" w:lineRule="auto"/>
        <w:jc w:val="left"/>
        <w:rPr>
          <w:rFonts w:ascii="宋体" w:hAnsi="宋体" w:cs="宋体"/>
          <w:b/>
          <w:kern w:val="0"/>
          <w:sz w:val="20"/>
          <w:szCs w:val="20"/>
        </w:rPr>
      </w:pPr>
    </w:p>
    <w:p w14:paraId="08CAA8D2">
      <w:pPr>
        <w:autoSpaceDE w:val="0"/>
        <w:autoSpaceDN w:val="0"/>
        <w:adjustRightInd w:val="0"/>
        <w:snapToGrid w:val="0"/>
        <w:spacing w:line="360" w:lineRule="auto"/>
        <w:jc w:val="left"/>
        <w:rPr>
          <w:rFonts w:ascii="宋体" w:hAnsi="宋体" w:cs="宋体"/>
          <w:b/>
          <w:kern w:val="0"/>
          <w:sz w:val="20"/>
          <w:szCs w:val="20"/>
        </w:rPr>
      </w:pPr>
    </w:p>
    <w:p w14:paraId="50CAEEA5">
      <w:pPr>
        <w:tabs>
          <w:tab w:val="left" w:pos="6080"/>
          <w:tab w:val="left" w:pos="6640"/>
        </w:tabs>
        <w:autoSpaceDE w:val="0"/>
        <w:autoSpaceDN w:val="0"/>
        <w:adjustRightInd w:val="0"/>
        <w:snapToGrid w:val="0"/>
        <w:spacing w:after="156" w:afterLines="50" w:line="360" w:lineRule="auto"/>
        <w:jc w:val="center"/>
        <w:rPr>
          <w:rFonts w:ascii="宋体" w:hAnsi="宋体" w:cs="宋体"/>
          <w:w w:val="99"/>
          <w:kern w:val="0"/>
          <w:sz w:val="28"/>
          <w:szCs w:val="28"/>
        </w:rPr>
      </w:pPr>
      <w:r>
        <w:rPr>
          <w:rFonts w:hint="eastAsia" w:ascii="宋体" w:hAnsi="宋体" w:cs="宋体"/>
          <w:w w:val="99"/>
          <w:kern w:val="0"/>
          <w:sz w:val="28"/>
          <w:szCs w:val="28"/>
        </w:rPr>
        <w:t>竞选人</w:t>
      </w:r>
      <w:r>
        <w:rPr>
          <w:rFonts w:hint="eastAsia" w:ascii="宋体" w:hAnsi="宋体" w:cs="宋体"/>
          <w:spacing w:val="1"/>
          <w:w w:val="99"/>
          <w:kern w:val="0"/>
          <w:sz w:val="28"/>
          <w:szCs w:val="28"/>
        </w:rPr>
        <w:t>：</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（盖单位公章）</w:t>
      </w:r>
    </w:p>
    <w:p w14:paraId="78B0051F">
      <w:pPr>
        <w:tabs>
          <w:tab w:val="left" w:pos="6080"/>
          <w:tab w:val="left" w:pos="6640"/>
        </w:tabs>
        <w:autoSpaceDE w:val="0"/>
        <w:autoSpaceDN w:val="0"/>
        <w:adjustRightInd w:val="0"/>
        <w:snapToGrid w:val="0"/>
        <w:spacing w:after="156" w:afterLines="50" w:line="360" w:lineRule="auto"/>
        <w:jc w:val="center"/>
        <w:rPr>
          <w:rFonts w:ascii="宋体" w:hAnsi="宋体" w:cs="宋体"/>
          <w:kern w:val="0"/>
          <w:sz w:val="28"/>
          <w:szCs w:val="28"/>
        </w:rPr>
      </w:pPr>
      <w:r>
        <w:rPr>
          <w:rFonts w:hint="eastAsia" w:ascii="宋体" w:hAnsi="宋体" w:cs="宋体"/>
          <w:w w:val="99"/>
          <w:kern w:val="0"/>
          <w:sz w:val="28"/>
          <w:szCs w:val="28"/>
        </w:rPr>
        <w:t>法定代表人或其委托代理人：</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（签字或盖章）</w:t>
      </w:r>
    </w:p>
    <w:p w14:paraId="79FF193B">
      <w:pPr>
        <w:autoSpaceDE w:val="0"/>
        <w:autoSpaceDN w:val="0"/>
        <w:adjustRightInd w:val="0"/>
        <w:snapToGrid w:val="0"/>
        <w:spacing w:line="360" w:lineRule="auto"/>
        <w:ind w:firstLine="554"/>
        <w:jc w:val="center"/>
        <w:rPr>
          <w:rFonts w:ascii="宋体" w:hAnsi="宋体" w:cs="宋体"/>
          <w:w w:val="99"/>
          <w:kern w:val="0"/>
          <w:sz w:val="28"/>
          <w:szCs w:val="28"/>
        </w:rPr>
      </w:pPr>
      <w:r>
        <w:rPr>
          <w:rFonts w:hint="eastAsia" w:ascii="宋体" w:hAnsi="宋体" w:cs="宋体"/>
          <w:w w:val="99"/>
          <w:kern w:val="0"/>
          <w:sz w:val="28"/>
          <w:szCs w:val="28"/>
          <w:u w:val="single"/>
        </w:rPr>
        <w:t xml:space="preserve">       </w:t>
      </w:r>
      <w:r>
        <w:rPr>
          <w:rFonts w:hint="eastAsia" w:ascii="宋体" w:hAnsi="宋体" w:cs="宋体"/>
          <w:w w:val="99"/>
          <w:kern w:val="0"/>
          <w:sz w:val="28"/>
          <w:szCs w:val="28"/>
        </w:rPr>
        <w:t>年</w:t>
      </w:r>
      <w:r>
        <w:rPr>
          <w:rFonts w:hint="eastAsia" w:ascii="宋体" w:hAnsi="宋体" w:cs="宋体"/>
          <w:w w:val="99"/>
          <w:kern w:val="0"/>
          <w:sz w:val="28"/>
          <w:szCs w:val="28"/>
          <w:u w:val="single"/>
        </w:rPr>
        <w:t xml:space="preserve">    </w:t>
      </w:r>
      <w:r>
        <w:rPr>
          <w:rFonts w:hint="eastAsia" w:ascii="宋体" w:hAnsi="宋体" w:cs="宋体"/>
          <w:w w:val="99"/>
          <w:kern w:val="0"/>
          <w:sz w:val="28"/>
          <w:szCs w:val="28"/>
        </w:rPr>
        <w:t>月</w:t>
      </w:r>
      <w:r>
        <w:rPr>
          <w:rFonts w:hint="eastAsia" w:ascii="宋体" w:hAnsi="宋体" w:cs="宋体"/>
          <w:w w:val="99"/>
          <w:kern w:val="0"/>
          <w:sz w:val="28"/>
          <w:szCs w:val="28"/>
          <w:u w:val="single"/>
        </w:rPr>
        <w:t xml:space="preserve">    </w:t>
      </w:r>
      <w:r>
        <w:rPr>
          <w:rFonts w:hint="eastAsia" w:ascii="宋体" w:hAnsi="宋体" w:cs="宋体"/>
          <w:w w:val="99"/>
          <w:kern w:val="0"/>
          <w:sz w:val="28"/>
          <w:szCs w:val="28"/>
        </w:rPr>
        <w:t>日</w:t>
      </w:r>
    </w:p>
    <w:p w14:paraId="7307F2F2">
      <w:pPr>
        <w:autoSpaceDE w:val="0"/>
        <w:autoSpaceDN w:val="0"/>
        <w:adjustRightInd w:val="0"/>
        <w:snapToGrid w:val="0"/>
        <w:spacing w:line="360" w:lineRule="auto"/>
        <w:jc w:val="center"/>
        <w:rPr>
          <w:rFonts w:ascii="宋体" w:hAnsi="宋体" w:cs="宋体"/>
          <w:kern w:val="0"/>
          <w:sz w:val="36"/>
          <w:szCs w:val="36"/>
        </w:rPr>
      </w:pPr>
    </w:p>
    <w:p w14:paraId="07B578C0">
      <w:pPr>
        <w:autoSpaceDE w:val="0"/>
        <w:autoSpaceDN w:val="0"/>
        <w:adjustRightInd w:val="0"/>
        <w:snapToGrid w:val="0"/>
        <w:spacing w:line="360" w:lineRule="auto"/>
        <w:jc w:val="center"/>
        <w:rPr>
          <w:rFonts w:ascii="宋体" w:hAnsi="宋体" w:cs="宋体"/>
          <w:kern w:val="0"/>
          <w:sz w:val="36"/>
          <w:szCs w:val="36"/>
        </w:rPr>
      </w:pPr>
      <w:r>
        <w:rPr>
          <w:rFonts w:hint="eastAsia" w:ascii="宋体" w:hAnsi="宋体" w:cs="宋体"/>
          <w:kern w:val="0"/>
          <w:sz w:val="36"/>
          <w:szCs w:val="36"/>
        </w:rPr>
        <w:t>目  录</w:t>
      </w:r>
    </w:p>
    <w:p w14:paraId="6BB444B9">
      <w:pPr>
        <w:autoSpaceDE w:val="0"/>
        <w:autoSpaceDN w:val="0"/>
        <w:adjustRightInd w:val="0"/>
        <w:snapToGrid w:val="0"/>
        <w:spacing w:line="360" w:lineRule="auto"/>
        <w:jc w:val="left"/>
        <w:rPr>
          <w:rFonts w:ascii="宋体" w:hAnsi="宋体" w:cs="宋体"/>
          <w:kern w:val="0"/>
          <w:sz w:val="24"/>
          <w:szCs w:val="21"/>
        </w:rPr>
      </w:pPr>
    </w:p>
    <w:p w14:paraId="57A75AA3">
      <w:pPr>
        <w:spacing w:line="360" w:lineRule="auto"/>
        <w:ind w:firstLine="420" w:firstLineChars="200"/>
        <w:rPr>
          <w:rFonts w:ascii="宋体" w:hAnsi="宋体" w:cs="宋体"/>
        </w:rPr>
      </w:pPr>
      <w:r>
        <w:rPr>
          <w:rFonts w:hint="eastAsia" w:ascii="宋体" w:hAnsi="宋体" w:cs="宋体"/>
        </w:rPr>
        <w:t>（一）竞选函</w:t>
      </w:r>
    </w:p>
    <w:p w14:paraId="5732A642">
      <w:pPr>
        <w:spacing w:line="360" w:lineRule="auto"/>
        <w:ind w:firstLine="420" w:firstLineChars="200"/>
        <w:rPr>
          <w:rFonts w:ascii="宋体" w:hAnsi="宋体" w:cs="宋体"/>
        </w:rPr>
      </w:pPr>
      <w:r>
        <w:rPr>
          <w:rFonts w:hint="eastAsia" w:ascii="宋体" w:hAnsi="宋体" w:cs="宋体"/>
        </w:rPr>
        <w:t>（二）竞选函附录</w:t>
      </w:r>
    </w:p>
    <w:p w14:paraId="2924B63E">
      <w:pPr>
        <w:spacing w:line="360" w:lineRule="auto"/>
        <w:ind w:firstLine="420" w:firstLineChars="200"/>
        <w:rPr>
          <w:rFonts w:ascii="宋体" w:hAnsi="宋体" w:cs="宋体"/>
        </w:rPr>
      </w:pPr>
      <w:r>
        <w:rPr>
          <w:rFonts w:hint="eastAsia" w:ascii="宋体" w:hAnsi="宋体" w:cs="宋体"/>
        </w:rPr>
        <w:t>（三）</w:t>
      </w:r>
      <w:r>
        <w:rPr>
          <w:rFonts w:hint="eastAsia" w:ascii="宋体" w:hAnsi="宋体"/>
          <w:szCs w:val="21"/>
        </w:rPr>
        <w:t>法定代表人身份证明或附有法定代表人身份证明的授权委托书</w:t>
      </w:r>
    </w:p>
    <w:p w14:paraId="6F7D35E1">
      <w:pPr>
        <w:spacing w:line="360" w:lineRule="auto"/>
        <w:ind w:firstLine="420" w:firstLineChars="200"/>
        <w:rPr>
          <w:rFonts w:ascii="宋体" w:hAnsi="宋体" w:cs="宋体"/>
        </w:rPr>
      </w:pPr>
      <w:r>
        <w:rPr>
          <w:rFonts w:ascii="宋体" w:hAnsi="宋体" w:cs="宋体"/>
        </w:rPr>
        <w:t>（四）</w:t>
      </w:r>
      <w:r>
        <w:rPr>
          <w:rFonts w:hint="eastAsia" w:ascii="宋体" w:hAnsi="宋体"/>
        </w:rPr>
        <w:t>低价风险担保提交承诺书（如有）</w:t>
      </w:r>
    </w:p>
    <w:p w14:paraId="40EF3E41">
      <w:pPr>
        <w:autoSpaceDE w:val="0"/>
        <w:autoSpaceDN w:val="0"/>
        <w:adjustRightInd w:val="0"/>
        <w:snapToGrid w:val="0"/>
        <w:spacing w:line="360" w:lineRule="auto"/>
        <w:jc w:val="left"/>
        <w:rPr>
          <w:rFonts w:ascii="宋体" w:hAnsi="宋体" w:cs="宋体"/>
          <w:kern w:val="0"/>
          <w:szCs w:val="21"/>
        </w:rPr>
      </w:pPr>
    </w:p>
    <w:p w14:paraId="519526DA">
      <w:pPr>
        <w:autoSpaceDE w:val="0"/>
        <w:autoSpaceDN w:val="0"/>
        <w:adjustRightInd w:val="0"/>
        <w:snapToGrid w:val="0"/>
        <w:spacing w:line="360" w:lineRule="auto"/>
        <w:jc w:val="left"/>
        <w:rPr>
          <w:rFonts w:ascii="宋体" w:hAnsi="宋体" w:cs="宋体"/>
          <w:kern w:val="0"/>
          <w:szCs w:val="21"/>
        </w:rPr>
      </w:pPr>
    </w:p>
    <w:p w14:paraId="5F8060CE">
      <w:pPr>
        <w:autoSpaceDE w:val="0"/>
        <w:autoSpaceDN w:val="0"/>
        <w:adjustRightInd w:val="0"/>
        <w:snapToGrid w:val="0"/>
        <w:spacing w:line="360" w:lineRule="auto"/>
        <w:jc w:val="left"/>
        <w:rPr>
          <w:rFonts w:ascii="宋体" w:hAnsi="宋体" w:cs="宋体"/>
          <w:kern w:val="0"/>
          <w:szCs w:val="21"/>
        </w:rPr>
      </w:pPr>
    </w:p>
    <w:p w14:paraId="78DA784B">
      <w:pPr>
        <w:autoSpaceDE w:val="0"/>
        <w:autoSpaceDN w:val="0"/>
        <w:adjustRightInd w:val="0"/>
        <w:snapToGrid w:val="0"/>
        <w:spacing w:line="360" w:lineRule="auto"/>
        <w:jc w:val="left"/>
        <w:rPr>
          <w:rFonts w:ascii="宋体" w:hAnsi="宋体" w:cs="宋体"/>
          <w:kern w:val="0"/>
        </w:rPr>
      </w:pPr>
    </w:p>
    <w:p w14:paraId="4552FBA1">
      <w:pPr>
        <w:autoSpaceDE w:val="0"/>
        <w:autoSpaceDN w:val="0"/>
        <w:adjustRightInd w:val="0"/>
        <w:snapToGrid w:val="0"/>
        <w:spacing w:line="360" w:lineRule="auto"/>
        <w:jc w:val="left"/>
        <w:rPr>
          <w:rFonts w:ascii="宋体" w:hAnsi="宋体" w:cs="宋体"/>
          <w:kern w:val="0"/>
        </w:rPr>
      </w:pPr>
    </w:p>
    <w:p w14:paraId="2F0BE9CF">
      <w:pPr>
        <w:autoSpaceDE w:val="0"/>
        <w:autoSpaceDN w:val="0"/>
        <w:adjustRightInd w:val="0"/>
        <w:snapToGrid w:val="0"/>
        <w:spacing w:line="360" w:lineRule="auto"/>
        <w:jc w:val="left"/>
        <w:rPr>
          <w:rFonts w:ascii="宋体" w:hAnsi="宋体" w:cs="宋体"/>
          <w:kern w:val="0"/>
        </w:rPr>
      </w:pPr>
    </w:p>
    <w:p w14:paraId="733BA1BD">
      <w:pPr>
        <w:autoSpaceDE w:val="0"/>
        <w:autoSpaceDN w:val="0"/>
        <w:adjustRightInd w:val="0"/>
        <w:snapToGrid w:val="0"/>
        <w:spacing w:line="360" w:lineRule="auto"/>
        <w:jc w:val="left"/>
        <w:rPr>
          <w:rFonts w:ascii="宋体" w:hAnsi="宋体" w:cs="宋体"/>
          <w:kern w:val="0"/>
        </w:rPr>
      </w:pPr>
    </w:p>
    <w:p w14:paraId="7A5EC067">
      <w:pPr>
        <w:pStyle w:val="2"/>
        <w:rPr>
          <w:rFonts w:ascii="宋体" w:hAnsi="宋体" w:cs="宋体"/>
          <w:kern w:val="0"/>
        </w:rPr>
      </w:pPr>
    </w:p>
    <w:p w14:paraId="5353DBF2">
      <w:pPr>
        <w:rPr>
          <w:rFonts w:ascii="宋体" w:hAnsi="宋体" w:cs="宋体"/>
          <w:kern w:val="0"/>
        </w:rPr>
      </w:pPr>
    </w:p>
    <w:p w14:paraId="127E72B3">
      <w:pPr>
        <w:pStyle w:val="2"/>
      </w:pPr>
    </w:p>
    <w:p w14:paraId="66E5EDF2">
      <w:pPr>
        <w:autoSpaceDE w:val="0"/>
        <w:autoSpaceDN w:val="0"/>
        <w:adjustRightInd w:val="0"/>
        <w:snapToGrid w:val="0"/>
        <w:spacing w:line="360" w:lineRule="auto"/>
        <w:jc w:val="left"/>
        <w:rPr>
          <w:rFonts w:ascii="宋体" w:hAnsi="宋体" w:cs="宋体"/>
          <w:kern w:val="0"/>
        </w:rPr>
      </w:pPr>
    </w:p>
    <w:p w14:paraId="20F37B0B">
      <w:pPr>
        <w:autoSpaceDE w:val="0"/>
        <w:autoSpaceDN w:val="0"/>
        <w:adjustRightInd w:val="0"/>
        <w:snapToGrid w:val="0"/>
        <w:spacing w:line="360" w:lineRule="auto"/>
        <w:jc w:val="left"/>
        <w:rPr>
          <w:rFonts w:ascii="宋体" w:hAnsi="宋体" w:cs="宋体"/>
          <w:kern w:val="0"/>
        </w:rPr>
      </w:pPr>
    </w:p>
    <w:p w14:paraId="7F5A3D59">
      <w:pPr>
        <w:autoSpaceDE w:val="0"/>
        <w:autoSpaceDN w:val="0"/>
        <w:adjustRightInd w:val="0"/>
        <w:snapToGrid w:val="0"/>
        <w:spacing w:line="360" w:lineRule="auto"/>
        <w:jc w:val="left"/>
        <w:rPr>
          <w:rFonts w:ascii="宋体" w:hAnsi="宋体" w:cs="宋体"/>
          <w:kern w:val="0"/>
        </w:rPr>
      </w:pPr>
    </w:p>
    <w:p w14:paraId="0FC6465B">
      <w:pPr>
        <w:autoSpaceDE w:val="0"/>
        <w:autoSpaceDN w:val="0"/>
        <w:adjustRightInd w:val="0"/>
        <w:snapToGrid w:val="0"/>
        <w:spacing w:line="360" w:lineRule="auto"/>
        <w:jc w:val="left"/>
        <w:rPr>
          <w:rFonts w:ascii="宋体" w:hAnsi="宋体" w:cs="宋体"/>
          <w:kern w:val="0"/>
        </w:rPr>
      </w:pPr>
    </w:p>
    <w:p w14:paraId="0E821719">
      <w:pPr>
        <w:autoSpaceDE w:val="0"/>
        <w:autoSpaceDN w:val="0"/>
        <w:adjustRightInd w:val="0"/>
        <w:snapToGrid w:val="0"/>
        <w:spacing w:line="360" w:lineRule="auto"/>
        <w:jc w:val="left"/>
        <w:rPr>
          <w:rFonts w:ascii="宋体" w:hAnsi="宋体" w:cs="宋体"/>
          <w:w w:val="99"/>
          <w:kern w:val="0"/>
          <w:sz w:val="28"/>
          <w:szCs w:val="28"/>
        </w:rPr>
      </w:pPr>
    </w:p>
    <w:p w14:paraId="4BBAE221">
      <w:pPr>
        <w:autoSpaceDE w:val="0"/>
        <w:autoSpaceDN w:val="0"/>
        <w:adjustRightInd w:val="0"/>
        <w:snapToGrid w:val="0"/>
        <w:spacing w:line="360" w:lineRule="auto"/>
        <w:jc w:val="left"/>
        <w:rPr>
          <w:rFonts w:ascii="宋体" w:hAnsi="宋体" w:cs="宋体"/>
          <w:w w:val="99"/>
          <w:kern w:val="0"/>
          <w:sz w:val="28"/>
          <w:szCs w:val="28"/>
        </w:rPr>
      </w:pPr>
    </w:p>
    <w:p w14:paraId="57701C3E">
      <w:pPr>
        <w:autoSpaceDE w:val="0"/>
        <w:autoSpaceDN w:val="0"/>
        <w:adjustRightInd w:val="0"/>
        <w:snapToGrid w:val="0"/>
        <w:spacing w:line="360" w:lineRule="auto"/>
        <w:jc w:val="left"/>
        <w:rPr>
          <w:rFonts w:ascii="宋体" w:hAnsi="宋体" w:cs="宋体"/>
          <w:w w:val="99"/>
          <w:kern w:val="0"/>
          <w:sz w:val="28"/>
          <w:szCs w:val="28"/>
        </w:rPr>
      </w:pPr>
    </w:p>
    <w:p w14:paraId="250679E4">
      <w:pPr>
        <w:pStyle w:val="8"/>
        <w:rPr>
          <w:rFonts w:ascii="宋体" w:hAnsi="宋体" w:cs="宋体"/>
          <w:w w:val="99"/>
          <w:kern w:val="0"/>
          <w:sz w:val="28"/>
          <w:szCs w:val="28"/>
        </w:rPr>
      </w:pPr>
    </w:p>
    <w:p w14:paraId="49F96BD4">
      <w:pPr>
        <w:rPr>
          <w:rFonts w:ascii="宋体" w:hAnsi="宋体" w:cs="宋体"/>
          <w:w w:val="99"/>
          <w:kern w:val="0"/>
          <w:sz w:val="28"/>
          <w:szCs w:val="28"/>
        </w:rPr>
      </w:pPr>
    </w:p>
    <w:p w14:paraId="07435F03">
      <w:pPr>
        <w:pStyle w:val="8"/>
        <w:rPr>
          <w:rFonts w:ascii="宋体" w:hAnsi="宋体" w:cs="宋体"/>
          <w:w w:val="99"/>
          <w:kern w:val="0"/>
          <w:sz w:val="28"/>
          <w:szCs w:val="28"/>
        </w:rPr>
      </w:pPr>
    </w:p>
    <w:p w14:paraId="14482AD7">
      <w:pPr>
        <w:rPr>
          <w:rFonts w:ascii="宋体" w:hAnsi="宋体" w:cs="宋体"/>
          <w:w w:val="99"/>
          <w:kern w:val="0"/>
          <w:sz w:val="28"/>
          <w:szCs w:val="28"/>
        </w:rPr>
      </w:pPr>
    </w:p>
    <w:p w14:paraId="635C17EC">
      <w:pPr>
        <w:pStyle w:val="2"/>
      </w:pPr>
    </w:p>
    <w:p w14:paraId="76BBD988">
      <w:pPr>
        <w:spacing w:after="260" w:line="360" w:lineRule="auto"/>
        <w:ind w:firstLine="3840" w:firstLineChars="1200"/>
        <w:outlineLvl w:val="2"/>
        <w:rPr>
          <w:rFonts w:ascii="宋体" w:hAnsi="宋体" w:cs="宋体"/>
          <w:snapToGrid w:val="0"/>
          <w:kern w:val="0"/>
          <w:sz w:val="32"/>
          <w:szCs w:val="32"/>
        </w:rPr>
      </w:pPr>
      <w:bookmarkStart w:id="765" w:name="_Toc423595219"/>
      <w:bookmarkStart w:id="766" w:name="_Toc445480130"/>
      <w:bookmarkStart w:id="767" w:name="_Toc40569214"/>
      <w:bookmarkStart w:id="768" w:name="_Toc423713178"/>
      <w:bookmarkStart w:id="769" w:name="_Toc423714449"/>
      <w:bookmarkStart w:id="770" w:name="_Toc2365"/>
      <w:bookmarkStart w:id="771" w:name="_Toc26985"/>
      <w:bookmarkStart w:id="772" w:name="_Toc25344"/>
      <w:bookmarkStart w:id="773" w:name="_Toc14970"/>
      <w:r>
        <w:rPr>
          <w:rFonts w:hint="eastAsia" w:ascii="宋体" w:hAnsi="宋体" w:cs="宋体"/>
          <w:snapToGrid w:val="0"/>
          <w:kern w:val="0"/>
          <w:sz w:val="32"/>
          <w:szCs w:val="32"/>
        </w:rPr>
        <w:t xml:space="preserve">（一） </w:t>
      </w:r>
      <w:bookmarkEnd w:id="765"/>
      <w:bookmarkEnd w:id="766"/>
      <w:bookmarkEnd w:id="767"/>
      <w:bookmarkEnd w:id="768"/>
      <w:bookmarkEnd w:id="769"/>
      <w:bookmarkEnd w:id="770"/>
      <w:bookmarkEnd w:id="771"/>
      <w:bookmarkEnd w:id="772"/>
      <w:bookmarkEnd w:id="773"/>
      <w:r>
        <w:rPr>
          <w:rFonts w:hint="eastAsia" w:ascii="宋体" w:hAnsi="宋体" w:cs="宋体"/>
          <w:snapToGrid w:val="0"/>
          <w:kern w:val="0"/>
          <w:sz w:val="32"/>
          <w:szCs w:val="32"/>
        </w:rPr>
        <w:t>竞选函</w:t>
      </w:r>
    </w:p>
    <w:p w14:paraId="21806C07">
      <w:pPr>
        <w:snapToGrid w:val="0"/>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（比选人名称）：</w:t>
      </w:r>
    </w:p>
    <w:p w14:paraId="0A4BE800">
      <w:pPr>
        <w:spacing w:line="360" w:lineRule="auto"/>
        <w:ind w:firstLine="420" w:firstLineChars="200"/>
        <w:rPr>
          <w:rFonts w:asciiTheme="minorEastAsia" w:hAnsiTheme="minorEastAsia" w:eastAsiaTheme="minorEastAsia"/>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 xml:space="preserve">          </w:t>
      </w:r>
      <w:r>
        <w:rPr>
          <w:rFonts w:ascii="宋体" w:hAnsi="宋体"/>
          <w:snapToGrid w:val="0"/>
          <w:kern w:val="0"/>
          <w:szCs w:val="21"/>
          <w:u w:val="single"/>
        </w:rPr>
        <w:tab/>
      </w:r>
      <w:r>
        <w:rPr>
          <w:rFonts w:ascii="宋体" w:hAnsi="宋体"/>
          <w:snapToGrid w:val="0"/>
          <w:kern w:val="0"/>
          <w:szCs w:val="21"/>
        </w:rPr>
        <w:t>（项目名称）</w:t>
      </w:r>
      <w:r>
        <w:rPr>
          <w:rFonts w:hint="eastAsia" w:ascii="宋体" w:hAnsi="宋体"/>
          <w:snapToGrid w:val="0"/>
          <w:kern w:val="0"/>
          <w:szCs w:val="21"/>
        </w:rPr>
        <w:t>监理比选文件（含答疑补遗及比选人提供所有资料文件）的全部内容</w:t>
      </w:r>
      <w:r>
        <w:rPr>
          <w:rFonts w:asciiTheme="minorEastAsia" w:hAnsiTheme="minorEastAsia" w:eastAsiaTheme="minorEastAsia"/>
          <w:szCs w:val="21"/>
        </w:rPr>
        <w:t>，愿意以</w:t>
      </w:r>
      <w:r>
        <w:rPr>
          <w:rFonts w:hint="eastAsia" w:asciiTheme="minorEastAsia" w:hAnsiTheme="minorEastAsia" w:eastAsiaTheme="minorEastAsia"/>
          <w:szCs w:val="21"/>
        </w:rPr>
        <w:t>下列方式对监理费进行报价：</w:t>
      </w:r>
    </w:p>
    <w:p w14:paraId="2A3481C2">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费率为    %</w:t>
      </w:r>
      <w:r>
        <w:rPr>
          <w:rFonts w:hint="eastAsia" w:asciiTheme="minorEastAsia" w:hAnsiTheme="minorEastAsia" w:eastAsiaTheme="minorEastAsia"/>
          <w:szCs w:val="21"/>
        </w:rPr>
        <w:t>，计费基数</w:t>
      </w:r>
      <w:r>
        <w:rPr>
          <w:rFonts w:hint="eastAsia" w:asciiTheme="minorEastAsia" w:hAnsiTheme="minorEastAsia" w:eastAsiaTheme="minorEastAsia"/>
          <w:szCs w:val="21"/>
          <w:u w:val="single"/>
        </w:rPr>
        <w:t xml:space="preserve">    元</w:t>
      </w:r>
      <w:r>
        <w:rPr>
          <w:rFonts w:hint="eastAsia" w:asciiTheme="minorEastAsia" w:hAnsiTheme="minorEastAsia" w:eastAsiaTheme="minorEastAsia"/>
          <w:szCs w:val="21"/>
        </w:rPr>
        <w:t>，暂定</w:t>
      </w:r>
      <w:r>
        <w:rPr>
          <w:rFonts w:asciiTheme="minorEastAsia" w:hAnsiTheme="minorEastAsia" w:eastAsiaTheme="minorEastAsia"/>
          <w:szCs w:val="21"/>
        </w:rPr>
        <w:t>投标总报价</w:t>
      </w:r>
      <w:r>
        <w:rPr>
          <w:rFonts w:asciiTheme="minorEastAsia" w:hAnsiTheme="minorEastAsia" w:eastAsiaTheme="minorEastAsia"/>
          <w:szCs w:val="21"/>
          <w:u w:val="single"/>
        </w:rPr>
        <w:t>人民币（大写）</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r>
        <w:rPr>
          <w:rFonts w:hint="eastAsia" w:asciiTheme="minorEastAsia" w:hAnsiTheme="minorEastAsia" w:eastAsiaTheme="minorEastAsia"/>
          <w:szCs w:val="21"/>
        </w:rPr>
        <w:t>；</w:t>
      </w:r>
    </w:p>
    <w:p w14:paraId="0872D7C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增值税税率为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，该项目总监理工程师为</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，委托代理人为：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监理服务期</w:t>
      </w:r>
      <w:r>
        <w:rPr>
          <w:rFonts w:hint="eastAsia" w:asciiTheme="minorEastAsia" w:hAnsiTheme="minorEastAsia" w:eastAsiaTheme="minorEastAsia"/>
          <w:szCs w:val="21"/>
        </w:rPr>
        <w:t>限</w:t>
      </w:r>
      <w:r>
        <w:rPr>
          <w:rFonts w:hint="eastAsia" w:ascii="宋体" w:hAnsi="宋体"/>
          <w:snapToGrid w:val="0"/>
          <w:kern w:val="0"/>
          <w:szCs w:val="21"/>
          <w:u w:val="single"/>
        </w:rPr>
        <w:t>达到招标文件的要求</w:t>
      </w:r>
      <w:r>
        <w:rPr>
          <w:rFonts w:hint="eastAsia" w:asciiTheme="minorEastAsia" w:hAnsiTheme="minorEastAsia" w:eastAsiaTheme="minorEastAsia"/>
          <w:szCs w:val="21"/>
        </w:rPr>
        <w:t>，监理服务质量</w:t>
      </w:r>
      <w:r>
        <w:rPr>
          <w:rFonts w:hint="eastAsia" w:asciiTheme="minorEastAsia" w:hAnsiTheme="minorEastAsia" w:eastAsiaTheme="minorEastAsia"/>
          <w:szCs w:val="21"/>
          <w:u w:val="single"/>
        </w:rPr>
        <w:t>达到招标文件的要求</w:t>
      </w:r>
      <w:r>
        <w:rPr>
          <w:rFonts w:hint="eastAsia" w:asciiTheme="minorEastAsia" w:hAnsiTheme="minorEastAsia" w:eastAsiaTheme="minorEastAsia"/>
          <w:szCs w:val="21"/>
        </w:rPr>
        <w:t>，</w:t>
      </w:r>
      <w:r>
        <w:rPr>
          <w:rFonts w:asciiTheme="minorEastAsia" w:hAnsiTheme="minorEastAsia" w:eastAsiaTheme="minorEastAsia"/>
          <w:szCs w:val="21"/>
        </w:rPr>
        <w:t>按合同约定完成</w:t>
      </w:r>
      <w:r>
        <w:rPr>
          <w:rFonts w:hint="eastAsia" w:asciiTheme="minorEastAsia" w:hAnsiTheme="minorEastAsia" w:eastAsiaTheme="minorEastAsia"/>
          <w:szCs w:val="21"/>
        </w:rPr>
        <w:t>全部</w:t>
      </w:r>
      <w:r>
        <w:rPr>
          <w:rFonts w:asciiTheme="minorEastAsia" w:hAnsiTheme="minorEastAsia" w:eastAsiaTheme="minorEastAsia"/>
          <w:szCs w:val="21"/>
        </w:rPr>
        <w:t>监理工作</w:t>
      </w:r>
      <w:r>
        <w:rPr>
          <w:rFonts w:hint="eastAsia" w:asciiTheme="minorEastAsia" w:hAnsiTheme="minorEastAsia" w:eastAsiaTheme="minorEastAsia"/>
          <w:szCs w:val="21"/>
        </w:rPr>
        <w:t>内容</w:t>
      </w:r>
      <w:r>
        <w:rPr>
          <w:rFonts w:asciiTheme="minorEastAsia" w:hAnsiTheme="minorEastAsia" w:eastAsiaTheme="minorEastAsia"/>
          <w:szCs w:val="21"/>
        </w:rPr>
        <w:t>。</w:t>
      </w:r>
    </w:p>
    <w:p w14:paraId="2DF24F6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．我方承诺</w:t>
      </w:r>
      <w:r>
        <w:rPr>
          <w:rFonts w:hint="eastAsia" w:ascii="宋体" w:hAnsi="宋体"/>
          <w:snapToGrid w:val="0"/>
          <w:kern w:val="0"/>
          <w:szCs w:val="21"/>
        </w:rPr>
        <w:t>响应招标文件规定的投标有效期，</w:t>
      </w:r>
      <w:r>
        <w:rPr>
          <w:rFonts w:asciiTheme="minorEastAsia" w:hAnsiTheme="minorEastAsia" w:eastAsiaTheme="minorEastAsia"/>
          <w:szCs w:val="21"/>
        </w:rPr>
        <w:t>在投标有效期内不</w:t>
      </w:r>
      <w:r>
        <w:rPr>
          <w:rFonts w:hint="eastAsia" w:asciiTheme="minorEastAsia" w:hAnsiTheme="minorEastAsia" w:eastAsiaTheme="minorEastAsia"/>
          <w:szCs w:val="21"/>
        </w:rPr>
        <w:t>修改、</w:t>
      </w:r>
      <w:r>
        <w:rPr>
          <w:rFonts w:asciiTheme="minorEastAsia" w:hAnsiTheme="minorEastAsia" w:eastAsiaTheme="minorEastAsia"/>
          <w:szCs w:val="21"/>
        </w:rPr>
        <w:t>撤销投标文件。</w:t>
      </w:r>
    </w:p>
    <w:p w14:paraId="024F6ABE">
      <w:pPr>
        <w:spacing w:line="360" w:lineRule="auto"/>
        <w:ind w:firstLine="420" w:firstLineChars="200"/>
        <w:rPr>
          <w:rFonts w:asciiTheme="minorEastAsia" w:hAnsiTheme="minorEastAsia" w:eastAsiaTheme="minorEastAsia"/>
          <w:szCs w:val="21"/>
        </w:rPr>
      </w:pPr>
      <w:r>
        <w:rPr>
          <w:rFonts w:hint="eastAsia" w:ascii="宋体" w:hAnsi="宋体"/>
          <w:snapToGrid w:val="0"/>
          <w:kern w:val="0"/>
          <w:szCs w:val="21"/>
        </w:rPr>
        <w:t>3.</w:t>
      </w:r>
      <w:r>
        <w:rPr>
          <w:rFonts w:ascii="宋体" w:hAnsi="宋体"/>
          <w:snapToGrid w:val="0"/>
          <w:kern w:val="0"/>
          <w:szCs w:val="21"/>
        </w:rPr>
        <w:t>随同本投标函提交投标保证金一份，金额为人民币（大写）</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r>
        <w:rPr>
          <w:rFonts w:ascii="宋体" w:hAnsi="宋体"/>
          <w:snapToGrid w:val="0"/>
          <w:kern w:val="0"/>
          <w:szCs w:val="21"/>
        </w:rPr>
        <w:t>。投标保证金</w:t>
      </w:r>
      <w:r>
        <w:rPr>
          <w:rFonts w:hint="eastAsia" w:ascii="宋体" w:hAnsi="宋体"/>
          <w:snapToGrid w:val="0"/>
          <w:kern w:val="0"/>
          <w:szCs w:val="21"/>
        </w:rPr>
        <w:t>有效期</w:t>
      </w:r>
      <w:r>
        <w:rPr>
          <w:rFonts w:ascii="宋体" w:hAnsi="宋体"/>
          <w:snapToGrid w:val="0"/>
          <w:kern w:val="0"/>
          <w:szCs w:val="21"/>
        </w:rPr>
        <w:t>与投标</w:t>
      </w:r>
      <w:r>
        <w:rPr>
          <w:rFonts w:hint="eastAsia" w:ascii="宋体" w:hAnsi="宋体"/>
          <w:snapToGrid w:val="0"/>
          <w:kern w:val="0"/>
          <w:szCs w:val="21"/>
        </w:rPr>
        <w:t>有效期</w:t>
      </w:r>
      <w:r>
        <w:rPr>
          <w:rFonts w:ascii="宋体" w:hAnsi="宋体"/>
          <w:snapToGrid w:val="0"/>
          <w:kern w:val="0"/>
          <w:szCs w:val="21"/>
        </w:rPr>
        <w:t>一致，在此期间，若我方违反招投标有关法律、法规及本招标文件的相关规定，投标保证金的受益人为招标人。</w:t>
      </w:r>
    </w:p>
    <w:p w14:paraId="5B77058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．如我方中标，我方承诺：</w:t>
      </w:r>
    </w:p>
    <w:p w14:paraId="4D37A417">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（1）在收到中标通知书后，在中标通知书规定的期限内与你方签订合同；</w:t>
      </w:r>
    </w:p>
    <w:p w14:paraId="34BD653F">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（2）在签订合同时不向你方提出附加条件；</w:t>
      </w:r>
    </w:p>
    <w:p w14:paraId="6DE32011">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（3）按照招标文件要求提交履约保证金；</w:t>
      </w:r>
      <w:bookmarkStart w:id="774" w:name="_Toc352691658"/>
      <w:bookmarkStart w:id="775" w:name="_Toc369531694"/>
      <w:bookmarkStart w:id="776" w:name="_Toc1187"/>
    </w:p>
    <w:p w14:paraId="22ED14B7">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（4）在合</w:t>
      </w:r>
      <w:bookmarkEnd w:id="774"/>
      <w:bookmarkEnd w:id="775"/>
      <w:bookmarkEnd w:id="776"/>
      <w:r>
        <w:rPr>
          <w:rFonts w:asciiTheme="minorEastAsia" w:hAnsiTheme="minorEastAsia" w:eastAsiaTheme="minorEastAsia"/>
          <w:szCs w:val="21"/>
        </w:rPr>
        <w:t>同约定的期限内完成合同规定的全部义务。</w:t>
      </w:r>
    </w:p>
    <w:p w14:paraId="04683A5B">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5．我方在此声明，所递交的投标文件及有关资料内容完整、真实和准确，且不存在第二章“投标人须知”第1.4.3项规定的任何一种情形。</w:t>
      </w:r>
      <w:r>
        <w:rPr>
          <w:rFonts w:hint="eastAsia" w:asciiTheme="minorEastAsia" w:hAnsiTheme="minorEastAsia" w:eastAsiaTheme="minorEastAsia"/>
          <w:szCs w:val="21"/>
        </w:rPr>
        <w:t>同时我方承诺接受招标文件及附件、澄清及修改通知中所有的内容。</w:t>
      </w:r>
    </w:p>
    <w:p w14:paraId="13D39762">
      <w:pPr>
        <w:spacing w:line="400" w:lineRule="exact"/>
        <w:ind w:firstLine="420" w:firstLineChars="200"/>
        <w:rPr>
          <w:rFonts w:ascii="宋体" w:hAnsi="宋体" w:cs="宋体"/>
          <w:szCs w:val="21"/>
        </w:rPr>
      </w:pPr>
      <w:r>
        <w:rPr>
          <w:rFonts w:asciiTheme="minorEastAsia" w:hAnsiTheme="minorEastAsia" w:eastAsiaTheme="minorEastAsia"/>
          <w:szCs w:val="21"/>
        </w:rPr>
        <w:t>6．</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u w:val="single"/>
        </w:rPr>
        <w:t>（其他补充说明）</w:t>
      </w:r>
      <w:r>
        <w:rPr>
          <w:rFonts w:asciiTheme="minorEastAsia" w:hAnsiTheme="minorEastAsia" w:eastAsiaTheme="minorEastAsia"/>
          <w:szCs w:val="21"/>
        </w:rPr>
        <w:t>。</w:t>
      </w:r>
    </w:p>
    <w:p w14:paraId="18448231">
      <w:pPr>
        <w:spacing w:line="400" w:lineRule="exact"/>
        <w:ind w:firstLine="3675" w:firstLineChars="1750"/>
        <w:rPr>
          <w:rFonts w:ascii="宋体" w:hAnsi="宋体" w:cs="宋体"/>
          <w:szCs w:val="21"/>
        </w:rPr>
      </w:pPr>
    </w:p>
    <w:p w14:paraId="22B6E419">
      <w:pPr>
        <w:pStyle w:val="8"/>
      </w:pPr>
    </w:p>
    <w:p w14:paraId="558CF02F">
      <w:pPr>
        <w:spacing w:line="360" w:lineRule="auto"/>
        <w:ind w:firstLine="3675" w:firstLineChars="1750"/>
        <w:rPr>
          <w:rFonts w:ascii="宋体" w:hAnsi="宋体" w:cs="宋体"/>
          <w:szCs w:val="21"/>
        </w:rPr>
      </w:pPr>
      <w:r>
        <w:rPr>
          <w:rFonts w:hint="eastAsia" w:ascii="宋体" w:hAnsi="宋体" w:cs="宋体"/>
          <w:szCs w:val="21"/>
        </w:rPr>
        <w:t>竞  选 人：</w:t>
      </w:r>
      <w:r>
        <w:rPr>
          <w:rFonts w:hint="eastAsia" w:ascii="宋体" w:hAnsi="宋体" w:cs="宋体"/>
          <w:szCs w:val="21"/>
          <w:u w:val="single"/>
        </w:rPr>
        <w:t xml:space="preserve">                      </w:t>
      </w:r>
      <w:r>
        <w:rPr>
          <w:rFonts w:hint="eastAsia" w:ascii="宋体" w:hAnsi="宋体" w:cs="宋体"/>
          <w:szCs w:val="21"/>
        </w:rPr>
        <w:t>（盖单位公章）</w:t>
      </w:r>
    </w:p>
    <w:p w14:paraId="7F0C69A4">
      <w:pPr>
        <w:spacing w:line="360" w:lineRule="auto"/>
        <w:ind w:firstLine="3675" w:firstLineChars="175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（签字或盖章）</w:t>
      </w:r>
    </w:p>
    <w:p w14:paraId="5A81001C">
      <w:pPr>
        <w:spacing w:line="360" w:lineRule="auto"/>
        <w:ind w:firstLine="3675" w:firstLineChars="175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14:paraId="0C73615C">
      <w:pPr>
        <w:spacing w:line="360" w:lineRule="auto"/>
        <w:ind w:firstLine="3675" w:firstLineChars="175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14:paraId="4D0C8474">
      <w:pPr>
        <w:spacing w:line="360" w:lineRule="auto"/>
        <w:ind w:firstLine="3675" w:firstLineChars="1750"/>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14:paraId="23EC5A23">
      <w:pPr>
        <w:spacing w:line="360" w:lineRule="auto"/>
        <w:ind w:firstLine="3675" w:firstLineChars="1750"/>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50C65D11">
      <w:pPr>
        <w:spacing w:line="360" w:lineRule="auto"/>
        <w:ind w:firstLine="4725" w:firstLineChars="225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762B975">
      <w:pPr>
        <w:pStyle w:val="8"/>
      </w:pPr>
    </w:p>
    <w:p w14:paraId="159981F0">
      <w:pPr>
        <w:spacing w:after="260" w:line="360" w:lineRule="auto"/>
        <w:ind w:firstLine="2560" w:firstLineChars="800"/>
        <w:outlineLvl w:val="2"/>
        <w:rPr>
          <w:rFonts w:ascii="宋体" w:hAnsi="宋体" w:cs="宋体"/>
          <w:snapToGrid w:val="0"/>
          <w:kern w:val="0"/>
          <w:szCs w:val="21"/>
        </w:rPr>
      </w:pPr>
      <w:bookmarkStart w:id="777" w:name="_Toc224103496"/>
      <w:bookmarkStart w:id="778" w:name="_Toc287607868"/>
      <w:bookmarkStart w:id="779" w:name="_Toc287620815"/>
      <w:bookmarkStart w:id="780" w:name="_Toc534185832"/>
      <w:bookmarkStart w:id="781" w:name="_Toc277082644"/>
      <w:bookmarkStart w:id="782" w:name="_Toc430530531"/>
      <w:bookmarkStart w:id="783" w:name="_Toc509218855"/>
      <w:r>
        <w:rPr>
          <w:rFonts w:hint="eastAsia" w:ascii="宋体" w:hAnsi="宋体" w:cs="宋体"/>
          <w:snapToGrid w:val="0"/>
          <w:kern w:val="0"/>
          <w:sz w:val="32"/>
          <w:szCs w:val="32"/>
        </w:rPr>
        <w:t>（二）竞选函附录</w:t>
      </w:r>
      <w:bookmarkEnd w:id="777"/>
      <w:bookmarkEnd w:id="778"/>
      <w:bookmarkEnd w:id="779"/>
      <w:bookmarkEnd w:id="780"/>
      <w:bookmarkEnd w:id="781"/>
      <w:bookmarkEnd w:id="782"/>
      <w:bookmarkEnd w:id="783"/>
    </w:p>
    <w:tbl>
      <w:tblPr>
        <w:tblStyle w:val="20"/>
        <w:tblW w:w="8331"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3723"/>
        <w:gridCol w:w="1306"/>
      </w:tblGrid>
      <w:tr w14:paraId="29CEC6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C17EDBF">
            <w:pPr>
              <w:autoSpaceDE w:val="0"/>
              <w:autoSpaceDN w:val="0"/>
              <w:adjustRightInd w:val="0"/>
              <w:spacing w:line="360" w:lineRule="auto"/>
              <w:jc w:val="center"/>
              <w:rPr>
                <w:rFonts w:ascii="宋体" w:hAnsi="宋体" w:cs="宋体"/>
                <w:snapToGrid w:val="0"/>
                <w:kern w:val="0"/>
                <w:szCs w:val="21"/>
              </w:rPr>
            </w:pPr>
            <w:r>
              <w:rPr>
                <w:rFonts w:hint="eastAsia" w:ascii="宋体" w:hAnsi="宋体" w:cs="宋体"/>
                <w:snapToGrid w:val="0"/>
                <w:kern w:val="0"/>
                <w:szCs w:val="21"/>
              </w:rPr>
              <w:t>序号</w:t>
            </w:r>
          </w:p>
        </w:tc>
        <w:tc>
          <w:tcPr>
            <w:tcW w:w="2582" w:type="dxa"/>
            <w:vAlign w:val="center"/>
          </w:tcPr>
          <w:p w14:paraId="2687FB37">
            <w:pPr>
              <w:autoSpaceDE w:val="0"/>
              <w:autoSpaceDN w:val="0"/>
              <w:adjustRightInd w:val="0"/>
              <w:spacing w:line="360" w:lineRule="auto"/>
              <w:jc w:val="center"/>
              <w:rPr>
                <w:rFonts w:ascii="宋体" w:hAnsi="宋体" w:cs="宋体"/>
                <w:snapToGrid w:val="0"/>
                <w:kern w:val="0"/>
                <w:szCs w:val="21"/>
              </w:rPr>
            </w:pPr>
            <w:r>
              <w:rPr>
                <w:rFonts w:hint="eastAsia" w:ascii="宋体" w:hAnsi="宋体" w:cs="宋体"/>
                <w:snapToGrid w:val="0"/>
                <w:kern w:val="0"/>
                <w:szCs w:val="21"/>
              </w:rPr>
              <w:t>条款名称</w:t>
            </w:r>
          </w:p>
        </w:tc>
        <w:tc>
          <w:tcPr>
            <w:tcW w:w="3723" w:type="dxa"/>
            <w:vAlign w:val="center"/>
          </w:tcPr>
          <w:p w14:paraId="6CE6D8A1">
            <w:pPr>
              <w:autoSpaceDE w:val="0"/>
              <w:autoSpaceDN w:val="0"/>
              <w:adjustRightInd w:val="0"/>
              <w:spacing w:line="360" w:lineRule="auto"/>
              <w:jc w:val="center"/>
              <w:rPr>
                <w:rFonts w:ascii="宋体" w:hAnsi="宋体" w:cs="宋体"/>
                <w:snapToGrid w:val="0"/>
                <w:kern w:val="0"/>
                <w:szCs w:val="21"/>
              </w:rPr>
            </w:pPr>
            <w:r>
              <w:rPr>
                <w:rFonts w:hint="eastAsia" w:ascii="宋体" w:hAnsi="宋体" w:cs="宋体"/>
                <w:snapToGrid w:val="0"/>
                <w:kern w:val="0"/>
                <w:szCs w:val="21"/>
              </w:rPr>
              <w:t>约定内容</w:t>
            </w:r>
          </w:p>
        </w:tc>
        <w:tc>
          <w:tcPr>
            <w:tcW w:w="1306" w:type="dxa"/>
            <w:vAlign w:val="center"/>
          </w:tcPr>
          <w:p w14:paraId="2D5CFB85">
            <w:pPr>
              <w:autoSpaceDE w:val="0"/>
              <w:autoSpaceDN w:val="0"/>
              <w:adjustRightInd w:val="0"/>
              <w:spacing w:line="360" w:lineRule="auto"/>
              <w:jc w:val="center"/>
              <w:rPr>
                <w:rFonts w:ascii="宋体" w:hAnsi="宋体" w:cs="宋体"/>
                <w:snapToGrid w:val="0"/>
                <w:kern w:val="0"/>
                <w:szCs w:val="21"/>
              </w:rPr>
            </w:pPr>
            <w:r>
              <w:rPr>
                <w:rFonts w:hint="eastAsia" w:ascii="宋体" w:hAnsi="宋体" w:cs="宋体"/>
                <w:snapToGrid w:val="0"/>
                <w:kern w:val="0"/>
                <w:szCs w:val="21"/>
              </w:rPr>
              <w:t>备注</w:t>
            </w:r>
          </w:p>
        </w:tc>
      </w:tr>
      <w:tr w14:paraId="49AF6E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795" w:hRule="exact"/>
        </w:trPr>
        <w:tc>
          <w:tcPr>
            <w:tcW w:w="720" w:type="dxa"/>
            <w:vAlign w:val="center"/>
          </w:tcPr>
          <w:p w14:paraId="56F3D98B">
            <w:pPr>
              <w:autoSpaceDE w:val="0"/>
              <w:autoSpaceDN w:val="0"/>
              <w:adjustRightInd w:val="0"/>
              <w:spacing w:line="360" w:lineRule="auto"/>
              <w:jc w:val="center"/>
              <w:rPr>
                <w:rFonts w:ascii="宋体" w:hAnsi="宋体" w:cs="宋体"/>
                <w:snapToGrid w:val="0"/>
                <w:kern w:val="0"/>
                <w:szCs w:val="21"/>
              </w:rPr>
            </w:pPr>
            <w:r>
              <w:rPr>
                <w:rFonts w:hint="eastAsia" w:ascii="宋体" w:hAnsi="宋体" w:cs="宋体"/>
                <w:snapToGrid w:val="0"/>
                <w:kern w:val="0"/>
                <w:szCs w:val="21"/>
              </w:rPr>
              <w:t>1</w:t>
            </w:r>
          </w:p>
        </w:tc>
        <w:tc>
          <w:tcPr>
            <w:tcW w:w="2582" w:type="dxa"/>
            <w:vAlign w:val="center"/>
          </w:tcPr>
          <w:p w14:paraId="716F6B31">
            <w:pPr>
              <w:spacing w:line="360" w:lineRule="auto"/>
              <w:rPr>
                <w:rFonts w:ascii="宋体" w:hAnsi="宋体" w:cs="宋体"/>
                <w:szCs w:val="21"/>
              </w:rPr>
            </w:pPr>
            <w:r>
              <w:rPr>
                <w:rFonts w:hint="eastAsia" w:ascii="宋体" w:hAnsi="宋体" w:cs="宋体"/>
                <w:szCs w:val="21"/>
              </w:rPr>
              <w:t xml:space="preserve">      总监理工程师</w:t>
            </w:r>
          </w:p>
        </w:tc>
        <w:tc>
          <w:tcPr>
            <w:tcW w:w="3723" w:type="dxa"/>
            <w:vAlign w:val="center"/>
          </w:tcPr>
          <w:p w14:paraId="1D61C095">
            <w:pPr>
              <w:spacing w:line="360" w:lineRule="auto"/>
            </w:pPr>
            <w:r>
              <w:rPr>
                <w:rFonts w:hint="eastAsia"/>
              </w:rPr>
              <w:t>姓名：</w:t>
            </w:r>
            <w:r>
              <w:rPr>
                <w:rFonts w:hint="eastAsia"/>
                <w:u w:val="single"/>
              </w:rPr>
              <w:t xml:space="preserve">               </w:t>
            </w:r>
            <w:r>
              <w:rPr>
                <w:rFonts w:hint="eastAsia"/>
              </w:rPr>
              <w:t xml:space="preserve">            </w:t>
            </w:r>
          </w:p>
          <w:p w14:paraId="3E2DB669">
            <w:pPr>
              <w:pStyle w:val="2"/>
            </w:pPr>
            <w:r>
              <w:rPr>
                <w:rFonts w:hint="eastAsia"/>
                <w:caps w:val="0"/>
                <w:sz w:val="21"/>
                <w:szCs w:val="24"/>
              </w:rPr>
              <w:t>身份证号码：</w:t>
            </w:r>
            <w:r>
              <w:rPr>
                <w:rFonts w:hint="eastAsia" w:ascii="宋体" w:hAnsi="宋体" w:cs="宋体"/>
                <w:szCs w:val="21"/>
                <w:u w:val="single"/>
              </w:rPr>
              <w:t xml:space="preserve">         </w:t>
            </w:r>
          </w:p>
        </w:tc>
        <w:tc>
          <w:tcPr>
            <w:tcW w:w="1306" w:type="dxa"/>
            <w:vAlign w:val="center"/>
          </w:tcPr>
          <w:p w14:paraId="6B8FF75D">
            <w:pPr>
              <w:autoSpaceDE w:val="0"/>
              <w:autoSpaceDN w:val="0"/>
              <w:adjustRightInd w:val="0"/>
              <w:spacing w:line="360" w:lineRule="auto"/>
              <w:jc w:val="center"/>
              <w:rPr>
                <w:rFonts w:ascii="宋体" w:hAnsi="宋体" w:cs="宋体"/>
                <w:snapToGrid w:val="0"/>
                <w:kern w:val="0"/>
                <w:szCs w:val="21"/>
              </w:rPr>
            </w:pPr>
          </w:p>
        </w:tc>
      </w:tr>
      <w:tr w14:paraId="2622B6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397" w:hRule="exact"/>
        </w:trPr>
        <w:tc>
          <w:tcPr>
            <w:tcW w:w="720" w:type="dxa"/>
            <w:vAlign w:val="center"/>
          </w:tcPr>
          <w:p w14:paraId="4112156B">
            <w:pPr>
              <w:autoSpaceDE w:val="0"/>
              <w:autoSpaceDN w:val="0"/>
              <w:adjustRightInd w:val="0"/>
              <w:spacing w:line="360" w:lineRule="auto"/>
              <w:jc w:val="center"/>
              <w:rPr>
                <w:rFonts w:ascii="宋体" w:hAnsi="宋体" w:cs="宋体"/>
                <w:snapToGrid w:val="0"/>
                <w:kern w:val="0"/>
                <w:szCs w:val="21"/>
              </w:rPr>
            </w:pPr>
            <w:r>
              <w:rPr>
                <w:rFonts w:hint="eastAsia" w:ascii="宋体" w:hAnsi="宋体" w:cs="宋体"/>
                <w:snapToGrid w:val="0"/>
                <w:kern w:val="0"/>
                <w:szCs w:val="21"/>
              </w:rPr>
              <w:t>2</w:t>
            </w:r>
          </w:p>
        </w:tc>
        <w:tc>
          <w:tcPr>
            <w:tcW w:w="2582" w:type="dxa"/>
            <w:vAlign w:val="center"/>
          </w:tcPr>
          <w:p w14:paraId="59861EBF">
            <w:pPr>
              <w:autoSpaceDE w:val="0"/>
              <w:autoSpaceDN w:val="0"/>
              <w:adjustRightInd w:val="0"/>
              <w:spacing w:line="360" w:lineRule="auto"/>
              <w:jc w:val="center"/>
              <w:rPr>
                <w:rFonts w:ascii="宋体" w:hAnsi="宋体" w:cs="宋体"/>
                <w:snapToGrid w:val="0"/>
                <w:kern w:val="0"/>
                <w:szCs w:val="21"/>
              </w:rPr>
            </w:pPr>
            <w:r>
              <w:rPr>
                <w:rFonts w:hint="eastAsia" w:ascii="宋体" w:hAnsi="宋体" w:cs="宋体"/>
                <w:snapToGrid w:val="0"/>
                <w:kern w:val="0"/>
                <w:szCs w:val="21"/>
              </w:rPr>
              <w:t>缺项责任期</w:t>
            </w:r>
          </w:p>
        </w:tc>
        <w:tc>
          <w:tcPr>
            <w:tcW w:w="3723" w:type="dxa"/>
            <w:vAlign w:val="center"/>
          </w:tcPr>
          <w:p w14:paraId="12965FC5">
            <w:pPr>
              <w:tabs>
                <w:tab w:val="left" w:pos="1560"/>
              </w:tabs>
              <w:spacing w:line="360" w:lineRule="auto"/>
              <w:jc w:val="center"/>
              <w:rPr>
                <w:rFonts w:ascii="宋体" w:hAnsi="宋体" w:cs="宋体"/>
                <w:snapToGrid w:val="0"/>
                <w:kern w:val="0"/>
                <w:szCs w:val="21"/>
              </w:rPr>
            </w:pPr>
            <w:r>
              <w:rPr>
                <w:rFonts w:hint="eastAsia" w:ascii="宋体" w:hAnsi="宋体" w:cs="宋体"/>
                <w:snapToGrid w:val="0"/>
                <w:kern w:val="0"/>
                <w:szCs w:val="21"/>
              </w:rPr>
              <w:t xml:space="preserve">24个月 </w:t>
            </w:r>
          </w:p>
        </w:tc>
        <w:tc>
          <w:tcPr>
            <w:tcW w:w="1306" w:type="dxa"/>
            <w:vAlign w:val="center"/>
          </w:tcPr>
          <w:p w14:paraId="6DF2BD7C">
            <w:pPr>
              <w:autoSpaceDE w:val="0"/>
              <w:autoSpaceDN w:val="0"/>
              <w:adjustRightInd w:val="0"/>
              <w:spacing w:line="360" w:lineRule="auto"/>
              <w:jc w:val="center"/>
              <w:rPr>
                <w:rFonts w:ascii="宋体" w:hAnsi="宋体" w:cs="宋体"/>
                <w:snapToGrid w:val="0"/>
                <w:kern w:val="0"/>
                <w:szCs w:val="21"/>
              </w:rPr>
            </w:pPr>
          </w:p>
        </w:tc>
      </w:tr>
    </w:tbl>
    <w:p w14:paraId="1BED945B">
      <w:pPr>
        <w:spacing w:line="360" w:lineRule="auto"/>
        <w:rPr>
          <w:rFonts w:ascii="宋体" w:hAnsi="宋体" w:cs="宋体"/>
          <w:snapToGrid w:val="0"/>
          <w:w w:val="99"/>
        </w:rPr>
      </w:pPr>
    </w:p>
    <w:p w14:paraId="09C42477">
      <w:pPr>
        <w:spacing w:line="360" w:lineRule="auto"/>
        <w:rPr>
          <w:rFonts w:ascii="宋体" w:hAnsi="宋体" w:cs="宋体"/>
          <w:snapToGrid w:val="0"/>
        </w:rPr>
      </w:pPr>
    </w:p>
    <w:p w14:paraId="0E88036B">
      <w:pPr>
        <w:spacing w:line="360" w:lineRule="auto"/>
        <w:rPr>
          <w:rFonts w:ascii="宋体" w:hAnsi="宋体" w:cs="宋体"/>
          <w:snapToGrid w:val="0"/>
        </w:rPr>
      </w:pPr>
    </w:p>
    <w:p w14:paraId="3940AD71">
      <w:pPr>
        <w:tabs>
          <w:tab w:val="left" w:pos="7140"/>
          <w:tab w:val="left" w:pos="7560"/>
          <w:tab w:val="left" w:pos="8300"/>
        </w:tabs>
        <w:autoSpaceDE w:val="0"/>
        <w:autoSpaceDN w:val="0"/>
        <w:adjustRightInd w:val="0"/>
        <w:spacing w:line="360" w:lineRule="auto"/>
        <w:ind w:right="210" w:firstLine="2396" w:firstLineChars="1141"/>
        <w:rPr>
          <w:rFonts w:ascii="宋体" w:hAnsi="宋体" w:cs="宋体"/>
          <w:snapToGrid w:val="0"/>
          <w:kern w:val="0"/>
          <w:szCs w:val="21"/>
        </w:rPr>
      </w:pPr>
      <w:r>
        <w:rPr>
          <w:rFonts w:hint="eastAsia" w:ascii="宋体" w:hAnsi="宋体" w:cs="宋体"/>
          <w:snapToGrid w:val="0"/>
          <w:kern w:val="0"/>
          <w:szCs w:val="21"/>
        </w:rPr>
        <w:t>竞    选  人：</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（盖单位公章） </w:t>
      </w:r>
    </w:p>
    <w:p w14:paraId="7A82CA29">
      <w:pPr>
        <w:tabs>
          <w:tab w:val="left" w:pos="7140"/>
          <w:tab w:val="left" w:pos="7560"/>
          <w:tab w:val="left" w:pos="8300"/>
        </w:tabs>
        <w:autoSpaceDE w:val="0"/>
        <w:autoSpaceDN w:val="0"/>
        <w:adjustRightInd w:val="0"/>
        <w:spacing w:line="360" w:lineRule="auto"/>
        <w:ind w:right="210" w:firstLine="1984" w:firstLineChars="945"/>
        <w:rPr>
          <w:rFonts w:ascii="宋体" w:hAnsi="宋体" w:cs="宋体"/>
          <w:snapToGrid w:val="0"/>
          <w:kern w:val="0"/>
          <w:szCs w:val="21"/>
        </w:rPr>
      </w:pPr>
      <w:r>
        <w:rPr>
          <w:rFonts w:hint="eastAsia" w:ascii="宋体" w:hAnsi="宋体" w:cs="宋体"/>
          <w:snapToGrid w:val="0"/>
          <w:kern w:val="0"/>
          <w:szCs w:val="21"/>
        </w:rPr>
        <w:t xml:space="preserve">   </w:t>
      </w:r>
    </w:p>
    <w:p w14:paraId="4B47D6A7">
      <w:pPr>
        <w:tabs>
          <w:tab w:val="left" w:pos="7140"/>
          <w:tab w:val="left" w:pos="7560"/>
          <w:tab w:val="left" w:pos="8300"/>
        </w:tabs>
        <w:autoSpaceDE w:val="0"/>
        <w:autoSpaceDN w:val="0"/>
        <w:adjustRightInd w:val="0"/>
        <w:spacing w:line="360" w:lineRule="auto"/>
        <w:ind w:right="210" w:firstLine="2415" w:firstLineChars="1150"/>
        <w:rPr>
          <w:rFonts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（签字或盖章） </w:t>
      </w:r>
    </w:p>
    <w:p w14:paraId="633AB147">
      <w:pPr>
        <w:tabs>
          <w:tab w:val="left" w:pos="7140"/>
          <w:tab w:val="left" w:pos="7560"/>
          <w:tab w:val="left" w:pos="8300"/>
        </w:tabs>
        <w:autoSpaceDE w:val="0"/>
        <w:autoSpaceDN w:val="0"/>
        <w:adjustRightInd w:val="0"/>
        <w:spacing w:line="360" w:lineRule="auto"/>
        <w:ind w:right="210" w:firstLine="1995" w:firstLineChars="950"/>
        <w:rPr>
          <w:rFonts w:ascii="宋体" w:hAnsi="宋体" w:cs="宋体"/>
          <w:snapToGrid w:val="0"/>
          <w:kern w:val="0"/>
          <w:szCs w:val="21"/>
        </w:rPr>
      </w:pPr>
    </w:p>
    <w:p w14:paraId="09038A35">
      <w:pPr>
        <w:spacing w:line="360" w:lineRule="auto"/>
        <w:ind w:firstLine="4725" w:firstLineChars="2250"/>
        <w:rPr>
          <w:rFonts w:ascii="宋体" w:hAnsi="宋体" w:cs="宋体"/>
          <w:b/>
          <w:sz w:val="24"/>
          <w:u w:val="single"/>
        </w:rPr>
      </w:pPr>
      <w:bookmarkStart w:id="784" w:name="_Toc287620816"/>
      <w:bookmarkStart w:id="785" w:name="_Toc287607869"/>
      <w:bookmarkStart w:id="786" w:name="_Toc430530532"/>
      <w:bookmarkStart w:id="787" w:name="_Toc224103497"/>
      <w:bookmarkStart w:id="788" w:name="_Toc277082645"/>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CCED097">
      <w:pPr>
        <w:tabs>
          <w:tab w:val="left" w:pos="7140"/>
          <w:tab w:val="left" w:pos="7560"/>
          <w:tab w:val="left" w:pos="8300"/>
        </w:tabs>
        <w:autoSpaceDE w:val="0"/>
        <w:autoSpaceDN w:val="0"/>
        <w:adjustRightInd w:val="0"/>
        <w:spacing w:line="360" w:lineRule="auto"/>
        <w:ind w:right="210"/>
        <w:jc w:val="center"/>
        <w:rPr>
          <w:rFonts w:ascii="宋体" w:hAnsi="宋体" w:cs="宋体"/>
          <w:snapToGrid w:val="0"/>
          <w:kern w:val="0"/>
          <w:sz w:val="32"/>
          <w:szCs w:val="32"/>
        </w:rPr>
      </w:pPr>
    </w:p>
    <w:p w14:paraId="5C20611D">
      <w:pPr>
        <w:tabs>
          <w:tab w:val="left" w:pos="7140"/>
          <w:tab w:val="left" w:pos="7560"/>
          <w:tab w:val="left" w:pos="8300"/>
        </w:tabs>
        <w:autoSpaceDE w:val="0"/>
        <w:autoSpaceDN w:val="0"/>
        <w:adjustRightInd w:val="0"/>
        <w:spacing w:line="360" w:lineRule="auto"/>
        <w:ind w:right="210"/>
        <w:jc w:val="center"/>
        <w:rPr>
          <w:rFonts w:ascii="宋体" w:hAnsi="宋体" w:cs="宋体"/>
          <w:snapToGrid w:val="0"/>
          <w:kern w:val="0"/>
          <w:sz w:val="32"/>
          <w:szCs w:val="32"/>
        </w:rPr>
      </w:pPr>
    </w:p>
    <w:p w14:paraId="1CCBD1A1">
      <w:pPr>
        <w:tabs>
          <w:tab w:val="left" w:pos="7140"/>
          <w:tab w:val="left" w:pos="7560"/>
          <w:tab w:val="left" w:pos="8300"/>
        </w:tabs>
        <w:autoSpaceDE w:val="0"/>
        <w:autoSpaceDN w:val="0"/>
        <w:adjustRightInd w:val="0"/>
        <w:spacing w:line="360" w:lineRule="auto"/>
        <w:ind w:right="210"/>
        <w:jc w:val="center"/>
        <w:rPr>
          <w:rFonts w:ascii="宋体" w:hAnsi="宋体" w:cs="宋体"/>
          <w:snapToGrid w:val="0"/>
          <w:kern w:val="0"/>
          <w:sz w:val="32"/>
          <w:szCs w:val="32"/>
        </w:rPr>
      </w:pPr>
    </w:p>
    <w:p w14:paraId="4EF2EFB7">
      <w:pPr>
        <w:tabs>
          <w:tab w:val="left" w:pos="7140"/>
          <w:tab w:val="left" w:pos="7560"/>
          <w:tab w:val="left" w:pos="8300"/>
        </w:tabs>
        <w:autoSpaceDE w:val="0"/>
        <w:autoSpaceDN w:val="0"/>
        <w:adjustRightInd w:val="0"/>
        <w:spacing w:line="360" w:lineRule="auto"/>
        <w:ind w:right="210"/>
        <w:jc w:val="center"/>
        <w:rPr>
          <w:rFonts w:ascii="宋体" w:hAnsi="宋体" w:cs="宋体"/>
          <w:snapToGrid w:val="0"/>
          <w:kern w:val="0"/>
          <w:sz w:val="32"/>
          <w:szCs w:val="32"/>
        </w:rPr>
      </w:pPr>
    </w:p>
    <w:p w14:paraId="2F791D62">
      <w:pPr>
        <w:pStyle w:val="2"/>
      </w:pPr>
    </w:p>
    <w:bookmarkEnd w:id="784"/>
    <w:bookmarkEnd w:id="785"/>
    <w:bookmarkEnd w:id="786"/>
    <w:bookmarkEnd w:id="787"/>
    <w:bookmarkEnd w:id="788"/>
    <w:p w14:paraId="2402259D">
      <w:pPr>
        <w:spacing w:line="360" w:lineRule="auto"/>
        <w:jc w:val="center"/>
        <w:rPr>
          <w:rFonts w:ascii="宋体" w:hAnsi="宋体" w:cs="宋体"/>
          <w:sz w:val="44"/>
          <w:szCs w:val="44"/>
        </w:rPr>
      </w:pPr>
    </w:p>
    <w:p w14:paraId="35DB49DF">
      <w:pPr>
        <w:spacing w:line="360" w:lineRule="auto"/>
        <w:jc w:val="center"/>
        <w:rPr>
          <w:rFonts w:ascii="宋体" w:hAnsi="宋体" w:cs="宋体"/>
          <w:sz w:val="44"/>
          <w:szCs w:val="44"/>
        </w:rPr>
      </w:pPr>
    </w:p>
    <w:p w14:paraId="5EBC873E">
      <w:pPr>
        <w:spacing w:line="360" w:lineRule="auto"/>
        <w:jc w:val="center"/>
        <w:rPr>
          <w:rFonts w:ascii="宋体" w:hAnsi="宋体" w:cs="宋体"/>
          <w:sz w:val="44"/>
          <w:szCs w:val="44"/>
        </w:rPr>
      </w:pPr>
    </w:p>
    <w:p w14:paraId="54566376">
      <w:pPr>
        <w:spacing w:line="360" w:lineRule="auto"/>
        <w:jc w:val="center"/>
        <w:rPr>
          <w:rFonts w:ascii="宋体" w:hAnsi="宋体" w:cs="宋体"/>
          <w:sz w:val="44"/>
          <w:szCs w:val="44"/>
        </w:rPr>
      </w:pPr>
    </w:p>
    <w:p w14:paraId="1DEE5E61">
      <w:pPr>
        <w:tabs>
          <w:tab w:val="left" w:pos="8300"/>
        </w:tabs>
        <w:autoSpaceDE w:val="0"/>
        <w:autoSpaceDN w:val="0"/>
        <w:adjustRightInd w:val="0"/>
        <w:spacing w:line="400" w:lineRule="exact"/>
        <w:rPr>
          <w:rFonts w:ascii="宋体" w:hAnsi="宋体"/>
          <w:snapToGrid w:val="0"/>
          <w:kern w:val="0"/>
          <w:sz w:val="30"/>
          <w:szCs w:val="30"/>
        </w:rPr>
      </w:pPr>
      <w:r>
        <w:rPr>
          <w:sz w:val="30"/>
          <w:szCs w:val="30"/>
        </w:rPr>
        <w:t>（</w:t>
      </w:r>
      <w:r>
        <w:rPr>
          <w:rFonts w:hint="eastAsia"/>
          <w:sz w:val="30"/>
          <w:szCs w:val="30"/>
        </w:rPr>
        <w:t>三</w:t>
      </w:r>
      <w:r>
        <w:rPr>
          <w:sz w:val="30"/>
          <w:szCs w:val="30"/>
        </w:rPr>
        <w:t>）</w:t>
      </w:r>
      <w:r>
        <w:rPr>
          <w:rFonts w:hint="eastAsia"/>
          <w:sz w:val="30"/>
          <w:szCs w:val="30"/>
        </w:rPr>
        <w:t>法定代表人身份证明或附有法定代表人身份证明的授权委托书</w:t>
      </w:r>
    </w:p>
    <w:p w14:paraId="1CB5A2A7">
      <w:pPr>
        <w:spacing w:line="480" w:lineRule="auto"/>
        <w:jc w:val="center"/>
        <w:rPr>
          <w:rFonts w:ascii="宋体" w:hAnsi="宋体"/>
          <w:sz w:val="28"/>
        </w:rPr>
      </w:pPr>
      <w:r>
        <w:rPr>
          <w:rFonts w:hint="eastAsia" w:ascii="宋体" w:hAnsi="宋体"/>
          <w:sz w:val="28"/>
        </w:rPr>
        <w:t>法定代表人身份证明</w:t>
      </w:r>
    </w:p>
    <w:p w14:paraId="1B98315B">
      <w:pPr>
        <w:spacing w:line="480" w:lineRule="auto"/>
        <w:jc w:val="center"/>
        <w:rPr>
          <w:rFonts w:ascii="宋体" w:hAnsi="宋体"/>
        </w:rPr>
      </w:pPr>
    </w:p>
    <w:p w14:paraId="13445FD5">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竞标人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E534E17">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572ED1E7">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287DCFB4">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5415B347">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58AFD6C8">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3CC360A7">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竞标人</w:t>
      </w:r>
      <w:r>
        <w:rPr>
          <w:rFonts w:ascii="宋体" w:hAnsi="宋体"/>
          <w:kern w:val="0"/>
          <w:szCs w:val="21"/>
          <w:u w:val="single"/>
        </w:rPr>
        <w:t>名称）</w:t>
      </w:r>
      <w:r>
        <w:rPr>
          <w:rFonts w:ascii="宋体" w:hAnsi="宋体"/>
          <w:kern w:val="0"/>
          <w:szCs w:val="21"/>
        </w:rPr>
        <w:t>的法定代表人。</w:t>
      </w:r>
    </w:p>
    <w:p w14:paraId="4E014C47">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0B851E8F">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附：法定代表人身份证复印件（双面）</w:t>
      </w:r>
    </w:p>
    <w:p w14:paraId="0B324DA1">
      <w:pPr>
        <w:pStyle w:val="8"/>
        <w:spacing w:after="0" w:line="360" w:lineRule="auto"/>
        <w:rPr>
          <w:rFonts w:ascii="宋体" w:hAnsi="宋体"/>
          <w:szCs w:val="21"/>
        </w:rPr>
      </w:pPr>
    </w:p>
    <w:p w14:paraId="1849BD08">
      <w:pPr>
        <w:pStyle w:val="8"/>
        <w:spacing w:after="0" w:line="360" w:lineRule="auto"/>
        <w:rPr>
          <w:rFonts w:ascii="宋体" w:hAnsi="宋体"/>
          <w:szCs w:val="21"/>
        </w:rPr>
      </w:pPr>
    </w:p>
    <w:p w14:paraId="607E9BAE">
      <w:pPr>
        <w:pStyle w:val="8"/>
        <w:spacing w:after="0" w:line="360" w:lineRule="auto"/>
        <w:rPr>
          <w:rFonts w:ascii="宋体" w:hAnsi="宋体"/>
          <w:szCs w:val="21"/>
        </w:rPr>
      </w:pPr>
    </w:p>
    <w:p w14:paraId="34D15A9E">
      <w:pPr>
        <w:pStyle w:val="8"/>
        <w:spacing w:after="0" w:line="360" w:lineRule="auto"/>
        <w:rPr>
          <w:rFonts w:ascii="宋体" w:hAnsi="宋体"/>
          <w:szCs w:val="21"/>
        </w:rPr>
      </w:pPr>
    </w:p>
    <w:p w14:paraId="1DC8E94C">
      <w:pPr>
        <w:pStyle w:val="8"/>
        <w:spacing w:after="0" w:line="360" w:lineRule="auto"/>
        <w:rPr>
          <w:rFonts w:ascii="宋体" w:hAnsi="宋体"/>
          <w:szCs w:val="21"/>
        </w:rPr>
      </w:pPr>
    </w:p>
    <w:p w14:paraId="78F96B14">
      <w:pPr>
        <w:pStyle w:val="8"/>
        <w:spacing w:after="0" w:line="360" w:lineRule="auto"/>
        <w:rPr>
          <w:rFonts w:ascii="宋体" w:hAnsi="宋体"/>
          <w:szCs w:val="21"/>
        </w:rPr>
      </w:pPr>
    </w:p>
    <w:p w14:paraId="1CCAD796">
      <w:pPr>
        <w:autoSpaceDE w:val="0"/>
        <w:autoSpaceDN w:val="0"/>
        <w:adjustRightInd w:val="0"/>
        <w:snapToGrid w:val="0"/>
        <w:spacing w:line="480" w:lineRule="auto"/>
        <w:ind w:firstLine="420" w:firstLineChars="200"/>
        <w:jc w:val="right"/>
        <w:rPr>
          <w:rFonts w:ascii="宋体" w:hAnsi="宋体"/>
          <w:kern w:val="0"/>
          <w:szCs w:val="21"/>
        </w:rPr>
      </w:pPr>
      <w:r>
        <w:rPr>
          <w:rFonts w:hint="eastAsia" w:ascii="宋体" w:hAnsi="宋体"/>
          <w:kern w:val="0"/>
          <w:szCs w:val="21"/>
        </w:rPr>
        <w:t>竞标人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15ADA74A">
      <w:pPr>
        <w:autoSpaceDE w:val="0"/>
        <w:autoSpaceDN w:val="0"/>
        <w:adjustRightInd w:val="0"/>
        <w:snapToGrid w:val="0"/>
        <w:spacing w:line="480" w:lineRule="auto"/>
        <w:jc w:val="left"/>
        <w:rPr>
          <w:rFonts w:ascii="宋体" w:hAnsi="宋体"/>
          <w:kern w:val="0"/>
          <w:sz w:val="20"/>
          <w:szCs w:val="20"/>
        </w:rPr>
      </w:pPr>
    </w:p>
    <w:p w14:paraId="3B7F5F8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389EC287">
      <w:pPr>
        <w:autoSpaceDE w:val="0"/>
        <w:autoSpaceDN w:val="0"/>
        <w:adjustRightInd w:val="0"/>
        <w:snapToGrid w:val="0"/>
        <w:spacing w:line="360" w:lineRule="auto"/>
        <w:jc w:val="left"/>
        <w:rPr>
          <w:rFonts w:ascii="宋体" w:hAnsi="宋体"/>
          <w:kern w:val="0"/>
        </w:rPr>
      </w:pPr>
    </w:p>
    <w:p w14:paraId="35355BD4">
      <w:pPr>
        <w:autoSpaceDE w:val="0"/>
        <w:autoSpaceDN w:val="0"/>
        <w:adjustRightInd w:val="0"/>
        <w:snapToGrid w:val="0"/>
        <w:spacing w:line="360" w:lineRule="auto"/>
        <w:jc w:val="left"/>
        <w:rPr>
          <w:rFonts w:ascii="宋体" w:hAnsi="宋体"/>
          <w:kern w:val="0"/>
        </w:rPr>
      </w:pPr>
    </w:p>
    <w:p w14:paraId="62333BDE">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65EA9377">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14:paraId="5B70F956">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竞标人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竞标文件</w:t>
      </w:r>
      <w:r>
        <w:rPr>
          <w:rFonts w:ascii="宋体" w:hAnsi="宋体"/>
          <w:kern w:val="0"/>
          <w:szCs w:val="21"/>
        </w:rPr>
        <w:t>、签订合同和处理有关事宜， 其法律后果由我方承担。</w:t>
      </w:r>
    </w:p>
    <w:p w14:paraId="57F425E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46B0B9D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3453629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0B09D59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hint="eastAsia" w:ascii="宋体" w:hAnsi="宋体"/>
          <w:kern w:val="0"/>
          <w:szCs w:val="21"/>
        </w:rPr>
        <w:t>竞标人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776FD540">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7EC6D210">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49BF18B7">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10C33960">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23B4E3D6">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21DA2EC1">
      <w:pPr>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0AD9E4F3">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附：法定代表人和委托代理人身份证复印件（双面）</w:t>
      </w:r>
    </w:p>
    <w:p w14:paraId="5BE27AF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06E1F07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16A29F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4FFF56D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0D0AE64">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3F6C1A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25D07715">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2F26244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p>
    <w:p w14:paraId="200541A7">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0855F6BB">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注：1、法定代表人参加</w:t>
      </w:r>
      <w:r>
        <w:rPr>
          <w:rFonts w:hint="eastAsia" w:ascii="宋体" w:hAnsi="宋体"/>
          <w:kern w:val="0"/>
          <w:szCs w:val="21"/>
        </w:rPr>
        <w:t>竞标</w:t>
      </w:r>
      <w:r>
        <w:rPr>
          <w:rFonts w:ascii="宋体" w:hAnsi="宋体"/>
          <w:kern w:val="0"/>
          <w:szCs w:val="21"/>
        </w:rPr>
        <w:t>活动并签署文件的不需要授权委托书，只需提供法定代表人身份证明；非法定代表人参加</w:t>
      </w:r>
      <w:r>
        <w:rPr>
          <w:rFonts w:hint="eastAsia" w:ascii="宋体" w:hAnsi="宋体"/>
          <w:kern w:val="0"/>
          <w:szCs w:val="21"/>
        </w:rPr>
        <w:t>竞标</w:t>
      </w:r>
      <w:r>
        <w:rPr>
          <w:rFonts w:ascii="宋体" w:hAnsi="宋体"/>
          <w:kern w:val="0"/>
          <w:szCs w:val="21"/>
        </w:rPr>
        <w:t>活动及签署文件的除提供法定代表人身份证明外还须提供授权委托书。</w:t>
      </w:r>
    </w:p>
    <w:p w14:paraId="79E087EF">
      <w:pPr>
        <w:tabs>
          <w:tab w:val="left" w:pos="5760"/>
        </w:tabs>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2、法定代表人身份证明及授权委托书原件装入</w:t>
      </w:r>
      <w:r>
        <w:rPr>
          <w:rFonts w:hint="eastAsia" w:ascii="宋体" w:hAnsi="宋体"/>
          <w:kern w:val="0"/>
          <w:szCs w:val="21"/>
        </w:rPr>
        <w:t>竞标文件</w:t>
      </w:r>
      <w:r>
        <w:rPr>
          <w:rFonts w:ascii="宋体" w:hAnsi="宋体"/>
          <w:kern w:val="0"/>
          <w:szCs w:val="21"/>
        </w:rPr>
        <w:t>一并递交。另外须准备一份授权委托书原件在开标现场出具。</w:t>
      </w:r>
    </w:p>
    <w:p w14:paraId="69FA45F0">
      <w:pPr>
        <w:spacing w:line="360" w:lineRule="auto"/>
        <w:ind w:firstLine="420" w:firstLineChars="200"/>
        <w:jc w:val="left"/>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14:paraId="40AE418B">
      <w:pPr>
        <w:spacing w:line="360" w:lineRule="auto"/>
        <w:ind w:firstLine="420" w:firstLineChars="200"/>
        <w:rPr>
          <w:rFonts w:ascii="宋体" w:hAnsi="宋体"/>
        </w:rPr>
      </w:pPr>
      <w:r>
        <w:rPr>
          <w:rFonts w:ascii="宋体" w:hAnsi="宋体"/>
        </w:rPr>
        <w:br w:type="page"/>
      </w:r>
    </w:p>
    <w:p w14:paraId="54A30DD8">
      <w:pPr>
        <w:pStyle w:val="5"/>
        <w:spacing w:before="0" w:after="0" w:line="240" w:lineRule="auto"/>
        <w:jc w:val="center"/>
        <w:rPr>
          <w:rFonts w:ascii="宋体" w:hAnsi="宋体"/>
          <w:b w:val="0"/>
          <w:bCs w:val="0"/>
        </w:rPr>
      </w:pPr>
      <w:bookmarkStart w:id="789" w:name="_Toc277082646"/>
      <w:bookmarkStart w:id="790" w:name="_Toc224103498"/>
      <w:bookmarkStart w:id="791" w:name="_Toc287607870"/>
      <w:bookmarkStart w:id="792" w:name="_Toc287620817"/>
      <w:bookmarkStart w:id="793" w:name="_Toc57820651"/>
      <w:bookmarkStart w:id="794" w:name="_Toc430530533"/>
      <w:r>
        <w:rPr>
          <w:rFonts w:ascii="宋体" w:hAnsi="宋体"/>
          <w:b w:val="0"/>
          <w:bCs w:val="0"/>
        </w:rPr>
        <w:t>（四）</w:t>
      </w:r>
      <w:bookmarkEnd w:id="789"/>
      <w:bookmarkEnd w:id="790"/>
      <w:bookmarkEnd w:id="791"/>
      <w:bookmarkEnd w:id="792"/>
      <w:bookmarkStart w:id="795" w:name="_Toc287607871"/>
      <w:bookmarkStart w:id="796" w:name="_Toc277082647"/>
      <w:bookmarkStart w:id="797" w:name="_Toc224103499"/>
      <w:bookmarkStart w:id="798" w:name="_Toc287620818"/>
      <w:r>
        <w:rPr>
          <w:rFonts w:hint="eastAsia" w:ascii="宋体" w:hAnsi="宋体"/>
          <w:b w:val="0"/>
          <w:bCs w:val="0"/>
        </w:rPr>
        <w:t>低价风险担保提交承诺书</w:t>
      </w:r>
      <w:bookmarkEnd w:id="793"/>
    </w:p>
    <w:p w14:paraId="174712E7">
      <w:pPr>
        <w:autoSpaceDE w:val="0"/>
        <w:autoSpaceDN w:val="0"/>
        <w:adjustRightInd w:val="0"/>
        <w:snapToGrid w:val="0"/>
        <w:spacing w:line="360" w:lineRule="auto"/>
        <w:jc w:val="center"/>
        <w:rPr>
          <w:rFonts w:ascii="宋体" w:hAnsi="宋体"/>
          <w:snapToGrid w:val="0"/>
          <w:kern w:val="0"/>
          <w:sz w:val="32"/>
          <w:szCs w:val="32"/>
        </w:rPr>
      </w:pPr>
    </w:p>
    <w:p w14:paraId="6C28E539">
      <w:pPr>
        <w:autoSpaceDE w:val="0"/>
        <w:autoSpaceDN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（投标报价低于招标项目最高限价的85%时采用）</w:t>
      </w:r>
    </w:p>
    <w:p w14:paraId="794EFAF4">
      <w:pPr>
        <w:autoSpaceDE w:val="0"/>
        <w:autoSpaceDN w:val="0"/>
        <w:adjustRightInd w:val="0"/>
        <w:snapToGrid w:val="0"/>
        <w:spacing w:line="360" w:lineRule="auto"/>
        <w:jc w:val="center"/>
        <w:rPr>
          <w:rFonts w:ascii="宋体" w:hAnsi="宋体"/>
          <w:snapToGrid w:val="0"/>
          <w:kern w:val="0"/>
          <w:sz w:val="32"/>
          <w:szCs w:val="32"/>
        </w:rPr>
      </w:pPr>
    </w:p>
    <w:p w14:paraId="60842B05">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（招标人名称）</w:t>
      </w:r>
      <w:r>
        <w:rPr>
          <w:rFonts w:hint="eastAsia" w:ascii="宋体" w:hAnsi="宋体" w:cs="宋体"/>
          <w:snapToGrid w:val="0"/>
          <w:kern w:val="0"/>
          <w:szCs w:val="21"/>
        </w:rPr>
        <w:t>：</w:t>
      </w:r>
    </w:p>
    <w:p w14:paraId="09FBCB1A">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（投标人名称）</w:t>
      </w:r>
      <w:r>
        <w:rPr>
          <w:rFonts w:hint="eastAsia" w:ascii="宋体" w:hAnsi="宋体" w:cs="宋体"/>
          <w:snapToGrid w:val="0"/>
          <w:kern w:val="0"/>
          <w:szCs w:val="21"/>
        </w:rPr>
        <w:t>参加了你单位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0CD14F97">
      <w:pPr>
        <w:autoSpaceDE w:val="0"/>
        <w:autoSpaceDN w:val="0"/>
        <w:adjustRightInd w:val="0"/>
        <w:snapToGrid w:val="0"/>
        <w:spacing w:line="360" w:lineRule="auto"/>
        <w:ind w:firstLine="640"/>
        <w:rPr>
          <w:rFonts w:ascii="宋体" w:hAnsi="宋体" w:cs="宋体"/>
          <w:snapToGrid w:val="0"/>
          <w:kern w:val="0"/>
          <w:szCs w:val="21"/>
        </w:rPr>
      </w:pPr>
    </w:p>
    <w:p w14:paraId="61A15F08">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14:paraId="4E1C23E3">
      <w:pPr>
        <w:autoSpaceDE w:val="0"/>
        <w:autoSpaceDN w:val="0"/>
        <w:adjustRightInd w:val="0"/>
        <w:snapToGrid w:val="0"/>
        <w:spacing w:line="360" w:lineRule="auto"/>
        <w:ind w:firstLine="640"/>
        <w:rPr>
          <w:rFonts w:ascii="宋体" w:hAnsi="宋体" w:cs="宋体"/>
          <w:snapToGrid w:val="0"/>
          <w:kern w:val="0"/>
          <w:sz w:val="32"/>
          <w:szCs w:val="32"/>
        </w:rPr>
      </w:pPr>
    </w:p>
    <w:p w14:paraId="7ACC0310">
      <w:pPr>
        <w:autoSpaceDE w:val="0"/>
        <w:autoSpaceDN w:val="0"/>
        <w:adjustRightInd w:val="0"/>
        <w:snapToGrid w:val="0"/>
        <w:spacing w:line="360" w:lineRule="auto"/>
        <w:ind w:firstLine="640"/>
        <w:rPr>
          <w:rFonts w:ascii="宋体" w:hAnsi="宋体" w:cs="宋体"/>
          <w:snapToGrid w:val="0"/>
          <w:kern w:val="0"/>
          <w:sz w:val="32"/>
          <w:szCs w:val="32"/>
        </w:rPr>
      </w:pPr>
    </w:p>
    <w:p w14:paraId="23401059">
      <w:pPr>
        <w:autoSpaceDE w:val="0"/>
        <w:autoSpaceDN w:val="0"/>
        <w:adjustRightInd w:val="0"/>
        <w:snapToGrid w:val="0"/>
        <w:spacing w:line="360" w:lineRule="auto"/>
        <w:ind w:firstLine="640"/>
        <w:rPr>
          <w:rFonts w:ascii="宋体" w:hAnsi="宋体" w:cs="宋体"/>
          <w:snapToGrid w:val="0"/>
          <w:kern w:val="0"/>
          <w:sz w:val="32"/>
          <w:szCs w:val="32"/>
        </w:rPr>
      </w:pPr>
    </w:p>
    <w:p w14:paraId="04979732">
      <w:pPr>
        <w:autoSpaceDE w:val="0"/>
        <w:autoSpaceDN w:val="0"/>
        <w:adjustRightInd w:val="0"/>
        <w:snapToGrid w:val="0"/>
        <w:spacing w:line="360" w:lineRule="auto"/>
        <w:ind w:firstLine="640"/>
        <w:rPr>
          <w:rFonts w:ascii="宋体" w:hAnsi="宋体" w:cs="宋体"/>
          <w:snapToGrid w:val="0"/>
          <w:kern w:val="0"/>
          <w:sz w:val="32"/>
          <w:szCs w:val="32"/>
        </w:rPr>
      </w:pPr>
    </w:p>
    <w:p w14:paraId="7C77A43F">
      <w:pPr>
        <w:autoSpaceDE w:val="0"/>
        <w:autoSpaceDN w:val="0"/>
        <w:adjustRightInd w:val="0"/>
        <w:snapToGrid w:val="0"/>
        <w:spacing w:line="360" w:lineRule="auto"/>
        <w:ind w:firstLine="640"/>
        <w:rPr>
          <w:rFonts w:ascii="宋体" w:hAnsi="宋体" w:cs="宋体"/>
          <w:snapToGrid w:val="0"/>
          <w:kern w:val="0"/>
          <w:sz w:val="32"/>
          <w:szCs w:val="32"/>
        </w:rPr>
      </w:pPr>
    </w:p>
    <w:p w14:paraId="2D2CF474">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竞</w:t>
      </w:r>
      <w:r>
        <w:rPr>
          <w:rFonts w:ascii="宋体" w:hAnsi="宋体"/>
          <w:kern w:val="0"/>
          <w:szCs w:val="21"/>
        </w:rPr>
        <w:t xml:space="preserve">  </w:t>
      </w:r>
      <w:r>
        <w:rPr>
          <w:rFonts w:hint="eastAsia" w:ascii="宋体" w:hAnsi="宋体"/>
          <w:kern w:val="0"/>
          <w:szCs w:val="21"/>
        </w:rPr>
        <w:t>选</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2DE6DFA9">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657B413A">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p>
    <w:p w14:paraId="77C390C7">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58AEDDC6">
      <w:pPr>
        <w:autoSpaceDE w:val="0"/>
        <w:autoSpaceDN w:val="0"/>
        <w:adjustRightInd w:val="0"/>
        <w:snapToGrid w:val="0"/>
        <w:spacing w:line="360" w:lineRule="auto"/>
        <w:ind w:firstLine="640"/>
        <w:rPr>
          <w:rFonts w:ascii="宋体" w:hAnsi="宋体" w:cs="宋体"/>
          <w:snapToGrid w:val="0"/>
          <w:kern w:val="0"/>
          <w:sz w:val="32"/>
          <w:szCs w:val="32"/>
        </w:rPr>
      </w:pPr>
    </w:p>
    <w:p w14:paraId="736B76C1">
      <w:pPr>
        <w:autoSpaceDE w:val="0"/>
        <w:autoSpaceDN w:val="0"/>
        <w:adjustRightInd w:val="0"/>
        <w:snapToGrid w:val="0"/>
        <w:spacing w:line="360" w:lineRule="auto"/>
        <w:jc w:val="center"/>
        <w:rPr>
          <w:rFonts w:ascii="宋体" w:hAnsi="宋体"/>
          <w:snapToGrid w:val="0"/>
          <w:kern w:val="0"/>
          <w:sz w:val="32"/>
          <w:szCs w:val="32"/>
        </w:rPr>
      </w:pPr>
    </w:p>
    <w:p w14:paraId="5D80B6D9">
      <w:pPr>
        <w:pStyle w:val="8"/>
        <w:rPr>
          <w:rFonts w:ascii="宋体" w:hAnsi="宋体"/>
          <w:snapToGrid w:val="0"/>
          <w:kern w:val="0"/>
          <w:sz w:val="32"/>
          <w:szCs w:val="32"/>
        </w:rPr>
      </w:pPr>
      <w:r>
        <w:rPr>
          <w:rFonts w:ascii="宋体" w:hAnsi="宋体"/>
          <w:snapToGrid w:val="0"/>
          <w:kern w:val="0"/>
          <w:sz w:val="32"/>
          <w:szCs w:val="32"/>
        </w:rPr>
        <w:br w:type="page"/>
      </w:r>
    </w:p>
    <w:bookmarkEnd w:id="794"/>
    <w:bookmarkEnd w:id="795"/>
    <w:bookmarkEnd w:id="796"/>
    <w:bookmarkEnd w:id="797"/>
    <w:bookmarkEnd w:id="798"/>
    <w:p w14:paraId="663A44DE">
      <w:pPr>
        <w:pStyle w:val="4"/>
        <w:spacing w:line="360" w:lineRule="auto"/>
        <w:jc w:val="center"/>
        <w:rPr>
          <w:rFonts w:ascii="宋体" w:hAnsi="宋体" w:cs="宋体"/>
          <w:b w:val="0"/>
          <w:bCs w:val="0"/>
          <w:sz w:val="44"/>
          <w:szCs w:val="44"/>
        </w:rPr>
      </w:pPr>
      <w:r>
        <w:rPr>
          <w:rFonts w:hint="eastAsia" w:ascii="宋体" w:hAnsi="宋体" w:cs="宋体"/>
          <w:b w:val="0"/>
          <w:bCs w:val="0"/>
          <w:sz w:val="44"/>
          <w:szCs w:val="44"/>
        </w:rPr>
        <w:t>二、</w:t>
      </w:r>
      <w:bookmarkEnd w:id="750"/>
      <w:bookmarkEnd w:id="751"/>
      <w:bookmarkEnd w:id="752"/>
      <w:bookmarkEnd w:id="753"/>
      <w:bookmarkEnd w:id="754"/>
      <w:r>
        <w:rPr>
          <w:rFonts w:hint="eastAsia" w:ascii="宋体" w:hAnsi="宋体" w:cs="宋体"/>
          <w:b w:val="0"/>
          <w:bCs w:val="0"/>
          <w:sz w:val="44"/>
          <w:szCs w:val="44"/>
        </w:rPr>
        <w:t>技术部分</w:t>
      </w:r>
    </w:p>
    <w:bookmarkEnd w:id="755"/>
    <w:bookmarkEnd w:id="756"/>
    <w:p w14:paraId="112A0D10">
      <w:pPr>
        <w:autoSpaceDE w:val="0"/>
        <w:autoSpaceDN w:val="0"/>
        <w:adjustRightInd w:val="0"/>
        <w:snapToGrid w:val="0"/>
        <w:spacing w:line="360" w:lineRule="auto"/>
        <w:jc w:val="left"/>
      </w:pPr>
    </w:p>
    <w:p w14:paraId="4542968F">
      <w:pPr>
        <w:spacing w:line="360" w:lineRule="auto"/>
        <w:jc w:val="center"/>
        <w:rPr>
          <w:rFonts w:ascii="宋体" w:hAnsi="宋体" w:cs="宋体"/>
          <w:kern w:val="0"/>
          <w:sz w:val="32"/>
          <w:szCs w:val="32"/>
          <w:u w:val="single"/>
        </w:rPr>
      </w:pPr>
    </w:p>
    <w:p w14:paraId="39F644C6">
      <w:pPr>
        <w:spacing w:line="360" w:lineRule="auto"/>
        <w:jc w:val="center"/>
        <w:rPr>
          <w:rFonts w:ascii="宋体" w:hAnsi="宋体" w:cs="宋体"/>
          <w:kern w:val="0"/>
          <w:sz w:val="32"/>
          <w:szCs w:val="32"/>
          <w:u w:val="single"/>
        </w:rPr>
      </w:pPr>
    </w:p>
    <w:p w14:paraId="46C95EDD">
      <w:pPr>
        <w:spacing w:line="360" w:lineRule="auto"/>
        <w:jc w:val="center"/>
        <w:rPr>
          <w:rFonts w:ascii="宋体" w:hAnsi="宋体" w:cs="宋体"/>
          <w:kern w:val="0"/>
          <w:sz w:val="32"/>
          <w:szCs w:val="32"/>
          <w:u w:val="single"/>
        </w:rPr>
      </w:pPr>
    </w:p>
    <w:p w14:paraId="09398FCA">
      <w:pPr>
        <w:spacing w:line="360" w:lineRule="auto"/>
        <w:jc w:val="center"/>
        <w:rPr>
          <w:rFonts w:ascii="宋体" w:hAnsi="宋体" w:cs="宋体"/>
          <w:kern w:val="0"/>
          <w:sz w:val="32"/>
          <w:szCs w:val="32"/>
          <w:u w:val="single"/>
        </w:rPr>
      </w:pPr>
    </w:p>
    <w:p w14:paraId="40A64918">
      <w:pPr>
        <w:spacing w:line="360" w:lineRule="auto"/>
        <w:jc w:val="center"/>
        <w:rPr>
          <w:rFonts w:ascii="宋体" w:hAnsi="宋体" w:cs="宋体"/>
          <w:kern w:val="0"/>
          <w:sz w:val="32"/>
          <w:szCs w:val="32"/>
          <w:u w:val="single"/>
        </w:rPr>
      </w:pPr>
    </w:p>
    <w:p w14:paraId="1E301834">
      <w:pPr>
        <w:spacing w:line="360" w:lineRule="auto"/>
        <w:jc w:val="center"/>
        <w:rPr>
          <w:rFonts w:ascii="宋体" w:hAnsi="宋体" w:cs="宋体"/>
          <w:kern w:val="0"/>
          <w:sz w:val="32"/>
          <w:szCs w:val="32"/>
          <w:u w:val="single"/>
        </w:rPr>
      </w:pPr>
    </w:p>
    <w:p w14:paraId="307F30C0">
      <w:pPr>
        <w:spacing w:line="360" w:lineRule="auto"/>
        <w:jc w:val="center"/>
        <w:rPr>
          <w:rFonts w:ascii="宋体" w:hAnsi="宋体" w:cs="宋体"/>
          <w:kern w:val="0"/>
          <w:sz w:val="32"/>
          <w:szCs w:val="32"/>
          <w:u w:val="single"/>
        </w:rPr>
      </w:pPr>
    </w:p>
    <w:p w14:paraId="1397731F">
      <w:pPr>
        <w:spacing w:line="360" w:lineRule="auto"/>
        <w:jc w:val="center"/>
        <w:rPr>
          <w:rFonts w:ascii="宋体" w:hAnsi="宋体" w:cs="宋体"/>
          <w:kern w:val="0"/>
          <w:sz w:val="32"/>
          <w:szCs w:val="32"/>
          <w:u w:val="single"/>
        </w:rPr>
      </w:pPr>
    </w:p>
    <w:p w14:paraId="1FE52AEB">
      <w:pPr>
        <w:spacing w:line="360" w:lineRule="auto"/>
        <w:jc w:val="center"/>
        <w:rPr>
          <w:rFonts w:ascii="宋体" w:hAnsi="宋体" w:cs="宋体"/>
          <w:kern w:val="0"/>
          <w:sz w:val="32"/>
          <w:szCs w:val="32"/>
          <w:u w:val="single"/>
        </w:rPr>
      </w:pPr>
    </w:p>
    <w:p w14:paraId="754A7791">
      <w:pPr>
        <w:spacing w:line="360" w:lineRule="auto"/>
        <w:jc w:val="center"/>
        <w:rPr>
          <w:rFonts w:ascii="宋体" w:hAnsi="宋体" w:cs="宋体"/>
          <w:kern w:val="0"/>
          <w:sz w:val="32"/>
          <w:szCs w:val="32"/>
          <w:u w:val="single"/>
        </w:rPr>
      </w:pPr>
    </w:p>
    <w:p w14:paraId="38A57FF5">
      <w:pPr>
        <w:spacing w:line="360" w:lineRule="auto"/>
        <w:jc w:val="center"/>
        <w:rPr>
          <w:rFonts w:ascii="宋体" w:hAnsi="宋体" w:cs="宋体"/>
          <w:kern w:val="0"/>
          <w:sz w:val="32"/>
          <w:szCs w:val="32"/>
          <w:u w:val="single"/>
        </w:rPr>
      </w:pPr>
    </w:p>
    <w:p w14:paraId="3FAFE422">
      <w:pPr>
        <w:spacing w:line="360" w:lineRule="auto"/>
        <w:jc w:val="center"/>
        <w:rPr>
          <w:rFonts w:ascii="宋体" w:hAnsi="宋体" w:cs="宋体"/>
          <w:kern w:val="0"/>
          <w:sz w:val="32"/>
          <w:szCs w:val="32"/>
          <w:u w:val="single"/>
        </w:rPr>
      </w:pPr>
    </w:p>
    <w:p w14:paraId="2EF990D0">
      <w:pPr>
        <w:spacing w:line="360" w:lineRule="auto"/>
        <w:jc w:val="center"/>
        <w:rPr>
          <w:rFonts w:ascii="宋体" w:hAnsi="宋体" w:cs="宋体"/>
          <w:kern w:val="0"/>
          <w:sz w:val="32"/>
          <w:szCs w:val="32"/>
          <w:u w:val="single"/>
        </w:rPr>
      </w:pPr>
    </w:p>
    <w:p w14:paraId="2C9CFBC4">
      <w:pPr>
        <w:spacing w:line="360" w:lineRule="auto"/>
        <w:jc w:val="center"/>
        <w:rPr>
          <w:rFonts w:ascii="宋体" w:hAnsi="宋体" w:cs="宋体"/>
          <w:kern w:val="0"/>
          <w:sz w:val="32"/>
          <w:szCs w:val="32"/>
          <w:u w:val="single"/>
        </w:rPr>
      </w:pPr>
    </w:p>
    <w:p w14:paraId="654BEC1F">
      <w:pPr>
        <w:spacing w:line="360" w:lineRule="auto"/>
        <w:jc w:val="center"/>
        <w:rPr>
          <w:rFonts w:ascii="宋体" w:hAnsi="宋体" w:cs="宋体"/>
          <w:kern w:val="0"/>
          <w:sz w:val="32"/>
          <w:szCs w:val="32"/>
          <w:u w:val="single"/>
        </w:rPr>
      </w:pPr>
    </w:p>
    <w:p w14:paraId="4AC94DFF">
      <w:pPr>
        <w:spacing w:line="360" w:lineRule="auto"/>
        <w:jc w:val="center"/>
        <w:rPr>
          <w:rFonts w:ascii="宋体" w:hAnsi="宋体" w:cs="宋体"/>
          <w:kern w:val="0"/>
          <w:sz w:val="32"/>
          <w:szCs w:val="32"/>
          <w:u w:val="single"/>
        </w:rPr>
      </w:pPr>
    </w:p>
    <w:p w14:paraId="70CFF24A">
      <w:pPr>
        <w:spacing w:line="360" w:lineRule="auto"/>
        <w:jc w:val="center"/>
        <w:rPr>
          <w:rFonts w:ascii="宋体" w:hAnsi="宋体" w:cs="宋体"/>
          <w:kern w:val="0"/>
          <w:sz w:val="32"/>
          <w:szCs w:val="32"/>
          <w:u w:val="single"/>
        </w:rPr>
      </w:pPr>
    </w:p>
    <w:p w14:paraId="60B1CF57">
      <w:pPr>
        <w:spacing w:line="360" w:lineRule="auto"/>
        <w:jc w:val="center"/>
        <w:rPr>
          <w:rFonts w:ascii="宋体" w:hAnsi="宋体" w:cs="宋体"/>
          <w:kern w:val="0"/>
          <w:sz w:val="32"/>
          <w:szCs w:val="32"/>
          <w:u w:val="single"/>
        </w:rPr>
      </w:pPr>
    </w:p>
    <w:p w14:paraId="1CACD999">
      <w:pPr>
        <w:spacing w:line="360" w:lineRule="auto"/>
        <w:jc w:val="center"/>
        <w:rPr>
          <w:rFonts w:ascii="宋体" w:hAnsi="宋体" w:cs="宋体"/>
          <w:kern w:val="0"/>
          <w:sz w:val="32"/>
          <w:szCs w:val="32"/>
          <w:u w:val="single"/>
        </w:rPr>
      </w:pPr>
    </w:p>
    <w:p w14:paraId="3A3DB633">
      <w:pPr>
        <w:spacing w:line="360" w:lineRule="auto"/>
        <w:jc w:val="center"/>
        <w:rPr>
          <w:rFonts w:ascii="宋体" w:hAnsi="宋体" w:cs="宋体"/>
          <w:kern w:val="0"/>
          <w:sz w:val="32"/>
          <w:szCs w:val="32"/>
        </w:rPr>
      </w:pPr>
      <w:r>
        <w:rPr>
          <w:rFonts w:hint="eastAsia" w:ascii="宋体" w:hAnsi="宋体" w:cs="宋体"/>
          <w:kern w:val="0"/>
          <w:sz w:val="32"/>
          <w:szCs w:val="32"/>
        </w:rPr>
        <w:t xml:space="preserve">    </w:t>
      </w:r>
    </w:p>
    <w:p w14:paraId="7FB5D31C">
      <w:pPr>
        <w:spacing w:line="360" w:lineRule="auto"/>
        <w:jc w:val="center"/>
        <w:rPr>
          <w:rFonts w:ascii="宋体" w:hAnsi="宋体" w:cs="宋体"/>
          <w:kern w:val="0"/>
          <w:sz w:val="32"/>
          <w:szCs w:val="32"/>
        </w:rPr>
      </w:pPr>
      <w:r>
        <w:rPr>
          <w:rFonts w:hint="eastAsia" w:ascii="宋体" w:hAnsi="宋体" w:cs="宋体"/>
          <w:kern w:val="0"/>
          <w:sz w:val="32"/>
          <w:szCs w:val="32"/>
          <w:u w:val="single"/>
        </w:rPr>
        <w:t xml:space="preserve">                      </w:t>
      </w:r>
      <w:r>
        <w:rPr>
          <w:rFonts w:hint="eastAsia" w:ascii="宋体" w:hAnsi="宋体" w:cs="宋体"/>
          <w:kern w:val="0"/>
          <w:sz w:val="32"/>
          <w:szCs w:val="32"/>
        </w:rPr>
        <w:t>（项目名称）</w:t>
      </w:r>
    </w:p>
    <w:p w14:paraId="37E626D2">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26941DFF">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3F6A7B9F">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129DAB52">
      <w:pPr>
        <w:tabs>
          <w:tab w:val="left" w:pos="3600"/>
          <w:tab w:val="left" w:pos="4480"/>
          <w:tab w:val="left" w:pos="5360"/>
        </w:tabs>
        <w:autoSpaceDE w:val="0"/>
        <w:autoSpaceDN w:val="0"/>
        <w:adjustRightInd w:val="0"/>
        <w:snapToGrid w:val="0"/>
        <w:spacing w:line="360" w:lineRule="auto"/>
        <w:jc w:val="center"/>
        <w:rPr>
          <w:rFonts w:ascii="宋体" w:hAnsi="宋体" w:cs="宋体"/>
          <w:kern w:val="0"/>
          <w:sz w:val="72"/>
          <w:szCs w:val="72"/>
        </w:rPr>
      </w:pPr>
      <w:r>
        <w:rPr>
          <w:rFonts w:hint="eastAsia" w:ascii="宋体" w:hAnsi="宋体" w:cs="宋体"/>
          <w:kern w:val="0"/>
          <w:sz w:val="72"/>
          <w:szCs w:val="72"/>
        </w:rPr>
        <w:t>竞  选 文 件</w:t>
      </w:r>
    </w:p>
    <w:p w14:paraId="48B57CBE">
      <w:pPr>
        <w:autoSpaceDE w:val="0"/>
        <w:autoSpaceDN w:val="0"/>
        <w:adjustRightInd w:val="0"/>
        <w:snapToGrid w:val="0"/>
        <w:spacing w:line="360" w:lineRule="auto"/>
        <w:jc w:val="left"/>
        <w:rPr>
          <w:rFonts w:ascii="宋体" w:hAnsi="宋体" w:cs="宋体"/>
          <w:kern w:val="0"/>
          <w:sz w:val="16"/>
          <w:szCs w:val="16"/>
        </w:rPr>
      </w:pPr>
    </w:p>
    <w:p w14:paraId="14486E4D">
      <w:pPr>
        <w:autoSpaceDE w:val="0"/>
        <w:autoSpaceDN w:val="0"/>
        <w:adjustRightInd w:val="0"/>
        <w:snapToGrid w:val="0"/>
        <w:spacing w:line="360" w:lineRule="auto"/>
        <w:jc w:val="center"/>
        <w:rPr>
          <w:rFonts w:ascii="宋体" w:hAnsi="宋体" w:cs="宋体"/>
          <w:kern w:val="0"/>
          <w:sz w:val="36"/>
          <w:szCs w:val="36"/>
        </w:rPr>
      </w:pPr>
      <w:r>
        <w:rPr>
          <w:rFonts w:hint="eastAsia" w:ascii="宋体" w:hAnsi="宋体" w:cs="宋体"/>
          <w:kern w:val="0"/>
          <w:sz w:val="36"/>
          <w:szCs w:val="36"/>
        </w:rPr>
        <w:t>技术部分</w:t>
      </w:r>
    </w:p>
    <w:p w14:paraId="04A78091">
      <w:pPr>
        <w:autoSpaceDE w:val="0"/>
        <w:autoSpaceDN w:val="0"/>
        <w:adjustRightInd w:val="0"/>
        <w:snapToGrid w:val="0"/>
        <w:spacing w:line="360" w:lineRule="auto"/>
        <w:jc w:val="left"/>
        <w:rPr>
          <w:rFonts w:ascii="宋体" w:hAnsi="宋体" w:cs="宋体"/>
          <w:kern w:val="0"/>
          <w:sz w:val="20"/>
          <w:szCs w:val="20"/>
        </w:rPr>
      </w:pPr>
    </w:p>
    <w:p w14:paraId="2BECE8DE">
      <w:pPr>
        <w:adjustRightInd w:val="0"/>
        <w:snapToGrid w:val="0"/>
        <w:spacing w:line="360" w:lineRule="auto"/>
        <w:rPr>
          <w:rFonts w:ascii="宋体" w:hAnsi="宋体" w:cs="宋体"/>
          <w:szCs w:val="21"/>
        </w:rPr>
      </w:pPr>
    </w:p>
    <w:p w14:paraId="02D2E319">
      <w:pPr>
        <w:autoSpaceDE w:val="0"/>
        <w:autoSpaceDN w:val="0"/>
        <w:adjustRightInd w:val="0"/>
        <w:snapToGrid w:val="0"/>
        <w:spacing w:line="360" w:lineRule="auto"/>
        <w:jc w:val="left"/>
        <w:rPr>
          <w:rFonts w:ascii="宋体" w:hAnsi="宋体" w:cs="宋体"/>
          <w:kern w:val="0"/>
          <w:sz w:val="20"/>
          <w:szCs w:val="20"/>
        </w:rPr>
      </w:pPr>
    </w:p>
    <w:p w14:paraId="1C3B4419">
      <w:pPr>
        <w:autoSpaceDE w:val="0"/>
        <w:autoSpaceDN w:val="0"/>
        <w:adjustRightInd w:val="0"/>
        <w:snapToGrid w:val="0"/>
        <w:spacing w:line="360" w:lineRule="auto"/>
        <w:jc w:val="left"/>
        <w:rPr>
          <w:rFonts w:ascii="宋体" w:hAnsi="宋体" w:cs="宋体"/>
          <w:kern w:val="0"/>
          <w:sz w:val="20"/>
          <w:szCs w:val="20"/>
        </w:rPr>
      </w:pPr>
    </w:p>
    <w:p w14:paraId="249E93EE">
      <w:pPr>
        <w:autoSpaceDE w:val="0"/>
        <w:autoSpaceDN w:val="0"/>
        <w:adjustRightInd w:val="0"/>
        <w:snapToGrid w:val="0"/>
        <w:spacing w:line="360" w:lineRule="auto"/>
        <w:jc w:val="left"/>
        <w:rPr>
          <w:rFonts w:ascii="宋体" w:hAnsi="宋体" w:cs="宋体"/>
          <w:kern w:val="0"/>
          <w:sz w:val="20"/>
          <w:szCs w:val="20"/>
        </w:rPr>
      </w:pPr>
    </w:p>
    <w:p w14:paraId="3371B6DC">
      <w:pPr>
        <w:autoSpaceDE w:val="0"/>
        <w:autoSpaceDN w:val="0"/>
        <w:adjustRightInd w:val="0"/>
        <w:snapToGrid w:val="0"/>
        <w:spacing w:line="360" w:lineRule="auto"/>
        <w:jc w:val="left"/>
        <w:rPr>
          <w:rFonts w:ascii="宋体" w:hAnsi="宋体" w:cs="宋体"/>
          <w:kern w:val="0"/>
          <w:sz w:val="20"/>
          <w:szCs w:val="20"/>
        </w:rPr>
      </w:pPr>
    </w:p>
    <w:p w14:paraId="5AC02976">
      <w:pPr>
        <w:autoSpaceDE w:val="0"/>
        <w:autoSpaceDN w:val="0"/>
        <w:adjustRightInd w:val="0"/>
        <w:snapToGrid w:val="0"/>
        <w:spacing w:line="360" w:lineRule="auto"/>
        <w:jc w:val="left"/>
        <w:rPr>
          <w:rFonts w:ascii="宋体" w:hAnsi="宋体" w:cs="宋体"/>
          <w:kern w:val="0"/>
          <w:sz w:val="20"/>
          <w:szCs w:val="20"/>
        </w:rPr>
      </w:pPr>
    </w:p>
    <w:p w14:paraId="6F8C7A9E">
      <w:pPr>
        <w:autoSpaceDE w:val="0"/>
        <w:autoSpaceDN w:val="0"/>
        <w:adjustRightInd w:val="0"/>
        <w:snapToGrid w:val="0"/>
        <w:spacing w:line="360" w:lineRule="auto"/>
        <w:jc w:val="left"/>
        <w:rPr>
          <w:rFonts w:ascii="宋体" w:hAnsi="宋体" w:cs="宋体"/>
          <w:kern w:val="0"/>
          <w:sz w:val="20"/>
          <w:szCs w:val="20"/>
        </w:rPr>
      </w:pPr>
    </w:p>
    <w:p w14:paraId="257EF16D">
      <w:pPr>
        <w:autoSpaceDE w:val="0"/>
        <w:autoSpaceDN w:val="0"/>
        <w:adjustRightInd w:val="0"/>
        <w:snapToGrid w:val="0"/>
        <w:spacing w:line="360" w:lineRule="auto"/>
        <w:jc w:val="left"/>
        <w:rPr>
          <w:rFonts w:ascii="宋体" w:hAnsi="宋体" w:cs="宋体"/>
          <w:kern w:val="0"/>
          <w:sz w:val="20"/>
          <w:szCs w:val="20"/>
        </w:rPr>
      </w:pPr>
    </w:p>
    <w:p w14:paraId="0684CEBC">
      <w:pPr>
        <w:autoSpaceDE w:val="0"/>
        <w:autoSpaceDN w:val="0"/>
        <w:adjustRightInd w:val="0"/>
        <w:snapToGrid w:val="0"/>
        <w:spacing w:line="360" w:lineRule="auto"/>
        <w:jc w:val="left"/>
        <w:rPr>
          <w:rFonts w:ascii="宋体" w:hAnsi="宋体" w:cs="宋体"/>
          <w:kern w:val="0"/>
          <w:sz w:val="20"/>
          <w:szCs w:val="20"/>
        </w:rPr>
      </w:pPr>
    </w:p>
    <w:p w14:paraId="5F905269">
      <w:pPr>
        <w:autoSpaceDE w:val="0"/>
        <w:autoSpaceDN w:val="0"/>
        <w:adjustRightInd w:val="0"/>
        <w:snapToGrid w:val="0"/>
        <w:spacing w:line="360" w:lineRule="auto"/>
        <w:jc w:val="left"/>
        <w:rPr>
          <w:rFonts w:ascii="宋体" w:hAnsi="宋体" w:cs="宋体"/>
          <w:kern w:val="0"/>
          <w:sz w:val="20"/>
          <w:szCs w:val="20"/>
        </w:rPr>
      </w:pPr>
    </w:p>
    <w:p w14:paraId="7FB06D5A">
      <w:pPr>
        <w:autoSpaceDE w:val="0"/>
        <w:autoSpaceDN w:val="0"/>
        <w:adjustRightInd w:val="0"/>
        <w:snapToGrid w:val="0"/>
        <w:spacing w:line="360" w:lineRule="auto"/>
        <w:jc w:val="left"/>
        <w:rPr>
          <w:rFonts w:ascii="宋体" w:hAnsi="宋体" w:cs="宋体"/>
          <w:kern w:val="0"/>
          <w:sz w:val="20"/>
          <w:szCs w:val="20"/>
        </w:rPr>
      </w:pPr>
    </w:p>
    <w:p w14:paraId="30481F5F">
      <w:pPr>
        <w:autoSpaceDE w:val="0"/>
        <w:autoSpaceDN w:val="0"/>
        <w:adjustRightInd w:val="0"/>
        <w:snapToGrid w:val="0"/>
        <w:spacing w:line="360" w:lineRule="auto"/>
        <w:jc w:val="left"/>
        <w:rPr>
          <w:rFonts w:ascii="宋体" w:hAnsi="宋体" w:cs="宋体"/>
          <w:kern w:val="0"/>
          <w:sz w:val="20"/>
          <w:szCs w:val="20"/>
        </w:rPr>
      </w:pPr>
    </w:p>
    <w:p w14:paraId="2502A206">
      <w:pPr>
        <w:tabs>
          <w:tab w:val="left" w:pos="6080"/>
          <w:tab w:val="left" w:pos="6640"/>
        </w:tabs>
        <w:autoSpaceDE w:val="0"/>
        <w:autoSpaceDN w:val="0"/>
        <w:adjustRightInd w:val="0"/>
        <w:snapToGrid w:val="0"/>
        <w:spacing w:line="360" w:lineRule="auto"/>
        <w:jc w:val="center"/>
        <w:rPr>
          <w:rFonts w:ascii="宋体" w:hAnsi="宋体" w:cs="宋体"/>
          <w:w w:val="99"/>
          <w:kern w:val="0"/>
          <w:sz w:val="28"/>
          <w:szCs w:val="28"/>
        </w:rPr>
      </w:pPr>
      <w:r>
        <w:rPr>
          <w:rFonts w:hint="eastAsia" w:ascii="宋体" w:hAnsi="宋体" w:cs="宋体"/>
          <w:w w:val="99"/>
          <w:kern w:val="0"/>
          <w:sz w:val="28"/>
          <w:szCs w:val="28"/>
        </w:rPr>
        <w:t>竞选人</w:t>
      </w:r>
      <w:r>
        <w:rPr>
          <w:rFonts w:hint="eastAsia" w:ascii="宋体" w:hAnsi="宋体" w:cs="宋体"/>
          <w:spacing w:val="1"/>
          <w:w w:val="99"/>
          <w:kern w:val="0"/>
          <w:sz w:val="28"/>
          <w:szCs w:val="28"/>
        </w:rPr>
        <w:t>：</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（盖单位公章）</w:t>
      </w:r>
    </w:p>
    <w:p w14:paraId="502E1A8B">
      <w:pPr>
        <w:tabs>
          <w:tab w:val="left" w:pos="6080"/>
          <w:tab w:val="left" w:pos="6640"/>
        </w:tabs>
        <w:autoSpaceDE w:val="0"/>
        <w:autoSpaceDN w:val="0"/>
        <w:adjustRightInd w:val="0"/>
        <w:snapToGrid w:val="0"/>
        <w:spacing w:line="360" w:lineRule="auto"/>
        <w:jc w:val="center"/>
        <w:rPr>
          <w:rFonts w:ascii="宋体" w:hAnsi="宋体" w:cs="宋体"/>
          <w:kern w:val="0"/>
          <w:sz w:val="28"/>
          <w:szCs w:val="28"/>
        </w:rPr>
      </w:pPr>
      <w:r>
        <w:rPr>
          <w:rFonts w:hint="eastAsia" w:ascii="宋体" w:hAnsi="宋体" w:cs="宋体"/>
          <w:w w:val="99"/>
          <w:kern w:val="0"/>
          <w:sz w:val="28"/>
          <w:szCs w:val="28"/>
        </w:rPr>
        <w:t>法定代表人或其委托代理人：</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（签字或盖章）</w:t>
      </w:r>
    </w:p>
    <w:p w14:paraId="343D6D9B">
      <w:pPr>
        <w:tabs>
          <w:tab w:val="left" w:pos="3280"/>
          <w:tab w:val="left" w:pos="4680"/>
          <w:tab w:val="left" w:pos="608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w w:val="198"/>
          <w:kern w:val="0"/>
          <w:sz w:val="28"/>
          <w:szCs w:val="28"/>
          <w:u w:val="single"/>
        </w:rPr>
        <w:t xml:space="preserve">    </w:t>
      </w:r>
      <w:r>
        <w:rPr>
          <w:rFonts w:hint="eastAsia" w:ascii="宋体" w:hAnsi="宋体" w:cs="宋体"/>
          <w:w w:val="99"/>
          <w:kern w:val="0"/>
          <w:sz w:val="28"/>
          <w:szCs w:val="28"/>
        </w:rPr>
        <w:t>年</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月</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日</w:t>
      </w:r>
    </w:p>
    <w:p w14:paraId="01CAD1AE">
      <w:pPr>
        <w:autoSpaceDE w:val="0"/>
        <w:autoSpaceDN w:val="0"/>
        <w:adjustRightInd w:val="0"/>
        <w:snapToGrid w:val="0"/>
        <w:spacing w:line="360" w:lineRule="auto"/>
        <w:jc w:val="left"/>
        <w:rPr>
          <w:rFonts w:ascii="宋体" w:hAnsi="宋体"/>
          <w:kern w:val="0"/>
          <w:sz w:val="24"/>
          <w:szCs w:val="21"/>
        </w:rPr>
      </w:pPr>
    </w:p>
    <w:p w14:paraId="259AA2A3">
      <w:pPr>
        <w:rPr>
          <w:rFonts w:ascii="宋体" w:hAnsi="宋体"/>
          <w:kern w:val="0"/>
          <w:sz w:val="36"/>
          <w:szCs w:val="36"/>
        </w:rPr>
      </w:pPr>
    </w:p>
    <w:p w14:paraId="0AD07129">
      <w:pPr>
        <w:autoSpaceDE w:val="0"/>
        <w:autoSpaceDN w:val="0"/>
        <w:adjustRightInd w:val="0"/>
        <w:snapToGrid w:val="0"/>
        <w:spacing w:line="360" w:lineRule="auto"/>
        <w:jc w:val="center"/>
        <w:rPr>
          <w:rFonts w:ascii="宋体" w:hAnsi="宋体"/>
          <w:kern w:val="0"/>
          <w:sz w:val="36"/>
          <w:szCs w:val="36"/>
        </w:rPr>
      </w:pPr>
    </w:p>
    <w:p w14:paraId="57190157">
      <w:pPr>
        <w:autoSpaceDE w:val="0"/>
        <w:autoSpaceDN w:val="0"/>
        <w:adjustRightInd w:val="0"/>
        <w:snapToGrid w:val="0"/>
        <w:spacing w:line="360" w:lineRule="auto"/>
        <w:jc w:val="center"/>
        <w:rPr>
          <w:rFonts w:ascii="宋体" w:hAnsi="宋体"/>
          <w:kern w:val="0"/>
          <w:sz w:val="32"/>
          <w:szCs w:val="32"/>
        </w:rPr>
      </w:pPr>
      <w:r>
        <w:rPr>
          <w:rFonts w:hint="eastAsia" w:ascii="宋体" w:hAnsi="宋体"/>
          <w:kern w:val="0"/>
          <w:sz w:val="36"/>
          <w:szCs w:val="36"/>
        </w:rPr>
        <w:t>目  录</w:t>
      </w:r>
    </w:p>
    <w:p w14:paraId="0DF068DE">
      <w:pPr>
        <w:autoSpaceDE w:val="0"/>
        <w:autoSpaceDN w:val="0"/>
        <w:adjustRightInd w:val="0"/>
        <w:snapToGrid w:val="0"/>
        <w:spacing w:line="360" w:lineRule="auto"/>
        <w:jc w:val="left"/>
        <w:rPr>
          <w:rFonts w:ascii="宋体" w:hAnsi="宋体"/>
          <w:kern w:val="0"/>
          <w:sz w:val="32"/>
          <w:szCs w:val="32"/>
        </w:rPr>
      </w:pPr>
    </w:p>
    <w:p w14:paraId="58FCA765">
      <w:pPr>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[目录由</w:t>
      </w:r>
      <w:r>
        <w:rPr>
          <w:rFonts w:hint="eastAsia" w:ascii="宋体" w:hAnsi="宋体"/>
          <w:kern w:val="0"/>
          <w:szCs w:val="21"/>
        </w:rPr>
        <w:t>竞选人</w:t>
      </w:r>
      <w:r>
        <w:rPr>
          <w:rFonts w:ascii="宋体" w:hAnsi="宋体"/>
          <w:kern w:val="0"/>
          <w:szCs w:val="21"/>
        </w:rPr>
        <w:t>自行编制]</w:t>
      </w:r>
    </w:p>
    <w:p w14:paraId="28A6229B">
      <w:pPr>
        <w:autoSpaceDE w:val="0"/>
        <w:autoSpaceDN w:val="0"/>
        <w:adjustRightInd w:val="0"/>
        <w:snapToGrid w:val="0"/>
        <w:spacing w:line="360" w:lineRule="auto"/>
        <w:jc w:val="left"/>
        <w:rPr>
          <w:rFonts w:ascii="宋体" w:hAnsi="宋体"/>
          <w:kern w:val="0"/>
          <w:szCs w:val="21"/>
        </w:rPr>
      </w:pPr>
    </w:p>
    <w:p w14:paraId="08D605B7">
      <w:pPr>
        <w:autoSpaceDE w:val="0"/>
        <w:autoSpaceDN w:val="0"/>
        <w:adjustRightInd w:val="0"/>
        <w:snapToGrid w:val="0"/>
        <w:spacing w:line="360" w:lineRule="auto"/>
        <w:jc w:val="left"/>
        <w:rPr>
          <w:rFonts w:ascii="宋体" w:hAnsi="宋体"/>
          <w:kern w:val="0"/>
        </w:rPr>
      </w:pPr>
    </w:p>
    <w:p w14:paraId="76B81301">
      <w:pPr>
        <w:autoSpaceDE w:val="0"/>
        <w:autoSpaceDN w:val="0"/>
        <w:adjustRightInd w:val="0"/>
        <w:snapToGrid w:val="0"/>
        <w:spacing w:line="360" w:lineRule="auto"/>
        <w:jc w:val="left"/>
        <w:rPr>
          <w:rFonts w:ascii="宋体" w:hAnsi="宋体"/>
          <w:kern w:val="0"/>
        </w:rPr>
      </w:pPr>
    </w:p>
    <w:p w14:paraId="09A91501">
      <w:pPr>
        <w:autoSpaceDE w:val="0"/>
        <w:autoSpaceDN w:val="0"/>
        <w:adjustRightInd w:val="0"/>
        <w:snapToGrid w:val="0"/>
        <w:spacing w:line="360" w:lineRule="auto"/>
        <w:jc w:val="left"/>
        <w:rPr>
          <w:rFonts w:ascii="宋体" w:hAnsi="宋体"/>
          <w:kern w:val="0"/>
        </w:rPr>
      </w:pPr>
    </w:p>
    <w:p w14:paraId="36DE9A78">
      <w:pPr>
        <w:autoSpaceDE w:val="0"/>
        <w:autoSpaceDN w:val="0"/>
        <w:adjustRightInd w:val="0"/>
        <w:snapToGrid w:val="0"/>
        <w:spacing w:line="360" w:lineRule="auto"/>
        <w:jc w:val="left"/>
        <w:rPr>
          <w:rFonts w:ascii="宋体" w:hAnsi="宋体"/>
          <w:kern w:val="0"/>
        </w:rPr>
      </w:pPr>
    </w:p>
    <w:p w14:paraId="375D2F42">
      <w:pPr>
        <w:autoSpaceDE w:val="0"/>
        <w:autoSpaceDN w:val="0"/>
        <w:adjustRightInd w:val="0"/>
        <w:snapToGrid w:val="0"/>
        <w:spacing w:line="360" w:lineRule="auto"/>
        <w:jc w:val="left"/>
        <w:rPr>
          <w:rFonts w:ascii="宋体" w:hAnsi="宋体"/>
          <w:kern w:val="0"/>
        </w:rPr>
      </w:pPr>
    </w:p>
    <w:p w14:paraId="282CBA1D">
      <w:pPr>
        <w:autoSpaceDE w:val="0"/>
        <w:autoSpaceDN w:val="0"/>
        <w:adjustRightInd w:val="0"/>
        <w:snapToGrid w:val="0"/>
        <w:spacing w:line="360" w:lineRule="auto"/>
        <w:jc w:val="left"/>
        <w:rPr>
          <w:rFonts w:ascii="宋体" w:hAnsi="宋体"/>
          <w:kern w:val="0"/>
        </w:rPr>
      </w:pPr>
    </w:p>
    <w:p w14:paraId="43A79D9D">
      <w:pPr>
        <w:autoSpaceDE w:val="0"/>
        <w:autoSpaceDN w:val="0"/>
        <w:adjustRightInd w:val="0"/>
        <w:snapToGrid w:val="0"/>
        <w:spacing w:line="360" w:lineRule="auto"/>
        <w:jc w:val="left"/>
        <w:rPr>
          <w:rFonts w:ascii="宋体" w:hAnsi="宋体"/>
          <w:kern w:val="0"/>
        </w:rPr>
      </w:pPr>
    </w:p>
    <w:p w14:paraId="0AA0F556">
      <w:pPr>
        <w:autoSpaceDE w:val="0"/>
        <w:autoSpaceDN w:val="0"/>
        <w:adjustRightInd w:val="0"/>
        <w:snapToGrid w:val="0"/>
        <w:spacing w:line="360" w:lineRule="auto"/>
        <w:jc w:val="left"/>
        <w:rPr>
          <w:rFonts w:ascii="宋体" w:hAnsi="宋体"/>
          <w:kern w:val="0"/>
        </w:rPr>
      </w:pPr>
    </w:p>
    <w:p w14:paraId="2B34F166">
      <w:pPr>
        <w:rPr>
          <w:rFonts w:ascii="宋体" w:hAnsi="宋体"/>
          <w:w w:val="99"/>
          <w:kern w:val="0"/>
          <w:sz w:val="28"/>
          <w:szCs w:val="28"/>
        </w:rPr>
      </w:pPr>
    </w:p>
    <w:p w14:paraId="6660E30D">
      <w:pPr>
        <w:spacing w:line="360" w:lineRule="auto"/>
        <w:jc w:val="center"/>
        <w:rPr>
          <w:rFonts w:ascii="宋体" w:hAnsi="宋体" w:cs="宋体"/>
          <w:sz w:val="44"/>
          <w:szCs w:val="44"/>
        </w:rPr>
      </w:pPr>
      <w:bookmarkStart w:id="799" w:name="_Toc287607882"/>
      <w:bookmarkStart w:id="800" w:name="_Toc224103510"/>
      <w:bookmarkStart w:id="801" w:name="_Toc277082656"/>
      <w:bookmarkStart w:id="802" w:name="_Toc430530545"/>
      <w:bookmarkStart w:id="803" w:name="_Toc287620829"/>
      <w:bookmarkStart w:id="804" w:name="_Toc15368"/>
      <w:bookmarkStart w:id="805" w:name="_Toc30322"/>
      <w:bookmarkStart w:id="806" w:name="_Toc777"/>
    </w:p>
    <w:p w14:paraId="424E8601">
      <w:pPr>
        <w:spacing w:line="360" w:lineRule="auto"/>
        <w:jc w:val="center"/>
        <w:rPr>
          <w:rFonts w:ascii="宋体" w:hAnsi="宋体" w:cs="宋体"/>
          <w:sz w:val="44"/>
          <w:szCs w:val="44"/>
        </w:rPr>
      </w:pPr>
    </w:p>
    <w:p w14:paraId="6E32562A">
      <w:pPr>
        <w:spacing w:line="360" w:lineRule="auto"/>
        <w:jc w:val="center"/>
        <w:rPr>
          <w:rFonts w:ascii="宋体" w:hAnsi="宋体" w:cs="宋体"/>
          <w:sz w:val="44"/>
          <w:szCs w:val="44"/>
        </w:rPr>
      </w:pPr>
    </w:p>
    <w:p w14:paraId="09F90664">
      <w:pPr>
        <w:spacing w:line="360" w:lineRule="auto"/>
        <w:jc w:val="center"/>
        <w:rPr>
          <w:rFonts w:ascii="宋体" w:hAnsi="宋体" w:cs="宋体"/>
          <w:sz w:val="44"/>
          <w:szCs w:val="44"/>
        </w:rPr>
      </w:pPr>
    </w:p>
    <w:p w14:paraId="150FB255">
      <w:pPr>
        <w:spacing w:line="360" w:lineRule="auto"/>
        <w:jc w:val="center"/>
        <w:rPr>
          <w:rFonts w:ascii="宋体" w:hAnsi="宋体" w:cs="宋体"/>
          <w:sz w:val="44"/>
          <w:szCs w:val="44"/>
        </w:rPr>
      </w:pPr>
    </w:p>
    <w:p w14:paraId="4E0BA050">
      <w:pPr>
        <w:pStyle w:val="2"/>
        <w:rPr>
          <w:rFonts w:ascii="宋体" w:hAnsi="宋体" w:cs="宋体"/>
          <w:sz w:val="44"/>
          <w:szCs w:val="44"/>
        </w:rPr>
      </w:pPr>
    </w:p>
    <w:p w14:paraId="03B4ECE4">
      <w:pPr>
        <w:rPr>
          <w:rFonts w:ascii="宋体" w:hAnsi="宋体" w:cs="宋体"/>
          <w:sz w:val="44"/>
          <w:szCs w:val="44"/>
        </w:rPr>
      </w:pPr>
    </w:p>
    <w:p w14:paraId="4F4639B7">
      <w:pPr>
        <w:pStyle w:val="2"/>
        <w:rPr>
          <w:rFonts w:ascii="宋体" w:hAnsi="宋体" w:cs="宋体"/>
          <w:sz w:val="44"/>
          <w:szCs w:val="44"/>
        </w:rPr>
      </w:pPr>
    </w:p>
    <w:p w14:paraId="4BEEFDB9">
      <w:pPr>
        <w:rPr>
          <w:rFonts w:ascii="宋体" w:hAnsi="宋体" w:cs="宋体"/>
          <w:sz w:val="44"/>
          <w:szCs w:val="44"/>
        </w:rPr>
      </w:pPr>
    </w:p>
    <w:p w14:paraId="6AEC32CF">
      <w:pPr>
        <w:pStyle w:val="2"/>
        <w:rPr>
          <w:rFonts w:ascii="宋体" w:hAnsi="宋体" w:cs="宋体"/>
          <w:sz w:val="44"/>
          <w:szCs w:val="44"/>
        </w:rPr>
      </w:pPr>
    </w:p>
    <w:p w14:paraId="72BA5CF6">
      <w:pPr>
        <w:pStyle w:val="4"/>
        <w:spacing w:line="360" w:lineRule="auto"/>
        <w:jc w:val="center"/>
        <w:rPr>
          <w:rFonts w:ascii="宋体" w:hAnsi="宋体" w:cs="宋体"/>
          <w:b w:val="0"/>
          <w:bCs w:val="0"/>
          <w:sz w:val="44"/>
          <w:szCs w:val="44"/>
        </w:rPr>
      </w:pPr>
      <w:r>
        <w:rPr>
          <w:rFonts w:hint="eastAsia" w:ascii="宋体" w:hAnsi="宋体" w:cs="宋体"/>
          <w:b w:val="0"/>
          <w:bCs w:val="0"/>
          <w:sz w:val="44"/>
          <w:szCs w:val="44"/>
        </w:rPr>
        <w:t>三、</w:t>
      </w:r>
      <w:bookmarkEnd w:id="799"/>
      <w:bookmarkEnd w:id="800"/>
      <w:bookmarkEnd w:id="801"/>
      <w:bookmarkEnd w:id="802"/>
      <w:bookmarkEnd w:id="803"/>
      <w:r>
        <w:rPr>
          <w:rFonts w:hint="eastAsia" w:ascii="宋体" w:hAnsi="宋体" w:cs="宋体"/>
          <w:b w:val="0"/>
          <w:bCs w:val="0"/>
          <w:sz w:val="44"/>
          <w:szCs w:val="44"/>
        </w:rPr>
        <w:t>资格审查部分</w:t>
      </w:r>
      <w:bookmarkEnd w:id="804"/>
      <w:bookmarkEnd w:id="805"/>
      <w:bookmarkEnd w:id="806"/>
    </w:p>
    <w:p w14:paraId="530DF14A">
      <w:pPr>
        <w:adjustRightInd w:val="0"/>
        <w:snapToGrid w:val="0"/>
        <w:spacing w:line="360" w:lineRule="auto"/>
        <w:rPr>
          <w:rFonts w:ascii="宋体" w:hAnsi="宋体" w:cs="宋体"/>
          <w:sz w:val="32"/>
          <w:szCs w:val="32"/>
        </w:rPr>
      </w:pPr>
    </w:p>
    <w:p w14:paraId="2442C101">
      <w:pPr>
        <w:adjustRightInd w:val="0"/>
        <w:snapToGrid w:val="0"/>
        <w:spacing w:line="360" w:lineRule="auto"/>
        <w:rPr>
          <w:rFonts w:ascii="宋体" w:hAnsi="宋体" w:cs="宋体"/>
          <w:sz w:val="32"/>
          <w:szCs w:val="32"/>
        </w:rPr>
      </w:pPr>
    </w:p>
    <w:p w14:paraId="51CEF55C">
      <w:pPr>
        <w:spacing w:line="360" w:lineRule="auto"/>
        <w:rPr>
          <w:rFonts w:ascii="宋体" w:hAnsi="宋体" w:cs="宋体"/>
          <w:sz w:val="32"/>
          <w:szCs w:val="32"/>
        </w:rPr>
      </w:pPr>
    </w:p>
    <w:p w14:paraId="4DE2F01D">
      <w:pPr>
        <w:spacing w:line="360" w:lineRule="auto"/>
        <w:rPr>
          <w:rFonts w:ascii="宋体" w:hAnsi="宋体" w:cs="宋体"/>
          <w:sz w:val="32"/>
          <w:szCs w:val="32"/>
        </w:rPr>
      </w:pPr>
    </w:p>
    <w:p w14:paraId="30EBCB8E">
      <w:pPr>
        <w:spacing w:line="360" w:lineRule="auto"/>
        <w:rPr>
          <w:rFonts w:ascii="宋体" w:hAnsi="宋体" w:cs="宋体"/>
          <w:sz w:val="32"/>
          <w:szCs w:val="32"/>
        </w:rPr>
      </w:pPr>
    </w:p>
    <w:p w14:paraId="40F577B3">
      <w:pPr>
        <w:spacing w:line="360" w:lineRule="auto"/>
        <w:rPr>
          <w:rFonts w:ascii="宋体" w:hAnsi="宋体" w:cs="宋体"/>
          <w:sz w:val="32"/>
          <w:szCs w:val="32"/>
        </w:rPr>
      </w:pPr>
    </w:p>
    <w:p w14:paraId="5B731FF6">
      <w:pPr>
        <w:spacing w:line="360" w:lineRule="auto"/>
        <w:rPr>
          <w:rFonts w:ascii="宋体" w:hAnsi="宋体" w:cs="宋体"/>
          <w:sz w:val="32"/>
          <w:szCs w:val="32"/>
        </w:rPr>
      </w:pPr>
    </w:p>
    <w:p w14:paraId="66E80DC7">
      <w:pPr>
        <w:spacing w:line="360" w:lineRule="auto"/>
        <w:rPr>
          <w:rFonts w:ascii="宋体" w:hAnsi="宋体" w:cs="宋体"/>
          <w:sz w:val="32"/>
          <w:szCs w:val="32"/>
        </w:rPr>
      </w:pPr>
    </w:p>
    <w:p w14:paraId="4793AB76">
      <w:pPr>
        <w:spacing w:line="360" w:lineRule="auto"/>
        <w:rPr>
          <w:rFonts w:ascii="宋体" w:hAnsi="宋体" w:cs="宋体"/>
          <w:sz w:val="32"/>
          <w:szCs w:val="32"/>
        </w:rPr>
      </w:pPr>
    </w:p>
    <w:p w14:paraId="0ED4A091">
      <w:pPr>
        <w:spacing w:line="360" w:lineRule="auto"/>
        <w:rPr>
          <w:rFonts w:ascii="宋体" w:hAnsi="宋体" w:cs="宋体"/>
          <w:sz w:val="32"/>
          <w:szCs w:val="32"/>
        </w:rPr>
      </w:pPr>
    </w:p>
    <w:p w14:paraId="3A878B94">
      <w:pPr>
        <w:spacing w:line="360" w:lineRule="auto"/>
        <w:rPr>
          <w:rFonts w:ascii="宋体" w:hAnsi="宋体" w:cs="宋体"/>
          <w:sz w:val="32"/>
          <w:szCs w:val="32"/>
        </w:rPr>
      </w:pPr>
    </w:p>
    <w:p w14:paraId="5CF735D8">
      <w:pPr>
        <w:spacing w:line="360" w:lineRule="auto"/>
        <w:rPr>
          <w:rFonts w:ascii="宋体" w:hAnsi="宋体" w:cs="宋体"/>
          <w:sz w:val="32"/>
          <w:szCs w:val="32"/>
        </w:rPr>
      </w:pPr>
    </w:p>
    <w:p w14:paraId="63C6E677">
      <w:pPr>
        <w:spacing w:line="360" w:lineRule="auto"/>
        <w:jc w:val="center"/>
        <w:rPr>
          <w:rFonts w:ascii="宋体" w:hAnsi="宋体" w:cs="宋体"/>
          <w:kern w:val="0"/>
          <w:sz w:val="32"/>
          <w:szCs w:val="32"/>
          <w:u w:val="single"/>
        </w:rPr>
      </w:pPr>
    </w:p>
    <w:p w14:paraId="31486A4F">
      <w:pPr>
        <w:spacing w:line="360" w:lineRule="auto"/>
        <w:jc w:val="center"/>
        <w:rPr>
          <w:rFonts w:ascii="宋体" w:hAnsi="宋体" w:cs="宋体"/>
          <w:kern w:val="0"/>
          <w:sz w:val="32"/>
          <w:szCs w:val="32"/>
          <w:u w:val="single"/>
        </w:rPr>
      </w:pPr>
    </w:p>
    <w:p w14:paraId="6A068B20">
      <w:pPr>
        <w:spacing w:line="360" w:lineRule="auto"/>
        <w:jc w:val="center"/>
        <w:rPr>
          <w:rFonts w:ascii="宋体" w:hAnsi="宋体" w:cs="宋体"/>
          <w:kern w:val="0"/>
          <w:sz w:val="32"/>
          <w:szCs w:val="32"/>
          <w:u w:val="single"/>
        </w:rPr>
      </w:pPr>
    </w:p>
    <w:p w14:paraId="4326DFE8">
      <w:pPr>
        <w:spacing w:line="360" w:lineRule="auto"/>
        <w:jc w:val="center"/>
        <w:rPr>
          <w:rFonts w:ascii="宋体" w:hAnsi="宋体" w:cs="宋体"/>
          <w:kern w:val="0"/>
          <w:sz w:val="32"/>
          <w:szCs w:val="32"/>
          <w:u w:val="single"/>
        </w:rPr>
      </w:pPr>
    </w:p>
    <w:p w14:paraId="592406D4">
      <w:pPr>
        <w:spacing w:line="360" w:lineRule="auto"/>
        <w:jc w:val="center"/>
        <w:rPr>
          <w:rFonts w:ascii="宋体" w:hAnsi="宋体" w:cs="宋体"/>
          <w:kern w:val="0"/>
          <w:sz w:val="32"/>
          <w:szCs w:val="32"/>
          <w:u w:val="single"/>
        </w:rPr>
      </w:pPr>
    </w:p>
    <w:p w14:paraId="14B565AF">
      <w:pPr>
        <w:spacing w:line="360" w:lineRule="auto"/>
        <w:jc w:val="center"/>
        <w:rPr>
          <w:rFonts w:ascii="宋体" w:hAnsi="宋体" w:cs="宋体"/>
          <w:kern w:val="0"/>
          <w:sz w:val="32"/>
          <w:szCs w:val="32"/>
          <w:u w:val="single"/>
        </w:rPr>
      </w:pPr>
    </w:p>
    <w:p w14:paraId="35EC74DC">
      <w:pPr>
        <w:spacing w:line="360" w:lineRule="auto"/>
        <w:jc w:val="center"/>
        <w:rPr>
          <w:rFonts w:ascii="宋体" w:hAnsi="宋体" w:cs="宋体"/>
          <w:kern w:val="0"/>
          <w:sz w:val="32"/>
          <w:szCs w:val="32"/>
          <w:u w:val="single"/>
        </w:rPr>
      </w:pPr>
    </w:p>
    <w:p w14:paraId="76916FAD">
      <w:pPr>
        <w:pStyle w:val="2"/>
        <w:rPr>
          <w:rFonts w:ascii="宋体" w:hAnsi="宋体" w:cs="宋体"/>
          <w:kern w:val="0"/>
          <w:sz w:val="32"/>
          <w:szCs w:val="32"/>
          <w:u w:val="single"/>
        </w:rPr>
      </w:pPr>
    </w:p>
    <w:p w14:paraId="41DC96A6">
      <w:pPr>
        <w:rPr>
          <w:rFonts w:ascii="宋体" w:hAnsi="宋体" w:cs="宋体"/>
          <w:kern w:val="0"/>
          <w:sz w:val="32"/>
          <w:szCs w:val="32"/>
          <w:u w:val="single"/>
        </w:rPr>
      </w:pPr>
    </w:p>
    <w:p w14:paraId="76F1B500">
      <w:pPr>
        <w:pStyle w:val="2"/>
      </w:pPr>
    </w:p>
    <w:p w14:paraId="432C6746">
      <w:pPr>
        <w:spacing w:line="360" w:lineRule="auto"/>
        <w:jc w:val="center"/>
        <w:rPr>
          <w:rFonts w:ascii="宋体" w:hAnsi="宋体" w:cs="宋体"/>
          <w:kern w:val="0"/>
          <w:sz w:val="32"/>
          <w:szCs w:val="32"/>
        </w:rPr>
      </w:pPr>
      <w:r>
        <w:rPr>
          <w:rFonts w:hint="eastAsia" w:ascii="宋体" w:hAnsi="宋体" w:cs="宋体"/>
          <w:kern w:val="0"/>
          <w:sz w:val="32"/>
          <w:szCs w:val="32"/>
          <w:u w:val="single"/>
        </w:rPr>
        <w:t xml:space="preserve">                        </w:t>
      </w:r>
      <w:r>
        <w:rPr>
          <w:rFonts w:hint="eastAsia" w:ascii="宋体" w:hAnsi="宋体" w:cs="宋体"/>
          <w:kern w:val="0"/>
          <w:sz w:val="32"/>
          <w:szCs w:val="32"/>
        </w:rPr>
        <w:t>（项目名称）</w:t>
      </w:r>
    </w:p>
    <w:p w14:paraId="616ADF3D">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3EDDF030">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4D30A872">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18AFF2BF">
      <w:pPr>
        <w:tabs>
          <w:tab w:val="left" w:pos="3600"/>
          <w:tab w:val="left" w:pos="4480"/>
          <w:tab w:val="left" w:pos="5360"/>
        </w:tabs>
        <w:autoSpaceDE w:val="0"/>
        <w:autoSpaceDN w:val="0"/>
        <w:adjustRightInd w:val="0"/>
        <w:snapToGrid w:val="0"/>
        <w:spacing w:line="360" w:lineRule="auto"/>
        <w:jc w:val="center"/>
        <w:rPr>
          <w:rFonts w:ascii="宋体" w:hAnsi="宋体" w:cs="宋体"/>
          <w:kern w:val="0"/>
          <w:sz w:val="72"/>
          <w:szCs w:val="72"/>
        </w:rPr>
      </w:pPr>
    </w:p>
    <w:p w14:paraId="5457334B">
      <w:pPr>
        <w:tabs>
          <w:tab w:val="left" w:pos="3600"/>
          <w:tab w:val="left" w:pos="4480"/>
          <w:tab w:val="left" w:pos="5360"/>
        </w:tabs>
        <w:autoSpaceDE w:val="0"/>
        <w:autoSpaceDN w:val="0"/>
        <w:adjustRightInd w:val="0"/>
        <w:snapToGrid w:val="0"/>
        <w:spacing w:line="360" w:lineRule="auto"/>
        <w:jc w:val="center"/>
        <w:rPr>
          <w:rFonts w:ascii="宋体" w:hAnsi="宋体" w:cs="宋体"/>
          <w:kern w:val="0"/>
          <w:sz w:val="72"/>
          <w:szCs w:val="72"/>
        </w:rPr>
      </w:pPr>
      <w:r>
        <w:rPr>
          <w:rFonts w:hint="eastAsia" w:ascii="宋体" w:hAnsi="宋体" w:cs="宋体"/>
          <w:kern w:val="0"/>
          <w:sz w:val="72"/>
          <w:szCs w:val="72"/>
        </w:rPr>
        <w:t>竞 选 文 件</w:t>
      </w:r>
    </w:p>
    <w:p w14:paraId="49A083E1">
      <w:pPr>
        <w:autoSpaceDE w:val="0"/>
        <w:autoSpaceDN w:val="0"/>
        <w:adjustRightInd w:val="0"/>
        <w:snapToGrid w:val="0"/>
        <w:spacing w:line="360" w:lineRule="auto"/>
        <w:jc w:val="left"/>
        <w:rPr>
          <w:rFonts w:ascii="宋体" w:hAnsi="宋体" w:cs="宋体"/>
          <w:kern w:val="0"/>
          <w:sz w:val="16"/>
          <w:szCs w:val="16"/>
        </w:rPr>
      </w:pPr>
    </w:p>
    <w:p w14:paraId="4199270E">
      <w:pPr>
        <w:autoSpaceDE w:val="0"/>
        <w:autoSpaceDN w:val="0"/>
        <w:adjustRightInd w:val="0"/>
        <w:snapToGrid w:val="0"/>
        <w:spacing w:line="360" w:lineRule="auto"/>
        <w:jc w:val="center"/>
        <w:rPr>
          <w:rFonts w:ascii="宋体" w:hAnsi="宋体" w:cs="宋体"/>
          <w:kern w:val="0"/>
          <w:sz w:val="36"/>
          <w:szCs w:val="36"/>
        </w:rPr>
      </w:pPr>
      <w:r>
        <w:rPr>
          <w:rFonts w:hint="eastAsia" w:ascii="宋体" w:hAnsi="宋体" w:cs="宋体"/>
          <w:kern w:val="0"/>
          <w:sz w:val="36"/>
          <w:szCs w:val="36"/>
        </w:rPr>
        <w:t>资格审查部分</w:t>
      </w:r>
    </w:p>
    <w:p w14:paraId="1884F737">
      <w:pPr>
        <w:autoSpaceDE w:val="0"/>
        <w:autoSpaceDN w:val="0"/>
        <w:adjustRightInd w:val="0"/>
        <w:snapToGrid w:val="0"/>
        <w:spacing w:line="360" w:lineRule="auto"/>
        <w:jc w:val="left"/>
        <w:rPr>
          <w:rFonts w:ascii="宋体" w:hAnsi="宋体" w:cs="宋体"/>
          <w:kern w:val="0"/>
          <w:sz w:val="20"/>
          <w:szCs w:val="20"/>
        </w:rPr>
      </w:pPr>
    </w:p>
    <w:p w14:paraId="7D2E2F7C">
      <w:pPr>
        <w:adjustRightInd w:val="0"/>
        <w:snapToGrid w:val="0"/>
        <w:spacing w:line="360" w:lineRule="auto"/>
        <w:rPr>
          <w:rFonts w:ascii="宋体" w:hAnsi="宋体" w:cs="宋体"/>
          <w:szCs w:val="21"/>
        </w:rPr>
      </w:pPr>
    </w:p>
    <w:p w14:paraId="55A8707F">
      <w:pPr>
        <w:autoSpaceDE w:val="0"/>
        <w:autoSpaceDN w:val="0"/>
        <w:adjustRightInd w:val="0"/>
        <w:snapToGrid w:val="0"/>
        <w:spacing w:line="360" w:lineRule="auto"/>
        <w:jc w:val="left"/>
        <w:rPr>
          <w:rFonts w:ascii="宋体" w:hAnsi="宋体" w:cs="宋体"/>
          <w:kern w:val="0"/>
          <w:sz w:val="20"/>
          <w:szCs w:val="20"/>
        </w:rPr>
      </w:pPr>
    </w:p>
    <w:p w14:paraId="2F33E7E7">
      <w:pPr>
        <w:autoSpaceDE w:val="0"/>
        <w:autoSpaceDN w:val="0"/>
        <w:adjustRightInd w:val="0"/>
        <w:snapToGrid w:val="0"/>
        <w:spacing w:line="360" w:lineRule="auto"/>
        <w:jc w:val="left"/>
        <w:rPr>
          <w:rFonts w:ascii="宋体" w:hAnsi="宋体" w:cs="宋体"/>
          <w:kern w:val="0"/>
          <w:sz w:val="20"/>
          <w:szCs w:val="20"/>
        </w:rPr>
      </w:pPr>
    </w:p>
    <w:p w14:paraId="71E5EBE5">
      <w:pPr>
        <w:autoSpaceDE w:val="0"/>
        <w:autoSpaceDN w:val="0"/>
        <w:adjustRightInd w:val="0"/>
        <w:snapToGrid w:val="0"/>
        <w:spacing w:line="360" w:lineRule="auto"/>
        <w:jc w:val="left"/>
        <w:rPr>
          <w:rFonts w:ascii="宋体" w:hAnsi="宋体" w:cs="宋体"/>
          <w:kern w:val="0"/>
          <w:sz w:val="20"/>
          <w:szCs w:val="20"/>
        </w:rPr>
      </w:pPr>
    </w:p>
    <w:p w14:paraId="35284834">
      <w:pPr>
        <w:autoSpaceDE w:val="0"/>
        <w:autoSpaceDN w:val="0"/>
        <w:adjustRightInd w:val="0"/>
        <w:snapToGrid w:val="0"/>
        <w:spacing w:line="360" w:lineRule="auto"/>
        <w:jc w:val="left"/>
        <w:rPr>
          <w:rFonts w:ascii="宋体" w:hAnsi="宋体" w:cs="宋体"/>
          <w:kern w:val="0"/>
          <w:sz w:val="20"/>
          <w:szCs w:val="20"/>
        </w:rPr>
      </w:pPr>
    </w:p>
    <w:p w14:paraId="12CFD322">
      <w:pPr>
        <w:autoSpaceDE w:val="0"/>
        <w:autoSpaceDN w:val="0"/>
        <w:adjustRightInd w:val="0"/>
        <w:snapToGrid w:val="0"/>
        <w:spacing w:line="360" w:lineRule="auto"/>
        <w:jc w:val="left"/>
        <w:rPr>
          <w:rFonts w:ascii="宋体" w:hAnsi="宋体" w:cs="宋体"/>
          <w:kern w:val="0"/>
          <w:sz w:val="20"/>
          <w:szCs w:val="20"/>
        </w:rPr>
      </w:pPr>
    </w:p>
    <w:p w14:paraId="1BBD1390">
      <w:pPr>
        <w:autoSpaceDE w:val="0"/>
        <w:autoSpaceDN w:val="0"/>
        <w:adjustRightInd w:val="0"/>
        <w:snapToGrid w:val="0"/>
        <w:spacing w:line="360" w:lineRule="auto"/>
        <w:jc w:val="left"/>
        <w:rPr>
          <w:rFonts w:ascii="宋体" w:hAnsi="宋体" w:cs="宋体"/>
          <w:kern w:val="0"/>
          <w:sz w:val="20"/>
          <w:szCs w:val="20"/>
        </w:rPr>
      </w:pPr>
    </w:p>
    <w:p w14:paraId="66F2B288">
      <w:pPr>
        <w:autoSpaceDE w:val="0"/>
        <w:autoSpaceDN w:val="0"/>
        <w:adjustRightInd w:val="0"/>
        <w:snapToGrid w:val="0"/>
        <w:spacing w:line="360" w:lineRule="auto"/>
        <w:jc w:val="left"/>
        <w:rPr>
          <w:rFonts w:ascii="宋体" w:hAnsi="宋体" w:cs="宋体"/>
          <w:kern w:val="0"/>
          <w:sz w:val="20"/>
          <w:szCs w:val="20"/>
        </w:rPr>
      </w:pPr>
    </w:p>
    <w:p w14:paraId="3EDE6000">
      <w:pPr>
        <w:autoSpaceDE w:val="0"/>
        <w:autoSpaceDN w:val="0"/>
        <w:adjustRightInd w:val="0"/>
        <w:snapToGrid w:val="0"/>
        <w:spacing w:line="360" w:lineRule="auto"/>
        <w:jc w:val="left"/>
        <w:rPr>
          <w:rFonts w:ascii="宋体" w:hAnsi="宋体" w:cs="宋体"/>
          <w:kern w:val="0"/>
          <w:sz w:val="20"/>
          <w:szCs w:val="20"/>
        </w:rPr>
      </w:pPr>
    </w:p>
    <w:p w14:paraId="12CFFE44">
      <w:pPr>
        <w:autoSpaceDE w:val="0"/>
        <w:autoSpaceDN w:val="0"/>
        <w:adjustRightInd w:val="0"/>
        <w:snapToGrid w:val="0"/>
        <w:spacing w:line="360" w:lineRule="auto"/>
        <w:jc w:val="left"/>
        <w:rPr>
          <w:rFonts w:ascii="宋体" w:hAnsi="宋体" w:cs="宋体"/>
          <w:kern w:val="0"/>
          <w:sz w:val="20"/>
          <w:szCs w:val="20"/>
        </w:rPr>
      </w:pPr>
    </w:p>
    <w:p w14:paraId="087A3FF1">
      <w:pPr>
        <w:autoSpaceDE w:val="0"/>
        <w:autoSpaceDN w:val="0"/>
        <w:adjustRightInd w:val="0"/>
        <w:snapToGrid w:val="0"/>
        <w:spacing w:line="360" w:lineRule="auto"/>
        <w:jc w:val="left"/>
        <w:rPr>
          <w:rFonts w:ascii="宋体" w:hAnsi="宋体" w:cs="宋体"/>
          <w:kern w:val="0"/>
          <w:sz w:val="20"/>
          <w:szCs w:val="20"/>
        </w:rPr>
      </w:pPr>
    </w:p>
    <w:p w14:paraId="10165A68">
      <w:pPr>
        <w:autoSpaceDE w:val="0"/>
        <w:autoSpaceDN w:val="0"/>
        <w:adjustRightInd w:val="0"/>
        <w:snapToGrid w:val="0"/>
        <w:spacing w:line="360" w:lineRule="auto"/>
        <w:jc w:val="left"/>
        <w:rPr>
          <w:rFonts w:ascii="宋体" w:hAnsi="宋体" w:cs="宋体"/>
          <w:kern w:val="0"/>
          <w:sz w:val="20"/>
          <w:szCs w:val="20"/>
        </w:rPr>
      </w:pPr>
    </w:p>
    <w:p w14:paraId="3754451E">
      <w:pPr>
        <w:tabs>
          <w:tab w:val="left" w:pos="6080"/>
          <w:tab w:val="left" w:pos="6640"/>
        </w:tabs>
        <w:autoSpaceDE w:val="0"/>
        <w:autoSpaceDN w:val="0"/>
        <w:adjustRightInd w:val="0"/>
        <w:snapToGrid w:val="0"/>
        <w:spacing w:line="360" w:lineRule="auto"/>
        <w:jc w:val="center"/>
        <w:rPr>
          <w:rFonts w:ascii="宋体" w:hAnsi="宋体" w:cs="宋体"/>
          <w:w w:val="99"/>
          <w:kern w:val="0"/>
          <w:sz w:val="28"/>
          <w:szCs w:val="28"/>
        </w:rPr>
      </w:pPr>
      <w:r>
        <w:rPr>
          <w:rFonts w:hint="eastAsia" w:ascii="宋体" w:hAnsi="宋体" w:cs="宋体"/>
          <w:w w:val="99"/>
          <w:kern w:val="0"/>
          <w:sz w:val="28"/>
          <w:szCs w:val="28"/>
        </w:rPr>
        <w:t>竞选人</w:t>
      </w:r>
      <w:r>
        <w:rPr>
          <w:rFonts w:hint="eastAsia" w:ascii="宋体" w:hAnsi="宋体" w:cs="宋体"/>
          <w:spacing w:val="1"/>
          <w:w w:val="99"/>
          <w:kern w:val="0"/>
          <w:sz w:val="28"/>
          <w:szCs w:val="28"/>
        </w:rPr>
        <w:t>：</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（盖单位公章）</w:t>
      </w:r>
    </w:p>
    <w:p w14:paraId="0D69B6A4">
      <w:pPr>
        <w:tabs>
          <w:tab w:val="left" w:pos="6080"/>
          <w:tab w:val="left" w:pos="6640"/>
        </w:tabs>
        <w:autoSpaceDE w:val="0"/>
        <w:autoSpaceDN w:val="0"/>
        <w:adjustRightInd w:val="0"/>
        <w:snapToGrid w:val="0"/>
        <w:spacing w:line="360" w:lineRule="auto"/>
        <w:jc w:val="center"/>
        <w:rPr>
          <w:rFonts w:ascii="宋体" w:hAnsi="宋体" w:cs="宋体"/>
          <w:kern w:val="0"/>
          <w:sz w:val="28"/>
          <w:szCs w:val="28"/>
        </w:rPr>
      </w:pPr>
      <w:r>
        <w:rPr>
          <w:rFonts w:hint="eastAsia" w:ascii="宋体" w:hAnsi="宋体" w:cs="宋体"/>
          <w:w w:val="99"/>
          <w:kern w:val="0"/>
          <w:sz w:val="28"/>
          <w:szCs w:val="28"/>
        </w:rPr>
        <w:t>法定代表人或其委托代理人：</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（签字或盖章）</w:t>
      </w:r>
    </w:p>
    <w:p w14:paraId="616B1B17">
      <w:pPr>
        <w:tabs>
          <w:tab w:val="left" w:pos="3280"/>
          <w:tab w:val="left" w:pos="4680"/>
          <w:tab w:val="left" w:pos="608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w w:val="198"/>
          <w:kern w:val="0"/>
          <w:sz w:val="28"/>
          <w:szCs w:val="28"/>
          <w:u w:val="single"/>
        </w:rPr>
        <w:t xml:space="preserve">    </w:t>
      </w:r>
      <w:r>
        <w:rPr>
          <w:rFonts w:hint="eastAsia" w:ascii="宋体" w:hAnsi="宋体" w:cs="宋体"/>
          <w:w w:val="99"/>
          <w:kern w:val="0"/>
          <w:sz w:val="28"/>
          <w:szCs w:val="28"/>
        </w:rPr>
        <w:t>年</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月</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日</w:t>
      </w:r>
    </w:p>
    <w:p w14:paraId="2518C65B">
      <w:pPr>
        <w:autoSpaceDE w:val="0"/>
        <w:autoSpaceDN w:val="0"/>
        <w:adjustRightInd w:val="0"/>
        <w:snapToGrid w:val="0"/>
        <w:spacing w:line="360" w:lineRule="auto"/>
        <w:jc w:val="center"/>
        <w:rPr>
          <w:rFonts w:ascii="宋体" w:hAnsi="宋体" w:cs="宋体"/>
          <w:kern w:val="0"/>
          <w:sz w:val="36"/>
          <w:szCs w:val="36"/>
        </w:rPr>
      </w:pPr>
      <w:r>
        <w:rPr>
          <w:rFonts w:hint="eastAsia" w:ascii="宋体" w:hAnsi="宋体" w:cs="宋体"/>
          <w:kern w:val="0"/>
          <w:sz w:val="36"/>
          <w:szCs w:val="36"/>
        </w:rPr>
        <w:t>目  录</w:t>
      </w:r>
    </w:p>
    <w:p w14:paraId="5CAB8F30">
      <w:pPr>
        <w:spacing w:line="360" w:lineRule="auto"/>
        <w:jc w:val="center"/>
        <w:rPr>
          <w:rFonts w:ascii="宋体" w:hAnsi="宋体" w:cs="宋体"/>
          <w:b/>
          <w:kern w:val="0"/>
          <w:sz w:val="32"/>
          <w:szCs w:val="32"/>
        </w:rPr>
      </w:pPr>
    </w:p>
    <w:p w14:paraId="7F744657">
      <w:pPr>
        <w:spacing w:line="360" w:lineRule="auto"/>
        <w:ind w:firstLine="420" w:firstLineChars="200"/>
        <w:rPr>
          <w:rFonts w:ascii="宋体" w:hAnsi="宋体" w:cs="宋体"/>
          <w:szCs w:val="21"/>
        </w:rPr>
      </w:pPr>
    </w:p>
    <w:p w14:paraId="1218E02E">
      <w:pPr>
        <w:spacing w:line="360" w:lineRule="auto"/>
        <w:ind w:firstLine="420" w:firstLineChars="200"/>
        <w:jc w:val="left"/>
        <w:rPr>
          <w:rFonts w:ascii="宋体" w:hAnsi="宋体" w:cs="宋体"/>
        </w:rPr>
      </w:pPr>
      <w:r>
        <w:rPr>
          <w:rFonts w:hint="eastAsia" w:ascii="宋体" w:hAnsi="宋体" w:cs="宋体"/>
        </w:rPr>
        <w:t>（一）</w:t>
      </w:r>
      <w:r>
        <w:rPr>
          <w:rFonts w:hint="eastAsia" w:ascii="宋体" w:hAnsi="宋体"/>
          <w:szCs w:val="21"/>
        </w:rPr>
        <w:t>法定代表人身份证明或附有法定代表人身份证明的授权委托书</w:t>
      </w:r>
    </w:p>
    <w:p w14:paraId="030B8D3E">
      <w:pPr>
        <w:spacing w:line="360" w:lineRule="auto"/>
        <w:ind w:firstLine="420" w:firstLineChars="200"/>
        <w:rPr>
          <w:rFonts w:ascii="宋体" w:hAnsi="宋体" w:cs="宋体"/>
        </w:rPr>
      </w:pPr>
      <w:r>
        <w:rPr>
          <w:rFonts w:hint="eastAsia" w:ascii="宋体" w:hAnsi="宋体" w:cs="宋体"/>
        </w:rPr>
        <w:t>（二）竞选人基本情况表</w:t>
      </w:r>
    </w:p>
    <w:p w14:paraId="741C99AF">
      <w:pPr>
        <w:spacing w:line="360" w:lineRule="auto"/>
        <w:ind w:firstLine="420" w:firstLineChars="200"/>
        <w:rPr>
          <w:rFonts w:ascii="宋体" w:hAnsi="宋体"/>
          <w:szCs w:val="21"/>
        </w:rPr>
      </w:pPr>
      <w:r>
        <w:rPr>
          <w:rFonts w:hint="eastAsia" w:ascii="宋体" w:hAnsi="宋体" w:cs="宋体"/>
        </w:rPr>
        <w:t>（三）</w:t>
      </w:r>
      <w:r>
        <w:rPr>
          <w:rFonts w:hint="eastAsia" w:ascii="宋体" w:hAnsi="宋体"/>
          <w:szCs w:val="21"/>
        </w:rPr>
        <w:t>近年财务状况表</w:t>
      </w:r>
    </w:p>
    <w:p w14:paraId="68E9C41A">
      <w:pPr>
        <w:spacing w:line="360" w:lineRule="auto"/>
        <w:ind w:firstLine="420" w:firstLineChars="200"/>
        <w:rPr>
          <w:rFonts w:ascii="宋体" w:hAnsi="宋体" w:cs="宋体"/>
        </w:rPr>
      </w:pPr>
      <w:r>
        <w:rPr>
          <w:rFonts w:hint="eastAsia" w:ascii="宋体" w:hAnsi="宋体" w:cs="宋体"/>
        </w:rPr>
        <w:t>（四）</w:t>
      </w:r>
      <w:r>
        <w:rPr>
          <w:rFonts w:hint="eastAsia" w:ascii="宋体" w:hAnsi="宋体"/>
          <w:szCs w:val="21"/>
        </w:rPr>
        <w:t>近年完成的类似项目情况表</w:t>
      </w:r>
    </w:p>
    <w:p w14:paraId="3ACB3059">
      <w:pPr>
        <w:spacing w:line="360" w:lineRule="auto"/>
        <w:ind w:firstLine="420" w:firstLineChars="200"/>
        <w:rPr>
          <w:rFonts w:ascii="宋体" w:hAnsi="宋体" w:cs="宋体"/>
        </w:rPr>
      </w:pPr>
      <w:r>
        <w:rPr>
          <w:rFonts w:hint="eastAsia" w:ascii="宋体" w:hAnsi="宋体" w:cs="宋体"/>
        </w:rPr>
        <w:t>（五）承诺</w:t>
      </w:r>
    </w:p>
    <w:p w14:paraId="2D1A9FEB">
      <w:pPr>
        <w:spacing w:line="360" w:lineRule="auto"/>
        <w:ind w:firstLine="420" w:firstLineChars="200"/>
        <w:rPr>
          <w:rFonts w:ascii="宋体" w:hAnsi="宋体" w:cs="宋体"/>
        </w:rPr>
      </w:pPr>
      <w:r>
        <w:rPr>
          <w:rFonts w:hint="eastAsia" w:ascii="宋体" w:hAnsi="宋体" w:cs="宋体"/>
        </w:rPr>
        <w:t>（六）主要人员简历表</w:t>
      </w:r>
    </w:p>
    <w:p w14:paraId="27EF4EF1">
      <w:pPr>
        <w:spacing w:line="360" w:lineRule="auto"/>
        <w:ind w:firstLine="420" w:firstLineChars="200"/>
        <w:rPr>
          <w:rFonts w:ascii="宋体" w:hAnsi="宋体" w:cs="宋体"/>
          <w:szCs w:val="21"/>
        </w:rPr>
      </w:pPr>
      <w:r>
        <w:rPr>
          <w:rFonts w:hint="eastAsia" w:ascii="宋体" w:hAnsi="宋体" w:cs="宋体"/>
        </w:rPr>
        <w:t>（七）其他资料</w:t>
      </w:r>
    </w:p>
    <w:p w14:paraId="596EB2BF">
      <w:pPr>
        <w:spacing w:line="360" w:lineRule="auto"/>
        <w:jc w:val="center"/>
        <w:rPr>
          <w:rFonts w:ascii="宋体" w:hAnsi="宋体" w:cs="宋体"/>
          <w:b/>
          <w:kern w:val="0"/>
          <w:sz w:val="32"/>
          <w:szCs w:val="32"/>
        </w:rPr>
      </w:pPr>
    </w:p>
    <w:p w14:paraId="4A0B940E">
      <w:pPr>
        <w:spacing w:line="360" w:lineRule="auto"/>
        <w:jc w:val="center"/>
        <w:rPr>
          <w:rFonts w:ascii="宋体" w:hAnsi="宋体" w:cs="宋体"/>
          <w:b/>
          <w:kern w:val="0"/>
          <w:sz w:val="32"/>
          <w:szCs w:val="32"/>
        </w:rPr>
      </w:pPr>
    </w:p>
    <w:p w14:paraId="3C7A423D">
      <w:pPr>
        <w:tabs>
          <w:tab w:val="left" w:pos="7140"/>
          <w:tab w:val="left" w:pos="7560"/>
          <w:tab w:val="left" w:pos="8300"/>
        </w:tabs>
        <w:autoSpaceDE w:val="0"/>
        <w:autoSpaceDN w:val="0"/>
        <w:adjustRightInd w:val="0"/>
        <w:spacing w:line="360" w:lineRule="auto"/>
        <w:ind w:right="210"/>
        <w:jc w:val="center"/>
        <w:rPr>
          <w:rFonts w:ascii="宋体" w:hAnsi="宋体" w:cs="宋体"/>
          <w:snapToGrid w:val="0"/>
          <w:kern w:val="0"/>
          <w:sz w:val="32"/>
          <w:szCs w:val="32"/>
        </w:rPr>
      </w:pPr>
    </w:p>
    <w:p w14:paraId="130ADED4">
      <w:pPr>
        <w:tabs>
          <w:tab w:val="left" w:pos="7140"/>
          <w:tab w:val="left" w:pos="7560"/>
          <w:tab w:val="left" w:pos="8300"/>
        </w:tabs>
        <w:autoSpaceDE w:val="0"/>
        <w:autoSpaceDN w:val="0"/>
        <w:adjustRightInd w:val="0"/>
        <w:spacing w:line="360" w:lineRule="auto"/>
        <w:ind w:right="210"/>
        <w:jc w:val="center"/>
        <w:rPr>
          <w:rFonts w:ascii="宋体" w:hAnsi="宋体" w:cs="宋体"/>
          <w:snapToGrid w:val="0"/>
          <w:kern w:val="0"/>
          <w:sz w:val="32"/>
          <w:szCs w:val="32"/>
        </w:rPr>
      </w:pPr>
    </w:p>
    <w:p w14:paraId="504A5ED0">
      <w:pPr>
        <w:tabs>
          <w:tab w:val="left" w:pos="7140"/>
          <w:tab w:val="left" w:pos="7560"/>
          <w:tab w:val="left" w:pos="8300"/>
        </w:tabs>
        <w:autoSpaceDE w:val="0"/>
        <w:autoSpaceDN w:val="0"/>
        <w:adjustRightInd w:val="0"/>
        <w:spacing w:line="360" w:lineRule="auto"/>
        <w:ind w:right="210"/>
        <w:jc w:val="center"/>
        <w:rPr>
          <w:rFonts w:ascii="宋体" w:hAnsi="宋体" w:cs="宋体"/>
          <w:snapToGrid w:val="0"/>
          <w:kern w:val="0"/>
          <w:sz w:val="32"/>
          <w:szCs w:val="32"/>
        </w:rPr>
      </w:pPr>
    </w:p>
    <w:p w14:paraId="5A6CDA0D">
      <w:pPr>
        <w:tabs>
          <w:tab w:val="left" w:pos="7140"/>
          <w:tab w:val="left" w:pos="7560"/>
          <w:tab w:val="left" w:pos="8300"/>
        </w:tabs>
        <w:autoSpaceDE w:val="0"/>
        <w:autoSpaceDN w:val="0"/>
        <w:adjustRightInd w:val="0"/>
        <w:spacing w:line="360" w:lineRule="auto"/>
        <w:ind w:right="210"/>
        <w:jc w:val="center"/>
        <w:rPr>
          <w:rFonts w:ascii="宋体" w:hAnsi="宋体" w:cs="宋体"/>
          <w:snapToGrid w:val="0"/>
          <w:kern w:val="0"/>
          <w:sz w:val="32"/>
          <w:szCs w:val="32"/>
        </w:rPr>
      </w:pPr>
    </w:p>
    <w:p w14:paraId="7E04F8F7">
      <w:pPr>
        <w:tabs>
          <w:tab w:val="left" w:pos="7140"/>
          <w:tab w:val="left" w:pos="7560"/>
          <w:tab w:val="left" w:pos="8300"/>
        </w:tabs>
        <w:autoSpaceDE w:val="0"/>
        <w:autoSpaceDN w:val="0"/>
        <w:adjustRightInd w:val="0"/>
        <w:spacing w:line="360" w:lineRule="auto"/>
        <w:ind w:right="210"/>
        <w:jc w:val="center"/>
        <w:rPr>
          <w:rFonts w:ascii="宋体" w:hAnsi="宋体" w:cs="宋体"/>
          <w:snapToGrid w:val="0"/>
          <w:kern w:val="0"/>
          <w:sz w:val="32"/>
          <w:szCs w:val="32"/>
        </w:rPr>
      </w:pPr>
    </w:p>
    <w:p w14:paraId="7A644F3D">
      <w:pPr>
        <w:tabs>
          <w:tab w:val="left" w:pos="7140"/>
          <w:tab w:val="left" w:pos="7560"/>
          <w:tab w:val="left" w:pos="8300"/>
        </w:tabs>
        <w:autoSpaceDE w:val="0"/>
        <w:autoSpaceDN w:val="0"/>
        <w:adjustRightInd w:val="0"/>
        <w:spacing w:line="360" w:lineRule="auto"/>
        <w:ind w:right="210"/>
        <w:jc w:val="center"/>
        <w:rPr>
          <w:rFonts w:ascii="宋体" w:hAnsi="宋体" w:cs="宋体"/>
          <w:snapToGrid w:val="0"/>
          <w:kern w:val="0"/>
          <w:sz w:val="32"/>
          <w:szCs w:val="32"/>
        </w:rPr>
      </w:pPr>
    </w:p>
    <w:p w14:paraId="5E3BD25A">
      <w:pPr>
        <w:tabs>
          <w:tab w:val="left" w:pos="7140"/>
          <w:tab w:val="left" w:pos="7560"/>
          <w:tab w:val="left" w:pos="8300"/>
        </w:tabs>
        <w:autoSpaceDE w:val="0"/>
        <w:autoSpaceDN w:val="0"/>
        <w:adjustRightInd w:val="0"/>
        <w:spacing w:line="360" w:lineRule="auto"/>
        <w:ind w:right="210"/>
        <w:jc w:val="center"/>
        <w:rPr>
          <w:rFonts w:ascii="宋体" w:hAnsi="宋体" w:cs="宋体"/>
          <w:snapToGrid w:val="0"/>
          <w:kern w:val="0"/>
          <w:sz w:val="32"/>
          <w:szCs w:val="32"/>
        </w:rPr>
      </w:pPr>
    </w:p>
    <w:p w14:paraId="7798C4AB">
      <w:pPr>
        <w:tabs>
          <w:tab w:val="left" w:pos="7140"/>
          <w:tab w:val="left" w:pos="7560"/>
          <w:tab w:val="left" w:pos="8300"/>
        </w:tabs>
        <w:autoSpaceDE w:val="0"/>
        <w:autoSpaceDN w:val="0"/>
        <w:adjustRightInd w:val="0"/>
        <w:spacing w:line="360" w:lineRule="auto"/>
        <w:ind w:right="210"/>
        <w:jc w:val="center"/>
        <w:rPr>
          <w:rFonts w:ascii="宋体" w:hAnsi="宋体" w:cs="宋体"/>
          <w:snapToGrid w:val="0"/>
          <w:kern w:val="0"/>
          <w:sz w:val="32"/>
          <w:szCs w:val="32"/>
        </w:rPr>
      </w:pPr>
    </w:p>
    <w:p w14:paraId="603F45DD">
      <w:pPr>
        <w:tabs>
          <w:tab w:val="left" w:pos="7140"/>
          <w:tab w:val="left" w:pos="7560"/>
          <w:tab w:val="left" w:pos="8300"/>
        </w:tabs>
        <w:autoSpaceDE w:val="0"/>
        <w:autoSpaceDN w:val="0"/>
        <w:adjustRightInd w:val="0"/>
        <w:spacing w:line="360" w:lineRule="auto"/>
        <w:ind w:right="210"/>
        <w:jc w:val="center"/>
        <w:rPr>
          <w:rFonts w:ascii="宋体" w:hAnsi="宋体" w:cs="宋体"/>
          <w:snapToGrid w:val="0"/>
          <w:kern w:val="0"/>
          <w:sz w:val="32"/>
          <w:szCs w:val="32"/>
        </w:rPr>
      </w:pPr>
    </w:p>
    <w:p w14:paraId="3664F103">
      <w:pPr>
        <w:tabs>
          <w:tab w:val="left" w:pos="7140"/>
          <w:tab w:val="left" w:pos="7560"/>
          <w:tab w:val="left" w:pos="8300"/>
        </w:tabs>
        <w:autoSpaceDE w:val="0"/>
        <w:autoSpaceDN w:val="0"/>
        <w:adjustRightInd w:val="0"/>
        <w:spacing w:line="360" w:lineRule="auto"/>
        <w:ind w:right="210"/>
        <w:jc w:val="center"/>
        <w:rPr>
          <w:rFonts w:ascii="宋体" w:hAnsi="宋体" w:cs="宋体"/>
          <w:snapToGrid w:val="0"/>
          <w:kern w:val="0"/>
          <w:sz w:val="32"/>
          <w:szCs w:val="32"/>
        </w:rPr>
      </w:pPr>
    </w:p>
    <w:p w14:paraId="266B43FC">
      <w:pPr>
        <w:tabs>
          <w:tab w:val="left" w:pos="7140"/>
          <w:tab w:val="left" w:pos="7560"/>
          <w:tab w:val="left" w:pos="8300"/>
        </w:tabs>
        <w:autoSpaceDE w:val="0"/>
        <w:autoSpaceDN w:val="0"/>
        <w:adjustRightInd w:val="0"/>
        <w:spacing w:line="360" w:lineRule="auto"/>
        <w:ind w:right="210"/>
        <w:jc w:val="center"/>
        <w:rPr>
          <w:rFonts w:ascii="宋体" w:hAnsi="宋体" w:cs="宋体"/>
          <w:snapToGrid w:val="0"/>
          <w:kern w:val="0"/>
          <w:sz w:val="32"/>
          <w:szCs w:val="32"/>
        </w:rPr>
      </w:pPr>
    </w:p>
    <w:p w14:paraId="5A83D862">
      <w:pPr>
        <w:tabs>
          <w:tab w:val="left" w:pos="7140"/>
          <w:tab w:val="left" w:pos="7560"/>
          <w:tab w:val="left" w:pos="8300"/>
        </w:tabs>
        <w:autoSpaceDE w:val="0"/>
        <w:autoSpaceDN w:val="0"/>
        <w:adjustRightInd w:val="0"/>
        <w:spacing w:line="360" w:lineRule="auto"/>
        <w:ind w:right="210"/>
        <w:jc w:val="center"/>
        <w:rPr>
          <w:rFonts w:ascii="宋体" w:hAnsi="宋体" w:cs="宋体"/>
          <w:snapToGrid w:val="0"/>
          <w:kern w:val="0"/>
          <w:sz w:val="32"/>
          <w:szCs w:val="32"/>
        </w:rPr>
      </w:pPr>
    </w:p>
    <w:p w14:paraId="26164BF9">
      <w:pPr>
        <w:rPr>
          <w:sz w:val="30"/>
          <w:szCs w:val="30"/>
        </w:rPr>
      </w:pPr>
      <w:r>
        <w:rPr>
          <w:sz w:val="30"/>
          <w:szCs w:val="30"/>
        </w:rPr>
        <w:br w:type="page"/>
      </w:r>
    </w:p>
    <w:p w14:paraId="6A025B12">
      <w:pPr>
        <w:tabs>
          <w:tab w:val="left" w:pos="8300"/>
        </w:tabs>
        <w:autoSpaceDE w:val="0"/>
        <w:autoSpaceDN w:val="0"/>
        <w:adjustRightInd w:val="0"/>
        <w:spacing w:line="400" w:lineRule="exact"/>
        <w:rPr>
          <w:rFonts w:ascii="宋体" w:hAnsi="宋体"/>
          <w:snapToGrid w:val="0"/>
          <w:kern w:val="0"/>
          <w:sz w:val="30"/>
          <w:szCs w:val="30"/>
        </w:rPr>
      </w:pPr>
      <w:r>
        <w:rPr>
          <w:sz w:val="30"/>
          <w:szCs w:val="30"/>
        </w:rPr>
        <w:t>（</w:t>
      </w:r>
      <w:r>
        <w:rPr>
          <w:rFonts w:hint="eastAsia"/>
          <w:sz w:val="30"/>
          <w:szCs w:val="30"/>
        </w:rPr>
        <w:t>一</w:t>
      </w:r>
      <w:r>
        <w:rPr>
          <w:sz w:val="30"/>
          <w:szCs w:val="30"/>
        </w:rPr>
        <w:t>）</w:t>
      </w:r>
      <w:r>
        <w:rPr>
          <w:rFonts w:hint="eastAsia"/>
          <w:sz w:val="30"/>
          <w:szCs w:val="30"/>
        </w:rPr>
        <w:t>法定代表人身份证明或附有法定代表人身份证明的授权委托书</w:t>
      </w:r>
    </w:p>
    <w:p w14:paraId="4AF736C5">
      <w:pPr>
        <w:spacing w:line="480" w:lineRule="auto"/>
        <w:jc w:val="center"/>
        <w:rPr>
          <w:rFonts w:ascii="宋体" w:hAnsi="宋体"/>
          <w:sz w:val="28"/>
        </w:rPr>
      </w:pPr>
      <w:r>
        <w:rPr>
          <w:rFonts w:hint="eastAsia" w:ascii="宋体" w:hAnsi="宋体"/>
          <w:sz w:val="28"/>
        </w:rPr>
        <w:t>法定代表人身份证明</w:t>
      </w:r>
    </w:p>
    <w:p w14:paraId="03B9B0C1">
      <w:pPr>
        <w:spacing w:line="480" w:lineRule="auto"/>
        <w:jc w:val="center"/>
        <w:rPr>
          <w:rFonts w:ascii="宋体" w:hAnsi="宋体"/>
        </w:rPr>
      </w:pPr>
    </w:p>
    <w:p w14:paraId="156250DE">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竞标人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207F1009">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A95B058">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302D7401">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63BA255C">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C696314">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3C1BDBE7">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竞标人</w:t>
      </w:r>
      <w:r>
        <w:rPr>
          <w:rFonts w:ascii="宋体" w:hAnsi="宋体"/>
          <w:kern w:val="0"/>
          <w:szCs w:val="21"/>
          <w:u w:val="single"/>
        </w:rPr>
        <w:t>名称）</w:t>
      </w:r>
      <w:r>
        <w:rPr>
          <w:rFonts w:ascii="宋体" w:hAnsi="宋体"/>
          <w:kern w:val="0"/>
          <w:szCs w:val="21"/>
        </w:rPr>
        <w:t>的法定代表人。</w:t>
      </w:r>
    </w:p>
    <w:p w14:paraId="442D9794">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004FB8AB">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附：法定代表人身份证复印件（双面）</w:t>
      </w:r>
    </w:p>
    <w:p w14:paraId="6464AF0E">
      <w:pPr>
        <w:pStyle w:val="8"/>
        <w:spacing w:after="0" w:line="360" w:lineRule="auto"/>
        <w:rPr>
          <w:rFonts w:ascii="宋体" w:hAnsi="宋体"/>
          <w:szCs w:val="21"/>
        </w:rPr>
      </w:pPr>
    </w:p>
    <w:p w14:paraId="0FF9DADE">
      <w:pPr>
        <w:pStyle w:val="8"/>
        <w:spacing w:after="0" w:line="360" w:lineRule="auto"/>
        <w:rPr>
          <w:rFonts w:ascii="宋体" w:hAnsi="宋体"/>
          <w:szCs w:val="21"/>
        </w:rPr>
      </w:pPr>
    </w:p>
    <w:p w14:paraId="4C39B968">
      <w:pPr>
        <w:pStyle w:val="8"/>
        <w:spacing w:after="0" w:line="360" w:lineRule="auto"/>
        <w:rPr>
          <w:rFonts w:ascii="宋体" w:hAnsi="宋体"/>
          <w:szCs w:val="21"/>
        </w:rPr>
      </w:pPr>
    </w:p>
    <w:p w14:paraId="3654F561">
      <w:pPr>
        <w:pStyle w:val="8"/>
        <w:spacing w:after="0" w:line="360" w:lineRule="auto"/>
        <w:rPr>
          <w:rFonts w:ascii="宋体" w:hAnsi="宋体"/>
          <w:szCs w:val="21"/>
        </w:rPr>
      </w:pPr>
    </w:p>
    <w:p w14:paraId="5185208F">
      <w:pPr>
        <w:pStyle w:val="8"/>
        <w:spacing w:after="0" w:line="360" w:lineRule="auto"/>
        <w:rPr>
          <w:rFonts w:ascii="宋体" w:hAnsi="宋体"/>
          <w:szCs w:val="21"/>
        </w:rPr>
      </w:pPr>
    </w:p>
    <w:p w14:paraId="5D7349CD">
      <w:pPr>
        <w:pStyle w:val="8"/>
        <w:spacing w:after="0" w:line="360" w:lineRule="auto"/>
        <w:rPr>
          <w:rFonts w:ascii="宋体" w:hAnsi="宋体"/>
          <w:szCs w:val="21"/>
        </w:rPr>
      </w:pPr>
    </w:p>
    <w:p w14:paraId="0E90031E">
      <w:pPr>
        <w:autoSpaceDE w:val="0"/>
        <w:autoSpaceDN w:val="0"/>
        <w:adjustRightInd w:val="0"/>
        <w:snapToGrid w:val="0"/>
        <w:spacing w:line="480" w:lineRule="auto"/>
        <w:ind w:firstLine="420" w:firstLineChars="200"/>
        <w:jc w:val="right"/>
        <w:rPr>
          <w:rFonts w:ascii="宋体" w:hAnsi="宋体"/>
          <w:kern w:val="0"/>
          <w:szCs w:val="21"/>
        </w:rPr>
      </w:pPr>
      <w:r>
        <w:rPr>
          <w:rFonts w:hint="eastAsia" w:ascii="宋体" w:hAnsi="宋体"/>
          <w:kern w:val="0"/>
          <w:szCs w:val="21"/>
        </w:rPr>
        <w:t>竞标人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27D77467">
      <w:pPr>
        <w:autoSpaceDE w:val="0"/>
        <w:autoSpaceDN w:val="0"/>
        <w:adjustRightInd w:val="0"/>
        <w:snapToGrid w:val="0"/>
        <w:spacing w:line="480" w:lineRule="auto"/>
        <w:jc w:val="left"/>
        <w:rPr>
          <w:rFonts w:ascii="宋体" w:hAnsi="宋体"/>
          <w:kern w:val="0"/>
          <w:sz w:val="20"/>
          <w:szCs w:val="20"/>
        </w:rPr>
      </w:pPr>
    </w:p>
    <w:p w14:paraId="623AADB4">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14C3CFFB">
      <w:pPr>
        <w:autoSpaceDE w:val="0"/>
        <w:autoSpaceDN w:val="0"/>
        <w:adjustRightInd w:val="0"/>
        <w:snapToGrid w:val="0"/>
        <w:spacing w:line="360" w:lineRule="auto"/>
        <w:jc w:val="left"/>
        <w:rPr>
          <w:rFonts w:ascii="宋体" w:hAnsi="宋体"/>
          <w:kern w:val="0"/>
        </w:rPr>
      </w:pPr>
    </w:p>
    <w:p w14:paraId="6BC5C956">
      <w:pPr>
        <w:autoSpaceDE w:val="0"/>
        <w:autoSpaceDN w:val="0"/>
        <w:adjustRightInd w:val="0"/>
        <w:snapToGrid w:val="0"/>
        <w:spacing w:line="360" w:lineRule="auto"/>
        <w:jc w:val="left"/>
        <w:rPr>
          <w:rFonts w:ascii="宋体" w:hAnsi="宋体"/>
          <w:kern w:val="0"/>
        </w:rPr>
      </w:pPr>
    </w:p>
    <w:p w14:paraId="4303E5C0">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4BB19317">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14:paraId="7B62D67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竞标人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竞标文件</w:t>
      </w:r>
      <w:r>
        <w:rPr>
          <w:rFonts w:ascii="宋体" w:hAnsi="宋体"/>
          <w:kern w:val="0"/>
          <w:szCs w:val="21"/>
        </w:rPr>
        <w:t>、签订合同和处理有关事宜， 其法律后果由我方承担。</w:t>
      </w:r>
    </w:p>
    <w:p w14:paraId="5697CBF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6676F7C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709F2A9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7E40846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hint="eastAsia" w:ascii="宋体" w:hAnsi="宋体"/>
          <w:kern w:val="0"/>
          <w:szCs w:val="21"/>
        </w:rPr>
        <w:t>竞标人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33FD2879">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74E19D52">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15F18582">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028C9568">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6B7E2C2D">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319C8730">
      <w:pPr>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496157AE">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附：法定代表人和委托代理人身份证复印件（双面）</w:t>
      </w:r>
    </w:p>
    <w:p w14:paraId="7768868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1EA1AF15">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734F9CA2">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B5A7BF6">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7CD1AC9">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C7EFF2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2076FA65">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BB1D58E">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p>
    <w:p w14:paraId="37EA26BF">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610BFFC1">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注：1、法定代表人参加</w:t>
      </w:r>
      <w:r>
        <w:rPr>
          <w:rFonts w:hint="eastAsia" w:ascii="宋体" w:hAnsi="宋体"/>
          <w:kern w:val="0"/>
          <w:szCs w:val="21"/>
        </w:rPr>
        <w:t>竞标</w:t>
      </w:r>
      <w:r>
        <w:rPr>
          <w:rFonts w:ascii="宋体" w:hAnsi="宋体"/>
          <w:kern w:val="0"/>
          <w:szCs w:val="21"/>
        </w:rPr>
        <w:t>活动并签署文件的不需要授权委托书，只需提供法定代表人身份证明；非法定代表人参加</w:t>
      </w:r>
      <w:r>
        <w:rPr>
          <w:rFonts w:hint="eastAsia" w:ascii="宋体" w:hAnsi="宋体"/>
          <w:kern w:val="0"/>
          <w:szCs w:val="21"/>
        </w:rPr>
        <w:t>竞标</w:t>
      </w:r>
      <w:r>
        <w:rPr>
          <w:rFonts w:ascii="宋体" w:hAnsi="宋体"/>
          <w:kern w:val="0"/>
          <w:szCs w:val="21"/>
        </w:rPr>
        <w:t>活动及签署文件的除提供法定代表人身份证明外还须提供授权委托书。</w:t>
      </w:r>
    </w:p>
    <w:p w14:paraId="450CD7FC">
      <w:pPr>
        <w:tabs>
          <w:tab w:val="left" w:pos="5760"/>
        </w:tabs>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2、法定代表人身份证明及授权委托书原件装入</w:t>
      </w:r>
      <w:r>
        <w:rPr>
          <w:rFonts w:hint="eastAsia" w:ascii="宋体" w:hAnsi="宋体"/>
          <w:kern w:val="0"/>
          <w:szCs w:val="21"/>
        </w:rPr>
        <w:t>竞标文件</w:t>
      </w:r>
      <w:r>
        <w:rPr>
          <w:rFonts w:ascii="宋体" w:hAnsi="宋体"/>
          <w:kern w:val="0"/>
          <w:szCs w:val="21"/>
        </w:rPr>
        <w:t>一并递交。另外须准备一份授权委托书原件在开标现场出具。</w:t>
      </w:r>
    </w:p>
    <w:p w14:paraId="273FF64B">
      <w:pPr>
        <w:spacing w:line="360" w:lineRule="auto"/>
        <w:ind w:firstLine="420" w:firstLineChars="200"/>
        <w:rPr>
          <w:rFonts w:ascii="宋体" w:hAnsi="宋体" w:cs="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14:paraId="11EABA5E">
      <w:pPr>
        <w:autoSpaceDE w:val="0"/>
        <w:autoSpaceDN w:val="0"/>
        <w:adjustRightInd w:val="0"/>
        <w:snapToGrid w:val="0"/>
        <w:spacing w:line="360" w:lineRule="auto"/>
        <w:jc w:val="center"/>
        <w:outlineLvl w:val="2"/>
        <w:rPr>
          <w:rFonts w:ascii="宋体" w:hAnsi="宋体" w:cs="宋体"/>
          <w:snapToGrid w:val="0"/>
          <w:kern w:val="0"/>
          <w:sz w:val="32"/>
          <w:szCs w:val="32"/>
        </w:rPr>
      </w:pPr>
      <w:bookmarkStart w:id="807" w:name="_Toc287607887"/>
      <w:bookmarkStart w:id="808" w:name="_Toc277082659"/>
      <w:r>
        <w:rPr>
          <w:rFonts w:hint="eastAsia" w:ascii="宋体" w:hAnsi="宋体" w:cs="宋体"/>
          <w:snapToGrid w:val="0"/>
          <w:kern w:val="0"/>
          <w:sz w:val="32"/>
          <w:szCs w:val="32"/>
        </w:rPr>
        <w:t>（二）竞选人基本情况表</w:t>
      </w:r>
    </w:p>
    <w:tbl>
      <w:tblPr>
        <w:tblStyle w:val="20"/>
        <w:tblW w:w="946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35F433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F27912">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竞选人名称</w:t>
            </w:r>
          </w:p>
        </w:tc>
        <w:tc>
          <w:tcPr>
            <w:tcW w:w="7607" w:type="dxa"/>
            <w:gridSpan w:val="9"/>
            <w:vAlign w:val="center"/>
          </w:tcPr>
          <w:p w14:paraId="5E102D31">
            <w:pPr>
              <w:autoSpaceDE w:val="0"/>
              <w:autoSpaceDN w:val="0"/>
              <w:adjustRightInd w:val="0"/>
              <w:snapToGrid w:val="0"/>
              <w:spacing w:line="360" w:lineRule="auto"/>
              <w:jc w:val="center"/>
              <w:rPr>
                <w:rFonts w:ascii="宋体" w:hAnsi="宋体" w:cs="宋体"/>
                <w:kern w:val="0"/>
                <w:szCs w:val="21"/>
              </w:rPr>
            </w:pPr>
          </w:p>
        </w:tc>
      </w:tr>
      <w:tr w14:paraId="36855B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9E4CE7E">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注册地址</w:t>
            </w:r>
          </w:p>
        </w:tc>
        <w:tc>
          <w:tcPr>
            <w:tcW w:w="3450" w:type="dxa"/>
            <w:gridSpan w:val="5"/>
            <w:vAlign w:val="center"/>
          </w:tcPr>
          <w:p w14:paraId="10412BAE">
            <w:pPr>
              <w:autoSpaceDE w:val="0"/>
              <w:autoSpaceDN w:val="0"/>
              <w:adjustRightInd w:val="0"/>
              <w:snapToGrid w:val="0"/>
              <w:spacing w:line="360" w:lineRule="auto"/>
              <w:jc w:val="center"/>
              <w:rPr>
                <w:rFonts w:ascii="宋体" w:hAnsi="宋体" w:cs="宋体"/>
                <w:kern w:val="0"/>
                <w:szCs w:val="21"/>
              </w:rPr>
            </w:pPr>
          </w:p>
        </w:tc>
        <w:tc>
          <w:tcPr>
            <w:tcW w:w="1392" w:type="dxa"/>
            <w:vAlign w:val="center"/>
          </w:tcPr>
          <w:p w14:paraId="72E6BA84">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邮政编码</w:t>
            </w:r>
          </w:p>
        </w:tc>
        <w:tc>
          <w:tcPr>
            <w:tcW w:w="2765" w:type="dxa"/>
            <w:gridSpan w:val="3"/>
            <w:vAlign w:val="center"/>
          </w:tcPr>
          <w:p w14:paraId="4C6CCFCF">
            <w:pPr>
              <w:autoSpaceDE w:val="0"/>
              <w:autoSpaceDN w:val="0"/>
              <w:adjustRightInd w:val="0"/>
              <w:snapToGrid w:val="0"/>
              <w:spacing w:line="360" w:lineRule="auto"/>
              <w:jc w:val="center"/>
              <w:rPr>
                <w:rFonts w:ascii="宋体" w:hAnsi="宋体" w:cs="宋体"/>
                <w:kern w:val="0"/>
                <w:szCs w:val="21"/>
              </w:rPr>
            </w:pPr>
          </w:p>
        </w:tc>
      </w:tr>
      <w:tr w14:paraId="583C0C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0DA5C524">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联系方式</w:t>
            </w:r>
          </w:p>
        </w:tc>
        <w:tc>
          <w:tcPr>
            <w:tcW w:w="967" w:type="dxa"/>
            <w:vAlign w:val="center"/>
          </w:tcPr>
          <w:p w14:paraId="65C6A3E9">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联系人</w:t>
            </w:r>
          </w:p>
        </w:tc>
        <w:tc>
          <w:tcPr>
            <w:tcW w:w="2483" w:type="dxa"/>
            <w:gridSpan w:val="4"/>
            <w:vAlign w:val="center"/>
          </w:tcPr>
          <w:p w14:paraId="683CBCA2">
            <w:pPr>
              <w:autoSpaceDE w:val="0"/>
              <w:autoSpaceDN w:val="0"/>
              <w:adjustRightInd w:val="0"/>
              <w:snapToGrid w:val="0"/>
              <w:spacing w:line="360" w:lineRule="auto"/>
              <w:jc w:val="center"/>
              <w:rPr>
                <w:rFonts w:ascii="宋体" w:hAnsi="宋体" w:cs="宋体"/>
                <w:kern w:val="0"/>
                <w:szCs w:val="21"/>
              </w:rPr>
            </w:pPr>
          </w:p>
        </w:tc>
        <w:tc>
          <w:tcPr>
            <w:tcW w:w="1392" w:type="dxa"/>
            <w:vAlign w:val="center"/>
          </w:tcPr>
          <w:p w14:paraId="79779DE8">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电话</w:t>
            </w:r>
          </w:p>
        </w:tc>
        <w:tc>
          <w:tcPr>
            <w:tcW w:w="2765" w:type="dxa"/>
            <w:gridSpan w:val="3"/>
            <w:vAlign w:val="center"/>
          </w:tcPr>
          <w:p w14:paraId="1078760E">
            <w:pPr>
              <w:autoSpaceDE w:val="0"/>
              <w:autoSpaceDN w:val="0"/>
              <w:adjustRightInd w:val="0"/>
              <w:snapToGrid w:val="0"/>
              <w:spacing w:line="360" w:lineRule="auto"/>
              <w:jc w:val="center"/>
              <w:rPr>
                <w:rFonts w:ascii="宋体" w:hAnsi="宋体" w:cs="宋体"/>
                <w:kern w:val="0"/>
                <w:szCs w:val="21"/>
              </w:rPr>
            </w:pPr>
          </w:p>
        </w:tc>
      </w:tr>
      <w:tr w14:paraId="27A655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16272547">
            <w:pPr>
              <w:autoSpaceDE w:val="0"/>
              <w:autoSpaceDN w:val="0"/>
              <w:adjustRightInd w:val="0"/>
              <w:snapToGrid w:val="0"/>
              <w:spacing w:line="360" w:lineRule="auto"/>
              <w:jc w:val="center"/>
              <w:rPr>
                <w:rFonts w:ascii="宋体" w:hAnsi="宋体" w:cs="宋体"/>
                <w:kern w:val="0"/>
                <w:szCs w:val="21"/>
              </w:rPr>
            </w:pPr>
          </w:p>
        </w:tc>
        <w:tc>
          <w:tcPr>
            <w:tcW w:w="967" w:type="dxa"/>
            <w:vAlign w:val="center"/>
          </w:tcPr>
          <w:p w14:paraId="7244BF33">
            <w:pPr>
              <w:tabs>
                <w:tab w:val="left" w:pos="540"/>
              </w:tabs>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传  真</w:t>
            </w:r>
          </w:p>
        </w:tc>
        <w:tc>
          <w:tcPr>
            <w:tcW w:w="2483" w:type="dxa"/>
            <w:gridSpan w:val="4"/>
            <w:vAlign w:val="center"/>
          </w:tcPr>
          <w:p w14:paraId="2A52CE8F">
            <w:pPr>
              <w:autoSpaceDE w:val="0"/>
              <w:autoSpaceDN w:val="0"/>
              <w:adjustRightInd w:val="0"/>
              <w:snapToGrid w:val="0"/>
              <w:spacing w:line="360" w:lineRule="auto"/>
              <w:jc w:val="center"/>
              <w:rPr>
                <w:rFonts w:ascii="宋体" w:hAnsi="宋体" w:cs="宋体"/>
                <w:kern w:val="0"/>
                <w:szCs w:val="21"/>
              </w:rPr>
            </w:pPr>
          </w:p>
        </w:tc>
        <w:tc>
          <w:tcPr>
            <w:tcW w:w="1392" w:type="dxa"/>
            <w:vAlign w:val="center"/>
          </w:tcPr>
          <w:p w14:paraId="11788FC6">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网址</w:t>
            </w:r>
          </w:p>
        </w:tc>
        <w:tc>
          <w:tcPr>
            <w:tcW w:w="2765" w:type="dxa"/>
            <w:gridSpan w:val="3"/>
            <w:vAlign w:val="center"/>
          </w:tcPr>
          <w:p w14:paraId="62D29321">
            <w:pPr>
              <w:autoSpaceDE w:val="0"/>
              <w:autoSpaceDN w:val="0"/>
              <w:adjustRightInd w:val="0"/>
              <w:snapToGrid w:val="0"/>
              <w:spacing w:line="360" w:lineRule="auto"/>
              <w:jc w:val="center"/>
              <w:rPr>
                <w:rFonts w:ascii="宋体" w:hAnsi="宋体" w:cs="宋体"/>
                <w:kern w:val="0"/>
                <w:szCs w:val="21"/>
              </w:rPr>
            </w:pPr>
          </w:p>
        </w:tc>
      </w:tr>
      <w:tr w14:paraId="749870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947D2F4">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组织结构</w:t>
            </w:r>
          </w:p>
        </w:tc>
        <w:tc>
          <w:tcPr>
            <w:tcW w:w="7607" w:type="dxa"/>
            <w:gridSpan w:val="9"/>
            <w:vAlign w:val="center"/>
          </w:tcPr>
          <w:p w14:paraId="5F531716">
            <w:pPr>
              <w:autoSpaceDE w:val="0"/>
              <w:autoSpaceDN w:val="0"/>
              <w:adjustRightInd w:val="0"/>
              <w:snapToGrid w:val="0"/>
              <w:spacing w:line="360" w:lineRule="auto"/>
              <w:jc w:val="center"/>
              <w:rPr>
                <w:rFonts w:ascii="宋体" w:hAnsi="宋体" w:cs="宋体"/>
                <w:kern w:val="0"/>
                <w:szCs w:val="21"/>
              </w:rPr>
            </w:pPr>
          </w:p>
        </w:tc>
      </w:tr>
      <w:tr w14:paraId="73AAE3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F30C233">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法定代表人</w:t>
            </w:r>
          </w:p>
        </w:tc>
        <w:tc>
          <w:tcPr>
            <w:tcW w:w="967" w:type="dxa"/>
            <w:vAlign w:val="center"/>
          </w:tcPr>
          <w:p w14:paraId="72EBA3CF">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姓  名</w:t>
            </w:r>
          </w:p>
        </w:tc>
        <w:tc>
          <w:tcPr>
            <w:tcW w:w="1024" w:type="dxa"/>
            <w:vAlign w:val="center"/>
          </w:tcPr>
          <w:p w14:paraId="074DA7D9">
            <w:pPr>
              <w:autoSpaceDE w:val="0"/>
              <w:autoSpaceDN w:val="0"/>
              <w:adjustRightInd w:val="0"/>
              <w:snapToGrid w:val="0"/>
              <w:spacing w:line="360" w:lineRule="auto"/>
              <w:jc w:val="center"/>
              <w:rPr>
                <w:rFonts w:ascii="宋体" w:hAnsi="宋体" w:cs="宋体"/>
                <w:kern w:val="0"/>
                <w:szCs w:val="21"/>
              </w:rPr>
            </w:pPr>
          </w:p>
        </w:tc>
        <w:tc>
          <w:tcPr>
            <w:tcW w:w="1356" w:type="dxa"/>
            <w:gridSpan w:val="2"/>
            <w:vAlign w:val="center"/>
          </w:tcPr>
          <w:p w14:paraId="4C99FD96">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技术职称</w:t>
            </w:r>
          </w:p>
        </w:tc>
        <w:tc>
          <w:tcPr>
            <w:tcW w:w="2024" w:type="dxa"/>
            <w:gridSpan w:val="3"/>
            <w:vAlign w:val="center"/>
          </w:tcPr>
          <w:p w14:paraId="441BAEF4">
            <w:pPr>
              <w:autoSpaceDE w:val="0"/>
              <w:autoSpaceDN w:val="0"/>
              <w:adjustRightInd w:val="0"/>
              <w:snapToGrid w:val="0"/>
              <w:spacing w:line="360" w:lineRule="auto"/>
              <w:jc w:val="center"/>
              <w:rPr>
                <w:rFonts w:ascii="宋体" w:hAnsi="宋体" w:cs="宋体"/>
                <w:kern w:val="0"/>
                <w:szCs w:val="21"/>
              </w:rPr>
            </w:pPr>
          </w:p>
        </w:tc>
        <w:tc>
          <w:tcPr>
            <w:tcW w:w="925" w:type="dxa"/>
            <w:vAlign w:val="center"/>
          </w:tcPr>
          <w:p w14:paraId="7EFB2702">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电  话</w:t>
            </w:r>
          </w:p>
        </w:tc>
        <w:tc>
          <w:tcPr>
            <w:tcW w:w="1311" w:type="dxa"/>
            <w:vAlign w:val="center"/>
          </w:tcPr>
          <w:p w14:paraId="10DC7E0F">
            <w:pPr>
              <w:autoSpaceDE w:val="0"/>
              <w:autoSpaceDN w:val="0"/>
              <w:adjustRightInd w:val="0"/>
              <w:snapToGrid w:val="0"/>
              <w:spacing w:line="360" w:lineRule="auto"/>
              <w:jc w:val="center"/>
              <w:rPr>
                <w:rFonts w:ascii="宋体" w:hAnsi="宋体" w:cs="宋体"/>
                <w:kern w:val="0"/>
                <w:szCs w:val="21"/>
              </w:rPr>
            </w:pPr>
          </w:p>
        </w:tc>
      </w:tr>
      <w:tr w14:paraId="7A7486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D3AA95D">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技术负责人</w:t>
            </w:r>
          </w:p>
        </w:tc>
        <w:tc>
          <w:tcPr>
            <w:tcW w:w="967" w:type="dxa"/>
            <w:vAlign w:val="center"/>
          </w:tcPr>
          <w:p w14:paraId="76722EF7">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姓  名</w:t>
            </w:r>
          </w:p>
        </w:tc>
        <w:tc>
          <w:tcPr>
            <w:tcW w:w="1024" w:type="dxa"/>
            <w:vAlign w:val="center"/>
          </w:tcPr>
          <w:p w14:paraId="2B5D2494">
            <w:pPr>
              <w:autoSpaceDE w:val="0"/>
              <w:autoSpaceDN w:val="0"/>
              <w:adjustRightInd w:val="0"/>
              <w:snapToGrid w:val="0"/>
              <w:spacing w:line="360" w:lineRule="auto"/>
              <w:jc w:val="center"/>
              <w:rPr>
                <w:rFonts w:ascii="宋体" w:hAnsi="宋体" w:cs="宋体"/>
                <w:kern w:val="0"/>
                <w:szCs w:val="21"/>
              </w:rPr>
            </w:pPr>
          </w:p>
        </w:tc>
        <w:tc>
          <w:tcPr>
            <w:tcW w:w="1356" w:type="dxa"/>
            <w:gridSpan w:val="2"/>
            <w:vAlign w:val="center"/>
          </w:tcPr>
          <w:p w14:paraId="73955A31">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技术职称</w:t>
            </w:r>
          </w:p>
        </w:tc>
        <w:tc>
          <w:tcPr>
            <w:tcW w:w="2024" w:type="dxa"/>
            <w:gridSpan w:val="3"/>
            <w:vAlign w:val="center"/>
          </w:tcPr>
          <w:p w14:paraId="0AD9F5D8">
            <w:pPr>
              <w:autoSpaceDE w:val="0"/>
              <w:autoSpaceDN w:val="0"/>
              <w:adjustRightInd w:val="0"/>
              <w:snapToGrid w:val="0"/>
              <w:spacing w:line="360" w:lineRule="auto"/>
              <w:jc w:val="center"/>
              <w:rPr>
                <w:rFonts w:ascii="宋体" w:hAnsi="宋体" w:cs="宋体"/>
                <w:kern w:val="0"/>
                <w:szCs w:val="21"/>
              </w:rPr>
            </w:pPr>
          </w:p>
        </w:tc>
        <w:tc>
          <w:tcPr>
            <w:tcW w:w="925" w:type="dxa"/>
            <w:vAlign w:val="center"/>
          </w:tcPr>
          <w:p w14:paraId="66D3A6C4">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电  话</w:t>
            </w:r>
          </w:p>
        </w:tc>
        <w:tc>
          <w:tcPr>
            <w:tcW w:w="1311" w:type="dxa"/>
            <w:vAlign w:val="center"/>
          </w:tcPr>
          <w:p w14:paraId="59D109FE">
            <w:pPr>
              <w:autoSpaceDE w:val="0"/>
              <w:autoSpaceDN w:val="0"/>
              <w:adjustRightInd w:val="0"/>
              <w:snapToGrid w:val="0"/>
              <w:spacing w:line="360" w:lineRule="auto"/>
              <w:jc w:val="center"/>
              <w:rPr>
                <w:rFonts w:ascii="宋体" w:hAnsi="宋体" w:cs="宋体"/>
                <w:kern w:val="0"/>
                <w:szCs w:val="21"/>
              </w:rPr>
            </w:pPr>
          </w:p>
        </w:tc>
      </w:tr>
      <w:tr w14:paraId="0D53CB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A153AD9">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成立时间</w:t>
            </w:r>
          </w:p>
        </w:tc>
        <w:tc>
          <w:tcPr>
            <w:tcW w:w="1991" w:type="dxa"/>
            <w:gridSpan w:val="2"/>
            <w:vAlign w:val="center"/>
          </w:tcPr>
          <w:p w14:paraId="563D91CB">
            <w:pPr>
              <w:autoSpaceDE w:val="0"/>
              <w:autoSpaceDN w:val="0"/>
              <w:adjustRightInd w:val="0"/>
              <w:snapToGrid w:val="0"/>
              <w:spacing w:line="360" w:lineRule="auto"/>
              <w:jc w:val="center"/>
              <w:rPr>
                <w:rFonts w:ascii="宋体" w:hAnsi="宋体" w:cs="宋体"/>
                <w:kern w:val="0"/>
                <w:szCs w:val="21"/>
              </w:rPr>
            </w:pPr>
          </w:p>
        </w:tc>
        <w:tc>
          <w:tcPr>
            <w:tcW w:w="5616" w:type="dxa"/>
            <w:gridSpan w:val="7"/>
            <w:vAlign w:val="center"/>
          </w:tcPr>
          <w:p w14:paraId="226B0EAB">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员工总人数：</w:t>
            </w:r>
          </w:p>
        </w:tc>
      </w:tr>
      <w:tr w14:paraId="213875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325C7B2">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企业资质等级</w:t>
            </w:r>
          </w:p>
        </w:tc>
        <w:tc>
          <w:tcPr>
            <w:tcW w:w="1991" w:type="dxa"/>
            <w:gridSpan w:val="2"/>
            <w:vAlign w:val="center"/>
          </w:tcPr>
          <w:p w14:paraId="143A1196">
            <w:pPr>
              <w:autoSpaceDE w:val="0"/>
              <w:autoSpaceDN w:val="0"/>
              <w:adjustRightInd w:val="0"/>
              <w:snapToGrid w:val="0"/>
              <w:spacing w:line="360" w:lineRule="auto"/>
              <w:jc w:val="center"/>
              <w:rPr>
                <w:rFonts w:ascii="宋体" w:hAnsi="宋体" w:cs="宋体"/>
                <w:kern w:val="0"/>
                <w:szCs w:val="21"/>
              </w:rPr>
            </w:pPr>
          </w:p>
        </w:tc>
        <w:tc>
          <w:tcPr>
            <w:tcW w:w="904" w:type="dxa"/>
            <w:vMerge w:val="restart"/>
            <w:vAlign w:val="center"/>
          </w:tcPr>
          <w:p w14:paraId="2919C51F">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其中</w:t>
            </w:r>
          </w:p>
        </w:tc>
        <w:tc>
          <w:tcPr>
            <w:tcW w:w="2476" w:type="dxa"/>
            <w:gridSpan w:val="4"/>
            <w:vAlign w:val="center"/>
          </w:tcPr>
          <w:p w14:paraId="0F3F7060">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项目总监理工程</w:t>
            </w:r>
          </w:p>
        </w:tc>
        <w:tc>
          <w:tcPr>
            <w:tcW w:w="2236" w:type="dxa"/>
            <w:gridSpan w:val="2"/>
            <w:vAlign w:val="center"/>
          </w:tcPr>
          <w:p w14:paraId="3BC4ED56">
            <w:pPr>
              <w:autoSpaceDE w:val="0"/>
              <w:autoSpaceDN w:val="0"/>
              <w:adjustRightInd w:val="0"/>
              <w:snapToGrid w:val="0"/>
              <w:spacing w:line="360" w:lineRule="auto"/>
              <w:jc w:val="center"/>
              <w:rPr>
                <w:rFonts w:ascii="宋体" w:hAnsi="宋体" w:cs="宋体"/>
                <w:kern w:val="0"/>
                <w:szCs w:val="21"/>
              </w:rPr>
            </w:pPr>
          </w:p>
        </w:tc>
      </w:tr>
      <w:tr w14:paraId="508090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12F312C">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营业执照号</w:t>
            </w:r>
          </w:p>
        </w:tc>
        <w:tc>
          <w:tcPr>
            <w:tcW w:w="1991" w:type="dxa"/>
            <w:gridSpan w:val="2"/>
            <w:vAlign w:val="center"/>
          </w:tcPr>
          <w:p w14:paraId="5BB49F35">
            <w:pPr>
              <w:autoSpaceDE w:val="0"/>
              <w:autoSpaceDN w:val="0"/>
              <w:adjustRightInd w:val="0"/>
              <w:snapToGrid w:val="0"/>
              <w:spacing w:line="360" w:lineRule="auto"/>
              <w:jc w:val="center"/>
              <w:rPr>
                <w:rFonts w:ascii="宋体" w:hAnsi="宋体" w:cs="宋体"/>
                <w:kern w:val="0"/>
                <w:szCs w:val="21"/>
              </w:rPr>
            </w:pPr>
          </w:p>
        </w:tc>
        <w:tc>
          <w:tcPr>
            <w:tcW w:w="904" w:type="dxa"/>
            <w:vMerge w:val="continue"/>
            <w:vAlign w:val="center"/>
          </w:tcPr>
          <w:p w14:paraId="4A07055F">
            <w:pPr>
              <w:autoSpaceDE w:val="0"/>
              <w:autoSpaceDN w:val="0"/>
              <w:adjustRightInd w:val="0"/>
              <w:snapToGrid w:val="0"/>
              <w:spacing w:line="360" w:lineRule="auto"/>
              <w:jc w:val="center"/>
              <w:rPr>
                <w:rFonts w:ascii="宋体" w:hAnsi="宋体" w:cs="宋体"/>
                <w:kern w:val="0"/>
                <w:szCs w:val="21"/>
              </w:rPr>
            </w:pPr>
          </w:p>
        </w:tc>
        <w:tc>
          <w:tcPr>
            <w:tcW w:w="2476" w:type="dxa"/>
            <w:gridSpan w:val="4"/>
            <w:vAlign w:val="center"/>
          </w:tcPr>
          <w:p w14:paraId="3E99E0B6">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高级职称人员</w:t>
            </w:r>
          </w:p>
        </w:tc>
        <w:tc>
          <w:tcPr>
            <w:tcW w:w="2236" w:type="dxa"/>
            <w:gridSpan w:val="2"/>
            <w:vAlign w:val="center"/>
          </w:tcPr>
          <w:p w14:paraId="366A2E52">
            <w:pPr>
              <w:autoSpaceDE w:val="0"/>
              <w:autoSpaceDN w:val="0"/>
              <w:adjustRightInd w:val="0"/>
              <w:snapToGrid w:val="0"/>
              <w:spacing w:line="360" w:lineRule="auto"/>
              <w:jc w:val="center"/>
              <w:rPr>
                <w:rFonts w:ascii="宋体" w:hAnsi="宋体" w:cs="宋体"/>
                <w:kern w:val="0"/>
                <w:szCs w:val="21"/>
              </w:rPr>
            </w:pPr>
          </w:p>
        </w:tc>
      </w:tr>
      <w:tr w14:paraId="5A91DB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FA1699D">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注册资金</w:t>
            </w:r>
          </w:p>
        </w:tc>
        <w:tc>
          <w:tcPr>
            <w:tcW w:w="1991" w:type="dxa"/>
            <w:gridSpan w:val="2"/>
            <w:vAlign w:val="center"/>
          </w:tcPr>
          <w:p w14:paraId="3E0EFD36">
            <w:pPr>
              <w:autoSpaceDE w:val="0"/>
              <w:autoSpaceDN w:val="0"/>
              <w:adjustRightInd w:val="0"/>
              <w:snapToGrid w:val="0"/>
              <w:spacing w:line="360" w:lineRule="auto"/>
              <w:jc w:val="center"/>
              <w:rPr>
                <w:rFonts w:ascii="宋体" w:hAnsi="宋体" w:cs="宋体"/>
                <w:kern w:val="0"/>
                <w:szCs w:val="21"/>
              </w:rPr>
            </w:pPr>
          </w:p>
        </w:tc>
        <w:tc>
          <w:tcPr>
            <w:tcW w:w="904" w:type="dxa"/>
            <w:vMerge w:val="continue"/>
            <w:vAlign w:val="center"/>
          </w:tcPr>
          <w:p w14:paraId="60C896AB">
            <w:pPr>
              <w:autoSpaceDE w:val="0"/>
              <w:autoSpaceDN w:val="0"/>
              <w:adjustRightInd w:val="0"/>
              <w:snapToGrid w:val="0"/>
              <w:spacing w:line="360" w:lineRule="auto"/>
              <w:jc w:val="center"/>
              <w:rPr>
                <w:rFonts w:ascii="宋体" w:hAnsi="宋体" w:cs="宋体"/>
                <w:kern w:val="0"/>
                <w:szCs w:val="21"/>
              </w:rPr>
            </w:pPr>
          </w:p>
        </w:tc>
        <w:tc>
          <w:tcPr>
            <w:tcW w:w="2476" w:type="dxa"/>
            <w:gridSpan w:val="4"/>
            <w:vAlign w:val="center"/>
          </w:tcPr>
          <w:p w14:paraId="7E7E2664">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中级职称人员</w:t>
            </w:r>
          </w:p>
        </w:tc>
        <w:tc>
          <w:tcPr>
            <w:tcW w:w="2236" w:type="dxa"/>
            <w:gridSpan w:val="2"/>
            <w:vAlign w:val="center"/>
          </w:tcPr>
          <w:p w14:paraId="6DFE8B51">
            <w:pPr>
              <w:autoSpaceDE w:val="0"/>
              <w:autoSpaceDN w:val="0"/>
              <w:adjustRightInd w:val="0"/>
              <w:snapToGrid w:val="0"/>
              <w:spacing w:line="360" w:lineRule="auto"/>
              <w:jc w:val="center"/>
              <w:rPr>
                <w:rFonts w:ascii="宋体" w:hAnsi="宋体" w:cs="宋体"/>
                <w:kern w:val="0"/>
                <w:szCs w:val="21"/>
              </w:rPr>
            </w:pPr>
          </w:p>
        </w:tc>
      </w:tr>
      <w:tr w14:paraId="2DE503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6B85C90">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开户银行</w:t>
            </w:r>
          </w:p>
        </w:tc>
        <w:tc>
          <w:tcPr>
            <w:tcW w:w="1991" w:type="dxa"/>
            <w:gridSpan w:val="2"/>
            <w:vAlign w:val="center"/>
          </w:tcPr>
          <w:p w14:paraId="739F64B5">
            <w:pPr>
              <w:autoSpaceDE w:val="0"/>
              <w:autoSpaceDN w:val="0"/>
              <w:adjustRightInd w:val="0"/>
              <w:snapToGrid w:val="0"/>
              <w:spacing w:line="360" w:lineRule="auto"/>
              <w:jc w:val="center"/>
              <w:rPr>
                <w:rFonts w:ascii="宋体" w:hAnsi="宋体" w:cs="宋体"/>
                <w:kern w:val="0"/>
                <w:szCs w:val="21"/>
              </w:rPr>
            </w:pPr>
          </w:p>
        </w:tc>
        <w:tc>
          <w:tcPr>
            <w:tcW w:w="904" w:type="dxa"/>
            <w:vMerge w:val="continue"/>
            <w:vAlign w:val="center"/>
          </w:tcPr>
          <w:p w14:paraId="6BAC5151">
            <w:pPr>
              <w:autoSpaceDE w:val="0"/>
              <w:autoSpaceDN w:val="0"/>
              <w:adjustRightInd w:val="0"/>
              <w:snapToGrid w:val="0"/>
              <w:spacing w:line="360" w:lineRule="auto"/>
              <w:jc w:val="center"/>
              <w:rPr>
                <w:rFonts w:ascii="宋体" w:hAnsi="宋体" w:cs="宋体"/>
                <w:kern w:val="0"/>
                <w:szCs w:val="21"/>
              </w:rPr>
            </w:pPr>
          </w:p>
        </w:tc>
        <w:tc>
          <w:tcPr>
            <w:tcW w:w="2476" w:type="dxa"/>
            <w:gridSpan w:val="4"/>
            <w:vAlign w:val="center"/>
          </w:tcPr>
          <w:p w14:paraId="3BCD5A1A">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初级职称人员</w:t>
            </w:r>
          </w:p>
        </w:tc>
        <w:tc>
          <w:tcPr>
            <w:tcW w:w="2236" w:type="dxa"/>
            <w:gridSpan w:val="2"/>
            <w:vAlign w:val="center"/>
          </w:tcPr>
          <w:p w14:paraId="1A3202D2">
            <w:pPr>
              <w:autoSpaceDE w:val="0"/>
              <w:autoSpaceDN w:val="0"/>
              <w:adjustRightInd w:val="0"/>
              <w:snapToGrid w:val="0"/>
              <w:spacing w:line="360" w:lineRule="auto"/>
              <w:jc w:val="center"/>
              <w:rPr>
                <w:rFonts w:ascii="宋体" w:hAnsi="宋体" w:cs="宋体"/>
                <w:kern w:val="0"/>
                <w:szCs w:val="21"/>
              </w:rPr>
            </w:pPr>
          </w:p>
        </w:tc>
      </w:tr>
      <w:tr w14:paraId="056E16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CEB2141">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账号</w:t>
            </w:r>
          </w:p>
        </w:tc>
        <w:tc>
          <w:tcPr>
            <w:tcW w:w="1991" w:type="dxa"/>
            <w:gridSpan w:val="2"/>
            <w:vAlign w:val="center"/>
          </w:tcPr>
          <w:p w14:paraId="297C102F">
            <w:pPr>
              <w:autoSpaceDE w:val="0"/>
              <w:autoSpaceDN w:val="0"/>
              <w:adjustRightInd w:val="0"/>
              <w:snapToGrid w:val="0"/>
              <w:spacing w:line="360" w:lineRule="auto"/>
              <w:jc w:val="center"/>
              <w:rPr>
                <w:rFonts w:ascii="宋体" w:hAnsi="宋体" w:cs="宋体"/>
                <w:kern w:val="0"/>
                <w:szCs w:val="21"/>
              </w:rPr>
            </w:pPr>
          </w:p>
        </w:tc>
        <w:tc>
          <w:tcPr>
            <w:tcW w:w="904" w:type="dxa"/>
            <w:vMerge w:val="continue"/>
            <w:vAlign w:val="center"/>
          </w:tcPr>
          <w:p w14:paraId="13565848">
            <w:pPr>
              <w:autoSpaceDE w:val="0"/>
              <w:autoSpaceDN w:val="0"/>
              <w:adjustRightInd w:val="0"/>
              <w:snapToGrid w:val="0"/>
              <w:spacing w:line="360" w:lineRule="auto"/>
              <w:jc w:val="center"/>
              <w:rPr>
                <w:rFonts w:ascii="宋体" w:hAnsi="宋体" w:cs="宋体"/>
                <w:kern w:val="0"/>
                <w:szCs w:val="21"/>
              </w:rPr>
            </w:pPr>
          </w:p>
        </w:tc>
        <w:tc>
          <w:tcPr>
            <w:tcW w:w="2476" w:type="dxa"/>
            <w:gridSpan w:val="4"/>
            <w:vAlign w:val="center"/>
          </w:tcPr>
          <w:p w14:paraId="010899C1">
            <w:pPr>
              <w:tabs>
                <w:tab w:val="left" w:pos="1240"/>
              </w:tabs>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技</w:t>
            </w:r>
            <w:r>
              <w:rPr>
                <w:rFonts w:hint="eastAsia" w:ascii="宋体" w:hAnsi="宋体" w:cs="宋体"/>
                <w:kern w:val="0"/>
                <w:szCs w:val="21"/>
              </w:rPr>
              <w:tab/>
            </w:r>
            <w:r>
              <w:rPr>
                <w:rFonts w:hint="eastAsia" w:ascii="宋体" w:hAnsi="宋体" w:cs="宋体"/>
                <w:kern w:val="0"/>
                <w:szCs w:val="21"/>
              </w:rPr>
              <w:t>工</w:t>
            </w:r>
          </w:p>
        </w:tc>
        <w:tc>
          <w:tcPr>
            <w:tcW w:w="2236" w:type="dxa"/>
            <w:gridSpan w:val="2"/>
            <w:vAlign w:val="center"/>
          </w:tcPr>
          <w:p w14:paraId="5F61235F">
            <w:pPr>
              <w:autoSpaceDE w:val="0"/>
              <w:autoSpaceDN w:val="0"/>
              <w:adjustRightInd w:val="0"/>
              <w:snapToGrid w:val="0"/>
              <w:spacing w:line="360" w:lineRule="auto"/>
              <w:jc w:val="center"/>
              <w:rPr>
                <w:rFonts w:ascii="宋体" w:hAnsi="宋体" w:cs="宋体"/>
                <w:kern w:val="0"/>
                <w:szCs w:val="21"/>
              </w:rPr>
            </w:pPr>
          </w:p>
        </w:tc>
      </w:tr>
      <w:tr w14:paraId="498836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AB67EF0">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经营范围</w:t>
            </w:r>
          </w:p>
        </w:tc>
        <w:tc>
          <w:tcPr>
            <w:tcW w:w="7607" w:type="dxa"/>
            <w:gridSpan w:val="9"/>
            <w:vAlign w:val="center"/>
          </w:tcPr>
          <w:p w14:paraId="6E05DCEF">
            <w:pPr>
              <w:autoSpaceDE w:val="0"/>
              <w:autoSpaceDN w:val="0"/>
              <w:adjustRightInd w:val="0"/>
              <w:snapToGrid w:val="0"/>
              <w:spacing w:line="360" w:lineRule="auto"/>
              <w:jc w:val="center"/>
              <w:rPr>
                <w:rFonts w:ascii="宋体" w:hAnsi="宋体" w:cs="宋体"/>
                <w:kern w:val="0"/>
                <w:szCs w:val="21"/>
              </w:rPr>
            </w:pPr>
          </w:p>
        </w:tc>
      </w:tr>
      <w:tr w14:paraId="0815F4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04D5A8">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备注</w:t>
            </w:r>
          </w:p>
        </w:tc>
        <w:tc>
          <w:tcPr>
            <w:tcW w:w="7607" w:type="dxa"/>
            <w:gridSpan w:val="9"/>
            <w:vAlign w:val="center"/>
          </w:tcPr>
          <w:p w14:paraId="4BC1DCD9">
            <w:pPr>
              <w:autoSpaceDE w:val="0"/>
              <w:autoSpaceDN w:val="0"/>
              <w:adjustRightInd w:val="0"/>
              <w:snapToGrid w:val="0"/>
              <w:spacing w:line="360" w:lineRule="auto"/>
              <w:jc w:val="center"/>
              <w:rPr>
                <w:rFonts w:ascii="宋体" w:hAnsi="宋体" w:cs="宋体"/>
                <w:kern w:val="0"/>
                <w:szCs w:val="21"/>
              </w:rPr>
            </w:pPr>
          </w:p>
        </w:tc>
      </w:tr>
    </w:tbl>
    <w:p w14:paraId="28F6C098">
      <w:pPr>
        <w:spacing w:line="440" w:lineRule="exact"/>
        <w:rPr>
          <w:rFonts w:asciiTheme="minorEastAsia" w:hAnsiTheme="minorEastAsia" w:eastAsiaTheme="minorEastAsia"/>
          <w:u w:val="single"/>
        </w:rPr>
      </w:pPr>
    </w:p>
    <w:p w14:paraId="7A946670">
      <w:pPr>
        <w:pStyle w:val="4"/>
        <w:spacing w:before="0" w:after="0" w:line="360" w:lineRule="auto"/>
        <w:jc w:val="center"/>
        <w:rPr>
          <w:rFonts w:asciiTheme="minorEastAsia" w:hAnsiTheme="minorEastAsia" w:eastAsiaTheme="minorEastAsia"/>
          <w:bCs w:val="0"/>
          <w:sz w:val="28"/>
        </w:rPr>
      </w:pPr>
      <w:bookmarkStart w:id="809" w:name="_Toc492300730"/>
      <w:bookmarkStart w:id="810" w:name="_Toc106973631"/>
      <w:r>
        <w:rPr>
          <w:rFonts w:hint="eastAsia" w:asciiTheme="minorEastAsia" w:hAnsiTheme="minorEastAsia" w:eastAsiaTheme="minorEastAsia"/>
          <w:bCs w:val="0"/>
          <w:sz w:val="28"/>
        </w:rPr>
        <w:t>（三）近年财务状况表</w:t>
      </w:r>
      <w:bookmarkEnd w:id="809"/>
      <w:bookmarkEnd w:id="810"/>
    </w:p>
    <w:p w14:paraId="3F695A17">
      <w:pPr>
        <w:topLinePunct/>
        <w:spacing w:line="360" w:lineRule="auto"/>
        <w:ind w:firstLine="420" w:firstLineChars="200"/>
        <w:rPr>
          <w:rFonts w:asciiTheme="minorEastAsia" w:hAnsiTheme="minorEastAsia" w:eastAsiaTheme="minorEastAsia"/>
        </w:rPr>
      </w:pPr>
      <w:r>
        <w:rPr>
          <w:rFonts w:asciiTheme="minorEastAsia" w:hAnsiTheme="minorEastAsia" w:eastAsiaTheme="minorEastAsia"/>
        </w:rPr>
        <w:t>注：</w:t>
      </w:r>
      <w:r>
        <w:rPr>
          <w:rFonts w:hint="eastAsia" w:asciiTheme="minorEastAsia" w:hAnsiTheme="minorEastAsia" w:eastAsiaTheme="minorEastAsia"/>
        </w:rPr>
        <w:t>竞选</w:t>
      </w:r>
      <w:r>
        <w:rPr>
          <w:rFonts w:asciiTheme="minorEastAsia" w:hAnsiTheme="minorEastAsia" w:eastAsiaTheme="minorEastAsia"/>
        </w:rPr>
        <w:t>人应根据</w:t>
      </w:r>
      <w:r>
        <w:rPr>
          <w:rFonts w:hint="eastAsia" w:asciiTheme="minorEastAsia" w:hAnsiTheme="minorEastAsia" w:eastAsiaTheme="minorEastAsia"/>
        </w:rPr>
        <w:t>竞选</w:t>
      </w:r>
      <w:r>
        <w:rPr>
          <w:rFonts w:asciiTheme="minorEastAsia" w:hAnsiTheme="minorEastAsia" w:eastAsiaTheme="minorEastAsia"/>
        </w:rPr>
        <w:t>人须知前附表第</w:t>
      </w:r>
      <w:r>
        <w:rPr>
          <w:rFonts w:hint="eastAsia" w:asciiTheme="minorEastAsia" w:hAnsiTheme="minorEastAsia" w:eastAsiaTheme="minorEastAsia"/>
        </w:rPr>
        <w:t>1.4.1项“财务要求”</w:t>
      </w:r>
      <w:r>
        <w:rPr>
          <w:rFonts w:asciiTheme="minorEastAsia" w:hAnsiTheme="minorEastAsia" w:eastAsiaTheme="minorEastAsia"/>
        </w:rPr>
        <w:t>附相关证明材料。</w:t>
      </w:r>
    </w:p>
    <w:p w14:paraId="70733404">
      <w:pPr>
        <w:pStyle w:val="2"/>
      </w:pPr>
    </w:p>
    <w:p w14:paraId="4F687FEE"/>
    <w:p w14:paraId="1962659B">
      <w:pPr>
        <w:pStyle w:val="2"/>
      </w:pPr>
    </w:p>
    <w:p w14:paraId="1F9FCEFC"/>
    <w:p w14:paraId="44609150">
      <w:pPr>
        <w:pStyle w:val="2"/>
      </w:pPr>
    </w:p>
    <w:p w14:paraId="71832B03"/>
    <w:p w14:paraId="268516F5">
      <w:pPr>
        <w:pStyle w:val="2"/>
      </w:pPr>
    </w:p>
    <w:p w14:paraId="67927E8D"/>
    <w:p w14:paraId="038F724A">
      <w:pPr>
        <w:pStyle w:val="2"/>
      </w:pPr>
    </w:p>
    <w:p w14:paraId="3EFC15D2"/>
    <w:p w14:paraId="6C5F6836">
      <w:pPr>
        <w:pStyle w:val="2"/>
      </w:pPr>
    </w:p>
    <w:p w14:paraId="4806D1F8"/>
    <w:p w14:paraId="659E13EE">
      <w:pPr>
        <w:pStyle w:val="2"/>
      </w:pPr>
    </w:p>
    <w:p w14:paraId="387FC1D9"/>
    <w:p w14:paraId="19B67BE5">
      <w:pPr>
        <w:pStyle w:val="2"/>
      </w:pPr>
    </w:p>
    <w:p w14:paraId="2E697142"/>
    <w:p w14:paraId="3DD6F3CB">
      <w:pPr>
        <w:pStyle w:val="2"/>
      </w:pPr>
    </w:p>
    <w:p w14:paraId="56E8D0F0"/>
    <w:p w14:paraId="00F23BDE">
      <w:pPr>
        <w:pStyle w:val="2"/>
      </w:pPr>
    </w:p>
    <w:p w14:paraId="21A2418A"/>
    <w:p w14:paraId="52CDB731">
      <w:pPr>
        <w:pStyle w:val="2"/>
      </w:pPr>
    </w:p>
    <w:p w14:paraId="13641988"/>
    <w:p w14:paraId="02526EAE">
      <w:pPr>
        <w:pStyle w:val="2"/>
      </w:pPr>
    </w:p>
    <w:p w14:paraId="2C884634"/>
    <w:p w14:paraId="5C258FEC">
      <w:pPr>
        <w:pStyle w:val="2"/>
      </w:pPr>
    </w:p>
    <w:p w14:paraId="1FD1FB02"/>
    <w:p w14:paraId="65549D57">
      <w:pPr>
        <w:pStyle w:val="2"/>
      </w:pPr>
    </w:p>
    <w:p w14:paraId="596B13F4">
      <w:pPr>
        <w:spacing w:line="360" w:lineRule="auto"/>
        <w:jc w:val="center"/>
        <w:rPr>
          <w:rFonts w:ascii="宋体" w:hAnsi="宋体" w:cs="宋体"/>
          <w:szCs w:val="21"/>
        </w:rPr>
      </w:pPr>
    </w:p>
    <w:p w14:paraId="40CE9E9C">
      <w:pPr>
        <w:pStyle w:val="4"/>
        <w:spacing w:before="0" w:after="0" w:line="360" w:lineRule="auto"/>
        <w:jc w:val="center"/>
        <w:rPr>
          <w:rFonts w:asciiTheme="minorEastAsia" w:hAnsiTheme="minorEastAsia" w:eastAsiaTheme="minorEastAsia"/>
          <w:bCs w:val="0"/>
          <w:sz w:val="28"/>
        </w:rPr>
      </w:pPr>
      <w:bookmarkStart w:id="811" w:name="_Toc492300731"/>
      <w:bookmarkStart w:id="812" w:name="_Toc9141"/>
      <w:bookmarkStart w:id="813" w:name="_Toc534185840"/>
      <w:bookmarkStart w:id="814" w:name="_Toc27626"/>
      <w:bookmarkStart w:id="815" w:name="_Toc509218863"/>
      <w:bookmarkStart w:id="816" w:name="_Toc40569217"/>
      <w:bookmarkStart w:id="817" w:name="_Toc10647"/>
      <w:bookmarkStart w:id="818" w:name="_Toc9448"/>
      <w:r>
        <w:rPr>
          <w:rFonts w:hint="eastAsia" w:asciiTheme="minorEastAsia" w:hAnsiTheme="minorEastAsia" w:eastAsiaTheme="minorEastAsia"/>
          <w:bCs w:val="0"/>
          <w:sz w:val="28"/>
        </w:rPr>
        <w:t>（四）近年完成的类似项目情况表</w:t>
      </w:r>
      <w:bookmarkEnd w:id="811"/>
      <w:bookmarkEnd w:id="812"/>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0F4E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51EF1BEC">
            <w:pPr>
              <w:topLinePunct/>
              <w:spacing w:line="400" w:lineRule="exact"/>
              <w:jc w:val="center"/>
              <w:rPr>
                <w:rFonts w:asciiTheme="minorEastAsia" w:hAnsiTheme="minorEastAsia" w:eastAsiaTheme="minorEastAsia"/>
              </w:rPr>
            </w:pPr>
            <w:r>
              <w:rPr>
                <w:rFonts w:asciiTheme="minorEastAsia" w:hAnsiTheme="minorEastAsia" w:eastAsiaTheme="minorEastAsia"/>
              </w:rPr>
              <w:t>项目名称</w:t>
            </w:r>
          </w:p>
        </w:tc>
        <w:tc>
          <w:tcPr>
            <w:tcW w:w="6253" w:type="dxa"/>
            <w:tcBorders>
              <w:top w:val="single" w:color="auto" w:sz="4" w:space="0"/>
              <w:left w:val="single" w:color="auto" w:sz="4" w:space="0"/>
              <w:bottom w:val="single" w:color="auto" w:sz="4" w:space="0"/>
              <w:right w:val="single" w:color="auto" w:sz="4" w:space="0"/>
            </w:tcBorders>
          </w:tcPr>
          <w:p w14:paraId="5998A032">
            <w:pPr>
              <w:topLinePunct/>
              <w:spacing w:line="400" w:lineRule="exact"/>
              <w:rPr>
                <w:rFonts w:asciiTheme="minorEastAsia" w:hAnsiTheme="minorEastAsia" w:eastAsiaTheme="minorEastAsia"/>
              </w:rPr>
            </w:pPr>
          </w:p>
        </w:tc>
      </w:tr>
      <w:tr w14:paraId="2681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1F33423B">
            <w:pPr>
              <w:topLinePunct/>
              <w:spacing w:line="400" w:lineRule="exact"/>
              <w:jc w:val="center"/>
              <w:rPr>
                <w:rFonts w:asciiTheme="minorEastAsia" w:hAnsiTheme="minorEastAsia" w:eastAsiaTheme="minorEastAsia"/>
              </w:rPr>
            </w:pPr>
            <w:r>
              <w:rPr>
                <w:rFonts w:asciiTheme="minorEastAsia" w:hAnsiTheme="minorEastAsia" w:eastAsiaTheme="minorEastAsia"/>
              </w:rPr>
              <w:t>项目所在地</w:t>
            </w:r>
          </w:p>
        </w:tc>
        <w:tc>
          <w:tcPr>
            <w:tcW w:w="6253" w:type="dxa"/>
            <w:tcBorders>
              <w:top w:val="single" w:color="auto" w:sz="4" w:space="0"/>
              <w:left w:val="single" w:color="auto" w:sz="4" w:space="0"/>
              <w:bottom w:val="single" w:color="auto" w:sz="4" w:space="0"/>
              <w:right w:val="single" w:color="auto" w:sz="4" w:space="0"/>
            </w:tcBorders>
          </w:tcPr>
          <w:p w14:paraId="3CF0E1DC">
            <w:pPr>
              <w:topLinePunct/>
              <w:spacing w:line="400" w:lineRule="exact"/>
              <w:rPr>
                <w:rFonts w:asciiTheme="minorEastAsia" w:hAnsiTheme="minorEastAsia" w:eastAsiaTheme="minorEastAsia"/>
              </w:rPr>
            </w:pPr>
          </w:p>
        </w:tc>
      </w:tr>
      <w:tr w14:paraId="09CB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6913E92C">
            <w:pPr>
              <w:topLinePunct/>
              <w:spacing w:line="400" w:lineRule="exact"/>
              <w:jc w:val="center"/>
              <w:rPr>
                <w:rFonts w:asciiTheme="minorEastAsia" w:hAnsiTheme="minorEastAsia" w:eastAsiaTheme="minorEastAsia"/>
              </w:rPr>
            </w:pPr>
            <w:r>
              <w:rPr>
                <w:rFonts w:asciiTheme="minorEastAsia" w:hAnsiTheme="minorEastAsia" w:eastAsiaTheme="minorEastAsia"/>
              </w:rPr>
              <w:t>委托人名称</w:t>
            </w:r>
          </w:p>
        </w:tc>
        <w:tc>
          <w:tcPr>
            <w:tcW w:w="6253" w:type="dxa"/>
            <w:tcBorders>
              <w:top w:val="single" w:color="auto" w:sz="4" w:space="0"/>
              <w:left w:val="single" w:color="auto" w:sz="4" w:space="0"/>
              <w:bottom w:val="single" w:color="auto" w:sz="4" w:space="0"/>
              <w:right w:val="single" w:color="auto" w:sz="4" w:space="0"/>
            </w:tcBorders>
          </w:tcPr>
          <w:p w14:paraId="5D284664">
            <w:pPr>
              <w:topLinePunct/>
              <w:spacing w:line="400" w:lineRule="exact"/>
              <w:rPr>
                <w:rFonts w:asciiTheme="minorEastAsia" w:hAnsiTheme="minorEastAsia" w:eastAsiaTheme="minorEastAsia"/>
              </w:rPr>
            </w:pPr>
          </w:p>
        </w:tc>
      </w:tr>
      <w:tr w14:paraId="3EBD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75AB5F02">
            <w:pPr>
              <w:topLinePunct/>
              <w:spacing w:line="400" w:lineRule="exact"/>
              <w:jc w:val="center"/>
              <w:rPr>
                <w:rFonts w:asciiTheme="minorEastAsia" w:hAnsiTheme="minorEastAsia" w:eastAsiaTheme="minorEastAsia"/>
              </w:rPr>
            </w:pPr>
            <w:r>
              <w:rPr>
                <w:rFonts w:asciiTheme="minorEastAsia" w:hAnsiTheme="minorEastAsia" w:eastAsiaTheme="minorEastAsia"/>
              </w:rPr>
              <w:t>委托人地址</w:t>
            </w:r>
          </w:p>
        </w:tc>
        <w:tc>
          <w:tcPr>
            <w:tcW w:w="6253" w:type="dxa"/>
            <w:tcBorders>
              <w:top w:val="single" w:color="auto" w:sz="4" w:space="0"/>
              <w:left w:val="single" w:color="auto" w:sz="4" w:space="0"/>
              <w:bottom w:val="single" w:color="auto" w:sz="4" w:space="0"/>
              <w:right w:val="single" w:color="auto" w:sz="4" w:space="0"/>
            </w:tcBorders>
          </w:tcPr>
          <w:p w14:paraId="1CCAB721">
            <w:pPr>
              <w:topLinePunct/>
              <w:spacing w:line="400" w:lineRule="exact"/>
              <w:rPr>
                <w:rFonts w:asciiTheme="minorEastAsia" w:hAnsiTheme="minorEastAsia" w:eastAsiaTheme="minorEastAsia"/>
              </w:rPr>
            </w:pPr>
          </w:p>
        </w:tc>
      </w:tr>
      <w:tr w14:paraId="57B5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11EF8188">
            <w:pPr>
              <w:topLinePunct/>
              <w:spacing w:line="400" w:lineRule="exact"/>
              <w:jc w:val="center"/>
              <w:rPr>
                <w:rFonts w:asciiTheme="minorEastAsia" w:hAnsiTheme="minorEastAsia" w:eastAsiaTheme="minorEastAsia"/>
              </w:rPr>
            </w:pPr>
            <w:r>
              <w:rPr>
                <w:rFonts w:asciiTheme="minorEastAsia" w:hAnsiTheme="minorEastAsia" w:eastAsiaTheme="minorEastAsia"/>
              </w:rPr>
              <w:t>委托人电话</w:t>
            </w:r>
          </w:p>
        </w:tc>
        <w:tc>
          <w:tcPr>
            <w:tcW w:w="6253" w:type="dxa"/>
            <w:tcBorders>
              <w:top w:val="single" w:color="auto" w:sz="4" w:space="0"/>
              <w:left w:val="single" w:color="auto" w:sz="4" w:space="0"/>
              <w:bottom w:val="single" w:color="auto" w:sz="4" w:space="0"/>
              <w:right w:val="single" w:color="auto" w:sz="4" w:space="0"/>
            </w:tcBorders>
          </w:tcPr>
          <w:p w14:paraId="0BFFC655">
            <w:pPr>
              <w:topLinePunct/>
              <w:spacing w:line="400" w:lineRule="exact"/>
              <w:rPr>
                <w:rFonts w:asciiTheme="minorEastAsia" w:hAnsiTheme="minorEastAsia" w:eastAsiaTheme="minorEastAsia"/>
              </w:rPr>
            </w:pPr>
          </w:p>
        </w:tc>
      </w:tr>
      <w:tr w14:paraId="54C1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26C8DDD9">
            <w:pPr>
              <w:topLinePunct/>
              <w:spacing w:line="400" w:lineRule="exact"/>
              <w:jc w:val="center"/>
              <w:rPr>
                <w:rFonts w:asciiTheme="minorEastAsia" w:hAnsiTheme="minorEastAsia" w:eastAsiaTheme="minorEastAsia"/>
              </w:rPr>
            </w:pPr>
            <w:r>
              <w:rPr>
                <w:rFonts w:asciiTheme="minorEastAsia" w:hAnsiTheme="minorEastAsia" w:eastAsiaTheme="minorEastAsia"/>
              </w:rPr>
              <w:t>合同价格</w:t>
            </w:r>
          </w:p>
        </w:tc>
        <w:tc>
          <w:tcPr>
            <w:tcW w:w="6253" w:type="dxa"/>
            <w:tcBorders>
              <w:top w:val="single" w:color="auto" w:sz="4" w:space="0"/>
              <w:left w:val="single" w:color="auto" w:sz="4" w:space="0"/>
              <w:bottom w:val="single" w:color="auto" w:sz="4" w:space="0"/>
              <w:right w:val="single" w:color="auto" w:sz="4" w:space="0"/>
            </w:tcBorders>
          </w:tcPr>
          <w:p w14:paraId="6C10FBFC">
            <w:pPr>
              <w:topLinePunct/>
              <w:spacing w:line="400" w:lineRule="exact"/>
              <w:rPr>
                <w:rFonts w:asciiTheme="minorEastAsia" w:hAnsiTheme="minorEastAsia" w:eastAsiaTheme="minorEastAsia"/>
              </w:rPr>
            </w:pPr>
          </w:p>
        </w:tc>
      </w:tr>
      <w:tr w14:paraId="0E69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55067CD4">
            <w:pPr>
              <w:topLinePunct/>
              <w:spacing w:line="400" w:lineRule="exact"/>
              <w:jc w:val="center"/>
              <w:rPr>
                <w:rFonts w:asciiTheme="minorEastAsia" w:hAnsiTheme="minorEastAsia" w:eastAsiaTheme="minorEastAsia"/>
              </w:rPr>
            </w:pPr>
            <w:r>
              <w:rPr>
                <w:rFonts w:asciiTheme="minorEastAsia" w:hAnsiTheme="minorEastAsia" w:eastAsiaTheme="minorEastAsia"/>
              </w:rPr>
              <w:t>监理服务期限</w:t>
            </w:r>
          </w:p>
        </w:tc>
        <w:tc>
          <w:tcPr>
            <w:tcW w:w="6253" w:type="dxa"/>
            <w:tcBorders>
              <w:top w:val="single" w:color="auto" w:sz="4" w:space="0"/>
              <w:left w:val="single" w:color="auto" w:sz="4" w:space="0"/>
              <w:bottom w:val="single" w:color="auto" w:sz="4" w:space="0"/>
              <w:right w:val="single" w:color="auto" w:sz="4" w:space="0"/>
            </w:tcBorders>
          </w:tcPr>
          <w:p w14:paraId="3220ED15">
            <w:pPr>
              <w:topLinePunct/>
              <w:spacing w:line="400" w:lineRule="exact"/>
              <w:rPr>
                <w:rFonts w:asciiTheme="minorEastAsia" w:hAnsiTheme="minorEastAsia" w:eastAsiaTheme="minorEastAsia"/>
              </w:rPr>
            </w:pPr>
          </w:p>
        </w:tc>
      </w:tr>
      <w:tr w14:paraId="528D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3AB692F3">
            <w:pPr>
              <w:topLinePunct/>
              <w:spacing w:line="400" w:lineRule="exact"/>
              <w:jc w:val="center"/>
              <w:rPr>
                <w:rFonts w:asciiTheme="minorEastAsia" w:hAnsiTheme="minorEastAsia" w:eastAsiaTheme="minorEastAsia"/>
              </w:rPr>
            </w:pPr>
            <w:r>
              <w:rPr>
                <w:rFonts w:asciiTheme="minorEastAsia" w:hAnsiTheme="minorEastAsia" w:eastAsiaTheme="minorEastAsia"/>
              </w:rPr>
              <w:t>监理内容</w:t>
            </w:r>
          </w:p>
        </w:tc>
        <w:tc>
          <w:tcPr>
            <w:tcW w:w="6253" w:type="dxa"/>
            <w:tcBorders>
              <w:top w:val="single" w:color="auto" w:sz="4" w:space="0"/>
              <w:left w:val="single" w:color="auto" w:sz="4" w:space="0"/>
              <w:bottom w:val="single" w:color="auto" w:sz="4" w:space="0"/>
              <w:right w:val="single" w:color="auto" w:sz="4" w:space="0"/>
            </w:tcBorders>
          </w:tcPr>
          <w:p w14:paraId="636D228C">
            <w:pPr>
              <w:topLinePunct/>
              <w:spacing w:line="400" w:lineRule="exact"/>
              <w:rPr>
                <w:rFonts w:asciiTheme="minorEastAsia" w:hAnsiTheme="minorEastAsia" w:eastAsiaTheme="minorEastAsia"/>
              </w:rPr>
            </w:pPr>
          </w:p>
        </w:tc>
      </w:tr>
      <w:tr w14:paraId="072B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75A5DB96">
            <w:pPr>
              <w:topLinePunct/>
              <w:spacing w:line="400" w:lineRule="exact"/>
              <w:jc w:val="center"/>
              <w:rPr>
                <w:rFonts w:asciiTheme="minorEastAsia" w:hAnsiTheme="minorEastAsia" w:eastAsiaTheme="minorEastAsia"/>
              </w:rPr>
            </w:pPr>
            <w:r>
              <w:rPr>
                <w:rFonts w:asciiTheme="minorEastAsia" w:hAnsiTheme="minorEastAsia" w:eastAsiaTheme="minorEastAsia"/>
              </w:rPr>
              <w:t>总监理工程师</w:t>
            </w:r>
          </w:p>
        </w:tc>
        <w:tc>
          <w:tcPr>
            <w:tcW w:w="6253" w:type="dxa"/>
            <w:tcBorders>
              <w:top w:val="single" w:color="auto" w:sz="4" w:space="0"/>
              <w:left w:val="single" w:color="auto" w:sz="4" w:space="0"/>
              <w:bottom w:val="single" w:color="auto" w:sz="4" w:space="0"/>
              <w:right w:val="single" w:color="auto" w:sz="4" w:space="0"/>
            </w:tcBorders>
          </w:tcPr>
          <w:p w14:paraId="56F08DDA">
            <w:pPr>
              <w:topLinePunct/>
              <w:spacing w:line="400" w:lineRule="exact"/>
              <w:rPr>
                <w:rFonts w:asciiTheme="minorEastAsia" w:hAnsiTheme="minorEastAsia" w:eastAsiaTheme="minorEastAsia"/>
              </w:rPr>
            </w:pPr>
          </w:p>
        </w:tc>
      </w:tr>
      <w:tr w14:paraId="5CB3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2B28B71F">
            <w:pPr>
              <w:topLinePunct/>
              <w:spacing w:line="400" w:lineRule="exact"/>
              <w:jc w:val="center"/>
              <w:rPr>
                <w:rFonts w:asciiTheme="minorEastAsia" w:hAnsiTheme="minorEastAsia" w:eastAsiaTheme="minorEastAsia"/>
              </w:rPr>
            </w:pPr>
            <w:r>
              <w:rPr>
                <w:rFonts w:asciiTheme="minorEastAsia" w:hAnsiTheme="minorEastAsia" w:eastAsiaTheme="minorEastAsia"/>
              </w:rPr>
              <w:t>项目描述</w:t>
            </w:r>
          </w:p>
        </w:tc>
        <w:tc>
          <w:tcPr>
            <w:tcW w:w="6253" w:type="dxa"/>
            <w:tcBorders>
              <w:top w:val="single" w:color="auto" w:sz="4" w:space="0"/>
              <w:left w:val="single" w:color="auto" w:sz="4" w:space="0"/>
              <w:bottom w:val="single" w:color="auto" w:sz="4" w:space="0"/>
              <w:right w:val="single" w:color="auto" w:sz="4" w:space="0"/>
            </w:tcBorders>
          </w:tcPr>
          <w:p w14:paraId="70313502">
            <w:pPr>
              <w:topLinePunct/>
              <w:spacing w:line="400" w:lineRule="exact"/>
              <w:rPr>
                <w:rFonts w:asciiTheme="minorEastAsia" w:hAnsiTheme="minorEastAsia" w:eastAsiaTheme="minorEastAsia"/>
              </w:rPr>
            </w:pPr>
          </w:p>
          <w:p w14:paraId="1C62FF39">
            <w:pPr>
              <w:topLinePunct/>
              <w:spacing w:line="400" w:lineRule="exact"/>
              <w:rPr>
                <w:rFonts w:asciiTheme="minorEastAsia" w:hAnsiTheme="minorEastAsia" w:eastAsiaTheme="minorEastAsia"/>
              </w:rPr>
            </w:pPr>
          </w:p>
          <w:p w14:paraId="7A7A7EF1">
            <w:pPr>
              <w:topLinePunct/>
              <w:spacing w:line="400" w:lineRule="exact"/>
              <w:rPr>
                <w:rFonts w:asciiTheme="minorEastAsia" w:hAnsiTheme="minorEastAsia" w:eastAsiaTheme="minorEastAsia"/>
              </w:rPr>
            </w:pPr>
          </w:p>
          <w:p w14:paraId="181A0ACD">
            <w:pPr>
              <w:topLinePunct/>
              <w:spacing w:line="400" w:lineRule="exact"/>
              <w:rPr>
                <w:rFonts w:asciiTheme="minorEastAsia" w:hAnsiTheme="minorEastAsia" w:eastAsiaTheme="minorEastAsia"/>
              </w:rPr>
            </w:pPr>
          </w:p>
          <w:p w14:paraId="10D9AABB">
            <w:pPr>
              <w:topLinePunct/>
              <w:spacing w:line="400" w:lineRule="exact"/>
              <w:rPr>
                <w:rFonts w:asciiTheme="minorEastAsia" w:hAnsiTheme="minorEastAsia" w:eastAsiaTheme="minorEastAsia"/>
              </w:rPr>
            </w:pPr>
          </w:p>
          <w:p w14:paraId="6ABD97F4">
            <w:pPr>
              <w:topLinePunct/>
              <w:spacing w:line="400" w:lineRule="exact"/>
              <w:rPr>
                <w:rFonts w:asciiTheme="minorEastAsia" w:hAnsiTheme="minorEastAsia" w:eastAsiaTheme="minorEastAsia"/>
              </w:rPr>
            </w:pPr>
          </w:p>
          <w:p w14:paraId="3E6D6E19">
            <w:pPr>
              <w:topLinePunct/>
              <w:spacing w:line="400" w:lineRule="exact"/>
              <w:rPr>
                <w:rFonts w:asciiTheme="minorEastAsia" w:hAnsiTheme="minorEastAsia" w:eastAsiaTheme="minorEastAsia"/>
              </w:rPr>
            </w:pPr>
          </w:p>
        </w:tc>
      </w:tr>
      <w:tr w14:paraId="2DF8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701F3DA0">
            <w:pPr>
              <w:topLinePunct/>
              <w:spacing w:line="400" w:lineRule="exact"/>
              <w:jc w:val="center"/>
              <w:rPr>
                <w:rFonts w:asciiTheme="minorEastAsia" w:hAnsiTheme="minorEastAsia" w:eastAsiaTheme="minorEastAsia"/>
              </w:rPr>
            </w:pPr>
            <w:r>
              <w:rPr>
                <w:rFonts w:asciiTheme="minorEastAsia" w:hAnsiTheme="minorEastAsia" w:eastAsiaTheme="minorEastAsia"/>
              </w:rPr>
              <w:t>备注</w:t>
            </w:r>
          </w:p>
        </w:tc>
        <w:tc>
          <w:tcPr>
            <w:tcW w:w="6253" w:type="dxa"/>
            <w:tcBorders>
              <w:top w:val="single" w:color="auto" w:sz="4" w:space="0"/>
              <w:left w:val="single" w:color="auto" w:sz="4" w:space="0"/>
              <w:bottom w:val="single" w:color="auto" w:sz="4" w:space="0"/>
              <w:right w:val="single" w:color="auto" w:sz="4" w:space="0"/>
            </w:tcBorders>
          </w:tcPr>
          <w:p w14:paraId="2CAB54A5">
            <w:pPr>
              <w:topLinePunct/>
              <w:spacing w:line="400" w:lineRule="exact"/>
              <w:rPr>
                <w:rFonts w:asciiTheme="minorEastAsia" w:hAnsiTheme="minorEastAsia" w:eastAsiaTheme="minorEastAsia"/>
              </w:rPr>
            </w:pPr>
          </w:p>
        </w:tc>
      </w:tr>
    </w:tbl>
    <w:p w14:paraId="1E310D29">
      <w:pPr>
        <w:spacing w:line="360" w:lineRule="auto"/>
        <w:ind w:firstLine="420" w:firstLineChars="200"/>
        <w:rPr>
          <w:rFonts w:asciiTheme="minorEastAsia" w:hAnsiTheme="minorEastAsia" w:eastAsiaTheme="minorEastAsia"/>
        </w:rPr>
      </w:pPr>
    </w:p>
    <w:p w14:paraId="3A0F4D18">
      <w:pPr>
        <w:spacing w:line="360" w:lineRule="auto"/>
        <w:ind w:firstLine="420" w:firstLineChars="200"/>
        <w:rPr>
          <w:rFonts w:asciiTheme="minorEastAsia" w:hAnsiTheme="minorEastAsia" w:eastAsiaTheme="minorEastAsia"/>
        </w:rPr>
      </w:pPr>
      <w:r>
        <w:rPr>
          <w:rFonts w:asciiTheme="minorEastAsia" w:hAnsiTheme="minorEastAsia" w:eastAsiaTheme="minorEastAsia"/>
        </w:rPr>
        <w:t>注：投标人应根据投标人须知前附表第</w:t>
      </w:r>
      <w:r>
        <w:rPr>
          <w:rFonts w:hint="eastAsia" w:asciiTheme="minorEastAsia" w:hAnsiTheme="minorEastAsia" w:eastAsiaTheme="minorEastAsia"/>
        </w:rPr>
        <w:t>1.4.1项“业绩要求”</w:t>
      </w:r>
      <w:r>
        <w:rPr>
          <w:rFonts w:asciiTheme="minorEastAsia" w:hAnsiTheme="minorEastAsia" w:eastAsiaTheme="minorEastAsia"/>
        </w:rPr>
        <w:t>在本表后附相关证明材料。</w:t>
      </w:r>
    </w:p>
    <w:p w14:paraId="4D9A4BB1">
      <w:pPr>
        <w:pStyle w:val="5"/>
        <w:spacing w:before="0" w:line="360" w:lineRule="auto"/>
        <w:jc w:val="center"/>
        <w:rPr>
          <w:rFonts w:ascii="宋体" w:hAnsi="宋体" w:cs="宋体"/>
          <w:b w:val="0"/>
          <w:bCs w:val="0"/>
          <w:sz w:val="21"/>
          <w:szCs w:val="21"/>
        </w:rPr>
      </w:pPr>
    </w:p>
    <w:p w14:paraId="109BD950">
      <w:pPr>
        <w:rPr>
          <w:rFonts w:ascii="宋体" w:hAnsi="宋体" w:cs="宋体"/>
          <w:szCs w:val="21"/>
        </w:rPr>
      </w:pPr>
    </w:p>
    <w:p w14:paraId="01E0AE44">
      <w:pPr>
        <w:pStyle w:val="8"/>
        <w:rPr>
          <w:rFonts w:ascii="宋体" w:hAnsi="宋体" w:cs="宋体"/>
          <w:szCs w:val="21"/>
        </w:rPr>
      </w:pPr>
    </w:p>
    <w:p w14:paraId="42153C27">
      <w:pPr>
        <w:pStyle w:val="5"/>
        <w:spacing w:before="0" w:line="360" w:lineRule="auto"/>
        <w:jc w:val="center"/>
        <w:rPr>
          <w:rFonts w:ascii="宋体" w:hAnsi="宋体" w:cs="宋体"/>
          <w:b w:val="0"/>
          <w:bCs w:val="0"/>
          <w:sz w:val="21"/>
          <w:szCs w:val="21"/>
        </w:rPr>
      </w:pPr>
    </w:p>
    <w:p w14:paraId="0A2F0565">
      <w:pPr>
        <w:pStyle w:val="5"/>
        <w:spacing w:before="0" w:line="360" w:lineRule="auto"/>
        <w:jc w:val="center"/>
        <w:rPr>
          <w:rFonts w:ascii="宋体" w:hAnsi="宋体" w:cs="宋体"/>
          <w:b w:val="0"/>
          <w:bCs w:val="0"/>
          <w:sz w:val="21"/>
          <w:szCs w:val="21"/>
        </w:rPr>
      </w:pPr>
    </w:p>
    <w:p w14:paraId="095F0A5D">
      <w:pPr>
        <w:rPr>
          <w:rFonts w:ascii="宋体" w:hAnsi="宋体" w:cs="宋体"/>
          <w:szCs w:val="21"/>
        </w:rPr>
      </w:pPr>
    </w:p>
    <w:p w14:paraId="29115545">
      <w:pPr>
        <w:pStyle w:val="8"/>
        <w:rPr>
          <w:rFonts w:ascii="宋体" w:hAnsi="宋体" w:cs="宋体"/>
          <w:szCs w:val="21"/>
        </w:rPr>
      </w:pPr>
    </w:p>
    <w:p w14:paraId="1E8EF49F"/>
    <w:p w14:paraId="565D97F0">
      <w:pPr>
        <w:pStyle w:val="8"/>
      </w:pPr>
    </w:p>
    <w:p w14:paraId="08A2A7E3">
      <w:pPr>
        <w:rPr>
          <w:rFonts w:asciiTheme="minorEastAsia" w:hAnsiTheme="minorEastAsia" w:eastAsiaTheme="minorEastAsia"/>
          <w:sz w:val="28"/>
        </w:rPr>
      </w:pPr>
      <w:r>
        <w:rPr>
          <w:rFonts w:hint="eastAsia" w:asciiTheme="minorEastAsia" w:hAnsiTheme="minorEastAsia" w:eastAsiaTheme="minorEastAsia"/>
          <w:sz w:val="28"/>
        </w:rPr>
        <w:br w:type="page"/>
      </w:r>
    </w:p>
    <w:p w14:paraId="33ADE37B">
      <w:pPr>
        <w:pStyle w:val="4"/>
        <w:spacing w:before="0" w:after="0" w:line="360" w:lineRule="auto"/>
        <w:jc w:val="center"/>
        <w:rPr>
          <w:rFonts w:asciiTheme="minorEastAsia" w:hAnsiTheme="minorEastAsia" w:eastAsiaTheme="minorEastAsia"/>
          <w:bCs w:val="0"/>
          <w:sz w:val="28"/>
        </w:rPr>
      </w:pPr>
      <w:r>
        <w:rPr>
          <w:rFonts w:hint="eastAsia" w:asciiTheme="minorEastAsia" w:hAnsiTheme="minorEastAsia" w:eastAsiaTheme="minorEastAsia"/>
          <w:bCs w:val="0"/>
          <w:sz w:val="28"/>
        </w:rPr>
        <w:t>（五）</w:t>
      </w:r>
      <w:bookmarkEnd w:id="807"/>
      <w:bookmarkEnd w:id="808"/>
      <w:bookmarkEnd w:id="813"/>
      <w:bookmarkEnd w:id="814"/>
      <w:bookmarkEnd w:id="815"/>
      <w:bookmarkEnd w:id="816"/>
      <w:bookmarkEnd w:id="817"/>
      <w:bookmarkEnd w:id="818"/>
      <w:r>
        <w:rPr>
          <w:rFonts w:hint="eastAsia" w:asciiTheme="minorEastAsia" w:hAnsiTheme="minorEastAsia" w:eastAsiaTheme="minorEastAsia"/>
          <w:bCs w:val="0"/>
          <w:sz w:val="28"/>
        </w:rPr>
        <w:t xml:space="preserve">承诺 </w:t>
      </w:r>
    </w:p>
    <w:p w14:paraId="336CB03C">
      <w:pPr>
        <w:spacing w:line="360" w:lineRule="auto"/>
        <w:rPr>
          <w:rFonts w:ascii="宋体" w:hAnsi="宋体" w:cs="宋体"/>
          <w:u w:val="single"/>
        </w:rPr>
      </w:pPr>
      <w:r>
        <w:rPr>
          <w:rFonts w:hint="eastAsia" w:ascii="宋体" w:hAnsi="宋体" w:cs="宋体"/>
        </w:rPr>
        <w:t>致：</w:t>
      </w:r>
      <w:r>
        <w:rPr>
          <w:rFonts w:hint="eastAsia" w:ascii="宋体" w:hAnsi="宋体" w:cs="宋体"/>
          <w:u w:val="single"/>
        </w:rPr>
        <w:t xml:space="preserve">   （比选人名称）     </w:t>
      </w:r>
    </w:p>
    <w:p w14:paraId="6908F75E">
      <w:pPr>
        <w:spacing w:line="360" w:lineRule="auto"/>
        <w:rPr>
          <w:rFonts w:ascii="宋体" w:hAnsi="宋体" w:cs="宋体"/>
        </w:rPr>
      </w:pPr>
      <w:r>
        <w:rPr>
          <w:rFonts w:hint="eastAsia" w:ascii="宋体" w:hAnsi="宋体" w:cs="宋体"/>
        </w:rPr>
        <w:t xml:space="preserve">      我单位就</w:t>
      </w:r>
      <w:r>
        <w:rPr>
          <w:rFonts w:hint="eastAsia" w:ascii="宋体" w:hAnsi="宋体" w:cs="宋体"/>
          <w:u w:val="single"/>
        </w:rPr>
        <w:t xml:space="preserve">                   （项目名称）</w:t>
      </w:r>
      <w:r>
        <w:rPr>
          <w:rFonts w:hint="eastAsia" w:ascii="宋体" w:hAnsi="宋体" w:cs="宋体"/>
        </w:rPr>
        <w:t>做出如下承诺：</w:t>
      </w:r>
    </w:p>
    <w:p w14:paraId="5210B0EA">
      <w:pPr>
        <w:snapToGrid w:val="0"/>
        <w:spacing w:line="360" w:lineRule="auto"/>
        <w:ind w:firstLine="420" w:firstLineChars="200"/>
        <w:rPr>
          <w:rFonts w:ascii="宋体" w:hAnsi="宋体"/>
          <w:szCs w:val="21"/>
        </w:rPr>
      </w:pPr>
      <w:r>
        <w:rPr>
          <w:rFonts w:hint="eastAsia" w:ascii="宋体" w:hAnsi="宋体"/>
          <w:szCs w:val="21"/>
        </w:rPr>
        <w:t>1.投标截止日投标资格情况不存在下列情形之一：</w:t>
      </w:r>
    </w:p>
    <w:p w14:paraId="42319B75">
      <w:pPr>
        <w:spacing w:line="360" w:lineRule="auto"/>
        <w:ind w:firstLine="420" w:firstLineChars="200"/>
        <w:rPr>
          <w:rFonts w:ascii="宋体" w:hAnsi="宋体"/>
          <w:szCs w:val="21"/>
        </w:rPr>
      </w:pPr>
      <w:r>
        <w:rPr>
          <w:rFonts w:hint="eastAsia" w:ascii="宋体" w:hAnsi="宋体"/>
          <w:szCs w:val="21"/>
        </w:rPr>
        <w:t>1.1被人民法院列入失信被执行人名单且在被执行期内；</w:t>
      </w:r>
    </w:p>
    <w:p w14:paraId="0BB868D8">
      <w:pPr>
        <w:spacing w:line="360" w:lineRule="auto"/>
        <w:ind w:firstLine="420" w:firstLineChars="200"/>
        <w:rPr>
          <w:rFonts w:ascii="宋体" w:hAnsi="宋体"/>
          <w:szCs w:val="21"/>
        </w:rPr>
      </w:pPr>
      <w:r>
        <w:rPr>
          <w:rFonts w:hint="eastAsia" w:ascii="宋体" w:hAnsi="宋体"/>
          <w:szCs w:val="21"/>
        </w:rPr>
        <w:t>1.2被列入《重庆市工程建设领域招标投标信用管理暂行办法》规定的重点关注名单且记分达到12分且在记分有效期内；</w:t>
      </w:r>
    </w:p>
    <w:p w14:paraId="2A42690A">
      <w:pPr>
        <w:spacing w:line="360" w:lineRule="auto"/>
        <w:ind w:firstLine="420" w:firstLineChars="200"/>
        <w:rPr>
          <w:rFonts w:ascii="宋体" w:hAnsi="宋体"/>
          <w:szCs w:val="21"/>
        </w:rPr>
      </w:pPr>
      <w:r>
        <w:rPr>
          <w:rFonts w:hint="eastAsia" w:ascii="宋体" w:hAnsi="宋体"/>
          <w:szCs w:val="21"/>
        </w:rPr>
        <w:t>1.3被列入《重庆市工程建设领域招标投标信用管理暂行办法》规定的重庆市工程建设领域招标投标失信惩戒对象名单（以下称黑名单）且在记分有效期内；</w:t>
      </w:r>
    </w:p>
    <w:p w14:paraId="27D9C58D">
      <w:pPr>
        <w:spacing w:line="360" w:lineRule="auto"/>
        <w:ind w:firstLine="420" w:firstLineChars="200"/>
        <w:rPr>
          <w:rFonts w:ascii="宋体" w:hAnsi="宋体"/>
          <w:szCs w:val="21"/>
        </w:rPr>
      </w:pPr>
      <w:r>
        <w:rPr>
          <w:rFonts w:hint="eastAsia" w:ascii="宋体" w:hAnsi="宋体"/>
          <w:szCs w:val="21"/>
        </w:rPr>
        <w:t>1.4被国家、重庆市（含市或任意区县）有关行政部门处以暂停投标资格行政处罚，且在处罚期限内；</w:t>
      </w:r>
    </w:p>
    <w:p w14:paraId="49DEC51D">
      <w:pPr>
        <w:spacing w:line="360" w:lineRule="auto"/>
        <w:ind w:firstLine="420" w:firstLineChars="200"/>
        <w:rPr>
          <w:rFonts w:ascii="宋体" w:hAnsi="宋体"/>
          <w:szCs w:val="21"/>
        </w:rPr>
      </w:pPr>
      <w:r>
        <w:rPr>
          <w:rFonts w:hint="eastAsia" w:ascii="宋体" w:hAnsi="宋体"/>
          <w:szCs w:val="21"/>
        </w:rPr>
        <w:t>1.5被重庆市市级有关行业主管部门暂停在渝承揽新业务且在暂停期内。</w:t>
      </w:r>
    </w:p>
    <w:p w14:paraId="70FA1D63">
      <w:pPr>
        <w:tabs>
          <w:tab w:val="left" w:pos="5760"/>
        </w:tabs>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2.我单位拟派驻的总监理工程师、专业监理工程师和监理员在本项目比选前未有其他在监项目，如经查证承诺不实，自愿被取消中选资格，给比选人造成损失的，依法承担违约赔偿责任；</w:t>
      </w:r>
    </w:p>
    <w:p w14:paraId="21D1408C">
      <w:pPr>
        <w:tabs>
          <w:tab w:val="left" w:pos="5760"/>
        </w:tabs>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3.我单位若中选，不会无故放弃中选项目，不会无正当理由不与比选人签订合同，不会在签订合同时向比选人提出附加条件或者更改合同实质性内容，不会拒不提交低价风险担保或者履约担保，否则自愿被取消其中选资格，比选保证金不予退还，给比选人造成的损失超过比选保证金数额的，应对超过部分予以赔偿。</w:t>
      </w:r>
    </w:p>
    <w:p w14:paraId="1792B086">
      <w:pPr>
        <w:tabs>
          <w:tab w:val="left" w:pos="5760"/>
        </w:tabs>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rPr>
        <w:t>4.比选人在合同签订前均有权对我单位提供的竞选文件进行核实，若发现资料存在弄虚作假，自愿接受法律法规处理，比选保证金不予退还，并承担因此造成的相关责任及赔偿相应损失</w:t>
      </w:r>
      <w:r>
        <w:rPr>
          <w:rFonts w:hint="eastAsia" w:ascii="宋体" w:hAnsi="宋体" w:cs="宋体"/>
          <w:kern w:val="0"/>
          <w:szCs w:val="21"/>
        </w:rPr>
        <w:t>。</w:t>
      </w:r>
    </w:p>
    <w:p w14:paraId="06258BED">
      <w:pPr>
        <w:spacing w:line="360" w:lineRule="auto"/>
        <w:rPr>
          <w:rFonts w:ascii="宋体" w:hAnsi="宋体" w:cs="宋体"/>
        </w:rPr>
      </w:pPr>
    </w:p>
    <w:p w14:paraId="4E6D1450">
      <w:pPr>
        <w:spacing w:line="360" w:lineRule="auto"/>
        <w:rPr>
          <w:rFonts w:ascii="宋体" w:hAnsi="宋体" w:cs="宋体"/>
        </w:rPr>
      </w:pPr>
    </w:p>
    <w:p w14:paraId="0C04F036">
      <w:pPr>
        <w:spacing w:line="360" w:lineRule="auto"/>
        <w:rPr>
          <w:rFonts w:ascii="宋体" w:hAnsi="宋体" w:cs="宋体"/>
        </w:rPr>
      </w:pPr>
    </w:p>
    <w:p w14:paraId="71A3C998">
      <w:pPr>
        <w:tabs>
          <w:tab w:val="left" w:pos="5460"/>
        </w:tabs>
        <w:autoSpaceDE w:val="0"/>
        <w:autoSpaceDN w:val="0"/>
        <w:adjustRightInd w:val="0"/>
        <w:snapToGrid w:val="0"/>
        <w:spacing w:line="360" w:lineRule="auto"/>
        <w:ind w:firstLine="2100"/>
        <w:jc w:val="right"/>
        <w:rPr>
          <w:rFonts w:ascii="宋体" w:hAnsi="宋体" w:cs="宋体"/>
          <w:kern w:val="0"/>
          <w:szCs w:val="21"/>
        </w:rPr>
      </w:pPr>
      <w:r>
        <w:rPr>
          <w:rFonts w:hint="eastAsia" w:ascii="宋体" w:hAnsi="宋体" w:cs="宋体"/>
          <w:kern w:val="0"/>
          <w:szCs w:val="21"/>
        </w:rPr>
        <w:t>竞选人：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spacing w:val="-1"/>
          <w:kern w:val="0"/>
          <w:szCs w:val="21"/>
        </w:rPr>
        <w:t>（</w:t>
      </w:r>
      <w:r>
        <w:rPr>
          <w:rFonts w:hint="eastAsia" w:ascii="宋体" w:hAnsi="宋体" w:cs="宋体"/>
          <w:kern w:val="0"/>
          <w:szCs w:val="21"/>
        </w:rPr>
        <w:t>盖单位公章）</w:t>
      </w:r>
    </w:p>
    <w:p w14:paraId="17FFE665">
      <w:pPr>
        <w:autoSpaceDE w:val="0"/>
        <w:autoSpaceDN w:val="0"/>
        <w:adjustRightInd w:val="0"/>
        <w:snapToGrid w:val="0"/>
        <w:spacing w:line="360" w:lineRule="auto"/>
        <w:jc w:val="left"/>
        <w:rPr>
          <w:rFonts w:ascii="宋体" w:hAnsi="宋体" w:cs="宋体"/>
          <w:kern w:val="0"/>
          <w:sz w:val="20"/>
          <w:szCs w:val="20"/>
        </w:rPr>
      </w:pPr>
    </w:p>
    <w:p w14:paraId="75ADC2FA">
      <w:pPr>
        <w:spacing w:line="360" w:lineRule="auto"/>
        <w:ind w:firstLine="5460" w:firstLineChars="1300"/>
        <w:rPr>
          <w:rFonts w:ascii="宋体" w:hAnsi="宋体" w:cs="宋体"/>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日 </w:t>
      </w:r>
    </w:p>
    <w:p w14:paraId="30FB1855">
      <w:pPr>
        <w:spacing w:line="360" w:lineRule="auto"/>
        <w:rPr>
          <w:rFonts w:ascii="宋体" w:hAnsi="宋体" w:cs="宋体"/>
        </w:rPr>
      </w:pPr>
    </w:p>
    <w:p w14:paraId="4A563D55">
      <w:pPr>
        <w:spacing w:line="360" w:lineRule="auto"/>
        <w:rPr>
          <w:rFonts w:ascii="宋体" w:hAnsi="宋体" w:cs="宋体"/>
        </w:rPr>
      </w:pPr>
    </w:p>
    <w:p w14:paraId="17DDE9BE">
      <w:pPr>
        <w:rPr>
          <w:rFonts w:asciiTheme="minorEastAsia" w:hAnsiTheme="minorEastAsia" w:eastAsiaTheme="minorEastAsia"/>
          <w:sz w:val="28"/>
        </w:rPr>
      </w:pPr>
      <w:bookmarkStart w:id="819" w:name="_Toc384308390"/>
      <w:bookmarkStart w:id="820" w:name="_Toc359594249"/>
      <w:bookmarkStart w:id="821" w:name="_Toc391394125"/>
      <w:bookmarkStart w:id="822" w:name="_Toc370676440"/>
      <w:bookmarkStart w:id="823" w:name="_Toc492300735"/>
      <w:bookmarkStart w:id="824" w:name="_Toc12669"/>
      <w:bookmarkStart w:id="825" w:name="_Toc482188668"/>
      <w:bookmarkStart w:id="826" w:name="_Toc300835232"/>
      <w:bookmarkStart w:id="827" w:name="_Toc385943079"/>
      <w:r>
        <w:rPr>
          <w:rFonts w:hint="eastAsia" w:asciiTheme="minorEastAsia" w:hAnsiTheme="minorEastAsia" w:eastAsiaTheme="minorEastAsia"/>
          <w:sz w:val="28"/>
        </w:rPr>
        <w:br w:type="page"/>
      </w:r>
    </w:p>
    <w:p w14:paraId="08A62EFF">
      <w:pPr>
        <w:pStyle w:val="4"/>
        <w:spacing w:before="0" w:after="0" w:line="360" w:lineRule="auto"/>
        <w:jc w:val="center"/>
        <w:rPr>
          <w:rFonts w:asciiTheme="minorEastAsia" w:hAnsiTheme="minorEastAsia" w:eastAsiaTheme="minorEastAsia"/>
          <w:bCs w:val="0"/>
          <w:sz w:val="28"/>
        </w:rPr>
      </w:pPr>
      <w:r>
        <w:rPr>
          <w:rFonts w:hint="eastAsia" w:asciiTheme="minorEastAsia" w:hAnsiTheme="minorEastAsia" w:eastAsiaTheme="minorEastAsia"/>
          <w:bCs w:val="0"/>
          <w:sz w:val="28"/>
        </w:rPr>
        <w:t>（六）主要人员简历表</w:t>
      </w:r>
      <w:bookmarkEnd w:id="819"/>
      <w:bookmarkEnd w:id="820"/>
      <w:bookmarkEnd w:id="821"/>
      <w:bookmarkEnd w:id="822"/>
      <w:bookmarkEnd w:id="823"/>
      <w:bookmarkEnd w:id="824"/>
      <w:bookmarkEnd w:id="825"/>
      <w:bookmarkEnd w:id="826"/>
      <w:bookmarkEnd w:id="827"/>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189F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0BCD039A">
            <w:pPr>
              <w:spacing w:line="400" w:lineRule="exact"/>
              <w:jc w:val="center"/>
              <w:rPr>
                <w:rFonts w:asciiTheme="minorEastAsia" w:hAnsiTheme="minorEastAsia" w:eastAsiaTheme="minorEastAsia"/>
              </w:rPr>
            </w:pPr>
            <w:r>
              <w:rPr>
                <w:rFonts w:asciiTheme="minorEastAsia" w:hAnsiTheme="minorEastAsia" w:eastAsiaTheme="minorEastAsia"/>
              </w:rPr>
              <w:t>姓  名</w:t>
            </w:r>
          </w:p>
        </w:tc>
        <w:tc>
          <w:tcPr>
            <w:tcW w:w="1048" w:type="dxa"/>
            <w:gridSpan w:val="2"/>
            <w:vAlign w:val="center"/>
          </w:tcPr>
          <w:p w14:paraId="1B53C786">
            <w:pPr>
              <w:spacing w:line="400" w:lineRule="exact"/>
              <w:jc w:val="center"/>
              <w:rPr>
                <w:rFonts w:asciiTheme="minorEastAsia" w:hAnsiTheme="minorEastAsia" w:eastAsiaTheme="minorEastAsia"/>
              </w:rPr>
            </w:pPr>
          </w:p>
        </w:tc>
        <w:tc>
          <w:tcPr>
            <w:tcW w:w="958" w:type="dxa"/>
            <w:vAlign w:val="center"/>
          </w:tcPr>
          <w:p w14:paraId="5100EA72">
            <w:pPr>
              <w:spacing w:line="400" w:lineRule="exact"/>
              <w:jc w:val="center"/>
              <w:rPr>
                <w:rFonts w:asciiTheme="minorEastAsia" w:hAnsiTheme="minorEastAsia" w:eastAsiaTheme="minorEastAsia"/>
              </w:rPr>
            </w:pPr>
            <w:r>
              <w:rPr>
                <w:rFonts w:asciiTheme="minorEastAsia" w:hAnsiTheme="minorEastAsia" w:eastAsiaTheme="minorEastAsia"/>
              </w:rPr>
              <w:t>年龄</w:t>
            </w:r>
          </w:p>
        </w:tc>
        <w:tc>
          <w:tcPr>
            <w:tcW w:w="1065" w:type="dxa"/>
            <w:vAlign w:val="center"/>
          </w:tcPr>
          <w:p w14:paraId="50ABED3B">
            <w:pPr>
              <w:spacing w:line="400" w:lineRule="exact"/>
              <w:jc w:val="center"/>
              <w:rPr>
                <w:rFonts w:asciiTheme="minorEastAsia" w:hAnsiTheme="minorEastAsia" w:eastAsiaTheme="minorEastAsia"/>
              </w:rPr>
            </w:pPr>
          </w:p>
        </w:tc>
        <w:tc>
          <w:tcPr>
            <w:tcW w:w="2368" w:type="dxa"/>
            <w:gridSpan w:val="3"/>
            <w:vAlign w:val="center"/>
          </w:tcPr>
          <w:p w14:paraId="7BE17F12">
            <w:pPr>
              <w:spacing w:line="400" w:lineRule="exact"/>
              <w:jc w:val="center"/>
              <w:rPr>
                <w:rFonts w:asciiTheme="minorEastAsia" w:hAnsiTheme="minorEastAsia" w:eastAsiaTheme="minorEastAsia"/>
              </w:rPr>
            </w:pPr>
            <w:r>
              <w:rPr>
                <w:rFonts w:asciiTheme="minorEastAsia" w:hAnsiTheme="minorEastAsia" w:eastAsiaTheme="minorEastAsia"/>
              </w:rPr>
              <w:t>执业资格证书（或上岗证书）名称</w:t>
            </w:r>
          </w:p>
        </w:tc>
        <w:tc>
          <w:tcPr>
            <w:tcW w:w="1896" w:type="dxa"/>
            <w:vAlign w:val="center"/>
          </w:tcPr>
          <w:p w14:paraId="1DAF6A0A">
            <w:pPr>
              <w:spacing w:line="400" w:lineRule="exact"/>
              <w:jc w:val="center"/>
              <w:rPr>
                <w:rFonts w:asciiTheme="minorEastAsia" w:hAnsiTheme="minorEastAsia" w:eastAsiaTheme="minorEastAsia"/>
              </w:rPr>
            </w:pPr>
          </w:p>
        </w:tc>
      </w:tr>
      <w:tr w14:paraId="6F31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7E594710">
            <w:pPr>
              <w:spacing w:line="400" w:lineRule="exact"/>
              <w:jc w:val="center"/>
              <w:rPr>
                <w:rFonts w:asciiTheme="minorEastAsia" w:hAnsiTheme="minorEastAsia" w:eastAsiaTheme="minorEastAsia"/>
              </w:rPr>
            </w:pPr>
            <w:r>
              <w:rPr>
                <w:rFonts w:hint="eastAsia" w:asciiTheme="minorEastAsia" w:hAnsiTheme="minorEastAsia" w:eastAsiaTheme="minorEastAsia"/>
              </w:rPr>
              <w:t xml:space="preserve">技术职称            </w:t>
            </w:r>
          </w:p>
        </w:tc>
        <w:tc>
          <w:tcPr>
            <w:tcW w:w="1048" w:type="dxa"/>
            <w:gridSpan w:val="2"/>
            <w:vAlign w:val="center"/>
          </w:tcPr>
          <w:p w14:paraId="1496DF0D">
            <w:pPr>
              <w:spacing w:line="400" w:lineRule="exact"/>
              <w:jc w:val="center"/>
              <w:rPr>
                <w:rFonts w:asciiTheme="minorEastAsia" w:hAnsiTheme="minorEastAsia" w:eastAsiaTheme="minorEastAsia"/>
              </w:rPr>
            </w:pPr>
          </w:p>
        </w:tc>
        <w:tc>
          <w:tcPr>
            <w:tcW w:w="958" w:type="dxa"/>
            <w:vAlign w:val="center"/>
          </w:tcPr>
          <w:p w14:paraId="5C4084C0">
            <w:pPr>
              <w:spacing w:before="100" w:beforeAutospacing="1" w:after="100" w:afterAutospacing="1" w:line="400" w:lineRule="exact"/>
              <w:jc w:val="center"/>
              <w:rPr>
                <w:rFonts w:asciiTheme="minorEastAsia" w:hAnsiTheme="minorEastAsia" w:eastAsiaTheme="minorEastAsia"/>
              </w:rPr>
            </w:pPr>
            <w:r>
              <w:rPr>
                <w:rFonts w:asciiTheme="minorEastAsia" w:hAnsiTheme="minorEastAsia" w:eastAsiaTheme="minorEastAsia"/>
              </w:rPr>
              <w:t>学历</w:t>
            </w:r>
          </w:p>
        </w:tc>
        <w:tc>
          <w:tcPr>
            <w:tcW w:w="1065" w:type="dxa"/>
            <w:vAlign w:val="center"/>
          </w:tcPr>
          <w:p w14:paraId="7F3B146B">
            <w:pPr>
              <w:spacing w:line="400" w:lineRule="exact"/>
              <w:jc w:val="center"/>
              <w:rPr>
                <w:rFonts w:asciiTheme="minorEastAsia" w:hAnsiTheme="minorEastAsia" w:eastAsiaTheme="minorEastAsia"/>
              </w:rPr>
            </w:pPr>
          </w:p>
        </w:tc>
        <w:tc>
          <w:tcPr>
            <w:tcW w:w="2368" w:type="dxa"/>
            <w:gridSpan w:val="3"/>
            <w:vAlign w:val="center"/>
          </w:tcPr>
          <w:p w14:paraId="6C514106">
            <w:pPr>
              <w:spacing w:before="100" w:beforeAutospacing="1" w:after="100" w:afterAutospacing="1" w:line="400" w:lineRule="exact"/>
              <w:jc w:val="center"/>
              <w:rPr>
                <w:rFonts w:asciiTheme="minorEastAsia" w:hAnsiTheme="minorEastAsia" w:eastAsiaTheme="minorEastAsia"/>
              </w:rPr>
            </w:pPr>
            <w:r>
              <w:rPr>
                <w:rFonts w:asciiTheme="minorEastAsia" w:hAnsiTheme="minorEastAsia" w:eastAsiaTheme="minorEastAsia"/>
              </w:rPr>
              <w:t>拟在本项目任职</w:t>
            </w:r>
          </w:p>
        </w:tc>
        <w:tc>
          <w:tcPr>
            <w:tcW w:w="1896" w:type="dxa"/>
            <w:vAlign w:val="center"/>
          </w:tcPr>
          <w:p w14:paraId="497EBCB1">
            <w:pPr>
              <w:spacing w:line="400" w:lineRule="exact"/>
              <w:jc w:val="center"/>
              <w:rPr>
                <w:rFonts w:asciiTheme="minorEastAsia" w:hAnsiTheme="minorEastAsia" w:eastAsiaTheme="minorEastAsia"/>
              </w:rPr>
            </w:pPr>
          </w:p>
        </w:tc>
      </w:tr>
      <w:tr w14:paraId="6D67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70889A39">
            <w:pPr>
              <w:spacing w:before="100" w:beforeAutospacing="1" w:after="100" w:afterAutospacing="1" w:line="400" w:lineRule="exact"/>
              <w:jc w:val="center"/>
              <w:rPr>
                <w:rFonts w:asciiTheme="minorEastAsia" w:hAnsiTheme="minorEastAsia" w:eastAsiaTheme="minorEastAsia"/>
              </w:rPr>
            </w:pPr>
            <w:r>
              <w:rPr>
                <w:rFonts w:asciiTheme="minorEastAsia" w:hAnsiTheme="minorEastAsia" w:eastAsiaTheme="minorEastAsia"/>
              </w:rPr>
              <w:t>工作年限</w:t>
            </w:r>
          </w:p>
        </w:tc>
        <w:tc>
          <w:tcPr>
            <w:tcW w:w="3071" w:type="dxa"/>
            <w:gridSpan w:val="4"/>
            <w:vAlign w:val="center"/>
          </w:tcPr>
          <w:p w14:paraId="6DAE1F93">
            <w:pPr>
              <w:spacing w:line="400" w:lineRule="exact"/>
              <w:jc w:val="center"/>
              <w:rPr>
                <w:rFonts w:asciiTheme="minorEastAsia" w:hAnsiTheme="minorEastAsia" w:eastAsiaTheme="minorEastAsia"/>
              </w:rPr>
            </w:pPr>
          </w:p>
        </w:tc>
        <w:tc>
          <w:tcPr>
            <w:tcW w:w="2368" w:type="dxa"/>
            <w:gridSpan w:val="3"/>
            <w:vAlign w:val="center"/>
          </w:tcPr>
          <w:p w14:paraId="570B6587">
            <w:pPr>
              <w:spacing w:before="100" w:beforeAutospacing="1" w:after="100" w:afterAutospacing="1" w:line="400" w:lineRule="exact"/>
              <w:jc w:val="center"/>
              <w:rPr>
                <w:rFonts w:asciiTheme="minorEastAsia" w:hAnsiTheme="minorEastAsia" w:eastAsiaTheme="minorEastAsia"/>
              </w:rPr>
            </w:pPr>
            <w:r>
              <w:rPr>
                <w:rFonts w:asciiTheme="minorEastAsia" w:hAnsiTheme="minorEastAsia" w:eastAsiaTheme="minorEastAsia"/>
              </w:rPr>
              <w:t>从事监理工作年限</w:t>
            </w:r>
          </w:p>
        </w:tc>
        <w:tc>
          <w:tcPr>
            <w:tcW w:w="1896" w:type="dxa"/>
            <w:vAlign w:val="center"/>
          </w:tcPr>
          <w:p w14:paraId="3F1C41DD">
            <w:pPr>
              <w:spacing w:line="400" w:lineRule="exact"/>
              <w:jc w:val="center"/>
              <w:rPr>
                <w:rFonts w:asciiTheme="minorEastAsia" w:hAnsiTheme="minorEastAsia" w:eastAsiaTheme="minorEastAsia"/>
              </w:rPr>
            </w:pPr>
          </w:p>
        </w:tc>
      </w:tr>
      <w:tr w14:paraId="3D36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2A543C82">
            <w:pPr>
              <w:spacing w:before="100" w:beforeAutospacing="1" w:after="100" w:afterAutospacing="1" w:line="400" w:lineRule="exact"/>
              <w:jc w:val="center"/>
              <w:rPr>
                <w:rFonts w:asciiTheme="minorEastAsia" w:hAnsiTheme="minorEastAsia" w:eastAsiaTheme="minorEastAsia"/>
              </w:rPr>
            </w:pPr>
            <w:r>
              <w:rPr>
                <w:rFonts w:asciiTheme="minorEastAsia" w:hAnsiTheme="minorEastAsia" w:eastAsiaTheme="minorEastAsia"/>
              </w:rPr>
              <w:t>毕业学校</w:t>
            </w:r>
          </w:p>
        </w:tc>
        <w:tc>
          <w:tcPr>
            <w:tcW w:w="7335" w:type="dxa"/>
            <w:gridSpan w:val="8"/>
            <w:vAlign w:val="center"/>
          </w:tcPr>
          <w:p w14:paraId="5B3DD2EA">
            <w:pPr>
              <w:spacing w:before="100" w:beforeAutospacing="1" w:after="100" w:afterAutospacing="1" w:line="400" w:lineRule="exact"/>
              <w:ind w:firstLine="1155" w:firstLineChars="550"/>
              <w:rPr>
                <w:rFonts w:asciiTheme="minorEastAsia" w:hAnsiTheme="minorEastAsia" w:eastAsiaTheme="minorEastAsia"/>
              </w:rPr>
            </w:pPr>
            <w:r>
              <w:rPr>
                <w:rFonts w:asciiTheme="minorEastAsia" w:hAnsiTheme="minorEastAsia" w:eastAsiaTheme="minorEastAsia"/>
              </w:rPr>
              <w:t>年毕业于            学校        专业</w:t>
            </w:r>
          </w:p>
        </w:tc>
      </w:tr>
      <w:tr w14:paraId="3B09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14:paraId="36194059">
            <w:pPr>
              <w:spacing w:before="100" w:beforeAutospacing="1" w:after="100" w:afterAutospacing="1" w:line="400" w:lineRule="exact"/>
              <w:jc w:val="left"/>
              <w:rPr>
                <w:rFonts w:asciiTheme="minorEastAsia" w:hAnsiTheme="minorEastAsia" w:eastAsiaTheme="minorEastAsia"/>
              </w:rPr>
            </w:pPr>
            <w:r>
              <w:rPr>
                <w:rFonts w:asciiTheme="minorEastAsia" w:hAnsiTheme="minorEastAsia" w:eastAsiaTheme="minorEastAsia"/>
              </w:rPr>
              <w:t>主要工作经历</w:t>
            </w:r>
          </w:p>
        </w:tc>
      </w:tr>
      <w:tr w14:paraId="130E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14:paraId="6F906BE5">
            <w:pPr>
              <w:spacing w:before="100" w:beforeAutospacing="1" w:after="100" w:afterAutospacing="1" w:line="400" w:lineRule="exact"/>
              <w:jc w:val="center"/>
              <w:rPr>
                <w:rFonts w:asciiTheme="minorEastAsia" w:hAnsiTheme="minorEastAsia" w:eastAsiaTheme="minorEastAsia"/>
              </w:rPr>
            </w:pPr>
            <w:r>
              <w:rPr>
                <w:rFonts w:asciiTheme="minorEastAsia" w:hAnsiTheme="minorEastAsia" w:eastAsiaTheme="minorEastAsia"/>
              </w:rPr>
              <w:t>时  间</w:t>
            </w:r>
          </w:p>
        </w:tc>
        <w:tc>
          <w:tcPr>
            <w:tcW w:w="3420" w:type="dxa"/>
            <w:gridSpan w:val="4"/>
            <w:vAlign w:val="center"/>
          </w:tcPr>
          <w:p w14:paraId="64C8F90B">
            <w:pPr>
              <w:spacing w:before="100" w:beforeAutospacing="1" w:after="100" w:afterAutospacing="1" w:line="400" w:lineRule="exact"/>
              <w:jc w:val="center"/>
              <w:rPr>
                <w:rFonts w:asciiTheme="minorEastAsia" w:hAnsiTheme="minorEastAsia" w:eastAsiaTheme="minorEastAsia"/>
              </w:rPr>
            </w:pPr>
            <w:r>
              <w:rPr>
                <w:rFonts w:asciiTheme="minorEastAsia" w:hAnsiTheme="minorEastAsia" w:eastAsiaTheme="minorEastAsia"/>
              </w:rPr>
              <w:t>参加过的类似项目</w:t>
            </w:r>
          </w:p>
        </w:tc>
        <w:tc>
          <w:tcPr>
            <w:tcW w:w="1261" w:type="dxa"/>
            <w:vAlign w:val="center"/>
          </w:tcPr>
          <w:p w14:paraId="0A0158D3">
            <w:pPr>
              <w:spacing w:before="100" w:beforeAutospacing="1" w:after="100" w:afterAutospacing="1" w:line="400" w:lineRule="exact"/>
              <w:jc w:val="center"/>
              <w:rPr>
                <w:rFonts w:asciiTheme="minorEastAsia" w:hAnsiTheme="minorEastAsia" w:eastAsiaTheme="minorEastAsia"/>
              </w:rPr>
            </w:pPr>
            <w:r>
              <w:rPr>
                <w:rFonts w:asciiTheme="minorEastAsia" w:hAnsiTheme="minorEastAsia" w:eastAsiaTheme="minorEastAsia"/>
              </w:rPr>
              <w:t>担任职务</w:t>
            </w:r>
          </w:p>
        </w:tc>
        <w:tc>
          <w:tcPr>
            <w:tcW w:w="2297" w:type="dxa"/>
            <w:gridSpan w:val="2"/>
            <w:vAlign w:val="center"/>
          </w:tcPr>
          <w:p w14:paraId="76495335">
            <w:pPr>
              <w:spacing w:before="100" w:beforeAutospacing="1" w:after="100" w:afterAutospacing="1" w:line="400" w:lineRule="exact"/>
              <w:jc w:val="center"/>
              <w:rPr>
                <w:rFonts w:asciiTheme="minorEastAsia" w:hAnsiTheme="minorEastAsia" w:eastAsiaTheme="minorEastAsia"/>
              </w:rPr>
            </w:pPr>
            <w:r>
              <w:rPr>
                <w:rFonts w:asciiTheme="minorEastAsia" w:hAnsiTheme="minorEastAsia" w:eastAsiaTheme="minorEastAsia"/>
              </w:rPr>
              <w:t>委托人及联系电话</w:t>
            </w:r>
          </w:p>
        </w:tc>
      </w:tr>
      <w:tr w14:paraId="1AEC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14:paraId="09E756C0">
            <w:pPr>
              <w:spacing w:line="400" w:lineRule="exact"/>
              <w:rPr>
                <w:rFonts w:asciiTheme="minorEastAsia" w:hAnsiTheme="minorEastAsia" w:eastAsiaTheme="minorEastAsia"/>
              </w:rPr>
            </w:pPr>
          </w:p>
        </w:tc>
        <w:tc>
          <w:tcPr>
            <w:tcW w:w="3420" w:type="dxa"/>
            <w:gridSpan w:val="4"/>
          </w:tcPr>
          <w:p w14:paraId="4D4C9798">
            <w:pPr>
              <w:spacing w:line="400" w:lineRule="exact"/>
              <w:rPr>
                <w:rFonts w:asciiTheme="minorEastAsia" w:hAnsiTheme="minorEastAsia" w:eastAsiaTheme="minorEastAsia"/>
              </w:rPr>
            </w:pPr>
          </w:p>
        </w:tc>
        <w:tc>
          <w:tcPr>
            <w:tcW w:w="1261" w:type="dxa"/>
          </w:tcPr>
          <w:p w14:paraId="78DC044C">
            <w:pPr>
              <w:spacing w:line="400" w:lineRule="exact"/>
              <w:rPr>
                <w:rFonts w:asciiTheme="minorEastAsia" w:hAnsiTheme="minorEastAsia" w:eastAsiaTheme="minorEastAsia"/>
              </w:rPr>
            </w:pPr>
          </w:p>
        </w:tc>
        <w:tc>
          <w:tcPr>
            <w:tcW w:w="2297" w:type="dxa"/>
            <w:gridSpan w:val="2"/>
          </w:tcPr>
          <w:p w14:paraId="06CCC39E">
            <w:pPr>
              <w:spacing w:line="400" w:lineRule="exact"/>
              <w:rPr>
                <w:rFonts w:asciiTheme="minorEastAsia" w:hAnsiTheme="minorEastAsia" w:eastAsiaTheme="minorEastAsia"/>
              </w:rPr>
            </w:pPr>
          </w:p>
        </w:tc>
      </w:tr>
      <w:tr w14:paraId="3505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14:paraId="6AE04CBD">
            <w:pPr>
              <w:spacing w:line="400" w:lineRule="exact"/>
              <w:rPr>
                <w:rFonts w:asciiTheme="minorEastAsia" w:hAnsiTheme="minorEastAsia" w:eastAsiaTheme="minorEastAsia"/>
              </w:rPr>
            </w:pPr>
          </w:p>
        </w:tc>
        <w:tc>
          <w:tcPr>
            <w:tcW w:w="3420" w:type="dxa"/>
            <w:gridSpan w:val="4"/>
          </w:tcPr>
          <w:p w14:paraId="60FB6C0F">
            <w:pPr>
              <w:spacing w:line="400" w:lineRule="exact"/>
              <w:rPr>
                <w:rFonts w:asciiTheme="minorEastAsia" w:hAnsiTheme="minorEastAsia" w:eastAsiaTheme="minorEastAsia"/>
              </w:rPr>
            </w:pPr>
          </w:p>
        </w:tc>
        <w:tc>
          <w:tcPr>
            <w:tcW w:w="1261" w:type="dxa"/>
          </w:tcPr>
          <w:p w14:paraId="1FD124F8">
            <w:pPr>
              <w:spacing w:line="400" w:lineRule="exact"/>
              <w:rPr>
                <w:rFonts w:asciiTheme="minorEastAsia" w:hAnsiTheme="minorEastAsia" w:eastAsiaTheme="minorEastAsia"/>
              </w:rPr>
            </w:pPr>
          </w:p>
        </w:tc>
        <w:tc>
          <w:tcPr>
            <w:tcW w:w="2297" w:type="dxa"/>
            <w:gridSpan w:val="2"/>
          </w:tcPr>
          <w:p w14:paraId="37600B34">
            <w:pPr>
              <w:spacing w:line="400" w:lineRule="exact"/>
              <w:rPr>
                <w:rFonts w:asciiTheme="minorEastAsia" w:hAnsiTheme="minorEastAsia" w:eastAsiaTheme="minorEastAsia"/>
              </w:rPr>
            </w:pPr>
          </w:p>
        </w:tc>
      </w:tr>
      <w:tr w14:paraId="3B0E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14:paraId="7BFFF6A8">
            <w:pPr>
              <w:spacing w:line="400" w:lineRule="exact"/>
              <w:rPr>
                <w:rFonts w:asciiTheme="minorEastAsia" w:hAnsiTheme="minorEastAsia" w:eastAsiaTheme="minorEastAsia"/>
              </w:rPr>
            </w:pPr>
          </w:p>
        </w:tc>
        <w:tc>
          <w:tcPr>
            <w:tcW w:w="3420" w:type="dxa"/>
            <w:gridSpan w:val="4"/>
          </w:tcPr>
          <w:p w14:paraId="4D5FBEDD">
            <w:pPr>
              <w:spacing w:line="400" w:lineRule="exact"/>
              <w:rPr>
                <w:rFonts w:asciiTheme="minorEastAsia" w:hAnsiTheme="minorEastAsia" w:eastAsiaTheme="minorEastAsia"/>
              </w:rPr>
            </w:pPr>
          </w:p>
        </w:tc>
        <w:tc>
          <w:tcPr>
            <w:tcW w:w="1261" w:type="dxa"/>
          </w:tcPr>
          <w:p w14:paraId="23F26109">
            <w:pPr>
              <w:spacing w:line="400" w:lineRule="exact"/>
              <w:rPr>
                <w:rFonts w:asciiTheme="minorEastAsia" w:hAnsiTheme="minorEastAsia" w:eastAsiaTheme="minorEastAsia"/>
              </w:rPr>
            </w:pPr>
          </w:p>
        </w:tc>
        <w:tc>
          <w:tcPr>
            <w:tcW w:w="2297" w:type="dxa"/>
            <w:gridSpan w:val="2"/>
          </w:tcPr>
          <w:p w14:paraId="4F19DACE">
            <w:pPr>
              <w:spacing w:line="400" w:lineRule="exact"/>
              <w:rPr>
                <w:rFonts w:asciiTheme="minorEastAsia" w:hAnsiTheme="minorEastAsia" w:eastAsiaTheme="minorEastAsia"/>
              </w:rPr>
            </w:pPr>
          </w:p>
        </w:tc>
      </w:tr>
      <w:tr w14:paraId="60BD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14:paraId="6D041BA1">
            <w:pPr>
              <w:spacing w:line="400" w:lineRule="exact"/>
              <w:rPr>
                <w:rFonts w:asciiTheme="minorEastAsia" w:hAnsiTheme="minorEastAsia" w:eastAsiaTheme="minorEastAsia"/>
              </w:rPr>
            </w:pPr>
          </w:p>
        </w:tc>
        <w:tc>
          <w:tcPr>
            <w:tcW w:w="3420" w:type="dxa"/>
            <w:gridSpan w:val="4"/>
            <w:vAlign w:val="center"/>
          </w:tcPr>
          <w:p w14:paraId="5939CE05">
            <w:pPr>
              <w:spacing w:line="400" w:lineRule="exact"/>
              <w:rPr>
                <w:rFonts w:asciiTheme="minorEastAsia" w:hAnsiTheme="minorEastAsia" w:eastAsiaTheme="minorEastAsia"/>
              </w:rPr>
            </w:pPr>
          </w:p>
        </w:tc>
        <w:tc>
          <w:tcPr>
            <w:tcW w:w="1261" w:type="dxa"/>
            <w:vAlign w:val="center"/>
          </w:tcPr>
          <w:p w14:paraId="4CFDB036">
            <w:pPr>
              <w:spacing w:line="400" w:lineRule="exact"/>
              <w:rPr>
                <w:rFonts w:asciiTheme="minorEastAsia" w:hAnsiTheme="minorEastAsia" w:eastAsiaTheme="minorEastAsia"/>
              </w:rPr>
            </w:pPr>
          </w:p>
        </w:tc>
        <w:tc>
          <w:tcPr>
            <w:tcW w:w="2297" w:type="dxa"/>
            <w:gridSpan w:val="2"/>
            <w:vAlign w:val="center"/>
          </w:tcPr>
          <w:p w14:paraId="1C68514C">
            <w:pPr>
              <w:spacing w:line="400" w:lineRule="exact"/>
              <w:rPr>
                <w:rFonts w:asciiTheme="minorEastAsia" w:hAnsiTheme="minorEastAsia" w:eastAsiaTheme="minorEastAsia"/>
              </w:rPr>
            </w:pPr>
          </w:p>
        </w:tc>
      </w:tr>
      <w:tr w14:paraId="4764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14:paraId="05F59C00">
            <w:pPr>
              <w:spacing w:line="400" w:lineRule="exact"/>
              <w:rPr>
                <w:rFonts w:asciiTheme="minorEastAsia" w:hAnsiTheme="minorEastAsia" w:eastAsiaTheme="minorEastAsia"/>
              </w:rPr>
            </w:pPr>
          </w:p>
        </w:tc>
        <w:tc>
          <w:tcPr>
            <w:tcW w:w="3420" w:type="dxa"/>
            <w:gridSpan w:val="4"/>
            <w:vAlign w:val="center"/>
          </w:tcPr>
          <w:p w14:paraId="5D1C94E8">
            <w:pPr>
              <w:spacing w:line="400" w:lineRule="exact"/>
              <w:rPr>
                <w:rFonts w:asciiTheme="minorEastAsia" w:hAnsiTheme="minorEastAsia" w:eastAsiaTheme="minorEastAsia"/>
              </w:rPr>
            </w:pPr>
          </w:p>
        </w:tc>
        <w:tc>
          <w:tcPr>
            <w:tcW w:w="1261" w:type="dxa"/>
            <w:vAlign w:val="center"/>
          </w:tcPr>
          <w:p w14:paraId="51CF011D">
            <w:pPr>
              <w:spacing w:line="400" w:lineRule="exact"/>
              <w:rPr>
                <w:rFonts w:asciiTheme="minorEastAsia" w:hAnsiTheme="minorEastAsia" w:eastAsiaTheme="minorEastAsia"/>
              </w:rPr>
            </w:pPr>
          </w:p>
        </w:tc>
        <w:tc>
          <w:tcPr>
            <w:tcW w:w="2297" w:type="dxa"/>
            <w:gridSpan w:val="2"/>
            <w:vAlign w:val="center"/>
          </w:tcPr>
          <w:p w14:paraId="642CB838">
            <w:pPr>
              <w:spacing w:line="400" w:lineRule="exact"/>
              <w:rPr>
                <w:rFonts w:asciiTheme="minorEastAsia" w:hAnsiTheme="minorEastAsia" w:eastAsiaTheme="minorEastAsia"/>
              </w:rPr>
            </w:pPr>
          </w:p>
        </w:tc>
      </w:tr>
      <w:tr w14:paraId="19DE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14:paraId="7F6DCC4E">
            <w:pPr>
              <w:spacing w:line="400" w:lineRule="exact"/>
              <w:rPr>
                <w:rFonts w:asciiTheme="minorEastAsia" w:hAnsiTheme="minorEastAsia" w:eastAsiaTheme="minorEastAsia"/>
              </w:rPr>
            </w:pPr>
          </w:p>
        </w:tc>
        <w:tc>
          <w:tcPr>
            <w:tcW w:w="3420" w:type="dxa"/>
            <w:gridSpan w:val="4"/>
            <w:vAlign w:val="center"/>
          </w:tcPr>
          <w:p w14:paraId="348F3DE0">
            <w:pPr>
              <w:spacing w:line="400" w:lineRule="exact"/>
              <w:rPr>
                <w:rFonts w:asciiTheme="minorEastAsia" w:hAnsiTheme="minorEastAsia" w:eastAsiaTheme="minorEastAsia"/>
              </w:rPr>
            </w:pPr>
          </w:p>
        </w:tc>
        <w:tc>
          <w:tcPr>
            <w:tcW w:w="1261" w:type="dxa"/>
            <w:vAlign w:val="center"/>
          </w:tcPr>
          <w:p w14:paraId="3E1873AA">
            <w:pPr>
              <w:spacing w:line="400" w:lineRule="exact"/>
              <w:rPr>
                <w:rFonts w:asciiTheme="minorEastAsia" w:hAnsiTheme="minorEastAsia" w:eastAsiaTheme="minorEastAsia"/>
              </w:rPr>
            </w:pPr>
          </w:p>
        </w:tc>
        <w:tc>
          <w:tcPr>
            <w:tcW w:w="2297" w:type="dxa"/>
            <w:gridSpan w:val="2"/>
            <w:vAlign w:val="center"/>
          </w:tcPr>
          <w:p w14:paraId="32B081EC">
            <w:pPr>
              <w:spacing w:line="400" w:lineRule="exact"/>
              <w:rPr>
                <w:rFonts w:asciiTheme="minorEastAsia" w:hAnsiTheme="minorEastAsia" w:eastAsiaTheme="minorEastAsia"/>
              </w:rPr>
            </w:pPr>
          </w:p>
        </w:tc>
      </w:tr>
      <w:tr w14:paraId="3159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14:paraId="696196D2">
            <w:pPr>
              <w:spacing w:line="400" w:lineRule="exact"/>
              <w:rPr>
                <w:rFonts w:asciiTheme="minorEastAsia" w:hAnsiTheme="minorEastAsia" w:eastAsiaTheme="minorEastAsia"/>
              </w:rPr>
            </w:pPr>
          </w:p>
        </w:tc>
        <w:tc>
          <w:tcPr>
            <w:tcW w:w="3420" w:type="dxa"/>
            <w:gridSpan w:val="4"/>
            <w:vAlign w:val="center"/>
          </w:tcPr>
          <w:p w14:paraId="40CE035C">
            <w:pPr>
              <w:spacing w:line="400" w:lineRule="exact"/>
              <w:rPr>
                <w:rFonts w:asciiTheme="minorEastAsia" w:hAnsiTheme="minorEastAsia" w:eastAsiaTheme="minorEastAsia"/>
              </w:rPr>
            </w:pPr>
          </w:p>
        </w:tc>
        <w:tc>
          <w:tcPr>
            <w:tcW w:w="1261" w:type="dxa"/>
            <w:vAlign w:val="center"/>
          </w:tcPr>
          <w:p w14:paraId="4F5FBA08">
            <w:pPr>
              <w:spacing w:line="400" w:lineRule="exact"/>
              <w:rPr>
                <w:rFonts w:asciiTheme="minorEastAsia" w:hAnsiTheme="minorEastAsia" w:eastAsiaTheme="minorEastAsia"/>
              </w:rPr>
            </w:pPr>
          </w:p>
        </w:tc>
        <w:tc>
          <w:tcPr>
            <w:tcW w:w="2297" w:type="dxa"/>
            <w:gridSpan w:val="2"/>
            <w:vAlign w:val="center"/>
          </w:tcPr>
          <w:p w14:paraId="08314723">
            <w:pPr>
              <w:spacing w:line="400" w:lineRule="exact"/>
              <w:rPr>
                <w:rFonts w:asciiTheme="minorEastAsia" w:hAnsiTheme="minorEastAsia" w:eastAsiaTheme="minorEastAsia"/>
              </w:rPr>
            </w:pPr>
          </w:p>
        </w:tc>
      </w:tr>
    </w:tbl>
    <w:p w14:paraId="7189C221">
      <w:pPr>
        <w:spacing w:line="360" w:lineRule="auto"/>
        <w:ind w:firstLine="420" w:firstLineChars="200"/>
        <w:rPr>
          <w:rFonts w:asciiTheme="minorEastAsia" w:hAnsiTheme="minorEastAsia" w:eastAsiaTheme="minorEastAsia"/>
        </w:rPr>
      </w:pPr>
    </w:p>
    <w:p w14:paraId="21A1FB2A">
      <w:pPr>
        <w:spacing w:line="360" w:lineRule="auto"/>
        <w:ind w:firstLine="420" w:firstLineChars="200"/>
        <w:rPr>
          <w:rFonts w:asciiTheme="minorEastAsia" w:hAnsiTheme="minorEastAsia" w:eastAsiaTheme="minorEastAsia"/>
        </w:rPr>
      </w:pPr>
      <w:r>
        <w:rPr>
          <w:rFonts w:asciiTheme="minorEastAsia" w:hAnsiTheme="minorEastAsia" w:eastAsiaTheme="minorEastAsia"/>
        </w:rPr>
        <w:t>注：投标人应根据投标人须知前附表第</w:t>
      </w:r>
      <w:r>
        <w:rPr>
          <w:rFonts w:hint="eastAsia" w:asciiTheme="minorEastAsia" w:hAnsiTheme="minorEastAsia" w:eastAsiaTheme="minorEastAsia"/>
        </w:rPr>
        <w:t>1.4.1项“拟派监理人员”</w:t>
      </w:r>
      <w:r>
        <w:rPr>
          <w:rFonts w:asciiTheme="minorEastAsia" w:hAnsiTheme="minorEastAsia" w:eastAsiaTheme="minorEastAsia"/>
        </w:rPr>
        <w:t>在本表后附相关证明材料。</w:t>
      </w:r>
    </w:p>
    <w:p w14:paraId="3E3F794C">
      <w:pPr>
        <w:spacing w:line="360" w:lineRule="auto"/>
        <w:rPr>
          <w:rFonts w:ascii="宋体" w:hAnsi="宋体" w:cs="宋体"/>
        </w:rPr>
      </w:pPr>
    </w:p>
    <w:p w14:paraId="1428EED9">
      <w:pPr>
        <w:pStyle w:val="8"/>
        <w:rPr>
          <w:rFonts w:ascii="宋体" w:hAnsi="宋体" w:cs="宋体"/>
        </w:rPr>
      </w:pPr>
    </w:p>
    <w:p w14:paraId="1438FE21">
      <w:pPr>
        <w:rPr>
          <w:rFonts w:ascii="宋体" w:hAnsi="宋体" w:cs="宋体"/>
        </w:rPr>
      </w:pPr>
    </w:p>
    <w:p w14:paraId="7A16E426">
      <w:pPr>
        <w:pStyle w:val="8"/>
        <w:rPr>
          <w:rFonts w:ascii="宋体" w:hAnsi="宋体" w:cs="宋体"/>
        </w:rPr>
      </w:pPr>
    </w:p>
    <w:p w14:paraId="3342EDE0">
      <w:pPr>
        <w:rPr>
          <w:rFonts w:ascii="宋体" w:hAnsi="宋体" w:cs="宋体"/>
        </w:rPr>
      </w:pPr>
    </w:p>
    <w:p w14:paraId="15BD73BE">
      <w:pPr>
        <w:pStyle w:val="8"/>
        <w:rPr>
          <w:rFonts w:ascii="宋体" w:hAnsi="宋体" w:cs="宋体"/>
        </w:rPr>
      </w:pPr>
    </w:p>
    <w:p w14:paraId="1BE7BDE1">
      <w:pPr>
        <w:rPr>
          <w:rFonts w:ascii="宋体" w:hAnsi="宋体" w:cs="宋体"/>
        </w:rPr>
      </w:pPr>
    </w:p>
    <w:p w14:paraId="40C1A1BA">
      <w:pPr>
        <w:pStyle w:val="8"/>
        <w:rPr>
          <w:rFonts w:ascii="宋体" w:hAnsi="宋体" w:cs="宋体"/>
        </w:rPr>
      </w:pPr>
    </w:p>
    <w:p w14:paraId="6C64BA7B">
      <w:pPr>
        <w:rPr>
          <w:rFonts w:ascii="宋体" w:hAnsi="宋体" w:cs="宋体"/>
        </w:rPr>
      </w:pPr>
    </w:p>
    <w:p w14:paraId="5E72C240">
      <w:pPr>
        <w:pStyle w:val="8"/>
        <w:rPr>
          <w:rFonts w:ascii="宋体" w:hAnsi="宋体" w:cs="宋体"/>
        </w:rPr>
      </w:pPr>
    </w:p>
    <w:p w14:paraId="4BC43905">
      <w:pPr>
        <w:rPr>
          <w:rFonts w:ascii="宋体" w:hAnsi="宋体" w:cs="宋体"/>
        </w:rPr>
      </w:pPr>
    </w:p>
    <w:p w14:paraId="1ED33870">
      <w:pPr>
        <w:pStyle w:val="8"/>
        <w:rPr>
          <w:rFonts w:ascii="宋体" w:hAnsi="宋体" w:cs="宋体"/>
        </w:rPr>
      </w:pPr>
    </w:p>
    <w:p w14:paraId="61560991">
      <w:pPr>
        <w:rPr>
          <w:rFonts w:ascii="宋体" w:hAnsi="宋体" w:cs="宋体"/>
        </w:rPr>
      </w:pPr>
    </w:p>
    <w:p w14:paraId="60A6E1BD">
      <w:pPr>
        <w:pStyle w:val="8"/>
      </w:pPr>
    </w:p>
    <w:p w14:paraId="3778A3B9">
      <w:pPr>
        <w:pStyle w:val="8"/>
      </w:pPr>
    </w:p>
    <w:p w14:paraId="7BAB5493">
      <w:pPr>
        <w:pStyle w:val="5"/>
        <w:spacing w:before="0" w:line="360" w:lineRule="auto"/>
        <w:jc w:val="center"/>
        <w:rPr>
          <w:rFonts w:ascii="宋体" w:hAnsi="宋体" w:cs="宋体"/>
        </w:rPr>
      </w:pPr>
      <w:bookmarkStart w:id="828" w:name="_Toc509218867"/>
      <w:bookmarkStart w:id="829" w:name="_Toc40569221"/>
      <w:bookmarkStart w:id="830" w:name="_Toc13989"/>
      <w:bookmarkStart w:id="831" w:name="_Toc17051"/>
      <w:bookmarkStart w:id="832" w:name="_Toc14121"/>
      <w:r>
        <w:rPr>
          <w:rFonts w:hint="eastAsia" w:ascii="宋体" w:hAnsi="宋体" w:cs="宋体"/>
          <w:b w:val="0"/>
        </w:rPr>
        <w:t>（七）</w:t>
      </w:r>
      <w:bookmarkEnd w:id="828"/>
      <w:r>
        <w:rPr>
          <w:rFonts w:hint="eastAsia" w:ascii="宋体" w:hAnsi="宋体" w:cs="宋体"/>
          <w:b w:val="0"/>
        </w:rPr>
        <w:t>其他资料</w:t>
      </w:r>
      <w:bookmarkEnd w:id="829"/>
      <w:bookmarkEnd w:id="830"/>
      <w:bookmarkEnd w:id="831"/>
      <w:bookmarkEnd w:id="832"/>
    </w:p>
    <w:bookmarkEnd w:id="741"/>
    <w:bookmarkEnd w:id="742"/>
    <w:bookmarkEnd w:id="743"/>
    <w:p w14:paraId="42FE34E4">
      <w:pPr>
        <w:pStyle w:val="2"/>
        <w:numPr>
          <w:ilvl w:val="0"/>
          <w:numId w:val="5"/>
        </w:numPr>
        <w:tabs>
          <w:tab w:val="left" w:pos="786"/>
        </w:tabs>
      </w:pPr>
      <w:r>
        <w:rPr>
          <w:rFonts w:hint="eastAsia"/>
        </w:rPr>
        <w:t>......</w:t>
      </w:r>
      <w:r>
        <w:tab/>
      </w:r>
    </w:p>
    <w:p w14:paraId="20E43DC2"/>
    <w:p w14:paraId="035AB6E0">
      <w:pPr>
        <w:pStyle w:val="2"/>
      </w:pPr>
    </w:p>
    <w:p w14:paraId="79F60F85"/>
    <w:p w14:paraId="543C1FB0">
      <w:pPr>
        <w:pStyle w:val="2"/>
      </w:pPr>
    </w:p>
    <w:p w14:paraId="608E14DE"/>
    <w:p w14:paraId="589F5B0F">
      <w:pPr>
        <w:pStyle w:val="2"/>
      </w:pPr>
    </w:p>
    <w:p w14:paraId="29F8C927"/>
    <w:p w14:paraId="2E29533E">
      <w:pPr>
        <w:pStyle w:val="2"/>
      </w:pPr>
    </w:p>
    <w:p w14:paraId="3EEFF168"/>
    <w:p w14:paraId="140F1A7E"/>
    <w:p w14:paraId="7581EFB4">
      <w:pPr>
        <w:pStyle w:val="2"/>
        <w:jc w:val="center"/>
      </w:pPr>
      <w:r>
        <w:rPr>
          <w:rFonts w:hint="eastAsia"/>
        </w:rPr>
        <w:t>（结束）</w:t>
      </w:r>
    </w:p>
    <w:sectPr>
      <w:headerReference r:id="rId3" w:type="default"/>
      <w:footerReference r:id="rId4" w:type="default"/>
      <w:footerReference r:id="rId5" w:type="even"/>
      <w:pgSz w:w="11906" w:h="16838"/>
      <w:pgMar w:top="1304" w:right="1134" w:bottom="1304" w:left="1304" w:header="567"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031DE">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53266">
                          <w:pPr>
                            <w:pStyle w:val="13"/>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muik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JmuiktAgAAWQQAAA4AAAAAAAAAAQAgAAAAHwEAAGRycy9lMm9Eb2MueG1sUEsFBgAAAAAG&#10;AAYAWQEAAL4FAAAAAA==&#10;">
              <v:fill on="f" focussize="0,0"/>
              <v:stroke on="f" weight="0.5pt"/>
              <v:imagedata o:title=""/>
              <o:lock v:ext="edit" aspectratio="f"/>
              <v:textbox inset="0mm,0mm,0mm,0mm" style="mso-fit-shape-to-text:t;">
                <w:txbxContent>
                  <w:p w14:paraId="47C53266">
                    <w:pPr>
                      <w:pStyle w:val="13"/>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FC635">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264</w:t>
    </w:r>
    <w:r>
      <w:fldChar w:fldCharType="end"/>
    </w:r>
  </w:p>
  <w:p w14:paraId="0423E70E">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309FB">
    <w:pPr>
      <w:pStyle w:val="14"/>
      <w:pBdr>
        <w:bottom w:val="none" w:color="auto" w:sz="0" w:space="1"/>
      </w:pBdr>
      <w:ind w:firstLine="540" w:firstLineChars="300"/>
      <w:jc w:val="both"/>
    </w:pPr>
    <w:r>
      <w:rPr>
        <w:rFonts w:hint="eastAsia"/>
      </w:rPr>
      <w:t xml:space="preserve">                                 </w:t>
    </w:r>
  </w:p>
  <w:p w14:paraId="4A7DF4F5">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462EF"/>
    <w:multiLevelType w:val="singleLevel"/>
    <w:tmpl w:val="846462EF"/>
    <w:lvl w:ilvl="0" w:tentative="0">
      <w:start w:val="3"/>
      <w:numFmt w:val="decimal"/>
      <w:suff w:val="nothing"/>
      <w:lvlText w:val="（%1）"/>
      <w:lvlJc w:val="left"/>
    </w:lvl>
  </w:abstractNum>
  <w:abstractNum w:abstractNumId="1">
    <w:nsid w:val="886BAA23"/>
    <w:multiLevelType w:val="singleLevel"/>
    <w:tmpl w:val="886BAA23"/>
    <w:lvl w:ilvl="0" w:tentative="0">
      <w:start w:val="1"/>
      <w:numFmt w:val="decimal"/>
      <w:suff w:val="nothing"/>
      <w:lvlText w:val="%1、"/>
      <w:lvlJc w:val="left"/>
    </w:lvl>
  </w:abstractNum>
  <w:abstractNum w:abstractNumId="2">
    <w:nsid w:val="C7E8F8E5"/>
    <w:multiLevelType w:val="singleLevel"/>
    <w:tmpl w:val="C7E8F8E5"/>
    <w:lvl w:ilvl="0" w:tentative="0">
      <w:start w:val="2"/>
      <w:numFmt w:val="decimal"/>
      <w:suff w:val="space"/>
      <w:lvlText w:val="%1."/>
      <w:lvlJc w:val="left"/>
    </w:lvl>
  </w:abstractNum>
  <w:abstractNum w:abstractNumId="3">
    <w:nsid w:val="076391B8"/>
    <w:multiLevelType w:val="singleLevel"/>
    <w:tmpl w:val="076391B8"/>
    <w:lvl w:ilvl="0" w:tentative="0">
      <w:start w:val="2"/>
      <w:numFmt w:val="chineseCounting"/>
      <w:suff w:val="nothing"/>
      <w:lvlText w:val="%1、"/>
      <w:lvlJc w:val="left"/>
      <w:rPr>
        <w:rFonts w:hint="eastAsia"/>
      </w:rPr>
    </w:lvl>
  </w:abstractNum>
  <w:abstractNum w:abstractNumId="4">
    <w:nsid w:val="49EA6324"/>
    <w:multiLevelType w:val="multilevel"/>
    <w:tmpl w:val="49EA6324"/>
    <w:lvl w:ilvl="0" w:tentative="0">
      <w:start w:val="1"/>
      <w:numFmt w:val="decimal"/>
      <w:lvlText w:val="%1"/>
      <w:lvlJc w:val="left"/>
      <w:pPr>
        <w:ind w:left="480" w:hanging="480"/>
      </w:pPr>
      <w:rPr>
        <w:rFonts w:hint="default"/>
        <w:sz w:val="24"/>
      </w:rPr>
    </w:lvl>
    <w:lvl w:ilvl="1" w:tentative="0">
      <w:start w:val="1"/>
      <w:numFmt w:val="decimal"/>
      <w:lvlText w:val="%1-%2"/>
      <w:lvlJc w:val="left"/>
      <w:pPr>
        <w:ind w:left="960" w:hanging="480"/>
      </w:pPr>
      <w:rPr>
        <w:rFonts w:hint="default"/>
        <w:sz w:val="24"/>
      </w:rPr>
    </w:lvl>
    <w:lvl w:ilvl="2" w:tentative="0">
      <w:start w:val="1"/>
      <w:numFmt w:val="decimal"/>
      <w:lvlText w:val="%1-%2.%3"/>
      <w:lvlJc w:val="left"/>
      <w:pPr>
        <w:ind w:left="1680" w:hanging="720"/>
      </w:pPr>
      <w:rPr>
        <w:rFonts w:hint="default"/>
        <w:sz w:val="24"/>
      </w:rPr>
    </w:lvl>
    <w:lvl w:ilvl="3" w:tentative="0">
      <w:start w:val="1"/>
      <w:numFmt w:val="decimal"/>
      <w:lvlText w:val="%1-%2.%3.%4"/>
      <w:lvlJc w:val="left"/>
      <w:pPr>
        <w:ind w:left="2520" w:hanging="1080"/>
      </w:pPr>
      <w:rPr>
        <w:rFonts w:hint="default"/>
        <w:sz w:val="24"/>
      </w:rPr>
    </w:lvl>
    <w:lvl w:ilvl="4" w:tentative="0">
      <w:start w:val="1"/>
      <w:numFmt w:val="decimal"/>
      <w:lvlText w:val="%1-%2.%3.%4.%5"/>
      <w:lvlJc w:val="left"/>
      <w:pPr>
        <w:ind w:left="3000" w:hanging="1080"/>
      </w:pPr>
      <w:rPr>
        <w:rFonts w:hint="default"/>
        <w:sz w:val="24"/>
      </w:rPr>
    </w:lvl>
    <w:lvl w:ilvl="5" w:tentative="0">
      <w:start w:val="1"/>
      <w:numFmt w:val="decimal"/>
      <w:lvlText w:val="%1-%2.%3.%4.%5.%6"/>
      <w:lvlJc w:val="left"/>
      <w:pPr>
        <w:ind w:left="3840" w:hanging="1440"/>
      </w:pPr>
      <w:rPr>
        <w:rFonts w:hint="default"/>
        <w:sz w:val="24"/>
      </w:rPr>
    </w:lvl>
    <w:lvl w:ilvl="6" w:tentative="0">
      <w:start w:val="1"/>
      <w:numFmt w:val="decimal"/>
      <w:lvlText w:val="%1-%2.%3.%4.%5.%6.%7"/>
      <w:lvlJc w:val="left"/>
      <w:pPr>
        <w:ind w:left="4320" w:hanging="1440"/>
      </w:pPr>
      <w:rPr>
        <w:rFonts w:hint="default"/>
        <w:sz w:val="24"/>
      </w:rPr>
    </w:lvl>
    <w:lvl w:ilvl="7" w:tentative="0">
      <w:start w:val="1"/>
      <w:numFmt w:val="decimal"/>
      <w:lvlText w:val="%1-%2.%3.%4.%5.%6.%7.%8"/>
      <w:lvlJc w:val="left"/>
      <w:pPr>
        <w:ind w:left="5160" w:hanging="1800"/>
      </w:pPr>
      <w:rPr>
        <w:rFonts w:hint="default"/>
        <w:sz w:val="24"/>
      </w:rPr>
    </w:lvl>
    <w:lvl w:ilvl="8" w:tentative="0">
      <w:start w:val="1"/>
      <w:numFmt w:val="decimal"/>
      <w:lvlText w:val="%1-%2.%3.%4.%5.%6.%7.%8.%9"/>
      <w:lvlJc w:val="left"/>
      <w:pPr>
        <w:ind w:left="5640" w:hanging="1800"/>
      </w:pPr>
      <w:rPr>
        <w:rFonts w:hint="default"/>
        <w:sz w:val="24"/>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OTk2YmZjZjk1ODc5MjY5ZjA2ZTRkM2U4ZGMwMmQifQ=="/>
  </w:docVars>
  <w:rsids>
    <w:rsidRoot w:val="2FFE23A7"/>
    <w:rsid w:val="00000C8E"/>
    <w:rsid w:val="00002B37"/>
    <w:rsid w:val="000033E5"/>
    <w:rsid w:val="0002722D"/>
    <w:rsid w:val="00055FDF"/>
    <w:rsid w:val="00064D13"/>
    <w:rsid w:val="00073E24"/>
    <w:rsid w:val="000A5C0C"/>
    <w:rsid w:val="000A5C3D"/>
    <w:rsid w:val="000C7527"/>
    <w:rsid w:val="000D726C"/>
    <w:rsid w:val="000E44F5"/>
    <w:rsid w:val="000F53C0"/>
    <w:rsid w:val="000F5632"/>
    <w:rsid w:val="00117163"/>
    <w:rsid w:val="00143374"/>
    <w:rsid w:val="00144007"/>
    <w:rsid w:val="00153DA9"/>
    <w:rsid w:val="001B481A"/>
    <w:rsid w:val="001B768B"/>
    <w:rsid w:val="001C2067"/>
    <w:rsid w:val="001C5BDC"/>
    <w:rsid w:val="001E6323"/>
    <w:rsid w:val="00234C90"/>
    <w:rsid w:val="002566D5"/>
    <w:rsid w:val="002629B8"/>
    <w:rsid w:val="00267283"/>
    <w:rsid w:val="002765D4"/>
    <w:rsid w:val="00294F67"/>
    <w:rsid w:val="0029634C"/>
    <w:rsid w:val="002B7C23"/>
    <w:rsid w:val="00312024"/>
    <w:rsid w:val="00313C18"/>
    <w:rsid w:val="0032001C"/>
    <w:rsid w:val="0032066B"/>
    <w:rsid w:val="0032226A"/>
    <w:rsid w:val="00322BB3"/>
    <w:rsid w:val="00342349"/>
    <w:rsid w:val="00353965"/>
    <w:rsid w:val="00354867"/>
    <w:rsid w:val="00375856"/>
    <w:rsid w:val="00387B80"/>
    <w:rsid w:val="003C2355"/>
    <w:rsid w:val="003C740C"/>
    <w:rsid w:val="004010C5"/>
    <w:rsid w:val="0040385C"/>
    <w:rsid w:val="00430E7F"/>
    <w:rsid w:val="00467B2C"/>
    <w:rsid w:val="004A7B15"/>
    <w:rsid w:val="004C05E5"/>
    <w:rsid w:val="004C4CAE"/>
    <w:rsid w:val="004C69CC"/>
    <w:rsid w:val="004E2A3C"/>
    <w:rsid w:val="004F65F7"/>
    <w:rsid w:val="005370DE"/>
    <w:rsid w:val="00542DF8"/>
    <w:rsid w:val="00556464"/>
    <w:rsid w:val="005604C1"/>
    <w:rsid w:val="0057391E"/>
    <w:rsid w:val="005763A9"/>
    <w:rsid w:val="005776C6"/>
    <w:rsid w:val="00583DD2"/>
    <w:rsid w:val="005A3387"/>
    <w:rsid w:val="00613AB1"/>
    <w:rsid w:val="00637EEC"/>
    <w:rsid w:val="00651304"/>
    <w:rsid w:val="00663D2E"/>
    <w:rsid w:val="00682E4A"/>
    <w:rsid w:val="00694480"/>
    <w:rsid w:val="006B4869"/>
    <w:rsid w:val="006F242D"/>
    <w:rsid w:val="00724A8C"/>
    <w:rsid w:val="007257AD"/>
    <w:rsid w:val="00727D64"/>
    <w:rsid w:val="007358D2"/>
    <w:rsid w:val="00742199"/>
    <w:rsid w:val="00782E30"/>
    <w:rsid w:val="007A3440"/>
    <w:rsid w:val="007B781D"/>
    <w:rsid w:val="007C065A"/>
    <w:rsid w:val="007C3D1C"/>
    <w:rsid w:val="007E0EA6"/>
    <w:rsid w:val="007E2BAD"/>
    <w:rsid w:val="00804464"/>
    <w:rsid w:val="00805E18"/>
    <w:rsid w:val="00813FC0"/>
    <w:rsid w:val="0082335B"/>
    <w:rsid w:val="00823CFA"/>
    <w:rsid w:val="00831EDC"/>
    <w:rsid w:val="00844310"/>
    <w:rsid w:val="0084511E"/>
    <w:rsid w:val="0084759E"/>
    <w:rsid w:val="00847BE4"/>
    <w:rsid w:val="008550AD"/>
    <w:rsid w:val="00865809"/>
    <w:rsid w:val="00885C3B"/>
    <w:rsid w:val="0089167A"/>
    <w:rsid w:val="008921BD"/>
    <w:rsid w:val="008C7427"/>
    <w:rsid w:val="009054EA"/>
    <w:rsid w:val="00934868"/>
    <w:rsid w:val="00942580"/>
    <w:rsid w:val="009710EC"/>
    <w:rsid w:val="00971741"/>
    <w:rsid w:val="00971F07"/>
    <w:rsid w:val="00973B42"/>
    <w:rsid w:val="0099102C"/>
    <w:rsid w:val="009A36C0"/>
    <w:rsid w:val="009A6B27"/>
    <w:rsid w:val="009B6E03"/>
    <w:rsid w:val="009D1E1D"/>
    <w:rsid w:val="009D3690"/>
    <w:rsid w:val="00A21778"/>
    <w:rsid w:val="00A42E85"/>
    <w:rsid w:val="00A82919"/>
    <w:rsid w:val="00AA21E7"/>
    <w:rsid w:val="00AB1CD5"/>
    <w:rsid w:val="00AC2F56"/>
    <w:rsid w:val="00AC52CF"/>
    <w:rsid w:val="00AD5691"/>
    <w:rsid w:val="00AE702E"/>
    <w:rsid w:val="00AF5A6D"/>
    <w:rsid w:val="00B0343C"/>
    <w:rsid w:val="00B263E7"/>
    <w:rsid w:val="00B47711"/>
    <w:rsid w:val="00B727C6"/>
    <w:rsid w:val="00B83B3F"/>
    <w:rsid w:val="00B861DD"/>
    <w:rsid w:val="00BA273E"/>
    <w:rsid w:val="00BC6456"/>
    <w:rsid w:val="00BD0A58"/>
    <w:rsid w:val="00BD1D2F"/>
    <w:rsid w:val="00BE4520"/>
    <w:rsid w:val="00C17192"/>
    <w:rsid w:val="00C203EA"/>
    <w:rsid w:val="00C46144"/>
    <w:rsid w:val="00CC054F"/>
    <w:rsid w:val="00CC5D02"/>
    <w:rsid w:val="00CD4C57"/>
    <w:rsid w:val="00CD6064"/>
    <w:rsid w:val="00CF7EB4"/>
    <w:rsid w:val="00D11AD0"/>
    <w:rsid w:val="00D21BA6"/>
    <w:rsid w:val="00D41C61"/>
    <w:rsid w:val="00D861DD"/>
    <w:rsid w:val="00D9771E"/>
    <w:rsid w:val="00DB0D93"/>
    <w:rsid w:val="00DD2D76"/>
    <w:rsid w:val="00DD46EB"/>
    <w:rsid w:val="00DF1354"/>
    <w:rsid w:val="00DF2F7F"/>
    <w:rsid w:val="00E1048D"/>
    <w:rsid w:val="00E16280"/>
    <w:rsid w:val="00E303D2"/>
    <w:rsid w:val="00E47489"/>
    <w:rsid w:val="00E52C41"/>
    <w:rsid w:val="00E62407"/>
    <w:rsid w:val="00E64A3E"/>
    <w:rsid w:val="00E74EBA"/>
    <w:rsid w:val="00EA14CA"/>
    <w:rsid w:val="00EC2B24"/>
    <w:rsid w:val="00EC411B"/>
    <w:rsid w:val="00ED18D0"/>
    <w:rsid w:val="00ED563F"/>
    <w:rsid w:val="00EE086B"/>
    <w:rsid w:val="00EE0E6A"/>
    <w:rsid w:val="00EE14E7"/>
    <w:rsid w:val="00EE1B33"/>
    <w:rsid w:val="00F008E3"/>
    <w:rsid w:val="00F12567"/>
    <w:rsid w:val="00F4239F"/>
    <w:rsid w:val="00F50A5C"/>
    <w:rsid w:val="00F85312"/>
    <w:rsid w:val="00FB2307"/>
    <w:rsid w:val="00FB666A"/>
    <w:rsid w:val="00FC4AFE"/>
    <w:rsid w:val="00FC4DE1"/>
    <w:rsid w:val="0101295B"/>
    <w:rsid w:val="011A58BF"/>
    <w:rsid w:val="01203623"/>
    <w:rsid w:val="014C08E4"/>
    <w:rsid w:val="0156352C"/>
    <w:rsid w:val="01606066"/>
    <w:rsid w:val="018938E5"/>
    <w:rsid w:val="019D6E0D"/>
    <w:rsid w:val="01CD415B"/>
    <w:rsid w:val="01D3669D"/>
    <w:rsid w:val="01DA7BBE"/>
    <w:rsid w:val="01EC2AB6"/>
    <w:rsid w:val="02044401"/>
    <w:rsid w:val="02054EE3"/>
    <w:rsid w:val="021D21E9"/>
    <w:rsid w:val="02266A44"/>
    <w:rsid w:val="022877CA"/>
    <w:rsid w:val="023B2665"/>
    <w:rsid w:val="02693AEB"/>
    <w:rsid w:val="02745AB3"/>
    <w:rsid w:val="027658FA"/>
    <w:rsid w:val="0293255D"/>
    <w:rsid w:val="02C414C0"/>
    <w:rsid w:val="02CB1EC8"/>
    <w:rsid w:val="02D4401F"/>
    <w:rsid w:val="02DD40E6"/>
    <w:rsid w:val="03062D2F"/>
    <w:rsid w:val="03083E17"/>
    <w:rsid w:val="030D278A"/>
    <w:rsid w:val="032145A1"/>
    <w:rsid w:val="033A0C2B"/>
    <w:rsid w:val="03526D1B"/>
    <w:rsid w:val="03546813"/>
    <w:rsid w:val="035624C1"/>
    <w:rsid w:val="035B1CDD"/>
    <w:rsid w:val="03B17681"/>
    <w:rsid w:val="03D8510C"/>
    <w:rsid w:val="03E0702B"/>
    <w:rsid w:val="03F813BD"/>
    <w:rsid w:val="040F50BD"/>
    <w:rsid w:val="0410603C"/>
    <w:rsid w:val="04116A0A"/>
    <w:rsid w:val="042C2334"/>
    <w:rsid w:val="04493B13"/>
    <w:rsid w:val="04713BE2"/>
    <w:rsid w:val="04881106"/>
    <w:rsid w:val="048F5F6A"/>
    <w:rsid w:val="04974B34"/>
    <w:rsid w:val="04A00C18"/>
    <w:rsid w:val="04DC6ABB"/>
    <w:rsid w:val="04E40345"/>
    <w:rsid w:val="050829F7"/>
    <w:rsid w:val="051C4A8C"/>
    <w:rsid w:val="052E1B4C"/>
    <w:rsid w:val="05524952"/>
    <w:rsid w:val="0562046B"/>
    <w:rsid w:val="058E3945"/>
    <w:rsid w:val="05C4339F"/>
    <w:rsid w:val="05CD514E"/>
    <w:rsid w:val="05E608E0"/>
    <w:rsid w:val="05ED7633"/>
    <w:rsid w:val="05F03069"/>
    <w:rsid w:val="05FB176F"/>
    <w:rsid w:val="05FE5F77"/>
    <w:rsid w:val="060D02D3"/>
    <w:rsid w:val="06254CBA"/>
    <w:rsid w:val="06262D05"/>
    <w:rsid w:val="06401908"/>
    <w:rsid w:val="0640415C"/>
    <w:rsid w:val="06477725"/>
    <w:rsid w:val="068B2114"/>
    <w:rsid w:val="06AF2A09"/>
    <w:rsid w:val="06B65E46"/>
    <w:rsid w:val="06BD19F7"/>
    <w:rsid w:val="06C4362D"/>
    <w:rsid w:val="06E87DA0"/>
    <w:rsid w:val="06FE70E5"/>
    <w:rsid w:val="0706182A"/>
    <w:rsid w:val="07263260"/>
    <w:rsid w:val="073B7D2E"/>
    <w:rsid w:val="07736497"/>
    <w:rsid w:val="07891945"/>
    <w:rsid w:val="079E0602"/>
    <w:rsid w:val="07A721BC"/>
    <w:rsid w:val="07B70B97"/>
    <w:rsid w:val="07E13187"/>
    <w:rsid w:val="07E86661"/>
    <w:rsid w:val="07F0210F"/>
    <w:rsid w:val="07F77615"/>
    <w:rsid w:val="08063A96"/>
    <w:rsid w:val="081863CD"/>
    <w:rsid w:val="08193505"/>
    <w:rsid w:val="081B2A9D"/>
    <w:rsid w:val="083A65ED"/>
    <w:rsid w:val="08417246"/>
    <w:rsid w:val="084726CB"/>
    <w:rsid w:val="085207C5"/>
    <w:rsid w:val="08523812"/>
    <w:rsid w:val="08606B5E"/>
    <w:rsid w:val="087B7B7B"/>
    <w:rsid w:val="08955281"/>
    <w:rsid w:val="08B40BC8"/>
    <w:rsid w:val="08BB45BC"/>
    <w:rsid w:val="08D63513"/>
    <w:rsid w:val="08F5557E"/>
    <w:rsid w:val="092A4825"/>
    <w:rsid w:val="09362DF6"/>
    <w:rsid w:val="0983157E"/>
    <w:rsid w:val="09AA3A1D"/>
    <w:rsid w:val="09B918AE"/>
    <w:rsid w:val="09BC0874"/>
    <w:rsid w:val="09C73BE8"/>
    <w:rsid w:val="09E244F6"/>
    <w:rsid w:val="09E3331E"/>
    <w:rsid w:val="09E73EFC"/>
    <w:rsid w:val="09F2261F"/>
    <w:rsid w:val="09F86B2A"/>
    <w:rsid w:val="0A100804"/>
    <w:rsid w:val="0A194254"/>
    <w:rsid w:val="0A3347BC"/>
    <w:rsid w:val="0A4355DA"/>
    <w:rsid w:val="0A44068A"/>
    <w:rsid w:val="0A4D02BF"/>
    <w:rsid w:val="0A67133D"/>
    <w:rsid w:val="0A6A57A5"/>
    <w:rsid w:val="0ADE5E64"/>
    <w:rsid w:val="0AF22B35"/>
    <w:rsid w:val="0B1A5CD3"/>
    <w:rsid w:val="0B4D7E8E"/>
    <w:rsid w:val="0B6308E9"/>
    <w:rsid w:val="0B765350"/>
    <w:rsid w:val="0B89066D"/>
    <w:rsid w:val="0B893308"/>
    <w:rsid w:val="0B9424C2"/>
    <w:rsid w:val="0BE30AB2"/>
    <w:rsid w:val="0BE46766"/>
    <w:rsid w:val="0BE9219E"/>
    <w:rsid w:val="0BF41BB0"/>
    <w:rsid w:val="0BFE16AF"/>
    <w:rsid w:val="0C3A7C0E"/>
    <w:rsid w:val="0C4652FF"/>
    <w:rsid w:val="0C483FFD"/>
    <w:rsid w:val="0C6C1608"/>
    <w:rsid w:val="0C7C0616"/>
    <w:rsid w:val="0C880DDD"/>
    <w:rsid w:val="0C954478"/>
    <w:rsid w:val="0CA361B6"/>
    <w:rsid w:val="0CB52C05"/>
    <w:rsid w:val="0CB64DE3"/>
    <w:rsid w:val="0CC110D6"/>
    <w:rsid w:val="0CEB6AB4"/>
    <w:rsid w:val="0CFF4934"/>
    <w:rsid w:val="0D215CDD"/>
    <w:rsid w:val="0D2A00A8"/>
    <w:rsid w:val="0D57447A"/>
    <w:rsid w:val="0D5877C5"/>
    <w:rsid w:val="0D8608DB"/>
    <w:rsid w:val="0DA97B2E"/>
    <w:rsid w:val="0DC4745D"/>
    <w:rsid w:val="0DCB16CB"/>
    <w:rsid w:val="0DCF5CF9"/>
    <w:rsid w:val="0DEC1F6C"/>
    <w:rsid w:val="0E0235FA"/>
    <w:rsid w:val="0E040685"/>
    <w:rsid w:val="0E3B6343"/>
    <w:rsid w:val="0E403B88"/>
    <w:rsid w:val="0E444E5D"/>
    <w:rsid w:val="0E4608B9"/>
    <w:rsid w:val="0E78488F"/>
    <w:rsid w:val="0EB27D45"/>
    <w:rsid w:val="0EC24252"/>
    <w:rsid w:val="0EC82AF5"/>
    <w:rsid w:val="0EF60B8A"/>
    <w:rsid w:val="0EF67285"/>
    <w:rsid w:val="0F455F0B"/>
    <w:rsid w:val="0F821F29"/>
    <w:rsid w:val="0F852E27"/>
    <w:rsid w:val="0F951311"/>
    <w:rsid w:val="0F986B8D"/>
    <w:rsid w:val="0F9A17AC"/>
    <w:rsid w:val="0F9C7197"/>
    <w:rsid w:val="0FAB3072"/>
    <w:rsid w:val="0FBF2F33"/>
    <w:rsid w:val="0FC02886"/>
    <w:rsid w:val="0FCC70AF"/>
    <w:rsid w:val="0FDC535A"/>
    <w:rsid w:val="0FE070FA"/>
    <w:rsid w:val="0FE25C4D"/>
    <w:rsid w:val="0FE721C0"/>
    <w:rsid w:val="0FEA7759"/>
    <w:rsid w:val="0FED6DF6"/>
    <w:rsid w:val="0FF37FCF"/>
    <w:rsid w:val="10035202"/>
    <w:rsid w:val="100449C4"/>
    <w:rsid w:val="10166261"/>
    <w:rsid w:val="101964F1"/>
    <w:rsid w:val="1020362D"/>
    <w:rsid w:val="102A5B16"/>
    <w:rsid w:val="102C3B1F"/>
    <w:rsid w:val="10604498"/>
    <w:rsid w:val="106A794E"/>
    <w:rsid w:val="106D12E6"/>
    <w:rsid w:val="10B1077E"/>
    <w:rsid w:val="10B24586"/>
    <w:rsid w:val="10F40931"/>
    <w:rsid w:val="10F96D68"/>
    <w:rsid w:val="10FB17CA"/>
    <w:rsid w:val="10FD46D7"/>
    <w:rsid w:val="11006C13"/>
    <w:rsid w:val="11072F7B"/>
    <w:rsid w:val="11081443"/>
    <w:rsid w:val="110B4BB3"/>
    <w:rsid w:val="11424701"/>
    <w:rsid w:val="114A26A0"/>
    <w:rsid w:val="117F3285"/>
    <w:rsid w:val="1183400E"/>
    <w:rsid w:val="11B03549"/>
    <w:rsid w:val="11BD7AD1"/>
    <w:rsid w:val="11C16DD7"/>
    <w:rsid w:val="11D73AFA"/>
    <w:rsid w:val="120C2E7A"/>
    <w:rsid w:val="12196881"/>
    <w:rsid w:val="1227056E"/>
    <w:rsid w:val="12284B16"/>
    <w:rsid w:val="12492F13"/>
    <w:rsid w:val="125C0251"/>
    <w:rsid w:val="125D2F7F"/>
    <w:rsid w:val="126B6F2D"/>
    <w:rsid w:val="126F0FE9"/>
    <w:rsid w:val="129F2B53"/>
    <w:rsid w:val="12A845A8"/>
    <w:rsid w:val="12B40AA7"/>
    <w:rsid w:val="13045EFF"/>
    <w:rsid w:val="13161850"/>
    <w:rsid w:val="135E26A6"/>
    <w:rsid w:val="136E75D7"/>
    <w:rsid w:val="13704D68"/>
    <w:rsid w:val="1390697B"/>
    <w:rsid w:val="13CC2943"/>
    <w:rsid w:val="144F242A"/>
    <w:rsid w:val="145D5680"/>
    <w:rsid w:val="147A7952"/>
    <w:rsid w:val="14A20FD8"/>
    <w:rsid w:val="14C21B6F"/>
    <w:rsid w:val="14D9462E"/>
    <w:rsid w:val="14E05160"/>
    <w:rsid w:val="14F44840"/>
    <w:rsid w:val="15171E45"/>
    <w:rsid w:val="151C5F20"/>
    <w:rsid w:val="151E65FF"/>
    <w:rsid w:val="15325BF5"/>
    <w:rsid w:val="15360D63"/>
    <w:rsid w:val="1558382C"/>
    <w:rsid w:val="15701865"/>
    <w:rsid w:val="15790A9D"/>
    <w:rsid w:val="15A80ED6"/>
    <w:rsid w:val="15D41132"/>
    <w:rsid w:val="15D564C4"/>
    <w:rsid w:val="15DE44D2"/>
    <w:rsid w:val="15E77AEE"/>
    <w:rsid w:val="15EB6829"/>
    <w:rsid w:val="15EE7D7F"/>
    <w:rsid w:val="15F2470E"/>
    <w:rsid w:val="15F7061B"/>
    <w:rsid w:val="16105F47"/>
    <w:rsid w:val="16184816"/>
    <w:rsid w:val="162923AE"/>
    <w:rsid w:val="167909DF"/>
    <w:rsid w:val="167D7C9E"/>
    <w:rsid w:val="16981EF7"/>
    <w:rsid w:val="169E2CE6"/>
    <w:rsid w:val="16A55C77"/>
    <w:rsid w:val="16B45F24"/>
    <w:rsid w:val="16C032D5"/>
    <w:rsid w:val="16F56DA3"/>
    <w:rsid w:val="170A20BB"/>
    <w:rsid w:val="171B2680"/>
    <w:rsid w:val="172D48D7"/>
    <w:rsid w:val="173F71BF"/>
    <w:rsid w:val="17446A3D"/>
    <w:rsid w:val="17555615"/>
    <w:rsid w:val="1779404E"/>
    <w:rsid w:val="17955DED"/>
    <w:rsid w:val="179A111C"/>
    <w:rsid w:val="179A5FEC"/>
    <w:rsid w:val="17BF5E77"/>
    <w:rsid w:val="17C80364"/>
    <w:rsid w:val="17DA4A5F"/>
    <w:rsid w:val="184D5B81"/>
    <w:rsid w:val="18682902"/>
    <w:rsid w:val="188576FD"/>
    <w:rsid w:val="188C6DAC"/>
    <w:rsid w:val="18DD4E57"/>
    <w:rsid w:val="18EB68A6"/>
    <w:rsid w:val="18FD277E"/>
    <w:rsid w:val="192A24B1"/>
    <w:rsid w:val="194817FC"/>
    <w:rsid w:val="194A2E13"/>
    <w:rsid w:val="194B0481"/>
    <w:rsid w:val="194F38AF"/>
    <w:rsid w:val="19735F7B"/>
    <w:rsid w:val="198124BA"/>
    <w:rsid w:val="19892807"/>
    <w:rsid w:val="19B678E2"/>
    <w:rsid w:val="19DE010A"/>
    <w:rsid w:val="1A0A6E6B"/>
    <w:rsid w:val="1A1E49AB"/>
    <w:rsid w:val="1A270452"/>
    <w:rsid w:val="1A2D15F7"/>
    <w:rsid w:val="1A3E2420"/>
    <w:rsid w:val="1A3E537D"/>
    <w:rsid w:val="1A4B30EF"/>
    <w:rsid w:val="1A582C70"/>
    <w:rsid w:val="1A6557F2"/>
    <w:rsid w:val="1A6F47E7"/>
    <w:rsid w:val="1A75281D"/>
    <w:rsid w:val="1A796EDA"/>
    <w:rsid w:val="1AC3373C"/>
    <w:rsid w:val="1AC35115"/>
    <w:rsid w:val="1AC5074E"/>
    <w:rsid w:val="1ACC23CB"/>
    <w:rsid w:val="1AEE43A6"/>
    <w:rsid w:val="1AF720E7"/>
    <w:rsid w:val="1B083050"/>
    <w:rsid w:val="1B375AAA"/>
    <w:rsid w:val="1B4D5E7C"/>
    <w:rsid w:val="1B711F43"/>
    <w:rsid w:val="1B7D59C4"/>
    <w:rsid w:val="1B9851D1"/>
    <w:rsid w:val="1BA42D2D"/>
    <w:rsid w:val="1BAE39CB"/>
    <w:rsid w:val="1BCD35DA"/>
    <w:rsid w:val="1C1351EB"/>
    <w:rsid w:val="1C1C57EF"/>
    <w:rsid w:val="1C2D6A5C"/>
    <w:rsid w:val="1C3C21A2"/>
    <w:rsid w:val="1C435741"/>
    <w:rsid w:val="1C5921A5"/>
    <w:rsid w:val="1C765B70"/>
    <w:rsid w:val="1C921F6C"/>
    <w:rsid w:val="1C950DC8"/>
    <w:rsid w:val="1C9C1682"/>
    <w:rsid w:val="1CB30543"/>
    <w:rsid w:val="1CB82636"/>
    <w:rsid w:val="1CC91557"/>
    <w:rsid w:val="1CE83BE7"/>
    <w:rsid w:val="1CF345C3"/>
    <w:rsid w:val="1D0E319D"/>
    <w:rsid w:val="1D126A49"/>
    <w:rsid w:val="1D147D3C"/>
    <w:rsid w:val="1D26133C"/>
    <w:rsid w:val="1D3811FA"/>
    <w:rsid w:val="1D466FB9"/>
    <w:rsid w:val="1D617193"/>
    <w:rsid w:val="1D694302"/>
    <w:rsid w:val="1D867D1A"/>
    <w:rsid w:val="1DB96644"/>
    <w:rsid w:val="1DDE4001"/>
    <w:rsid w:val="1DDF4D1C"/>
    <w:rsid w:val="1E0F6B52"/>
    <w:rsid w:val="1E18679A"/>
    <w:rsid w:val="1E567BD3"/>
    <w:rsid w:val="1E6731D5"/>
    <w:rsid w:val="1E7320C1"/>
    <w:rsid w:val="1E8A0CAA"/>
    <w:rsid w:val="1E8C5541"/>
    <w:rsid w:val="1EAC7E0A"/>
    <w:rsid w:val="1EC42614"/>
    <w:rsid w:val="1ED80344"/>
    <w:rsid w:val="1EEA1677"/>
    <w:rsid w:val="1EED3E3E"/>
    <w:rsid w:val="1EF30FC6"/>
    <w:rsid w:val="1EF83F76"/>
    <w:rsid w:val="1F0079D8"/>
    <w:rsid w:val="1F046D4E"/>
    <w:rsid w:val="1F213EE7"/>
    <w:rsid w:val="1F2B6469"/>
    <w:rsid w:val="1F396135"/>
    <w:rsid w:val="1F3E7C39"/>
    <w:rsid w:val="1F675F89"/>
    <w:rsid w:val="1F9512A8"/>
    <w:rsid w:val="1FA56903"/>
    <w:rsid w:val="1FC74AFD"/>
    <w:rsid w:val="1FD15EE1"/>
    <w:rsid w:val="1FEB3CBD"/>
    <w:rsid w:val="1FF115A0"/>
    <w:rsid w:val="1FF75D21"/>
    <w:rsid w:val="1FFC6307"/>
    <w:rsid w:val="20237641"/>
    <w:rsid w:val="20490C69"/>
    <w:rsid w:val="204A7561"/>
    <w:rsid w:val="20523E82"/>
    <w:rsid w:val="20644807"/>
    <w:rsid w:val="206A303B"/>
    <w:rsid w:val="206F2EC4"/>
    <w:rsid w:val="207A752A"/>
    <w:rsid w:val="20810B23"/>
    <w:rsid w:val="2082196C"/>
    <w:rsid w:val="20850437"/>
    <w:rsid w:val="208C6B12"/>
    <w:rsid w:val="209C2DA4"/>
    <w:rsid w:val="20AD0837"/>
    <w:rsid w:val="20DA783F"/>
    <w:rsid w:val="210A0830"/>
    <w:rsid w:val="213F2A78"/>
    <w:rsid w:val="21414E27"/>
    <w:rsid w:val="21640601"/>
    <w:rsid w:val="218868EF"/>
    <w:rsid w:val="218B7BAB"/>
    <w:rsid w:val="218F5E02"/>
    <w:rsid w:val="219B50F6"/>
    <w:rsid w:val="21AE6EC6"/>
    <w:rsid w:val="21B30E0B"/>
    <w:rsid w:val="21C00CE5"/>
    <w:rsid w:val="21C2344F"/>
    <w:rsid w:val="21C268AC"/>
    <w:rsid w:val="21CC4F72"/>
    <w:rsid w:val="21CE0281"/>
    <w:rsid w:val="21D50E6D"/>
    <w:rsid w:val="22123F32"/>
    <w:rsid w:val="2227225B"/>
    <w:rsid w:val="22325497"/>
    <w:rsid w:val="223814FD"/>
    <w:rsid w:val="2260404C"/>
    <w:rsid w:val="22696FFE"/>
    <w:rsid w:val="227C6D79"/>
    <w:rsid w:val="22E14EBC"/>
    <w:rsid w:val="233B0B10"/>
    <w:rsid w:val="239C57B8"/>
    <w:rsid w:val="23FC376D"/>
    <w:rsid w:val="23FC7916"/>
    <w:rsid w:val="240024A9"/>
    <w:rsid w:val="24022841"/>
    <w:rsid w:val="2432352D"/>
    <w:rsid w:val="244120BC"/>
    <w:rsid w:val="24BE72A6"/>
    <w:rsid w:val="24C42F59"/>
    <w:rsid w:val="24C956C5"/>
    <w:rsid w:val="24F77E58"/>
    <w:rsid w:val="2501318E"/>
    <w:rsid w:val="250A44A9"/>
    <w:rsid w:val="251B4AC5"/>
    <w:rsid w:val="252A49EA"/>
    <w:rsid w:val="252F17E9"/>
    <w:rsid w:val="257865D0"/>
    <w:rsid w:val="25F2787D"/>
    <w:rsid w:val="263E46AC"/>
    <w:rsid w:val="264634B9"/>
    <w:rsid w:val="2649453F"/>
    <w:rsid w:val="26517EC8"/>
    <w:rsid w:val="26600EFE"/>
    <w:rsid w:val="268F7F2A"/>
    <w:rsid w:val="26960004"/>
    <w:rsid w:val="269C2FFA"/>
    <w:rsid w:val="26DA7746"/>
    <w:rsid w:val="26E66825"/>
    <w:rsid w:val="26F60996"/>
    <w:rsid w:val="27146081"/>
    <w:rsid w:val="271D5136"/>
    <w:rsid w:val="271F76D1"/>
    <w:rsid w:val="273B46F3"/>
    <w:rsid w:val="273C196F"/>
    <w:rsid w:val="273F73E6"/>
    <w:rsid w:val="274367FF"/>
    <w:rsid w:val="276726E4"/>
    <w:rsid w:val="278B50BA"/>
    <w:rsid w:val="27CA1F96"/>
    <w:rsid w:val="27D007EA"/>
    <w:rsid w:val="27E17DF0"/>
    <w:rsid w:val="27F31454"/>
    <w:rsid w:val="28291C50"/>
    <w:rsid w:val="283C177F"/>
    <w:rsid w:val="28431326"/>
    <w:rsid w:val="285068BB"/>
    <w:rsid w:val="2872406D"/>
    <w:rsid w:val="289D2BD1"/>
    <w:rsid w:val="28B0237D"/>
    <w:rsid w:val="28C82245"/>
    <w:rsid w:val="28CE63C5"/>
    <w:rsid w:val="28D361A5"/>
    <w:rsid w:val="2907582C"/>
    <w:rsid w:val="29237B49"/>
    <w:rsid w:val="293C1946"/>
    <w:rsid w:val="295764E8"/>
    <w:rsid w:val="296364ED"/>
    <w:rsid w:val="297019AD"/>
    <w:rsid w:val="297517B3"/>
    <w:rsid w:val="297F2DF4"/>
    <w:rsid w:val="2980555E"/>
    <w:rsid w:val="29A515DC"/>
    <w:rsid w:val="29A82470"/>
    <w:rsid w:val="29D05B2A"/>
    <w:rsid w:val="29F46BF1"/>
    <w:rsid w:val="29F540A1"/>
    <w:rsid w:val="2A183BA6"/>
    <w:rsid w:val="2A227FF4"/>
    <w:rsid w:val="2A491E31"/>
    <w:rsid w:val="2A5213EC"/>
    <w:rsid w:val="2A5C2BE0"/>
    <w:rsid w:val="2A5D69F0"/>
    <w:rsid w:val="2A794084"/>
    <w:rsid w:val="2A7F2862"/>
    <w:rsid w:val="2A8E3487"/>
    <w:rsid w:val="2A8F1710"/>
    <w:rsid w:val="2A98582B"/>
    <w:rsid w:val="2AA57354"/>
    <w:rsid w:val="2AA70110"/>
    <w:rsid w:val="2AB2624A"/>
    <w:rsid w:val="2ABE000A"/>
    <w:rsid w:val="2AD119E6"/>
    <w:rsid w:val="2AD4237F"/>
    <w:rsid w:val="2AF73315"/>
    <w:rsid w:val="2B0A6FB1"/>
    <w:rsid w:val="2B382E7E"/>
    <w:rsid w:val="2B3E4634"/>
    <w:rsid w:val="2B58149E"/>
    <w:rsid w:val="2B5F76F3"/>
    <w:rsid w:val="2B831A77"/>
    <w:rsid w:val="2BAD443E"/>
    <w:rsid w:val="2BC77C2C"/>
    <w:rsid w:val="2BFD3CA8"/>
    <w:rsid w:val="2C071F1F"/>
    <w:rsid w:val="2C161CE8"/>
    <w:rsid w:val="2C2600D1"/>
    <w:rsid w:val="2C35096C"/>
    <w:rsid w:val="2C3E049C"/>
    <w:rsid w:val="2C504D9D"/>
    <w:rsid w:val="2C623180"/>
    <w:rsid w:val="2C680433"/>
    <w:rsid w:val="2C822310"/>
    <w:rsid w:val="2C8A53D8"/>
    <w:rsid w:val="2C94425A"/>
    <w:rsid w:val="2C99595D"/>
    <w:rsid w:val="2CBA7F57"/>
    <w:rsid w:val="2CCA13EA"/>
    <w:rsid w:val="2CF95944"/>
    <w:rsid w:val="2D1A4251"/>
    <w:rsid w:val="2D1B339B"/>
    <w:rsid w:val="2D236ADB"/>
    <w:rsid w:val="2D2C20B9"/>
    <w:rsid w:val="2D5409B8"/>
    <w:rsid w:val="2D662B4F"/>
    <w:rsid w:val="2D732009"/>
    <w:rsid w:val="2D806F7B"/>
    <w:rsid w:val="2D905B14"/>
    <w:rsid w:val="2DA43325"/>
    <w:rsid w:val="2DEF2C3A"/>
    <w:rsid w:val="2DFB6960"/>
    <w:rsid w:val="2DFF1BF8"/>
    <w:rsid w:val="2E4B57EF"/>
    <w:rsid w:val="2E5E339D"/>
    <w:rsid w:val="2E730976"/>
    <w:rsid w:val="2E7902E6"/>
    <w:rsid w:val="2EBE07BC"/>
    <w:rsid w:val="2EC44E9E"/>
    <w:rsid w:val="2ED95C08"/>
    <w:rsid w:val="2EDB4C10"/>
    <w:rsid w:val="2EED7876"/>
    <w:rsid w:val="2EF77DE6"/>
    <w:rsid w:val="2F154697"/>
    <w:rsid w:val="2F230380"/>
    <w:rsid w:val="2F5351D7"/>
    <w:rsid w:val="2F7228AC"/>
    <w:rsid w:val="2FC71547"/>
    <w:rsid w:val="2FE45510"/>
    <w:rsid w:val="2FFE23A7"/>
    <w:rsid w:val="2FFE4C0B"/>
    <w:rsid w:val="3007281E"/>
    <w:rsid w:val="300F503A"/>
    <w:rsid w:val="303B1BE3"/>
    <w:rsid w:val="305B3E0B"/>
    <w:rsid w:val="3062166C"/>
    <w:rsid w:val="306554F5"/>
    <w:rsid w:val="30A60B13"/>
    <w:rsid w:val="30B56118"/>
    <w:rsid w:val="30F37C1F"/>
    <w:rsid w:val="30FD7AC4"/>
    <w:rsid w:val="31092C45"/>
    <w:rsid w:val="31135CDD"/>
    <w:rsid w:val="31160A0E"/>
    <w:rsid w:val="31210BB1"/>
    <w:rsid w:val="312C03B6"/>
    <w:rsid w:val="312D446C"/>
    <w:rsid w:val="312D7D00"/>
    <w:rsid w:val="313905F0"/>
    <w:rsid w:val="31523EA5"/>
    <w:rsid w:val="3172064C"/>
    <w:rsid w:val="31733A87"/>
    <w:rsid w:val="31853743"/>
    <w:rsid w:val="318C18AE"/>
    <w:rsid w:val="31973569"/>
    <w:rsid w:val="31AD34D0"/>
    <w:rsid w:val="31D245CA"/>
    <w:rsid w:val="31D73588"/>
    <w:rsid w:val="31E347F1"/>
    <w:rsid w:val="31F913D8"/>
    <w:rsid w:val="31FB7654"/>
    <w:rsid w:val="32051C37"/>
    <w:rsid w:val="321E4180"/>
    <w:rsid w:val="324033AF"/>
    <w:rsid w:val="32413089"/>
    <w:rsid w:val="325F7797"/>
    <w:rsid w:val="32796485"/>
    <w:rsid w:val="32951D54"/>
    <w:rsid w:val="32A33BC6"/>
    <w:rsid w:val="32A673F0"/>
    <w:rsid w:val="32B01BFA"/>
    <w:rsid w:val="32B82CD9"/>
    <w:rsid w:val="32BD7DDA"/>
    <w:rsid w:val="32D64B33"/>
    <w:rsid w:val="32DD5EDB"/>
    <w:rsid w:val="32F12805"/>
    <w:rsid w:val="32F316B8"/>
    <w:rsid w:val="33141EBF"/>
    <w:rsid w:val="33383360"/>
    <w:rsid w:val="33461575"/>
    <w:rsid w:val="33704C36"/>
    <w:rsid w:val="337926BF"/>
    <w:rsid w:val="33934AB7"/>
    <w:rsid w:val="33EA23A5"/>
    <w:rsid w:val="33EE0FFB"/>
    <w:rsid w:val="344D358E"/>
    <w:rsid w:val="344D77BF"/>
    <w:rsid w:val="346C2BB5"/>
    <w:rsid w:val="347064FF"/>
    <w:rsid w:val="347D0BB7"/>
    <w:rsid w:val="34BC3B37"/>
    <w:rsid w:val="34D90BF1"/>
    <w:rsid w:val="34D94A8F"/>
    <w:rsid w:val="34F729B7"/>
    <w:rsid w:val="3543266A"/>
    <w:rsid w:val="35533A49"/>
    <w:rsid w:val="355508F0"/>
    <w:rsid w:val="355E220A"/>
    <w:rsid w:val="35697EC5"/>
    <w:rsid w:val="356B7CCB"/>
    <w:rsid w:val="35922017"/>
    <w:rsid w:val="35BA15D4"/>
    <w:rsid w:val="35BB0BF3"/>
    <w:rsid w:val="35C40BA0"/>
    <w:rsid w:val="35FF4EB1"/>
    <w:rsid w:val="363E02D5"/>
    <w:rsid w:val="36406B37"/>
    <w:rsid w:val="36620457"/>
    <w:rsid w:val="3668140B"/>
    <w:rsid w:val="36812EA6"/>
    <w:rsid w:val="36A77707"/>
    <w:rsid w:val="36AB65D4"/>
    <w:rsid w:val="36B746BC"/>
    <w:rsid w:val="36CB11EA"/>
    <w:rsid w:val="36E73CCE"/>
    <w:rsid w:val="36EA62C4"/>
    <w:rsid w:val="36FB5D01"/>
    <w:rsid w:val="36FE3234"/>
    <w:rsid w:val="371D336E"/>
    <w:rsid w:val="37286F85"/>
    <w:rsid w:val="37341177"/>
    <w:rsid w:val="373824B6"/>
    <w:rsid w:val="37401C1F"/>
    <w:rsid w:val="37424E5A"/>
    <w:rsid w:val="3742546F"/>
    <w:rsid w:val="37524396"/>
    <w:rsid w:val="375C6793"/>
    <w:rsid w:val="37F9735D"/>
    <w:rsid w:val="38135D06"/>
    <w:rsid w:val="38147EDC"/>
    <w:rsid w:val="382633EF"/>
    <w:rsid w:val="38275D11"/>
    <w:rsid w:val="38373E4C"/>
    <w:rsid w:val="384B11A5"/>
    <w:rsid w:val="38584C11"/>
    <w:rsid w:val="386677F1"/>
    <w:rsid w:val="386C3B4A"/>
    <w:rsid w:val="3894435E"/>
    <w:rsid w:val="38A60DF1"/>
    <w:rsid w:val="38C728D0"/>
    <w:rsid w:val="38C9721B"/>
    <w:rsid w:val="38D34E86"/>
    <w:rsid w:val="38F372D7"/>
    <w:rsid w:val="38F5268D"/>
    <w:rsid w:val="390220DA"/>
    <w:rsid w:val="39116746"/>
    <w:rsid w:val="392022AF"/>
    <w:rsid w:val="394311D0"/>
    <w:rsid w:val="394D1BA4"/>
    <w:rsid w:val="39525EAF"/>
    <w:rsid w:val="39536350"/>
    <w:rsid w:val="3986069A"/>
    <w:rsid w:val="39B00ABA"/>
    <w:rsid w:val="39B86DAD"/>
    <w:rsid w:val="39BE36C4"/>
    <w:rsid w:val="3A0D1286"/>
    <w:rsid w:val="3A141CF2"/>
    <w:rsid w:val="3A1F13E7"/>
    <w:rsid w:val="3A22777B"/>
    <w:rsid w:val="3A2B6551"/>
    <w:rsid w:val="3A387794"/>
    <w:rsid w:val="3A4B3C15"/>
    <w:rsid w:val="3A630F43"/>
    <w:rsid w:val="3A8F5030"/>
    <w:rsid w:val="3A9333FD"/>
    <w:rsid w:val="3ABF079D"/>
    <w:rsid w:val="3AD1769C"/>
    <w:rsid w:val="3B0D5ACF"/>
    <w:rsid w:val="3B2A2D58"/>
    <w:rsid w:val="3B3946C2"/>
    <w:rsid w:val="3B40146E"/>
    <w:rsid w:val="3B454465"/>
    <w:rsid w:val="3B771184"/>
    <w:rsid w:val="3B80094B"/>
    <w:rsid w:val="3B8B3675"/>
    <w:rsid w:val="3B91088E"/>
    <w:rsid w:val="3B91218D"/>
    <w:rsid w:val="3B984D63"/>
    <w:rsid w:val="3BA75ABD"/>
    <w:rsid w:val="3BB87D86"/>
    <w:rsid w:val="3BE421C3"/>
    <w:rsid w:val="3BED33D4"/>
    <w:rsid w:val="3BF12958"/>
    <w:rsid w:val="3BF70E8C"/>
    <w:rsid w:val="3C1E4416"/>
    <w:rsid w:val="3C2C689E"/>
    <w:rsid w:val="3C4D4213"/>
    <w:rsid w:val="3C523F7C"/>
    <w:rsid w:val="3C7A67EC"/>
    <w:rsid w:val="3CAE403E"/>
    <w:rsid w:val="3CB73432"/>
    <w:rsid w:val="3CBE6E54"/>
    <w:rsid w:val="3CC13A13"/>
    <w:rsid w:val="3CDC6557"/>
    <w:rsid w:val="3CF81D1D"/>
    <w:rsid w:val="3D016EA4"/>
    <w:rsid w:val="3D157F9D"/>
    <w:rsid w:val="3D1D5906"/>
    <w:rsid w:val="3D296F62"/>
    <w:rsid w:val="3D31229A"/>
    <w:rsid w:val="3D387FE4"/>
    <w:rsid w:val="3D3B408D"/>
    <w:rsid w:val="3D4139CE"/>
    <w:rsid w:val="3D5200E0"/>
    <w:rsid w:val="3D622FB8"/>
    <w:rsid w:val="3D6D2331"/>
    <w:rsid w:val="3D7B288E"/>
    <w:rsid w:val="3D8A134C"/>
    <w:rsid w:val="3D910C81"/>
    <w:rsid w:val="3D94164A"/>
    <w:rsid w:val="3DC010BA"/>
    <w:rsid w:val="3DC4442C"/>
    <w:rsid w:val="3DC90571"/>
    <w:rsid w:val="3DE657EF"/>
    <w:rsid w:val="3E136892"/>
    <w:rsid w:val="3E23185B"/>
    <w:rsid w:val="3E53053A"/>
    <w:rsid w:val="3E5952CD"/>
    <w:rsid w:val="3E667632"/>
    <w:rsid w:val="3E815E3A"/>
    <w:rsid w:val="3E9211FC"/>
    <w:rsid w:val="3EB672E8"/>
    <w:rsid w:val="3EBB0BD4"/>
    <w:rsid w:val="3ED25CB2"/>
    <w:rsid w:val="3EDC2891"/>
    <w:rsid w:val="3EE5066E"/>
    <w:rsid w:val="3EF93396"/>
    <w:rsid w:val="3F132099"/>
    <w:rsid w:val="3F1E2829"/>
    <w:rsid w:val="3F317E5A"/>
    <w:rsid w:val="3F3B18E0"/>
    <w:rsid w:val="3FB11C9A"/>
    <w:rsid w:val="3FCC3208"/>
    <w:rsid w:val="401A20DF"/>
    <w:rsid w:val="403F3D64"/>
    <w:rsid w:val="404E15E0"/>
    <w:rsid w:val="409649A1"/>
    <w:rsid w:val="409F3A5B"/>
    <w:rsid w:val="40B96025"/>
    <w:rsid w:val="40C12CBE"/>
    <w:rsid w:val="40C40EA7"/>
    <w:rsid w:val="40FF7229"/>
    <w:rsid w:val="410178D6"/>
    <w:rsid w:val="41163884"/>
    <w:rsid w:val="412870BA"/>
    <w:rsid w:val="412D7D00"/>
    <w:rsid w:val="414310DB"/>
    <w:rsid w:val="41527A82"/>
    <w:rsid w:val="4170091B"/>
    <w:rsid w:val="417C41FF"/>
    <w:rsid w:val="418B2F47"/>
    <w:rsid w:val="4198163A"/>
    <w:rsid w:val="41B415CD"/>
    <w:rsid w:val="41BE71A9"/>
    <w:rsid w:val="41C3319D"/>
    <w:rsid w:val="41CA7043"/>
    <w:rsid w:val="41CC1514"/>
    <w:rsid w:val="41F6270F"/>
    <w:rsid w:val="421856C2"/>
    <w:rsid w:val="42410916"/>
    <w:rsid w:val="424A1FDF"/>
    <w:rsid w:val="42576B28"/>
    <w:rsid w:val="42911696"/>
    <w:rsid w:val="4294615F"/>
    <w:rsid w:val="42C60127"/>
    <w:rsid w:val="42CF7A53"/>
    <w:rsid w:val="42D05017"/>
    <w:rsid w:val="42D57A4D"/>
    <w:rsid w:val="43084EF8"/>
    <w:rsid w:val="432269C3"/>
    <w:rsid w:val="4335001A"/>
    <w:rsid w:val="43384333"/>
    <w:rsid w:val="434D2D32"/>
    <w:rsid w:val="43616662"/>
    <w:rsid w:val="4372208D"/>
    <w:rsid w:val="43A75235"/>
    <w:rsid w:val="43A871C2"/>
    <w:rsid w:val="43BE1911"/>
    <w:rsid w:val="43D45DE8"/>
    <w:rsid w:val="43DE2931"/>
    <w:rsid w:val="43FE2FD4"/>
    <w:rsid w:val="442D3EBD"/>
    <w:rsid w:val="44307C27"/>
    <w:rsid w:val="44433E7C"/>
    <w:rsid w:val="444924DF"/>
    <w:rsid w:val="444B685F"/>
    <w:rsid w:val="44616DE6"/>
    <w:rsid w:val="447115C6"/>
    <w:rsid w:val="44827C1E"/>
    <w:rsid w:val="44897EF7"/>
    <w:rsid w:val="448B66CE"/>
    <w:rsid w:val="44A70245"/>
    <w:rsid w:val="44A90864"/>
    <w:rsid w:val="44D06BB2"/>
    <w:rsid w:val="44D95BAD"/>
    <w:rsid w:val="44E330C9"/>
    <w:rsid w:val="450150F5"/>
    <w:rsid w:val="45123BB5"/>
    <w:rsid w:val="452B293F"/>
    <w:rsid w:val="453F772D"/>
    <w:rsid w:val="454027D1"/>
    <w:rsid w:val="456E5A7F"/>
    <w:rsid w:val="458D460F"/>
    <w:rsid w:val="459745C2"/>
    <w:rsid w:val="4597723C"/>
    <w:rsid w:val="45AC2850"/>
    <w:rsid w:val="45B5598A"/>
    <w:rsid w:val="45D24718"/>
    <w:rsid w:val="45DC1C58"/>
    <w:rsid w:val="45E00D00"/>
    <w:rsid w:val="45EA00DF"/>
    <w:rsid w:val="460B6100"/>
    <w:rsid w:val="462B4361"/>
    <w:rsid w:val="463058F6"/>
    <w:rsid w:val="464B72BF"/>
    <w:rsid w:val="46614399"/>
    <w:rsid w:val="467056B2"/>
    <w:rsid w:val="469059DD"/>
    <w:rsid w:val="46932C51"/>
    <w:rsid w:val="469A7845"/>
    <w:rsid w:val="46A47BAC"/>
    <w:rsid w:val="46B01973"/>
    <w:rsid w:val="46B45E6A"/>
    <w:rsid w:val="46D7508C"/>
    <w:rsid w:val="46E55C26"/>
    <w:rsid w:val="46E55F3E"/>
    <w:rsid w:val="46FF161A"/>
    <w:rsid w:val="470D6DD1"/>
    <w:rsid w:val="47155318"/>
    <w:rsid w:val="47311519"/>
    <w:rsid w:val="475353E4"/>
    <w:rsid w:val="475A6A85"/>
    <w:rsid w:val="475F2657"/>
    <w:rsid w:val="47B33A2C"/>
    <w:rsid w:val="47E61433"/>
    <w:rsid w:val="47FF56C8"/>
    <w:rsid w:val="480134F8"/>
    <w:rsid w:val="48116BD7"/>
    <w:rsid w:val="482543E5"/>
    <w:rsid w:val="482D5F52"/>
    <w:rsid w:val="486F5DC3"/>
    <w:rsid w:val="48954BF8"/>
    <w:rsid w:val="48A70ADD"/>
    <w:rsid w:val="48C51A56"/>
    <w:rsid w:val="49215AD9"/>
    <w:rsid w:val="492301FF"/>
    <w:rsid w:val="492573E6"/>
    <w:rsid w:val="492F5A35"/>
    <w:rsid w:val="49363A71"/>
    <w:rsid w:val="493F1FD4"/>
    <w:rsid w:val="49495097"/>
    <w:rsid w:val="499A6C45"/>
    <w:rsid w:val="499D328D"/>
    <w:rsid w:val="49A726F5"/>
    <w:rsid w:val="49A8358F"/>
    <w:rsid w:val="49B80EBD"/>
    <w:rsid w:val="49BD0CC2"/>
    <w:rsid w:val="49C54151"/>
    <w:rsid w:val="49D77185"/>
    <w:rsid w:val="49F1320C"/>
    <w:rsid w:val="4A067C7E"/>
    <w:rsid w:val="4A2B06B7"/>
    <w:rsid w:val="4A2C5620"/>
    <w:rsid w:val="4A365D96"/>
    <w:rsid w:val="4A554FB6"/>
    <w:rsid w:val="4A562946"/>
    <w:rsid w:val="4A767D68"/>
    <w:rsid w:val="4A7B22B5"/>
    <w:rsid w:val="4AA21B83"/>
    <w:rsid w:val="4AA5459A"/>
    <w:rsid w:val="4AC064FF"/>
    <w:rsid w:val="4AE555A1"/>
    <w:rsid w:val="4AEC7980"/>
    <w:rsid w:val="4AF24644"/>
    <w:rsid w:val="4AFC6F42"/>
    <w:rsid w:val="4B187641"/>
    <w:rsid w:val="4B1B6FBD"/>
    <w:rsid w:val="4B6A6A72"/>
    <w:rsid w:val="4B714A4C"/>
    <w:rsid w:val="4BA3567B"/>
    <w:rsid w:val="4BA5567E"/>
    <w:rsid w:val="4BC71D5F"/>
    <w:rsid w:val="4BC93952"/>
    <w:rsid w:val="4BC95900"/>
    <w:rsid w:val="4BD502C1"/>
    <w:rsid w:val="4BE44D3D"/>
    <w:rsid w:val="4BF337A4"/>
    <w:rsid w:val="4C256776"/>
    <w:rsid w:val="4C2745BE"/>
    <w:rsid w:val="4C3A0D60"/>
    <w:rsid w:val="4C6E1633"/>
    <w:rsid w:val="4C792A51"/>
    <w:rsid w:val="4CC743C2"/>
    <w:rsid w:val="4CD46968"/>
    <w:rsid w:val="4CFD2D0A"/>
    <w:rsid w:val="4CFF24DE"/>
    <w:rsid w:val="4D0B530A"/>
    <w:rsid w:val="4D0E6B03"/>
    <w:rsid w:val="4D2517BB"/>
    <w:rsid w:val="4D4E0C74"/>
    <w:rsid w:val="4D526945"/>
    <w:rsid w:val="4D956577"/>
    <w:rsid w:val="4DAE7D3B"/>
    <w:rsid w:val="4DE3193D"/>
    <w:rsid w:val="4DE5696E"/>
    <w:rsid w:val="4DFF382E"/>
    <w:rsid w:val="4E165694"/>
    <w:rsid w:val="4E3A0E53"/>
    <w:rsid w:val="4E5840C4"/>
    <w:rsid w:val="4E703BAC"/>
    <w:rsid w:val="4E752EF3"/>
    <w:rsid w:val="4EAA7FE0"/>
    <w:rsid w:val="4EFA1D40"/>
    <w:rsid w:val="4F001AD2"/>
    <w:rsid w:val="4F0E14E5"/>
    <w:rsid w:val="4F1269F4"/>
    <w:rsid w:val="4F2F4C06"/>
    <w:rsid w:val="4F3F1986"/>
    <w:rsid w:val="4F5D5865"/>
    <w:rsid w:val="4F645A57"/>
    <w:rsid w:val="4F845801"/>
    <w:rsid w:val="4F9076EA"/>
    <w:rsid w:val="4F952A4C"/>
    <w:rsid w:val="4FBB5C1A"/>
    <w:rsid w:val="4FC60F8B"/>
    <w:rsid w:val="4FC6467C"/>
    <w:rsid w:val="4FD426E5"/>
    <w:rsid w:val="4FE03678"/>
    <w:rsid w:val="50154308"/>
    <w:rsid w:val="502838B2"/>
    <w:rsid w:val="503B1DA7"/>
    <w:rsid w:val="50643E54"/>
    <w:rsid w:val="50750AED"/>
    <w:rsid w:val="50762712"/>
    <w:rsid w:val="50796737"/>
    <w:rsid w:val="5079722C"/>
    <w:rsid w:val="507F724A"/>
    <w:rsid w:val="5080644A"/>
    <w:rsid w:val="50974594"/>
    <w:rsid w:val="50AB1563"/>
    <w:rsid w:val="50CE050E"/>
    <w:rsid w:val="50DD58C1"/>
    <w:rsid w:val="511278B0"/>
    <w:rsid w:val="5134684C"/>
    <w:rsid w:val="515348AE"/>
    <w:rsid w:val="51621462"/>
    <w:rsid w:val="5162632D"/>
    <w:rsid w:val="51652001"/>
    <w:rsid w:val="516A768B"/>
    <w:rsid w:val="516F7FCA"/>
    <w:rsid w:val="517E442B"/>
    <w:rsid w:val="51B478EA"/>
    <w:rsid w:val="51C06B27"/>
    <w:rsid w:val="51C55131"/>
    <w:rsid w:val="51C5706A"/>
    <w:rsid w:val="51CC6A9E"/>
    <w:rsid w:val="51CE0489"/>
    <w:rsid w:val="51F76393"/>
    <w:rsid w:val="52047456"/>
    <w:rsid w:val="521B28B9"/>
    <w:rsid w:val="52290B8A"/>
    <w:rsid w:val="522E04F4"/>
    <w:rsid w:val="525639E4"/>
    <w:rsid w:val="5261208C"/>
    <w:rsid w:val="52691F60"/>
    <w:rsid w:val="52BC3484"/>
    <w:rsid w:val="52C22C4B"/>
    <w:rsid w:val="52CB68A8"/>
    <w:rsid w:val="52E15F9A"/>
    <w:rsid w:val="52E866AE"/>
    <w:rsid w:val="530750B7"/>
    <w:rsid w:val="53200C5D"/>
    <w:rsid w:val="534832EF"/>
    <w:rsid w:val="535E0F14"/>
    <w:rsid w:val="536561EB"/>
    <w:rsid w:val="53706227"/>
    <w:rsid w:val="5377055A"/>
    <w:rsid w:val="539D5DA7"/>
    <w:rsid w:val="53A94D0A"/>
    <w:rsid w:val="53FF2AB9"/>
    <w:rsid w:val="54203D75"/>
    <w:rsid w:val="5435218F"/>
    <w:rsid w:val="543C4711"/>
    <w:rsid w:val="543D5B96"/>
    <w:rsid w:val="54487D26"/>
    <w:rsid w:val="54497F22"/>
    <w:rsid w:val="545A1596"/>
    <w:rsid w:val="548A7D0C"/>
    <w:rsid w:val="549652A5"/>
    <w:rsid w:val="5499691E"/>
    <w:rsid w:val="54BC082D"/>
    <w:rsid w:val="54BE6593"/>
    <w:rsid w:val="54C857C3"/>
    <w:rsid w:val="54FA7F82"/>
    <w:rsid w:val="55307A0C"/>
    <w:rsid w:val="553A7B7B"/>
    <w:rsid w:val="556665E0"/>
    <w:rsid w:val="558E68EA"/>
    <w:rsid w:val="5590733F"/>
    <w:rsid w:val="55910A92"/>
    <w:rsid w:val="559757D0"/>
    <w:rsid w:val="55975BA7"/>
    <w:rsid w:val="55A506DF"/>
    <w:rsid w:val="55AE4F5C"/>
    <w:rsid w:val="55BB5576"/>
    <w:rsid w:val="56002A66"/>
    <w:rsid w:val="560B1D82"/>
    <w:rsid w:val="561048D4"/>
    <w:rsid w:val="5645325F"/>
    <w:rsid w:val="564E6B95"/>
    <w:rsid w:val="56562848"/>
    <w:rsid w:val="566F311B"/>
    <w:rsid w:val="56781FA5"/>
    <w:rsid w:val="56835888"/>
    <w:rsid w:val="56995180"/>
    <w:rsid w:val="56AD5CE8"/>
    <w:rsid w:val="56BD031C"/>
    <w:rsid w:val="56E73D89"/>
    <w:rsid w:val="57031F7F"/>
    <w:rsid w:val="572570B3"/>
    <w:rsid w:val="573B07A2"/>
    <w:rsid w:val="573E6B31"/>
    <w:rsid w:val="575603AD"/>
    <w:rsid w:val="57B51F24"/>
    <w:rsid w:val="57C73676"/>
    <w:rsid w:val="57C87CAB"/>
    <w:rsid w:val="57C91C4F"/>
    <w:rsid w:val="58033991"/>
    <w:rsid w:val="581214E9"/>
    <w:rsid w:val="58374890"/>
    <w:rsid w:val="583921D7"/>
    <w:rsid w:val="584B538A"/>
    <w:rsid w:val="584E7AA5"/>
    <w:rsid w:val="5853780C"/>
    <w:rsid w:val="5866181E"/>
    <w:rsid w:val="58727DC0"/>
    <w:rsid w:val="58C93AFA"/>
    <w:rsid w:val="58CD28A0"/>
    <w:rsid w:val="58D82D25"/>
    <w:rsid w:val="58E050FF"/>
    <w:rsid w:val="58FA1B64"/>
    <w:rsid w:val="592B3B37"/>
    <w:rsid w:val="593E3679"/>
    <w:rsid w:val="594A0F21"/>
    <w:rsid w:val="595600CF"/>
    <w:rsid w:val="59570C09"/>
    <w:rsid w:val="595A535A"/>
    <w:rsid w:val="596C5157"/>
    <w:rsid w:val="59820CB9"/>
    <w:rsid w:val="599C6916"/>
    <w:rsid w:val="59A24A11"/>
    <w:rsid w:val="59D031DC"/>
    <w:rsid w:val="5A0713C2"/>
    <w:rsid w:val="5A1D78F0"/>
    <w:rsid w:val="5A281CC3"/>
    <w:rsid w:val="5A4B633F"/>
    <w:rsid w:val="5A4C4E87"/>
    <w:rsid w:val="5A4F42A8"/>
    <w:rsid w:val="5A537BD2"/>
    <w:rsid w:val="5A59522E"/>
    <w:rsid w:val="5A5D1EF9"/>
    <w:rsid w:val="5A727EB5"/>
    <w:rsid w:val="5A8008B1"/>
    <w:rsid w:val="5A952562"/>
    <w:rsid w:val="5AA11689"/>
    <w:rsid w:val="5AB537DF"/>
    <w:rsid w:val="5ADA2219"/>
    <w:rsid w:val="5AF63478"/>
    <w:rsid w:val="5AF9525B"/>
    <w:rsid w:val="5B0B6223"/>
    <w:rsid w:val="5B0C46E4"/>
    <w:rsid w:val="5B1909C7"/>
    <w:rsid w:val="5B1D54D7"/>
    <w:rsid w:val="5B3220B7"/>
    <w:rsid w:val="5B32315F"/>
    <w:rsid w:val="5B5C08B4"/>
    <w:rsid w:val="5B602550"/>
    <w:rsid w:val="5B684D9D"/>
    <w:rsid w:val="5BB35FA0"/>
    <w:rsid w:val="5BB55A1D"/>
    <w:rsid w:val="5BC87214"/>
    <w:rsid w:val="5BD6036B"/>
    <w:rsid w:val="5BF147BE"/>
    <w:rsid w:val="5C263FFC"/>
    <w:rsid w:val="5C3F632C"/>
    <w:rsid w:val="5C4369D4"/>
    <w:rsid w:val="5C4E7F25"/>
    <w:rsid w:val="5C6E212C"/>
    <w:rsid w:val="5C73096B"/>
    <w:rsid w:val="5C7376E4"/>
    <w:rsid w:val="5CA03123"/>
    <w:rsid w:val="5CDA3F46"/>
    <w:rsid w:val="5CF85EE2"/>
    <w:rsid w:val="5D4A3E3F"/>
    <w:rsid w:val="5D4F0E61"/>
    <w:rsid w:val="5D6121B1"/>
    <w:rsid w:val="5D673093"/>
    <w:rsid w:val="5D675B54"/>
    <w:rsid w:val="5D977AC6"/>
    <w:rsid w:val="5D9B52A7"/>
    <w:rsid w:val="5D9F5DAC"/>
    <w:rsid w:val="5DAC2119"/>
    <w:rsid w:val="5E296747"/>
    <w:rsid w:val="5E344177"/>
    <w:rsid w:val="5E441BE6"/>
    <w:rsid w:val="5E4529B2"/>
    <w:rsid w:val="5E6376C3"/>
    <w:rsid w:val="5E920F46"/>
    <w:rsid w:val="5EA207F7"/>
    <w:rsid w:val="5EBB525E"/>
    <w:rsid w:val="5ED51E4C"/>
    <w:rsid w:val="5ED95177"/>
    <w:rsid w:val="5F2F13E9"/>
    <w:rsid w:val="5F631733"/>
    <w:rsid w:val="5F645F89"/>
    <w:rsid w:val="5F663605"/>
    <w:rsid w:val="5F7F23CC"/>
    <w:rsid w:val="5F941C25"/>
    <w:rsid w:val="5FA04873"/>
    <w:rsid w:val="5FE2350C"/>
    <w:rsid w:val="5FE666BB"/>
    <w:rsid w:val="600D6E2B"/>
    <w:rsid w:val="60133D7D"/>
    <w:rsid w:val="601B52DF"/>
    <w:rsid w:val="604604FA"/>
    <w:rsid w:val="60624BBE"/>
    <w:rsid w:val="60667166"/>
    <w:rsid w:val="60724006"/>
    <w:rsid w:val="6086012E"/>
    <w:rsid w:val="60870181"/>
    <w:rsid w:val="608C65AA"/>
    <w:rsid w:val="60955D90"/>
    <w:rsid w:val="60AB7F2C"/>
    <w:rsid w:val="60DD620E"/>
    <w:rsid w:val="610B7C4A"/>
    <w:rsid w:val="611C7B9D"/>
    <w:rsid w:val="61207C77"/>
    <w:rsid w:val="6148335E"/>
    <w:rsid w:val="614C4F26"/>
    <w:rsid w:val="615C4C67"/>
    <w:rsid w:val="616C4315"/>
    <w:rsid w:val="6171252A"/>
    <w:rsid w:val="61882668"/>
    <w:rsid w:val="61A06C8C"/>
    <w:rsid w:val="61A35C11"/>
    <w:rsid w:val="61B25B61"/>
    <w:rsid w:val="61E73D9A"/>
    <w:rsid w:val="61EC1462"/>
    <w:rsid w:val="61EC3930"/>
    <w:rsid w:val="61F30221"/>
    <w:rsid w:val="61FB5718"/>
    <w:rsid w:val="62245D7B"/>
    <w:rsid w:val="623A0F5D"/>
    <w:rsid w:val="624F560A"/>
    <w:rsid w:val="625E3A3B"/>
    <w:rsid w:val="6263077A"/>
    <w:rsid w:val="62654963"/>
    <w:rsid w:val="627666FF"/>
    <w:rsid w:val="627C000F"/>
    <w:rsid w:val="629E4B7F"/>
    <w:rsid w:val="62BC7E8A"/>
    <w:rsid w:val="62CF2113"/>
    <w:rsid w:val="6307021B"/>
    <w:rsid w:val="630D6682"/>
    <w:rsid w:val="632272EB"/>
    <w:rsid w:val="63227AAA"/>
    <w:rsid w:val="63455E77"/>
    <w:rsid w:val="63473FE4"/>
    <w:rsid w:val="63503AD3"/>
    <w:rsid w:val="63543CFC"/>
    <w:rsid w:val="63640410"/>
    <w:rsid w:val="637137DA"/>
    <w:rsid w:val="638734D6"/>
    <w:rsid w:val="63877E58"/>
    <w:rsid w:val="63A23C32"/>
    <w:rsid w:val="63AB6153"/>
    <w:rsid w:val="640C709A"/>
    <w:rsid w:val="641461CF"/>
    <w:rsid w:val="642F1EE3"/>
    <w:rsid w:val="646157CA"/>
    <w:rsid w:val="64680B03"/>
    <w:rsid w:val="64984C1A"/>
    <w:rsid w:val="64D70FAB"/>
    <w:rsid w:val="64E13C6F"/>
    <w:rsid w:val="64FD5934"/>
    <w:rsid w:val="65051B7F"/>
    <w:rsid w:val="65384669"/>
    <w:rsid w:val="6557447D"/>
    <w:rsid w:val="655D5589"/>
    <w:rsid w:val="656071F2"/>
    <w:rsid w:val="65643203"/>
    <w:rsid w:val="65887501"/>
    <w:rsid w:val="658E1B4A"/>
    <w:rsid w:val="65A624DE"/>
    <w:rsid w:val="65B57A70"/>
    <w:rsid w:val="65B712FD"/>
    <w:rsid w:val="65E90A28"/>
    <w:rsid w:val="65EA0E19"/>
    <w:rsid w:val="65F07BD0"/>
    <w:rsid w:val="65F67535"/>
    <w:rsid w:val="66065EA4"/>
    <w:rsid w:val="662F4A03"/>
    <w:rsid w:val="66367FEE"/>
    <w:rsid w:val="66560E76"/>
    <w:rsid w:val="665673D6"/>
    <w:rsid w:val="66595E88"/>
    <w:rsid w:val="665B0427"/>
    <w:rsid w:val="665D4598"/>
    <w:rsid w:val="667A7554"/>
    <w:rsid w:val="667E6DAD"/>
    <w:rsid w:val="668F0F17"/>
    <w:rsid w:val="66A11D0C"/>
    <w:rsid w:val="66E101FB"/>
    <w:rsid w:val="66E31E33"/>
    <w:rsid w:val="66EA21B4"/>
    <w:rsid w:val="66F70B6B"/>
    <w:rsid w:val="66FA47DB"/>
    <w:rsid w:val="67002A3B"/>
    <w:rsid w:val="67034C37"/>
    <w:rsid w:val="670472EA"/>
    <w:rsid w:val="671206F3"/>
    <w:rsid w:val="671B5C58"/>
    <w:rsid w:val="67564FCE"/>
    <w:rsid w:val="675A0AF8"/>
    <w:rsid w:val="675D2836"/>
    <w:rsid w:val="67817F89"/>
    <w:rsid w:val="678D0238"/>
    <w:rsid w:val="679D5CE0"/>
    <w:rsid w:val="67A47656"/>
    <w:rsid w:val="67A9493B"/>
    <w:rsid w:val="67AD1E8E"/>
    <w:rsid w:val="67B72D23"/>
    <w:rsid w:val="67E05320"/>
    <w:rsid w:val="67ED3287"/>
    <w:rsid w:val="68036B62"/>
    <w:rsid w:val="68121DDF"/>
    <w:rsid w:val="681326E0"/>
    <w:rsid w:val="68161596"/>
    <w:rsid w:val="68171A2C"/>
    <w:rsid w:val="681901F9"/>
    <w:rsid w:val="681925B3"/>
    <w:rsid w:val="684F30E0"/>
    <w:rsid w:val="68503869"/>
    <w:rsid w:val="685630A9"/>
    <w:rsid w:val="6862498A"/>
    <w:rsid w:val="686654A7"/>
    <w:rsid w:val="68680195"/>
    <w:rsid w:val="68770F9B"/>
    <w:rsid w:val="68837ABC"/>
    <w:rsid w:val="68910AC7"/>
    <w:rsid w:val="689774A9"/>
    <w:rsid w:val="689F039F"/>
    <w:rsid w:val="689F0CF7"/>
    <w:rsid w:val="68AE7B72"/>
    <w:rsid w:val="68D87B11"/>
    <w:rsid w:val="68DA5BAB"/>
    <w:rsid w:val="68DD019B"/>
    <w:rsid w:val="68E65F5E"/>
    <w:rsid w:val="695F745B"/>
    <w:rsid w:val="69610AF4"/>
    <w:rsid w:val="69670B4F"/>
    <w:rsid w:val="69711181"/>
    <w:rsid w:val="69724F1B"/>
    <w:rsid w:val="6980390A"/>
    <w:rsid w:val="69937B96"/>
    <w:rsid w:val="69A377E4"/>
    <w:rsid w:val="69A60D09"/>
    <w:rsid w:val="69C451FB"/>
    <w:rsid w:val="69D00BC4"/>
    <w:rsid w:val="69DF6640"/>
    <w:rsid w:val="6A1B5632"/>
    <w:rsid w:val="6A311E94"/>
    <w:rsid w:val="6A4D56EB"/>
    <w:rsid w:val="6A61482D"/>
    <w:rsid w:val="6A6D21CA"/>
    <w:rsid w:val="6A7A48B2"/>
    <w:rsid w:val="6A874F1A"/>
    <w:rsid w:val="6AAD746F"/>
    <w:rsid w:val="6AB932A1"/>
    <w:rsid w:val="6AC335A7"/>
    <w:rsid w:val="6AC72F22"/>
    <w:rsid w:val="6AE05F6E"/>
    <w:rsid w:val="6AF35A12"/>
    <w:rsid w:val="6AF71035"/>
    <w:rsid w:val="6B1C2C96"/>
    <w:rsid w:val="6B1F5178"/>
    <w:rsid w:val="6B24186C"/>
    <w:rsid w:val="6B2A1CA4"/>
    <w:rsid w:val="6B3170C4"/>
    <w:rsid w:val="6B497FCC"/>
    <w:rsid w:val="6B515737"/>
    <w:rsid w:val="6B5E2C34"/>
    <w:rsid w:val="6B7F06BE"/>
    <w:rsid w:val="6BD1620D"/>
    <w:rsid w:val="6BD37761"/>
    <w:rsid w:val="6BEA7064"/>
    <w:rsid w:val="6BEC4E13"/>
    <w:rsid w:val="6C090F80"/>
    <w:rsid w:val="6C13316C"/>
    <w:rsid w:val="6C17524A"/>
    <w:rsid w:val="6C207EB4"/>
    <w:rsid w:val="6C4474DE"/>
    <w:rsid w:val="6C786C1F"/>
    <w:rsid w:val="6C8A4985"/>
    <w:rsid w:val="6CB8729B"/>
    <w:rsid w:val="6CF277BB"/>
    <w:rsid w:val="6CF67414"/>
    <w:rsid w:val="6D1949E6"/>
    <w:rsid w:val="6D1E586E"/>
    <w:rsid w:val="6D40341E"/>
    <w:rsid w:val="6D5D1C24"/>
    <w:rsid w:val="6D6560DE"/>
    <w:rsid w:val="6D743309"/>
    <w:rsid w:val="6D7F5645"/>
    <w:rsid w:val="6D9C513E"/>
    <w:rsid w:val="6DC97375"/>
    <w:rsid w:val="6DD05E3A"/>
    <w:rsid w:val="6E042F36"/>
    <w:rsid w:val="6E083B88"/>
    <w:rsid w:val="6E2115F3"/>
    <w:rsid w:val="6E302D35"/>
    <w:rsid w:val="6E3939C2"/>
    <w:rsid w:val="6E437238"/>
    <w:rsid w:val="6E48779E"/>
    <w:rsid w:val="6E4E73D0"/>
    <w:rsid w:val="6E5830D8"/>
    <w:rsid w:val="6E723EE7"/>
    <w:rsid w:val="6E9C7DB8"/>
    <w:rsid w:val="6E9E63AA"/>
    <w:rsid w:val="6EFA027F"/>
    <w:rsid w:val="6F0D0A9A"/>
    <w:rsid w:val="6F3026C9"/>
    <w:rsid w:val="6F331FED"/>
    <w:rsid w:val="6F4A65BA"/>
    <w:rsid w:val="6F510FBE"/>
    <w:rsid w:val="6F536D49"/>
    <w:rsid w:val="6F5873A6"/>
    <w:rsid w:val="6F65194E"/>
    <w:rsid w:val="6F741033"/>
    <w:rsid w:val="6F7747AC"/>
    <w:rsid w:val="6F932566"/>
    <w:rsid w:val="6F955A8A"/>
    <w:rsid w:val="6FAA11CB"/>
    <w:rsid w:val="6FB07B14"/>
    <w:rsid w:val="6FB3090E"/>
    <w:rsid w:val="6FBB4619"/>
    <w:rsid w:val="6FC239A6"/>
    <w:rsid w:val="6FF37001"/>
    <w:rsid w:val="70097E37"/>
    <w:rsid w:val="7012732D"/>
    <w:rsid w:val="702D3080"/>
    <w:rsid w:val="702F3D23"/>
    <w:rsid w:val="7073057A"/>
    <w:rsid w:val="708B2763"/>
    <w:rsid w:val="708C0DAF"/>
    <w:rsid w:val="70BB7893"/>
    <w:rsid w:val="70BE04C1"/>
    <w:rsid w:val="70D25E29"/>
    <w:rsid w:val="70D96C86"/>
    <w:rsid w:val="70DC1223"/>
    <w:rsid w:val="70DF24FE"/>
    <w:rsid w:val="70E7213F"/>
    <w:rsid w:val="70E86455"/>
    <w:rsid w:val="70F37652"/>
    <w:rsid w:val="70F44F02"/>
    <w:rsid w:val="70F900BF"/>
    <w:rsid w:val="71002BCF"/>
    <w:rsid w:val="71030281"/>
    <w:rsid w:val="710A3200"/>
    <w:rsid w:val="7155354F"/>
    <w:rsid w:val="71771A99"/>
    <w:rsid w:val="717E036C"/>
    <w:rsid w:val="71951759"/>
    <w:rsid w:val="71B908B5"/>
    <w:rsid w:val="71E33685"/>
    <w:rsid w:val="71E34501"/>
    <w:rsid w:val="71E76413"/>
    <w:rsid w:val="71F62E1A"/>
    <w:rsid w:val="71FD0987"/>
    <w:rsid w:val="72312491"/>
    <w:rsid w:val="72430D8D"/>
    <w:rsid w:val="724931F0"/>
    <w:rsid w:val="7254179F"/>
    <w:rsid w:val="726E11B5"/>
    <w:rsid w:val="72825C56"/>
    <w:rsid w:val="72AD502B"/>
    <w:rsid w:val="72C40519"/>
    <w:rsid w:val="72C7696D"/>
    <w:rsid w:val="72CF64E2"/>
    <w:rsid w:val="72F30E15"/>
    <w:rsid w:val="72F36F5F"/>
    <w:rsid w:val="72FA77B8"/>
    <w:rsid w:val="7310630F"/>
    <w:rsid w:val="73191FE8"/>
    <w:rsid w:val="73226650"/>
    <w:rsid w:val="73584877"/>
    <w:rsid w:val="738F631E"/>
    <w:rsid w:val="73A50B2B"/>
    <w:rsid w:val="73A63EEC"/>
    <w:rsid w:val="73A86535"/>
    <w:rsid w:val="73AE5B9E"/>
    <w:rsid w:val="73D204C0"/>
    <w:rsid w:val="73D73A44"/>
    <w:rsid w:val="73E406E9"/>
    <w:rsid w:val="73F74A5C"/>
    <w:rsid w:val="73F87EF2"/>
    <w:rsid w:val="74006337"/>
    <w:rsid w:val="741E2941"/>
    <w:rsid w:val="7422631D"/>
    <w:rsid w:val="74512C62"/>
    <w:rsid w:val="74614968"/>
    <w:rsid w:val="74623E8C"/>
    <w:rsid w:val="747F1ECC"/>
    <w:rsid w:val="748F4F10"/>
    <w:rsid w:val="749F50D2"/>
    <w:rsid w:val="74AF051B"/>
    <w:rsid w:val="74C76EB4"/>
    <w:rsid w:val="74D24DF2"/>
    <w:rsid w:val="751B30C5"/>
    <w:rsid w:val="75265F5C"/>
    <w:rsid w:val="752E4063"/>
    <w:rsid w:val="755C638C"/>
    <w:rsid w:val="75680129"/>
    <w:rsid w:val="757D0E15"/>
    <w:rsid w:val="75935F7B"/>
    <w:rsid w:val="759D5513"/>
    <w:rsid w:val="75A16D19"/>
    <w:rsid w:val="75CD6E7F"/>
    <w:rsid w:val="75F12173"/>
    <w:rsid w:val="762A1F2B"/>
    <w:rsid w:val="76494A96"/>
    <w:rsid w:val="764B59A7"/>
    <w:rsid w:val="765E708E"/>
    <w:rsid w:val="76642751"/>
    <w:rsid w:val="767331A5"/>
    <w:rsid w:val="76A07890"/>
    <w:rsid w:val="76B828EB"/>
    <w:rsid w:val="76DD0A99"/>
    <w:rsid w:val="77083097"/>
    <w:rsid w:val="773F3230"/>
    <w:rsid w:val="77464236"/>
    <w:rsid w:val="77573C6D"/>
    <w:rsid w:val="778D61D3"/>
    <w:rsid w:val="779E14D7"/>
    <w:rsid w:val="77A429D3"/>
    <w:rsid w:val="77C64193"/>
    <w:rsid w:val="77DC4C9B"/>
    <w:rsid w:val="77F37A9D"/>
    <w:rsid w:val="77F75603"/>
    <w:rsid w:val="77FE3986"/>
    <w:rsid w:val="782F15F5"/>
    <w:rsid w:val="783235DF"/>
    <w:rsid w:val="78502C58"/>
    <w:rsid w:val="785E7022"/>
    <w:rsid w:val="78624E36"/>
    <w:rsid w:val="78721837"/>
    <w:rsid w:val="78741675"/>
    <w:rsid w:val="787533C7"/>
    <w:rsid w:val="787C19AC"/>
    <w:rsid w:val="787C6C9B"/>
    <w:rsid w:val="787F36C1"/>
    <w:rsid w:val="788B6BF2"/>
    <w:rsid w:val="7899333C"/>
    <w:rsid w:val="78AA321F"/>
    <w:rsid w:val="78B87EE4"/>
    <w:rsid w:val="78C07C12"/>
    <w:rsid w:val="78D56B03"/>
    <w:rsid w:val="78E421BD"/>
    <w:rsid w:val="78E74EF6"/>
    <w:rsid w:val="78F95F95"/>
    <w:rsid w:val="79051649"/>
    <w:rsid w:val="792F20B5"/>
    <w:rsid w:val="795E1E90"/>
    <w:rsid w:val="79667547"/>
    <w:rsid w:val="79713B81"/>
    <w:rsid w:val="798139A7"/>
    <w:rsid w:val="79A0658C"/>
    <w:rsid w:val="79A344F3"/>
    <w:rsid w:val="79DF5C9D"/>
    <w:rsid w:val="79E162E5"/>
    <w:rsid w:val="79ED77A5"/>
    <w:rsid w:val="7A0E6035"/>
    <w:rsid w:val="7A2D1210"/>
    <w:rsid w:val="7A2E7518"/>
    <w:rsid w:val="7A3C1E68"/>
    <w:rsid w:val="7A4D7721"/>
    <w:rsid w:val="7A5044E1"/>
    <w:rsid w:val="7A533875"/>
    <w:rsid w:val="7A5563BA"/>
    <w:rsid w:val="7A6037F8"/>
    <w:rsid w:val="7A6B3EF6"/>
    <w:rsid w:val="7A831369"/>
    <w:rsid w:val="7AF57606"/>
    <w:rsid w:val="7AF64932"/>
    <w:rsid w:val="7B053598"/>
    <w:rsid w:val="7B062F2A"/>
    <w:rsid w:val="7B1144A3"/>
    <w:rsid w:val="7B122873"/>
    <w:rsid w:val="7B23117F"/>
    <w:rsid w:val="7B284D4A"/>
    <w:rsid w:val="7B362A78"/>
    <w:rsid w:val="7B422F58"/>
    <w:rsid w:val="7B4A5FEA"/>
    <w:rsid w:val="7B581BEB"/>
    <w:rsid w:val="7B605E96"/>
    <w:rsid w:val="7B7754AE"/>
    <w:rsid w:val="7BA536D8"/>
    <w:rsid w:val="7BF250C7"/>
    <w:rsid w:val="7C00517E"/>
    <w:rsid w:val="7C202F6B"/>
    <w:rsid w:val="7C490589"/>
    <w:rsid w:val="7C4D5B3E"/>
    <w:rsid w:val="7C5133FE"/>
    <w:rsid w:val="7C6D3C66"/>
    <w:rsid w:val="7D09700D"/>
    <w:rsid w:val="7D155538"/>
    <w:rsid w:val="7D1E00B2"/>
    <w:rsid w:val="7D2C430F"/>
    <w:rsid w:val="7D3F4ACE"/>
    <w:rsid w:val="7D495042"/>
    <w:rsid w:val="7D4C0AA9"/>
    <w:rsid w:val="7D666225"/>
    <w:rsid w:val="7D7201EC"/>
    <w:rsid w:val="7D847DD0"/>
    <w:rsid w:val="7D8B28B5"/>
    <w:rsid w:val="7DA26420"/>
    <w:rsid w:val="7DD26009"/>
    <w:rsid w:val="7DD46E00"/>
    <w:rsid w:val="7E035413"/>
    <w:rsid w:val="7E1650E1"/>
    <w:rsid w:val="7E176585"/>
    <w:rsid w:val="7E1F3157"/>
    <w:rsid w:val="7E201B39"/>
    <w:rsid w:val="7E2240DE"/>
    <w:rsid w:val="7E2429CB"/>
    <w:rsid w:val="7E4576F9"/>
    <w:rsid w:val="7E527204"/>
    <w:rsid w:val="7E5833BE"/>
    <w:rsid w:val="7E7B79DC"/>
    <w:rsid w:val="7E8C4797"/>
    <w:rsid w:val="7EBB26D4"/>
    <w:rsid w:val="7EC04543"/>
    <w:rsid w:val="7EC753C4"/>
    <w:rsid w:val="7ECF3A2A"/>
    <w:rsid w:val="7ED75BEB"/>
    <w:rsid w:val="7F0E3B62"/>
    <w:rsid w:val="7F33236A"/>
    <w:rsid w:val="7F4B19C8"/>
    <w:rsid w:val="7F5325AB"/>
    <w:rsid w:val="7F7D72DD"/>
    <w:rsid w:val="7F896096"/>
    <w:rsid w:val="7F8B0331"/>
    <w:rsid w:val="7FAC4173"/>
    <w:rsid w:val="7FAF09CA"/>
    <w:rsid w:val="7FB02C0D"/>
    <w:rsid w:val="7FB33332"/>
    <w:rsid w:val="7FF01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6"/>
    <w:qFormat/>
    <w:uiPriority w:val="0"/>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caps/>
      <w:sz w:val="20"/>
      <w:szCs w:val="20"/>
    </w:rPr>
  </w:style>
  <w:style w:type="paragraph" w:styleId="7">
    <w:name w:val="annotation text"/>
    <w:basedOn w:val="1"/>
    <w:link w:val="54"/>
    <w:qFormat/>
    <w:uiPriority w:val="0"/>
    <w:pPr>
      <w:jc w:val="left"/>
    </w:pPr>
  </w:style>
  <w:style w:type="paragraph" w:styleId="8">
    <w:name w:val="Body Text"/>
    <w:basedOn w:val="1"/>
    <w:next w:val="1"/>
    <w:link w:val="43"/>
    <w:qFormat/>
    <w:uiPriority w:val="0"/>
    <w:pPr>
      <w:spacing w:after="120"/>
    </w:pPr>
  </w:style>
  <w:style w:type="paragraph" w:styleId="9">
    <w:name w:val="Body Text Indent"/>
    <w:basedOn w:val="1"/>
    <w:qFormat/>
    <w:uiPriority w:val="0"/>
    <w:pPr>
      <w:ind w:firstLine="407" w:firstLineChars="200"/>
    </w:p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1">
    <w:name w:val="Plain Text"/>
    <w:basedOn w:val="1"/>
    <w:unhideWhenUsed/>
    <w:qFormat/>
    <w:uiPriority w:val="99"/>
    <w:rPr>
      <w:rFonts w:ascii="宋体" w:hAnsi="Courier New" w:cs="Courier New"/>
      <w:szCs w:val="21"/>
    </w:rPr>
  </w:style>
  <w:style w:type="paragraph" w:styleId="12">
    <w:name w:val="Balloon Text"/>
    <w:basedOn w:val="1"/>
    <w:link w:val="49"/>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qFormat/>
    <w:uiPriority w:val="0"/>
    <w:pPr>
      <w:widowControl/>
      <w:jc w:val="center"/>
    </w:pPr>
    <w:rPr>
      <w:kern w:val="0"/>
      <w:sz w:val="20"/>
      <w:u w:val="single"/>
      <w:lang w:eastAsia="en-US"/>
    </w:rPr>
  </w:style>
  <w:style w:type="paragraph" w:styleId="16">
    <w:name w:val="toc 2"/>
    <w:basedOn w:val="1"/>
    <w:next w:val="1"/>
    <w:qFormat/>
    <w:uiPriority w:val="39"/>
    <w:pPr>
      <w:ind w:left="210"/>
      <w:jc w:val="left"/>
    </w:pPr>
    <w:rPr>
      <w:smallCaps/>
      <w:sz w:val="20"/>
      <w:szCs w:val="20"/>
    </w:r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7"/>
    <w:next w:val="7"/>
    <w:link w:val="55"/>
    <w:qFormat/>
    <w:uiPriority w:val="0"/>
    <w:rPr>
      <w:b/>
      <w:bCs/>
    </w:rPr>
  </w:style>
  <w:style w:type="paragraph" w:styleId="19">
    <w:name w:val="Body Text First Indent"/>
    <w:basedOn w:val="8"/>
    <w:next w:val="1"/>
    <w:qFormat/>
    <w:uiPriority w:val="0"/>
    <w:pPr>
      <w:spacing w:line="275" w:lineRule="atLeast"/>
      <w:ind w:firstLine="420"/>
    </w:pPr>
    <w:rPr>
      <w:rFonts w:eastAsia="楷体"/>
      <w:kern w:val="1"/>
      <w:sz w:val="26"/>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FollowedHyperlink"/>
    <w:basedOn w:val="22"/>
    <w:qFormat/>
    <w:uiPriority w:val="0"/>
    <w:rPr>
      <w:color w:val="800080"/>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uiPriority w:val="0"/>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ascii="monospace" w:hAnsi="monospace" w:eastAsia="monospace" w:cs="monospace"/>
      <w:sz w:val="20"/>
    </w:rPr>
  </w:style>
  <w:style w:type="character" w:styleId="32">
    <w:name w:val="annotation reference"/>
    <w:qFormat/>
    <w:uiPriority w:val="0"/>
    <w:rPr>
      <w:sz w:val="21"/>
      <w:szCs w:val="21"/>
    </w:rPr>
  </w:style>
  <w:style w:type="character" w:styleId="33">
    <w:name w:val="HTML Cite"/>
    <w:basedOn w:val="22"/>
    <w:qFormat/>
    <w:uiPriority w:val="0"/>
  </w:style>
  <w:style w:type="character" w:styleId="34">
    <w:name w:val="HTML Keyboard"/>
    <w:basedOn w:val="22"/>
    <w:qFormat/>
    <w:uiPriority w:val="0"/>
    <w:rPr>
      <w:rFonts w:hint="default" w:ascii="monospace" w:hAnsi="monospace" w:eastAsia="monospace" w:cs="monospace"/>
      <w:sz w:val="20"/>
    </w:rPr>
  </w:style>
  <w:style w:type="character" w:styleId="35">
    <w:name w:val="HTML Sample"/>
    <w:basedOn w:val="22"/>
    <w:qFormat/>
    <w:uiPriority w:val="0"/>
    <w:rPr>
      <w:rFonts w:hint="default" w:ascii="monospace" w:hAnsi="monospace" w:eastAsia="monospace" w:cs="monospace"/>
    </w:rPr>
  </w:style>
  <w:style w:type="paragraph" w:customStyle="1" w:styleId="36">
    <w:name w:val="目录 53"/>
    <w:next w:val="1"/>
    <w:qFormat/>
    <w:uiPriority w:val="0"/>
    <w:pPr>
      <w:wordWrap w:val="0"/>
      <w:ind w:left="1275"/>
      <w:jc w:val="both"/>
    </w:pPr>
    <w:rPr>
      <w:rFonts w:ascii="Calibri" w:hAnsi="Calibri" w:eastAsia="等线" w:cs="Times New Roman"/>
      <w:sz w:val="21"/>
      <w:szCs w:val="22"/>
      <w:lang w:val="en-US" w:eastAsia="zh-CN" w:bidi="ar-SA"/>
    </w:rPr>
  </w:style>
  <w:style w:type="paragraph" w:customStyle="1" w:styleId="37">
    <w:name w:val="BodyText"/>
    <w:basedOn w:val="1"/>
    <w:next w:val="1"/>
    <w:qFormat/>
    <w:uiPriority w:val="0"/>
    <w:pPr>
      <w:spacing w:after="120"/>
    </w:pPr>
  </w:style>
  <w:style w:type="paragraph" w:customStyle="1" w:styleId="3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9">
    <w:name w:val="Table Paragraph"/>
    <w:basedOn w:val="1"/>
    <w:qFormat/>
    <w:uiPriority w:val="1"/>
  </w:style>
  <w:style w:type="character" w:customStyle="1" w:styleId="40">
    <w:name w:val="正文文本 (2)_"/>
    <w:link w:val="41"/>
    <w:qFormat/>
    <w:uiPriority w:val="0"/>
    <w:rPr>
      <w:rFonts w:ascii="宋体" w:hAnsi="宋体"/>
      <w:kern w:val="0"/>
      <w:sz w:val="20"/>
      <w:szCs w:val="20"/>
    </w:rPr>
  </w:style>
  <w:style w:type="paragraph" w:customStyle="1" w:styleId="41">
    <w:name w:val="正文文本 (2)1"/>
    <w:basedOn w:val="1"/>
    <w:link w:val="40"/>
    <w:qFormat/>
    <w:uiPriority w:val="0"/>
    <w:pPr>
      <w:shd w:val="clear" w:color="auto" w:fill="FFFFFF"/>
      <w:spacing w:before="120" w:line="379" w:lineRule="exact"/>
      <w:ind w:hanging="420"/>
      <w:jc w:val="left"/>
    </w:pPr>
    <w:rPr>
      <w:rFonts w:ascii="宋体" w:hAnsi="宋体"/>
      <w:kern w:val="0"/>
      <w:sz w:val="20"/>
      <w:szCs w:val="20"/>
    </w:rPr>
  </w:style>
  <w:style w:type="paragraph" w:customStyle="1" w:styleId="42">
    <w:name w:val="无间隔2"/>
    <w:basedOn w:val="1"/>
    <w:qFormat/>
    <w:uiPriority w:val="0"/>
    <w:pPr>
      <w:spacing w:line="400" w:lineRule="exact"/>
    </w:pPr>
    <w:rPr>
      <w:sz w:val="24"/>
    </w:rPr>
  </w:style>
  <w:style w:type="character" w:customStyle="1" w:styleId="43">
    <w:name w:val="正文文本 Char"/>
    <w:basedOn w:val="22"/>
    <w:link w:val="8"/>
    <w:qFormat/>
    <w:uiPriority w:val="0"/>
    <w:rPr>
      <w:kern w:val="2"/>
      <w:sz w:val="21"/>
      <w:szCs w:val="24"/>
    </w:rPr>
  </w:style>
  <w:style w:type="paragraph" w:customStyle="1" w:styleId="44">
    <w:name w:val="无间隔1"/>
    <w:basedOn w:val="1"/>
    <w:qFormat/>
    <w:uiPriority w:val="0"/>
    <w:pPr>
      <w:spacing w:line="400" w:lineRule="exact"/>
    </w:pPr>
    <w:rPr>
      <w:sz w:val="24"/>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UserStyle_186"/>
    <w:basedOn w:val="1"/>
    <w:qFormat/>
    <w:uiPriority w:val="0"/>
    <w:rPr>
      <w:rFonts w:ascii="宋体" w:hAnsi="宋体"/>
      <w:lang w:val="zh-CN" w:bidi="zh-CN"/>
    </w:rPr>
  </w:style>
  <w:style w:type="character" w:customStyle="1" w:styleId="47">
    <w:name w:val="NormalCharacter"/>
    <w:semiHidden/>
    <w:qFormat/>
    <w:uiPriority w:val="0"/>
  </w:style>
  <w:style w:type="paragraph" w:customStyle="1" w:styleId="48">
    <w:name w:val="reader-word-layer reader-word-s4-3"/>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49">
    <w:name w:val="批注框文本 Char"/>
    <w:basedOn w:val="22"/>
    <w:link w:val="12"/>
    <w:qFormat/>
    <w:uiPriority w:val="0"/>
    <w:rPr>
      <w:kern w:val="2"/>
      <w:sz w:val="18"/>
      <w:szCs w:val="18"/>
    </w:rPr>
  </w:style>
  <w:style w:type="paragraph" w:styleId="50">
    <w:name w:val="List Paragraph"/>
    <w:basedOn w:val="1"/>
    <w:unhideWhenUsed/>
    <w:qFormat/>
    <w:uiPriority w:val="99"/>
    <w:pPr>
      <w:ind w:firstLine="420" w:firstLineChars="200"/>
    </w:pPr>
  </w:style>
  <w:style w:type="character" w:customStyle="1" w:styleId="51">
    <w:name w:val="正文文本 Char1"/>
    <w:basedOn w:val="22"/>
    <w:qFormat/>
    <w:uiPriority w:val="0"/>
    <w:rPr>
      <w:rFonts w:eastAsia="宋体"/>
      <w:kern w:val="2"/>
      <w:sz w:val="21"/>
    </w:rPr>
  </w:style>
  <w:style w:type="character" w:customStyle="1" w:styleId="52">
    <w:name w:val="fontstyle01"/>
    <w:basedOn w:val="22"/>
    <w:qFormat/>
    <w:uiPriority w:val="0"/>
    <w:rPr>
      <w:rFonts w:hint="eastAsia" w:ascii="宋体" w:hAnsi="宋体" w:eastAsia="宋体"/>
      <w:color w:val="000000"/>
      <w:sz w:val="22"/>
      <w:szCs w:val="22"/>
    </w:rPr>
  </w:style>
  <w:style w:type="character" w:customStyle="1" w:styleId="53">
    <w:name w:val="批注文字 Char"/>
    <w:qFormat/>
    <w:uiPriority w:val="0"/>
    <w:rPr>
      <w:kern w:val="2"/>
      <w:sz w:val="21"/>
      <w:szCs w:val="24"/>
    </w:rPr>
  </w:style>
  <w:style w:type="character" w:customStyle="1" w:styleId="54">
    <w:name w:val="批注文字 Char1"/>
    <w:basedOn w:val="22"/>
    <w:link w:val="7"/>
    <w:qFormat/>
    <w:uiPriority w:val="0"/>
    <w:rPr>
      <w:kern w:val="2"/>
      <w:sz w:val="21"/>
      <w:szCs w:val="24"/>
    </w:rPr>
  </w:style>
  <w:style w:type="character" w:customStyle="1" w:styleId="55">
    <w:name w:val="批注主题 Char"/>
    <w:basedOn w:val="54"/>
    <w:link w:val="18"/>
    <w:qFormat/>
    <w:uiPriority w:val="0"/>
    <w:rPr>
      <w:b/>
      <w:bCs/>
      <w:kern w:val="2"/>
      <w:sz w:val="21"/>
      <w:szCs w:val="24"/>
    </w:rPr>
  </w:style>
  <w:style w:type="character" w:customStyle="1" w:styleId="56">
    <w:name w:val="标题 3 Char"/>
    <w:link w:val="5"/>
    <w:autoRedefine/>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110</Pages>
  <Words>9628</Words>
  <Characters>10227</Characters>
  <Lines>536</Lines>
  <Paragraphs>151</Paragraphs>
  <TotalTime>1</TotalTime>
  <ScaleCrop>false</ScaleCrop>
  <LinksUpToDate>false</LinksUpToDate>
  <CharactersWithSpaces>10498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2022-12-12T08:40:00Z</dcterms:created>
  <dc:creator>xiaomi</dc:creator>
  <cp:lastModifiedBy>123</cp:lastModifiedBy>
  <cp:lastPrinted>2021-04-28T08:22:00Z</cp:lastPrinted>
  <dcterms:modified xsi:type="dcterms:W3CDTF">2025-05-08T12:08:36Z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B191B602804B44CD9947A447CA7C608D_13</vt:lpwstr>
  </property>
  <property fmtid="{D5CDD505-2E9C-101B-9397-08002B2CF9AE}" pid="4" name="KSOTemplateDocerSaveRecord">
    <vt:lpwstr>eyJoZGlkIjoiOTVlMzI0ZTY5NjEyOGI1OWM2MmJlYjFkNmQ4YmQxZjQiLCJ1c2VySWQiOiIyOTIwNjkxNDIifQ==</vt:lpwstr>
  </property>
</Properties>
</file>