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0B3268">
      <w:pPr>
        <w:jc w:val="left"/>
        <w:rPr>
          <w:rFonts w:ascii="宋体" w:hAnsi="宋体" w:cs="宋体"/>
          <w:color w:val="auto"/>
          <w:highlight w:val="none"/>
        </w:rPr>
      </w:pPr>
    </w:p>
    <w:p w14:paraId="1D419FFB">
      <w:pPr>
        <w:spacing w:line="1600" w:lineRule="exact"/>
        <w:outlineLvl w:val="0"/>
        <w:rPr>
          <w:rFonts w:ascii="宋体" w:hAnsi="宋体" w:cs="宋体"/>
          <w:color w:val="auto"/>
          <w:sz w:val="130"/>
          <w:szCs w:val="130"/>
          <w:highlight w:val="none"/>
        </w:rPr>
      </w:pPr>
    </w:p>
    <w:p w14:paraId="3A8E7472">
      <w:pPr>
        <w:spacing w:line="1600" w:lineRule="exact"/>
        <w:jc w:val="center"/>
        <w:outlineLvl w:val="0"/>
        <w:rPr>
          <w:rFonts w:ascii="宋体" w:hAnsi="宋体" w:cs="宋体"/>
          <w:color w:val="auto"/>
          <w:sz w:val="130"/>
          <w:szCs w:val="130"/>
          <w:highlight w:val="none"/>
        </w:rPr>
      </w:pPr>
      <w:bookmarkStart w:id="0" w:name="_Toc29704"/>
      <w:r>
        <w:rPr>
          <w:rFonts w:hint="eastAsia" w:ascii="宋体" w:hAnsi="宋体" w:cs="宋体"/>
          <w:color w:val="auto"/>
          <w:sz w:val="130"/>
          <w:szCs w:val="130"/>
          <w:highlight w:val="none"/>
        </w:rPr>
        <w:t>竞争性磋商</w:t>
      </w:r>
    </w:p>
    <w:p w14:paraId="5D29F09A">
      <w:pPr>
        <w:spacing w:line="1600" w:lineRule="exact"/>
        <w:jc w:val="center"/>
        <w:outlineLvl w:val="0"/>
        <w:rPr>
          <w:rFonts w:ascii="宋体" w:hAnsi="宋体" w:cs="宋体"/>
          <w:color w:val="auto"/>
          <w:sz w:val="130"/>
          <w:szCs w:val="130"/>
          <w:highlight w:val="none"/>
        </w:rPr>
      </w:pPr>
      <w:r>
        <w:rPr>
          <w:rFonts w:hint="eastAsia" w:ascii="宋体" w:hAnsi="宋体" w:cs="宋体"/>
          <w:color w:val="auto"/>
          <w:sz w:val="130"/>
          <w:szCs w:val="130"/>
          <w:highlight w:val="none"/>
        </w:rPr>
        <w:t>文件</w:t>
      </w:r>
      <w:bookmarkEnd w:id="0"/>
    </w:p>
    <w:p w14:paraId="3D6033E8">
      <w:pPr>
        <w:spacing w:line="700" w:lineRule="exact"/>
        <w:jc w:val="center"/>
        <w:rPr>
          <w:rFonts w:ascii="宋体" w:hAnsi="宋体" w:cs="宋体"/>
          <w:color w:val="auto"/>
          <w:sz w:val="72"/>
          <w:szCs w:val="72"/>
          <w:highlight w:val="none"/>
        </w:rPr>
      </w:pPr>
    </w:p>
    <w:p w14:paraId="5027CCB4">
      <w:pPr>
        <w:spacing w:line="700" w:lineRule="exact"/>
        <w:jc w:val="center"/>
        <w:rPr>
          <w:rFonts w:ascii="宋体" w:hAnsi="宋体" w:cs="宋体"/>
          <w:color w:val="auto"/>
          <w:sz w:val="32"/>
          <w:highlight w:val="none"/>
        </w:rPr>
      </w:pPr>
    </w:p>
    <w:p w14:paraId="0033E3AD">
      <w:pPr>
        <w:spacing w:line="500" w:lineRule="exact"/>
        <w:ind w:firstLine="1440" w:firstLineChars="400"/>
        <w:outlineLvl w:val="0"/>
        <w:rPr>
          <w:rFonts w:hint="eastAsia" w:ascii="宋体" w:hAnsi="宋体" w:eastAsia="宋体" w:cs="宋体"/>
          <w:color w:val="auto"/>
          <w:sz w:val="36"/>
          <w:szCs w:val="36"/>
          <w:highlight w:val="none"/>
        </w:rPr>
      </w:pPr>
    </w:p>
    <w:p w14:paraId="50798D83">
      <w:pPr>
        <w:spacing w:line="500" w:lineRule="exact"/>
        <w:ind w:firstLine="1440" w:firstLineChars="400"/>
        <w:outlineLvl w:val="0"/>
        <w:rPr>
          <w:rFonts w:hint="eastAsia" w:ascii="宋体" w:hAnsi="宋体" w:eastAsia="宋体" w:cs="宋体"/>
          <w:color w:val="auto"/>
          <w:sz w:val="36"/>
          <w:szCs w:val="36"/>
          <w:highlight w:val="none"/>
        </w:rPr>
      </w:pPr>
      <w:bookmarkStart w:id="1" w:name="_Toc23617"/>
      <w:r>
        <w:rPr>
          <w:rFonts w:hint="eastAsia" w:ascii="宋体" w:hAnsi="宋体" w:eastAsia="宋体" w:cs="宋体"/>
          <w:color w:val="auto"/>
          <w:sz w:val="36"/>
          <w:szCs w:val="36"/>
          <w:highlight w:val="none"/>
        </w:rPr>
        <w:t>项   目   号：</w:t>
      </w:r>
      <w:bookmarkEnd w:id="1"/>
      <w:r>
        <w:rPr>
          <w:rFonts w:hint="eastAsia" w:ascii="宋体" w:hAnsi="宋体" w:eastAsia="宋体" w:cs="宋体"/>
          <w:color w:val="auto"/>
          <w:sz w:val="36"/>
          <w:szCs w:val="36"/>
          <w:highlight w:val="none"/>
        </w:rPr>
        <w:t>QC25C00117</w:t>
      </w:r>
    </w:p>
    <w:p w14:paraId="7D28A88E">
      <w:pPr>
        <w:spacing w:line="500" w:lineRule="exact"/>
        <w:ind w:firstLine="1440" w:firstLineChars="400"/>
        <w:outlineLvl w:val="0"/>
        <w:rPr>
          <w:rFonts w:hint="default" w:ascii="宋体" w:hAnsi="宋体" w:eastAsia="宋体" w:cs="宋体"/>
          <w:color w:val="auto"/>
          <w:sz w:val="36"/>
          <w:szCs w:val="36"/>
          <w:highlight w:val="none"/>
          <w:lang w:val="en-US" w:eastAsia="zh-CN"/>
        </w:rPr>
      </w:pPr>
      <w:bookmarkStart w:id="2" w:name="_Toc12603"/>
      <w:r>
        <w:rPr>
          <w:rFonts w:hint="eastAsia" w:ascii="宋体" w:hAnsi="宋体" w:eastAsia="宋体" w:cs="宋体"/>
          <w:color w:val="auto"/>
          <w:sz w:val="36"/>
          <w:szCs w:val="36"/>
          <w:highlight w:val="none"/>
        </w:rPr>
        <w:t>磋商项目名称：</w:t>
      </w:r>
      <w:bookmarkEnd w:id="2"/>
      <w:r>
        <w:rPr>
          <w:rFonts w:hint="eastAsia" w:ascii="宋体" w:hAnsi="宋体" w:eastAsia="宋体" w:cs="宋体"/>
          <w:color w:val="auto"/>
          <w:sz w:val="36"/>
          <w:szCs w:val="36"/>
          <w:highlight w:val="none"/>
          <w:lang w:eastAsia="zh-CN"/>
        </w:rPr>
        <w:t>有害生物防治服务</w:t>
      </w:r>
      <w:r>
        <w:rPr>
          <w:rFonts w:hint="eastAsia" w:ascii="宋体" w:hAnsi="宋体" w:cs="宋体"/>
          <w:color w:val="auto"/>
          <w:sz w:val="36"/>
          <w:szCs w:val="36"/>
          <w:highlight w:val="none"/>
          <w:lang w:eastAsia="zh-CN"/>
        </w:rPr>
        <w:t>（</w:t>
      </w:r>
      <w:r>
        <w:rPr>
          <w:rFonts w:hint="eastAsia" w:ascii="宋体" w:hAnsi="宋体" w:cs="宋体"/>
          <w:color w:val="auto"/>
          <w:sz w:val="36"/>
          <w:szCs w:val="36"/>
          <w:highlight w:val="none"/>
          <w:lang w:val="en-US" w:eastAsia="zh-CN"/>
        </w:rPr>
        <w:t>第二次）</w:t>
      </w:r>
    </w:p>
    <w:p w14:paraId="4E674121">
      <w:pPr>
        <w:spacing w:line="700" w:lineRule="exact"/>
        <w:rPr>
          <w:rFonts w:ascii="宋体" w:hAnsi="宋体" w:cs="宋体"/>
          <w:color w:val="auto"/>
          <w:sz w:val="36"/>
          <w:szCs w:val="36"/>
          <w:highlight w:val="none"/>
        </w:rPr>
      </w:pPr>
    </w:p>
    <w:p w14:paraId="3FF8ED63">
      <w:pPr>
        <w:pStyle w:val="39"/>
        <w:rPr>
          <w:rFonts w:ascii="宋体" w:hAnsi="宋体" w:cs="宋体"/>
          <w:color w:val="auto"/>
          <w:highlight w:val="none"/>
        </w:rPr>
      </w:pPr>
    </w:p>
    <w:p w14:paraId="193BB138">
      <w:pPr>
        <w:spacing w:line="700" w:lineRule="exact"/>
        <w:rPr>
          <w:rFonts w:ascii="宋体" w:hAnsi="宋体" w:cs="宋体"/>
          <w:b/>
          <w:color w:val="auto"/>
          <w:sz w:val="36"/>
          <w:szCs w:val="36"/>
          <w:highlight w:val="none"/>
        </w:rPr>
      </w:pPr>
    </w:p>
    <w:p w14:paraId="74AD825B">
      <w:pPr>
        <w:pStyle w:val="23"/>
        <w:rPr>
          <w:rFonts w:ascii="宋体" w:hAnsi="宋体" w:cs="宋体"/>
          <w:color w:val="auto"/>
          <w:highlight w:val="none"/>
        </w:rPr>
      </w:pPr>
    </w:p>
    <w:p w14:paraId="0CBFC49A">
      <w:pPr>
        <w:rPr>
          <w:rFonts w:ascii="宋体" w:hAnsi="宋体" w:cs="宋体"/>
          <w:color w:val="auto"/>
          <w:highlight w:val="none"/>
        </w:rPr>
      </w:pPr>
    </w:p>
    <w:p w14:paraId="6A22091B">
      <w:pPr>
        <w:spacing w:line="500" w:lineRule="exact"/>
        <w:ind w:firstLine="1440" w:firstLineChars="400"/>
        <w:outlineLvl w:val="0"/>
        <w:rPr>
          <w:rFonts w:ascii="宋体" w:hAnsi="宋体" w:cs="宋体"/>
          <w:color w:val="auto"/>
          <w:sz w:val="36"/>
          <w:szCs w:val="36"/>
          <w:highlight w:val="none"/>
        </w:rPr>
      </w:pPr>
      <w:bookmarkStart w:id="3" w:name="_Toc13197"/>
      <w:r>
        <w:rPr>
          <w:rFonts w:hint="eastAsia" w:ascii="宋体" w:hAnsi="宋体" w:cs="宋体"/>
          <w:color w:val="auto"/>
          <w:sz w:val="36"/>
          <w:szCs w:val="36"/>
          <w:highlight w:val="none"/>
        </w:rPr>
        <w:t>采购人：</w:t>
      </w:r>
      <w:bookmarkEnd w:id="3"/>
      <w:bookmarkStart w:id="4" w:name="_Toc27204"/>
      <w:r>
        <w:rPr>
          <w:rFonts w:hint="eastAsia" w:ascii="宋体" w:hAnsi="宋体" w:cs="宋体"/>
          <w:color w:val="auto"/>
          <w:sz w:val="36"/>
          <w:szCs w:val="36"/>
          <w:highlight w:val="none"/>
        </w:rPr>
        <w:t xml:space="preserve">重庆市石桥铺殡仪馆 </w:t>
      </w:r>
    </w:p>
    <w:p w14:paraId="1FB6E160">
      <w:pPr>
        <w:spacing w:line="500" w:lineRule="exact"/>
        <w:ind w:firstLine="1440" w:firstLineChars="400"/>
        <w:outlineLvl w:val="0"/>
        <w:rPr>
          <w:rFonts w:ascii="宋体" w:hAnsi="宋体" w:cs="宋体"/>
          <w:color w:val="auto"/>
          <w:sz w:val="36"/>
          <w:szCs w:val="36"/>
          <w:highlight w:val="none"/>
        </w:rPr>
      </w:pPr>
      <w:r>
        <w:rPr>
          <w:rFonts w:hint="eastAsia" w:ascii="宋体" w:hAnsi="宋体" w:cs="宋体"/>
          <w:color w:val="auto"/>
          <w:sz w:val="36"/>
          <w:szCs w:val="36"/>
          <w:highlight w:val="none"/>
        </w:rPr>
        <w:t>采购代理机构：</w:t>
      </w:r>
      <w:bookmarkEnd w:id="4"/>
      <w:r>
        <w:rPr>
          <w:rFonts w:hint="eastAsia" w:ascii="宋体" w:hAnsi="宋体" w:cs="宋体"/>
          <w:color w:val="auto"/>
          <w:sz w:val="36"/>
          <w:szCs w:val="36"/>
          <w:highlight w:val="none"/>
        </w:rPr>
        <w:t>重庆千策招标代理有限公司</w:t>
      </w:r>
    </w:p>
    <w:p w14:paraId="13D296F3">
      <w:pPr>
        <w:spacing w:line="500" w:lineRule="exact"/>
        <w:ind w:firstLine="1440" w:firstLineChars="400"/>
        <w:outlineLvl w:val="0"/>
        <w:rPr>
          <w:rFonts w:ascii="宋体" w:hAnsi="宋体" w:cs="宋体"/>
          <w:color w:val="auto"/>
          <w:sz w:val="36"/>
          <w:szCs w:val="36"/>
          <w:highlight w:val="none"/>
        </w:rPr>
      </w:pPr>
    </w:p>
    <w:p w14:paraId="74F8C12F">
      <w:pPr>
        <w:spacing w:line="500" w:lineRule="exact"/>
        <w:ind w:firstLine="1440" w:firstLineChars="400"/>
        <w:outlineLvl w:val="0"/>
        <w:rPr>
          <w:rFonts w:ascii="宋体" w:hAnsi="宋体" w:cs="宋体"/>
          <w:color w:val="auto"/>
          <w:sz w:val="36"/>
          <w:szCs w:val="36"/>
          <w:highlight w:val="none"/>
        </w:rPr>
      </w:pPr>
    </w:p>
    <w:p w14:paraId="5D88828D">
      <w:pPr>
        <w:spacing w:line="500" w:lineRule="exact"/>
        <w:jc w:val="center"/>
        <w:outlineLvl w:val="0"/>
        <w:rPr>
          <w:rFonts w:ascii="宋体" w:hAnsi="宋体" w:cs="宋体"/>
          <w:color w:val="auto"/>
          <w:sz w:val="36"/>
          <w:szCs w:val="36"/>
          <w:highlight w:val="none"/>
        </w:rPr>
      </w:pPr>
    </w:p>
    <w:p w14:paraId="4E87D18E">
      <w:pPr>
        <w:pStyle w:val="23"/>
        <w:rPr>
          <w:rFonts w:ascii="宋体" w:hAnsi="宋体" w:cs="宋体"/>
          <w:color w:val="auto"/>
          <w:highlight w:val="none"/>
        </w:rPr>
      </w:pPr>
    </w:p>
    <w:p w14:paraId="31E3E5E0">
      <w:pPr>
        <w:spacing w:line="720" w:lineRule="exact"/>
        <w:jc w:val="center"/>
        <w:outlineLvl w:val="0"/>
        <w:rPr>
          <w:rFonts w:ascii="宋体" w:hAnsi="宋体" w:cs="宋体"/>
          <w:color w:val="auto"/>
          <w:sz w:val="48"/>
          <w:szCs w:val="32"/>
          <w:highlight w:val="none"/>
        </w:rPr>
      </w:pPr>
      <w:bookmarkStart w:id="5" w:name="_Toc2252"/>
      <w:r>
        <w:rPr>
          <w:rFonts w:hint="eastAsia" w:ascii="宋体" w:hAnsi="宋体" w:cs="宋体"/>
          <w:color w:val="auto"/>
          <w:sz w:val="36"/>
          <w:szCs w:val="36"/>
          <w:highlight w:val="none"/>
        </w:rPr>
        <w:t>二〇二五年</w:t>
      </w:r>
      <w:r>
        <w:rPr>
          <w:rFonts w:hint="eastAsia" w:ascii="宋体" w:hAnsi="宋体" w:cs="宋体"/>
          <w:color w:val="auto"/>
          <w:sz w:val="36"/>
          <w:szCs w:val="36"/>
          <w:highlight w:val="none"/>
          <w:lang w:val="en-US" w:eastAsia="zh-CN"/>
        </w:rPr>
        <w:t>九</w:t>
      </w:r>
      <w:r>
        <w:rPr>
          <w:rFonts w:hint="eastAsia" w:ascii="宋体" w:hAnsi="宋体" w:cs="宋体"/>
          <w:color w:val="auto"/>
          <w:sz w:val="36"/>
          <w:szCs w:val="36"/>
          <w:highlight w:val="none"/>
        </w:rPr>
        <w:t>月</w:t>
      </w:r>
      <w:bookmarkEnd w:id="5"/>
    </w:p>
    <w:p w14:paraId="5F6E0E98">
      <w:pPr>
        <w:spacing w:line="720" w:lineRule="exact"/>
        <w:jc w:val="center"/>
        <w:outlineLvl w:val="0"/>
        <w:rPr>
          <w:rFonts w:ascii="宋体" w:hAnsi="宋体" w:cs="宋体"/>
          <w:color w:val="auto"/>
          <w:sz w:val="48"/>
          <w:szCs w:val="32"/>
          <w:highlight w:val="none"/>
        </w:rPr>
        <w:sectPr>
          <w:headerReference r:id="rId5" w:type="first"/>
          <w:footerReference r:id="rId7" w:type="first"/>
          <w:headerReference r:id="rId3" w:type="default"/>
          <w:headerReference r:id="rId4" w:type="even"/>
          <w:footerReference r:id="rId6" w:type="even"/>
          <w:pgSz w:w="11907" w:h="16840"/>
          <w:pgMar w:top="1134" w:right="1191" w:bottom="1134" w:left="1304" w:header="680" w:footer="992" w:gutter="0"/>
          <w:pgNumType w:fmt="numberInDash" w:start="1"/>
          <w:cols w:space="0" w:num="1"/>
          <w:docGrid w:linePitch="381" w:charSpace="0"/>
        </w:sectPr>
      </w:pPr>
    </w:p>
    <w:p w14:paraId="223B1B14">
      <w:pPr>
        <w:spacing w:line="480" w:lineRule="exact"/>
        <w:jc w:val="center"/>
        <w:outlineLvl w:val="0"/>
        <w:rPr>
          <w:rFonts w:ascii="宋体" w:hAnsi="宋体" w:cs="宋体"/>
          <w:color w:val="auto"/>
          <w:sz w:val="44"/>
          <w:szCs w:val="28"/>
          <w:highlight w:val="none"/>
        </w:rPr>
      </w:pPr>
      <w:bookmarkStart w:id="6" w:name="_Toc12825"/>
      <w:r>
        <w:rPr>
          <w:rFonts w:hint="eastAsia" w:ascii="宋体" w:hAnsi="宋体" w:cs="宋体"/>
          <w:color w:val="auto"/>
          <w:sz w:val="44"/>
          <w:szCs w:val="28"/>
          <w:highlight w:val="none"/>
        </w:rPr>
        <w:t>目   录</w:t>
      </w:r>
    </w:p>
    <w:p w14:paraId="070ADF87">
      <w:pPr>
        <w:pStyle w:val="24"/>
        <w:tabs>
          <w:tab w:val="right" w:leader="dot" w:pos="9412"/>
        </w:tabs>
        <w:rPr>
          <w:color w:val="auto"/>
          <w:highlight w:val="none"/>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TOC \o "1-3" \h \z </w:instrText>
      </w:r>
      <w:r>
        <w:rPr>
          <w:rFonts w:hint="eastAsia" w:ascii="宋体" w:hAnsi="宋体" w:cs="宋体"/>
          <w:color w:val="auto"/>
          <w:sz w:val="21"/>
          <w:szCs w:val="21"/>
          <w:highlight w:val="none"/>
        </w:rPr>
        <w:fldChar w:fldCharType="separate"/>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_Toc17873 </w:instrText>
      </w:r>
      <w:r>
        <w:rPr>
          <w:rFonts w:hint="eastAsia" w:ascii="宋体" w:hAnsi="宋体" w:cs="宋体"/>
          <w:color w:val="auto"/>
          <w:szCs w:val="21"/>
          <w:highlight w:val="none"/>
        </w:rPr>
        <w:fldChar w:fldCharType="separate"/>
      </w:r>
      <w:r>
        <w:rPr>
          <w:rFonts w:hint="eastAsia" w:ascii="宋体" w:hAnsi="宋体" w:eastAsia="宋体"/>
          <w:color w:val="auto"/>
          <w:szCs w:val="30"/>
          <w:highlight w:val="none"/>
        </w:rPr>
        <w:t>第一篇  采购邀请书</w:t>
      </w:r>
      <w:r>
        <w:rPr>
          <w:color w:val="auto"/>
          <w:highlight w:val="none"/>
        </w:rPr>
        <w:tab/>
      </w:r>
      <w:r>
        <w:rPr>
          <w:color w:val="auto"/>
          <w:highlight w:val="none"/>
        </w:rPr>
        <w:fldChar w:fldCharType="begin"/>
      </w:r>
      <w:r>
        <w:rPr>
          <w:color w:val="auto"/>
          <w:highlight w:val="none"/>
        </w:rPr>
        <w:instrText xml:space="preserve"> PAGEREF _Toc17873 \h </w:instrText>
      </w:r>
      <w:r>
        <w:rPr>
          <w:color w:val="auto"/>
          <w:highlight w:val="none"/>
        </w:rPr>
        <w:fldChar w:fldCharType="separate"/>
      </w:r>
      <w:r>
        <w:rPr>
          <w:color w:val="auto"/>
          <w:highlight w:val="none"/>
        </w:rPr>
        <w:t>- 1 -</w:t>
      </w:r>
      <w:r>
        <w:rPr>
          <w:color w:val="auto"/>
          <w:highlight w:val="none"/>
        </w:rPr>
        <w:fldChar w:fldCharType="end"/>
      </w:r>
      <w:r>
        <w:rPr>
          <w:rFonts w:hint="eastAsia" w:ascii="宋体" w:hAnsi="宋体" w:cs="宋体"/>
          <w:color w:val="auto"/>
          <w:szCs w:val="21"/>
          <w:highlight w:val="none"/>
        </w:rPr>
        <w:fldChar w:fldCharType="end"/>
      </w:r>
    </w:p>
    <w:p w14:paraId="05755717">
      <w:pPr>
        <w:pStyle w:val="24"/>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_Toc27222 </w:instrText>
      </w:r>
      <w:r>
        <w:rPr>
          <w:rFonts w:hint="eastAsia" w:ascii="宋体" w:hAnsi="宋体" w:cs="宋体"/>
          <w:color w:val="auto"/>
          <w:szCs w:val="21"/>
          <w:highlight w:val="none"/>
        </w:rPr>
        <w:fldChar w:fldCharType="separate"/>
      </w:r>
      <w:r>
        <w:rPr>
          <w:rFonts w:hint="eastAsia" w:ascii="宋体" w:hAnsi="宋体" w:eastAsia="宋体"/>
          <w:bCs w:val="0"/>
          <w:color w:val="auto"/>
          <w:highlight w:val="none"/>
        </w:rPr>
        <w:t>一、竞争性磋商内容</w:t>
      </w:r>
      <w:r>
        <w:rPr>
          <w:color w:val="auto"/>
          <w:highlight w:val="none"/>
        </w:rPr>
        <w:tab/>
      </w:r>
      <w:r>
        <w:rPr>
          <w:color w:val="auto"/>
          <w:highlight w:val="none"/>
        </w:rPr>
        <w:fldChar w:fldCharType="begin"/>
      </w:r>
      <w:r>
        <w:rPr>
          <w:color w:val="auto"/>
          <w:highlight w:val="none"/>
        </w:rPr>
        <w:instrText xml:space="preserve"> PAGEREF _Toc27222 \h </w:instrText>
      </w:r>
      <w:r>
        <w:rPr>
          <w:color w:val="auto"/>
          <w:highlight w:val="none"/>
        </w:rPr>
        <w:fldChar w:fldCharType="separate"/>
      </w:r>
      <w:r>
        <w:rPr>
          <w:color w:val="auto"/>
          <w:highlight w:val="none"/>
        </w:rPr>
        <w:t>- 1 -</w:t>
      </w:r>
      <w:r>
        <w:rPr>
          <w:color w:val="auto"/>
          <w:highlight w:val="none"/>
        </w:rPr>
        <w:fldChar w:fldCharType="end"/>
      </w:r>
      <w:r>
        <w:rPr>
          <w:rFonts w:hint="eastAsia" w:ascii="宋体" w:hAnsi="宋体" w:cs="宋体"/>
          <w:color w:val="auto"/>
          <w:szCs w:val="21"/>
          <w:highlight w:val="none"/>
        </w:rPr>
        <w:fldChar w:fldCharType="end"/>
      </w:r>
    </w:p>
    <w:p w14:paraId="061D4ECD">
      <w:pPr>
        <w:pStyle w:val="24"/>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_Toc2154 </w:instrText>
      </w:r>
      <w:r>
        <w:rPr>
          <w:rFonts w:hint="eastAsia" w:ascii="宋体" w:hAnsi="宋体" w:cs="宋体"/>
          <w:color w:val="auto"/>
          <w:szCs w:val="21"/>
          <w:highlight w:val="none"/>
        </w:rPr>
        <w:fldChar w:fldCharType="separate"/>
      </w:r>
      <w:r>
        <w:rPr>
          <w:rFonts w:hint="eastAsia" w:ascii="宋体" w:hAnsi="宋体" w:eastAsia="宋体"/>
          <w:bCs w:val="0"/>
          <w:color w:val="auto"/>
          <w:highlight w:val="none"/>
        </w:rPr>
        <w:t>二、资金来源</w:t>
      </w:r>
      <w:r>
        <w:rPr>
          <w:color w:val="auto"/>
          <w:highlight w:val="none"/>
        </w:rPr>
        <w:tab/>
      </w:r>
      <w:r>
        <w:rPr>
          <w:color w:val="auto"/>
          <w:highlight w:val="none"/>
        </w:rPr>
        <w:fldChar w:fldCharType="begin"/>
      </w:r>
      <w:r>
        <w:rPr>
          <w:color w:val="auto"/>
          <w:highlight w:val="none"/>
        </w:rPr>
        <w:instrText xml:space="preserve"> PAGEREF _Toc2154 \h </w:instrText>
      </w:r>
      <w:r>
        <w:rPr>
          <w:color w:val="auto"/>
          <w:highlight w:val="none"/>
        </w:rPr>
        <w:fldChar w:fldCharType="separate"/>
      </w:r>
      <w:r>
        <w:rPr>
          <w:color w:val="auto"/>
          <w:highlight w:val="none"/>
        </w:rPr>
        <w:t>- 1 -</w:t>
      </w:r>
      <w:r>
        <w:rPr>
          <w:color w:val="auto"/>
          <w:highlight w:val="none"/>
        </w:rPr>
        <w:fldChar w:fldCharType="end"/>
      </w:r>
      <w:r>
        <w:rPr>
          <w:rFonts w:hint="eastAsia" w:ascii="宋体" w:hAnsi="宋体" w:cs="宋体"/>
          <w:color w:val="auto"/>
          <w:szCs w:val="21"/>
          <w:highlight w:val="none"/>
        </w:rPr>
        <w:fldChar w:fldCharType="end"/>
      </w:r>
    </w:p>
    <w:p w14:paraId="10243F0B">
      <w:pPr>
        <w:pStyle w:val="24"/>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_Toc1647 </w:instrText>
      </w:r>
      <w:r>
        <w:rPr>
          <w:rFonts w:hint="eastAsia" w:ascii="宋体" w:hAnsi="宋体" w:cs="宋体"/>
          <w:color w:val="auto"/>
          <w:szCs w:val="21"/>
          <w:highlight w:val="none"/>
        </w:rPr>
        <w:fldChar w:fldCharType="separate"/>
      </w:r>
      <w:r>
        <w:rPr>
          <w:rFonts w:hint="eastAsia" w:ascii="宋体" w:hAnsi="宋体" w:eastAsia="宋体"/>
          <w:bCs w:val="0"/>
          <w:color w:val="auto"/>
          <w:highlight w:val="none"/>
        </w:rPr>
        <w:t>三、供应商资格条件</w:t>
      </w:r>
      <w:r>
        <w:rPr>
          <w:color w:val="auto"/>
          <w:highlight w:val="none"/>
        </w:rPr>
        <w:tab/>
      </w:r>
      <w:r>
        <w:rPr>
          <w:color w:val="auto"/>
          <w:highlight w:val="none"/>
        </w:rPr>
        <w:fldChar w:fldCharType="begin"/>
      </w:r>
      <w:r>
        <w:rPr>
          <w:color w:val="auto"/>
          <w:highlight w:val="none"/>
        </w:rPr>
        <w:instrText xml:space="preserve"> PAGEREF _Toc1647 \h </w:instrText>
      </w:r>
      <w:r>
        <w:rPr>
          <w:color w:val="auto"/>
          <w:highlight w:val="none"/>
        </w:rPr>
        <w:fldChar w:fldCharType="separate"/>
      </w:r>
      <w:r>
        <w:rPr>
          <w:color w:val="auto"/>
          <w:highlight w:val="none"/>
        </w:rPr>
        <w:t>- 1 -</w:t>
      </w:r>
      <w:r>
        <w:rPr>
          <w:color w:val="auto"/>
          <w:highlight w:val="none"/>
        </w:rPr>
        <w:fldChar w:fldCharType="end"/>
      </w:r>
      <w:r>
        <w:rPr>
          <w:rFonts w:hint="eastAsia" w:ascii="宋体" w:hAnsi="宋体" w:cs="宋体"/>
          <w:color w:val="auto"/>
          <w:szCs w:val="21"/>
          <w:highlight w:val="none"/>
        </w:rPr>
        <w:fldChar w:fldCharType="end"/>
      </w:r>
    </w:p>
    <w:p w14:paraId="1D9F6CD5">
      <w:pPr>
        <w:pStyle w:val="24"/>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_Toc21006 </w:instrText>
      </w:r>
      <w:r>
        <w:rPr>
          <w:rFonts w:hint="eastAsia" w:ascii="宋体" w:hAnsi="宋体" w:cs="宋体"/>
          <w:color w:val="auto"/>
          <w:szCs w:val="21"/>
          <w:highlight w:val="none"/>
        </w:rPr>
        <w:fldChar w:fldCharType="separate"/>
      </w:r>
      <w:r>
        <w:rPr>
          <w:rFonts w:hint="eastAsia" w:ascii="宋体" w:hAnsi="宋体" w:eastAsia="宋体"/>
          <w:bCs w:val="0"/>
          <w:color w:val="auto"/>
          <w:highlight w:val="none"/>
        </w:rPr>
        <w:t>四、磋商有关说明</w:t>
      </w:r>
      <w:r>
        <w:rPr>
          <w:color w:val="auto"/>
          <w:highlight w:val="none"/>
        </w:rPr>
        <w:tab/>
      </w:r>
      <w:r>
        <w:rPr>
          <w:color w:val="auto"/>
          <w:highlight w:val="none"/>
        </w:rPr>
        <w:fldChar w:fldCharType="begin"/>
      </w:r>
      <w:r>
        <w:rPr>
          <w:color w:val="auto"/>
          <w:highlight w:val="none"/>
        </w:rPr>
        <w:instrText xml:space="preserve"> PAGEREF _Toc21006 \h </w:instrText>
      </w:r>
      <w:r>
        <w:rPr>
          <w:color w:val="auto"/>
          <w:highlight w:val="none"/>
        </w:rPr>
        <w:fldChar w:fldCharType="separate"/>
      </w:r>
      <w:r>
        <w:rPr>
          <w:color w:val="auto"/>
          <w:highlight w:val="none"/>
        </w:rPr>
        <w:t>- 1 -</w:t>
      </w:r>
      <w:r>
        <w:rPr>
          <w:color w:val="auto"/>
          <w:highlight w:val="none"/>
        </w:rPr>
        <w:fldChar w:fldCharType="end"/>
      </w:r>
      <w:r>
        <w:rPr>
          <w:rFonts w:hint="eastAsia" w:ascii="宋体" w:hAnsi="宋体" w:cs="宋体"/>
          <w:color w:val="auto"/>
          <w:szCs w:val="21"/>
          <w:highlight w:val="none"/>
        </w:rPr>
        <w:fldChar w:fldCharType="end"/>
      </w:r>
    </w:p>
    <w:p w14:paraId="7D494D5D">
      <w:pPr>
        <w:pStyle w:val="24"/>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_Toc29401 </w:instrText>
      </w:r>
      <w:r>
        <w:rPr>
          <w:rFonts w:hint="eastAsia" w:ascii="宋体" w:hAnsi="宋体" w:cs="宋体"/>
          <w:color w:val="auto"/>
          <w:szCs w:val="21"/>
          <w:highlight w:val="none"/>
        </w:rPr>
        <w:fldChar w:fldCharType="separate"/>
      </w:r>
      <w:r>
        <w:rPr>
          <w:rFonts w:hint="eastAsia" w:ascii="宋体" w:hAnsi="宋体" w:eastAsia="宋体"/>
          <w:bCs w:val="0"/>
          <w:color w:val="auto"/>
          <w:highlight w:val="none"/>
        </w:rPr>
        <w:t>五、保证金</w:t>
      </w:r>
      <w:r>
        <w:rPr>
          <w:color w:val="auto"/>
          <w:highlight w:val="none"/>
        </w:rPr>
        <w:tab/>
      </w:r>
      <w:r>
        <w:rPr>
          <w:color w:val="auto"/>
          <w:highlight w:val="none"/>
        </w:rPr>
        <w:fldChar w:fldCharType="begin"/>
      </w:r>
      <w:r>
        <w:rPr>
          <w:color w:val="auto"/>
          <w:highlight w:val="none"/>
        </w:rPr>
        <w:instrText xml:space="preserve"> PAGEREF _Toc29401 \h </w:instrText>
      </w:r>
      <w:r>
        <w:rPr>
          <w:color w:val="auto"/>
          <w:highlight w:val="none"/>
        </w:rPr>
        <w:fldChar w:fldCharType="separate"/>
      </w:r>
      <w:r>
        <w:rPr>
          <w:color w:val="auto"/>
          <w:highlight w:val="none"/>
        </w:rPr>
        <w:t>- 2 -</w:t>
      </w:r>
      <w:r>
        <w:rPr>
          <w:color w:val="auto"/>
          <w:highlight w:val="none"/>
        </w:rPr>
        <w:fldChar w:fldCharType="end"/>
      </w:r>
      <w:r>
        <w:rPr>
          <w:rFonts w:hint="eastAsia" w:ascii="宋体" w:hAnsi="宋体" w:cs="宋体"/>
          <w:color w:val="auto"/>
          <w:szCs w:val="21"/>
          <w:highlight w:val="none"/>
        </w:rPr>
        <w:fldChar w:fldCharType="end"/>
      </w:r>
    </w:p>
    <w:p w14:paraId="22B937F0">
      <w:pPr>
        <w:pStyle w:val="24"/>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_Toc18289 </w:instrText>
      </w:r>
      <w:r>
        <w:rPr>
          <w:rFonts w:hint="eastAsia" w:ascii="宋体" w:hAnsi="宋体" w:cs="宋体"/>
          <w:color w:val="auto"/>
          <w:szCs w:val="21"/>
          <w:highlight w:val="none"/>
        </w:rPr>
        <w:fldChar w:fldCharType="separate"/>
      </w:r>
      <w:r>
        <w:rPr>
          <w:rFonts w:hint="eastAsia" w:ascii="宋体" w:hAnsi="宋体" w:eastAsia="宋体"/>
          <w:bCs w:val="0"/>
          <w:color w:val="auto"/>
          <w:highlight w:val="none"/>
        </w:rPr>
        <w:t>六、其它有关规定</w:t>
      </w:r>
      <w:r>
        <w:rPr>
          <w:color w:val="auto"/>
          <w:highlight w:val="none"/>
        </w:rPr>
        <w:tab/>
      </w:r>
      <w:r>
        <w:rPr>
          <w:color w:val="auto"/>
          <w:highlight w:val="none"/>
        </w:rPr>
        <w:fldChar w:fldCharType="begin"/>
      </w:r>
      <w:r>
        <w:rPr>
          <w:color w:val="auto"/>
          <w:highlight w:val="none"/>
        </w:rPr>
        <w:instrText xml:space="preserve"> PAGEREF _Toc18289 \h </w:instrText>
      </w:r>
      <w:r>
        <w:rPr>
          <w:color w:val="auto"/>
          <w:highlight w:val="none"/>
        </w:rPr>
        <w:fldChar w:fldCharType="separate"/>
      </w:r>
      <w:r>
        <w:rPr>
          <w:color w:val="auto"/>
          <w:highlight w:val="none"/>
        </w:rPr>
        <w:t>- 2 -</w:t>
      </w:r>
      <w:r>
        <w:rPr>
          <w:color w:val="auto"/>
          <w:highlight w:val="none"/>
        </w:rPr>
        <w:fldChar w:fldCharType="end"/>
      </w:r>
      <w:r>
        <w:rPr>
          <w:rFonts w:hint="eastAsia" w:ascii="宋体" w:hAnsi="宋体" w:cs="宋体"/>
          <w:color w:val="auto"/>
          <w:szCs w:val="21"/>
          <w:highlight w:val="none"/>
        </w:rPr>
        <w:fldChar w:fldCharType="end"/>
      </w:r>
    </w:p>
    <w:p w14:paraId="1DF48EA5">
      <w:pPr>
        <w:pStyle w:val="24"/>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_Toc7919 </w:instrText>
      </w:r>
      <w:r>
        <w:rPr>
          <w:rFonts w:hint="eastAsia" w:ascii="宋体" w:hAnsi="宋体" w:cs="宋体"/>
          <w:color w:val="auto"/>
          <w:szCs w:val="21"/>
          <w:highlight w:val="none"/>
        </w:rPr>
        <w:fldChar w:fldCharType="separate"/>
      </w:r>
      <w:r>
        <w:rPr>
          <w:rFonts w:hint="eastAsia" w:ascii="宋体" w:hAnsi="宋体" w:eastAsia="宋体"/>
          <w:bCs w:val="0"/>
          <w:color w:val="auto"/>
          <w:highlight w:val="none"/>
        </w:rPr>
        <w:t>七、联系方式</w:t>
      </w:r>
      <w:r>
        <w:rPr>
          <w:color w:val="auto"/>
          <w:highlight w:val="none"/>
        </w:rPr>
        <w:tab/>
      </w:r>
      <w:r>
        <w:rPr>
          <w:color w:val="auto"/>
          <w:highlight w:val="none"/>
        </w:rPr>
        <w:fldChar w:fldCharType="begin"/>
      </w:r>
      <w:r>
        <w:rPr>
          <w:color w:val="auto"/>
          <w:highlight w:val="none"/>
        </w:rPr>
        <w:instrText xml:space="preserve"> PAGEREF _Toc7919 \h </w:instrText>
      </w:r>
      <w:r>
        <w:rPr>
          <w:color w:val="auto"/>
          <w:highlight w:val="none"/>
        </w:rPr>
        <w:fldChar w:fldCharType="separate"/>
      </w:r>
      <w:r>
        <w:rPr>
          <w:color w:val="auto"/>
          <w:highlight w:val="none"/>
        </w:rPr>
        <w:t>- 2 -</w:t>
      </w:r>
      <w:r>
        <w:rPr>
          <w:color w:val="auto"/>
          <w:highlight w:val="none"/>
        </w:rPr>
        <w:fldChar w:fldCharType="end"/>
      </w:r>
      <w:r>
        <w:rPr>
          <w:rFonts w:hint="eastAsia" w:ascii="宋体" w:hAnsi="宋体" w:cs="宋体"/>
          <w:color w:val="auto"/>
          <w:szCs w:val="21"/>
          <w:highlight w:val="none"/>
        </w:rPr>
        <w:fldChar w:fldCharType="end"/>
      </w:r>
    </w:p>
    <w:p w14:paraId="1B01F432">
      <w:pPr>
        <w:pStyle w:val="24"/>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_Toc27157 </w:instrText>
      </w:r>
      <w:r>
        <w:rPr>
          <w:rFonts w:hint="eastAsia" w:ascii="宋体" w:hAnsi="宋体" w:cs="宋体"/>
          <w:color w:val="auto"/>
          <w:szCs w:val="21"/>
          <w:highlight w:val="none"/>
        </w:rPr>
        <w:fldChar w:fldCharType="separate"/>
      </w:r>
      <w:r>
        <w:rPr>
          <w:rFonts w:hint="eastAsia" w:ascii="宋体" w:hAnsi="宋体" w:eastAsia="宋体"/>
          <w:color w:val="auto"/>
          <w:szCs w:val="30"/>
          <w:highlight w:val="none"/>
        </w:rPr>
        <w:t>第二篇  项目服务需求</w:t>
      </w:r>
      <w:r>
        <w:rPr>
          <w:color w:val="auto"/>
          <w:highlight w:val="none"/>
        </w:rPr>
        <w:tab/>
      </w:r>
      <w:r>
        <w:rPr>
          <w:color w:val="auto"/>
          <w:highlight w:val="none"/>
        </w:rPr>
        <w:fldChar w:fldCharType="begin"/>
      </w:r>
      <w:r>
        <w:rPr>
          <w:color w:val="auto"/>
          <w:highlight w:val="none"/>
        </w:rPr>
        <w:instrText xml:space="preserve"> PAGEREF _Toc27157 \h </w:instrText>
      </w:r>
      <w:r>
        <w:rPr>
          <w:color w:val="auto"/>
          <w:highlight w:val="none"/>
        </w:rPr>
        <w:fldChar w:fldCharType="separate"/>
      </w:r>
      <w:r>
        <w:rPr>
          <w:color w:val="auto"/>
          <w:highlight w:val="none"/>
        </w:rPr>
        <w:t>- 4 -</w:t>
      </w:r>
      <w:r>
        <w:rPr>
          <w:color w:val="auto"/>
          <w:highlight w:val="none"/>
        </w:rPr>
        <w:fldChar w:fldCharType="end"/>
      </w:r>
      <w:r>
        <w:rPr>
          <w:rFonts w:hint="eastAsia" w:ascii="宋体" w:hAnsi="宋体" w:cs="宋体"/>
          <w:color w:val="auto"/>
          <w:szCs w:val="21"/>
          <w:highlight w:val="none"/>
        </w:rPr>
        <w:fldChar w:fldCharType="end"/>
      </w:r>
    </w:p>
    <w:p w14:paraId="41442355">
      <w:pPr>
        <w:pStyle w:val="24"/>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_Toc24437 </w:instrText>
      </w:r>
      <w:r>
        <w:rPr>
          <w:rFonts w:hint="eastAsia" w:ascii="宋体" w:hAnsi="宋体" w:cs="宋体"/>
          <w:color w:val="auto"/>
          <w:szCs w:val="21"/>
          <w:highlight w:val="none"/>
        </w:rPr>
        <w:fldChar w:fldCharType="separate"/>
      </w:r>
      <w:r>
        <w:rPr>
          <w:rFonts w:hint="eastAsia" w:ascii="宋体" w:hAnsi="宋体" w:eastAsia="宋体"/>
          <w:bCs w:val="0"/>
          <w:color w:val="auto"/>
          <w:highlight w:val="none"/>
        </w:rPr>
        <w:t>一、项目一览表</w:t>
      </w:r>
      <w:r>
        <w:rPr>
          <w:color w:val="auto"/>
          <w:highlight w:val="none"/>
        </w:rPr>
        <w:tab/>
      </w:r>
      <w:r>
        <w:rPr>
          <w:color w:val="auto"/>
          <w:highlight w:val="none"/>
        </w:rPr>
        <w:fldChar w:fldCharType="begin"/>
      </w:r>
      <w:r>
        <w:rPr>
          <w:color w:val="auto"/>
          <w:highlight w:val="none"/>
        </w:rPr>
        <w:instrText xml:space="preserve"> PAGEREF _Toc24437 \h </w:instrText>
      </w:r>
      <w:r>
        <w:rPr>
          <w:color w:val="auto"/>
          <w:highlight w:val="none"/>
        </w:rPr>
        <w:fldChar w:fldCharType="separate"/>
      </w:r>
      <w:r>
        <w:rPr>
          <w:color w:val="auto"/>
          <w:highlight w:val="none"/>
        </w:rPr>
        <w:t>- 4 -</w:t>
      </w:r>
      <w:r>
        <w:rPr>
          <w:color w:val="auto"/>
          <w:highlight w:val="none"/>
        </w:rPr>
        <w:fldChar w:fldCharType="end"/>
      </w:r>
      <w:r>
        <w:rPr>
          <w:rFonts w:hint="eastAsia" w:ascii="宋体" w:hAnsi="宋体" w:cs="宋体"/>
          <w:color w:val="auto"/>
          <w:szCs w:val="21"/>
          <w:highlight w:val="none"/>
        </w:rPr>
        <w:fldChar w:fldCharType="end"/>
      </w:r>
    </w:p>
    <w:p w14:paraId="3E6C4C17">
      <w:pPr>
        <w:pStyle w:val="24"/>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_Toc22478 </w:instrText>
      </w:r>
      <w:r>
        <w:rPr>
          <w:rFonts w:hint="eastAsia" w:ascii="宋体" w:hAnsi="宋体" w:cs="宋体"/>
          <w:color w:val="auto"/>
          <w:szCs w:val="21"/>
          <w:highlight w:val="none"/>
        </w:rPr>
        <w:fldChar w:fldCharType="separate"/>
      </w:r>
      <w:r>
        <w:rPr>
          <w:rFonts w:hint="eastAsia" w:ascii="宋体" w:hAnsi="宋体" w:eastAsia="宋体"/>
          <w:color w:val="auto"/>
          <w:highlight w:val="none"/>
        </w:rPr>
        <w:t>二、项目内容及要求</w:t>
      </w:r>
      <w:r>
        <w:rPr>
          <w:color w:val="auto"/>
          <w:highlight w:val="none"/>
        </w:rPr>
        <w:tab/>
      </w:r>
      <w:r>
        <w:rPr>
          <w:color w:val="auto"/>
          <w:highlight w:val="none"/>
        </w:rPr>
        <w:fldChar w:fldCharType="begin"/>
      </w:r>
      <w:r>
        <w:rPr>
          <w:color w:val="auto"/>
          <w:highlight w:val="none"/>
        </w:rPr>
        <w:instrText xml:space="preserve"> PAGEREF _Toc22478 \h </w:instrText>
      </w:r>
      <w:r>
        <w:rPr>
          <w:color w:val="auto"/>
          <w:highlight w:val="none"/>
        </w:rPr>
        <w:fldChar w:fldCharType="separate"/>
      </w:r>
      <w:r>
        <w:rPr>
          <w:color w:val="auto"/>
          <w:highlight w:val="none"/>
        </w:rPr>
        <w:t>- 4 -</w:t>
      </w:r>
      <w:r>
        <w:rPr>
          <w:color w:val="auto"/>
          <w:highlight w:val="none"/>
        </w:rPr>
        <w:fldChar w:fldCharType="end"/>
      </w:r>
      <w:r>
        <w:rPr>
          <w:rFonts w:hint="eastAsia" w:ascii="宋体" w:hAnsi="宋体" w:cs="宋体"/>
          <w:color w:val="auto"/>
          <w:szCs w:val="21"/>
          <w:highlight w:val="none"/>
        </w:rPr>
        <w:fldChar w:fldCharType="end"/>
      </w:r>
    </w:p>
    <w:p w14:paraId="6ABC6264">
      <w:pPr>
        <w:pStyle w:val="24"/>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_Toc3721 </w:instrText>
      </w:r>
      <w:r>
        <w:rPr>
          <w:rFonts w:hint="eastAsia" w:ascii="宋体" w:hAnsi="宋体" w:cs="宋体"/>
          <w:color w:val="auto"/>
          <w:szCs w:val="21"/>
          <w:highlight w:val="none"/>
        </w:rPr>
        <w:fldChar w:fldCharType="separate"/>
      </w:r>
      <w:r>
        <w:rPr>
          <w:rFonts w:hint="eastAsia" w:ascii="宋体" w:hAnsi="宋体" w:eastAsia="宋体"/>
          <w:color w:val="auto"/>
          <w:szCs w:val="30"/>
          <w:highlight w:val="none"/>
        </w:rPr>
        <w:t>第三篇  项目商务需求</w:t>
      </w:r>
      <w:r>
        <w:rPr>
          <w:color w:val="auto"/>
          <w:highlight w:val="none"/>
        </w:rPr>
        <w:tab/>
      </w:r>
      <w:r>
        <w:rPr>
          <w:color w:val="auto"/>
          <w:highlight w:val="none"/>
        </w:rPr>
        <w:fldChar w:fldCharType="begin"/>
      </w:r>
      <w:r>
        <w:rPr>
          <w:color w:val="auto"/>
          <w:highlight w:val="none"/>
        </w:rPr>
        <w:instrText xml:space="preserve"> PAGEREF _Toc3721 \h </w:instrText>
      </w:r>
      <w:r>
        <w:rPr>
          <w:color w:val="auto"/>
          <w:highlight w:val="none"/>
        </w:rPr>
        <w:fldChar w:fldCharType="separate"/>
      </w:r>
      <w:r>
        <w:rPr>
          <w:color w:val="auto"/>
          <w:highlight w:val="none"/>
        </w:rPr>
        <w:t>- 7 -</w:t>
      </w:r>
      <w:r>
        <w:rPr>
          <w:color w:val="auto"/>
          <w:highlight w:val="none"/>
        </w:rPr>
        <w:fldChar w:fldCharType="end"/>
      </w:r>
      <w:r>
        <w:rPr>
          <w:rFonts w:hint="eastAsia" w:ascii="宋体" w:hAnsi="宋体" w:cs="宋体"/>
          <w:color w:val="auto"/>
          <w:szCs w:val="21"/>
          <w:highlight w:val="none"/>
        </w:rPr>
        <w:fldChar w:fldCharType="end"/>
      </w:r>
    </w:p>
    <w:p w14:paraId="47A921EE">
      <w:pPr>
        <w:pStyle w:val="24"/>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_Toc20341 </w:instrText>
      </w:r>
      <w:r>
        <w:rPr>
          <w:rFonts w:hint="eastAsia" w:ascii="宋体" w:hAnsi="宋体" w:cs="宋体"/>
          <w:color w:val="auto"/>
          <w:szCs w:val="21"/>
          <w:highlight w:val="none"/>
        </w:rPr>
        <w:fldChar w:fldCharType="separate"/>
      </w:r>
      <w:r>
        <w:rPr>
          <w:rFonts w:hint="eastAsia" w:ascii="宋体" w:hAnsi="宋体" w:eastAsia="宋体"/>
          <w:color w:val="auto"/>
          <w:szCs w:val="24"/>
          <w:highlight w:val="none"/>
        </w:rPr>
        <w:t>一、服务</w:t>
      </w:r>
      <w:r>
        <w:rPr>
          <w:rFonts w:hint="eastAsia" w:ascii="宋体" w:hAnsi="宋体" w:eastAsia="宋体"/>
          <w:color w:val="auto"/>
          <w:szCs w:val="24"/>
          <w:highlight w:val="none"/>
          <w:lang w:eastAsia="zh-CN"/>
        </w:rPr>
        <w:t>期限</w:t>
      </w:r>
      <w:r>
        <w:rPr>
          <w:rFonts w:hint="eastAsia" w:ascii="宋体" w:hAnsi="宋体" w:eastAsia="宋体"/>
          <w:color w:val="auto"/>
          <w:szCs w:val="24"/>
          <w:highlight w:val="none"/>
        </w:rPr>
        <w:t>、</w:t>
      </w:r>
      <w:r>
        <w:rPr>
          <w:rFonts w:hint="eastAsia" w:ascii="宋体" w:hAnsi="宋体" w:eastAsia="宋体"/>
          <w:color w:val="auto"/>
          <w:szCs w:val="24"/>
          <w:highlight w:val="none"/>
          <w:lang w:eastAsia="zh-CN"/>
        </w:rPr>
        <w:t>服务</w:t>
      </w:r>
      <w:r>
        <w:rPr>
          <w:rFonts w:hint="eastAsia" w:ascii="宋体" w:hAnsi="宋体" w:eastAsia="宋体"/>
          <w:color w:val="auto"/>
          <w:szCs w:val="24"/>
          <w:highlight w:val="none"/>
        </w:rPr>
        <w:t>地点及验收</w:t>
      </w:r>
      <w:r>
        <w:rPr>
          <w:rFonts w:hint="eastAsia" w:ascii="宋体" w:hAnsi="宋体" w:eastAsia="宋体"/>
          <w:color w:val="auto"/>
          <w:szCs w:val="24"/>
          <w:highlight w:val="none"/>
          <w:lang w:eastAsia="zh-CN"/>
        </w:rPr>
        <w:t>、考核方式</w:t>
      </w:r>
      <w:r>
        <w:rPr>
          <w:color w:val="auto"/>
          <w:highlight w:val="none"/>
        </w:rPr>
        <w:tab/>
      </w:r>
      <w:r>
        <w:rPr>
          <w:color w:val="auto"/>
          <w:highlight w:val="none"/>
        </w:rPr>
        <w:fldChar w:fldCharType="begin"/>
      </w:r>
      <w:r>
        <w:rPr>
          <w:color w:val="auto"/>
          <w:highlight w:val="none"/>
        </w:rPr>
        <w:instrText xml:space="preserve"> PAGEREF _Toc20341 \h </w:instrText>
      </w:r>
      <w:r>
        <w:rPr>
          <w:color w:val="auto"/>
          <w:highlight w:val="none"/>
        </w:rPr>
        <w:fldChar w:fldCharType="separate"/>
      </w:r>
      <w:r>
        <w:rPr>
          <w:color w:val="auto"/>
          <w:highlight w:val="none"/>
        </w:rPr>
        <w:t>- 7 -</w:t>
      </w:r>
      <w:r>
        <w:rPr>
          <w:color w:val="auto"/>
          <w:highlight w:val="none"/>
        </w:rPr>
        <w:fldChar w:fldCharType="end"/>
      </w:r>
      <w:r>
        <w:rPr>
          <w:rFonts w:hint="eastAsia" w:ascii="宋体" w:hAnsi="宋体" w:cs="宋体"/>
          <w:color w:val="auto"/>
          <w:szCs w:val="21"/>
          <w:highlight w:val="none"/>
        </w:rPr>
        <w:fldChar w:fldCharType="end"/>
      </w:r>
    </w:p>
    <w:p w14:paraId="30E25223">
      <w:pPr>
        <w:pStyle w:val="24"/>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_Toc20490 </w:instrText>
      </w:r>
      <w:r>
        <w:rPr>
          <w:rFonts w:hint="eastAsia" w:ascii="宋体" w:hAnsi="宋体" w:cs="宋体"/>
          <w:color w:val="auto"/>
          <w:szCs w:val="21"/>
          <w:highlight w:val="none"/>
        </w:rPr>
        <w:fldChar w:fldCharType="separate"/>
      </w:r>
      <w:r>
        <w:rPr>
          <w:rFonts w:hint="eastAsia" w:ascii="宋体" w:hAnsi="宋体" w:eastAsia="宋体"/>
          <w:color w:val="auto"/>
          <w:szCs w:val="24"/>
          <w:highlight w:val="none"/>
        </w:rPr>
        <w:t>二、报价要求</w:t>
      </w:r>
      <w:r>
        <w:rPr>
          <w:color w:val="auto"/>
          <w:highlight w:val="none"/>
        </w:rPr>
        <w:tab/>
      </w:r>
      <w:r>
        <w:rPr>
          <w:color w:val="auto"/>
          <w:highlight w:val="none"/>
        </w:rPr>
        <w:fldChar w:fldCharType="begin"/>
      </w:r>
      <w:r>
        <w:rPr>
          <w:color w:val="auto"/>
          <w:highlight w:val="none"/>
        </w:rPr>
        <w:instrText xml:space="preserve"> PAGEREF _Toc20490 \h </w:instrText>
      </w:r>
      <w:r>
        <w:rPr>
          <w:color w:val="auto"/>
          <w:highlight w:val="none"/>
        </w:rPr>
        <w:fldChar w:fldCharType="separate"/>
      </w:r>
      <w:r>
        <w:rPr>
          <w:color w:val="auto"/>
          <w:highlight w:val="none"/>
        </w:rPr>
        <w:t>- 8 -</w:t>
      </w:r>
      <w:r>
        <w:rPr>
          <w:color w:val="auto"/>
          <w:highlight w:val="none"/>
        </w:rPr>
        <w:fldChar w:fldCharType="end"/>
      </w:r>
      <w:r>
        <w:rPr>
          <w:rFonts w:hint="eastAsia" w:ascii="宋体" w:hAnsi="宋体" w:cs="宋体"/>
          <w:color w:val="auto"/>
          <w:szCs w:val="21"/>
          <w:highlight w:val="none"/>
        </w:rPr>
        <w:fldChar w:fldCharType="end"/>
      </w:r>
    </w:p>
    <w:p w14:paraId="6B45378D">
      <w:pPr>
        <w:pStyle w:val="24"/>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_Toc27696 </w:instrText>
      </w:r>
      <w:r>
        <w:rPr>
          <w:rFonts w:hint="eastAsia" w:ascii="宋体" w:hAnsi="宋体" w:cs="宋体"/>
          <w:color w:val="auto"/>
          <w:szCs w:val="21"/>
          <w:highlight w:val="none"/>
        </w:rPr>
        <w:fldChar w:fldCharType="separate"/>
      </w:r>
      <w:r>
        <w:rPr>
          <w:rFonts w:hint="eastAsia" w:ascii="宋体" w:hAnsi="宋体" w:eastAsia="宋体"/>
          <w:color w:val="auto"/>
          <w:szCs w:val="24"/>
          <w:highlight w:val="none"/>
        </w:rPr>
        <w:t>三、履约保证金及付款方式</w:t>
      </w:r>
      <w:r>
        <w:rPr>
          <w:color w:val="auto"/>
          <w:highlight w:val="none"/>
        </w:rPr>
        <w:tab/>
      </w:r>
      <w:r>
        <w:rPr>
          <w:color w:val="auto"/>
          <w:highlight w:val="none"/>
        </w:rPr>
        <w:fldChar w:fldCharType="begin"/>
      </w:r>
      <w:r>
        <w:rPr>
          <w:color w:val="auto"/>
          <w:highlight w:val="none"/>
        </w:rPr>
        <w:instrText xml:space="preserve"> PAGEREF _Toc27696 \h </w:instrText>
      </w:r>
      <w:r>
        <w:rPr>
          <w:color w:val="auto"/>
          <w:highlight w:val="none"/>
        </w:rPr>
        <w:fldChar w:fldCharType="separate"/>
      </w:r>
      <w:r>
        <w:rPr>
          <w:color w:val="auto"/>
          <w:highlight w:val="none"/>
        </w:rPr>
        <w:t>- 9 -</w:t>
      </w:r>
      <w:r>
        <w:rPr>
          <w:color w:val="auto"/>
          <w:highlight w:val="none"/>
        </w:rPr>
        <w:fldChar w:fldCharType="end"/>
      </w:r>
      <w:r>
        <w:rPr>
          <w:rFonts w:hint="eastAsia" w:ascii="宋体" w:hAnsi="宋体" w:cs="宋体"/>
          <w:color w:val="auto"/>
          <w:szCs w:val="21"/>
          <w:highlight w:val="none"/>
        </w:rPr>
        <w:fldChar w:fldCharType="end"/>
      </w:r>
    </w:p>
    <w:p w14:paraId="7E4189DA">
      <w:pPr>
        <w:pStyle w:val="24"/>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_Toc17984 </w:instrText>
      </w:r>
      <w:r>
        <w:rPr>
          <w:rFonts w:hint="eastAsia" w:ascii="宋体" w:hAnsi="宋体" w:cs="宋体"/>
          <w:color w:val="auto"/>
          <w:szCs w:val="21"/>
          <w:highlight w:val="none"/>
        </w:rPr>
        <w:fldChar w:fldCharType="separate"/>
      </w:r>
      <w:r>
        <w:rPr>
          <w:rFonts w:hint="eastAsia" w:ascii="宋体" w:hAnsi="宋体" w:eastAsia="宋体"/>
          <w:color w:val="auto"/>
          <w:szCs w:val="24"/>
          <w:highlight w:val="none"/>
          <w:lang w:eastAsia="zh-CN"/>
        </w:rPr>
        <w:t>四</w:t>
      </w:r>
      <w:r>
        <w:rPr>
          <w:rFonts w:hint="eastAsia" w:ascii="宋体" w:hAnsi="宋体" w:eastAsia="宋体"/>
          <w:color w:val="auto"/>
          <w:szCs w:val="24"/>
          <w:highlight w:val="none"/>
        </w:rPr>
        <w:t>、知识产权</w:t>
      </w:r>
      <w:r>
        <w:rPr>
          <w:color w:val="auto"/>
          <w:highlight w:val="none"/>
        </w:rPr>
        <w:tab/>
      </w:r>
      <w:r>
        <w:rPr>
          <w:color w:val="auto"/>
          <w:highlight w:val="none"/>
        </w:rPr>
        <w:fldChar w:fldCharType="begin"/>
      </w:r>
      <w:r>
        <w:rPr>
          <w:color w:val="auto"/>
          <w:highlight w:val="none"/>
        </w:rPr>
        <w:instrText xml:space="preserve"> PAGEREF _Toc17984 \h </w:instrText>
      </w:r>
      <w:r>
        <w:rPr>
          <w:color w:val="auto"/>
          <w:highlight w:val="none"/>
        </w:rPr>
        <w:fldChar w:fldCharType="separate"/>
      </w:r>
      <w:r>
        <w:rPr>
          <w:color w:val="auto"/>
          <w:highlight w:val="none"/>
        </w:rPr>
        <w:t>- 9 -</w:t>
      </w:r>
      <w:r>
        <w:rPr>
          <w:color w:val="auto"/>
          <w:highlight w:val="none"/>
        </w:rPr>
        <w:fldChar w:fldCharType="end"/>
      </w:r>
      <w:r>
        <w:rPr>
          <w:rFonts w:hint="eastAsia" w:ascii="宋体" w:hAnsi="宋体" w:cs="宋体"/>
          <w:color w:val="auto"/>
          <w:szCs w:val="21"/>
          <w:highlight w:val="none"/>
        </w:rPr>
        <w:fldChar w:fldCharType="end"/>
      </w:r>
    </w:p>
    <w:p w14:paraId="232862F1">
      <w:pPr>
        <w:pStyle w:val="24"/>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_Toc21493 </w:instrText>
      </w:r>
      <w:r>
        <w:rPr>
          <w:rFonts w:hint="eastAsia" w:ascii="宋体" w:hAnsi="宋体" w:cs="宋体"/>
          <w:color w:val="auto"/>
          <w:szCs w:val="21"/>
          <w:highlight w:val="none"/>
        </w:rPr>
        <w:fldChar w:fldCharType="separate"/>
      </w:r>
      <w:r>
        <w:rPr>
          <w:rFonts w:hint="eastAsia" w:ascii="宋体" w:hAnsi="宋体" w:eastAsia="宋体"/>
          <w:color w:val="auto"/>
          <w:szCs w:val="24"/>
          <w:highlight w:val="none"/>
          <w:lang w:eastAsia="zh-CN"/>
        </w:rPr>
        <w:t>五</w:t>
      </w:r>
      <w:r>
        <w:rPr>
          <w:rFonts w:hint="eastAsia" w:ascii="宋体" w:hAnsi="宋体" w:eastAsia="宋体"/>
          <w:color w:val="auto"/>
          <w:szCs w:val="24"/>
          <w:highlight w:val="none"/>
        </w:rPr>
        <w:t>、其他</w:t>
      </w:r>
      <w:r>
        <w:rPr>
          <w:color w:val="auto"/>
          <w:highlight w:val="none"/>
        </w:rPr>
        <w:tab/>
      </w:r>
      <w:r>
        <w:rPr>
          <w:color w:val="auto"/>
          <w:highlight w:val="none"/>
        </w:rPr>
        <w:fldChar w:fldCharType="begin"/>
      </w:r>
      <w:r>
        <w:rPr>
          <w:color w:val="auto"/>
          <w:highlight w:val="none"/>
        </w:rPr>
        <w:instrText xml:space="preserve"> PAGEREF _Toc21493 \h </w:instrText>
      </w:r>
      <w:r>
        <w:rPr>
          <w:color w:val="auto"/>
          <w:highlight w:val="none"/>
        </w:rPr>
        <w:fldChar w:fldCharType="separate"/>
      </w:r>
      <w:r>
        <w:rPr>
          <w:color w:val="auto"/>
          <w:highlight w:val="none"/>
        </w:rPr>
        <w:t>- 9 -</w:t>
      </w:r>
      <w:r>
        <w:rPr>
          <w:color w:val="auto"/>
          <w:highlight w:val="none"/>
        </w:rPr>
        <w:fldChar w:fldCharType="end"/>
      </w:r>
      <w:r>
        <w:rPr>
          <w:rFonts w:hint="eastAsia" w:ascii="宋体" w:hAnsi="宋体" w:cs="宋体"/>
          <w:color w:val="auto"/>
          <w:szCs w:val="21"/>
          <w:highlight w:val="none"/>
        </w:rPr>
        <w:fldChar w:fldCharType="end"/>
      </w:r>
    </w:p>
    <w:p w14:paraId="277B9697">
      <w:pPr>
        <w:pStyle w:val="24"/>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_Toc8403 </w:instrText>
      </w:r>
      <w:r>
        <w:rPr>
          <w:rFonts w:hint="eastAsia" w:ascii="宋体" w:hAnsi="宋体" w:cs="宋体"/>
          <w:color w:val="auto"/>
          <w:szCs w:val="21"/>
          <w:highlight w:val="none"/>
        </w:rPr>
        <w:fldChar w:fldCharType="separate"/>
      </w:r>
      <w:r>
        <w:rPr>
          <w:rFonts w:hint="eastAsia" w:ascii="宋体" w:hAnsi="宋体" w:eastAsia="宋体"/>
          <w:color w:val="auto"/>
          <w:szCs w:val="30"/>
          <w:highlight w:val="none"/>
        </w:rPr>
        <w:t>第四篇  磋商程序及方法、评审标准、无效响应和</w:t>
      </w:r>
      <w:r>
        <w:rPr>
          <w:rFonts w:hint="eastAsia" w:ascii="宋体" w:hAnsi="宋体" w:eastAsia="宋体"/>
          <w:color w:val="auto"/>
          <w:szCs w:val="36"/>
          <w:highlight w:val="none"/>
        </w:rPr>
        <w:t>采购终止</w:t>
      </w:r>
      <w:r>
        <w:rPr>
          <w:color w:val="auto"/>
          <w:highlight w:val="none"/>
        </w:rPr>
        <w:tab/>
      </w:r>
      <w:r>
        <w:rPr>
          <w:color w:val="auto"/>
          <w:highlight w:val="none"/>
        </w:rPr>
        <w:fldChar w:fldCharType="begin"/>
      </w:r>
      <w:r>
        <w:rPr>
          <w:color w:val="auto"/>
          <w:highlight w:val="none"/>
        </w:rPr>
        <w:instrText xml:space="preserve"> PAGEREF _Toc8403 \h </w:instrText>
      </w:r>
      <w:r>
        <w:rPr>
          <w:color w:val="auto"/>
          <w:highlight w:val="none"/>
        </w:rPr>
        <w:fldChar w:fldCharType="separate"/>
      </w:r>
      <w:r>
        <w:rPr>
          <w:color w:val="auto"/>
          <w:highlight w:val="none"/>
        </w:rPr>
        <w:t>- 10 -</w:t>
      </w:r>
      <w:r>
        <w:rPr>
          <w:color w:val="auto"/>
          <w:highlight w:val="none"/>
        </w:rPr>
        <w:fldChar w:fldCharType="end"/>
      </w:r>
      <w:r>
        <w:rPr>
          <w:rFonts w:hint="eastAsia" w:ascii="宋体" w:hAnsi="宋体" w:cs="宋体"/>
          <w:color w:val="auto"/>
          <w:szCs w:val="21"/>
          <w:highlight w:val="none"/>
        </w:rPr>
        <w:fldChar w:fldCharType="end"/>
      </w:r>
    </w:p>
    <w:p w14:paraId="23F20764">
      <w:pPr>
        <w:pStyle w:val="24"/>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_Toc15159 </w:instrText>
      </w:r>
      <w:r>
        <w:rPr>
          <w:rFonts w:hint="eastAsia" w:ascii="宋体" w:hAnsi="宋体" w:cs="宋体"/>
          <w:color w:val="auto"/>
          <w:szCs w:val="21"/>
          <w:highlight w:val="none"/>
        </w:rPr>
        <w:fldChar w:fldCharType="separate"/>
      </w:r>
      <w:r>
        <w:rPr>
          <w:rFonts w:hint="eastAsia" w:ascii="宋体" w:hAnsi="宋体" w:eastAsia="宋体"/>
          <w:bCs w:val="0"/>
          <w:color w:val="auto"/>
          <w:highlight w:val="none"/>
        </w:rPr>
        <w:t>一、磋商程序及方法</w:t>
      </w:r>
      <w:r>
        <w:rPr>
          <w:color w:val="auto"/>
          <w:highlight w:val="none"/>
        </w:rPr>
        <w:tab/>
      </w:r>
      <w:r>
        <w:rPr>
          <w:color w:val="auto"/>
          <w:highlight w:val="none"/>
        </w:rPr>
        <w:fldChar w:fldCharType="begin"/>
      </w:r>
      <w:r>
        <w:rPr>
          <w:color w:val="auto"/>
          <w:highlight w:val="none"/>
        </w:rPr>
        <w:instrText xml:space="preserve"> PAGEREF _Toc15159 \h </w:instrText>
      </w:r>
      <w:r>
        <w:rPr>
          <w:color w:val="auto"/>
          <w:highlight w:val="none"/>
        </w:rPr>
        <w:fldChar w:fldCharType="separate"/>
      </w:r>
      <w:r>
        <w:rPr>
          <w:color w:val="auto"/>
          <w:highlight w:val="none"/>
        </w:rPr>
        <w:t>- 10 -</w:t>
      </w:r>
      <w:r>
        <w:rPr>
          <w:color w:val="auto"/>
          <w:highlight w:val="none"/>
        </w:rPr>
        <w:fldChar w:fldCharType="end"/>
      </w:r>
      <w:r>
        <w:rPr>
          <w:rFonts w:hint="eastAsia" w:ascii="宋体" w:hAnsi="宋体" w:cs="宋体"/>
          <w:color w:val="auto"/>
          <w:szCs w:val="21"/>
          <w:highlight w:val="none"/>
        </w:rPr>
        <w:fldChar w:fldCharType="end"/>
      </w:r>
    </w:p>
    <w:p w14:paraId="7610E1CD">
      <w:pPr>
        <w:pStyle w:val="24"/>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_Toc69 </w:instrText>
      </w:r>
      <w:r>
        <w:rPr>
          <w:rFonts w:hint="eastAsia" w:ascii="宋体" w:hAnsi="宋体" w:cs="宋体"/>
          <w:color w:val="auto"/>
          <w:szCs w:val="21"/>
          <w:highlight w:val="none"/>
        </w:rPr>
        <w:fldChar w:fldCharType="separate"/>
      </w:r>
      <w:r>
        <w:rPr>
          <w:rFonts w:hint="eastAsia" w:ascii="宋体" w:hAnsi="宋体" w:eastAsia="宋体"/>
          <w:bCs w:val="0"/>
          <w:color w:val="auto"/>
          <w:highlight w:val="none"/>
        </w:rPr>
        <w:t>二、评审标准</w:t>
      </w:r>
      <w:r>
        <w:rPr>
          <w:color w:val="auto"/>
          <w:highlight w:val="none"/>
        </w:rPr>
        <w:tab/>
      </w:r>
      <w:r>
        <w:rPr>
          <w:color w:val="auto"/>
          <w:highlight w:val="none"/>
        </w:rPr>
        <w:fldChar w:fldCharType="begin"/>
      </w:r>
      <w:r>
        <w:rPr>
          <w:color w:val="auto"/>
          <w:highlight w:val="none"/>
        </w:rPr>
        <w:instrText xml:space="preserve"> PAGEREF _Toc69 \h </w:instrText>
      </w:r>
      <w:r>
        <w:rPr>
          <w:color w:val="auto"/>
          <w:highlight w:val="none"/>
        </w:rPr>
        <w:fldChar w:fldCharType="separate"/>
      </w:r>
      <w:r>
        <w:rPr>
          <w:color w:val="auto"/>
          <w:highlight w:val="none"/>
        </w:rPr>
        <w:t>- 12 -</w:t>
      </w:r>
      <w:r>
        <w:rPr>
          <w:color w:val="auto"/>
          <w:highlight w:val="none"/>
        </w:rPr>
        <w:fldChar w:fldCharType="end"/>
      </w:r>
      <w:r>
        <w:rPr>
          <w:rFonts w:hint="eastAsia" w:ascii="宋体" w:hAnsi="宋体" w:cs="宋体"/>
          <w:color w:val="auto"/>
          <w:szCs w:val="21"/>
          <w:highlight w:val="none"/>
        </w:rPr>
        <w:fldChar w:fldCharType="end"/>
      </w:r>
    </w:p>
    <w:p w14:paraId="40A6E550">
      <w:pPr>
        <w:pStyle w:val="24"/>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_Toc28377 </w:instrText>
      </w:r>
      <w:r>
        <w:rPr>
          <w:rFonts w:hint="eastAsia" w:ascii="宋体" w:hAnsi="宋体" w:cs="宋体"/>
          <w:color w:val="auto"/>
          <w:szCs w:val="21"/>
          <w:highlight w:val="none"/>
        </w:rPr>
        <w:fldChar w:fldCharType="separate"/>
      </w:r>
      <w:r>
        <w:rPr>
          <w:rFonts w:hint="eastAsia" w:ascii="宋体" w:hAnsi="宋体" w:eastAsia="宋体"/>
          <w:bCs w:val="0"/>
          <w:color w:val="auto"/>
          <w:highlight w:val="none"/>
        </w:rPr>
        <w:t>三、无效响应</w:t>
      </w:r>
      <w:r>
        <w:rPr>
          <w:color w:val="auto"/>
          <w:highlight w:val="none"/>
        </w:rPr>
        <w:tab/>
      </w:r>
      <w:r>
        <w:rPr>
          <w:color w:val="auto"/>
          <w:highlight w:val="none"/>
        </w:rPr>
        <w:fldChar w:fldCharType="begin"/>
      </w:r>
      <w:r>
        <w:rPr>
          <w:color w:val="auto"/>
          <w:highlight w:val="none"/>
        </w:rPr>
        <w:instrText xml:space="preserve"> PAGEREF _Toc28377 \h </w:instrText>
      </w:r>
      <w:r>
        <w:rPr>
          <w:color w:val="auto"/>
          <w:highlight w:val="none"/>
        </w:rPr>
        <w:fldChar w:fldCharType="separate"/>
      </w:r>
      <w:r>
        <w:rPr>
          <w:color w:val="auto"/>
          <w:highlight w:val="none"/>
        </w:rPr>
        <w:t>- 15 -</w:t>
      </w:r>
      <w:r>
        <w:rPr>
          <w:color w:val="auto"/>
          <w:highlight w:val="none"/>
        </w:rPr>
        <w:fldChar w:fldCharType="end"/>
      </w:r>
      <w:r>
        <w:rPr>
          <w:rFonts w:hint="eastAsia" w:ascii="宋体" w:hAnsi="宋体" w:cs="宋体"/>
          <w:color w:val="auto"/>
          <w:szCs w:val="21"/>
          <w:highlight w:val="none"/>
        </w:rPr>
        <w:fldChar w:fldCharType="end"/>
      </w:r>
    </w:p>
    <w:p w14:paraId="1F5623ED">
      <w:pPr>
        <w:pStyle w:val="24"/>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_Toc15000 </w:instrText>
      </w:r>
      <w:r>
        <w:rPr>
          <w:rFonts w:hint="eastAsia" w:ascii="宋体" w:hAnsi="宋体" w:cs="宋体"/>
          <w:color w:val="auto"/>
          <w:szCs w:val="21"/>
          <w:highlight w:val="none"/>
        </w:rPr>
        <w:fldChar w:fldCharType="separate"/>
      </w:r>
      <w:r>
        <w:rPr>
          <w:rFonts w:hint="eastAsia" w:ascii="宋体" w:hAnsi="宋体" w:eastAsia="宋体"/>
          <w:bCs w:val="0"/>
          <w:color w:val="auto"/>
          <w:highlight w:val="none"/>
        </w:rPr>
        <w:t>四、采购终止</w:t>
      </w:r>
      <w:r>
        <w:rPr>
          <w:color w:val="auto"/>
          <w:highlight w:val="none"/>
        </w:rPr>
        <w:tab/>
      </w:r>
      <w:r>
        <w:rPr>
          <w:color w:val="auto"/>
          <w:highlight w:val="none"/>
        </w:rPr>
        <w:fldChar w:fldCharType="begin"/>
      </w:r>
      <w:r>
        <w:rPr>
          <w:color w:val="auto"/>
          <w:highlight w:val="none"/>
        </w:rPr>
        <w:instrText xml:space="preserve"> PAGEREF _Toc15000 \h </w:instrText>
      </w:r>
      <w:r>
        <w:rPr>
          <w:color w:val="auto"/>
          <w:highlight w:val="none"/>
        </w:rPr>
        <w:fldChar w:fldCharType="separate"/>
      </w:r>
      <w:r>
        <w:rPr>
          <w:color w:val="auto"/>
          <w:highlight w:val="none"/>
        </w:rPr>
        <w:t>- 15 -</w:t>
      </w:r>
      <w:r>
        <w:rPr>
          <w:color w:val="auto"/>
          <w:highlight w:val="none"/>
        </w:rPr>
        <w:fldChar w:fldCharType="end"/>
      </w:r>
      <w:r>
        <w:rPr>
          <w:rFonts w:hint="eastAsia" w:ascii="宋体" w:hAnsi="宋体" w:cs="宋体"/>
          <w:color w:val="auto"/>
          <w:szCs w:val="21"/>
          <w:highlight w:val="none"/>
        </w:rPr>
        <w:fldChar w:fldCharType="end"/>
      </w:r>
    </w:p>
    <w:p w14:paraId="7FDDD7B6">
      <w:pPr>
        <w:pStyle w:val="24"/>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_Toc24282 </w:instrText>
      </w:r>
      <w:r>
        <w:rPr>
          <w:rFonts w:hint="eastAsia" w:ascii="宋体" w:hAnsi="宋体" w:cs="宋体"/>
          <w:color w:val="auto"/>
          <w:szCs w:val="21"/>
          <w:highlight w:val="none"/>
        </w:rPr>
        <w:fldChar w:fldCharType="separate"/>
      </w:r>
      <w:r>
        <w:rPr>
          <w:rFonts w:hint="eastAsia" w:ascii="宋体" w:hAnsi="宋体" w:eastAsia="宋体"/>
          <w:color w:val="auto"/>
          <w:szCs w:val="30"/>
          <w:highlight w:val="none"/>
        </w:rPr>
        <w:t>第五篇  供应商须知</w:t>
      </w:r>
      <w:r>
        <w:rPr>
          <w:color w:val="auto"/>
          <w:highlight w:val="none"/>
        </w:rPr>
        <w:tab/>
      </w:r>
      <w:r>
        <w:rPr>
          <w:color w:val="auto"/>
          <w:highlight w:val="none"/>
        </w:rPr>
        <w:fldChar w:fldCharType="begin"/>
      </w:r>
      <w:r>
        <w:rPr>
          <w:color w:val="auto"/>
          <w:highlight w:val="none"/>
        </w:rPr>
        <w:instrText xml:space="preserve"> PAGEREF _Toc24282 \h </w:instrText>
      </w:r>
      <w:r>
        <w:rPr>
          <w:color w:val="auto"/>
          <w:highlight w:val="none"/>
        </w:rPr>
        <w:fldChar w:fldCharType="separate"/>
      </w:r>
      <w:r>
        <w:rPr>
          <w:color w:val="auto"/>
          <w:highlight w:val="none"/>
        </w:rPr>
        <w:t>- 17 -</w:t>
      </w:r>
      <w:r>
        <w:rPr>
          <w:color w:val="auto"/>
          <w:highlight w:val="none"/>
        </w:rPr>
        <w:fldChar w:fldCharType="end"/>
      </w:r>
      <w:r>
        <w:rPr>
          <w:rFonts w:hint="eastAsia" w:ascii="宋体" w:hAnsi="宋体" w:cs="宋体"/>
          <w:color w:val="auto"/>
          <w:szCs w:val="21"/>
          <w:highlight w:val="none"/>
        </w:rPr>
        <w:fldChar w:fldCharType="end"/>
      </w:r>
    </w:p>
    <w:p w14:paraId="1C449E1C">
      <w:pPr>
        <w:pStyle w:val="24"/>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_Toc12741 </w:instrText>
      </w:r>
      <w:r>
        <w:rPr>
          <w:rFonts w:hint="eastAsia" w:ascii="宋体" w:hAnsi="宋体" w:cs="宋体"/>
          <w:color w:val="auto"/>
          <w:szCs w:val="21"/>
          <w:highlight w:val="none"/>
        </w:rPr>
        <w:fldChar w:fldCharType="separate"/>
      </w:r>
      <w:r>
        <w:rPr>
          <w:rFonts w:hint="eastAsia" w:ascii="宋体" w:hAnsi="宋体" w:eastAsia="宋体"/>
          <w:bCs w:val="0"/>
          <w:color w:val="auto"/>
          <w:highlight w:val="none"/>
        </w:rPr>
        <w:t>一、磋商费用</w:t>
      </w:r>
      <w:r>
        <w:rPr>
          <w:color w:val="auto"/>
          <w:highlight w:val="none"/>
        </w:rPr>
        <w:tab/>
      </w:r>
      <w:r>
        <w:rPr>
          <w:color w:val="auto"/>
          <w:highlight w:val="none"/>
        </w:rPr>
        <w:fldChar w:fldCharType="begin"/>
      </w:r>
      <w:r>
        <w:rPr>
          <w:color w:val="auto"/>
          <w:highlight w:val="none"/>
        </w:rPr>
        <w:instrText xml:space="preserve"> PAGEREF _Toc12741 \h </w:instrText>
      </w:r>
      <w:r>
        <w:rPr>
          <w:color w:val="auto"/>
          <w:highlight w:val="none"/>
        </w:rPr>
        <w:fldChar w:fldCharType="separate"/>
      </w:r>
      <w:r>
        <w:rPr>
          <w:color w:val="auto"/>
          <w:highlight w:val="none"/>
        </w:rPr>
        <w:t>- 17 -</w:t>
      </w:r>
      <w:r>
        <w:rPr>
          <w:color w:val="auto"/>
          <w:highlight w:val="none"/>
        </w:rPr>
        <w:fldChar w:fldCharType="end"/>
      </w:r>
      <w:r>
        <w:rPr>
          <w:rFonts w:hint="eastAsia" w:ascii="宋体" w:hAnsi="宋体" w:cs="宋体"/>
          <w:color w:val="auto"/>
          <w:szCs w:val="21"/>
          <w:highlight w:val="none"/>
        </w:rPr>
        <w:fldChar w:fldCharType="end"/>
      </w:r>
    </w:p>
    <w:p w14:paraId="1846B916">
      <w:pPr>
        <w:pStyle w:val="24"/>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_Toc14176 </w:instrText>
      </w:r>
      <w:r>
        <w:rPr>
          <w:rFonts w:hint="eastAsia" w:ascii="宋体" w:hAnsi="宋体" w:cs="宋体"/>
          <w:color w:val="auto"/>
          <w:szCs w:val="21"/>
          <w:highlight w:val="none"/>
        </w:rPr>
        <w:fldChar w:fldCharType="separate"/>
      </w:r>
      <w:r>
        <w:rPr>
          <w:rFonts w:hint="eastAsia" w:ascii="宋体" w:hAnsi="宋体" w:eastAsia="宋体"/>
          <w:bCs w:val="0"/>
          <w:color w:val="auto"/>
          <w:highlight w:val="none"/>
        </w:rPr>
        <w:t>二、竞争性磋商文件</w:t>
      </w:r>
      <w:r>
        <w:rPr>
          <w:color w:val="auto"/>
          <w:highlight w:val="none"/>
        </w:rPr>
        <w:tab/>
      </w:r>
      <w:r>
        <w:rPr>
          <w:color w:val="auto"/>
          <w:highlight w:val="none"/>
        </w:rPr>
        <w:fldChar w:fldCharType="begin"/>
      </w:r>
      <w:r>
        <w:rPr>
          <w:color w:val="auto"/>
          <w:highlight w:val="none"/>
        </w:rPr>
        <w:instrText xml:space="preserve"> PAGEREF _Toc14176 \h </w:instrText>
      </w:r>
      <w:r>
        <w:rPr>
          <w:color w:val="auto"/>
          <w:highlight w:val="none"/>
        </w:rPr>
        <w:fldChar w:fldCharType="separate"/>
      </w:r>
      <w:r>
        <w:rPr>
          <w:color w:val="auto"/>
          <w:highlight w:val="none"/>
        </w:rPr>
        <w:t>- 17 -</w:t>
      </w:r>
      <w:r>
        <w:rPr>
          <w:color w:val="auto"/>
          <w:highlight w:val="none"/>
        </w:rPr>
        <w:fldChar w:fldCharType="end"/>
      </w:r>
      <w:r>
        <w:rPr>
          <w:rFonts w:hint="eastAsia" w:ascii="宋体" w:hAnsi="宋体" w:cs="宋体"/>
          <w:color w:val="auto"/>
          <w:szCs w:val="21"/>
          <w:highlight w:val="none"/>
        </w:rPr>
        <w:fldChar w:fldCharType="end"/>
      </w:r>
    </w:p>
    <w:p w14:paraId="3F7D73B9">
      <w:pPr>
        <w:pStyle w:val="24"/>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_Toc13093 </w:instrText>
      </w:r>
      <w:r>
        <w:rPr>
          <w:rFonts w:hint="eastAsia" w:ascii="宋体" w:hAnsi="宋体" w:cs="宋体"/>
          <w:color w:val="auto"/>
          <w:szCs w:val="21"/>
          <w:highlight w:val="none"/>
        </w:rPr>
        <w:fldChar w:fldCharType="separate"/>
      </w:r>
      <w:r>
        <w:rPr>
          <w:rFonts w:hint="eastAsia" w:ascii="宋体" w:hAnsi="宋体" w:eastAsia="宋体"/>
          <w:bCs w:val="0"/>
          <w:color w:val="auto"/>
          <w:highlight w:val="none"/>
        </w:rPr>
        <w:t>三、磋商要求</w:t>
      </w:r>
      <w:r>
        <w:rPr>
          <w:color w:val="auto"/>
          <w:highlight w:val="none"/>
        </w:rPr>
        <w:tab/>
      </w:r>
      <w:r>
        <w:rPr>
          <w:color w:val="auto"/>
          <w:highlight w:val="none"/>
        </w:rPr>
        <w:fldChar w:fldCharType="begin"/>
      </w:r>
      <w:r>
        <w:rPr>
          <w:color w:val="auto"/>
          <w:highlight w:val="none"/>
        </w:rPr>
        <w:instrText xml:space="preserve"> PAGEREF _Toc13093 \h </w:instrText>
      </w:r>
      <w:r>
        <w:rPr>
          <w:color w:val="auto"/>
          <w:highlight w:val="none"/>
        </w:rPr>
        <w:fldChar w:fldCharType="separate"/>
      </w:r>
      <w:r>
        <w:rPr>
          <w:color w:val="auto"/>
          <w:highlight w:val="none"/>
        </w:rPr>
        <w:t>- 17 -</w:t>
      </w:r>
      <w:r>
        <w:rPr>
          <w:color w:val="auto"/>
          <w:highlight w:val="none"/>
        </w:rPr>
        <w:fldChar w:fldCharType="end"/>
      </w:r>
      <w:r>
        <w:rPr>
          <w:rFonts w:hint="eastAsia" w:ascii="宋体" w:hAnsi="宋体" w:cs="宋体"/>
          <w:color w:val="auto"/>
          <w:szCs w:val="21"/>
          <w:highlight w:val="none"/>
        </w:rPr>
        <w:fldChar w:fldCharType="end"/>
      </w:r>
    </w:p>
    <w:p w14:paraId="0CE9C293">
      <w:pPr>
        <w:pStyle w:val="24"/>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_Toc17158 </w:instrText>
      </w:r>
      <w:r>
        <w:rPr>
          <w:rFonts w:hint="eastAsia" w:ascii="宋体" w:hAnsi="宋体" w:cs="宋体"/>
          <w:color w:val="auto"/>
          <w:szCs w:val="21"/>
          <w:highlight w:val="none"/>
        </w:rPr>
        <w:fldChar w:fldCharType="separate"/>
      </w:r>
      <w:r>
        <w:rPr>
          <w:rFonts w:hint="eastAsia" w:ascii="宋体" w:hAnsi="宋体" w:eastAsia="宋体"/>
          <w:bCs w:val="0"/>
          <w:color w:val="auto"/>
          <w:highlight w:val="none"/>
        </w:rPr>
        <w:t>四、成交供应商的确认和变更</w:t>
      </w:r>
      <w:r>
        <w:rPr>
          <w:color w:val="auto"/>
          <w:highlight w:val="none"/>
        </w:rPr>
        <w:tab/>
      </w:r>
      <w:r>
        <w:rPr>
          <w:color w:val="auto"/>
          <w:highlight w:val="none"/>
        </w:rPr>
        <w:fldChar w:fldCharType="begin"/>
      </w:r>
      <w:r>
        <w:rPr>
          <w:color w:val="auto"/>
          <w:highlight w:val="none"/>
        </w:rPr>
        <w:instrText xml:space="preserve"> PAGEREF _Toc17158 \h </w:instrText>
      </w:r>
      <w:r>
        <w:rPr>
          <w:color w:val="auto"/>
          <w:highlight w:val="none"/>
        </w:rPr>
        <w:fldChar w:fldCharType="separate"/>
      </w:r>
      <w:r>
        <w:rPr>
          <w:color w:val="auto"/>
          <w:highlight w:val="none"/>
        </w:rPr>
        <w:t>- 18 -</w:t>
      </w:r>
      <w:r>
        <w:rPr>
          <w:color w:val="auto"/>
          <w:highlight w:val="none"/>
        </w:rPr>
        <w:fldChar w:fldCharType="end"/>
      </w:r>
      <w:r>
        <w:rPr>
          <w:rFonts w:hint="eastAsia" w:ascii="宋体" w:hAnsi="宋体" w:cs="宋体"/>
          <w:color w:val="auto"/>
          <w:szCs w:val="21"/>
          <w:highlight w:val="none"/>
        </w:rPr>
        <w:fldChar w:fldCharType="end"/>
      </w:r>
    </w:p>
    <w:p w14:paraId="2896BD97">
      <w:pPr>
        <w:pStyle w:val="24"/>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_Toc20230 </w:instrText>
      </w:r>
      <w:r>
        <w:rPr>
          <w:rFonts w:hint="eastAsia" w:ascii="宋体" w:hAnsi="宋体" w:cs="宋体"/>
          <w:color w:val="auto"/>
          <w:szCs w:val="21"/>
          <w:highlight w:val="none"/>
        </w:rPr>
        <w:fldChar w:fldCharType="separate"/>
      </w:r>
      <w:r>
        <w:rPr>
          <w:rFonts w:hint="eastAsia" w:ascii="宋体" w:hAnsi="宋体" w:eastAsia="宋体"/>
          <w:bCs w:val="0"/>
          <w:color w:val="auto"/>
          <w:highlight w:val="none"/>
        </w:rPr>
        <w:t>五、成交通知</w:t>
      </w:r>
      <w:r>
        <w:rPr>
          <w:color w:val="auto"/>
          <w:highlight w:val="none"/>
        </w:rPr>
        <w:tab/>
      </w:r>
      <w:r>
        <w:rPr>
          <w:color w:val="auto"/>
          <w:highlight w:val="none"/>
        </w:rPr>
        <w:fldChar w:fldCharType="begin"/>
      </w:r>
      <w:r>
        <w:rPr>
          <w:color w:val="auto"/>
          <w:highlight w:val="none"/>
        </w:rPr>
        <w:instrText xml:space="preserve"> PAGEREF _Toc20230 \h </w:instrText>
      </w:r>
      <w:r>
        <w:rPr>
          <w:color w:val="auto"/>
          <w:highlight w:val="none"/>
        </w:rPr>
        <w:fldChar w:fldCharType="separate"/>
      </w:r>
      <w:r>
        <w:rPr>
          <w:color w:val="auto"/>
          <w:highlight w:val="none"/>
        </w:rPr>
        <w:t>- 18 -</w:t>
      </w:r>
      <w:r>
        <w:rPr>
          <w:color w:val="auto"/>
          <w:highlight w:val="none"/>
        </w:rPr>
        <w:fldChar w:fldCharType="end"/>
      </w:r>
      <w:r>
        <w:rPr>
          <w:rFonts w:hint="eastAsia" w:ascii="宋体" w:hAnsi="宋体" w:cs="宋体"/>
          <w:color w:val="auto"/>
          <w:szCs w:val="21"/>
          <w:highlight w:val="none"/>
        </w:rPr>
        <w:fldChar w:fldCharType="end"/>
      </w:r>
    </w:p>
    <w:p w14:paraId="18A7DA1D">
      <w:pPr>
        <w:pStyle w:val="24"/>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_Toc26769 </w:instrText>
      </w:r>
      <w:r>
        <w:rPr>
          <w:rFonts w:hint="eastAsia" w:ascii="宋体" w:hAnsi="宋体" w:cs="宋体"/>
          <w:color w:val="auto"/>
          <w:szCs w:val="21"/>
          <w:highlight w:val="none"/>
        </w:rPr>
        <w:fldChar w:fldCharType="separate"/>
      </w:r>
      <w:r>
        <w:rPr>
          <w:rFonts w:hint="eastAsia" w:ascii="宋体" w:hAnsi="宋体" w:eastAsia="宋体"/>
          <w:bCs w:val="0"/>
          <w:color w:val="auto"/>
          <w:highlight w:val="none"/>
        </w:rPr>
        <w:t>六、关于质疑和投诉</w:t>
      </w:r>
      <w:r>
        <w:rPr>
          <w:color w:val="auto"/>
          <w:highlight w:val="none"/>
        </w:rPr>
        <w:tab/>
      </w:r>
      <w:r>
        <w:rPr>
          <w:color w:val="auto"/>
          <w:highlight w:val="none"/>
        </w:rPr>
        <w:fldChar w:fldCharType="begin"/>
      </w:r>
      <w:r>
        <w:rPr>
          <w:color w:val="auto"/>
          <w:highlight w:val="none"/>
        </w:rPr>
        <w:instrText xml:space="preserve"> PAGEREF _Toc26769 \h </w:instrText>
      </w:r>
      <w:r>
        <w:rPr>
          <w:color w:val="auto"/>
          <w:highlight w:val="none"/>
        </w:rPr>
        <w:fldChar w:fldCharType="separate"/>
      </w:r>
      <w:r>
        <w:rPr>
          <w:color w:val="auto"/>
          <w:highlight w:val="none"/>
        </w:rPr>
        <w:t>- 19 -</w:t>
      </w:r>
      <w:r>
        <w:rPr>
          <w:color w:val="auto"/>
          <w:highlight w:val="none"/>
        </w:rPr>
        <w:fldChar w:fldCharType="end"/>
      </w:r>
      <w:r>
        <w:rPr>
          <w:rFonts w:hint="eastAsia" w:ascii="宋体" w:hAnsi="宋体" w:cs="宋体"/>
          <w:color w:val="auto"/>
          <w:szCs w:val="21"/>
          <w:highlight w:val="none"/>
        </w:rPr>
        <w:fldChar w:fldCharType="end"/>
      </w:r>
    </w:p>
    <w:p w14:paraId="555EADB5">
      <w:pPr>
        <w:pStyle w:val="24"/>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_Toc20988 </w:instrText>
      </w:r>
      <w:r>
        <w:rPr>
          <w:rFonts w:hint="eastAsia" w:ascii="宋体" w:hAnsi="宋体" w:cs="宋体"/>
          <w:color w:val="auto"/>
          <w:szCs w:val="21"/>
          <w:highlight w:val="none"/>
        </w:rPr>
        <w:fldChar w:fldCharType="separate"/>
      </w:r>
      <w:r>
        <w:rPr>
          <w:rFonts w:hint="eastAsia" w:ascii="宋体" w:hAnsi="宋体" w:eastAsia="宋体"/>
          <w:bCs w:val="0"/>
          <w:color w:val="auto"/>
          <w:highlight w:val="none"/>
        </w:rPr>
        <w:t>七、采购代理服务费</w:t>
      </w:r>
      <w:r>
        <w:rPr>
          <w:color w:val="auto"/>
          <w:highlight w:val="none"/>
        </w:rPr>
        <w:tab/>
      </w:r>
      <w:r>
        <w:rPr>
          <w:color w:val="auto"/>
          <w:highlight w:val="none"/>
        </w:rPr>
        <w:fldChar w:fldCharType="begin"/>
      </w:r>
      <w:r>
        <w:rPr>
          <w:color w:val="auto"/>
          <w:highlight w:val="none"/>
        </w:rPr>
        <w:instrText xml:space="preserve"> PAGEREF _Toc20988 \h </w:instrText>
      </w:r>
      <w:r>
        <w:rPr>
          <w:color w:val="auto"/>
          <w:highlight w:val="none"/>
        </w:rPr>
        <w:fldChar w:fldCharType="separate"/>
      </w:r>
      <w:r>
        <w:rPr>
          <w:color w:val="auto"/>
          <w:highlight w:val="none"/>
        </w:rPr>
        <w:t>- 20 -</w:t>
      </w:r>
      <w:r>
        <w:rPr>
          <w:color w:val="auto"/>
          <w:highlight w:val="none"/>
        </w:rPr>
        <w:fldChar w:fldCharType="end"/>
      </w:r>
      <w:r>
        <w:rPr>
          <w:rFonts w:hint="eastAsia" w:ascii="宋体" w:hAnsi="宋体" w:cs="宋体"/>
          <w:color w:val="auto"/>
          <w:szCs w:val="21"/>
          <w:highlight w:val="none"/>
        </w:rPr>
        <w:fldChar w:fldCharType="end"/>
      </w:r>
    </w:p>
    <w:p w14:paraId="5AAA742C">
      <w:pPr>
        <w:pStyle w:val="24"/>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_Toc26503 </w:instrText>
      </w:r>
      <w:r>
        <w:rPr>
          <w:rFonts w:hint="eastAsia" w:ascii="宋体" w:hAnsi="宋体" w:cs="宋体"/>
          <w:color w:val="auto"/>
          <w:szCs w:val="21"/>
          <w:highlight w:val="none"/>
        </w:rPr>
        <w:fldChar w:fldCharType="separate"/>
      </w:r>
      <w:r>
        <w:rPr>
          <w:rFonts w:hint="eastAsia" w:ascii="宋体" w:hAnsi="宋体" w:eastAsia="宋体"/>
          <w:bCs w:val="0"/>
          <w:color w:val="auto"/>
          <w:highlight w:val="none"/>
        </w:rPr>
        <w:t>八、签订合同</w:t>
      </w:r>
      <w:r>
        <w:rPr>
          <w:color w:val="auto"/>
          <w:highlight w:val="none"/>
        </w:rPr>
        <w:tab/>
      </w:r>
      <w:r>
        <w:rPr>
          <w:color w:val="auto"/>
          <w:highlight w:val="none"/>
        </w:rPr>
        <w:fldChar w:fldCharType="begin"/>
      </w:r>
      <w:r>
        <w:rPr>
          <w:color w:val="auto"/>
          <w:highlight w:val="none"/>
        </w:rPr>
        <w:instrText xml:space="preserve"> PAGEREF _Toc26503 \h </w:instrText>
      </w:r>
      <w:r>
        <w:rPr>
          <w:color w:val="auto"/>
          <w:highlight w:val="none"/>
        </w:rPr>
        <w:fldChar w:fldCharType="separate"/>
      </w:r>
      <w:r>
        <w:rPr>
          <w:color w:val="auto"/>
          <w:highlight w:val="none"/>
        </w:rPr>
        <w:t>- 20 -</w:t>
      </w:r>
      <w:r>
        <w:rPr>
          <w:color w:val="auto"/>
          <w:highlight w:val="none"/>
        </w:rPr>
        <w:fldChar w:fldCharType="end"/>
      </w:r>
      <w:r>
        <w:rPr>
          <w:rFonts w:hint="eastAsia" w:ascii="宋体" w:hAnsi="宋体" w:cs="宋体"/>
          <w:color w:val="auto"/>
          <w:szCs w:val="21"/>
          <w:highlight w:val="none"/>
        </w:rPr>
        <w:fldChar w:fldCharType="end"/>
      </w:r>
    </w:p>
    <w:p w14:paraId="362FA34D">
      <w:pPr>
        <w:pStyle w:val="24"/>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_Toc5554 </w:instrText>
      </w:r>
      <w:r>
        <w:rPr>
          <w:rFonts w:hint="eastAsia" w:ascii="宋体" w:hAnsi="宋体" w:cs="宋体"/>
          <w:color w:val="auto"/>
          <w:szCs w:val="21"/>
          <w:highlight w:val="none"/>
        </w:rPr>
        <w:fldChar w:fldCharType="separate"/>
      </w:r>
      <w:r>
        <w:rPr>
          <w:rFonts w:hint="eastAsia" w:ascii="宋体" w:hAnsi="宋体" w:eastAsia="宋体"/>
          <w:color w:val="auto"/>
          <w:szCs w:val="30"/>
          <w:highlight w:val="none"/>
        </w:rPr>
        <w:t>第六篇  采购合同</w:t>
      </w:r>
      <w:r>
        <w:rPr>
          <w:color w:val="auto"/>
          <w:highlight w:val="none"/>
        </w:rPr>
        <w:tab/>
      </w:r>
      <w:r>
        <w:rPr>
          <w:color w:val="auto"/>
          <w:highlight w:val="none"/>
        </w:rPr>
        <w:fldChar w:fldCharType="begin"/>
      </w:r>
      <w:r>
        <w:rPr>
          <w:color w:val="auto"/>
          <w:highlight w:val="none"/>
        </w:rPr>
        <w:instrText xml:space="preserve"> PAGEREF _Toc5554 \h </w:instrText>
      </w:r>
      <w:r>
        <w:rPr>
          <w:color w:val="auto"/>
          <w:highlight w:val="none"/>
        </w:rPr>
        <w:fldChar w:fldCharType="separate"/>
      </w:r>
      <w:r>
        <w:rPr>
          <w:color w:val="auto"/>
          <w:highlight w:val="none"/>
        </w:rPr>
        <w:t>- 21 -</w:t>
      </w:r>
      <w:r>
        <w:rPr>
          <w:color w:val="auto"/>
          <w:highlight w:val="none"/>
        </w:rPr>
        <w:fldChar w:fldCharType="end"/>
      </w:r>
      <w:r>
        <w:rPr>
          <w:rFonts w:hint="eastAsia" w:ascii="宋体" w:hAnsi="宋体" w:cs="宋体"/>
          <w:color w:val="auto"/>
          <w:szCs w:val="21"/>
          <w:highlight w:val="none"/>
        </w:rPr>
        <w:fldChar w:fldCharType="end"/>
      </w:r>
    </w:p>
    <w:p w14:paraId="6F022C41">
      <w:pPr>
        <w:pStyle w:val="24"/>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_Toc21047 </w:instrText>
      </w:r>
      <w:r>
        <w:rPr>
          <w:rFonts w:hint="eastAsia" w:ascii="宋体" w:hAnsi="宋体" w:cs="宋体"/>
          <w:color w:val="auto"/>
          <w:szCs w:val="21"/>
          <w:highlight w:val="none"/>
        </w:rPr>
        <w:fldChar w:fldCharType="separate"/>
      </w:r>
      <w:r>
        <w:rPr>
          <w:rFonts w:hint="eastAsia" w:ascii="宋体" w:hAnsi="宋体" w:eastAsia="宋体"/>
          <w:color w:val="auto"/>
          <w:szCs w:val="30"/>
          <w:highlight w:val="none"/>
        </w:rPr>
        <w:t>第七篇  响应文件编制要求</w:t>
      </w:r>
      <w:r>
        <w:rPr>
          <w:color w:val="auto"/>
          <w:highlight w:val="none"/>
        </w:rPr>
        <w:tab/>
      </w:r>
      <w:r>
        <w:rPr>
          <w:color w:val="auto"/>
          <w:highlight w:val="none"/>
        </w:rPr>
        <w:fldChar w:fldCharType="begin"/>
      </w:r>
      <w:r>
        <w:rPr>
          <w:color w:val="auto"/>
          <w:highlight w:val="none"/>
        </w:rPr>
        <w:instrText xml:space="preserve"> PAGEREF _Toc21047 \h </w:instrText>
      </w:r>
      <w:r>
        <w:rPr>
          <w:color w:val="auto"/>
          <w:highlight w:val="none"/>
        </w:rPr>
        <w:fldChar w:fldCharType="separate"/>
      </w:r>
      <w:r>
        <w:rPr>
          <w:color w:val="auto"/>
          <w:highlight w:val="none"/>
        </w:rPr>
        <w:t>- 23 -</w:t>
      </w:r>
      <w:r>
        <w:rPr>
          <w:color w:val="auto"/>
          <w:highlight w:val="none"/>
        </w:rPr>
        <w:fldChar w:fldCharType="end"/>
      </w:r>
      <w:r>
        <w:rPr>
          <w:rFonts w:hint="eastAsia" w:ascii="宋体" w:hAnsi="宋体" w:cs="宋体"/>
          <w:color w:val="auto"/>
          <w:szCs w:val="21"/>
          <w:highlight w:val="none"/>
        </w:rPr>
        <w:fldChar w:fldCharType="end"/>
      </w:r>
    </w:p>
    <w:p w14:paraId="5C3315E5">
      <w:pPr>
        <w:pStyle w:val="24"/>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_Toc19783 </w:instrText>
      </w:r>
      <w:r>
        <w:rPr>
          <w:rFonts w:hint="eastAsia" w:ascii="宋体" w:hAnsi="宋体" w:cs="宋体"/>
          <w:color w:val="auto"/>
          <w:szCs w:val="21"/>
          <w:highlight w:val="none"/>
        </w:rPr>
        <w:fldChar w:fldCharType="separate"/>
      </w:r>
      <w:r>
        <w:rPr>
          <w:rFonts w:hint="eastAsia" w:ascii="宋体" w:hAnsi="宋体" w:eastAsia="宋体"/>
          <w:bCs w:val="0"/>
          <w:color w:val="auto"/>
          <w:highlight w:val="none"/>
        </w:rPr>
        <w:t>一、 经济部分</w:t>
      </w:r>
      <w:r>
        <w:rPr>
          <w:color w:val="auto"/>
          <w:highlight w:val="none"/>
        </w:rPr>
        <w:tab/>
      </w:r>
      <w:r>
        <w:rPr>
          <w:color w:val="auto"/>
          <w:highlight w:val="none"/>
        </w:rPr>
        <w:fldChar w:fldCharType="begin"/>
      </w:r>
      <w:r>
        <w:rPr>
          <w:color w:val="auto"/>
          <w:highlight w:val="none"/>
        </w:rPr>
        <w:instrText xml:space="preserve"> PAGEREF _Toc19783 \h </w:instrText>
      </w:r>
      <w:r>
        <w:rPr>
          <w:color w:val="auto"/>
          <w:highlight w:val="none"/>
        </w:rPr>
        <w:fldChar w:fldCharType="separate"/>
      </w:r>
      <w:r>
        <w:rPr>
          <w:color w:val="auto"/>
          <w:highlight w:val="none"/>
        </w:rPr>
        <w:t>- 24 -</w:t>
      </w:r>
      <w:r>
        <w:rPr>
          <w:color w:val="auto"/>
          <w:highlight w:val="none"/>
        </w:rPr>
        <w:fldChar w:fldCharType="end"/>
      </w:r>
      <w:r>
        <w:rPr>
          <w:rFonts w:hint="eastAsia" w:ascii="宋体" w:hAnsi="宋体" w:cs="宋体"/>
          <w:color w:val="auto"/>
          <w:szCs w:val="21"/>
          <w:highlight w:val="none"/>
        </w:rPr>
        <w:fldChar w:fldCharType="end"/>
      </w:r>
    </w:p>
    <w:p w14:paraId="3E50EEE3">
      <w:pPr>
        <w:pStyle w:val="24"/>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_Toc31020 </w:instrText>
      </w:r>
      <w:r>
        <w:rPr>
          <w:rFonts w:hint="eastAsia" w:ascii="宋体" w:hAnsi="宋体" w:cs="宋体"/>
          <w:color w:val="auto"/>
          <w:szCs w:val="21"/>
          <w:highlight w:val="none"/>
        </w:rPr>
        <w:fldChar w:fldCharType="separate"/>
      </w:r>
      <w:r>
        <w:rPr>
          <w:rFonts w:hint="eastAsia" w:ascii="宋体" w:hAnsi="宋体" w:eastAsia="宋体"/>
          <w:bCs w:val="0"/>
          <w:color w:val="auto"/>
          <w:highlight w:val="none"/>
        </w:rPr>
        <w:t>二、服务部分</w:t>
      </w:r>
      <w:r>
        <w:rPr>
          <w:color w:val="auto"/>
          <w:highlight w:val="none"/>
        </w:rPr>
        <w:tab/>
      </w:r>
      <w:r>
        <w:rPr>
          <w:color w:val="auto"/>
          <w:highlight w:val="none"/>
        </w:rPr>
        <w:fldChar w:fldCharType="begin"/>
      </w:r>
      <w:r>
        <w:rPr>
          <w:color w:val="auto"/>
          <w:highlight w:val="none"/>
        </w:rPr>
        <w:instrText xml:space="preserve"> PAGEREF _Toc31020 \h </w:instrText>
      </w:r>
      <w:r>
        <w:rPr>
          <w:color w:val="auto"/>
          <w:highlight w:val="none"/>
        </w:rPr>
        <w:fldChar w:fldCharType="separate"/>
      </w:r>
      <w:r>
        <w:rPr>
          <w:color w:val="auto"/>
          <w:highlight w:val="none"/>
        </w:rPr>
        <w:t>- 25 -</w:t>
      </w:r>
      <w:r>
        <w:rPr>
          <w:color w:val="auto"/>
          <w:highlight w:val="none"/>
        </w:rPr>
        <w:fldChar w:fldCharType="end"/>
      </w:r>
      <w:r>
        <w:rPr>
          <w:rFonts w:hint="eastAsia" w:ascii="宋体" w:hAnsi="宋体" w:cs="宋体"/>
          <w:color w:val="auto"/>
          <w:szCs w:val="21"/>
          <w:highlight w:val="none"/>
        </w:rPr>
        <w:fldChar w:fldCharType="end"/>
      </w:r>
    </w:p>
    <w:p w14:paraId="54178E4D">
      <w:pPr>
        <w:pStyle w:val="24"/>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_Toc20851 </w:instrText>
      </w:r>
      <w:r>
        <w:rPr>
          <w:rFonts w:hint="eastAsia" w:ascii="宋体" w:hAnsi="宋体" w:cs="宋体"/>
          <w:color w:val="auto"/>
          <w:szCs w:val="21"/>
          <w:highlight w:val="none"/>
        </w:rPr>
        <w:fldChar w:fldCharType="separate"/>
      </w:r>
      <w:r>
        <w:rPr>
          <w:rFonts w:hint="eastAsia" w:ascii="宋体" w:hAnsi="宋体" w:eastAsia="宋体"/>
          <w:bCs w:val="0"/>
          <w:color w:val="auto"/>
          <w:highlight w:val="none"/>
        </w:rPr>
        <w:t>三、商务部分</w:t>
      </w:r>
      <w:r>
        <w:rPr>
          <w:color w:val="auto"/>
          <w:highlight w:val="none"/>
        </w:rPr>
        <w:tab/>
      </w:r>
      <w:r>
        <w:rPr>
          <w:color w:val="auto"/>
          <w:highlight w:val="none"/>
        </w:rPr>
        <w:fldChar w:fldCharType="begin"/>
      </w:r>
      <w:r>
        <w:rPr>
          <w:color w:val="auto"/>
          <w:highlight w:val="none"/>
        </w:rPr>
        <w:instrText xml:space="preserve"> PAGEREF _Toc20851 \h </w:instrText>
      </w:r>
      <w:r>
        <w:rPr>
          <w:color w:val="auto"/>
          <w:highlight w:val="none"/>
        </w:rPr>
        <w:fldChar w:fldCharType="separate"/>
      </w:r>
      <w:r>
        <w:rPr>
          <w:color w:val="auto"/>
          <w:highlight w:val="none"/>
        </w:rPr>
        <w:t>- 27 -</w:t>
      </w:r>
      <w:r>
        <w:rPr>
          <w:color w:val="auto"/>
          <w:highlight w:val="none"/>
        </w:rPr>
        <w:fldChar w:fldCharType="end"/>
      </w:r>
      <w:r>
        <w:rPr>
          <w:rFonts w:hint="eastAsia" w:ascii="宋体" w:hAnsi="宋体" w:cs="宋体"/>
          <w:color w:val="auto"/>
          <w:szCs w:val="21"/>
          <w:highlight w:val="none"/>
        </w:rPr>
        <w:fldChar w:fldCharType="end"/>
      </w:r>
    </w:p>
    <w:p w14:paraId="69A65348">
      <w:pPr>
        <w:pStyle w:val="24"/>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_Toc23339 </w:instrText>
      </w:r>
      <w:r>
        <w:rPr>
          <w:rFonts w:hint="eastAsia" w:ascii="宋体" w:hAnsi="宋体" w:cs="宋体"/>
          <w:color w:val="auto"/>
          <w:szCs w:val="21"/>
          <w:highlight w:val="none"/>
        </w:rPr>
        <w:fldChar w:fldCharType="separate"/>
      </w:r>
      <w:r>
        <w:rPr>
          <w:rFonts w:hint="eastAsia" w:ascii="宋体" w:hAnsi="宋体" w:eastAsia="宋体"/>
          <w:bCs w:val="0"/>
          <w:color w:val="auto"/>
          <w:highlight w:val="none"/>
        </w:rPr>
        <w:t>四、资格条件</w:t>
      </w:r>
      <w:r>
        <w:rPr>
          <w:color w:val="auto"/>
          <w:highlight w:val="none"/>
        </w:rPr>
        <w:tab/>
      </w:r>
      <w:r>
        <w:rPr>
          <w:color w:val="auto"/>
          <w:highlight w:val="none"/>
        </w:rPr>
        <w:fldChar w:fldCharType="begin"/>
      </w:r>
      <w:r>
        <w:rPr>
          <w:color w:val="auto"/>
          <w:highlight w:val="none"/>
        </w:rPr>
        <w:instrText xml:space="preserve"> PAGEREF _Toc23339 \h </w:instrText>
      </w:r>
      <w:r>
        <w:rPr>
          <w:color w:val="auto"/>
          <w:highlight w:val="none"/>
        </w:rPr>
        <w:fldChar w:fldCharType="separate"/>
      </w:r>
      <w:r>
        <w:rPr>
          <w:color w:val="auto"/>
          <w:highlight w:val="none"/>
        </w:rPr>
        <w:t>- 29 -</w:t>
      </w:r>
      <w:r>
        <w:rPr>
          <w:color w:val="auto"/>
          <w:highlight w:val="none"/>
        </w:rPr>
        <w:fldChar w:fldCharType="end"/>
      </w:r>
      <w:r>
        <w:rPr>
          <w:rFonts w:hint="eastAsia" w:ascii="宋体" w:hAnsi="宋体" w:cs="宋体"/>
          <w:color w:val="auto"/>
          <w:szCs w:val="21"/>
          <w:highlight w:val="none"/>
        </w:rPr>
        <w:fldChar w:fldCharType="end"/>
      </w:r>
    </w:p>
    <w:p w14:paraId="34AB2F98">
      <w:pPr>
        <w:pStyle w:val="24"/>
        <w:tabs>
          <w:tab w:val="right" w:leader="dot" w:pos="9412"/>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_Toc21264 </w:instrText>
      </w:r>
      <w:r>
        <w:rPr>
          <w:rFonts w:hint="eastAsia" w:ascii="宋体" w:hAnsi="宋体" w:cs="宋体"/>
          <w:color w:val="auto"/>
          <w:szCs w:val="21"/>
          <w:highlight w:val="none"/>
        </w:rPr>
        <w:fldChar w:fldCharType="separate"/>
      </w:r>
      <w:r>
        <w:rPr>
          <w:rFonts w:hint="eastAsia" w:ascii="宋体" w:hAnsi="宋体" w:eastAsia="宋体"/>
          <w:bCs w:val="0"/>
          <w:color w:val="auto"/>
          <w:highlight w:val="none"/>
        </w:rPr>
        <w:t>五、其他资料</w:t>
      </w:r>
      <w:r>
        <w:rPr>
          <w:color w:val="auto"/>
          <w:highlight w:val="none"/>
        </w:rPr>
        <w:tab/>
      </w:r>
      <w:r>
        <w:rPr>
          <w:color w:val="auto"/>
          <w:highlight w:val="none"/>
        </w:rPr>
        <w:fldChar w:fldCharType="begin"/>
      </w:r>
      <w:r>
        <w:rPr>
          <w:color w:val="auto"/>
          <w:highlight w:val="none"/>
        </w:rPr>
        <w:instrText xml:space="preserve"> PAGEREF _Toc21264 \h </w:instrText>
      </w:r>
      <w:r>
        <w:rPr>
          <w:color w:val="auto"/>
          <w:highlight w:val="none"/>
        </w:rPr>
        <w:fldChar w:fldCharType="separate"/>
      </w:r>
      <w:r>
        <w:rPr>
          <w:color w:val="auto"/>
          <w:highlight w:val="none"/>
        </w:rPr>
        <w:t>- 34 -</w:t>
      </w:r>
      <w:r>
        <w:rPr>
          <w:color w:val="auto"/>
          <w:highlight w:val="none"/>
        </w:rPr>
        <w:fldChar w:fldCharType="end"/>
      </w:r>
      <w:r>
        <w:rPr>
          <w:rFonts w:hint="eastAsia" w:ascii="宋体" w:hAnsi="宋体" w:cs="宋体"/>
          <w:color w:val="auto"/>
          <w:szCs w:val="21"/>
          <w:highlight w:val="none"/>
        </w:rPr>
        <w:fldChar w:fldCharType="end"/>
      </w:r>
    </w:p>
    <w:p w14:paraId="6DD2329F">
      <w:pPr>
        <w:pStyle w:val="24"/>
        <w:tabs>
          <w:tab w:val="right" w:leader="dot" w:pos="9402"/>
        </w:tabs>
        <w:spacing w:line="480" w:lineRule="exact"/>
        <w:ind w:left="560"/>
        <w:jc w:val="center"/>
        <w:rPr>
          <w:rFonts w:ascii="宋体" w:hAnsi="宋体" w:cs="宋体"/>
          <w:color w:val="auto"/>
          <w:sz w:val="18"/>
          <w:szCs w:val="22"/>
          <w:highlight w:val="none"/>
        </w:rPr>
        <w:sectPr>
          <w:pgSz w:w="11907" w:h="16840"/>
          <w:pgMar w:top="1134" w:right="1191" w:bottom="1134" w:left="1304" w:header="680" w:footer="992" w:gutter="0"/>
          <w:pgNumType w:fmt="numberInDash" w:start="1"/>
          <w:cols w:space="0" w:num="1"/>
          <w:docGrid w:linePitch="381" w:charSpace="0"/>
        </w:sectPr>
      </w:pPr>
      <w:r>
        <w:rPr>
          <w:rFonts w:hint="eastAsia" w:ascii="宋体" w:hAnsi="宋体" w:cs="宋体"/>
          <w:color w:val="auto"/>
          <w:szCs w:val="21"/>
          <w:highlight w:val="none"/>
        </w:rPr>
        <w:fldChar w:fldCharType="end"/>
      </w:r>
      <w:bookmarkEnd w:id="6"/>
    </w:p>
    <w:p w14:paraId="13CB8E2C">
      <w:pPr>
        <w:pStyle w:val="3"/>
        <w:numPr>
          <w:ilvl w:val="1"/>
          <w:numId w:val="0"/>
        </w:numPr>
        <w:spacing w:line="360" w:lineRule="auto"/>
        <w:jc w:val="center"/>
        <w:rPr>
          <w:rFonts w:ascii="宋体" w:hAnsi="宋体" w:eastAsia="宋体"/>
          <w:color w:val="auto"/>
          <w:szCs w:val="30"/>
          <w:highlight w:val="none"/>
        </w:rPr>
      </w:pPr>
      <w:bookmarkStart w:id="7" w:name="_Toc106030870"/>
      <w:bookmarkStart w:id="8" w:name="_Toc12789052"/>
      <w:bookmarkStart w:id="9" w:name="_Toc181"/>
      <w:bookmarkStart w:id="10" w:name="_Toc76462316"/>
      <w:bookmarkStart w:id="11" w:name="_Toc17873"/>
      <w:bookmarkStart w:id="12" w:name="_Toc4932"/>
      <w:bookmarkStart w:id="13" w:name="_Toc9852"/>
      <w:bookmarkStart w:id="14" w:name="_Toc4184"/>
      <w:bookmarkStart w:id="15" w:name="_Toc11641050"/>
      <w:r>
        <w:rPr>
          <w:rFonts w:hint="eastAsia" w:ascii="宋体" w:hAnsi="宋体" w:eastAsia="宋体"/>
          <w:color w:val="auto"/>
          <w:sz w:val="36"/>
          <w:szCs w:val="30"/>
          <w:highlight w:val="none"/>
        </w:rPr>
        <w:t>第一篇  采购邀请书</w:t>
      </w:r>
      <w:bookmarkEnd w:id="7"/>
      <w:bookmarkEnd w:id="8"/>
      <w:bookmarkEnd w:id="9"/>
      <w:bookmarkEnd w:id="10"/>
      <w:bookmarkEnd w:id="11"/>
      <w:bookmarkEnd w:id="12"/>
      <w:bookmarkEnd w:id="13"/>
      <w:bookmarkEnd w:id="14"/>
      <w:bookmarkEnd w:id="15"/>
    </w:p>
    <w:p w14:paraId="587B967F">
      <w:pPr>
        <w:pageBreakBefore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u w:val="single"/>
        </w:rPr>
        <w:t>重庆千策招标代理有限公司</w:t>
      </w:r>
      <w:r>
        <w:rPr>
          <w:rFonts w:hint="eastAsia" w:ascii="宋体" w:hAnsi="宋体" w:cs="宋体"/>
          <w:color w:val="auto"/>
          <w:sz w:val="24"/>
          <w:szCs w:val="24"/>
          <w:highlight w:val="none"/>
        </w:rPr>
        <w:t>（以下简称：采购代理机构）接受</w:t>
      </w:r>
      <w:r>
        <w:rPr>
          <w:rFonts w:hint="eastAsia" w:ascii="宋体" w:hAnsi="宋体" w:cs="宋体"/>
          <w:color w:val="auto"/>
          <w:sz w:val="24"/>
          <w:szCs w:val="24"/>
          <w:highlight w:val="none"/>
          <w:u w:val="single"/>
        </w:rPr>
        <w:t xml:space="preserve">重庆市石桥铺殡仪馆 </w:t>
      </w:r>
      <w:r>
        <w:rPr>
          <w:rFonts w:hint="eastAsia" w:ascii="宋体" w:hAnsi="宋体" w:cs="宋体"/>
          <w:color w:val="auto"/>
          <w:sz w:val="24"/>
          <w:szCs w:val="24"/>
          <w:highlight w:val="none"/>
        </w:rPr>
        <w:t>（以下简称：采购人）的委托，对</w:t>
      </w:r>
      <w:r>
        <w:rPr>
          <w:rFonts w:hint="eastAsia" w:ascii="宋体" w:hAnsi="宋体" w:cs="宋体"/>
          <w:color w:val="auto"/>
          <w:sz w:val="24"/>
          <w:szCs w:val="24"/>
          <w:highlight w:val="none"/>
          <w:u w:val="single"/>
          <w:lang w:eastAsia="zh-CN"/>
        </w:rPr>
        <w:t>有害生物防治服务（</w:t>
      </w:r>
      <w:r>
        <w:rPr>
          <w:rFonts w:hint="eastAsia" w:ascii="宋体" w:hAnsi="宋体" w:cs="宋体"/>
          <w:color w:val="auto"/>
          <w:sz w:val="24"/>
          <w:szCs w:val="24"/>
          <w:highlight w:val="none"/>
          <w:u w:val="single"/>
          <w:lang w:val="en-US" w:eastAsia="zh-CN"/>
        </w:rPr>
        <w:t>第二次）</w:t>
      </w:r>
      <w:r>
        <w:rPr>
          <w:rFonts w:hint="eastAsia" w:ascii="宋体" w:hAnsi="宋体" w:cs="宋体"/>
          <w:color w:val="auto"/>
          <w:sz w:val="24"/>
          <w:szCs w:val="24"/>
          <w:highlight w:val="none"/>
        </w:rPr>
        <w:t>进行竞争性磋商采购。欢迎有资格的供应商前来参与磋商。</w:t>
      </w:r>
    </w:p>
    <w:p w14:paraId="04C877BC">
      <w:pPr>
        <w:pStyle w:val="3"/>
        <w:pageBreakBefore w:val="0"/>
        <w:numPr>
          <w:ilvl w:val="1"/>
          <w:numId w:val="0"/>
        </w:numPr>
        <w:kinsoku/>
        <w:wordWrap/>
        <w:overflowPunct/>
        <w:topLinePunct w:val="0"/>
        <w:autoSpaceDE/>
        <w:autoSpaceDN/>
        <w:bidi w:val="0"/>
        <w:adjustRightInd w:val="0"/>
        <w:snapToGrid w:val="0"/>
        <w:spacing w:line="400" w:lineRule="exact"/>
        <w:textAlignment w:val="auto"/>
        <w:rPr>
          <w:rFonts w:ascii="宋体" w:hAnsi="宋体" w:eastAsia="宋体"/>
          <w:b/>
          <w:bCs w:val="0"/>
          <w:color w:val="auto"/>
          <w:sz w:val="24"/>
          <w:highlight w:val="none"/>
        </w:rPr>
      </w:pPr>
      <w:bookmarkStart w:id="16" w:name="_Toc9379"/>
      <w:bookmarkStart w:id="17" w:name="_Toc20549"/>
      <w:bookmarkStart w:id="18" w:name="_Toc22832"/>
      <w:bookmarkStart w:id="19" w:name="_Toc27222"/>
      <w:bookmarkStart w:id="20" w:name="_Toc76462317"/>
      <w:bookmarkStart w:id="21" w:name="_Toc27081"/>
      <w:bookmarkStart w:id="22" w:name="_Toc317775175"/>
      <w:bookmarkStart w:id="23" w:name="_Toc313893526"/>
      <w:bookmarkStart w:id="24" w:name="_Toc106030871"/>
      <w:r>
        <w:rPr>
          <w:rFonts w:hint="eastAsia" w:ascii="宋体" w:hAnsi="宋体" w:eastAsia="宋体"/>
          <w:b/>
          <w:bCs w:val="0"/>
          <w:color w:val="auto"/>
          <w:sz w:val="24"/>
          <w:highlight w:val="none"/>
        </w:rPr>
        <w:t>一、竞争性磋商内容</w:t>
      </w:r>
      <w:bookmarkEnd w:id="16"/>
      <w:bookmarkEnd w:id="17"/>
      <w:bookmarkEnd w:id="18"/>
      <w:bookmarkEnd w:id="19"/>
      <w:bookmarkEnd w:id="20"/>
      <w:bookmarkEnd w:id="21"/>
      <w:bookmarkEnd w:id="22"/>
      <w:bookmarkEnd w:id="23"/>
      <w:bookmarkEnd w:id="24"/>
    </w:p>
    <w:tbl>
      <w:tblPr>
        <w:tblStyle w:val="29"/>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2021"/>
        <w:gridCol w:w="1437"/>
        <w:gridCol w:w="2226"/>
      </w:tblGrid>
      <w:tr w14:paraId="3D09C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3835" w:type="dxa"/>
            <w:tcBorders>
              <w:top w:val="single" w:color="auto" w:sz="4" w:space="0"/>
              <w:left w:val="single" w:color="auto" w:sz="4" w:space="0"/>
              <w:right w:val="single" w:color="auto" w:sz="4" w:space="0"/>
            </w:tcBorders>
            <w:vAlign w:val="center"/>
          </w:tcPr>
          <w:p w14:paraId="041C29B4">
            <w:pPr>
              <w:pageBreakBefore w:val="0"/>
              <w:widowControl/>
              <w:kinsoku/>
              <w:wordWrap/>
              <w:overflowPunct/>
              <w:topLinePunct w:val="0"/>
              <w:autoSpaceDE/>
              <w:autoSpaceDN/>
              <w:bidi w:val="0"/>
              <w:spacing w:line="400" w:lineRule="exact"/>
              <w:jc w:val="center"/>
              <w:textAlignment w:val="auto"/>
              <w:rPr>
                <w:rFonts w:ascii="宋体" w:hAnsi="宋体" w:cs="宋体"/>
                <w:b/>
                <w:bCs/>
                <w:color w:val="auto"/>
                <w:kern w:val="0"/>
                <w:sz w:val="24"/>
                <w:szCs w:val="24"/>
                <w:highlight w:val="none"/>
              </w:rPr>
            </w:pPr>
            <w:bookmarkStart w:id="25" w:name="_Toc21041"/>
            <w:bookmarkStart w:id="26" w:name="_Toc76462319"/>
            <w:bookmarkStart w:id="27" w:name="_Toc106030873"/>
            <w:bookmarkStart w:id="28" w:name="_Toc29253"/>
            <w:bookmarkStart w:id="29" w:name="_Toc21123"/>
            <w:bookmarkStart w:id="30" w:name="_Toc10459"/>
            <w:bookmarkStart w:id="31" w:name="_Toc373860293"/>
            <w:bookmarkStart w:id="32" w:name="_Toc317775178"/>
            <w:r>
              <w:rPr>
                <w:rFonts w:hint="eastAsia" w:ascii="宋体" w:hAnsi="宋体" w:cs="宋体"/>
                <w:b/>
                <w:bCs/>
                <w:color w:val="auto"/>
                <w:kern w:val="0"/>
                <w:sz w:val="24"/>
                <w:szCs w:val="24"/>
                <w:highlight w:val="none"/>
              </w:rPr>
              <w:t>磋商项目名称</w:t>
            </w:r>
          </w:p>
        </w:tc>
        <w:tc>
          <w:tcPr>
            <w:tcW w:w="2021" w:type="dxa"/>
            <w:tcBorders>
              <w:top w:val="single" w:color="auto" w:sz="4" w:space="0"/>
              <w:left w:val="single" w:color="auto" w:sz="4" w:space="0"/>
              <w:right w:val="single" w:color="auto" w:sz="4" w:space="0"/>
            </w:tcBorders>
            <w:vAlign w:val="center"/>
          </w:tcPr>
          <w:p w14:paraId="139E8C41">
            <w:pPr>
              <w:pageBreakBefore w:val="0"/>
              <w:widowControl/>
              <w:kinsoku/>
              <w:wordWrap/>
              <w:overflowPunct/>
              <w:topLinePunct w:val="0"/>
              <w:autoSpaceDE/>
              <w:autoSpaceDN/>
              <w:bidi w:val="0"/>
              <w:spacing w:line="400" w:lineRule="exact"/>
              <w:jc w:val="center"/>
              <w:textAlignment w:val="auto"/>
              <w:rPr>
                <w:rFonts w:hint="eastAsia" w:ascii="宋体" w:hAnsi="宋体" w:cs="宋体"/>
                <w:b/>
                <w:bCs/>
                <w:color w:val="auto"/>
                <w:kern w:val="0"/>
                <w:sz w:val="24"/>
                <w:szCs w:val="24"/>
                <w:highlight w:val="none"/>
                <w:lang w:eastAsia="zh-CN"/>
              </w:rPr>
            </w:pPr>
            <w:r>
              <w:rPr>
                <w:rFonts w:hint="eastAsia" w:ascii="宋体" w:hAnsi="宋体" w:cs="宋体"/>
                <w:b/>
                <w:bCs/>
                <w:color w:val="auto"/>
                <w:kern w:val="0"/>
                <w:sz w:val="24"/>
                <w:szCs w:val="24"/>
                <w:highlight w:val="none"/>
                <w:lang w:eastAsia="zh-CN"/>
              </w:rPr>
              <w:t>最高限价</w:t>
            </w:r>
          </w:p>
          <w:p w14:paraId="7B35B59E">
            <w:pPr>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eastAsia="zh-CN"/>
              </w:rPr>
              <w:t>（折扣）</w:t>
            </w:r>
          </w:p>
        </w:tc>
        <w:tc>
          <w:tcPr>
            <w:tcW w:w="1437" w:type="dxa"/>
            <w:tcBorders>
              <w:top w:val="single" w:color="auto" w:sz="4" w:space="0"/>
              <w:left w:val="single" w:color="auto" w:sz="4" w:space="0"/>
              <w:right w:val="single" w:color="auto" w:sz="4" w:space="0"/>
            </w:tcBorders>
            <w:vAlign w:val="center"/>
          </w:tcPr>
          <w:p w14:paraId="5453DED9">
            <w:pPr>
              <w:pageBreakBefore w:val="0"/>
              <w:widowControl/>
              <w:kinsoku/>
              <w:wordWrap/>
              <w:overflowPunct/>
              <w:topLinePunct w:val="0"/>
              <w:autoSpaceDE/>
              <w:autoSpaceDN/>
              <w:bidi w:val="0"/>
              <w:spacing w:line="400" w:lineRule="exact"/>
              <w:jc w:val="center"/>
              <w:textAlignment w:val="auto"/>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保证金</w:t>
            </w:r>
          </w:p>
          <w:p w14:paraId="328F1C89">
            <w:pPr>
              <w:pageBreakBefore w:val="0"/>
              <w:widowControl/>
              <w:kinsoku/>
              <w:wordWrap/>
              <w:overflowPunct/>
              <w:topLinePunct w:val="0"/>
              <w:autoSpaceDE/>
              <w:autoSpaceDN/>
              <w:bidi w:val="0"/>
              <w:spacing w:line="400" w:lineRule="exact"/>
              <w:jc w:val="center"/>
              <w:textAlignment w:val="auto"/>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（元）</w:t>
            </w:r>
          </w:p>
        </w:tc>
        <w:tc>
          <w:tcPr>
            <w:tcW w:w="2226" w:type="dxa"/>
            <w:tcBorders>
              <w:top w:val="single" w:color="auto" w:sz="4" w:space="0"/>
              <w:left w:val="single" w:color="auto" w:sz="4" w:space="0"/>
              <w:right w:val="single" w:color="auto" w:sz="4" w:space="0"/>
            </w:tcBorders>
            <w:vAlign w:val="center"/>
          </w:tcPr>
          <w:p w14:paraId="0057E3D4">
            <w:pPr>
              <w:pageBreakBefore w:val="0"/>
              <w:kinsoku/>
              <w:wordWrap/>
              <w:overflowPunct/>
              <w:topLinePunct w:val="0"/>
              <w:autoSpaceDE/>
              <w:autoSpaceDN/>
              <w:bidi w:val="0"/>
              <w:spacing w:line="400" w:lineRule="exact"/>
              <w:jc w:val="center"/>
              <w:textAlignment w:val="auto"/>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成交供应商数量（名）</w:t>
            </w:r>
          </w:p>
        </w:tc>
      </w:tr>
      <w:tr w14:paraId="3B3EF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3835" w:type="dxa"/>
            <w:tcBorders>
              <w:top w:val="single" w:color="auto" w:sz="4" w:space="0"/>
              <w:left w:val="single" w:color="auto" w:sz="4" w:space="0"/>
              <w:bottom w:val="single" w:color="auto" w:sz="4" w:space="0"/>
              <w:right w:val="single" w:color="auto" w:sz="4" w:space="0"/>
            </w:tcBorders>
            <w:vAlign w:val="center"/>
          </w:tcPr>
          <w:p w14:paraId="27A3DBE0">
            <w:pPr>
              <w:pageBreakBefore w:val="0"/>
              <w:kinsoku/>
              <w:wordWrap/>
              <w:overflowPunct/>
              <w:topLinePunct w:val="0"/>
              <w:autoSpaceDE/>
              <w:autoSpaceDN/>
              <w:bidi w:val="0"/>
              <w:spacing w:line="400" w:lineRule="exact"/>
              <w:jc w:val="center"/>
              <w:textAlignment w:val="auto"/>
              <w:rPr>
                <w:rFonts w:hint="default" w:ascii="宋体" w:hAnsi="宋体" w:eastAsia="宋体" w:cs="宋体"/>
                <w:color w:val="auto"/>
                <w:kern w:val="0"/>
                <w:sz w:val="24"/>
                <w:szCs w:val="24"/>
                <w:highlight w:val="none"/>
                <w:lang w:val="en-US" w:eastAsia="zh-CN"/>
              </w:rPr>
            </w:pPr>
            <w:bookmarkStart w:id="33" w:name="_Hlk344477914"/>
            <w:r>
              <w:rPr>
                <w:rFonts w:hint="eastAsia" w:ascii="宋体" w:hAnsi="宋体" w:cs="宋体"/>
                <w:color w:val="auto"/>
                <w:sz w:val="24"/>
                <w:szCs w:val="24"/>
                <w:highlight w:val="none"/>
                <w:lang w:eastAsia="zh-CN"/>
              </w:rPr>
              <w:t>有害生物防治服务（</w:t>
            </w:r>
            <w:r>
              <w:rPr>
                <w:rFonts w:hint="eastAsia" w:ascii="宋体" w:hAnsi="宋体" w:cs="宋体"/>
                <w:color w:val="auto"/>
                <w:sz w:val="24"/>
                <w:szCs w:val="24"/>
                <w:highlight w:val="none"/>
                <w:lang w:val="en-US" w:eastAsia="zh-CN"/>
              </w:rPr>
              <w:t>第二次）</w:t>
            </w:r>
          </w:p>
        </w:tc>
        <w:tc>
          <w:tcPr>
            <w:tcW w:w="2021" w:type="dxa"/>
            <w:tcBorders>
              <w:top w:val="single" w:color="auto" w:sz="4" w:space="0"/>
              <w:left w:val="single" w:color="auto" w:sz="4" w:space="0"/>
              <w:bottom w:val="single" w:color="auto" w:sz="4" w:space="0"/>
              <w:right w:val="single" w:color="auto" w:sz="4" w:space="0"/>
            </w:tcBorders>
            <w:vAlign w:val="center"/>
          </w:tcPr>
          <w:p w14:paraId="7D787964">
            <w:pPr>
              <w:pageBreakBefore w:val="0"/>
              <w:kinsoku/>
              <w:wordWrap/>
              <w:overflowPunct/>
              <w:topLinePunct w:val="0"/>
              <w:autoSpaceDE/>
              <w:autoSpaceDN/>
              <w:bidi w:val="0"/>
              <w:spacing w:line="4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100%</w:t>
            </w:r>
          </w:p>
        </w:tc>
        <w:tc>
          <w:tcPr>
            <w:tcW w:w="1437" w:type="dxa"/>
            <w:tcBorders>
              <w:top w:val="single" w:color="auto" w:sz="4" w:space="0"/>
              <w:left w:val="single" w:color="auto" w:sz="4" w:space="0"/>
              <w:bottom w:val="single" w:color="auto" w:sz="4" w:space="0"/>
              <w:right w:val="single" w:color="auto" w:sz="4" w:space="0"/>
            </w:tcBorders>
            <w:vAlign w:val="center"/>
          </w:tcPr>
          <w:p w14:paraId="00357BCE">
            <w:pPr>
              <w:pageBreakBefore w:val="0"/>
              <w:kinsoku/>
              <w:wordWrap/>
              <w:overflowPunct/>
              <w:topLinePunct w:val="0"/>
              <w:autoSpaceDE/>
              <w:autoSpaceDN/>
              <w:bidi w:val="0"/>
              <w:spacing w:line="400" w:lineRule="exact"/>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1000</w:t>
            </w:r>
          </w:p>
        </w:tc>
        <w:tc>
          <w:tcPr>
            <w:tcW w:w="2226" w:type="dxa"/>
            <w:tcBorders>
              <w:top w:val="single" w:color="auto" w:sz="4" w:space="0"/>
              <w:left w:val="single" w:color="auto" w:sz="4" w:space="0"/>
              <w:bottom w:val="single" w:color="auto" w:sz="4" w:space="0"/>
              <w:right w:val="single" w:color="auto" w:sz="4" w:space="0"/>
            </w:tcBorders>
            <w:vAlign w:val="center"/>
          </w:tcPr>
          <w:p w14:paraId="4A8D0066">
            <w:pPr>
              <w:pageBreakBefore w:val="0"/>
              <w:kinsoku/>
              <w:wordWrap/>
              <w:overflowPunct/>
              <w:topLinePunct w:val="0"/>
              <w:autoSpaceDE/>
              <w:autoSpaceDN/>
              <w:bidi w:val="0"/>
              <w:spacing w:line="400" w:lineRule="exact"/>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r>
      <w:tr w14:paraId="15290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9519" w:type="dxa"/>
            <w:gridSpan w:val="4"/>
            <w:tcBorders>
              <w:top w:val="single" w:color="auto" w:sz="4" w:space="0"/>
              <w:left w:val="single" w:color="auto" w:sz="4" w:space="0"/>
              <w:bottom w:val="single" w:color="auto" w:sz="4" w:space="0"/>
              <w:right w:val="single" w:color="auto" w:sz="4" w:space="0"/>
            </w:tcBorders>
            <w:vAlign w:val="center"/>
          </w:tcPr>
          <w:p w14:paraId="30DEAA83">
            <w:pPr>
              <w:pStyle w:val="11"/>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outlineLvl w:val="0"/>
              <w:rPr>
                <w:rFonts w:hint="eastAsia" w:ascii="宋体" w:hAnsi="宋体" w:cs="宋体"/>
                <w:color w:val="auto"/>
                <w:kern w:val="0"/>
                <w:sz w:val="24"/>
                <w:szCs w:val="24"/>
                <w:highlight w:val="none"/>
              </w:rPr>
            </w:pPr>
            <w:r>
              <w:rPr>
                <w:rFonts w:hint="eastAsia" w:ascii="宋体" w:hAnsi="宋体" w:eastAsia="宋体" w:cs="宋体"/>
                <w:b/>
                <w:bCs/>
                <w:color w:val="auto"/>
                <w:sz w:val="24"/>
                <w:szCs w:val="24"/>
                <w:highlight w:val="none"/>
                <w:lang w:val="en-US" w:eastAsia="zh-CN"/>
              </w:rPr>
              <w:t>备注：</w:t>
            </w:r>
            <w:r>
              <w:rPr>
                <w:rFonts w:hint="eastAsia" w:ascii="宋体" w:hAnsi="宋体" w:eastAsia="宋体" w:cs="宋体"/>
                <w:color w:val="auto"/>
                <w:sz w:val="24"/>
                <w:szCs w:val="24"/>
                <w:highlight w:val="none"/>
                <w:lang w:val="en-US" w:eastAsia="zh-CN"/>
              </w:rPr>
              <w:t>本项目报价</w:t>
            </w:r>
            <w:r>
              <w:rPr>
                <w:rFonts w:hint="eastAsia" w:ascii="宋体" w:hAnsi="宋体" w:eastAsia="宋体" w:cs="宋体"/>
                <w:color w:val="auto"/>
                <w:sz w:val="24"/>
                <w:szCs w:val="24"/>
                <w:highlight w:val="none"/>
                <w:lang w:val="zh-CN" w:eastAsia="zh-CN"/>
              </w:rPr>
              <w:t>为</w:t>
            </w:r>
            <w:r>
              <w:rPr>
                <w:rFonts w:hint="eastAsia" w:ascii="宋体" w:hAnsi="宋体" w:eastAsia="宋体" w:cs="宋体"/>
                <w:color w:val="auto"/>
                <w:sz w:val="24"/>
                <w:szCs w:val="24"/>
                <w:highlight w:val="none"/>
                <w:lang w:val="en-US" w:eastAsia="zh-CN"/>
              </w:rPr>
              <w:t>结算折扣报价，非下浮折扣。折扣报价填报范围为0%-</w:t>
            </w:r>
            <w:r>
              <w:rPr>
                <w:rFonts w:hint="eastAsia" w:ascii="宋体" w:hAnsi="宋体" w:cs="宋体"/>
                <w:color w:val="auto"/>
                <w:sz w:val="24"/>
                <w:szCs w:val="24"/>
                <w:highlight w:val="none"/>
                <w:lang w:val="en-US" w:eastAsia="zh-CN"/>
              </w:rPr>
              <w:t>100</w:t>
            </w:r>
            <w:r>
              <w:rPr>
                <w:rFonts w:hint="eastAsia" w:ascii="宋体" w:hAnsi="宋体" w:eastAsia="宋体" w:cs="宋体"/>
                <w:color w:val="auto"/>
                <w:sz w:val="24"/>
                <w:szCs w:val="24"/>
                <w:highlight w:val="none"/>
                <w:lang w:val="en-US" w:eastAsia="zh-CN"/>
              </w:rPr>
              <w:t>%（不包含0），折扣报价保留整数。【举例：折扣报价为98%，则结算折扣为9.8折】</w:t>
            </w:r>
          </w:p>
        </w:tc>
      </w:tr>
      <w:bookmarkEnd w:id="33"/>
    </w:tbl>
    <w:p w14:paraId="4BC29119">
      <w:pPr>
        <w:pStyle w:val="3"/>
        <w:pageBreakBefore w:val="0"/>
        <w:numPr>
          <w:ilvl w:val="1"/>
          <w:numId w:val="0"/>
        </w:numPr>
        <w:kinsoku/>
        <w:wordWrap/>
        <w:overflowPunct/>
        <w:topLinePunct w:val="0"/>
        <w:autoSpaceDE/>
        <w:autoSpaceDN/>
        <w:bidi w:val="0"/>
        <w:adjustRightInd w:val="0"/>
        <w:snapToGrid w:val="0"/>
        <w:spacing w:line="400" w:lineRule="exact"/>
        <w:textAlignment w:val="auto"/>
        <w:rPr>
          <w:rFonts w:ascii="宋体" w:hAnsi="宋体" w:eastAsia="宋体"/>
          <w:b/>
          <w:bCs w:val="0"/>
          <w:color w:val="auto"/>
          <w:sz w:val="24"/>
          <w:highlight w:val="none"/>
        </w:rPr>
      </w:pPr>
      <w:bookmarkStart w:id="34" w:name="_Toc2154"/>
      <w:r>
        <w:rPr>
          <w:rFonts w:hint="eastAsia" w:ascii="宋体" w:hAnsi="宋体" w:eastAsia="宋体"/>
          <w:b/>
          <w:bCs w:val="0"/>
          <w:color w:val="auto"/>
          <w:sz w:val="24"/>
          <w:highlight w:val="none"/>
        </w:rPr>
        <w:t>二、资金来源</w:t>
      </w:r>
      <w:bookmarkEnd w:id="34"/>
    </w:p>
    <w:p w14:paraId="05488205">
      <w:pPr>
        <w:pageBreakBefore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eastAsia="zh-CN"/>
        </w:rPr>
        <w:t>财政预算</w:t>
      </w:r>
      <w:r>
        <w:rPr>
          <w:rFonts w:hint="eastAsia" w:ascii="宋体" w:hAnsi="宋体" w:cs="宋体"/>
          <w:color w:val="auto"/>
          <w:sz w:val="24"/>
          <w:szCs w:val="24"/>
          <w:highlight w:val="none"/>
        </w:rPr>
        <w:t>资金，预算金额</w:t>
      </w:r>
      <w:r>
        <w:rPr>
          <w:rFonts w:hint="eastAsia" w:ascii="宋体" w:hAnsi="宋体" w:cs="宋体"/>
          <w:color w:val="auto"/>
          <w:sz w:val="24"/>
          <w:szCs w:val="24"/>
          <w:highlight w:val="none"/>
          <w:lang w:val="en-US" w:eastAsia="zh-CN"/>
        </w:rPr>
        <w:t>93800.00</w:t>
      </w:r>
      <w:r>
        <w:rPr>
          <w:rFonts w:hint="eastAsia" w:ascii="宋体" w:hAnsi="宋体" w:cs="宋体"/>
          <w:color w:val="auto"/>
          <w:sz w:val="24"/>
          <w:szCs w:val="24"/>
          <w:highlight w:val="none"/>
        </w:rPr>
        <w:t>元。</w:t>
      </w:r>
    </w:p>
    <w:p w14:paraId="4D1A85D2">
      <w:pPr>
        <w:pStyle w:val="3"/>
        <w:pageBreakBefore w:val="0"/>
        <w:numPr>
          <w:ilvl w:val="1"/>
          <w:numId w:val="0"/>
        </w:numPr>
        <w:kinsoku/>
        <w:wordWrap/>
        <w:overflowPunct/>
        <w:topLinePunct w:val="0"/>
        <w:autoSpaceDE/>
        <w:autoSpaceDN/>
        <w:bidi w:val="0"/>
        <w:adjustRightInd w:val="0"/>
        <w:snapToGrid w:val="0"/>
        <w:spacing w:line="400" w:lineRule="exact"/>
        <w:textAlignment w:val="auto"/>
        <w:rPr>
          <w:rFonts w:ascii="宋体" w:hAnsi="宋体" w:eastAsia="宋体"/>
          <w:b/>
          <w:bCs w:val="0"/>
          <w:color w:val="auto"/>
          <w:sz w:val="24"/>
          <w:highlight w:val="none"/>
        </w:rPr>
      </w:pPr>
      <w:bookmarkStart w:id="35" w:name="_Toc1647"/>
      <w:r>
        <w:rPr>
          <w:rFonts w:hint="eastAsia" w:ascii="宋体" w:hAnsi="宋体" w:eastAsia="宋体"/>
          <w:b/>
          <w:bCs w:val="0"/>
          <w:color w:val="auto"/>
          <w:sz w:val="24"/>
          <w:highlight w:val="none"/>
        </w:rPr>
        <w:t>三、供应商资格条件</w:t>
      </w:r>
      <w:bookmarkEnd w:id="25"/>
      <w:bookmarkEnd w:id="26"/>
      <w:bookmarkEnd w:id="27"/>
      <w:bookmarkEnd w:id="28"/>
      <w:bookmarkEnd w:id="29"/>
      <w:bookmarkEnd w:id="30"/>
      <w:bookmarkEnd w:id="35"/>
    </w:p>
    <w:p w14:paraId="24844B87">
      <w:pPr>
        <w:pageBreakBefore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（一）满足《中华人民共和国政府采购法》第二十二条规定。</w:t>
      </w:r>
    </w:p>
    <w:p w14:paraId="742DD6EE">
      <w:pPr>
        <w:pageBreakBefore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（二）本项目的特定资格要求：</w:t>
      </w:r>
      <w:r>
        <w:rPr>
          <w:rFonts w:hint="eastAsia" w:ascii="宋体" w:hAnsi="宋体" w:cs="宋体"/>
          <w:color w:val="auto"/>
          <w:sz w:val="24"/>
          <w:szCs w:val="24"/>
          <w:highlight w:val="none"/>
          <w:lang w:eastAsia="zh-CN"/>
        </w:rPr>
        <w:t>无</w:t>
      </w:r>
      <w:r>
        <w:rPr>
          <w:rFonts w:hint="eastAsia" w:ascii="宋体" w:hAnsi="宋体" w:cs="宋体"/>
          <w:color w:val="auto"/>
          <w:sz w:val="24"/>
          <w:szCs w:val="24"/>
          <w:highlight w:val="none"/>
        </w:rPr>
        <w:t>。</w:t>
      </w:r>
    </w:p>
    <w:p w14:paraId="078EF7A0">
      <w:pPr>
        <w:pStyle w:val="3"/>
        <w:pageBreakBefore w:val="0"/>
        <w:numPr>
          <w:ilvl w:val="1"/>
          <w:numId w:val="0"/>
        </w:numPr>
        <w:kinsoku/>
        <w:wordWrap/>
        <w:overflowPunct/>
        <w:topLinePunct w:val="0"/>
        <w:autoSpaceDE/>
        <w:autoSpaceDN/>
        <w:bidi w:val="0"/>
        <w:adjustRightInd w:val="0"/>
        <w:snapToGrid w:val="0"/>
        <w:spacing w:line="400" w:lineRule="exact"/>
        <w:textAlignment w:val="auto"/>
        <w:rPr>
          <w:rFonts w:ascii="宋体" w:hAnsi="宋体" w:eastAsia="宋体"/>
          <w:b/>
          <w:bCs w:val="0"/>
          <w:color w:val="auto"/>
          <w:sz w:val="24"/>
          <w:highlight w:val="none"/>
        </w:rPr>
      </w:pPr>
      <w:bookmarkStart w:id="36" w:name="_Toc106030874"/>
      <w:bookmarkStart w:id="37" w:name="_Toc26353"/>
      <w:bookmarkStart w:id="38" w:name="_Toc21006"/>
      <w:bookmarkStart w:id="39" w:name="_Toc1125"/>
      <w:bookmarkStart w:id="40" w:name="_Toc20997"/>
      <w:bookmarkStart w:id="41" w:name="_Toc13709"/>
      <w:bookmarkStart w:id="42" w:name="_Toc76462320"/>
      <w:r>
        <w:rPr>
          <w:rFonts w:hint="eastAsia" w:ascii="宋体" w:hAnsi="宋体" w:eastAsia="宋体"/>
          <w:b/>
          <w:bCs w:val="0"/>
          <w:color w:val="auto"/>
          <w:sz w:val="24"/>
          <w:highlight w:val="none"/>
        </w:rPr>
        <w:t>四、磋商有关说明</w:t>
      </w:r>
      <w:bookmarkEnd w:id="31"/>
      <w:bookmarkEnd w:id="36"/>
      <w:bookmarkEnd w:id="37"/>
      <w:bookmarkEnd w:id="38"/>
      <w:bookmarkEnd w:id="39"/>
      <w:bookmarkEnd w:id="40"/>
      <w:bookmarkEnd w:id="41"/>
      <w:bookmarkEnd w:id="42"/>
    </w:p>
    <w:p w14:paraId="6C84BDEF">
      <w:pPr>
        <w:pageBreakBefore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（一）请有意参加本项目的供应商按要求进行注册，通过“行采家”（ </w:t>
      </w:r>
      <w:r>
        <w:rPr>
          <w:color w:val="auto"/>
          <w:highlight w:val="none"/>
        </w:rPr>
        <w:fldChar w:fldCharType="begin"/>
      </w:r>
      <w:r>
        <w:rPr>
          <w:color w:val="auto"/>
          <w:highlight w:val="none"/>
        </w:rPr>
        <w:instrText xml:space="preserve"> HYPERLINK "https://www.gec123.com/），登记加入" </w:instrText>
      </w:r>
      <w:r>
        <w:rPr>
          <w:color w:val="auto"/>
          <w:highlight w:val="none"/>
        </w:rPr>
        <w:fldChar w:fldCharType="separate"/>
      </w:r>
      <w:r>
        <w:rPr>
          <w:rFonts w:hint="eastAsia" w:ascii="宋体" w:hAnsi="宋体" w:cs="宋体"/>
          <w:color w:val="auto"/>
          <w:sz w:val="24"/>
          <w:szCs w:val="24"/>
          <w:highlight w:val="none"/>
        </w:rPr>
        <w:t>https://www.gec123.com/），登记加入“行采家供应商库”。</w:t>
      </w:r>
      <w:r>
        <w:rPr>
          <w:rFonts w:hint="eastAsia" w:ascii="宋体" w:hAnsi="宋体" w:cs="宋体"/>
          <w:color w:val="auto"/>
          <w:sz w:val="24"/>
          <w:szCs w:val="24"/>
          <w:highlight w:val="none"/>
        </w:rPr>
        <w:fldChar w:fldCharType="end"/>
      </w:r>
    </w:p>
    <w:p w14:paraId="44AC73EC">
      <w:pPr>
        <w:pageBreakBefore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（二）凡有意参加磋商的供应商，请在“行采家”（ https://www.gec123.com/）网上下载本项目竞争性磋商文件以及图纸、澄清等磋商前公布的所有项目资料，无论供应商下载与否，均视为已知晓所有磋商实质性要求内容。</w:t>
      </w:r>
    </w:p>
    <w:p w14:paraId="75D3AA96">
      <w:pPr>
        <w:pageBreakBefore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（三）竞争性磋商公告期限：自采购公告发布之日起三个工作日。</w:t>
      </w:r>
    </w:p>
    <w:p w14:paraId="2A0DB8EF">
      <w:pPr>
        <w:pageBreakBefore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（四）竞争性磋商文件发售期限： </w:t>
      </w:r>
    </w:p>
    <w:p w14:paraId="5934482A">
      <w:pPr>
        <w:pageBreakBefore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1.竞争性磋商文件发售期：2025年</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23</w:t>
      </w:r>
      <w:r>
        <w:rPr>
          <w:rFonts w:hint="eastAsia" w:ascii="宋体" w:hAnsi="宋体" w:cs="宋体"/>
          <w:color w:val="auto"/>
          <w:sz w:val="24"/>
          <w:szCs w:val="24"/>
          <w:highlight w:val="none"/>
        </w:rPr>
        <w:t>日至2025年</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29</w:t>
      </w:r>
      <w:r>
        <w:rPr>
          <w:rFonts w:hint="eastAsia" w:ascii="宋体" w:hAnsi="宋体" w:cs="宋体"/>
          <w:color w:val="auto"/>
          <w:sz w:val="24"/>
          <w:szCs w:val="24"/>
          <w:highlight w:val="none"/>
        </w:rPr>
        <w:t>日。</w:t>
      </w:r>
    </w:p>
    <w:p w14:paraId="450D9227">
      <w:pPr>
        <w:pageBreakBefore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2.报名方式：供应商将《重庆千策招标代理有限公司报名表》（加盖供应商公章）扫描后发送至3097860773@qq.com（邮箱）。</w:t>
      </w:r>
    </w:p>
    <w:p w14:paraId="1FA2E699">
      <w:pPr>
        <w:pageBreakBefore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3.竞争性磋商文件售价：人民币300元/份。</w:t>
      </w:r>
    </w:p>
    <w:p w14:paraId="49718C91">
      <w:pPr>
        <w:pageBreakBefore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（五）递交响应文件地点：重庆千策招标代理有限公司会议室（重庆市渝北区星光大道82号天王星D1-2栋7楼）。</w:t>
      </w:r>
    </w:p>
    <w:p w14:paraId="17AE1F19">
      <w:pPr>
        <w:pageBreakBefore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（六）响应文件递交开始时间：2025年</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日北京时间</w:t>
      </w:r>
      <w:r>
        <w:rPr>
          <w:rFonts w:hint="eastAsia" w:ascii="宋体" w:hAnsi="宋体" w:cs="宋体"/>
          <w:color w:val="auto"/>
          <w:sz w:val="24"/>
          <w:szCs w:val="24"/>
          <w:highlight w:val="none"/>
          <w:lang w:val="en-US" w:eastAsia="zh-CN"/>
        </w:rPr>
        <w:t>09</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rPr>
        <w:t>。</w:t>
      </w:r>
    </w:p>
    <w:p w14:paraId="43F36624">
      <w:pPr>
        <w:pageBreakBefore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（七）响应文件递交截止时间：2025年</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日北京时间</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00</w:t>
      </w:r>
      <w:r>
        <w:rPr>
          <w:rFonts w:hint="eastAsia" w:ascii="宋体" w:hAnsi="宋体" w:cs="宋体"/>
          <w:color w:val="auto"/>
          <w:sz w:val="24"/>
          <w:szCs w:val="24"/>
          <w:highlight w:val="none"/>
        </w:rPr>
        <w:t>。</w:t>
      </w:r>
    </w:p>
    <w:p w14:paraId="2FFF7F09">
      <w:pPr>
        <w:pageBreakBefore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（八）磋商开始时间：2025年</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日北京时间</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00</w:t>
      </w:r>
      <w:r>
        <w:rPr>
          <w:rFonts w:hint="eastAsia" w:ascii="宋体" w:hAnsi="宋体" w:cs="宋体"/>
          <w:color w:val="auto"/>
          <w:sz w:val="24"/>
          <w:szCs w:val="24"/>
          <w:highlight w:val="none"/>
        </w:rPr>
        <w:t>。</w:t>
      </w:r>
    </w:p>
    <w:bookmarkEnd w:id="32"/>
    <w:p w14:paraId="22F0A541">
      <w:pPr>
        <w:pStyle w:val="3"/>
        <w:pageBreakBefore w:val="0"/>
        <w:numPr>
          <w:ilvl w:val="1"/>
          <w:numId w:val="0"/>
        </w:numPr>
        <w:kinsoku/>
        <w:wordWrap/>
        <w:overflowPunct/>
        <w:topLinePunct w:val="0"/>
        <w:autoSpaceDE/>
        <w:autoSpaceDN/>
        <w:bidi w:val="0"/>
        <w:adjustRightInd w:val="0"/>
        <w:snapToGrid w:val="0"/>
        <w:spacing w:line="400" w:lineRule="exact"/>
        <w:textAlignment w:val="auto"/>
        <w:rPr>
          <w:rFonts w:ascii="宋体" w:hAnsi="宋体" w:eastAsia="宋体"/>
          <w:b/>
          <w:bCs w:val="0"/>
          <w:color w:val="auto"/>
          <w:sz w:val="24"/>
          <w:highlight w:val="none"/>
        </w:rPr>
      </w:pPr>
      <w:bookmarkStart w:id="43" w:name="_Toc373860294"/>
      <w:bookmarkStart w:id="44" w:name="_Toc25280"/>
      <w:bookmarkStart w:id="45" w:name="_Toc29401"/>
      <w:bookmarkStart w:id="46" w:name="_Toc17643"/>
      <w:bookmarkStart w:id="47" w:name="_Toc8626"/>
      <w:bookmarkStart w:id="48" w:name="_Toc6621"/>
      <w:bookmarkStart w:id="49" w:name="_Toc76462322"/>
      <w:bookmarkStart w:id="50" w:name="_Toc106030876"/>
      <w:bookmarkStart w:id="51" w:name="_Toc480466699"/>
      <w:bookmarkStart w:id="52" w:name="_Toc24994"/>
      <w:r>
        <w:rPr>
          <w:rFonts w:hint="eastAsia" w:ascii="宋体" w:hAnsi="宋体" w:eastAsia="宋体"/>
          <w:b/>
          <w:bCs w:val="0"/>
          <w:color w:val="auto"/>
          <w:sz w:val="24"/>
          <w:highlight w:val="none"/>
        </w:rPr>
        <w:t>五、保证金</w:t>
      </w:r>
      <w:bookmarkEnd w:id="43"/>
      <w:bookmarkEnd w:id="44"/>
      <w:bookmarkEnd w:id="45"/>
      <w:bookmarkEnd w:id="46"/>
      <w:bookmarkEnd w:id="47"/>
      <w:bookmarkEnd w:id="48"/>
    </w:p>
    <w:p w14:paraId="619AB108">
      <w:pPr>
        <w:pageBreakBefore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bookmarkStart w:id="53" w:name="_Toc480466698"/>
      <w:bookmarkStart w:id="54" w:name="_Toc479668114"/>
      <w:r>
        <w:rPr>
          <w:rFonts w:hint="eastAsia" w:ascii="宋体" w:hAnsi="宋体" w:cs="宋体"/>
          <w:color w:val="auto"/>
          <w:sz w:val="24"/>
          <w:szCs w:val="24"/>
          <w:highlight w:val="none"/>
        </w:rPr>
        <w:t>（一）保证金递交</w:t>
      </w:r>
    </w:p>
    <w:p w14:paraId="5BBF6F3B">
      <w:pPr>
        <w:pageBreakBefore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1.供应商应足额缴纳保证金（保证金金额详见本篇，一、竞争性磋商内容），并汇至以下账户，保证金的到账截止时间同响应文件递交截止时间。</w:t>
      </w:r>
    </w:p>
    <w:p w14:paraId="6E4C4D49">
      <w:pPr>
        <w:pageBreakBefore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保证金账户：</w:t>
      </w:r>
    </w:p>
    <w:p w14:paraId="1A4CE22E">
      <w:pPr>
        <w:pageBreakBefore w:val="0"/>
        <w:kinsoku/>
        <w:wordWrap/>
        <w:overflowPunct/>
        <w:topLinePunct w:val="0"/>
        <w:autoSpaceDE/>
        <w:autoSpaceDN/>
        <w:bidi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户  名：重庆千策招标代理有限公司</w:t>
      </w:r>
    </w:p>
    <w:p w14:paraId="72A12E20">
      <w:pPr>
        <w:pageBreakBefore w:val="0"/>
        <w:kinsoku/>
        <w:wordWrap/>
        <w:overflowPunct/>
        <w:topLinePunct w:val="0"/>
        <w:autoSpaceDE/>
        <w:autoSpaceDN/>
        <w:bidi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开户行：中国建设银行重庆杨家坪支行</w:t>
      </w:r>
    </w:p>
    <w:p w14:paraId="122DCA60">
      <w:pPr>
        <w:pageBreakBefore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账  号：50050103360000000623</w:t>
      </w:r>
    </w:p>
    <w:p w14:paraId="7C8CC1D7">
      <w:pPr>
        <w:pageBreakBefore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2.各供应商在银行转账（电汇）时，须充分考虑银行转账（电汇）的时间差风险，如同城转账、异地转账或汇款、跨行转账或电汇的时间要求。</w:t>
      </w:r>
    </w:p>
    <w:p w14:paraId="205F2EA2">
      <w:pPr>
        <w:pageBreakBefore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（二）保证金退还方式</w:t>
      </w:r>
    </w:p>
    <w:bookmarkEnd w:id="53"/>
    <w:bookmarkEnd w:id="54"/>
    <w:p w14:paraId="3D5D8AE4">
      <w:pPr>
        <w:pageBreakBefore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1.未成交供应商的保证金，在成交通知书发放后，采购代理机构在五个工作日内按供应商来款账户信息退还。</w:t>
      </w:r>
    </w:p>
    <w:p w14:paraId="59465E6B">
      <w:pPr>
        <w:pageBreakBefore w:val="0"/>
        <w:kinsoku/>
        <w:wordWrap/>
        <w:overflowPunct/>
        <w:topLinePunct w:val="0"/>
        <w:autoSpaceDE/>
        <w:autoSpaceDN/>
        <w:bidi w:val="0"/>
        <w:spacing w:line="400" w:lineRule="exact"/>
        <w:ind w:firstLine="480" w:firstLineChars="200"/>
        <w:textAlignment w:val="auto"/>
        <w:rPr>
          <w:rFonts w:ascii="宋体" w:hAnsi="宋体" w:cs="宋体"/>
          <w:color w:val="auto"/>
          <w:highlight w:val="none"/>
        </w:rPr>
      </w:pPr>
      <w:bookmarkStart w:id="55" w:name="_Toc11537"/>
      <w:bookmarkStart w:id="56" w:name="_Toc22148"/>
      <w:r>
        <w:rPr>
          <w:rFonts w:hint="eastAsia" w:ascii="宋体" w:hAnsi="宋体" w:cs="宋体"/>
          <w:color w:val="auto"/>
          <w:sz w:val="24"/>
          <w:szCs w:val="24"/>
          <w:highlight w:val="none"/>
        </w:rPr>
        <w:t>2.成交供应商的保证金，在成交供应商与采购人签订合同后，采购代理机构在五</w:t>
      </w:r>
      <w:bookmarkEnd w:id="55"/>
      <w:bookmarkEnd w:id="56"/>
    </w:p>
    <w:p w14:paraId="006B2FCA">
      <w:pPr>
        <w:pageBreakBefore w:val="0"/>
        <w:kinsoku/>
        <w:wordWrap/>
        <w:overflowPunct/>
        <w:topLinePunct w:val="0"/>
        <w:autoSpaceDE/>
        <w:autoSpaceDN/>
        <w:bidi w:val="0"/>
        <w:spacing w:line="400" w:lineRule="exact"/>
        <w:textAlignment w:val="auto"/>
        <w:rPr>
          <w:rFonts w:ascii="宋体" w:hAnsi="宋体" w:cs="宋体"/>
          <w:color w:val="auto"/>
          <w:sz w:val="24"/>
          <w:szCs w:val="24"/>
          <w:highlight w:val="none"/>
        </w:rPr>
      </w:pPr>
      <w:bookmarkStart w:id="57" w:name="_Toc13402"/>
      <w:bookmarkStart w:id="58" w:name="_Toc8838"/>
      <w:r>
        <w:rPr>
          <w:rFonts w:hint="eastAsia" w:ascii="宋体" w:hAnsi="宋体" w:cs="宋体"/>
          <w:color w:val="auto"/>
          <w:sz w:val="24"/>
          <w:szCs w:val="24"/>
          <w:highlight w:val="none"/>
        </w:rPr>
        <w:t>个工作日内按供应商来款账户信息退还。</w:t>
      </w:r>
      <w:bookmarkEnd w:id="57"/>
      <w:bookmarkEnd w:id="58"/>
    </w:p>
    <w:p w14:paraId="6180BDCA">
      <w:pPr>
        <w:pStyle w:val="3"/>
        <w:pageBreakBefore w:val="0"/>
        <w:numPr>
          <w:ilvl w:val="1"/>
          <w:numId w:val="0"/>
        </w:numPr>
        <w:kinsoku/>
        <w:wordWrap/>
        <w:overflowPunct/>
        <w:topLinePunct w:val="0"/>
        <w:autoSpaceDE/>
        <w:autoSpaceDN/>
        <w:bidi w:val="0"/>
        <w:adjustRightInd w:val="0"/>
        <w:snapToGrid w:val="0"/>
        <w:spacing w:line="400" w:lineRule="exact"/>
        <w:textAlignment w:val="auto"/>
        <w:rPr>
          <w:rFonts w:ascii="宋体" w:hAnsi="宋体" w:eastAsia="宋体"/>
          <w:b/>
          <w:bCs w:val="0"/>
          <w:color w:val="auto"/>
          <w:sz w:val="24"/>
          <w:highlight w:val="none"/>
        </w:rPr>
      </w:pPr>
      <w:bookmarkStart w:id="59" w:name="_Toc18289"/>
      <w:bookmarkStart w:id="60" w:name="_Toc801"/>
      <w:bookmarkStart w:id="61" w:name="_Toc2659"/>
      <w:bookmarkStart w:id="62" w:name="_Toc25947"/>
      <w:r>
        <w:rPr>
          <w:rFonts w:hint="eastAsia" w:ascii="宋体" w:hAnsi="宋体" w:eastAsia="宋体"/>
          <w:b/>
          <w:bCs w:val="0"/>
          <w:color w:val="auto"/>
          <w:sz w:val="24"/>
          <w:highlight w:val="none"/>
        </w:rPr>
        <w:t>六、其它有关规定</w:t>
      </w:r>
      <w:bookmarkEnd w:id="49"/>
      <w:bookmarkEnd w:id="50"/>
      <w:bookmarkEnd w:id="51"/>
      <w:bookmarkEnd w:id="52"/>
      <w:bookmarkEnd w:id="59"/>
      <w:bookmarkEnd w:id="60"/>
      <w:bookmarkEnd w:id="61"/>
      <w:bookmarkEnd w:id="62"/>
    </w:p>
    <w:p w14:paraId="1F20927D">
      <w:pPr>
        <w:pageBreakBefore w:val="0"/>
        <w:kinsoku/>
        <w:wordWrap/>
        <w:overflowPunct/>
        <w:topLinePunct w:val="0"/>
        <w:autoSpaceDE/>
        <w:autoSpaceDN/>
        <w:bidi w:val="0"/>
        <w:snapToGrid w:val="0"/>
        <w:spacing w:line="400" w:lineRule="exact"/>
        <w:ind w:firstLine="360" w:firstLineChars="15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（一）单位负责人为同一人或者存在直接控股、管理关系的不同供应商，不得参加同一合同项（包）下的采购活动，否则均为无效响应。</w:t>
      </w:r>
    </w:p>
    <w:p w14:paraId="1236AE82">
      <w:pPr>
        <w:pageBreakBefore w:val="0"/>
        <w:kinsoku/>
        <w:wordWrap/>
        <w:overflowPunct/>
        <w:topLinePunct w:val="0"/>
        <w:autoSpaceDE/>
        <w:autoSpaceDN/>
        <w:bidi w:val="0"/>
        <w:snapToGrid w:val="0"/>
        <w:spacing w:line="400" w:lineRule="exact"/>
        <w:ind w:firstLine="360" w:firstLineChars="15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（二）为采购项目提供整体设计、规范编制或者项目管理、监理、检测等服务的供应商，不得再参加该采购项目的其他采购活动。</w:t>
      </w:r>
    </w:p>
    <w:p w14:paraId="4968D3B7">
      <w:pPr>
        <w:pageBreakBefore w:val="0"/>
        <w:kinsoku/>
        <w:wordWrap/>
        <w:overflowPunct/>
        <w:topLinePunct w:val="0"/>
        <w:autoSpaceDE/>
        <w:autoSpaceDN/>
        <w:bidi w:val="0"/>
        <w:snapToGrid w:val="0"/>
        <w:spacing w:line="400" w:lineRule="exact"/>
        <w:ind w:firstLine="360" w:firstLineChars="15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（三）本项目的澄清文件（如果有）一律在“行采家”（ https://www.gec123.com/）上发布，请各供应商注意下载；无论供应商下载与否，均视同供应商已知晓本项目澄清文件（如果有）的内容。</w:t>
      </w:r>
    </w:p>
    <w:p w14:paraId="0327416B">
      <w:pPr>
        <w:pageBreakBefore w:val="0"/>
        <w:kinsoku/>
        <w:wordWrap/>
        <w:overflowPunct/>
        <w:topLinePunct w:val="0"/>
        <w:autoSpaceDE/>
        <w:autoSpaceDN/>
        <w:bidi w:val="0"/>
        <w:snapToGrid w:val="0"/>
        <w:spacing w:line="400" w:lineRule="exact"/>
        <w:ind w:firstLine="360" w:firstLineChars="150"/>
        <w:textAlignment w:val="auto"/>
        <w:rPr>
          <w:rFonts w:ascii="宋体" w:hAnsi="宋体" w:cs="宋体"/>
          <w:color w:val="auto"/>
          <w:sz w:val="24"/>
          <w:szCs w:val="24"/>
          <w:highlight w:val="none"/>
        </w:rPr>
      </w:pPr>
      <w:r>
        <w:rPr>
          <w:rFonts w:hint="eastAsia" w:ascii="宋体" w:hAnsi="宋体" w:cs="宋体"/>
          <w:color w:val="auto"/>
          <w:sz w:val="24"/>
          <w:szCs w:val="24"/>
          <w:highlight w:val="none"/>
        </w:rPr>
        <w:t>（四）超过响应文件截止时间递交的响应文件，恕不接收。</w:t>
      </w:r>
    </w:p>
    <w:p w14:paraId="29173CDA">
      <w:pPr>
        <w:pageBreakBefore w:val="0"/>
        <w:kinsoku/>
        <w:wordWrap/>
        <w:overflowPunct/>
        <w:topLinePunct w:val="0"/>
        <w:autoSpaceDE/>
        <w:autoSpaceDN/>
        <w:bidi w:val="0"/>
        <w:snapToGrid w:val="0"/>
        <w:spacing w:line="400" w:lineRule="exact"/>
        <w:ind w:firstLine="360" w:firstLineChars="15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（五）磋商费用：无论磋商结果如何，供应商参与本项目磋商的所有费用均应由供应商自行承担。</w:t>
      </w:r>
    </w:p>
    <w:p w14:paraId="7DF5DE31">
      <w:pPr>
        <w:pageBreakBefore w:val="0"/>
        <w:kinsoku/>
        <w:wordWrap/>
        <w:overflowPunct/>
        <w:topLinePunct w:val="0"/>
        <w:autoSpaceDE/>
        <w:autoSpaceDN/>
        <w:bidi w:val="0"/>
        <w:snapToGrid w:val="0"/>
        <w:spacing w:line="400" w:lineRule="exact"/>
        <w:ind w:firstLine="361" w:firstLineChars="150"/>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（六）本项目不接受联合体参与磋商，否则按无效处理。</w:t>
      </w:r>
    </w:p>
    <w:p w14:paraId="40986E18">
      <w:pPr>
        <w:pageBreakBefore w:val="0"/>
        <w:kinsoku/>
        <w:wordWrap/>
        <w:overflowPunct/>
        <w:topLinePunct w:val="0"/>
        <w:autoSpaceDE/>
        <w:autoSpaceDN/>
        <w:bidi w:val="0"/>
        <w:snapToGrid w:val="0"/>
        <w:spacing w:line="400" w:lineRule="exact"/>
        <w:ind w:firstLine="361" w:firstLineChars="150"/>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（七）本项目不接受合同分包，否则按无效处理。</w:t>
      </w:r>
    </w:p>
    <w:p w14:paraId="23C93E84">
      <w:pPr>
        <w:pageBreakBefore w:val="0"/>
        <w:kinsoku/>
        <w:wordWrap/>
        <w:overflowPunct/>
        <w:topLinePunct w:val="0"/>
        <w:autoSpaceDE/>
        <w:autoSpaceDN/>
        <w:bidi w:val="0"/>
        <w:snapToGrid w:val="0"/>
        <w:spacing w:line="400" w:lineRule="exact"/>
        <w:ind w:firstLine="360" w:firstLineChars="150"/>
        <w:textAlignment w:val="auto"/>
        <w:rPr>
          <w:rFonts w:ascii="宋体" w:hAnsi="宋体" w:cs="宋体"/>
          <w:color w:val="auto"/>
          <w:sz w:val="24"/>
          <w:szCs w:val="24"/>
          <w:highlight w:val="none"/>
        </w:rPr>
      </w:pPr>
      <w:r>
        <w:rPr>
          <w:rFonts w:hint="eastAsia" w:ascii="宋体" w:hAnsi="宋体" w:cs="宋体"/>
          <w:color w:val="auto"/>
          <w:sz w:val="24"/>
          <w:szCs w:val="24"/>
          <w:highlight w:val="none"/>
        </w:rPr>
        <w:t>（八）</w:t>
      </w:r>
      <w:bookmarkStart w:id="63" w:name="_Toc480466700"/>
      <w:r>
        <w:rPr>
          <w:rFonts w:hint="eastAsia" w:ascii="宋体" w:hAnsi="宋体" w:cs="宋体"/>
          <w:color w:val="auto"/>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14:paraId="42A794BD">
      <w:pPr>
        <w:pStyle w:val="3"/>
        <w:pageBreakBefore w:val="0"/>
        <w:numPr>
          <w:ilvl w:val="1"/>
          <w:numId w:val="0"/>
        </w:numPr>
        <w:kinsoku/>
        <w:wordWrap/>
        <w:overflowPunct/>
        <w:topLinePunct w:val="0"/>
        <w:autoSpaceDE/>
        <w:autoSpaceDN/>
        <w:bidi w:val="0"/>
        <w:adjustRightInd w:val="0"/>
        <w:snapToGrid w:val="0"/>
        <w:spacing w:line="400" w:lineRule="exact"/>
        <w:textAlignment w:val="auto"/>
        <w:rPr>
          <w:rFonts w:ascii="宋体" w:hAnsi="宋体" w:eastAsia="宋体"/>
          <w:b/>
          <w:bCs w:val="0"/>
          <w:color w:val="auto"/>
          <w:sz w:val="24"/>
          <w:highlight w:val="none"/>
        </w:rPr>
      </w:pPr>
      <w:bookmarkStart w:id="64" w:name="_Toc106030877"/>
      <w:bookmarkStart w:id="65" w:name="_Toc10403"/>
      <w:bookmarkStart w:id="66" w:name="_Toc25021"/>
      <w:bookmarkStart w:id="67" w:name="_Toc19865"/>
      <w:bookmarkStart w:id="68" w:name="_Toc76462323"/>
      <w:bookmarkStart w:id="69" w:name="_Toc7919"/>
      <w:bookmarkStart w:id="70" w:name="_Toc26964"/>
      <w:r>
        <w:rPr>
          <w:rFonts w:hint="eastAsia" w:ascii="宋体" w:hAnsi="宋体" w:eastAsia="宋体"/>
          <w:b/>
          <w:bCs w:val="0"/>
          <w:color w:val="auto"/>
          <w:sz w:val="24"/>
          <w:highlight w:val="none"/>
        </w:rPr>
        <w:t>七、联系方式</w:t>
      </w:r>
      <w:bookmarkEnd w:id="63"/>
      <w:bookmarkEnd w:id="64"/>
      <w:bookmarkEnd w:id="65"/>
      <w:bookmarkEnd w:id="66"/>
      <w:bookmarkEnd w:id="67"/>
      <w:bookmarkEnd w:id="68"/>
      <w:bookmarkEnd w:id="69"/>
      <w:bookmarkEnd w:id="70"/>
    </w:p>
    <w:p w14:paraId="3E158499">
      <w:pPr>
        <w:pageBreakBefore w:val="0"/>
        <w:kinsoku/>
        <w:wordWrap/>
        <w:overflowPunct/>
        <w:topLinePunct w:val="0"/>
        <w:autoSpaceDE/>
        <w:autoSpaceDN/>
        <w:bidi w:val="0"/>
        <w:snapToGrid w:val="0"/>
        <w:spacing w:line="400" w:lineRule="exact"/>
        <w:ind w:firstLine="480" w:firstLineChars="200"/>
        <w:textAlignment w:val="auto"/>
        <w:outlineLvl w:val="2"/>
        <w:rPr>
          <w:rFonts w:ascii="宋体" w:hAnsi="宋体" w:cs="宋体"/>
          <w:color w:val="auto"/>
          <w:sz w:val="24"/>
          <w:szCs w:val="24"/>
          <w:highlight w:val="none"/>
        </w:rPr>
      </w:pPr>
      <w:bookmarkStart w:id="71" w:name="_Toc30190"/>
      <w:r>
        <w:rPr>
          <w:rFonts w:hint="eastAsia" w:ascii="宋体" w:hAnsi="宋体" w:cs="宋体"/>
          <w:color w:val="auto"/>
          <w:sz w:val="24"/>
          <w:szCs w:val="24"/>
          <w:highlight w:val="none"/>
        </w:rPr>
        <w:t xml:space="preserve">（一）采购人：重庆市石桥铺殡仪馆 </w:t>
      </w:r>
    </w:p>
    <w:p w14:paraId="3BFB1E6D">
      <w:pPr>
        <w:pageBreakBefore w:val="0"/>
        <w:kinsoku/>
        <w:wordWrap/>
        <w:overflowPunct/>
        <w:topLinePunct w:val="0"/>
        <w:autoSpaceDE/>
        <w:autoSpaceDN/>
        <w:bidi w:val="0"/>
        <w:snapToGrid w:val="0"/>
        <w:spacing w:line="400" w:lineRule="exact"/>
        <w:ind w:firstLine="480" w:firstLineChars="200"/>
        <w:textAlignment w:val="auto"/>
        <w:outlineLvl w:val="2"/>
        <w:rPr>
          <w:rFonts w:ascii="宋体" w:hAnsi="宋体" w:cs="宋体"/>
          <w:color w:val="auto"/>
          <w:sz w:val="24"/>
          <w:szCs w:val="24"/>
          <w:highlight w:val="none"/>
        </w:rPr>
      </w:pPr>
      <w:r>
        <w:rPr>
          <w:rFonts w:hint="eastAsia" w:ascii="宋体" w:hAnsi="宋体" w:cs="宋体"/>
          <w:color w:val="auto"/>
          <w:sz w:val="24"/>
          <w:szCs w:val="24"/>
          <w:highlight w:val="none"/>
        </w:rPr>
        <w:t>联系人：王老师</w:t>
      </w:r>
    </w:p>
    <w:p w14:paraId="475087D8">
      <w:pPr>
        <w:pageBreakBefore w:val="0"/>
        <w:kinsoku/>
        <w:wordWrap/>
        <w:overflowPunct/>
        <w:topLinePunct w:val="0"/>
        <w:autoSpaceDE/>
        <w:autoSpaceDN/>
        <w:bidi w:val="0"/>
        <w:snapToGrid w:val="0"/>
        <w:spacing w:line="400" w:lineRule="exact"/>
        <w:ind w:firstLine="480" w:firstLineChars="200"/>
        <w:textAlignment w:val="auto"/>
        <w:outlineLvl w:val="2"/>
        <w:rPr>
          <w:rFonts w:ascii="宋体" w:hAnsi="宋体" w:cs="宋体"/>
          <w:color w:val="auto"/>
          <w:sz w:val="24"/>
          <w:szCs w:val="24"/>
          <w:highlight w:val="none"/>
        </w:rPr>
      </w:pPr>
      <w:r>
        <w:rPr>
          <w:rFonts w:hint="eastAsia" w:ascii="宋体" w:hAnsi="宋体" w:cs="宋体"/>
          <w:color w:val="auto"/>
          <w:sz w:val="24"/>
          <w:szCs w:val="24"/>
          <w:highlight w:val="none"/>
        </w:rPr>
        <w:t>电  话：15826053927</w:t>
      </w:r>
    </w:p>
    <w:p w14:paraId="1D3E9B2B">
      <w:pPr>
        <w:pageBreakBefore w:val="0"/>
        <w:kinsoku/>
        <w:wordWrap/>
        <w:overflowPunct/>
        <w:topLinePunct w:val="0"/>
        <w:autoSpaceDE/>
        <w:autoSpaceDN/>
        <w:bidi w:val="0"/>
        <w:snapToGrid w:val="0"/>
        <w:spacing w:line="400" w:lineRule="exact"/>
        <w:ind w:firstLine="480" w:firstLineChars="200"/>
        <w:textAlignment w:val="auto"/>
        <w:outlineLvl w:val="2"/>
        <w:rPr>
          <w:rFonts w:ascii="宋体" w:hAnsi="宋体" w:cs="宋体"/>
          <w:color w:val="auto"/>
          <w:sz w:val="24"/>
          <w:szCs w:val="24"/>
          <w:highlight w:val="none"/>
        </w:rPr>
      </w:pPr>
      <w:r>
        <w:rPr>
          <w:rFonts w:hint="eastAsia" w:ascii="宋体" w:hAnsi="宋体" w:cs="宋体"/>
          <w:color w:val="auto"/>
          <w:sz w:val="24"/>
          <w:szCs w:val="24"/>
          <w:highlight w:val="none"/>
        </w:rPr>
        <w:t>地  址：重庆市沙坪坝区石小路150号</w:t>
      </w:r>
    </w:p>
    <w:p w14:paraId="63C13A0C">
      <w:pPr>
        <w:pageBreakBefore w:val="0"/>
        <w:kinsoku/>
        <w:wordWrap/>
        <w:overflowPunct/>
        <w:topLinePunct w:val="0"/>
        <w:autoSpaceDE/>
        <w:autoSpaceDN/>
        <w:bidi w:val="0"/>
        <w:snapToGrid w:val="0"/>
        <w:spacing w:line="400" w:lineRule="exact"/>
        <w:ind w:firstLine="480" w:firstLineChars="200"/>
        <w:textAlignment w:val="auto"/>
        <w:outlineLvl w:val="2"/>
        <w:rPr>
          <w:rFonts w:ascii="宋体" w:hAnsi="宋体" w:cs="宋体"/>
          <w:color w:val="auto"/>
          <w:sz w:val="24"/>
          <w:szCs w:val="24"/>
          <w:highlight w:val="none"/>
        </w:rPr>
      </w:pPr>
      <w:r>
        <w:rPr>
          <w:rFonts w:hint="eastAsia" w:ascii="宋体" w:hAnsi="宋体" w:cs="宋体"/>
          <w:color w:val="auto"/>
          <w:sz w:val="24"/>
          <w:szCs w:val="24"/>
          <w:highlight w:val="none"/>
        </w:rPr>
        <w:t>（二）采购代理机构：</w:t>
      </w:r>
      <w:bookmarkEnd w:id="71"/>
      <w:r>
        <w:rPr>
          <w:rFonts w:hint="eastAsia" w:ascii="宋体" w:hAnsi="宋体" w:cs="宋体"/>
          <w:color w:val="auto"/>
          <w:sz w:val="24"/>
          <w:szCs w:val="24"/>
          <w:highlight w:val="none"/>
        </w:rPr>
        <w:t>重庆千策招标代理有限公司</w:t>
      </w:r>
    </w:p>
    <w:p w14:paraId="6FDD185A">
      <w:pPr>
        <w:pageBreakBefore w:val="0"/>
        <w:kinsoku/>
        <w:wordWrap/>
        <w:overflowPunct/>
        <w:topLinePunct w:val="0"/>
        <w:autoSpaceDE/>
        <w:autoSpaceDN/>
        <w:bidi w:val="0"/>
        <w:snapToGrid w:val="0"/>
        <w:spacing w:line="400" w:lineRule="exact"/>
        <w:ind w:firstLine="480" w:firstLineChars="200"/>
        <w:textAlignment w:val="auto"/>
        <w:outlineLvl w:val="2"/>
        <w:rPr>
          <w:rFonts w:ascii="宋体" w:hAnsi="宋体" w:cs="宋体"/>
          <w:color w:val="auto"/>
          <w:sz w:val="24"/>
          <w:szCs w:val="24"/>
          <w:highlight w:val="none"/>
        </w:rPr>
      </w:pPr>
      <w:r>
        <w:rPr>
          <w:rFonts w:hint="eastAsia" w:ascii="宋体" w:hAnsi="宋体" w:cs="宋体"/>
          <w:color w:val="auto"/>
          <w:sz w:val="24"/>
          <w:szCs w:val="24"/>
          <w:highlight w:val="none"/>
        </w:rPr>
        <w:t>联系人：张欢</w:t>
      </w:r>
    </w:p>
    <w:p w14:paraId="67DF14BF">
      <w:pPr>
        <w:pageBreakBefore w:val="0"/>
        <w:kinsoku/>
        <w:wordWrap/>
        <w:overflowPunct/>
        <w:topLinePunct w:val="0"/>
        <w:autoSpaceDE/>
        <w:autoSpaceDN/>
        <w:bidi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电  话：023</w:t>
      </w:r>
      <w:r>
        <w:rPr>
          <w:rFonts w:hint="eastAsia" w:ascii="宋体" w:hAnsi="宋体" w:cs="宋体"/>
          <w:color w:val="auto"/>
          <w:kern w:val="1"/>
          <w:sz w:val="24"/>
          <w:szCs w:val="24"/>
          <w:highlight w:val="none"/>
        </w:rPr>
        <w:t>-</w:t>
      </w:r>
      <w:r>
        <w:rPr>
          <w:rFonts w:hint="eastAsia" w:ascii="宋体" w:hAnsi="宋体" w:cs="宋体"/>
          <w:color w:val="auto"/>
          <w:sz w:val="24"/>
          <w:szCs w:val="24"/>
          <w:highlight w:val="none"/>
        </w:rPr>
        <w:t xml:space="preserve">63206045（项目内容咨询） </w:t>
      </w:r>
    </w:p>
    <w:p w14:paraId="186EC5D5">
      <w:pPr>
        <w:pageBreakBefore w:val="0"/>
        <w:kinsoku/>
        <w:wordWrap/>
        <w:overflowPunct/>
        <w:topLinePunct w:val="0"/>
        <w:autoSpaceDE/>
        <w:autoSpaceDN/>
        <w:bidi w:val="0"/>
        <w:snapToGrid w:val="0"/>
        <w:spacing w:line="400" w:lineRule="exact"/>
        <w:ind w:firstLine="1440" w:firstLineChars="600"/>
        <w:textAlignment w:val="auto"/>
        <w:rPr>
          <w:rFonts w:ascii="宋体" w:hAnsi="宋体" w:cs="宋体"/>
          <w:color w:val="auto"/>
          <w:sz w:val="24"/>
          <w:szCs w:val="24"/>
          <w:highlight w:val="none"/>
        </w:rPr>
      </w:pPr>
      <w:r>
        <w:rPr>
          <w:rFonts w:hint="eastAsia" w:ascii="宋体" w:hAnsi="宋体" w:cs="宋体"/>
          <w:color w:val="auto"/>
          <w:kern w:val="1"/>
          <w:sz w:val="24"/>
          <w:szCs w:val="24"/>
          <w:highlight w:val="none"/>
        </w:rPr>
        <w:t>023-67461776（报名及保证金退还咨询）</w:t>
      </w:r>
    </w:p>
    <w:p w14:paraId="6A22A4B0">
      <w:pPr>
        <w:pageBreakBefore w:val="0"/>
        <w:kinsoku/>
        <w:wordWrap/>
        <w:overflowPunct/>
        <w:topLinePunct w:val="0"/>
        <w:autoSpaceDE/>
        <w:autoSpaceDN/>
        <w:bidi w:val="0"/>
        <w:snapToGrid w:val="0"/>
        <w:spacing w:line="400" w:lineRule="exact"/>
        <w:ind w:firstLine="480" w:firstLineChars="200"/>
        <w:textAlignment w:val="auto"/>
        <w:outlineLvl w:val="2"/>
        <w:rPr>
          <w:rFonts w:ascii="宋体" w:hAnsi="宋体" w:cs="宋体"/>
          <w:color w:val="auto"/>
          <w:sz w:val="24"/>
          <w:szCs w:val="24"/>
          <w:highlight w:val="none"/>
        </w:rPr>
      </w:pPr>
      <w:r>
        <w:rPr>
          <w:rFonts w:hint="eastAsia" w:ascii="宋体" w:hAnsi="宋体" w:cs="宋体"/>
          <w:color w:val="auto"/>
          <w:sz w:val="24"/>
          <w:szCs w:val="24"/>
          <w:highlight w:val="none"/>
        </w:rPr>
        <w:t>地  址：重庆市渝北区星光大道82号天王星D1-2栋7楼</w:t>
      </w:r>
    </w:p>
    <w:p w14:paraId="2FA02C33">
      <w:pPr>
        <w:snapToGrid w:val="0"/>
        <w:spacing w:line="400" w:lineRule="exact"/>
        <w:ind w:firstLine="482" w:firstLineChars="200"/>
        <w:rPr>
          <w:rFonts w:ascii="宋体" w:hAnsi="宋体" w:cs="宋体"/>
          <w:b/>
          <w:color w:val="auto"/>
          <w:sz w:val="24"/>
          <w:szCs w:val="24"/>
          <w:highlight w:val="none"/>
        </w:rPr>
        <w:sectPr>
          <w:footerReference r:id="rId8" w:type="default"/>
          <w:pgSz w:w="11907" w:h="16840"/>
          <w:pgMar w:top="1134" w:right="1191" w:bottom="1134" w:left="1304" w:header="680" w:footer="992" w:gutter="0"/>
          <w:pgNumType w:fmt="numberInDash" w:start="1"/>
          <w:cols w:space="0" w:num="1"/>
          <w:docGrid w:linePitch="312" w:charSpace="0"/>
        </w:sectPr>
      </w:pPr>
    </w:p>
    <w:p w14:paraId="426D2792">
      <w:pPr>
        <w:pStyle w:val="3"/>
        <w:numPr>
          <w:ilvl w:val="1"/>
          <w:numId w:val="0"/>
        </w:numPr>
        <w:spacing w:line="360" w:lineRule="auto"/>
        <w:jc w:val="center"/>
        <w:rPr>
          <w:rFonts w:ascii="宋体" w:hAnsi="宋体" w:eastAsia="宋体"/>
          <w:color w:val="auto"/>
          <w:sz w:val="24"/>
          <w:szCs w:val="24"/>
          <w:highlight w:val="none"/>
        </w:rPr>
      </w:pPr>
      <w:bookmarkStart w:id="72" w:name="_Toc76462324"/>
      <w:bookmarkStart w:id="73" w:name="_Toc106030878"/>
      <w:bookmarkStart w:id="74" w:name="_Toc20799"/>
      <w:bookmarkStart w:id="75" w:name="_Toc30919"/>
      <w:bookmarkStart w:id="76" w:name="_Toc26073"/>
      <w:bookmarkStart w:id="77" w:name="_Toc27157"/>
      <w:bookmarkStart w:id="78" w:name="_Toc14386"/>
      <w:r>
        <w:rPr>
          <w:rFonts w:hint="eastAsia" w:ascii="宋体" w:hAnsi="宋体" w:eastAsia="宋体"/>
          <w:color w:val="auto"/>
          <w:sz w:val="36"/>
          <w:szCs w:val="30"/>
          <w:highlight w:val="none"/>
        </w:rPr>
        <w:t>第二篇  项目服务需求</w:t>
      </w:r>
      <w:bookmarkEnd w:id="72"/>
      <w:bookmarkEnd w:id="73"/>
      <w:bookmarkEnd w:id="74"/>
      <w:bookmarkEnd w:id="75"/>
      <w:bookmarkEnd w:id="76"/>
      <w:bookmarkEnd w:id="77"/>
      <w:bookmarkEnd w:id="78"/>
      <w:bookmarkStart w:id="79" w:name="_Toc76462325"/>
      <w:bookmarkStart w:id="80" w:name="_Toc4063"/>
      <w:bookmarkStart w:id="81" w:name="_Toc106030879"/>
      <w:bookmarkStart w:id="82" w:name="_Toc12789058"/>
    </w:p>
    <w:p w14:paraId="4221FA82">
      <w:pPr>
        <w:pStyle w:val="3"/>
        <w:pageBreakBefore w:val="0"/>
        <w:numPr>
          <w:ilvl w:val="1"/>
          <w:numId w:val="0"/>
        </w:numPr>
        <w:kinsoku/>
        <w:wordWrap/>
        <w:overflowPunct/>
        <w:topLinePunct w:val="0"/>
        <w:autoSpaceDE/>
        <w:autoSpaceDN/>
        <w:bidi w:val="0"/>
        <w:adjustRightInd w:val="0"/>
        <w:snapToGrid w:val="0"/>
        <w:spacing w:line="400" w:lineRule="exact"/>
        <w:textAlignment w:val="auto"/>
        <w:rPr>
          <w:rFonts w:ascii="宋体" w:hAnsi="宋体" w:eastAsia="宋体"/>
          <w:b/>
          <w:bCs w:val="0"/>
          <w:color w:val="auto"/>
          <w:sz w:val="24"/>
          <w:highlight w:val="none"/>
        </w:rPr>
      </w:pPr>
      <w:bookmarkStart w:id="83" w:name="_Toc11510"/>
      <w:bookmarkStart w:id="84" w:name="_Toc28676"/>
      <w:bookmarkStart w:id="85" w:name="_Toc29093"/>
      <w:bookmarkStart w:id="86" w:name="_Toc24437"/>
      <w:r>
        <w:rPr>
          <w:rFonts w:hint="eastAsia" w:ascii="宋体" w:hAnsi="宋体" w:eastAsia="宋体"/>
          <w:b/>
          <w:bCs w:val="0"/>
          <w:color w:val="auto"/>
          <w:sz w:val="24"/>
          <w:highlight w:val="none"/>
        </w:rPr>
        <w:t>一、项目一览表</w:t>
      </w:r>
      <w:bookmarkEnd w:id="79"/>
      <w:bookmarkEnd w:id="80"/>
      <w:bookmarkEnd w:id="81"/>
      <w:bookmarkEnd w:id="83"/>
      <w:bookmarkEnd w:id="84"/>
      <w:bookmarkEnd w:id="85"/>
      <w:bookmarkEnd w:id="86"/>
    </w:p>
    <w:tbl>
      <w:tblPr>
        <w:tblStyle w:val="29"/>
        <w:tblW w:w="10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2"/>
        <w:gridCol w:w="1986"/>
        <w:gridCol w:w="3051"/>
      </w:tblGrid>
      <w:tr w14:paraId="27679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062" w:type="dxa"/>
            <w:vAlign w:val="center"/>
          </w:tcPr>
          <w:p w14:paraId="5821E70D">
            <w:pPr>
              <w:pageBreakBefore w:val="0"/>
              <w:kinsoku/>
              <w:wordWrap/>
              <w:overflowPunct/>
              <w:topLinePunct w:val="0"/>
              <w:autoSpaceDE/>
              <w:autoSpaceDN/>
              <w:bidi w:val="0"/>
              <w:spacing w:line="400" w:lineRule="exact"/>
              <w:jc w:val="center"/>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磋商项目名称</w:t>
            </w:r>
          </w:p>
        </w:tc>
        <w:tc>
          <w:tcPr>
            <w:tcW w:w="1986" w:type="dxa"/>
            <w:vAlign w:val="center"/>
          </w:tcPr>
          <w:p w14:paraId="01BF8A98">
            <w:pPr>
              <w:pageBreakBefore w:val="0"/>
              <w:kinsoku/>
              <w:wordWrap/>
              <w:overflowPunct/>
              <w:topLinePunct w:val="0"/>
              <w:autoSpaceDE/>
              <w:autoSpaceDN/>
              <w:bidi w:val="0"/>
              <w:spacing w:line="400" w:lineRule="exact"/>
              <w:jc w:val="center"/>
              <w:textAlignment w:val="auto"/>
              <w:rPr>
                <w:rFonts w:ascii="宋体" w:hAnsi="宋体" w:cs="宋体"/>
                <w:b/>
                <w:bCs/>
                <w:color w:val="auto"/>
                <w:sz w:val="24"/>
                <w:szCs w:val="24"/>
                <w:highlight w:val="none"/>
              </w:rPr>
            </w:pPr>
            <w:r>
              <w:rPr>
                <w:rFonts w:hint="eastAsia" w:ascii="宋体" w:hAnsi="宋体" w:cs="宋体"/>
                <w:b/>
                <w:color w:val="auto"/>
                <w:sz w:val="24"/>
                <w:szCs w:val="24"/>
                <w:highlight w:val="none"/>
              </w:rPr>
              <w:t>数量/单位</w:t>
            </w:r>
          </w:p>
        </w:tc>
        <w:tc>
          <w:tcPr>
            <w:tcW w:w="3051" w:type="dxa"/>
            <w:vAlign w:val="center"/>
          </w:tcPr>
          <w:p w14:paraId="3B7EA1DB">
            <w:pPr>
              <w:pageBreakBefore w:val="0"/>
              <w:kinsoku/>
              <w:wordWrap/>
              <w:overflowPunct/>
              <w:topLinePunct w:val="0"/>
              <w:autoSpaceDE/>
              <w:autoSpaceDN/>
              <w:bidi w:val="0"/>
              <w:spacing w:line="400" w:lineRule="exact"/>
              <w:jc w:val="center"/>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备注</w:t>
            </w:r>
          </w:p>
        </w:tc>
      </w:tr>
      <w:tr w14:paraId="712A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5062" w:type="dxa"/>
            <w:vAlign w:val="center"/>
          </w:tcPr>
          <w:p w14:paraId="4CD97F12">
            <w:pPr>
              <w:pageBreakBefore w:val="0"/>
              <w:kinsoku/>
              <w:wordWrap/>
              <w:overflowPunct/>
              <w:topLinePunct w:val="0"/>
              <w:autoSpaceDE/>
              <w:autoSpaceDN/>
              <w:bidi w:val="0"/>
              <w:spacing w:line="4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有害生物防治服务（</w:t>
            </w:r>
            <w:r>
              <w:rPr>
                <w:rFonts w:hint="eastAsia" w:ascii="宋体" w:hAnsi="宋体" w:cs="宋体"/>
                <w:color w:val="auto"/>
                <w:sz w:val="24"/>
                <w:szCs w:val="24"/>
                <w:highlight w:val="none"/>
                <w:lang w:val="en-US" w:eastAsia="zh-CN"/>
              </w:rPr>
              <w:t>第二次）</w:t>
            </w:r>
          </w:p>
        </w:tc>
        <w:tc>
          <w:tcPr>
            <w:tcW w:w="1986" w:type="dxa"/>
            <w:vAlign w:val="center"/>
          </w:tcPr>
          <w:p w14:paraId="0B225D67">
            <w:pPr>
              <w:pageBreakBefore w:val="0"/>
              <w:widowControl/>
              <w:kinsoku/>
              <w:wordWrap/>
              <w:overflowPunct/>
              <w:topLinePunct w:val="0"/>
              <w:autoSpaceDE/>
              <w:autoSpaceDN/>
              <w:bidi w:val="0"/>
              <w:spacing w:line="400" w:lineRule="exact"/>
              <w:jc w:val="center"/>
              <w:textAlignment w:val="auto"/>
              <w:rPr>
                <w:rFonts w:ascii="宋体" w:hAnsi="宋体" w:cs="宋体"/>
                <w:color w:val="auto"/>
                <w:sz w:val="24"/>
                <w:szCs w:val="24"/>
                <w:highlight w:val="none"/>
              </w:rPr>
            </w:pP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项</w:t>
            </w:r>
          </w:p>
        </w:tc>
        <w:tc>
          <w:tcPr>
            <w:tcW w:w="3051" w:type="dxa"/>
            <w:vAlign w:val="center"/>
          </w:tcPr>
          <w:p w14:paraId="54CAFAD1">
            <w:pPr>
              <w:pageBreakBefore w:val="0"/>
              <w:kinsoku/>
              <w:wordWrap/>
              <w:overflowPunct/>
              <w:topLinePunct w:val="0"/>
              <w:autoSpaceDE/>
              <w:autoSpaceDN/>
              <w:bidi w:val="0"/>
              <w:spacing w:line="40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详见下文</w:t>
            </w:r>
          </w:p>
        </w:tc>
      </w:tr>
      <w:bookmarkEnd w:id="82"/>
    </w:tbl>
    <w:p w14:paraId="296FA72F">
      <w:pPr>
        <w:pStyle w:val="3"/>
        <w:pageBreakBefore w:val="0"/>
        <w:numPr>
          <w:ilvl w:val="1"/>
          <w:numId w:val="0"/>
        </w:numPr>
        <w:kinsoku/>
        <w:wordWrap/>
        <w:overflowPunct/>
        <w:topLinePunct w:val="0"/>
        <w:autoSpaceDE/>
        <w:autoSpaceDN/>
        <w:bidi w:val="0"/>
        <w:spacing w:line="400" w:lineRule="exact"/>
        <w:textAlignment w:val="auto"/>
        <w:rPr>
          <w:rFonts w:ascii="宋体" w:hAnsi="宋体" w:eastAsia="宋体"/>
          <w:b/>
          <w:color w:val="auto"/>
          <w:sz w:val="24"/>
          <w:highlight w:val="none"/>
        </w:rPr>
      </w:pPr>
      <w:bookmarkStart w:id="87" w:name="_Toc22478"/>
      <w:bookmarkStart w:id="88" w:name="_Toc20395"/>
      <w:bookmarkStart w:id="89" w:name="_Toc4804"/>
      <w:bookmarkStart w:id="90" w:name="_Toc4922"/>
      <w:r>
        <w:rPr>
          <w:rFonts w:hint="eastAsia" w:ascii="宋体" w:hAnsi="宋体" w:eastAsia="宋体"/>
          <w:b/>
          <w:color w:val="auto"/>
          <w:sz w:val="24"/>
          <w:highlight w:val="none"/>
        </w:rPr>
        <w:t>二、项目内容及要求</w:t>
      </w:r>
      <w:bookmarkEnd w:id="87"/>
    </w:p>
    <w:p w14:paraId="3C5FD11A">
      <w:pPr>
        <w:pageBreakBefore w:val="0"/>
        <w:kinsoku/>
        <w:wordWrap/>
        <w:overflowPunct/>
        <w:topLinePunct w:val="0"/>
        <w:autoSpaceDE/>
        <w:autoSpaceDN/>
        <w:bidi w:val="0"/>
        <w:snapToGrid w:val="0"/>
        <w:spacing w:line="400" w:lineRule="exact"/>
        <w:ind w:firstLine="360" w:firstLineChars="15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（一）服务范围</w:t>
      </w:r>
    </w:p>
    <w:p w14:paraId="6C2515E2">
      <w:pPr>
        <w:pageBreakBefore w:val="0"/>
        <w:kinsoku/>
        <w:wordWrap/>
        <w:overflowPunct/>
        <w:topLinePunct w:val="0"/>
        <w:autoSpaceDE/>
        <w:autoSpaceDN/>
        <w:bidi w:val="0"/>
        <w:snapToGrid w:val="0"/>
        <w:spacing w:line="400" w:lineRule="exact"/>
        <w:ind w:firstLine="360" w:firstLineChars="15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重庆市石桥铺殡仪馆服务楼、综合楼、追远厅等主体建筑的室内外区域（包括但不限于餐厅、餐厅厨房、车库、弱电井、强电井、配电房、水泵房、发电机房等设备间，以及所有办公场所、业务区域）；九龙陵园办公楼全域、崇兴生命纪念园接待楼全域。</w:t>
      </w:r>
    </w:p>
    <w:p w14:paraId="125F1783">
      <w:pPr>
        <w:pageBreakBefore w:val="0"/>
        <w:kinsoku/>
        <w:wordWrap/>
        <w:overflowPunct/>
        <w:topLinePunct w:val="0"/>
        <w:autoSpaceDE/>
        <w:autoSpaceDN/>
        <w:bidi w:val="0"/>
        <w:snapToGrid w:val="0"/>
        <w:spacing w:line="400" w:lineRule="exact"/>
        <w:ind w:firstLine="360" w:firstLineChars="15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2.馆部三期项目全域建设已经完成，待投入使用后按增加的防治面积结合合同单价结算费用。</w:t>
      </w:r>
    </w:p>
    <w:p w14:paraId="7906E851">
      <w:pPr>
        <w:keepNext w:val="0"/>
        <w:keepLines w:val="0"/>
        <w:pageBreakBefore w:val="0"/>
        <w:kinsoku/>
        <w:wordWrap/>
        <w:overflowPunct/>
        <w:topLinePunct w:val="0"/>
        <w:autoSpaceDE/>
        <w:autoSpaceDN/>
        <w:bidi w:val="0"/>
        <w:adjustRightInd/>
        <w:snapToGrid w:val="0"/>
        <w:spacing w:line="400" w:lineRule="exact"/>
        <w:ind w:firstLine="360" w:firstLineChars="15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（二）服务内容</w:t>
      </w:r>
    </w:p>
    <w:tbl>
      <w:tblPr>
        <w:tblStyle w:val="30"/>
        <w:tblW w:w="10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087"/>
        <w:gridCol w:w="1871"/>
        <w:gridCol w:w="983"/>
        <w:gridCol w:w="1208"/>
        <w:gridCol w:w="1695"/>
        <w:gridCol w:w="1359"/>
        <w:gridCol w:w="1150"/>
      </w:tblGrid>
      <w:tr w14:paraId="7533A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682" w:type="dxa"/>
            <w:vAlign w:val="center"/>
          </w:tcPr>
          <w:p w14:paraId="285B074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序号</w:t>
            </w:r>
          </w:p>
        </w:tc>
        <w:tc>
          <w:tcPr>
            <w:tcW w:w="1087" w:type="dxa"/>
            <w:vAlign w:val="center"/>
          </w:tcPr>
          <w:p w14:paraId="6320440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名称</w:t>
            </w:r>
          </w:p>
        </w:tc>
        <w:tc>
          <w:tcPr>
            <w:tcW w:w="1871" w:type="dxa"/>
            <w:vAlign w:val="center"/>
          </w:tcPr>
          <w:p w14:paraId="34BDFE1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服务范围</w:t>
            </w:r>
          </w:p>
        </w:tc>
        <w:tc>
          <w:tcPr>
            <w:tcW w:w="983" w:type="dxa"/>
            <w:vAlign w:val="center"/>
          </w:tcPr>
          <w:p w14:paraId="16520A7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面积</w:t>
            </w:r>
          </w:p>
        </w:tc>
        <w:tc>
          <w:tcPr>
            <w:tcW w:w="1208" w:type="dxa"/>
            <w:vAlign w:val="center"/>
          </w:tcPr>
          <w:p w14:paraId="75093C9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服务周期</w:t>
            </w:r>
          </w:p>
        </w:tc>
        <w:tc>
          <w:tcPr>
            <w:tcW w:w="1695" w:type="dxa"/>
            <w:vAlign w:val="center"/>
          </w:tcPr>
          <w:p w14:paraId="0DF74D3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服务要求</w:t>
            </w:r>
          </w:p>
        </w:tc>
        <w:tc>
          <w:tcPr>
            <w:tcW w:w="1359" w:type="dxa"/>
            <w:vAlign w:val="center"/>
          </w:tcPr>
          <w:p w14:paraId="1139DCE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单价</w:t>
            </w:r>
          </w:p>
        </w:tc>
        <w:tc>
          <w:tcPr>
            <w:tcW w:w="1150" w:type="dxa"/>
            <w:vAlign w:val="center"/>
          </w:tcPr>
          <w:p w14:paraId="1368D57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备注</w:t>
            </w:r>
          </w:p>
        </w:tc>
      </w:tr>
      <w:tr w14:paraId="2B336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2" w:hRule="atLeast"/>
          <w:jc w:val="center"/>
        </w:trPr>
        <w:tc>
          <w:tcPr>
            <w:tcW w:w="682" w:type="dxa"/>
            <w:vAlign w:val="center"/>
          </w:tcPr>
          <w:p w14:paraId="2C88C95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w:t>
            </w:r>
          </w:p>
        </w:tc>
        <w:tc>
          <w:tcPr>
            <w:tcW w:w="1087" w:type="dxa"/>
            <w:vAlign w:val="center"/>
          </w:tcPr>
          <w:p w14:paraId="6D2BE88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灭鼠、灭蚊蝇、灭蟑螂作业</w:t>
            </w:r>
          </w:p>
        </w:tc>
        <w:tc>
          <w:tcPr>
            <w:tcW w:w="1871" w:type="dxa"/>
            <w:vAlign w:val="center"/>
          </w:tcPr>
          <w:p w14:paraId="71B13346">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馆部工作区域为馆区全部范围、九龙陵园、崇兴生命纪念园及其附属设施，暂不包含馆三期范围</w:t>
            </w:r>
          </w:p>
        </w:tc>
        <w:tc>
          <w:tcPr>
            <w:tcW w:w="983" w:type="dxa"/>
            <w:vAlign w:val="center"/>
          </w:tcPr>
          <w:p w14:paraId="654EAAE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59316</w:t>
            </w:r>
            <w:r>
              <w:rPr>
                <w:rFonts w:hint="eastAsia" w:ascii="宋体" w:hAnsi="宋体" w:eastAsia="宋体" w:cs="宋体"/>
                <w:color w:val="auto"/>
                <w:kern w:val="0"/>
                <w:sz w:val="24"/>
                <w:szCs w:val="24"/>
                <w:highlight w:val="none"/>
                <w:lang w:val="en-US" w:eastAsia="zh-CN"/>
              </w:rPr>
              <w:br w:type="textWrapping"/>
            </w:r>
            <w:r>
              <w:rPr>
                <w:rFonts w:hint="eastAsia" w:ascii="宋体" w:hAnsi="宋体" w:eastAsia="宋体" w:cs="宋体"/>
                <w:color w:val="auto"/>
                <w:kern w:val="0"/>
                <w:sz w:val="24"/>
                <w:szCs w:val="24"/>
                <w:highlight w:val="none"/>
                <w:lang w:val="en-US" w:eastAsia="zh-CN"/>
              </w:rPr>
              <w:t>平方米</w:t>
            </w:r>
          </w:p>
        </w:tc>
        <w:tc>
          <w:tcPr>
            <w:tcW w:w="1208" w:type="dxa"/>
            <w:vAlign w:val="center"/>
          </w:tcPr>
          <w:p w14:paraId="74E6EB2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12个月</w:t>
            </w:r>
          </w:p>
        </w:tc>
        <w:tc>
          <w:tcPr>
            <w:tcW w:w="1695" w:type="dxa"/>
            <w:vAlign w:val="center"/>
          </w:tcPr>
          <w:p w14:paraId="63A0A7E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每月不低于2次</w:t>
            </w:r>
          </w:p>
        </w:tc>
        <w:tc>
          <w:tcPr>
            <w:tcW w:w="1359" w:type="dxa"/>
            <w:vAlign w:val="center"/>
          </w:tcPr>
          <w:p w14:paraId="33A142F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4966.66元/月</w:t>
            </w:r>
          </w:p>
        </w:tc>
        <w:tc>
          <w:tcPr>
            <w:tcW w:w="1150" w:type="dxa"/>
            <w:vMerge w:val="restart"/>
            <w:vAlign w:val="center"/>
          </w:tcPr>
          <w:p w14:paraId="6DF220B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按实际</w:t>
            </w:r>
            <w:r>
              <w:rPr>
                <w:rFonts w:hint="eastAsia" w:ascii="宋体" w:hAnsi="宋体" w:cs="宋体"/>
                <w:color w:val="auto"/>
                <w:kern w:val="0"/>
                <w:sz w:val="24"/>
                <w:szCs w:val="24"/>
                <w:highlight w:val="none"/>
                <w:lang w:val="en-US" w:eastAsia="zh-CN"/>
              </w:rPr>
              <w:t>服务时间</w:t>
            </w:r>
            <w:r>
              <w:rPr>
                <w:rFonts w:hint="eastAsia" w:ascii="宋体" w:hAnsi="宋体" w:eastAsia="宋体" w:cs="宋体"/>
                <w:color w:val="auto"/>
                <w:kern w:val="0"/>
                <w:sz w:val="24"/>
                <w:szCs w:val="24"/>
                <w:highlight w:val="none"/>
                <w:lang w:val="en-US" w:eastAsia="zh-CN"/>
              </w:rPr>
              <w:t>据实结算。</w:t>
            </w:r>
          </w:p>
        </w:tc>
      </w:tr>
      <w:tr w14:paraId="7E9B2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jc w:val="center"/>
        </w:trPr>
        <w:tc>
          <w:tcPr>
            <w:tcW w:w="682" w:type="dxa"/>
            <w:vAlign w:val="center"/>
          </w:tcPr>
          <w:p w14:paraId="3275B3F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p>
        </w:tc>
        <w:tc>
          <w:tcPr>
            <w:tcW w:w="1087" w:type="dxa"/>
            <w:vAlign w:val="center"/>
          </w:tcPr>
          <w:p w14:paraId="4701863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eastAsia="zh-CN"/>
              </w:rPr>
              <w:t>专项驱蛇服务</w:t>
            </w:r>
          </w:p>
        </w:tc>
        <w:tc>
          <w:tcPr>
            <w:tcW w:w="1871" w:type="dxa"/>
            <w:vAlign w:val="center"/>
          </w:tcPr>
          <w:p w14:paraId="79F6523A">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eastAsia="zh-CN"/>
              </w:rPr>
              <w:t>火化车间</w:t>
            </w:r>
            <w:r>
              <w:rPr>
                <w:rFonts w:hint="eastAsia" w:ascii="宋体" w:hAnsi="宋体" w:cs="宋体"/>
                <w:color w:val="auto"/>
                <w:kern w:val="0"/>
                <w:sz w:val="24"/>
                <w:szCs w:val="24"/>
                <w:highlight w:val="none"/>
                <w:lang w:val="en-US" w:eastAsia="zh-CN"/>
              </w:rPr>
              <w:t>及周边区域</w:t>
            </w:r>
          </w:p>
        </w:tc>
        <w:tc>
          <w:tcPr>
            <w:tcW w:w="983" w:type="dxa"/>
            <w:shd w:val="clear" w:color="auto" w:fill="auto"/>
            <w:vAlign w:val="center"/>
          </w:tcPr>
          <w:p w14:paraId="0DA0CE7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2027</w:t>
            </w:r>
            <w:r>
              <w:rPr>
                <w:rFonts w:hint="eastAsia" w:ascii="宋体" w:hAnsi="宋体" w:eastAsia="宋体" w:cs="宋体"/>
                <w:color w:val="auto"/>
                <w:kern w:val="0"/>
                <w:sz w:val="24"/>
                <w:szCs w:val="24"/>
                <w:highlight w:val="none"/>
                <w:lang w:val="en-US" w:eastAsia="zh-CN"/>
              </w:rPr>
              <w:br w:type="textWrapping"/>
            </w:r>
            <w:r>
              <w:rPr>
                <w:rFonts w:hint="eastAsia" w:ascii="宋体" w:hAnsi="宋体" w:eastAsia="宋体" w:cs="宋体"/>
                <w:color w:val="auto"/>
                <w:kern w:val="0"/>
                <w:sz w:val="24"/>
                <w:szCs w:val="24"/>
                <w:highlight w:val="none"/>
                <w:lang w:val="en-US" w:eastAsia="zh-CN"/>
              </w:rPr>
              <w:t>平方米</w:t>
            </w:r>
          </w:p>
        </w:tc>
        <w:tc>
          <w:tcPr>
            <w:tcW w:w="1208" w:type="dxa"/>
            <w:vAlign w:val="center"/>
          </w:tcPr>
          <w:p w14:paraId="463ABBB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12个月</w:t>
            </w:r>
          </w:p>
        </w:tc>
        <w:tc>
          <w:tcPr>
            <w:tcW w:w="1695" w:type="dxa"/>
            <w:vAlign w:val="center"/>
          </w:tcPr>
          <w:p w14:paraId="651772C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全年服务（包括临时驱蛇）4-10月每月不低于2次。</w:t>
            </w:r>
          </w:p>
        </w:tc>
        <w:tc>
          <w:tcPr>
            <w:tcW w:w="1359" w:type="dxa"/>
            <w:vAlign w:val="center"/>
          </w:tcPr>
          <w:p w14:paraId="17AEC17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425元/月</w:t>
            </w:r>
          </w:p>
        </w:tc>
        <w:tc>
          <w:tcPr>
            <w:tcW w:w="1150" w:type="dxa"/>
            <w:vMerge w:val="continue"/>
            <w:vAlign w:val="center"/>
          </w:tcPr>
          <w:p w14:paraId="38BB9E4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szCs w:val="24"/>
                <w:highlight w:val="none"/>
                <w:lang w:val="en-US" w:eastAsia="zh-CN"/>
              </w:rPr>
            </w:pPr>
          </w:p>
        </w:tc>
      </w:tr>
      <w:tr w14:paraId="70C03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jc w:val="center"/>
        </w:trPr>
        <w:tc>
          <w:tcPr>
            <w:tcW w:w="682" w:type="dxa"/>
            <w:vAlign w:val="center"/>
          </w:tcPr>
          <w:p w14:paraId="5777FF2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w:t>
            </w:r>
          </w:p>
        </w:tc>
        <w:tc>
          <w:tcPr>
            <w:tcW w:w="1087" w:type="dxa"/>
            <w:vAlign w:val="center"/>
          </w:tcPr>
          <w:p w14:paraId="676B59B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灭鼠、灭蚊蝇、灭蟑螂作业</w:t>
            </w:r>
          </w:p>
        </w:tc>
        <w:tc>
          <w:tcPr>
            <w:tcW w:w="1871" w:type="dxa"/>
            <w:vAlign w:val="center"/>
          </w:tcPr>
          <w:p w14:paraId="7B238280">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馆三期项目范围</w:t>
            </w:r>
          </w:p>
        </w:tc>
        <w:tc>
          <w:tcPr>
            <w:tcW w:w="983" w:type="dxa"/>
            <w:vAlign w:val="center"/>
          </w:tcPr>
          <w:p w14:paraId="56B9222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18054</w:t>
            </w:r>
          </w:p>
          <w:p w14:paraId="3D9A3EB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平方米</w:t>
            </w:r>
          </w:p>
        </w:tc>
        <w:tc>
          <w:tcPr>
            <w:tcW w:w="1208" w:type="dxa"/>
            <w:vAlign w:val="center"/>
          </w:tcPr>
          <w:p w14:paraId="0CB2418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12个月</w:t>
            </w:r>
          </w:p>
        </w:tc>
        <w:tc>
          <w:tcPr>
            <w:tcW w:w="1695" w:type="dxa"/>
            <w:vAlign w:val="center"/>
          </w:tcPr>
          <w:p w14:paraId="7D5DAE6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每月不低于2次</w:t>
            </w:r>
          </w:p>
        </w:tc>
        <w:tc>
          <w:tcPr>
            <w:tcW w:w="1359" w:type="dxa"/>
            <w:vAlign w:val="center"/>
          </w:tcPr>
          <w:p w14:paraId="04A9841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1550元/月</w:t>
            </w:r>
          </w:p>
        </w:tc>
        <w:tc>
          <w:tcPr>
            <w:tcW w:w="1150" w:type="dxa"/>
            <w:vAlign w:val="center"/>
          </w:tcPr>
          <w:p w14:paraId="0DCF112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投用后按实际</w:t>
            </w:r>
            <w:r>
              <w:rPr>
                <w:rFonts w:hint="eastAsia" w:ascii="宋体" w:hAnsi="宋体" w:cs="宋体"/>
                <w:color w:val="auto"/>
                <w:kern w:val="0"/>
                <w:sz w:val="24"/>
                <w:szCs w:val="24"/>
                <w:highlight w:val="none"/>
                <w:lang w:val="en-US" w:eastAsia="zh-CN"/>
              </w:rPr>
              <w:t>服务时间</w:t>
            </w:r>
            <w:r>
              <w:rPr>
                <w:rFonts w:hint="eastAsia" w:ascii="宋体" w:hAnsi="宋体" w:eastAsia="宋体" w:cs="宋体"/>
                <w:color w:val="auto"/>
                <w:kern w:val="0"/>
                <w:sz w:val="24"/>
                <w:szCs w:val="24"/>
                <w:highlight w:val="none"/>
                <w:lang w:val="en-US" w:eastAsia="zh-CN"/>
              </w:rPr>
              <w:t>据实结算。</w:t>
            </w:r>
          </w:p>
        </w:tc>
      </w:tr>
      <w:tr w14:paraId="49375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6" w:hRule="atLeast"/>
          <w:jc w:val="center"/>
        </w:trPr>
        <w:tc>
          <w:tcPr>
            <w:tcW w:w="682" w:type="dxa"/>
            <w:vAlign w:val="center"/>
          </w:tcPr>
          <w:p w14:paraId="10B9812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w:t>
            </w:r>
          </w:p>
        </w:tc>
        <w:tc>
          <w:tcPr>
            <w:tcW w:w="1087" w:type="dxa"/>
            <w:vAlign w:val="center"/>
          </w:tcPr>
          <w:p w14:paraId="4BF59DC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eastAsia="zh-CN"/>
              </w:rPr>
              <w:t>白蚁快速治理</w:t>
            </w:r>
          </w:p>
        </w:tc>
        <w:tc>
          <w:tcPr>
            <w:tcW w:w="1871" w:type="dxa"/>
            <w:vAlign w:val="center"/>
          </w:tcPr>
          <w:p w14:paraId="132AF5EA">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馆全部责任区域（含九龙陵园、崇兴生命纪念园）</w:t>
            </w:r>
          </w:p>
        </w:tc>
        <w:tc>
          <w:tcPr>
            <w:tcW w:w="983" w:type="dxa"/>
            <w:vAlign w:val="center"/>
          </w:tcPr>
          <w:p w14:paraId="518614B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77370平方米</w:t>
            </w:r>
          </w:p>
        </w:tc>
        <w:tc>
          <w:tcPr>
            <w:tcW w:w="1208" w:type="dxa"/>
            <w:vAlign w:val="center"/>
          </w:tcPr>
          <w:p w14:paraId="26DC81C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服务期内</w:t>
            </w:r>
          </w:p>
        </w:tc>
        <w:tc>
          <w:tcPr>
            <w:tcW w:w="1695" w:type="dxa"/>
            <w:vAlign w:val="center"/>
          </w:tcPr>
          <w:p w14:paraId="3402672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据实结算（服务期内发生需要白蚁治理费用包干，质保期1年；服务期内未发生白蚁治理，白蚁治理费用不计算）服务期间免费开展白蚁、红火蚁常规普查。</w:t>
            </w:r>
          </w:p>
        </w:tc>
        <w:tc>
          <w:tcPr>
            <w:tcW w:w="1359" w:type="dxa"/>
            <w:vAlign w:val="center"/>
          </w:tcPr>
          <w:p w14:paraId="0DDD77D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w:t>
            </w:r>
          </w:p>
        </w:tc>
        <w:tc>
          <w:tcPr>
            <w:tcW w:w="1150" w:type="dxa"/>
            <w:vAlign w:val="center"/>
          </w:tcPr>
          <w:p w14:paraId="13D56D7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w:t>
            </w:r>
          </w:p>
        </w:tc>
      </w:tr>
    </w:tbl>
    <w:p w14:paraId="19EF3168">
      <w:pPr>
        <w:keepNext w:val="0"/>
        <w:keepLines w:val="0"/>
        <w:pageBreakBefore w:val="0"/>
        <w:kinsoku/>
        <w:wordWrap/>
        <w:overflowPunct/>
        <w:topLinePunct w:val="0"/>
        <w:autoSpaceDE/>
        <w:autoSpaceDN/>
        <w:bidi w:val="0"/>
        <w:adjustRightInd/>
        <w:snapToGrid w:val="0"/>
        <w:spacing w:line="400" w:lineRule="exact"/>
        <w:ind w:firstLine="360" w:firstLineChars="15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（三）服务要求</w:t>
      </w:r>
    </w:p>
    <w:p w14:paraId="3E2F2A71">
      <w:pPr>
        <w:keepNext w:val="0"/>
        <w:keepLines w:val="0"/>
        <w:pageBreakBefore w:val="0"/>
        <w:kinsoku/>
        <w:wordWrap/>
        <w:overflowPunct/>
        <w:topLinePunct w:val="0"/>
        <w:autoSpaceDE/>
        <w:autoSpaceDN/>
        <w:bidi w:val="0"/>
        <w:adjustRightInd/>
        <w:snapToGrid w:val="0"/>
        <w:spacing w:line="400" w:lineRule="exact"/>
        <w:ind w:firstLine="360" w:firstLineChars="15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1.针对服务范围内，实施有害生物密度控制，每月开展不低于2次（2次时间不低于10个自然日）的灭鼠、灭蚊蝇、灭蟑螂作业，达到GB/T 27770-2011《病媒生物密度控制水平 鼠类》C级、GB/T 27771-2011《病媒生物密度控制水平 蚊虫类》C级、GB/T 27772-2011《病媒生物密度控制水平 蝇类》C级、GB/T27773—2011《病媒生物密度控制水平 蜚蠊》C级要求。</w:t>
      </w:r>
    </w:p>
    <w:p w14:paraId="4E12840D">
      <w:pPr>
        <w:keepNext w:val="0"/>
        <w:keepLines w:val="0"/>
        <w:pageBreakBefore w:val="0"/>
        <w:kinsoku/>
        <w:wordWrap/>
        <w:overflowPunct/>
        <w:topLinePunct w:val="0"/>
        <w:autoSpaceDE/>
        <w:autoSpaceDN/>
        <w:bidi w:val="0"/>
        <w:adjustRightInd/>
        <w:snapToGrid w:val="0"/>
        <w:spacing w:line="400" w:lineRule="exact"/>
        <w:ind w:firstLine="360" w:firstLineChars="15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2.火化车间夏季专项驱蛇服务（4-10月提供常态化驱蛇服务，每月开展不低于2次，2次时间不低于10个自然日）；11月至次年3月如发现蛇类出没需在2小时内上门驱蛇）。</w:t>
      </w:r>
    </w:p>
    <w:p w14:paraId="641475E7">
      <w:pPr>
        <w:keepNext w:val="0"/>
        <w:keepLines w:val="0"/>
        <w:pageBreakBefore w:val="0"/>
        <w:kinsoku/>
        <w:wordWrap/>
        <w:overflowPunct/>
        <w:topLinePunct w:val="0"/>
        <w:autoSpaceDE/>
        <w:autoSpaceDN/>
        <w:bidi w:val="0"/>
        <w:adjustRightInd/>
        <w:snapToGrid w:val="0"/>
        <w:spacing w:line="400" w:lineRule="exact"/>
        <w:ind w:firstLine="360" w:firstLineChars="15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3.建立白蚁快速治理响应机制。发现白蚁病害报告48小时内按《房屋白蚁预防技术规程》（JGJ/T 245-2022）实施专业化治理。由成交供应商进行治理，费用据实结算（服务期内发生需要白蚁治理费用包干，质保期1年；服务期内未发生白蚁治理，白蚁治理费用不计算）服务期间免费开展白蚁、红火蚁常规普查。</w:t>
      </w:r>
    </w:p>
    <w:p w14:paraId="1C65FC29">
      <w:pPr>
        <w:keepNext w:val="0"/>
        <w:keepLines w:val="0"/>
        <w:pageBreakBefore w:val="0"/>
        <w:kinsoku/>
        <w:wordWrap/>
        <w:overflowPunct/>
        <w:topLinePunct w:val="0"/>
        <w:autoSpaceDE/>
        <w:autoSpaceDN/>
        <w:bidi w:val="0"/>
        <w:adjustRightInd/>
        <w:snapToGrid w:val="0"/>
        <w:spacing w:line="400" w:lineRule="exact"/>
        <w:ind w:firstLine="360" w:firstLineChars="15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（四）药品与器械管理要求</w:t>
      </w:r>
    </w:p>
    <w:p w14:paraId="0307192E">
      <w:pPr>
        <w:keepNext w:val="0"/>
        <w:keepLines w:val="0"/>
        <w:pageBreakBefore w:val="0"/>
        <w:kinsoku/>
        <w:wordWrap/>
        <w:overflowPunct/>
        <w:topLinePunct w:val="0"/>
        <w:autoSpaceDE/>
        <w:autoSpaceDN/>
        <w:bidi w:val="0"/>
        <w:adjustRightInd/>
        <w:snapToGrid w:val="0"/>
        <w:spacing w:line="400" w:lineRule="exact"/>
        <w:ind w:firstLine="360" w:firstLineChars="15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1.所有使用的消杀药剂（包括灭鼠药、灭蚊蝇药、灭蟑药及白蚁防治药剂</w:t>
      </w:r>
      <w:r>
        <w:rPr>
          <w:rFonts w:hint="eastAsia" w:ascii="宋体" w:hAnsi="宋体" w:cs="宋体"/>
          <w:color w:val="auto"/>
          <w:sz w:val="24"/>
          <w:szCs w:val="24"/>
          <w:highlight w:val="none"/>
          <w:lang w:val="en-US" w:eastAsia="zh-CN"/>
        </w:rPr>
        <w:t>）必须具有合法有效的“三证”：农药登记证、农药生产许可证或批准文件、技术监督部门备案的企业标准。</w:t>
      </w:r>
      <w:r>
        <w:rPr>
          <w:rFonts w:hint="eastAsia" w:ascii="宋体" w:hAnsi="宋体" w:cs="宋体"/>
          <w:b/>
          <w:bCs/>
          <w:color w:val="auto"/>
          <w:sz w:val="24"/>
          <w:szCs w:val="24"/>
          <w:highlight w:val="none"/>
          <w:lang w:val="en-US" w:eastAsia="zh-CN"/>
        </w:rPr>
        <w:t>【投标时，提供对应证明材料复印件，加盖供应商公章】</w:t>
      </w:r>
    </w:p>
    <w:p w14:paraId="4A9470CD">
      <w:pPr>
        <w:keepNext w:val="0"/>
        <w:keepLines w:val="0"/>
        <w:pageBreakBefore w:val="0"/>
        <w:kinsoku/>
        <w:wordWrap/>
        <w:overflowPunct/>
        <w:topLinePunct w:val="0"/>
        <w:autoSpaceDE/>
        <w:autoSpaceDN/>
        <w:bidi w:val="0"/>
        <w:adjustRightInd/>
        <w:snapToGrid w:val="0"/>
        <w:spacing w:line="400" w:lineRule="exact"/>
        <w:ind w:firstLine="360" w:firstLineChars="15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2.严禁使用来源不明、无“三证”或质量不稳定的卫生杀虫剂。</w:t>
      </w:r>
    </w:p>
    <w:p w14:paraId="73A36F88">
      <w:pPr>
        <w:keepNext w:val="0"/>
        <w:keepLines w:val="0"/>
        <w:pageBreakBefore w:val="0"/>
        <w:kinsoku/>
        <w:wordWrap/>
        <w:overflowPunct/>
        <w:topLinePunct w:val="0"/>
        <w:autoSpaceDE/>
        <w:autoSpaceDN/>
        <w:bidi w:val="0"/>
        <w:adjustRightInd/>
        <w:snapToGrid w:val="0"/>
        <w:spacing w:line="400" w:lineRule="exact"/>
        <w:ind w:firstLine="360" w:firstLineChars="15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供应商需提供所有灭鼠设施设备（如毒饵站）、消杀器械及药品耗材。提供的药品器械必须符合国家相关法律法规要求，优先选用高效、低毒、环保型产品，不得使用对环境造成严重污染或对人畜有显著危害的药品。</w:t>
      </w:r>
      <w:r>
        <w:rPr>
          <w:rFonts w:hint="eastAsia" w:ascii="宋体" w:hAnsi="宋体" w:cs="宋体"/>
          <w:b/>
          <w:bCs/>
          <w:color w:val="auto"/>
          <w:sz w:val="24"/>
          <w:szCs w:val="24"/>
          <w:highlight w:val="none"/>
          <w:lang w:val="en-US" w:eastAsia="zh-CN"/>
        </w:rPr>
        <w:t>【投标时，响应文件中供应商针对以上内容提供所使用药品的质量保证承诺函（格式自拟），加盖供应商公章】</w:t>
      </w:r>
    </w:p>
    <w:p w14:paraId="53C4FF76">
      <w:pPr>
        <w:keepNext w:val="0"/>
        <w:keepLines w:val="0"/>
        <w:pageBreakBefore w:val="0"/>
        <w:kinsoku/>
        <w:wordWrap/>
        <w:overflowPunct/>
        <w:topLinePunct w:val="0"/>
        <w:autoSpaceDE/>
        <w:autoSpaceDN/>
        <w:bidi w:val="0"/>
        <w:adjustRightInd/>
        <w:snapToGrid w:val="0"/>
        <w:spacing w:line="400" w:lineRule="exact"/>
        <w:ind w:firstLine="720" w:firstLineChars="200"/>
        <w:textAlignment w:val="auto"/>
        <w:outlineLvl w:val="2"/>
        <w:rPr>
          <w:rFonts w:ascii="宋体" w:hAnsi="宋体" w:cs="宋体"/>
          <w:color w:val="auto"/>
          <w:sz w:val="36"/>
          <w:szCs w:val="30"/>
          <w:highlight w:val="none"/>
        </w:rPr>
      </w:pPr>
      <w:r>
        <w:rPr>
          <w:rFonts w:hint="eastAsia" w:ascii="宋体" w:hAnsi="宋体" w:cs="宋体"/>
          <w:color w:val="auto"/>
          <w:sz w:val="36"/>
          <w:szCs w:val="30"/>
          <w:highlight w:val="none"/>
        </w:rPr>
        <w:br w:type="page"/>
      </w:r>
    </w:p>
    <w:p w14:paraId="749558F4">
      <w:pPr>
        <w:pStyle w:val="3"/>
        <w:numPr>
          <w:ilvl w:val="1"/>
          <w:numId w:val="0"/>
        </w:numPr>
        <w:spacing w:line="360" w:lineRule="auto"/>
        <w:jc w:val="center"/>
        <w:rPr>
          <w:rFonts w:ascii="宋体" w:hAnsi="宋体" w:eastAsia="宋体"/>
          <w:color w:val="auto"/>
          <w:sz w:val="36"/>
          <w:szCs w:val="30"/>
          <w:highlight w:val="none"/>
        </w:rPr>
      </w:pPr>
      <w:bookmarkStart w:id="91" w:name="_Toc3721"/>
      <w:r>
        <w:rPr>
          <w:rFonts w:hint="eastAsia" w:ascii="宋体" w:hAnsi="宋体" w:eastAsia="宋体"/>
          <w:color w:val="auto"/>
          <w:sz w:val="36"/>
          <w:szCs w:val="30"/>
          <w:highlight w:val="none"/>
        </w:rPr>
        <w:t>第三篇  项目商务需求</w:t>
      </w:r>
      <w:bookmarkEnd w:id="88"/>
      <w:bookmarkEnd w:id="89"/>
      <w:bookmarkEnd w:id="90"/>
      <w:bookmarkEnd w:id="91"/>
    </w:p>
    <w:p w14:paraId="068C247F">
      <w:pPr>
        <w:pStyle w:val="3"/>
        <w:pageBreakBefore w:val="0"/>
        <w:numPr>
          <w:ilvl w:val="1"/>
          <w:numId w:val="0"/>
        </w:numPr>
        <w:kinsoku/>
        <w:wordWrap/>
        <w:overflowPunct/>
        <w:topLinePunct w:val="0"/>
        <w:autoSpaceDE/>
        <w:autoSpaceDN/>
        <w:bidi w:val="0"/>
        <w:adjustRightInd/>
        <w:spacing w:line="400" w:lineRule="exact"/>
        <w:textAlignment w:val="auto"/>
        <w:rPr>
          <w:rFonts w:hint="eastAsia" w:ascii="宋体" w:hAnsi="宋体" w:eastAsia="宋体"/>
          <w:b/>
          <w:color w:val="auto"/>
          <w:sz w:val="24"/>
          <w:highlight w:val="none"/>
          <w:lang w:eastAsia="zh-CN"/>
        </w:rPr>
      </w:pPr>
      <w:bookmarkStart w:id="92" w:name="_Toc13005"/>
      <w:bookmarkStart w:id="93" w:name="_Toc2135"/>
      <w:bookmarkStart w:id="94" w:name="_Toc8671"/>
      <w:bookmarkStart w:id="95" w:name="_Toc28613"/>
      <w:bookmarkStart w:id="96" w:name="_Toc267320049"/>
      <w:bookmarkStart w:id="97" w:name="_Toc76373877"/>
      <w:bookmarkStart w:id="98" w:name="_Toc3228"/>
      <w:bookmarkStart w:id="99" w:name="_Toc10278"/>
      <w:bookmarkStart w:id="100" w:name="_Toc23093"/>
      <w:bookmarkStart w:id="101" w:name="_Toc21950"/>
      <w:bookmarkStart w:id="102" w:name="_Toc9232"/>
      <w:bookmarkStart w:id="103" w:name="_Toc20341"/>
      <w:r>
        <w:rPr>
          <w:rFonts w:hint="eastAsia" w:ascii="宋体" w:hAnsi="宋体" w:eastAsia="宋体"/>
          <w:b/>
          <w:color w:val="auto"/>
          <w:sz w:val="24"/>
          <w:szCs w:val="24"/>
          <w:highlight w:val="none"/>
        </w:rPr>
        <w:t>一、</w:t>
      </w:r>
      <w:bookmarkEnd w:id="92"/>
      <w:bookmarkEnd w:id="93"/>
      <w:bookmarkEnd w:id="94"/>
      <w:bookmarkEnd w:id="95"/>
      <w:bookmarkEnd w:id="96"/>
      <w:bookmarkEnd w:id="97"/>
      <w:bookmarkEnd w:id="98"/>
      <w:bookmarkEnd w:id="99"/>
      <w:bookmarkEnd w:id="100"/>
      <w:bookmarkEnd w:id="101"/>
      <w:bookmarkEnd w:id="102"/>
      <w:r>
        <w:rPr>
          <w:rFonts w:hint="eastAsia" w:ascii="宋体" w:hAnsi="宋体" w:eastAsia="宋体"/>
          <w:b/>
          <w:color w:val="auto"/>
          <w:sz w:val="24"/>
          <w:szCs w:val="24"/>
          <w:highlight w:val="none"/>
        </w:rPr>
        <w:t>服务</w:t>
      </w:r>
      <w:r>
        <w:rPr>
          <w:rFonts w:hint="eastAsia" w:ascii="宋体" w:hAnsi="宋体" w:eastAsia="宋体"/>
          <w:b/>
          <w:color w:val="auto"/>
          <w:sz w:val="24"/>
          <w:szCs w:val="24"/>
          <w:highlight w:val="none"/>
          <w:lang w:eastAsia="zh-CN"/>
        </w:rPr>
        <w:t>期限</w:t>
      </w:r>
      <w:r>
        <w:rPr>
          <w:rFonts w:hint="eastAsia" w:ascii="宋体" w:hAnsi="宋体" w:eastAsia="宋体"/>
          <w:b/>
          <w:color w:val="auto"/>
          <w:sz w:val="24"/>
          <w:szCs w:val="24"/>
          <w:highlight w:val="none"/>
        </w:rPr>
        <w:t>、</w:t>
      </w:r>
      <w:r>
        <w:rPr>
          <w:rFonts w:hint="eastAsia" w:ascii="宋体" w:hAnsi="宋体" w:eastAsia="宋体"/>
          <w:b/>
          <w:color w:val="auto"/>
          <w:sz w:val="24"/>
          <w:szCs w:val="24"/>
          <w:highlight w:val="none"/>
          <w:lang w:eastAsia="zh-CN"/>
        </w:rPr>
        <w:t>服务</w:t>
      </w:r>
      <w:r>
        <w:rPr>
          <w:rFonts w:hint="eastAsia" w:ascii="宋体" w:hAnsi="宋体" w:eastAsia="宋体"/>
          <w:b/>
          <w:color w:val="auto"/>
          <w:sz w:val="24"/>
          <w:szCs w:val="24"/>
          <w:highlight w:val="none"/>
        </w:rPr>
        <w:t>地点及验收</w:t>
      </w:r>
      <w:r>
        <w:rPr>
          <w:rFonts w:hint="eastAsia" w:ascii="宋体" w:hAnsi="宋体" w:eastAsia="宋体"/>
          <w:b/>
          <w:color w:val="auto"/>
          <w:sz w:val="24"/>
          <w:szCs w:val="24"/>
          <w:highlight w:val="none"/>
          <w:lang w:eastAsia="zh-CN"/>
        </w:rPr>
        <w:t>、考核方式</w:t>
      </w:r>
      <w:bookmarkEnd w:id="103"/>
    </w:p>
    <w:p w14:paraId="34541E84">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szCs w:val="24"/>
          <w:highlight w:val="none"/>
        </w:rPr>
      </w:pPr>
      <w:bookmarkStart w:id="104" w:name="_Toc31871"/>
      <w:bookmarkStart w:id="105" w:name="_Toc11367"/>
      <w:bookmarkStart w:id="106" w:name="_Toc17044"/>
      <w:bookmarkStart w:id="107" w:name="_Toc10103"/>
      <w:bookmarkStart w:id="108" w:name="_Toc76373878"/>
      <w:bookmarkStart w:id="109" w:name="_Toc267320050"/>
      <w:bookmarkStart w:id="110" w:name="_Toc25977"/>
      <w:bookmarkStart w:id="111" w:name="_Toc16277"/>
      <w:r>
        <w:rPr>
          <w:rFonts w:hint="eastAsia" w:ascii="宋体" w:hAnsi="宋体" w:cs="宋体"/>
          <w:color w:val="auto"/>
          <w:sz w:val="24"/>
          <w:szCs w:val="24"/>
          <w:highlight w:val="none"/>
        </w:rPr>
        <w:t>（一）服务期限</w:t>
      </w:r>
    </w:p>
    <w:p w14:paraId="6B7B73DB">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自采购合同签订之日起至2026年6月25日。</w:t>
      </w:r>
    </w:p>
    <w:p w14:paraId="3110D0B1">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地点</w:t>
      </w:r>
    </w:p>
    <w:p w14:paraId="6D22F48F">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重庆市石桥铺殡仪馆、九龙陵园、崇兴生命纪念园（采购人指定位置</w:t>
      </w:r>
      <w:r>
        <w:rPr>
          <w:rFonts w:hint="eastAsia" w:ascii="宋体" w:hAnsi="宋体" w:eastAsia="宋体" w:cs="宋体"/>
          <w:color w:val="auto"/>
          <w:sz w:val="24"/>
          <w:szCs w:val="24"/>
          <w:highlight w:val="none"/>
        </w:rPr>
        <w:t>）。</w:t>
      </w:r>
    </w:p>
    <w:p w14:paraId="710CFF1E">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（三）验收</w:t>
      </w:r>
      <w:r>
        <w:rPr>
          <w:rFonts w:hint="eastAsia" w:ascii="宋体" w:hAnsi="宋体" w:eastAsia="宋体" w:cs="宋体"/>
          <w:color w:val="auto"/>
          <w:sz w:val="24"/>
          <w:szCs w:val="24"/>
          <w:highlight w:val="none"/>
          <w:lang w:eastAsia="zh-CN"/>
        </w:rPr>
        <w:t>、考核方式</w:t>
      </w:r>
    </w:p>
    <w:p w14:paraId="23BD6837">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根据采购文件规定、合同约定及采购人要求</w:t>
      </w:r>
      <w:r>
        <w:rPr>
          <w:rFonts w:hint="eastAsia" w:ascii="宋体" w:hAnsi="宋体" w:cs="宋体"/>
          <w:color w:val="auto"/>
          <w:sz w:val="24"/>
          <w:szCs w:val="24"/>
          <w:highlight w:val="none"/>
          <w:lang w:eastAsia="zh-CN"/>
        </w:rPr>
        <w:t>，每次服务完成后由实际需求部门</w:t>
      </w:r>
      <w:r>
        <w:rPr>
          <w:rFonts w:hint="eastAsia" w:ascii="宋体" w:hAnsi="宋体" w:eastAsia="宋体" w:cs="宋体"/>
          <w:color w:val="auto"/>
          <w:sz w:val="24"/>
          <w:szCs w:val="24"/>
          <w:highlight w:val="none"/>
          <w:lang w:eastAsia="zh-CN"/>
        </w:rPr>
        <w:t>进行验收</w:t>
      </w:r>
      <w:r>
        <w:rPr>
          <w:rFonts w:hint="eastAsia" w:ascii="宋体" w:hAnsi="宋体" w:cs="宋体"/>
          <w:color w:val="auto"/>
          <w:sz w:val="24"/>
          <w:szCs w:val="24"/>
          <w:highlight w:val="none"/>
          <w:lang w:eastAsia="zh-CN"/>
        </w:rPr>
        <w:t>并签订服务确认单</w:t>
      </w:r>
      <w:r>
        <w:rPr>
          <w:rFonts w:hint="eastAsia" w:ascii="宋体" w:hAnsi="宋体" w:eastAsia="宋体" w:cs="宋体"/>
          <w:color w:val="auto"/>
          <w:sz w:val="24"/>
          <w:szCs w:val="24"/>
          <w:highlight w:val="none"/>
          <w:lang w:eastAsia="zh-CN"/>
        </w:rPr>
        <w:t>，如验收达不到规定要求，对采购人造成一定的损失，成交供应商承担一切责任，并赔偿所造成的损失</w:t>
      </w:r>
      <w:r>
        <w:rPr>
          <w:rFonts w:hint="eastAsia" w:ascii="宋体" w:hAnsi="宋体" w:eastAsia="宋体" w:cs="宋体"/>
          <w:color w:val="auto"/>
          <w:sz w:val="24"/>
          <w:szCs w:val="24"/>
          <w:highlight w:val="none"/>
          <w:lang w:val="en-US" w:eastAsia="zh-CN"/>
        </w:rPr>
        <w:t>。</w:t>
      </w:r>
    </w:p>
    <w:p w14:paraId="4DA9FA31">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2.验收标准如下：</w:t>
      </w:r>
    </w:p>
    <w:tbl>
      <w:tblPr>
        <w:tblStyle w:val="30"/>
        <w:tblW w:w="9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5"/>
        <w:gridCol w:w="2967"/>
        <w:gridCol w:w="5087"/>
      </w:tblGrid>
      <w:tr w14:paraId="6AB2C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685" w:type="dxa"/>
            <w:vAlign w:val="center"/>
          </w:tcPr>
          <w:p w14:paraId="18A63C4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序号</w:t>
            </w:r>
          </w:p>
        </w:tc>
        <w:tc>
          <w:tcPr>
            <w:tcW w:w="2967" w:type="dxa"/>
            <w:vAlign w:val="center"/>
          </w:tcPr>
          <w:p w14:paraId="76CAA9F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服务内容</w:t>
            </w:r>
          </w:p>
        </w:tc>
        <w:tc>
          <w:tcPr>
            <w:tcW w:w="5087" w:type="dxa"/>
            <w:vAlign w:val="center"/>
          </w:tcPr>
          <w:p w14:paraId="6F6CB18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验收方式</w:t>
            </w:r>
          </w:p>
        </w:tc>
      </w:tr>
      <w:tr w14:paraId="619B3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739" w:type="dxa"/>
            <w:gridSpan w:val="3"/>
            <w:vAlign w:val="center"/>
          </w:tcPr>
          <w:p w14:paraId="342273E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w:t>
            </w:r>
            <w:r>
              <w:rPr>
                <w:rFonts w:hint="default" w:ascii="宋体" w:hAnsi="宋体" w:cs="宋体"/>
                <w:color w:val="auto"/>
                <w:kern w:val="0"/>
                <w:sz w:val="24"/>
                <w:szCs w:val="24"/>
                <w:highlight w:val="none"/>
                <w:lang w:val="en-US" w:eastAsia="zh-CN"/>
              </w:rPr>
              <w:t>基础服务验收标准</w:t>
            </w:r>
          </w:p>
        </w:tc>
      </w:tr>
      <w:tr w14:paraId="15237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685" w:type="dxa"/>
            <w:vAlign w:val="center"/>
          </w:tcPr>
          <w:p w14:paraId="2442C7C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1.1</w:t>
            </w:r>
          </w:p>
        </w:tc>
        <w:tc>
          <w:tcPr>
            <w:tcW w:w="2967" w:type="dxa"/>
            <w:vAlign w:val="center"/>
          </w:tcPr>
          <w:p w14:paraId="61BDBC0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szCs w:val="24"/>
                <w:highlight w:val="none"/>
                <w:lang w:val="en-US" w:eastAsia="zh-CN"/>
              </w:rPr>
            </w:pPr>
            <w:r>
              <w:rPr>
                <w:rFonts w:hint="default" w:ascii="宋体" w:hAnsi="宋体" w:cs="宋体"/>
                <w:color w:val="auto"/>
                <w:kern w:val="0"/>
                <w:sz w:val="24"/>
                <w:szCs w:val="24"/>
                <w:highlight w:val="none"/>
                <w:lang w:val="en-US" w:eastAsia="zh-CN"/>
              </w:rPr>
              <w:t>服务覆盖率</w:t>
            </w:r>
          </w:p>
        </w:tc>
        <w:tc>
          <w:tcPr>
            <w:tcW w:w="5087" w:type="dxa"/>
            <w:vAlign w:val="center"/>
          </w:tcPr>
          <w:p w14:paraId="4DF8C486">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cs="宋体"/>
                <w:color w:val="auto"/>
                <w:kern w:val="0"/>
                <w:sz w:val="24"/>
                <w:szCs w:val="24"/>
                <w:highlight w:val="none"/>
                <w:lang w:val="en-US" w:eastAsia="zh-CN"/>
              </w:rPr>
            </w:pPr>
            <w:r>
              <w:rPr>
                <w:rFonts w:hint="default" w:ascii="宋体" w:hAnsi="宋体" w:cs="宋体"/>
                <w:color w:val="auto"/>
                <w:kern w:val="0"/>
                <w:sz w:val="24"/>
                <w:szCs w:val="24"/>
                <w:highlight w:val="none"/>
                <w:lang w:eastAsia="zh-CN"/>
              </w:rPr>
              <w:t>检查服务记录（含时间、地点、签字确认表）及现场随机抽查</w:t>
            </w:r>
          </w:p>
        </w:tc>
      </w:tr>
      <w:tr w14:paraId="795EF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685" w:type="dxa"/>
            <w:vAlign w:val="center"/>
          </w:tcPr>
          <w:p w14:paraId="2ADACA7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1.2</w:t>
            </w:r>
          </w:p>
        </w:tc>
        <w:tc>
          <w:tcPr>
            <w:tcW w:w="2967" w:type="dxa"/>
            <w:vAlign w:val="center"/>
          </w:tcPr>
          <w:p w14:paraId="7F3FD54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szCs w:val="24"/>
                <w:highlight w:val="none"/>
                <w:lang w:val="en-US" w:eastAsia="zh-CN"/>
              </w:rPr>
            </w:pPr>
            <w:r>
              <w:rPr>
                <w:rFonts w:hint="default" w:ascii="宋体" w:hAnsi="宋体" w:cs="宋体"/>
                <w:color w:val="auto"/>
                <w:kern w:val="0"/>
                <w:sz w:val="24"/>
                <w:szCs w:val="24"/>
                <w:highlight w:val="none"/>
                <w:lang w:val="en-US" w:eastAsia="zh-CN"/>
              </w:rPr>
              <w:t>有害生物密度控制水平</w:t>
            </w:r>
          </w:p>
          <w:p w14:paraId="5729409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szCs w:val="24"/>
                <w:highlight w:val="none"/>
                <w:lang w:val="en-US" w:eastAsia="zh-CN"/>
              </w:rPr>
            </w:pPr>
          </w:p>
        </w:tc>
        <w:tc>
          <w:tcPr>
            <w:tcW w:w="5087" w:type="dxa"/>
            <w:vAlign w:val="center"/>
          </w:tcPr>
          <w:p w14:paraId="7758B0F7">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1.采购人</w:t>
            </w:r>
            <w:r>
              <w:rPr>
                <w:rFonts w:hint="default" w:ascii="宋体" w:hAnsi="宋体" w:cs="宋体"/>
                <w:color w:val="auto"/>
                <w:kern w:val="0"/>
                <w:sz w:val="24"/>
                <w:szCs w:val="24"/>
                <w:highlight w:val="none"/>
                <w:lang w:val="en-US" w:eastAsia="zh-CN"/>
              </w:rPr>
              <w:t>抽查</w:t>
            </w:r>
            <w:r>
              <w:rPr>
                <w:rFonts w:hint="eastAsia" w:ascii="宋体" w:hAnsi="宋体" w:cs="宋体"/>
                <w:color w:val="auto"/>
                <w:kern w:val="0"/>
                <w:sz w:val="24"/>
                <w:szCs w:val="24"/>
                <w:highlight w:val="none"/>
                <w:lang w:val="en-US" w:eastAsia="zh-CN"/>
              </w:rPr>
              <w:t>、由供应商不定期出具第三方检测报告（合同期内至少提供2次）</w:t>
            </w:r>
          </w:p>
          <w:p w14:paraId="4A9C2D48">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r>
              <w:rPr>
                <w:rFonts w:hint="default" w:ascii="宋体" w:hAnsi="宋体" w:cs="宋体"/>
                <w:color w:val="auto"/>
                <w:kern w:val="0"/>
                <w:sz w:val="24"/>
                <w:szCs w:val="24"/>
                <w:highlight w:val="none"/>
                <w:lang w:val="en-US" w:eastAsia="zh-CN"/>
              </w:rPr>
              <w:t>现场检查防制设施（如毒饵站完好率≥95%，无霉变鼠药）。</w:t>
            </w:r>
          </w:p>
        </w:tc>
      </w:tr>
      <w:tr w14:paraId="6766B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739" w:type="dxa"/>
            <w:gridSpan w:val="3"/>
            <w:vAlign w:val="center"/>
          </w:tcPr>
          <w:p w14:paraId="6B10B30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r>
              <w:rPr>
                <w:rFonts w:hint="default" w:ascii="宋体" w:hAnsi="宋体" w:cs="宋体"/>
                <w:color w:val="auto"/>
                <w:kern w:val="0"/>
                <w:sz w:val="24"/>
                <w:szCs w:val="24"/>
                <w:highlight w:val="none"/>
                <w:lang w:val="en-US" w:eastAsia="zh-CN"/>
              </w:rPr>
              <w:t>专项服务验收标准</w:t>
            </w:r>
          </w:p>
        </w:tc>
      </w:tr>
      <w:tr w14:paraId="22B1A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685" w:type="dxa"/>
            <w:vAlign w:val="center"/>
          </w:tcPr>
          <w:p w14:paraId="72DF931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2.1</w:t>
            </w:r>
          </w:p>
        </w:tc>
        <w:tc>
          <w:tcPr>
            <w:tcW w:w="2967" w:type="dxa"/>
            <w:vAlign w:val="center"/>
          </w:tcPr>
          <w:p w14:paraId="2EE16C7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highlight w:val="none"/>
                <w:lang w:val="en-US" w:eastAsia="zh-CN"/>
              </w:rPr>
            </w:pPr>
            <w:r>
              <w:rPr>
                <w:rFonts w:hint="default" w:ascii="宋体" w:hAnsi="宋体" w:cs="宋体"/>
                <w:color w:val="auto"/>
                <w:kern w:val="0"/>
                <w:sz w:val="24"/>
                <w:szCs w:val="24"/>
                <w:highlight w:val="none"/>
                <w:lang w:val="en-US" w:eastAsia="zh-CN"/>
              </w:rPr>
              <w:t>驱蛇服务（火化车间）</w:t>
            </w:r>
          </w:p>
        </w:tc>
        <w:tc>
          <w:tcPr>
            <w:tcW w:w="5087" w:type="dxa"/>
            <w:vAlign w:val="center"/>
          </w:tcPr>
          <w:p w14:paraId="39C4D886">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cs="宋体"/>
                <w:color w:val="auto"/>
                <w:kern w:val="0"/>
                <w:sz w:val="24"/>
                <w:szCs w:val="24"/>
                <w:highlight w:val="none"/>
                <w:lang w:val="en-US" w:eastAsia="zh-CN"/>
              </w:rPr>
            </w:pPr>
            <w:r>
              <w:rPr>
                <w:rFonts w:hint="default" w:ascii="宋体" w:hAnsi="宋体" w:cs="宋体"/>
                <w:color w:val="auto"/>
                <w:kern w:val="0"/>
                <w:sz w:val="24"/>
                <w:szCs w:val="24"/>
                <w:highlight w:val="none"/>
                <w:lang w:val="en-US" w:eastAsia="zh-CN"/>
              </w:rPr>
              <w:t>服务期内火化车间无蛇类目击报告。检查服务记录、现场监控或馆方签字确认单。</w:t>
            </w:r>
          </w:p>
        </w:tc>
      </w:tr>
      <w:tr w14:paraId="141C1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739" w:type="dxa"/>
            <w:gridSpan w:val="3"/>
            <w:vAlign w:val="center"/>
          </w:tcPr>
          <w:p w14:paraId="24FF1BF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w:t>
            </w:r>
            <w:r>
              <w:rPr>
                <w:rFonts w:hint="default" w:ascii="宋体" w:hAnsi="宋体" w:cs="宋体"/>
                <w:color w:val="auto"/>
                <w:kern w:val="0"/>
                <w:sz w:val="24"/>
                <w:szCs w:val="24"/>
                <w:highlight w:val="none"/>
                <w:lang w:val="en-US" w:eastAsia="zh-CN"/>
              </w:rPr>
              <w:t>应急治理响应机制</w:t>
            </w:r>
          </w:p>
        </w:tc>
      </w:tr>
      <w:tr w14:paraId="67D1E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685" w:type="dxa"/>
            <w:vAlign w:val="center"/>
          </w:tcPr>
          <w:p w14:paraId="2483EA1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3.1</w:t>
            </w:r>
          </w:p>
        </w:tc>
        <w:tc>
          <w:tcPr>
            <w:tcW w:w="2967" w:type="dxa"/>
            <w:vAlign w:val="center"/>
          </w:tcPr>
          <w:p w14:paraId="6924FBE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auto"/>
                <w:kern w:val="0"/>
                <w:sz w:val="24"/>
                <w:szCs w:val="24"/>
                <w:highlight w:val="none"/>
                <w:lang w:val="en-US" w:eastAsia="zh-CN"/>
              </w:rPr>
            </w:pPr>
            <w:r>
              <w:rPr>
                <w:rFonts w:hint="default" w:ascii="宋体" w:hAnsi="宋体" w:cs="宋体"/>
                <w:color w:val="auto"/>
                <w:kern w:val="0"/>
                <w:sz w:val="24"/>
                <w:szCs w:val="24"/>
                <w:highlight w:val="none"/>
                <w:lang w:val="en-US" w:eastAsia="zh-CN"/>
              </w:rPr>
              <w:t>白蚁治理</w:t>
            </w:r>
          </w:p>
        </w:tc>
        <w:tc>
          <w:tcPr>
            <w:tcW w:w="5087" w:type="dxa"/>
            <w:vAlign w:val="center"/>
          </w:tcPr>
          <w:p w14:paraId="051068AF">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cs="宋体"/>
                <w:color w:val="auto"/>
                <w:kern w:val="0"/>
                <w:sz w:val="24"/>
                <w:szCs w:val="24"/>
                <w:highlight w:val="none"/>
                <w:lang w:val="en-US" w:eastAsia="zh-CN"/>
              </w:rPr>
            </w:pPr>
            <w:r>
              <w:rPr>
                <w:rFonts w:hint="default" w:ascii="宋体" w:hAnsi="宋体" w:cs="宋体"/>
                <w:color w:val="auto"/>
                <w:kern w:val="0"/>
                <w:sz w:val="24"/>
                <w:szCs w:val="24"/>
                <w:highlight w:val="none"/>
                <w:lang w:val="en-US" w:eastAsia="zh-CN"/>
              </w:rPr>
              <w:t>查验响应时间记录、治理方案、现场照片及费用结算单。</w:t>
            </w:r>
          </w:p>
        </w:tc>
      </w:tr>
      <w:tr w14:paraId="2BC31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739" w:type="dxa"/>
            <w:gridSpan w:val="3"/>
            <w:vAlign w:val="center"/>
          </w:tcPr>
          <w:p w14:paraId="5B4F580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w:t>
            </w:r>
            <w:r>
              <w:rPr>
                <w:rFonts w:hint="default" w:ascii="宋体" w:hAnsi="宋体" w:cs="宋体"/>
                <w:color w:val="auto"/>
                <w:kern w:val="0"/>
                <w:sz w:val="24"/>
                <w:szCs w:val="24"/>
                <w:highlight w:val="none"/>
                <w:lang w:eastAsia="zh-CN"/>
              </w:rPr>
              <w:t>药品与器械管理标准</w:t>
            </w:r>
          </w:p>
        </w:tc>
      </w:tr>
      <w:tr w14:paraId="71A31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685" w:type="dxa"/>
            <w:vAlign w:val="center"/>
          </w:tcPr>
          <w:p w14:paraId="047C2A6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4.1</w:t>
            </w:r>
          </w:p>
        </w:tc>
        <w:tc>
          <w:tcPr>
            <w:tcW w:w="2967" w:type="dxa"/>
            <w:vAlign w:val="center"/>
          </w:tcPr>
          <w:p w14:paraId="18D866C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highlight w:val="none"/>
                <w:lang w:val="en-US" w:eastAsia="zh-CN"/>
              </w:rPr>
            </w:pPr>
            <w:r>
              <w:rPr>
                <w:rFonts w:hint="default" w:ascii="宋体" w:hAnsi="宋体" w:cs="宋体"/>
                <w:color w:val="auto"/>
                <w:kern w:val="0"/>
                <w:sz w:val="24"/>
                <w:szCs w:val="24"/>
                <w:highlight w:val="none"/>
                <w:lang w:eastAsia="zh-CN"/>
              </w:rPr>
              <w:t>药品合规性</w:t>
            </w:r>
          </w:p>
        </w:tc>
        <w:tc>
          <w:tcPr>
            <w:tcW w:w="5087" w:type="dxa"/>
            <w:vAlign w:val="center"/>
          </w:tcPr>
          <w:p w14:paraId="37F98093">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宋体" w:hAnsi="宋体" w:cs="宋体"/>
                <w:color w:val="auto"/>
                <w:kern w:val="0"/>
                <w:sz w:val="24"/>
                <w:szCs w:val="24"/>
                <w:highlight w:val="none"/>
                <w:lang w:val="en-US" w:eastAsia="zh-CN"/>
              </w:rPr>
            </w:pPr>
            <w:r>
              <w:rPr>
                <w:rFonts w:hint="default" w:ascii="宋体" w:hAnsi="宋体" w:cs="宋体"/>
                <w:color w:val="auto"/>
                <w:kern w:val="0"/>
                <w:sz w:val="24"/>
                <w:szCs w:val="24"/>
                <w:highlight w:val="none"/>
                <w:lang w:eastAsia="zh-CN"/>
              </w:rPr>
              <w:t>每</w:t>
            </w:r>
            <w:bookmarkStart w:id="337" w:name="_GoBack"/>
            <w:r>
              <w:rPr>
                <w:rFonts w:hint="default" w:ascii="宋体" w:hAnsi="宋体" w:cs="宋体"/>
                <w:color w:val="auto"/>
                <w:kern w:val="0"/>
                <w:sz w:val="24"/>
                <w:szCs w:val="24"/>
                <w:highlight w:val="none"/>
                <w:lang w:eastAsia="zh-CN"/>
              </w:rPr>
              <w:t>次服务提供药品清单及“三证”复印件</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驱蛇药剂除外</w:t>
            </w:r>
            <w:r>
              <w:rPr>
                <w:rFonts w:hint="eastAsia" w:ascii="宋体" w:hAnsi="宋体" w:cs="宋体"/>
                <w:color w:val="auto"/>
                <w:kern w:val="0"/>
                <w:sz w:val="24"/>
                <w:szCs w:val="24"/>
                <w:highlight w:val="none"/>
                <w:lang w:val="en-US" w:eastAsia="zh-CN"/>
              </w:rPr>
              <w:t>）</w:t>
            </w:r>
            <w:r>
              <w:rPr>
                <w:rFonts w:hint="default"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eastAsia="zh-CN"/>
              </w:rPr>
              <w:t>采购</w:t>
            </w:r>
            <w:bookmarkEnd w:id="337"/>
            <w:r>
              <w:rPr>
                <w:rFonts w:hint="eastAsia" w:ascii="宋体" w:hAnsi="宋体" w:cs="宋体"/>
                <w:color w:val="auto"/>
                <w:kern w:val="0"/>
                <w:sz w:val="24"/>
                <w:szCs w:val="24"/>
                <w:highlight w:val="none"/>
                <w:lang w:eastAsia="zh-CN"/>
              </w:rPr>
              <w:t>人</w:t>
            </w:r>
            <w:r>
              <w:rPr>
                <w:rFonts w:hint="default" w:ascii="宋体" w:hAnsi="宋体" w:cs="宋体"/>
                <w:color w:val="auto"/>
                <w:kern w:val="0"/>
                <w:sz w:val="24"/>
                <w:szCs w:val="24"/>
                <w:highlight w:val="none"/>
                <w:lang w:eastAsia="zh-CN"/>
              </w:rPr>
              <w:t>随机抽检药品标签</w:t>
            </w:r>
          </w:p>
        </w:tc>
      </w:tr>
      <w:tr w14:paraId="031DD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685" w:type="dxa"/>
            <w:vAlign w:val="center"/>
          </w:tcPr>
          <w:p w14:paraId="2590059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4.2</w:t>
            </w:r>
          </w:p>
        </w:tc>
        <w:tc>
          <w:tcPr>
            <w:tcW w:w="2967" w:type="dxa"/>
            <w:vAlign w:val="center"/>
          </w:tcPr>
          <w:p w14:paraId="4109694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color w:val="auto"/>
                <w:kern w:val="0"/>
                <w:sz w:val="24"/>
                <w:szCs w:val="24"/>
                <w:highlight w:val="none"/>
                <w:lang w:val="en-US" w:eastAsia="zh-CN"/>
              </w:rPr>
            </w:pPr>
            <w:r>
              <w:rPr>
                <w:rFonts w:hint="default" w:ascii="宋体" w:hAnsi="宋体" w:cs="宋体"/>
                <w:color w:val="auto"/>
                <w:kern w:val="0"/>
                <w:sz w:val="24"/>
                <w:szCs w:val="24"/>
                <w:highlight w:val="none"/>
                <w:lang w:eastAsia="zh-CN"/>
              </w:rPr>
              <w:t>设备与耗材要求</w:t>
            </w:r>
          </w:p>
        </w:tc>
        <w:tc>
          <w:tcPr>
            <w:tcW w:w="5087" w:type="dxa"/>
            <w:vAlign w:val="center"/>
          </w:tcPr>
          <w:p w14:paraId="6CC50472">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宋体" w:hAnsi="宋体" w:cs="宋体"/>
                <w:color w:val="auto"/>
                <w:kern w:val="0"/>
                <w:sz w:val="24"/>
                <w:szCs w:val="24"/>
                <w:highlight w:val="none"/>
                <w:lang w:eastAsia="zh-CN"/>
              </w:rPr>
            </w:pPr>
            <w:r>
              <w:rPr>
                <w:rFonts w:hint="default" w:ascii="宋体" w:hAnsi="宋体" w:cs="宋体"/>
                <w:color w:val="auto"/>
                <w:kern w:val="0"/>
                <w:sz w:val="24"/>
                <w:szCs w:val="24"/>
                <w:highlight w:val="none"/>
                <w:lang w:eastAsia="zh-CN"/>
              </w:rPr>
              <w:t>现场检查设备状态及环保标识</w:t>
            </w:r>
          </w:p>
        </w:tc>
      </w:tr>
    </w:tbl>
    <w:p w14:paraId="0F80B2C9">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3.处罚措施</w:t>
      </w:r>
    </w:p>
    <w:p w14:paraId="03F34965">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3.1灭鼠、灭蚊蝇、灭蟑螂作业，达不到GB/T 27770-2011《病媒生物密度控制水平 鼠类》C级、GB/T 27771-2011《病媒生物密度控制水平 蚊虫类》C级、GB/T 27772-2011《病媒生物密度控制水平 蝇类》C级、GB/T27773—2011《病媒生物密度控制水平 蜚蠊》C级要求的，第一次扣10%的进度款，第二次扣20%的进度款，第三次视为未按合同履约，采购人有权提出解除合同，因此造成的损失由成交供应商承担，且履约保证金不予退还。</w:t>
      </w:r>
    </w:p>
    <w:p w14:paraId="20092688">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 4-10月进入常态化驱蛇（每月2次），</w:t>
      </w:r>
      <w:r>
        <w:rPr>
          <w:rFonts w:hint="eastAsia" w:ascii="宋体" w:hAnsi="宋体" w:eastAsia="宋体" w:cs="宋体"/>
          <w:color w:val="auto"/>
          <w:sz w:val="24"/>
          <w:szCs w:val="24"/>
          <w:highlight w:val="none"/>
          <w:lang w:val="en-US" w:eastAsia="zh-CN" w:bidi="ar"/>
        </w:rPr>
        <w:t>供应商接到采购人通知后2小时内响应并到达现场</w:t>
      </w:r>
      <w:r>
        <w:rPr>
          <w:rFonts w:hint="eastAsia" w:ascii="宋体" w:hAnsi="宋体" w:cs="宋体"/>
          <w:color w:val="auto"/>
          <w:sz w:val="24"/>
          <w:szCs w:val="24"/>
          <w:highlight w:val="none"/>
          <w:lang w:val="en-US" w:eastAsia="zh-CN" w:bidi="ar"/>
        </w:rPr>
        <w:t>，每延迟1小时扣5%的进度款，以此类推。</w:t>
      </w:r>
      <w:r>
        <w:rPr>
          <w:rFonts w:hint="eastAsia" w:ascii="宋体" w:hAnsi="宋体" w:eastAsia="宋体" w:cs="宋体"/>
          <w:color w:val="auto"/>
          <w:sz w:val="24"/>
          <w:szCs w:val="24"/>
          <w:highlight w:val="none"/>
          <w:lang w:val="en-US" w:eastAsia="zh-CN"/>
        </w:rPr>
        <w:t>4-10月期间如在驱蛇范围内肉眼发现蛇类，第一次罚款200元，第二次罚款400元，第三次视为未按合同履约，采购人有权提出解除合同，因此造成的损失由成交供应商承担，且履约保证金不予退还。</w:t>
      </w:r>
    </w:p>
    <w:p w14:paraId="70134157">
      <w:pPr>
        <w:pageBreakBefore w:val="0"/>
        <w:kinsoku/>
        <w:wordWrap/>
        <w:overflowPunct/>
        <w:topLinePunct w:val="0"/>
        <w:autoSpaceDE/>
        <w:autoSpaceDN/>
        <w:bidi w:val="0"/>
        <w:adjustRightInd/>
        <w:snapToGrid w:val="0"/>
        <w:spacing w:line="40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3.3白蚁治理，供应商接到采购人通知后2小时内响应并到达现场，白蚁治理质保期</w:t>
      </w:r>
      <w:r>
        <w:rPr>
          <w:rFonts w:hint="eastAsia" w:ascii="宋体" w:hAnsi="宋体" w:cs="宋体"/>
          <w:color w:val="auto"/>
          <w:sz w:val="24"/>
          <w:szCs w:val="24"/>
          <w:highlight w:val="none"/>
          <w:lang w:val="en-US" w:eastAsia="zh-CN"/>
        </w:rPr>
        <w:t>为1</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（从合同期满后开始计算），服务期和质保期内发现白蚁</w:t>
      </w:r>
      <w:r>
        <w:rPr>
          <w:rFonts w:hint="eastAsia" w:ascii="宋体" w:hAnsi="宋体" w:eastAsia="宋体" w:cs="宋体"/>
          <w:color w:val="auto"/>
          <w:sz w:val="24"/>
          <w:szCs w:val="24"/>
          <w:highlight w:val="none"/>
          <w:lang w:val="en-US" w:eastAsia="zh-CN"/>
        </w:rPr>
        <w:t>不重复支付治理费用，如果同一位置连续治理2次均没有达到效果的视为未按合同履约，采购人有权提出解除合同，因此造成的损失由成交供应商承担，且履约保证金不予退还。</w:t>
      </w:r>
    </w:p>
    <w:p w14:paraId="77BEA17B">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若采购人接到各科室和治丧群众投诉，则立即通知成交供应商整改，如成交供应商拒不整改或同一季度发现第二次，将予以100元为基数成倍数的罚款（第二次罚款100元，第三次罚款200元，以此类推，上不封顶），同一情况在一个月内出现两次，采购人有权提出解除合同，因此造成的损失由成交供应商承担，且履约保证金不予退还。</w:t>
      </w:r>
    </w:p>
    <w:p w14:paraId="7CDD9BB2">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如因成交供应商未及时处置采购范围内有害生物、蛇类、白蚁，导致采购人财产损失，特别是大型设备线路被老鼠咬坏，导致设备停运，造成损失，采购人有权通过查看成交供应商服务记录及现场调查，经调查如果是因成交供应商服务质量原因造成，将予以2000元为基数成倍数的罚款（第二次罚款4000元，第三次罚款8000元，以此类推，上不封顶），并要求供应商进行整改，情况严重或服务期同一事项累积出现二次及以上，采购人有权提出解除合同，因此造成的损失由成交供应商承担，且履约保证金不予退还。</w:t>
      </w:r>
    </w:p>
    <w:p w14:paraId="52414468">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3.6采购人有需求时未</w:t>
      </w:r>
      <w:r>
        <w:rPr>
          <w:rFonts w:hint="eastAsia" w:ascii="宋体" w:hAnsi="宋体" w:cs="宋体"/>
          <w:color w:val="auto"/>
          <w:sz w:val="24"/>
          <w:szCs w:val="24"/>
          <w:highlight w:val="none"/>
          <w:lang w:val="en-US" w:eastAsia="zh-CN"/>
        </w:rPr>
        <w:t>在规定时间内</w:t>
      </w:r>
      <w:r>
        <w:rPr>
          <w:rFonts w:hint="eastAsia" w:ascii="宋体" w:hAnsi="宋体" w:eastAsia="宋体" w:cs="宋体"/>
          <w:color w:val="auto"/>
          <w:sz w:val="24"/>
          <w:szCs w:val="24"/>
          <w:highlight w:val="none"/>
          <w:lang w:val="en-US" w:eastAsia="zh-CN"/>
        </w:rPr>
        <w:t>到达并开展工作的情形，第一次罚款200元、第二次罚款400元，第三次罚款800元以此类推，上不封顶，累积出现2次及以上，采购人有权解除合同，因此造成的损失由成交供应商承担，且履约保证金不予退还。</w:t>
      </w:r>
    </w:p>
    <w:p w14:paraId="64D0B818">
      <w:pPr>
        <w:pageBreakBefore w:val="0"/>
        <w:kinsoku/>
        <w:wordWrap/>
        <w:overflowPunct/>
        <w:topLinePunct w:val="0"/>
        <w:autoSpaceDE/>
        <w:autoSpaceDN/>
        <w:bidi w:val="0"/>
        <w:adjustRightInd/>
        <w:snapToGrid w:val="0"/>
        <w:spacing w:line="40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3.7</w:t>
      </w:r>
      <w:r>
        <w:rPr>
          <w:rFonts w:hint="default" w:ascii="宋体" w:hAnsi="宋体" w:eastAsia="宋体" w:cs="宋体"/>
          <w:color w:val="auto"/>
          <w:sz w:val="24"/>
          <w:szCs w:val="24"/>
          <w:highlight w:val="none"/>
          <w:lang w:val="en-US" w:eastAsia="zh-CN"/>
        </w:rPr>
        <w:t>使用不合规药品</w:t>
      </w:r>
      <w:r>
        <w:rPr>
          <w:rFonts w:hint="eastAsia" w:ascii="宋体" w:hAnsi="宋体" w:eastAsia="宋体" w:cs="宋体"/>
          <w:color w:val="auto"/>
          <w:sz w:val="24"/>
          <w:szCs w:val="24"/>
          <w:highlight w:val="none"/>
          <w:lang w:val="en-US" w:eastAsia="zh-CN"/>
        </w:rPr>
        <w:t>，采购人有权解除合同，因此造成的损失由成交供应商承担，且履约保证金不予退还。</w:t>
      </w:r>
    </w:p>
    <w:p w14:paraId="5DF26769">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说明：以上情况出现任意一条，第一次扣除5%履约保证金，第二次扣除10%履约保证金，如出现三次及以上，则采购人有权提出解除合同，因此造成的损失由成交供应商承担，且履约保证金不予退还。</w:t>
      </w:r>
    </w:p>
    <w:p w14:paraId="35EB88CA">
      <w:pPr>
        <w:pStyle w:val="3"/>
        <w:pageBreakBefore w:val="0"/>
        <w:numPr>
          <w:ilvl w:val="1"/>
          <w:numId w:val="0"/>
        </w:numPr>
        <w:kinsoku/>
        <w:wordWrap/>
        <w:overflowPunct/>
        <w:topLinePunct w:val="0"/>
        <w:autoSpaceDE/>
        <w:autoSpaceDN/>
        <w:bidi w:val="0"/>
        <w:adjustRightInd/>
        <w:spacing w:line="400" w:lineRule="exact"/>
        <w:textAlignment w:val="auto"/>
        <w:rPr>
          <w:rFonts w:ascii="宋体" w:hAnsi="宋体" w:eastAsia="宋体"/>
          <w:b/>
          <w:color w:val="auto"/>
          <w:sz w:val="24"/>
          <w:szCs w:val="24"/>
          <w:highlight w:val="none"/>
        </w:rPr>
      </w:pPr>
      <w:bookmarkStart w:id="112" w:name="_Toc20490"/>
      <w:r>
        <w:rPr>
          <w:rFonts w:hint="eastAsia" w:ascii="宋体" w:hAnsi="宋体" w:eastAsia="宋体"/>
          <w:b/>
          <w:color w:val="auto"/>
          <w:sz w:val="24"/>
          <w:szCs w:val="24"/>
          <w:highlight w:val="none"/>
        </w:rPr>
        <w:t>二、</w:t>
      </w:r>
      <w:bookmarkEnd w:id="104"/>
      <w:bookmarkEnd w:id="105"/>
      <w:bookmarkEnd w:id="106"/>
      <w:bookmarkEnd w:id="107"/>
      <w:r>
        <w:rPr>
          <w:rFonts w:hint="eastAsia" w:ascii="宋体" w:hAnsi="宋体" w:eastAsia="宋体"/>
          <w:b/>
          <w:color w:val="auto"/>
          <w:sz w:val="24"/>
          <w:szCs w:val="24"/>
          <w:highlight w:val="none"/>
        </w:rPr>
        <w:t>报价要求</w:t>
      </w:r>
      <w:bookmarkEnd w:id="112"/>
    </w:p>
    <w:p w14:paraId="237D4156">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bookmarkStart w:id="113" w:name="_Toc29365"/>
      <w:bookmarkStart w:id="114" w:name="_Toc31443"/>
      <w:bookmarkStart w:id="115" w:name="_Toc21511"/>
      <w:bookmarkStart w:id="116" w:name="_Toc9937"/>
      <w:r>
        <w:rPr>
          <w:rFonts w:hint="eastAsia" w:ascii="宋体" w:hAnsi="宋体" w:eastAsia="宋体" w:cs="宋体"/>
          <w:color w:val="auto"/>
          <w:sz w:val="24"/>
          <w:szCs w:val="24"/>
          <w:highlight w:val="none"/>
          <w:lang w:val="en-US" w:eastAsia="zh-CN"/>
        </w:rPr>
        <w:t>（一）本项目报价</w:t>
      </w:r>
      <w:r>
        <w:rPr>
          <w:rFonts w:hint="eastAsia" w:ascii="宋体" w:hAnsi="宋体" w:eastAsia="宋体" w:cs="宋体"/>
          <w:color w:val="auto"/>
          <w:sz w:val="24"/>
          <w:szCs w:val="24"/>
          <w:highlight w:val="none"/>
          <w:lang w:val="zh-CN" w:eastAsia="zh-CN"/>
        </w:rPr>
        <w:t>为</w:t>
      </w:r>
      <w:r>
        <w:rPr>
          <w:rFonts w:hint="eastAsia" w:ascii="宋体" w:hAnsi="宋体" w:eastAsia="宋体" w:cs="宋体"/>
          <w:color w:val="auto"/>
          <w:sz w:val="24"/>
          <w:szCs w:val="24"/>
          <w:highlight w:val="none"/>
          <w:lang w:val="en-US" w:eastAsia="zh-CN"/>
        </w:rPr>
        <w:t>折扣报价</w:t>
      </w:r>
      <w:r>
        <w:rPr>
          <w:rFonts w:hint="eastAsia" w:ascii="宋体" w:hAnsi="宋体" w:cs="宋体"/>
          <w:color w:val="auto"/>
          <w:sz w:val="24"/>
          <w:szCs w:val="24"/>
          <w:highlight w:val="none"/>
          <w:lang w:val="en-US" w:eastAsia="zh-CN"/>
        </w:rPr>
        <w:t>（结算折扣）</w:t>
      </w:r>
      <w:r>
        <w:rPr>
          <w:rFonts w:hint="eastAsia" w:ascii="宋体" w:hAnsi="宋体" w:eastAsia="宋体" w:cs="宋体"/>
          <w:color w:val="auto"/>
          <w:sz w:val="24"/>
          <w:szCs w:val="24"/>
          <w:highlight w:val="none"/>
          <w:lang w:val="en-US" w:eastAsia="zh-CN"/>
        </w:rPr>
        <w:t>，非下浮折扣。折扣报价填报范围为0%-</w:t>
      </w:r>
      <w:r>
        <w:rPr>
          <w:rFonts w:hint="eastAsia" w:ascii="宋体" w:hAnsi="宋体" w:cs="宋体"/>
          <w:color w:val="auto"/>
          <w:sz w:val="24"/>
          <w:szCs w:val="24"/>
          <w:highlight w:val="none"/>
          <w:lang w:val="en-US" w:eastAsia="zh-CN"/>
        </w:rPr>
        <w:t>100</w:t>
      </w:r>
      <w:r>
        <w:rPr>
          <w:rFonts w:hint="eastAsia" w:ascii="宋体" w:hAnsi="宋体" w:eastAsia="宋体" w:cs="宋体"/>
          <w:color w:val="auto"/>
          <w:sz w:val="24"/>
          <w:szCs w:val="24"/>
          <w:highlight w:val="none"/>
          <w:lang w:val="en-US" w:eastAsia="zh-CN"/>
        </w:rPr>
        <w:t>%（不包含0），折扣报价保留整数。【举例：折扣报价为98%，则结算折扣为9.8折】</w:t>
      </w:r>
    </w:p>
    <w:p w14:paraId="038F601E">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（二）折扣报价以【竞争性磋商文件 第二篇项目服务需求 二、项目内容及要求 （二）服务内容】中的单价为基准进行统一折扣报价，成交后全服务周期内采购方不再考虑市场浮动等因素导致的价格变化而调整成交单价，供应商需自行考虑由此产生的风险因素。</w:t>
      </w:r>
    </w:p>
    <w:p w14:paraId="17D57774">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w:t>
      </w:r>
      <w:r>
        <w:rPr>
          <w:rFonts w:hint="eastAsia" w:ascii="宋体" w:hAnsi="宋体" w:cs="宋体"/>
          <w:color w:val="auto"/>
          <w:sz w:val="24"/>
          <w:szCs w:val="24"/>
          <w:highlight w:val="none"/>
          <w:lang w:val="en-US" w:eastAsia="zh-CN"/>
        </w:rPr>
        <w:t>成交折扣折算各项单价时，四舍五入保留至小数点后两位。</w:t>
      </w:r>
    </w:p>
    <w:p w14:paraId="31B83AE5">
      <w:pPr>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eastAsia="zh-CN"/>
        </w:rPr>
        <w:t>（四）</w:t>
      </w:r>
      <w:r>
        <w:rPr>
          <w:rFonts w:hint="eastAsia" w:ascii="宋体" w:hAnsi="宋体" w:cs="宋体"/>
          <w:color w:val="auto"/>
          <w:sz w:val="24"/>
          <w:szCs w:val="24"/>
          <w:highlight w:val="none"/>
        </w:rPr>
        <w:t>报价包括但不限于完成本项目所需的</w:t>
      </w:r>
      <w:r>
        <w:rPr>
          <w:rFonts w:hint="eastAsia" w:ascii="宋体" w:hAnsi="宋体" w:cs="宋体"/>
          <w:color w:val="auto"/>
          <w:kern w:val="0"/>
          <w:sz w:val="24"/>
          <w:szCs w:val="24"/>
          <w:highlight w:val="none"/>
        </w:rPr>
        <w:t>人工费、劳务费、设备费、材料费、交通费、税费、风险费</w:t>
      </w:r>
      <w:r>
        <w:rPr>
          <w:rFonts w:hint="eastAsia" w:ascii="宋体" w:hAnsi="宋体" w:cs="宋体"/>
          <w:color w:val="auto"/>
          <w:sz w:val="24"/>
          <w:szCs w:val="24"/>
          <w:highlight w:val="none"/>
        </w:rPr>
        <w:t>及各种应纳的税费等。因供应商自身原因造成漏报、少报皆由其自行承担责任，采购人不再补偿。</w:t>
      </w:r>
    </w:p>
    <w:p w14:paraId="7E57B088">
      <w:pPr>
        <w:pStyle w:val="3"/>
        <w:pageBreakBefore w:val="0"/>
        <w:numPr>
          <w:ilvl w:val="1"/>
          <w:numId w:val="0"/>
        </w:numPr>
        <w:kinsoku/>
        <w:wordWrap/>
        <w:overflowPunct/>
        <w:topLinePunct w:val="0"/>
        <w:autoSpaceDE/>
        <w:autoSpaceDN/>
        <w:bidi w:val="0"/>
        <w:adjustRightInd/>
        <w:spacing w:line="400" w:lineRule="exact"/>
        <w:textAlignment w:val="auto"/>
        <w:rPr>
          <w:rFonts w:ascii="宋体" w:hAnsi="宋体" w:eastAsia="宋体"/>
          <w:color w:val="auto"/>
          <w:sz w:val="24"/>
          <w:szCs w:val="24"/>
          <w:highlight w:val="none"/>
        </w:rPr>
      </w:pPr>
      <w:bookmarkStart w:id="117" w:name="_Toc27696"/>
      <w:r>
        <w:rPr>
          <w:rFonts w:hint="eastAsia" w:ascii="宋体" w:hAnsi="宋体" w:eastAsia="宋体"/>
          <w:b/>
          <w:color w:val="auto"/>
          <w:sz w:val="24"/>
          <w:szCs w:val="24"/>
          <w:highlight w:val="none"/>
        </w:rPr>
        <w:t>三、</w:t>
      </w:r>
      <w:bookmarkEnd w:id="108"/>
      <w:bookmarkEnd w:id="109"/>
      <w:bookmarkEnd w:id="110"/>
      <w:bookmarkEnd w:id="111"/>
      <w:bookmarkEnd w:id="113"/>
      <w:bookmarkEnd w:id="114"/>
      <w:bookmarkEnd w:id="115"/>
      <w:bookmarkEnd w:id="116"/>
      <w:bookmarkStart w:id="118" w:name="_Toc267320052"/>
      <w:bookmarkStart w:id="119" w:name="_Toc30396"/>
      <w:bookmarkStart w:id="120" w:name="_Toc76373881"/>
      <w:bookmarkStart w:id="121" w:name="_Toc11159"/>
      <w:bookmarkStart w:id="122" w:name="_Toc22056"/>
      <w:bookmarkStart w:id="123" w:name="_Toc32008"/>
      <w:bookmarkStart w:id="124" w:name="_Toc31346"/>
      <w:bookmarkStart w:id="125" w:name="_Toc21764"/>
      <w:r>
        <w:rPr>
          <w:rFonts w:hint="eastAsia" w:ascii="宋体" w:hAnsi="宋体" w:eastAsia="宋体"/>
          <w:b/>
          <w:color w:val="auto"/>
          <w:sz w:val="24"/>
          <w:szCs w:val="24"/>
          <w:highlight w:val="none"/>
        </w:rPr>
        <w:t>履约保证金及付款方式</w:t>
      </w:r>
      <w:bookmarkEnd w:id="117"/>
    </w:p>
    <w:p w14:paraId="66CC7CC2">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（一）履约保证金</w:t>
      </w:r>
    </w:p>
    <w:p w14:paraId="5FB79A41">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126" w:name="OLE_LINK3"/>
      <w:r>
        <w:rPr>
          <w:rFonts w:hint="eastAsia" w:ascii="宋体" w:hAnsi="宋体" w:eastAsia="宋体" w:cs="宋体"/>
          <w:color w:val="auto"/>
          <w:sz w:val="24"/>
          <w:szCs w:val="24"/>
          <w:highlight w:val="none"/>
        </w:rPr>
        <w:t>合同签订</w:t>
      </w:r>
      <w:r>
        <w:rPr>
          <w:rFonts w:hint="eastAsia" w:ascii="宋体" w:hAnsi="宋体" w:cs="宋体"/>
          <w:color w:val="auto"/>
          <w:sz w:val="24"/>
          <w:szCs w:val="24"/>
          <w:highlight w:val="none"/>
          <w:lang w:eastAsia="zh-CN"/>
        </w:rPr>
        <w:t>前，</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向采购人缴纳合同金额</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%的履约保证金（以支票、汇票、本票或者金融机构、担保机构出具的保函等非现金形式提交</w:t>
      </w:r>
      <w:bookmarkEnd w:id="126"/>
      <w:r>
        <w:rPr>
          <w:rFonts w:hint="eastAsia" w:ascii="宋体" w:hAnsi="宋体" w:eastAsia="宋体" w:cs="宋体"/>
          <w:color w:val="auto"/>
          <w:sz w:val="24"/>
          <w:szCs w:val="24"/>
          <w:highlight w:val="none"/>
        </w:rPr>
        <w:t>。）</w:t>
      </w:r>
    </w:p>
    <w:p w14:paraId="69C7D98C">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2.履约保证金在服务完成后按原方式无息退还</w:t>
      </w:r>
      <w:r>
        <w:rPr>
          <w:rFonts w:hint="eastAsia" w:ascii="宋体" w:hAnsi="宋体" w:eastAsia="宋体" w:cs="宋体"/>
          <w:color w:val="auto"/>
          <w:sz w:val="24"/>
          <w:szCs w:val="24"/>
          <w:highlight w:val="none"/>
        </w:rPr>
        <w:t>。</w:t>
      </w:r>
    </w:p>
    <w:p w14:paraId="728A1FD6">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（二）付款方式</w:t>
      </w:r>
    </w:p>
    <w:p w14:paraId="5BAFF887">
      <w:pPr>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eastAsia="宋体" w:cs="宋体"/>
          <w:color w:val="auto"/>
          <w:sz w:val="24"/>
          <w:szCs w:val="24"/>
          <w:highlight w:val="none"/>
          <w:lang w:val="en-US" w:eastAsia="zh-CN"/>
        </w:rPr>
        <w:t>采购人将依据合同总金额，核算每个月的项目进度款项。在此基础上，采取每三个月为一个支付周期的方式，向成交供应商集中支付相应费用。</w:t>
      </w:r>
    </w:p>
    <w:p w14:paraId="12FC6BB2">
      <w:pPr>
        <w:pStyle w:val="3"/>
        <w:pageBreakBefore w:val="0"/>
        <w:numPr>
          <w:ilvl w:val="1"/>
          <w:numId w:val="0"/>
        </w:numPr>
        <w:kinsoku/>
        <w:wordWrap/>
        <w:overflowPunct/>
        <w:topLinePunct w:val="0"/>
        <w:autoSpaceDE/>
        <w:autoSpaceDN/>
        <w:bidi w:val="0"/>
        <w:adjustRightInd/>
        <w:spacing w:line="400" w:lineRule="exact"/>
        <w:textAlignment w:val="auto"/>
        <w:rPr>
          <w:rFonts w:ascii="宋体" w:hAnsi="宋体" w:eastAsia="宋体"/>
          <w:b/>
          <w:color w:val="auto"/>
          <w:sz w:val="24"/>
          <w:szCs w:val="24"/>
          <w:highlight w:val="none"/>
        </w:rPr>
      </w:pPr>
      <w:bookmarkStart w:id="127" w:name="_Toc17984"/>
      <w:r>
        <w:rPr>
          <w:rFonts w:hint="eastAsia" w:ascii="宋体" w:hAnsi="宋体" w:eastAsia="宋体"/>
          <w:b/>
          <w:color w:val="auto"/>
          <w:sz w:val="24"/>
          <w:szCs w:val="24"/>
          <w:highlight w:val="none"/>
          <w:lang w:eastAsia="zh-CN"/>
        </w:rPr>
        <w:t>四</w:t>
      </w:r>
      <w:r>
        <w:rPr>
          <w:rFonts w:hint="eastAsia" w:ascii="宋体" w:hAnsi="宋体" w:eastAsia="宋体"/>
          <w:b/>
          <w:color w:val="auto"/>
          <w:sz w:val="24"/>
          <w:szCs w:val="24"/>
          <w:highlight w:val="none"/>
        </w:rPr>
        <w:t>、知识产权</w:t>
      </w:r>
      <w:bookmarkEnd w:id="118"/>
      <w:bookmarkEnd w:id="119"/>
      <w:bookmarkEnd w:id="120"/>
      <w:bookmarkEnd w:id="121"/>
      <w:bookmarkEnd w:id="122"/>
      <w:bookmarkEnd w:id="123"/>
      <w:bookmarkEnd w:id="124"/>
      <w:bookmarkEnd w:id="125"/>
      <w:bookmarkEnd w:id="127"/>
    </w:p>
    <w:p w14:paraId="0359B004">
      <w:pPr>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采购人在中华人民共和国境内使用供应商提供的货物及服务时免受第三方提出的侵犯其专利权或其它知识产权的起诉。如果第三方提出侵权指控，成交供应商应承担由此而引起的一切法律责任和费用。</w:t>
      </w:r>
    </w:p>
    <w:p w14:paraId="4E0592BB">
      <w:pPr>
        <w:pStyle w:val="3"/>
        <w:pageBreakBefore w:val="0"/>
        <w:numPr>
          <w:ilvl w:val="1"/>
          <w:numId w:val="0"/>
        </w:numPr>
        <w:kinsoku/>
        <w:wordWrap/>
        <w:overflowPunct/>
        <w:topLinePunct w:val="0"/>
        <w:autoSpaceDE/>
        <w:autoSpaceDN/>
        <w:bidi w:val="0"/>
        <w:adjustRightInd/>
        <w:spacing w:line="400" w:lineRule="exact"/>
        <w:textAlignment w:val="auto"/>
        <w:rPr>
          <w:rFonts w:ascii="宋体" w:hAnsi="宋体" w:eastAsia="宋体"/>
          <w:b/>
          <w:color w:val="auto"/>
          <w:sz w:val="24"/>
          <w:szCs w:val="24"/>
          <w:highlight w:val="none"/>
        </w:rPr>
      </w:pPr>
      <w:bookmarkStart w:id="128" w:name="_Toc1051"/>
      <w:bookmarkStart w:id="129" w:name="_Toc76373883"/>
      <w:bookmarkStart w:id="130" w:name="_Toc32649"/>
      <w:bookmarkStart w:id="131" w:name="_Toc28960"/>
      <w:bookmarkStart w:id="132" w:name="_Toc13865"/>
      <w:bookmarkStart w:id="133" w:name="_Toc21493"/>
      <w:bookmarkStart w:id="134" w:name="_Toc22507"/>
      <w:bookmarkStart w:id="135" w:name="_Toc27211"/>
      <w:r>
        <w:rPr>
          <w:rFonts w:hint="eastAsia" w:ascii="宋体" w:hAnsi="宋体" w:eastAsia="宋体"/>
          <w:b/>
          <w:color w:val="auto"/>
          <w:sz w:val="24"/>
          <w:szCs w:val="24"/>
          <w:highlight w:val="none"/>
          <w:lang w:eastAsia="zh-CN"/>
        </w:rPr>
        <w:t>五</w:t>
      </w:r>
      <w:r>
        <w:rPr>
          <w:rFonts w:hint="eastAsia" w:ascii="宋体" w:hAnsi="宋体" w:eastAsia="宋体"/>
          <w:b/>
          <w:color w:val="auto"/>
          <w:sz w:val="24"/>
          <w:szCs w:val="24"/>
          <w:highlight w:val="none"/>
        </w:rPr>
        <w:t>、其他</w:t>
      </w:r>
      <w:bookmarkEnd w:id="128"/>
      <w:bookmarkEnd w:id="129"/>
      <w:bookmarkEnd w:id="130"/>
      <w:bookmarkEnd w:id="131"/>
      <w:bookmarkEnd w:id="132"/>
      <w:bookmarkEnd w:id="133"/>
      <w:bookmarkEnd w:id="134"/>
      <w:bookmarkEnd w:id="135"/>
    </w:p>
    <w:p w14:paraId="1ACCB8A9">
      <w:pPr>
        <w:pageBreakBefore w:val="0"/>
        <w:widowControl/>
        <w:kinsoku/>
        <w:wordWrap/>
        <w:overflowPunct/>
        <w:topLinePunct w:val="0"/>
        <w:autoSpaceDE/>
        <w:autoSpaceDN/>
        <w:bidi w:val="0"/>
        <w:adjustRightInd/>
        <w:snapToGrid w:val="0"/>
        <w:spacing w:line="400" w:lineRule="exact"/>
        <w:ind w:firstLine="54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（一）若供应商响应文件提交虚假资料谋取中标，一经发现取消其成交资格，采购人有权单方面终止合同，情节严重的追究相应责任。</w:t>
      </w:r>
    </w:p>
    <w:p w14:paraId="4578BB0E">
      <w:pPr>
        <w:pageBreakBefore w:val="0"/>
        <w:widowControl/>
        <w:kinsoku/>
        <w:wordWrap/>
        <w:overflowPunct/>
        <w:topLinePunct w:val="0"/>
        <w:autoSpaceDE/>
        <w:autoSpaceDN/>
        <w:bidi w:val="0"/>
        <w:adjustRightInd/>
        <w:snapToGrid w:val="0"/>
        <w:spacing w:line="400" w:lineRule="exact"/>
        <w:ind w:firstLine="540"/>
        <w:textAlignment w:val="auto"/>
        <w:rPr>
          <w:rFonts w:ascii="宋体" w:hAnsi="宋体" w:cs="宋体"/>
          <w:color w:val="auto"/>
          <w:highlight w:val="none"/>
        </w:rPr>
      </w:pPr>
      <w:r>
        <w:rPr>
          <w:rFonts w:hint="eastAsia" w:ascii="宋体" w:hAnsi="宋体" w:cs="宋体"/>
          <w:color w:val="auto"/>
          <w:sz w:val="24"/>
          <w:szCs w:val="24"/>
          <w:highlight w:val="none"/>
        </w:rPr>
        <w:t>（二）其他未尽事宜由供需双方在采购合同中详细约定。</w:t>
      </w:r>
    </w:p>
    <w:p w14:paraId="4BD46532">
      <w:pPr>
        <w:pStyle w:val="3"/>
        <w:pageBreakBefore/>
        <w:numPr>
          <w:ilvl w:val="1"/>
          <w:numId w:val="0"/>
        </w:numPr>
        <w:spacing w:line="360" w:lineRule="auto"/>
        <w:jc w:val="center"/>
        <w:rPr>
          <w:rFonts w:ascii="宋体" w:hAnsi="宋体" w:eastAsia="宋体"/>
          <w:color w:val="auto"/>
          <w:sz w:val="36"/>
          <w:szCs w:val="30"/>
          <w:highlight w:val="none"/>
        </w:rPr>
      </w:pPr>
      <w:bookmarkStart w:id="136" w:name="_Toc76462332"/>
      <w:bookmarkStart w:id="137" w:name="_Toc8403"/>
      <w:bookmarkStart w:id="138" w:name="_Toc106030887"/>
      <w:bookmarkStart w:id="139" w:name="_Toc14992"/>
      <w:bookmarkStart w:id="140" w:name="_Toc11396"/>
      <w:bookmarkStart w:id="141" w:name="_Toc9000"/>
      <w:bookmarkStart w:id="142" w:name="_Toc5979"/>
      <w:r>
        <w:rPr>
          <w:rFonts w:hint="eastAsia" w:ascii="宋体" w:hAnsi="宋体" w:eastAsia="宋体"/>
          <w:color w:val="auto"/>
          <w:sz w:val="36"/>
          <w:szCs w:val="30"/>
          <w:highlight w:val="none"/>
        </w:rPr>
        <w:t>第四篇  磋商程序及方法、评审标准、无效响应和</w:t>
      </w:r>
      <w:r>
        <w:rPr>
          <w:rFonts w:hint="eastAsia" w:ascii="宋体" w:hAnsi="宋体" w:eastAsia="宋体"/>
          <w:color w:val="auto"/>
          <w:sz w:val="36"/>
          <w:szCs w:val="36"/>
          <w:highlight w:val="none"/>
        </w:rPr>
        <w:t>采购终止</w:t>
      </w:r>
      <w:bookmarkEnd w:id="136"/>
      <w:bookmarkEnd w:id="137"/>
      <w:bookmarkEnd w:id="138"/>
      <w:bookmarkEnd w:id="139"/>
      <w:bookmarkEnd w:id="140"/>
      <w:bookmarkEnd w:id="141"/>
      <w:bookmarkEnd w:id="142"/>
    </w:p>
    <w:p w14:paraId="65CE8976">
      <w:pPr>
        <w:pStyle w:val="3"/>
        <w:pageBreakBefore w:val="0"/>
        <w:widowControl w:val="0"/>
        <w:numPr>
          <w:ilvl w:val="1"/>
          <w:numId w:val="0"/>
        </w:numPr>
        <w:kinsoku/>
        <w:wordWrap/>
        <w:overflowPunct/>
        <w:topLinePunct w:val="0"/>
        <w:autoSpaceDE/>
        <w:autoSpaceDN/>
        <w:bidi w:val="0"/>
        <w:adjustRightInd w:val="0"/>
        <w:snapToGrid w:val="0"/>
        <w:spacing w:line="400" w:lineRule="exact"/>
        <w:textAlignment w:val="auto"/>
        <w:rPr>
          <w:rFonts w:ascii="宋体" w:hAnsi="宋体" w:eastAsia="宋体"/>
          <w:b/>
          <w:bCs w:val="0"/>
          <w:color w:val="auto"/>
          <w:sz w:val="24"/>
          <w:highlight w:val="none"/>
        </w:rPr>
      </w:pPr>
      <w:bookmarkStart w:id="143" w:name="_Toc11861"/>
      <w:bookmarkStart w:id="144" w:name="_Toc26628"/>
      <w:bookmarkStart w:id="145" w:name="_Toc28798"/>
      <w:bookmarkStart w:id="146" w:name="_Toc25370"/>
      <w:bookmarkStart w:id="147" w:name="_Toc106030888"/>
      <w:bookmarkStart w:id="148" w:name="_Toc76462333"/>
      <w:bookmarkStart w:id="149" w:name="_Toc15159"/>
      <w:r>
        <w:rPr>
          <w:rFonts w:hint="eastAsia" w:ascii="宋体" w:hAnsi="宋体" w:eastAsia="宋体"/>
          <w:b/>
          <w:bCs w:val="0"/>
          <w:color w:val="auto"/>
          <w:sz w:val="24"/>
          <w:highlight w:val="none"/>
        </w:rPr>
        <w:t>一、磋商程序及方法</w:t>
      </w:r>
      <w:bookmarkEnd w:id="143"/>
      <w:bookmarkEnd w:id="144"/>
      <w:bookmarkEnd w:id="145"/>
      <w:bookmarkEnd w:id="146"/>
      <w:bookmarkEnd w:id="147"/>
      <w:bookmarkEnd w:id="148"/>
      <w:bookmarkEnd w:id="149"/>
    </w:p>
    <w:p w14:paraId="27F1BB2C">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2CA26C61">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（二）磋商小组对各供应商的资格条件、响应文件的有效性、完整性和响应程度进行审查。各供应商只有在完全符合要求的前提下，才能参与正式磋商。</w:t>
      </w:r>
    </w:p>
    <w:p w14:paraId="45F3BD63">
      <w:pPr>
        <w:pageBreakBefore w:val="0"/>
        <w:widowControl w:val="0"/>
        <w:kinsoku/>
        <w:wordWrap/>
        <w:overflowPunct/>
        <w:topLinePunct w:val="0"/>
        <w:autoSpaceDE/>
        <w:autoSpaceDN/>
        <w:bidi w:val="0"/>
        <w:snapToGrid w:val="0"/>
        <w:spacing w:line="400" w:lineRule="exact"/>
        <w:ind w:firstLine="480" w:firstLineChars="200"/>
        <w:textAlignment w:val="auto"/>
        <w:rPr>
          <w:rFonts w:ascii="宋体" w:hAnsi="宋体" w:cs="宋体"/>
          <w:color w:val="auto"/>
          <w:kern w:val="0"/>
          <w:sz w:val="24"/>
          <w:szCs w:val="24"/>
          <w:highlight w:val="none"/>
        </w:rPr>
      </w:pPr>
      <w:r>
        <w:rPr>
          <w:rFonts w:hint="eastAsia" w:ascii="宋体" w:hAnsi="宋体" w:cs="宋体"/>
          <w:color w:val="auto"/>
          <w:sz w:val="24"/>
          <w:szCs w:val="24"/>
          <w:highlight w:val="none"/>
        </w:rPr>
        <w:t>1.</w:t>
      </w:r>
      <w:r>
        <w:rPr>
          <w:rFonts w:hint="eastAsia" w:ascii="宋体" w:hAnsi="宋体" w:cs="宋体"/>
          <w:color w:val="auto"/>
          <w:kern w:val="0"/>
          <w:sz w:val="24"/>
          <w:szCs w:val="24"/>
          <w:highlight w:val="none"/>
        </w:rPr>
        <w:t>资格性审查。依据法律法规和竞争性磋商文件的规定，对响应文件中的资格证明、等进行审查，以确定供应商是否具备磋商资格。资格性审查资料表如下：</w:t>
      </w:r>
    </w:p>
    <w:tbl>
      <w:tblPr>
        <w:tblStyle w:val="2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66FD8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6B859C24">
            <w:pPr>
              <w:pageBreakBefore w:val="0"/>
              <w:widowControl w:val="0"/>
              <w:kinsoku/>
              <w:wordWrap/>
              <w:overflowPunct/>
              <w:topLinePunct w:val="0"/>
              <w:autoSpaceDE/>
              <w:autoSpaceDN/>
              <w:bidi w:val="0"/>
              <w:spacing w:line="400" w:lineRule="exact"/>
              <w:jc w:val="center"/>
              <w:textAlignment w:val="auto"/>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38EC8FC2">
            <w:pPr>
              <w:pageBreakBefore w:val="0"/>
              <w:widowControl w:val="0"/>
              <w:kinsoku/>
              <w:wordWrap/>
              <w:overflowPunct/>
              <w:topLinePunct w:val="0"/>
              <w:autoSpaceDE/>
              <w:autoSpaceDN/>
              <w:bidi w:val="0"/>
              <w:spacing w:line="400" w:lineRule="exact"/>
              <w:jc w:val="center"/>
              <w:textAlignment w:val="auto"/>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03070D92">
            <w:pPr>
              <w:pageBreakBefore w:val="0"/>
              <w:widowControl w:val="0"/>
              <w:kinsoku/>
              <w:wordWrap/>
              <w:overflowPunct/>
              <w:topLinePunct w:val="0"/>
              <w:autoSpaceDE/>
              <w:autoSpaceDN/>
              <w:bidi w:val="0"/>
              <w:spacing w:line="400" w:lineRule="exact"/>
              <w:jc w:val="center"/>
              <w:textAlignment w:val="auto"/>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检查内容</w:t>
            </w:r>
          </w:p>
        </w:tc>
      </w:tr>
      <w:tr w14:paraId="50BC8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67CAA8CA">
            <w:pPr>
              <w:pageBreakBefore w:val="0"/>
              <w:widowControl w:val="0"/>
              <w:kinsoku/>
              <w:wordWrap/>
              <w:overflowPunct/>
              <w:topLinePunct w:val="0"/>
              <w:autoSpaceDE/>
              <w:autoSpaceDN/>
              <w:bidi w:val="0"/>
              <w:spacing w:line="400" w:lineRule="exact"/>
              <w:jc w:val="center"/>
              <w:textAlignment w:val="auto"/>
              <w:rPr>
                <w:rFonts w:ascii="宋体" w:hAnsi="宋体" w:cs="宋体"/>
                <w:color w:val="auto"/>
                <w:sz w:val="22"/>
                <w:szCs w:val="22"/>
                <w:highlight w:val="none"/>
              </w:rPr>
            </w:pPr>
            <w:r>
              <w:rPr>
                <w:rFonts w:hint="eastAsia" w:ascii="宋体" w:hAnsi="宋体" w:cs="宋体"/>
                <w:color w:val="auto"/>
                <w:sz w:val="22"/>
                <w:szCs w:val="22"/>
                <w:highlight w:val="none"/>
              </w:rPr>
              <w:t>（一）</w:t>
            </w:r>
          </w:p>
        </w:tc>
        <w:tc>
          <w:tcPr>
            <w:tcW w:w="709" w:type="dxa"/>
            <w:vMerge w:val="restart"/>
            <w:vAlign w:val="center"/>
          </w:tcPr>
          <w:p w14:paraId="1823FABF">
            <w:pPr>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《中华人民共和国政府采购法》第二十二条规定</w:t>
            </w:r>
          </w:p>
        </w:tc>
        <w:tc>
          <w:tcPr>
            <w:tcW w:w="3118" w:type="dxa"/>
            <w:vAlign w:val="center"/>
          </w:tcPr>
          <w:p w14:paraId="056C2BF5">
            <w:pPr>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rPr>
            </w:pPr>
            <w:r>
              <w:rPr>
                <w:rFonts w:hint="eastAsia" w:ascii="宋体" w:hAnsi="宋体" w:cs="宋体"/>
                <w:color w:val="auto"/>
                <w:sz w:val="22"/>
                <w:szCs w:val="22"/>
                <w:highlight w:val="none"/>
              </w:rPr>
              <w:t>1.具有独立承担民事责任的能力</w:t>
            </w:r>
          </w:p>
        </w:tc>
        <w:tc>
          <w:tcPr>
            <w:tcW w:w="4984" w:type="dxa"/>
            <w:vAlign w:val="center"/>
          </w:tcPr>
          <w:p w14:paraId="36A7DF16">
            <w:pPr>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rPr>
            </w:pPr>
            <w:r>
              <w:rPr>
                <w:rFonts w:hint="eastAsia" w:ascii="宋体" w:hAnsi="宋体" w:cs="宋体"/>
                <w:color w:val="auto"/>
                <w:sz w:val="22"/>
                <w:szCs w:val="22"/>
                <w:highlight w:val="none"/>
              </w:rPr>
              <w:t xml:space="preserve">1.供应商法人营业执照（副本）或事业单位法人证书（副本）或个体工商户营业执照或有效的自然人身份证明或社会团体法人登记证书（提供复印件）。 </w:t>
            </w:r>
          </w:p>
          <w:p w14:paraId="72EB5F57">
            <w:pPr>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rPr>
            </w:pPr>
            <w:r>
              <w:rPr>
                <w:rFonts w:hint="eastAsia" w:ascii="宋体" w:hAnsi="宋体" w:cs="宋体"/>
                <w:color w:val="auto"/>
                <w:sz w:val="22"/>
                <w:szCs w:val="22"/>
                <w:highlight w:val="none"/>
              </w:rPr>
              <w:t>2.供应商法定代表人身份证明和法定代表人授权代表委托书。</w:t>
            </w:r>
          </w:p>
        </w:tc>
      </w:tr>
      <w:tr w14:paraId="2F87E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79F6347">
            <w:pPr>
              <w:pageBreakBefore w:val="0"/>
              <w:widowControl w:val="0"/>
              <w:kinsoku/>
              <w:wordWrap/>
              <w:overflowPunct/>
              <w:topLinePunct w:val="0"/>
              <w:autoSpaceDE/>
              <w:autoSpaceDN/>
              <w:bidi w:val="0"/>
              <w:spacing w:line="400" w:lineRule="exact"/>
              <w:jc w:val="center"/>
              <w:textAlignment w:val="auto"/>
              <w:rPr>
                <w:rFonts w:ascii="宋体" w:hAnsi="宋体" w:cs="宋体"/>
                <w:color w:val="auto"/>
                <w:sz w:val="22"/>
                <w:szCs w:val="22"/>
                <w:highlight w:val="none"/>
              </w:rPr>
            </w:pPr>
          </w:p>
        </w:tc>
        <w:tc>
          <w:tcPr>
            <w:tcW w:w="709" w:type="dxa"/>
            <w:vMerge w:val="continue"/>
            <w:vAlign w:val="center"/>
          </w:tcPr>
          <w:p w14:paraId="168E0C9A">
            <w:pPr>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lang w:val="zh-CN"/>
              </w:rPr>
            </w:pPr>
          </w:p>
        </w:tc>
        <w:tc>
          <w:tcPr>
            <w:tcW w:w="3118" w:type="dxa"/>
            <w:vAlign w:val="center"/>
          </w:tcPr>
          <w:p w14:paraId="394941C8">
            <w:pPr>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rPr>
            </w:pPr>
            <w:r>
              <w:rPr>
                <w:rFonts w:hint="eastAsia" w:ascii="宋体" w:hAnsi="宋体" w:cs="宋体"/>
                <w:color w:val="auto"/>
                <w:sz w:val="22"/>
                <w:szCs w:val="22"/>
                <w:highlight w:val="none"/>
                <w:lang w:val="zh-CN"/>
              </w:rPr>
              <w:t>2.</w:t>
            </w:r>
            <w:r>
              <w:rPr>
                <w:rFonts w:hint="eastAsia" w:ascii="宋体" w:hAnsi="宋体" w:cs="宋体"/>
                <w:color w:val="auto"/>
                <w:sz w:val="22"/>
                <w:szCs w:val="22"/>
                <w:highlight w:val="none"/>
              </w:rPr>
              <w:t>具有良好的商业信誉和健全的财务会计制度</w:t>
            </w:r>
          </w:p>
        </w:tc>
        <w:tc>
          <w:tcPr>
            <w:tcW w:w="4984" w:type="dxa"/>
            <w:vMerge w:val="restart"/>
            <w:vAlign w:val="center"/>
          </w:tcPr>
          <w:p w14:paraId="6AE7A402">
            <w:pPr>
              <w:pageBreakBefore w:val="0"/>
              <w:widowControl w:val="0"/>
              <w:kinsoku/>
              <w:wordWrap/>
              <w:overflowPunct/>
              <w:topLinePunct w:val="0"/>
              <w:autoSpaceDE/>
              <w:autoSpaceDN/>
              <w:bidi w:val="0"/>
              <w:spacing w:line="400" w:lineRule="exact"/>
              <w:textAlignment w:val="auto"/>
              <w:rPr>
                <w:rFonts w:ascii="宋体" w:hAnsi="宋体" w:cs="宋体"/>
                <w:b/>
                <w:color w:val="auto"/>
                <w:sz w:val="22"/>
                <w:szCs w:val="22"/>
                <w:highlight w:val="none"/>
              </w:rPr>
            </w:pPr>
            <w:r>
              <w:rPr>
                <w:rFonts w:hint="eastAsia" w:ascii="宋体" w:hAnsi="宋体" w:cs="宋体"/>
                <w:color w:val="auto"/>
                <w:sz w:val="22"/>
                <w:szCs w:val="22"/>
                <w:highlight w:val="none"/>
              </w:rPr>
              <w:t>供应商提供“基本资格条件承诺函”（格式详见第七篇）</w:t>
            </w:r>
          </w:p>
        </w:tc>
      </w:tr>
      <w:tr w14:paraId="5D10A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2B0F733">
            <w:pPr>
              <w:pageBreakBefore w:val="0"/>
              <w:widowControl w:val="0"/>
              <w:kinsoku/>
              <w:wordWrap/>
              <w:overflowPunct/>
              <w:topLinePunct w:val="0"/>
              <w:autoSpaceDE/>
              <w:autoSpaceDN/>
              <w:bidi w:val="0"/>
              <w:spacing w:line="400" w:lineRule="exact"/>
              <w:jc w:val="center"/>
              <w:textAlignment w:val="auto"/>
              <w:rPr>
                <w:rFonts w:ascii="宋体" w:hAnsi="宋体" w:cs="宋体"/>
                <w:color w:val="auto"/>
                <w:sz w:val="22"/>
                <w:szCs w:val="22"/>
                <w:highlight w:val="none"/>
              </w:rPr>
            </w:pPr>
          </w:p>
        </w:tc>
        <w:tc>
          <w:tcPr>
            <w:tcW w:w="709" w:type="dxa"/>
            <w:vMerge w:val="continue"/>
            <w:vAlign w:val="center"/>
          </w:tcPr>
          <w:p w14:paraId="219BA3D3">
            <w:pPr>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lang w:val="zh-CN"/>
              </w:rPr>
            </w:pPr>
          </w:p>
        </w:tc>
        <w:tc>
          <w:tcPr>
            <w:tcW w:w="3118" w:type="dxa"/>
            <w:vAlign w:val="center"/>
          </w:tcPr>
          <w:p w14:paraId="23B54B4C">
            <w:pPr>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3.具有履行合同所必需的设备和专业技术能力</w:t>
            </w:r>
          </w:p>
        </w:tc>
        <w:tc>
          <w:tcPr>
            <w:tcW w:w="4984" w:type="dxa"/>
            <w:vMerge w:val="continue"/>
            <w:vAlign w:val="center"/>
          </w:tcPr>
          <w:p w14:paraId="19983E5F">
            <w:pPr>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rPr>
            </w:pPr>
          </w:p>
        </w:tc>
      </w:tr>
      <w:tr w14:paraId="0EC8C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Merge w:val="continue"/>
            <w:vAlign w:val="center"/>
          </w:tcPr>
          <w:p w14:paraId="649A2636">
            <w:pPr>
              <w:pageBreakBefore w:val="0"/>
              <w:widowControl w:val="0"/>
              <w:kinsoku/>
              <w:wordWrap/>
              <w:overflowPunct/>
              <w:topLinePunct w:val="0"/>
              <w:autoSpaceDE/>
              <w:autoSpaceDN/>
              <w:bidi w:val="0"/>
              <w:spacing w:line="400" w:lineRule="exact"/>
              <w:jc w:val="center"/>
              <w:textAlignment w:val="auto"/>
              <w:rPr>
                <w:rFonts w:ascii="宋体" w:hAnsi="宋体" w:cs="宋体"/>
                <w:color w:val="auto"/>
                <w:sz w:val="22"/>
                <w:szCs w:val="22"/>
                <w:highlight w:val="none"/>
              </w:rPr>
            </w:pPr>
          </w:p>
        </w:tc>
        <w:tc>
          <w:tcPr>
            <w:tcW w:w="709" w:type="dxa"/>
            <w:vMerge w:val="continue"/>
            <w:vAlign w:val="center"/>
          </w:tcPr>
          <w:p w14:paraId="427E5289">
            <w:pPr>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lang w:val="zh-CN"/>
              </w:rPr>
            </w:pPr>
          </w:p>
        </w:tc>
        <w:tc>
          <w:tcPr>
            <w:tcW w:w="3118" w:type="dxa"/>
            <w:vAlign w:val="center"/>
          </w:tcPr>
          <w:p w14:paraId="658EDA87">
            <w:pPr>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4.有依法缴纳税收和社会保障金的良好记录</w:t>
            </w:r>
          </w:p>
        </w:tc>
        <w:tc>
          <w:tcPr>
            <w:tcW w:w="4984" w:type="dxa"/>
            <w:vMerge w:val="continue"/>
            <w:vAlign w:val="center"/>
          </w:tcPr>
          <w:p w14:paraId="6FC3C5E0">
            <w:pPr>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rPr>
            </w:pPr>
          </w:p>
        </w:tc>
      </w:tr>
      <w:tr w14:paraId="0A2FA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BE58242">
            <w:pPr>
              <w:pageBreakBefore w:val="0"/>
              <w:widowControl w:val="0"/>
              <w:kinsoku/>
              <w:wordWrap/>
              <w:overflowPunct/>
              <w:topLinePunct w:val="0"/>
              <w:autoSpaceDE/>
              <w:autoSpaceDN/>
              <w:bidi w:val="0"/>
              <w:spacing w:line="400" w:lineRule="exact"/>
              <w:jc w:val="center"/>
              <w:textAlignment w:val="auto"/>
              <w:rPr>
                <w:rFonts w:ascii="宋体" w:hAnsi="宋体" w:cs="宋体"/>
                <w:color w:val="auto"/>
                <w:sz w:val="22"/>
                <w:szCs w:val="22"/>
                <w:highlight w:val="none"/>
              </w:rPr>
            </w:pPr>
          </w:p>
        </w:tc>
        <w:tc>
          <w:tcPr>
            <w:tcW w:w="709" w:type="dxa"/>
            <w:vMerge w:val="continue"/>
            <w:vAlign w:val="center"/>
          </w:tcPr>
          <w:p w14:paraId="673AD4BF">
            <w:pPr>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lang w:val="zh-CN"/>
              </w:rPr>
            </w:pPr>
          </w:p>
        </w:tc>
        <w:tc>
          <w:tcPr>
            <w:tcW w:w="3118" w:type="dxa"/>
            <w:vAlign w:val="center"/>
          </w:tcPr>
          <w:p w14:paraId="28FA6B95">
            <w:pPr>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rPr>
            </w:pPr>
            <w:r>
              <w:rPr>
                <w:rFonts w:hint="eastAsia" w:ascii="宋体" w:hAnsi="宋体" w:cs="宋体"/>
                <w:color w:val="auto"/>
                <w:sz w:val="22"/>
                <w:szCs w:val="22"/>
                <w:highlight w:val="none"/>
              </w:rPr>
              <w:t>5.参加政府采购活动前三年内，在经营活动中没有重大违法记录（注①</w:t>
            </w:r>
            <w:r>
              <w:rPr>
                <w:rFonts w:hint="eastAsia" w:ascii="宋体" w:hAnsi="宋体" w:cs="宋体"/>
                <w:color w:val="auto"/>
                <w:kern w:val="0"/>
                <w:szCs w:val="28"/>
                <w:highlight w:val="none"/>
              </w:rPr>
              <w:t>）</w:t>
            </w:r>
          </w:p>
        </w:tc>
        <w:tc>
          <w:tcPr>
            <w:tcW w:w="4984" w:type="dxa"/>
            <w:vMerge w:val="continue"/>
            <w:vAlign w:val="center"/>
          </w:tcPr>
          <w:p w14:paraId="52BEFD55">
            <w:pPr>
              <w:pageBreakBefore w:val="0"/>
              <w:widowControl w:val="0"/>
              <w:kinsoku/>
              <w:wordWrap/>
              <w:overflowPunct/>
              <w:topLinePunct w:val="0"/>
              <w:autoSpaceDE/>
              <w:autoSpaceDN/>
              <w:bidi w:val="0"/>
              <w:spacing w:line="400" w:lineRule="exact"/>
              <w:textAlignment w:val="auto"/>
              <w:rPr>
                <w:rFonts w:ascii="宋体" w:hAnsi="宋体" w:cs="宋体"/>
                <w:b/>
                <w:color w:val="auto"/>
                <w:sz w:val="22"/>
                <w:szCs w:val="22"/>
                <w:highlight w:val="none"/>
              </w:rPr>
            </w:pPr>
          </w:p>
        </w:tc>
      </w:tr>
      <w:tr w14:paraId="2E226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561505A2">
            <w:pPr>
              <w:pageBreakBefore w:val="0"/>
              <w:widowControl w:val="0"/>
              <w:kinsoku/>
              <w:wordWrap/>
              <w:overflowPunct/>
              <w:topLinePunct w:val="0"/>
              <w:autoSpaceDE/>
              <w:autoSpaceDN/>
              <w:bidi w:val="0"/>
              <w:spacing w:line="400" w:lineRule="exact"/>
              <w:jc w:val="center"/>
              <w:textAlignment w:val="auto"/>
              <w:rPr>
                <w:rFonts w:ascii="宋体" w:hAnsi="宋体" w:cs="宋体"/>
                <w:color w:val="auto"/>
                <w:sz w:val="22"/>
                <w:szCs w:val="22"/>
                <w:highlight w:val="none"/>
              </w:rPr>
            </w:pPr>
          </w:p>
        </w:tc>
        <w:tc>
          <w:tcPr>
            <w:tcW w:w="709" w:type="dxa"/>
            <w:vMerge w:val="continue"/>
            <w:vAlign w:val="center"/>
          </w:tcPr>
          <w:p w14:paraId="6FF360EC">
            <w:pPr>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rPr>
            </w:pPr>
          </w:p>
        </w:tc>
        <w:tc>
          <w:tcPr>
            <w:tcW w:w="3118" w:type="dxa"/>
            <w:vAlign w:val="center"/>
          </w:tcPr>
          <w:p w14:paraId="64E6BDC4">
            <w:pPr>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rPr>
            </w:pPr>
            <w:r>
              <w:rPr>
                <w:rFonts w:hint="eastAsia" w:ascii="宋体" w:hAnsi="宋体" w:cs="宋体"/>
                <w:color w:val="auto"/>
                <w:sz w:val="22"/>
                <w:szCs w:val="22"/>
                <w:highlight w:val="none"/>
              </w:rPr>
              <w:t>6.法律、行政法规规定的其他条件</w:t>
            </w:r>
          </w:p>
        </w:tc>
        <w:tc>
          <w:tcPr>
            <w:tcW w:w="4984" w:type="dxa"/>
            <w:vAlign w:val="center"/>
          </w:tcPr>
          <w:p w14:paraId="5460F92E">
            <w:pPr>
              <w:pageBreakBefore w:val="0"/>
              <w:widowControl w:val="0"/>
              <w:kinsoku/>
              <w:wordWrap/>
              <w:overflowPunct/>
              <w:topLinePunct w:val="0"/>
              <w:autoSpaceDE/>
              <w:autoSpaceDN/>
              <w:bidi w:val="0"/>
              <w:spacing w:line="400" w:lineRule="exact"/>
              <w:jc w:val="center"/>
              <w:textAlignment w:val="auto"/>
              <w:rPr>
                <w:rFonts w:ascii="宋体" w:hAnsi="宋体" w:cs="宋体"/>
                <w:color w:val="auto"/>
                <w:sz w:val="22"/>
                <w:szCs w:val="22"/>
                <w:highlight w:val="none"/>
              </w:rPr>
            </w:pPr>
            <w:r>
              <w:rPr>
                <w:rFonts w:hint="eastAsia" w:ascii="宋体" w:hAnsi="宋体" w:cs="宋体"/>
                <w:color w:val="auto"/>
                <w:sz w:val="22"/>
                <w:szCs w:val="22"/>
                <w:highlight w:val="none"/>
              </w:rPr>
              <w:t>/</w:t>
            </w:r>
          </w:p>
        </w:tc>
      </w:tr>
      <w:tr w14:paraId="25332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28ED30AF">
            <w:pPr>
              <w:pageBreakBefore w:val="0"/>
              <w:widowControl w:val="0"/>
              <w:kinsoku/>
              <w:wordWrap/>
              <w:overflowPunct/>
              <w:topLinePunct w:val="0"/>
              <w:autoSpaceDE/>
              <w:autoSpaceDN/>
              <w:bidi w:val="0"/>
              <w:spacing w:line="400" w:lineRule="exact"/>
              <w:jc w:val="center"/>
              <w:textAlignment w:val="auto"/>
              <w:rPr>
                <w:rFonts w:ascii="宋体" w:hAnsi="宋体" w:cs="宋体"/>
                <w:color w:val="auto"/>
                <w:sz w:val="22"/>
                <w:szCs w:val="22"/>
                <w:highlight w:val="none"/>
              </w:rPr>
            </w:pPr>
          </w:p>
        </w:tc>
        <w:tc>
          <w:tcPr>
            <w:tcW w:w="709" w:type="dxa"/>
            <w:vMerge w:val="continue"/>
            <w:vAlign w:val="center"/>
          </w:tcPr>
          <w:p w14:paraId="521715C1">
            <w:pPr>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rPr>
            </w:pPr>
          </w:p>
        </w:tc>
        <w:tc>
          <w:tcPr>
            <w:tcW w:w="3118" w:type="dxa"/>
            <w:vAlign w:val="center"/>
          </w:tcPr>
          <w:p w14:paraId="275E51DC">
            <w:pPr>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rPr>
            </w:pPr>
            <w:r>
              <w:rPr>
                <w:rFonts w:hint="eastAsia" w:ascii="宋体" w:hAnsi="宋体" w:cs="宋体"/>
                <w:color w:val="auto"/>
                <w:sz w:val="22"/>
                <w:szCs w:val="22"/>
                <w:highlight w:val="none"/>
              </w:rPr>
              <w:t>7.本项目的特定资格要求</w:t>
            </w:r>
          </w:p>
        </w:tc>
        <w:tc>
          <w:tcPr>
            <w:tcW w:w="4984" w:type="dxa"/>
            <w:vAlign w:val="center"/>
          </w:tcPr>
          <w:p w14:paraId="726F4C79">
            <w:pPr>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rPr>
            </w:pPr>
            <w:r>
              <w:rPr>
                <w:rFonts w:hint="eastAsia" w:ascii="宋体" w:hAnsi="宋体" w:cs="宋体"/>
                <w:color w:val="auto"/>
                <w:sz w:val="22"/>
                <w:szCs w:val="22"/>
                <w:highlight w:val="none"/>
              </w:rPr>
              <w:t>按“第一篇 三、供应商资格要求（二）本项目的特定资格要求”的要求提交。</w:t>
            </w:r>
          </w:p>
        </w:tc>
      </w:tr>
      <w:tr w14:paraId="6CAC4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17" w:type="dxa"/>
            <w:vAlign w:val="center"/>
          </w:tcPr>
          <w:p w14:paraId="6ABB514E">
            <w:pPr>
              <w:pageBreakBefore w:val="0"/>
              <w:widowControl w:val="0"/>
              <w:kinsoku/>
              <w:wordWrap/>
              <w:overflowPunct/>
              <w:topLinePunct w:val="0"/>
              <w:autoSpaceDE/>
              <w:autoSpaceDN/>
              <w:bidi w:val="0"/>
              <w:spacing w:line="400" w:lineRule="exact"/>
              <w:jc w:val="center"/>
              <w:textAlignment w:val="auto"/>
              <w:rPr>
                <w:rFonts w:ascii="宋体" w:hAnsi="宋体" w:cs="宋体"/>
                <w:color w:val="auto"/>
                <w:sz w:val="22"/>
                <w:szCs w:val="22"/>
                <w:highlight w:val="none"/>
              </w:rPr>
            </w:pPr>
            <w:r>
              <w:rPr>
                <w:rFonts w:hint="eastAsia" w:ascii="宋体" w:hAnsi="宋体" w:cs="宋体"/>
                <w:color w:val="auto"/>
                <w:sz w:val="22"/>
                <w:szCs w:val="22"/>
                <w:highlight w:val="none"/>
              </w:rPr>
              <w:t>（二）</w:t>
            </w:r>
          </w:p>
        </w:tc>
        <w:tc>
          <w:tcPr>
            <w:tcW w:w="3827" w:type="dxa"/>
            <w:gridSpan w:val="2"/>
            <w:vAlign w:val="center"/>
          </w:tcPr>
          <w:p w14:paraId="236612B2">
            <w:pPr>
              <w:pageBreakBefore w:val="0"/>
              <w:widowControl w:val="0"/>
              <w:kinsoku/>
              <w:wordWrap/>
              <w:overflowPunct/>
              <w:topLinePunct w:val="0"/>
              <w:autoSpaceDE/>
              <w:autoSpaceDN/>
              <w:bidi w:val="0"/>
              <w:spacing w:line="400" w:lineRule="exact"/>
              <w:jc w:val="left"/>
              <w:textAlignment w:val="auto"/>
              <w:rPr>
                <w:rFonts w:ascii="宋体" w:hAnsi="宋体" w:cs="宋体"/>
                <w:color w:val="auto"/>
                <w:sz w:val="22"/>
                <w:szCs w:val="22"/>
                <w:highlight w:val="none"/>
              </w:rPr>
            </w:pPr>
            <w:r>
              <w:rPr>
                <w:rFonts w:hint="eastAsia" w:ascii="宋体" w:hAnsi="宋体" w:cs="宋体"/>
                <w:color w:val="auto"/>
                <w:sz w:val="22"/>
                <w:szCs w:val="22"/>
                <w:highlight w:val="none"/>
              </w:rPr>
              <w:t>保证金</w:t>
            </w:r>
          </w:p>
        </w:tc>
        <w:tc>
          <w:tcPr>
            <w:tcW w:w="4984" w:type="dxa"/>
          </w:tcPr>
          <w:p w14:paraId="0E47D004">
            <w:pPr>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rPr>
            </w:pPr>
            <w:r>
              <w:rPr>
                <w:rFonts w:hint="eastAsia" w:ascii="宋体" w:hAnsi="宋体" w:cs="宋体"/>
                <w:color w:val="auto"/>
                <w:sz w:val="22"/>
                <w:szCs w:val="22"/>
                <w:highlight w:val="none"/>
              </w:rPr>
              <w:t>按照竞争性磋商文件要求足额交纳保证金。</w:t>
            </w:r>
          </w:p>
        </w:tc>
      </w:tr>
    </w:tbl>
    <w:p w14:paraId="50DDB9FD">
      <w:pPr>
        <w:pageBreakBefore w:val="0"/>
        <w:widowControl w:val="0"/>
        <w:kinsoku/>
        <w:wordWrap/>
        <w:overflowPunct/>
        <w:topLinePunct w:val="0"/>
        <w:autoSpaceDE/>
        <w:autoSpaceDN/>
        <w:bidi w:val="0"/>
        <w:snapToGrid w:val="0"/>
        <w:spacing w:line="400" w:lineRule="exact"/>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w:t>
      </w:r>
      <w:r>
        <w:rPr>
          <w:rFonts w:hint="eastAsia" w:ascii="宋体" w:hAnsi="宋体" w:cs="宋体"/>
          <w:color w:val="auto"/>
          <w:kern w:val="0"/>
          <w:sz w:val="24"/>
          <w:szCs w:val="24"/>
          <w:highlight w:val="none"/>
        </w:rPr>
        <w:fldChar w:fldCharType="begin"/>
      </w:r>
      <w:r>
        <w:rPr>
          <w:rFonts w:hint="eastAsia" w:ascii="宋体" w:hAnsi="宋体" w:cs="宋体"/>
          <w:color w:val="auto"/>
          <w:kern w:val="0"/>
          <w:sz w:val="24"/>
          <w:szCs w:val="24"/>
          <w:highlight w:val="none"/>
        </w:rPr>
        <w:instrText xml:space="preserve"> eq \o\ac(○,</w:instrText>
      </w:r>
      <w:r>
        <w:rPr>
          <w:rFonts w:hint="eastAsia" w:ascii="宋体" w:hAnsi="宋体" w:cs="宋体"/>
          <w:color w:val="auto"/>
          <w:kern w:val="0"/>
          <w:position w:val="3"/>
          <w:sz w:val="16"/>
          <w:szCs w:val="24"/>
          <w:highlight w:val="none"/>
        </w:rPr>
        <w:instrText xml:space="preserve">1</w:instrText>
      </w:r>
      <w:r>
        <w:rPr>
          <w:rFonts w:hint="eastAsia" w:ascii="宋体" w:hAnsi="宋体" w:cs="宋体"/>
          <w:color w:val="auto"/>
          <w:kern w:val="0"/>
          <w:sz w:val="24"/>
          <w:szCs w:val="24"/>
          <w:highlight w:val="none"/>
        </w:rPr>
        <w:instrText xml:space="preserve">)</w:instrText>
      </w:r>
      <w:r>
        <w:rPr>
          <w:rFonts w:hint="eastAsia" w:ascii="宋体" w:hAnsi="宋体" w:cs="宋体"/>
          <w:color w:val="auto"/>
          <w:kern w:val="0"/>
          <w:sz w:val="24"/>
          <w:szCs w:val="24"/>
          <w:highlight w:val="none"/>
        </w:rPr>
        <w:fldChar w:fldCharType="end"/>
      </w:r>
      <w:r>
        <w:rPr>
          <w:rFonts w:hint="eastAsia" w:ascii="宋体" w:hAnsi="宋体" w:cs="宋体"/>
          <w:color w:val="auto"/>
          <w:kern w:val="0"/>
          <w:sz w:val="24"/>
          <w:szCs w:val="24"/>
          <w:highlight w:val="none"/>
        </w:rPr>
        <w:t>根据《中华人民共和国政府采购法实施条例》第十九条“参加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www.creditchina.gov.cn</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中国政府采购网</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www.ccgp.gov.cn</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等渠道查询信用记录。</w:t>
      </w:r>
    </w:p>
    <w:p w14:paraId="56F42FE5">
      <w:pPr>
        <w:pageBreakBefore w:val="0"/>
        <w:widowControl w:val="0"/>
        <w:kinsoku/>
        <w:wordWrap/>
        <w:overflowPunct/>
        <w:topLinePunct w:val="0"/>
        <w:autoSpaceDE/>
        <w:autoSpaceDN/>
        <w:bidi w:val="0"/>
        <w:snapToGrid w:val="0"/>
        <w:spacing w:line="400" w:lineRule="exact"/>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2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468DD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182BA8D8">
            <w:pPr>
              <w:pageBreakBefore w:val="0"/>
              <w:widowControl w:val="0"/>
              <w:kinsoku/>
              <w:wordWrap/>
              <w:overflowPunct/>
              <w:topLinePunct w:val="0"/>
              <w:autoSpaceDE/>
              <w:autoSpaceDN/>
              <w:bidi w:val="0"/>
              <w:spacing w:line="400" w:lineRule="exact"/>
              <w:jc w:val="center"/>
              <w:textAlignment w:val="auto"/>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序号</w:t>
            </w:r>
          </w:p>
        </w:tc>
        <w:tc>
          <w:tcPr>
            <w:tcW w:w="3544" w:type="dxa"/>
            <w:gridSpan w:val="2"/>
            <w:vAlign w:val="center"/>
          </w:tcPr>
          <w:p w14:paraId="2E0EEDAE">
            <w:pPr>
              <w:pageBreakBefore w:val="0"/>
              <w:widowControl w:val="0"/>
              <w:kinsoku/>
              <w:wordWrap/>
              <w:overflowPunct/>
              <w:topLinePunct w:val="0"/>
              <w:autoSpaceDE/>
              <w:autoSpaceDN/>
              <w:bidi w:val="0"/>
              <w:spacing w:line="400" w:lineRule="exact"/>
              <w:jc w:val="center"/>
              <w:textAlignment w:val="auto"/>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评审因素</w:t>
            </w:r>
          </w:p>
        </w:tc>
        <w:tc>
          <w:tcPr>
            <w:tcW w:w="5409" w:type="dxa"/>
            <w:vAlign w:val="center"/>
          </w:tcPr>
          <w:p w14:paraId="70D4A93F">
            <w:pPr>
              <w:pageBreakBefore w:val="0"/>
              <w:widowControl w:val="0"/>
              <w:kinsoku/>
              <w:wordWrap/>
              <w:overflowPunct/>
              <w:topLinePunct w:val="0"/>
              <w:autoSpaceDE/>
              <w:autoSpaceDN/>
              <w:bidi w:val="0"/>
              <w:spacing w:line="400" w:lineRule="exact"/>
              <w:jc w:val="center"/>
              <w:textAlignment w:val="auto"/>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评审标准</w:t>
            </w:r>
          </w:p>
        </w:tc>
      </w:tr>
      <w:tr w14:paraId="173A1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4F0B4C6D">
            <w:pPr>
              <w:pageBreakBefore w:val="0"/>
              <w:widowControl w:val="0"/>
              <w:kinsoku/>
              <w:wordWrap/>
              <w:overflowPunct/>
              <w:topLinePunct w:val="0"/>
              <w:autoSpaceDE/>
              <w:autoSpaceDN/>
              <w:bidi w:val="0"/>
              <w:spacing w:line="400" w:lineRule="exact"/>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560" w:type="dxa"/>
            <w:vMerge w:val="restart"/>
            <w:vAlign w:val="center"/>
          </w:tcPr>
          <w:p w14:paraId="5CB38D08">
            <w:pPr>
              <w:pageBreakBefore w:val="0"/>
              <w:widowControl w:val="0"/>
              <w:kinsoku/>
              <w:wordWrap/>
              <w:overflowPunct/>
              <w:topLinePunct w:val="0"/>
              <w:autoSpaceDE/>
              <w:autoSpaceDN/>
              <w:bidi w:val="0"/>
              <w:spacing w:line="400" w:lineRule="exact"/>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有效性审查</w:t>
            </w:r>
          </w:p>
        </w:tc>
        <w:tc>
          <w:tcPr>
            <w:tcW w:w="1984" w:type="dxa"/>
            <w:vAlign w:val="center"/>
          </w:tcPr>
          <w:p w14:paraId="3B44EF65">
            <w:pPr>
              <w:pageBreakBefore w:val="0"/>
              <w:widowControl w:val="0"/>
              <w:kinsoku/>
              <w:wordWrap/>
              <w:overflowPunct/>
              <w:topLinePunct w:val="0"/>
              <w:autoSpaceDE/>
              <w:autoSpaceDN/>
              <w:bidi w:val="0"/>
              <w:spacing w:line="400" w:lineRule="exact"/>
              <w:textAlignment w:val="auto"/>
              <w:rPr>
                <w:rFonts w:ascii="宋体" w:hAnsi="宋体" w:cs="宋体"/>
                <w:color w:val="auto"/>
                <w:kern w:val="0"/>
                <w:sz w:val="22"/>
                <w:szCs w:val="22"/>
                <w:highlight w:val="none"/>
              </w:rPr>
            </w:pPr>
            <w:r>
              <w:rPr>
                <w:rFonts w:hint="eastAsia" w:ascii="宋体" w:hAnsi="宋体" w:cs="宋体"/>
                <w:color w:val="auto"/>
                <w:sz w:val="22"/>
                <w:szCs w:val="22"/>
                <w:highlight w:val="none"/>
              </w:rPr>
              <w:t>响应文件签署或盖章</w:t>
            </w:r>
          </w:p>
        </w:tc>
        <w:tc>
          <w:tcPr>
            <w:tcW w:w="5409" w:type="dxa"/>
            <w:vAlign w:val="center"/>
          </w:tcPr>
          <w:p w14:paraId="557325FE">
            <w:pPr>
              <w:pageBreakBefore w:val="0"/>
              <w:widowControl w:val="0"/>
              <w:kinsoku/>
              <w:wordWrap/>
              <w:overflowPunct/>
              <w:topLinePunct w:val="0"/>
              <w:autoSpaceDE/>
              <w:autoSpaceDN/>
              <w:bidi w:val="0"/>
              <w:spacing w:line="400" w:lineRule="exact"/>
              <w:textAlignment w:val="auto"/>
              <w:rPr>
                <w:rFonts w:ascii="宋体" w:hAnsi="宋体" w:cs="宋体"/>
                <w:color w:val="auto"/>
                <w:kern w:val="0"/>
                <w:sz w:val="22"/>
                <w:szCs w:val="22"/>
                <w:highlight w:val="none"/>
              </w:rPr>
            </w:pPr>
            <w:r>
              <w:rPr>
                <w:rFonts w:hint="eastAsia" w:ascii="宋体" w:hAnsi="宋体" w:cs="宋体"/>
                <w:color w:val="auto"/>
                <w:sz w:val="22"/>
                <w:szCs w:val="22"/>
                <w:highlight w:val="none"/>
              </w:rPr>
              <w:t>按竞争性磋商文件“第七篇响应文件编制要求”要求签署或盖章。</w:t>
            </w:r>
          </w:p>
        </w:tc>
      </w:tr>
      <w:tr w14:paraId="00E71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266512F5">
            <w:pPr>
              <w:pageBreakBefore w:val="0"/>
              <w:widowControl w:val="0"/>
              <w:kinsoku/>
              <w:wordWrap/>
              <w:overflowPunct/>
              <w:topLinePunct w:val="0"/>
              <w:autoSpaceDE/>
              <w:autoSpaceDN/>
              <w:bidi w:val="0"/>
              <w:spacing w:line="400" w:lineRule="exact"/>
              <w:jc w:val="center"/>
              <w:textAlignment w:val="auto"/>
              <w:rPr>
                <w:rFonts w:ascii="宋体" w:hAnsi="宋体" w:cs="宋体"/>
                <w:color w:val="auto"/>
                <w:kern w:val="0"/>
                <w:sz w:val="22"/>
                <w:szCs w:val="22"/>
                <w:highlight w:val="none"/>
              </w:rPr>
            </w:pPr>
          </w:p>
        </w:tc>
        <w:tc>
          <w:tcPr>
            <w:tcW w:w="1560" w:type="dxa"/>
            <w:vMerge w:val="continue"/>
            <w:vAlign w:val="center"/>
          </w:tcPr>
          <w:p w14:paraId="325B5CFE">
            <w:pPr>
              <w:pageBreakBefore w:val="0"/>
              <w:widowControl w:val="0"/>
              <w:kinsoku/>
              <w:wordWrap/>
              <w:overflowPunct/>
              <w:topLinePunct w:val="0"/>
              <w:autoSpaceDE/>
              <w:autoSpaceDN/>
              <w:bidi w:val="0"/>
              <w:spacing w:line="400" w:lineRule="exact"/>
              <w:textAlignment w:val="auto"/>
              <w:rPr>
                <w:rFonts w:ascii="宋体" w:hAnsi="宋体" w:cs="宋体"/>
                <w:color w:val="auto"/>
                <w:kern w:val="0"/>
                <w:sz w:val="22"/>
                <w:szCs w:val="22"/>
                <w:highlight w:val="none"/>
              </w:rPr>
            </w:pPr>
          </w:p>
        </w:tc>
        <w:tc>
          <w:tcPr>
            <w:tcW w:w="1984" w:type="dxa"/>
            <w:vAlign w:val="center"/>
          </w:tcPr>
          <w:p w14:paraId="0F09E88B">
            <w:pPr>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rPr>
            </w:pPr>
            <w:r>
              <w:rPr>
                <w:rFonts w:hint="eastAsia" w:ascii="宋体" w:hAnsi="宋体" w:cs="宋体"/>
                <w:color w:val="auto"/>
                <w:sz w:val="22"/>
                <w:szCs w:val="22"/>
                <w:highlight w:val="none"/>
              </w:rPr>
              <w:t>法定代表人身份证明及授权委托书</w:t>
            </w:r>
          </w:p>
        </w:tc>
        <w:tc>
          <w:tcPr>
            <w:tcW w:w="5409" w:type="dxa"/>
            <w:vAlign w:val="center"/>
          </w:tcPr>
          <w:p w14:paraId="3E9D7536">
            <w:pPr>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rPr>
            </w:pPr>
            <w:r>
              <w:rPr>
                <w:rFonts w:hint="eastAsia" w:ascii="宋体" w:hAnsi="宋体" w:cs="宋体"/>
                <w:color w:val="auto"/>
                <w:sz w:val="22"/>
                <w:szCs w:val="22"/>
                <w:highlight w:val="none"/>
              </w:rPr>
              <w:t>法定代表人身份证明及授权委托书有效，符合竞争性磋商文件规定的格式，签署或盖章齐全。</w:t>
            </w:r>
          </w:p>
        </w:tc>
      </w:tr>
      <w:tr w14:paraId="39341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01520663">
            <w:pPr>
              <w:pageBreakBefore w:val="0"/>
              <w:widowControl w:val="0"/>
              <w:kinsoku/>
              <w:wordWrap/>
              <w:overflowPunct/>
              <w:topLinePunct w:val="0"/>
              <w:autoSpaceDE/>
              <w:autoSpaceDN/>
              <w:bidi w:val="0"/>
              <w:spacing w:line="400" w:lineRule="exact"/>
              <w:jc w:val="center"/>
              <w:textAlignment w:val="auto"/>
              <w:rPr>
                <w:rFonts w:ascii="宋体" w:hAnsi="宋体" w:cs="宋体"/>
                <w:color w:val="auto"/>
                <w:kern w:val="0"/>
                <w:sz w:val="22"/>
                <w:szCs w:val="22"/>
                <w:highlight w:val="none"/>
              </w:rPr>
            </w:pPr>
          </w:p>
        </w:tc>
        <w:tc>
          <w:tcPr>
            <w:tcW w:w="1560" w:type="dxa"/>
            <w:vMerge w:val="continue"/>
            <w:vAlign w:val="center"/>
          </w:tcPr>
          <w:p w14:paraId="5C732BDC">
            <w:pPr>
              <w:pageBreakBefore w:val="0"/>
              <w:widowControl w:val="0"/>
              <w:kinsoku/>
              <w:wordWrap/>
              <w:overflowPunct/>
              <w:topLinePunct w:val="0"/>
              <w:autoSpaceDE/>
              <w:autoSpaceDN/>
              <w:bidi w:val="0"/>
              <w:spacing w:line="400" w:lineRule="exact"/>
              <w:textAlignment w:val="auto"/>
              <w:rPr>
                <w:rFonts w:ascii="宋体" w:hAnsi="宋体" w:cs="宋体"/>
                <w:color w:val="auto"/>
                <w:kern w:val="0"/>
                <w:sz w:val="22"/>
                <w:szCs w:val="22"/>
                <w:highlight w:val="none"/>
              </w:rPr>
            </w:pPr>
          </w:p>
        </w:tc>
        <w:tc>
          <w:tcPr>
            <w:tcW w:w="1984" w:type="dxa"/>
            <w:vAlign w:val="center"/>
          </w:tcPr>
          <w:p w14:paraId="3F32EE27">
            <w:pPr>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lang w:val="zh-CN"/>
              </w:rPr>
            </w:pPr>
            <w:r>
              <w:rPr>
                <w:rFonts w:hint="eastAsia" w:ascii="宋体" w:hAnsi="宋体" w:cs="宋体"/>
                <w:color w:val="auto"/>
                <w:sz w:val="22"/>
                <w:szCs w:val="22"/>
                <w:highlight w:val="none"/>
              </w:rPr>
              <w:t>响应</w:t>
            </w:r>
            <w:r>
              <w:rPr>
                <w:rFonts w:hint="eastAsia" w:ascii="宋体" w:hAnsi="宋体" w:cs="宋体"/>
                <w:color w:val="auto"/>
                <w:sz w:val="22"/>
                <w:szCs w:val="22"/>
                <w:highlight w:val="none"/>
                <w:lang w:val="zh-CN"/>
              </w:rPr>
              <w:t>方案</w:t>
            </w:r>
          </w:p>
        </w:tc>
        <w:tc>
          <w:tcPr>
            <w:tcW w:w="5409" w:type="dxa"/>
            <w:vAlign w:val="center"/>
          </w:tcPr>
          <w:p w14:paraId="670D69DB">
            <w:pPr>
              <w:pageBreakBefore w:val="0"/>
              <w:widowControl w:val="0"/>
              <w:kinsoku/>
              <w:wordWrap/>
              <w:overflowPunct/>
              <w:topLinePunct w:val="0"/>
              <w:autoSpaceDE/>
              <w:autoSpaceDN/>
              <w:bidi w:val="0"/>
              <w:spacing w:line="400" w:lineRule="exact"/>
              <w:textAlignment w:val="auto"/>
              <w:rPr>
                <w:rFonts w:ascii="宋体" w:hAnsi="宋体" w:cs="宋体"/>
                <w:color w:val="auto"/>
                <w:kern w:val="0"/>
                <w:sz w:val="22"/>
                <w:szCs w:val="22"/>
                <w:highlight w:val="none"/>
              </w:rPr>
            </w:pPr>
            <w:r>
              <w:rPr>
                <w:rFonts w:hint="eastAsia" w:ascii="宋体" w:hAnsi="宋体" w:cs="宋体"/>
                <w:color w:val="auto"/>
                <w:sz w:val="22"/>
                <w:szCs w:val="22"/>
                <w:highlight w:val="none"/>
                <w:lang w:val="zh-CN"/>
              </w:rPr>
              <w:t>每个包只能有一个</w:t>
            </w:r>
            <w:r>
              <w:rPr>
                <w:rFonts w:hint="eastAsia" w:ascii="宋体" w:hAnsi="宋体" w:cs="宋体"/>
                <w:color w:val="auto"/>
                <w:sz w:val="22"/>
                <w:szCs w:val="22"/>
                <w:highlight w:val="none"/>
              </w:rPr>
              <w:t>响应</w:t>
            </w:r>
            <w:r>
              <w:rPr>
                <w:rFonts w:hint="eastAsia" w:ascii="宋体" w:hAnsi="宋体" w:cs="宋体"/>
                <w:color w:val="auto"/>
                <w:sz w:val="22"/>
                <w:szCs w:val="22"/>
                <w:highlight w:val="none"/>
                <w:lang w:val="zh-CN"/>
              </w:rPr>
              <w:t>方案。</w:t>
            </w:r>
          </w:p>
        </w:tc>
      </w:tr>
      <w:tr w14:paraId="70F2F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6AA9202F">
            <w:pPr>
              <w:pageBreakBefore w:val="0"/>
              <w:widowControl w:val="0"/>
              <w:kinsoku/>
              <w:wordWrap/>
              <w:overflowPunct/>
              <w:topLinePunct w:val="0"/>
              <w:autoSpaceDE/>
              <w:autoSpaceDN/>
              <w:bidi w:val="0"/>
              <w:spacing w:line="400" w:lineRule="exact"/>
              <w:jc w:val="center"/>
              <w:textAlignment w:val="auto"/>
              <w:rPr>
                <w:rFonts w:ascii="宋体" w:hAnsi="宋体" w:cs="宋体"/>
                <w:color w:val="auto"/>
                <w:kern w:val="0"/>
                <w:sz w:val="22"/>
                <w:szCs w:val="22"/>
                <w:highlight w:val="none"/>
              </w:rPr>
            </w:pPr>
          </w:p>
        </w:tc>
        <w:tc>
          <w:tcPr>
            <w:tcW w:w="1560" w:type="dxa"/>
            <w:vMerge w:val="continue"/>
            <w:vAlign w:val="center"/>
          </w:tcPr>
          <w:p w14:paraId="6B9E4340">
            <w:pPr>
              <w:pageBreakBefore w:val="0"/>
              <w:widowControl w:val="0"/>
              <w:kinsoku/>
              <w:wordWrap/>
              <w:overflowPunct/>
              <w:topLinePunct w:val="0"/>
              <w:autoSpaceDE/>
              <w:autoSpaceDN/>
              <w:bidi w:val="0"/>
              <w:spacing w:line="400" w:lineRule="exact"/>
              <w:textAlignment w:val="auto"/>
              <w:rPr>
                <w:rFonts w:ascii="宋体" w:hAnsi="宋体" w:cs="宋体"/>
                <w:color w:val="auto"/>
                <w:kern w:val="0"/>
                <w:sz w:val="22"/>
                <w:szCs w:val="22"/>
                <w:highlight w:val="none"/>
              </w:rPr>
            </w:pPr>
          </w:p>
        </w:tc>
        <w:tc>
          <w:tcPr>
            <w:tcW w:w="1984" w:type="dxa"/>
            <w:vAlign w:val="center"/>
          </w:tcPr>
          <w:p w14:paraId="7EB22DE5">
            <w:pPr>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lang w:val="zh-CN"/>
              </w:rPr>
            </w:pPr>
            <w:r>
              <w:rPr>
                <w:rFonts w:hint="eastAsia" w:ascii="宋体" w:hAnsi="宋体" w:cs="宋体"/>
                <w:color w:val="auto"/>
                <w:sz w:val="22"/>
                <w:szCs w:val="22"/>
                <w:highlight w:val="none"/>
              </w:rPr>
              <w:t>报价唯一</w:t>
            </w:r>
          </w:p>
        </w:tc>
        <w:tc>
          <w:tcPr>
            <w:tcW w:w="5409" w:type="dxa"/>
            <w:vAlign w:val="center"/>
          </w:tcPr>
          <w:p w14:paraId="3915B55E">
            <w:pPr>
              <w:pageBreakBefore w:val="0"/>
              <w:widowControl w:val="0"/>
              <w:kinsoku/>
              <w:wordWrap/>
              <w:overflowPunct/>
              <w:topLinePunct w:val="0"/>
              <w:autoSpaceDE/>
              <w:autoSpaceDN/>
              <w:bidi w:val="0"/>
              <w:spacing w:line="400" w:lineRule="exact"/>
              <w:textAlignment w:val="auto"/>
              <w:rPr>
                <w:rFonts w:ascii="宋体" w:hAnsi="宋体" w:cs="宋体"/>
                <w:color w:val="auto"/>
                <w:kern w:val="0"/>
                <w:sz w:val="22"/>
                <w:szCs w:val="22"/>
                <w:highlight w:val="none"/>
              </w:rPr>
            </w:pPr>
            <w:r>
              <w:rPr>
                <w:rFonts w:hint="eastAsia" w:ascii="宋体" w:hAnsi="宋体" w:cs="宋体"/>
                <w:color w:val="auto"/>
                <w:sz w:val="22"/>
                <w:szCs w:val="22"/>
                <w:highlight w:val="none"/>
              </w:rPr>
              <w:t>只能有一个有效报价，不得提交选择性报价。</w:t>
            </w:r>
          </w:p>
        </w:tc>
      </w:tr>
      <w:tr w14:paraId="3D5DD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7F117B1B">
            <w:pPr>
              <w:pageBreakBefore w:val="0"/>
              <w:widowControl w:val="0"/>
              <w:kinsoku/>
              <w:wordWrap/>
              <w:overflowPunct/>
              <w:topLinePunct w:val="0"/>
              <w:autoSpaceDE/>
              <w:autoSpaceDN/>
              <w:bidi w:val="0"/>
              <w:spacing w:line="400" w:lineRule="exact"/>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1560" w:type="dxa"/>
            <w:vAlign w:val="center"/>
          </w:tcPr>
          <w:p w14:paraId="0C7850EB">
            <w:pPr>
              <w:pageBreakBefore w:val="0"/>
              <w:widowControl w:val="0"/>
              <w:kinsoku/>
              <w:wordWrap/>
              <w:overflowPunct/>
              <w:topLinePunct w:val="0"/>
              <w:autoSpaceDE/>
              <w:autoSpaceDN/>
              <w:bidi w:val="0"/>
              <w:spacing w:line="400" w:lineRule="exact"/>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完整性审查</w:t>
            </w:r>
          </w:p>
        </w:tc>
        <w:tc>
          <w:tcPr>
            <w:tcW w:w="1984" w:type="dxa"/>
            <w:vAlign w:val="center"/>
          </w:tcPr>
          <w:p w14:paraId="365D153B">
            <w:pPr>
              <w:pageBreakBefore w:val="0"/>
              <w:widowControl w:val="0"/>
              <w:kinsoku/>
              <w:wordWrap/>
              <w:overflowPunct/>
              <w:topLinePunct w:val="0"/>
              <w:autoSpaceDE/>
              <w:autoSpaceDN/>
              <w:bidi w:val="0"/>
              <w:spacing w:line="400" w:lineRule="exact"/>
              <w:textAlignment w:val="auto"/>
              <w:rPr>
                <w:rFonts w:ascii="宋体" w:hAnsi="宋体" w:cs="宋体"/>
                <w:color w:val="auto"/>
                <w:kern w:val="0"/>
                <w:sz w:val="22"/>
                <w:szCs w:val="22"/>
                <w:highlight w:val="none"/>
              </w:rPr>
            </w:pPr>
            <w:r>
              <w:rPr>
                <w:rFonts w:hint="eastAsia" w:ascii="宋体" w:hAnsi="宋体" w:cs="宋体"/>
                <w:color w:val="auto"/>
                <w:sz w:val="22"/>
                <w:szCs w:val="22"/>
                <w:highlight w:val="none"/>
              </w:rPr>
              <w:t>响应</w:t>
            </w:r>
            <w:r>
              <w:rPr>
                <w:rFonts w:hint="eastAsia" w:ascii="宋体" w:hAnsi="宋体" w:cs="宋体"/>
                <w:color w:val="auto"/>
                <w:sz w:val="22"/>
                <w:szCs w:val="22"/>
                <w:highlight w:val="none"/>
                <w:lang w:val="zh-CN"/>
              </w:rPr>
              <w:t>文件份数</w:t>
            </w:r>
          </w:p>
        </w:tc>
        <w:tc>
          <w:tcPr>
            <w:tcW w:w="5409" w:type="dxa"/>
            <w:vAlign w:val="center"/>
          </w:tcPr>
          <w:p w14:paraId="6A6F4418">
            <w:pPr>
              <w:pageBreakBefore w:val="0"/>
              <w:widowControl w:val="0"/>
              <w:kinsoku/>
              <w:wordWrap/>
              <w:overflowPunct/>
              <w:topLinePunct w:val="0"/>
              <w:autoSpaceDE/>
              <w:autoSpaceDN/>
              <w:bidi w:val="0"/>
              <w:spacing w:line="400" w:lineRule="exact"/>
              <w:textAlignment w:val="auto"/>
              <w:rPr>
                <w:rFonts w:ascii="宋体" w:hAnsi="宋体" w:cs="宋体"/>
                <w:color w:val="auto"/>
                <w:kern w:val="0"/>
                <w:sz w:val="22"/>
                <w:szCs w:val="22"/>
                <w:highlight w:val="none"/>
              </w:rPr>
            </w:pPr>
            <w:r>
              <w:rPr>
                <w:rFonts w:hint="eastAsia" w:ascii="宋体" w:hAnsi="宋体" w:cs="宋体"/>
                <w:color w:val="auto"/>
                <w:sz w:val="22"/>
                <w:szCs w:val="22"/>
                <w:highlight w:val="none"/>
              </w:rPr>
              <w:t>响应</w:t>
            </w:r>
            <w:r>
              <w:rPr>
                <w:rFonts w:hint="eastAsia" w:ascii="宋体" w:hAnsi="宋体" w:cs="宋体"/>
                <w:color w:val="auto"/>
                <w:sz w:val="22"/>
                <w:szCs w:val="22"/>
                <w:highlight w:val="none"/>
                <w:lang w:val="zh-CN"/>
              </w:rPr>
              <w:t>文件正、副本数量（含电子文档）符合</w:t>
            </w:r>
            <w:r>
              <w:rPr>
                <w:rFonts w:hint="eastAsia" w:ascii="宋体" w:hAnsi="宋体" w:cs="宋体"/>
                <w:color w:val="auto"/>
                <w:sz w:val="22"/>
                <w:szCs w:val="22"/>
                <w:highlight w:val="none"/>
              </w:rPr>
              <w:t>竞争性磋商</w:t>
            </w:r>
            <w:r>
              <w:rPr>
                <w:rFonts w:hint="eastAsia" w:ascii="宋体" w:hAnsi="宋体" w:cs="宋体"/>
                <w:color w:val="auto"/>
                <w:sz w:val="22"/>
                <w:szCs w:val="22"/>
                <w:highlight w:val="none"/>
                <w:lang w:val="zh-CN"/>
              </w:rPr>
              <w:t>文件要求。</w:t>
            </w:r>
          </w:p>
        </w:tc>
      </w:tr>
      <w:tr w14:paraId="50DA3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313E5A6D">
            <w:pPr>
              <w:pageBreakBefore w:val="0"/>
              <w:widowControl w:val="0"/>
              <w:kinsoku/>
              <w:wordWrap/>
              <w:overflowPunct/>
              <w:topLinePunct w:val="0"/>
              <w:autoSpaceDE/>
              <w:autoSpaceDN/>
              <w:bidi w:val="0"/>
              <w:spacing w:line="400" w:lineRule="exact"/>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1560" w:type="dxa"/>
            <w:vMerge w:val="restart"/>
            <w:vAlign w:val="center"/>
          </w:tcPr>
          <w:p w14:paraId="0089E4EE">
            <w:pPr>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lang w:val="zh-CN"/>
              </w:rPr>
            </w:pPr>
            <w:r>
              <w:rPr>
                <w:rFonts w:hint="eastAsia" w:ascii="宋体" w:hAnsi="宋体" w:cs="宋体"/>
                <w:color w:val="auto"/>
                <w:kern w:val="0"/>
                <w:sz w:val="22"/>
                <w:szCs w:val="22"/>
                <w:highlight w:val="none"/>
              </w:rPr>
              <w:t>响应程度审查</w:t>
            </w:r>
          </w:p>
        </w:tc>
        <w:tc>
          <w:tcPr>
            <w:tcW w:w="1984" w:type="dxa"/>
            <w:vAlign w:val="center"/>
          </w:tcPr>
          <w:p w14:paraId="5B33AA60">
            <w:pPr>
              <w:pageBreakBefore w:val="0"/>
              <w:widowControl w:val="0"/>
              <w:kinsoku/>
              <w:wordWrap/>
              <w:overflowPunct/>
              <w:topLinePunct w:val="0"/>
              <w:autoSpaceDE/>
              <w:autoSpaceDN/>
              <w:bidi w:val="0"/>
              <w:spacing w:line="400" w:lineRule="exact"/>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实质性响应</w:t>
            </w:r>
          </w:p>
        </w:tc>
        <w:tc>
          <w:tcPr>
            <w:tcW w:w="5409" w:type="dxa"/>
            <w:vAlign w:val="center"/>
          </w:tcPr>
          <w:p w14:paraId="775F6AE6">
            <w:pPr>
              <w:pStyle w:val="17"/>
              <w:pageBreakBefore w:val="0"/>
              <w:widowControl w:val="0"/>
              <w:kinsoku/>
              <w:wordWrap/>
              <w:overflowPunct/>
              <w:topLinePunct w:val="0"/>
              <w:autoSpaceDE/>
              <w:autoSpaceDN/>
              <w:bidi w:val="0"/>
              <w:spacing w:line="400" w:lineRule="exact"/>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对竞争性磋商文</w:t>
            </w:r>
            <w:r>
              <w:rPr>
                <w:rFonts w:hint="eastAsia" w:ascii="宋体" w:hAnsi="宋体" w:cs="宋体"/>
                <w:color w:val="auto"/>
                <w:sz w:val="22"/>
                <w:szCs w:val="22"/>
                <w:highlight w:val="none"/>
              </w:rPr>
              <w:t>件第二篇以及第三篇规定的所有内容作出响应。</w:t>
            </w:r>
          </w:p>
        </w:tc>
      </w:tr>
      <w:tr w14:paraId="21CAB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14:paraId="6D49BB60">
            <w:pPr>
              <w:pageBreakBefore w:val="0"/>
              <w:widowControl w:val="0"/>
              <w:kinsoku/>
              <w:wordWrap/>
              <w:overflowPunct/>
              <w:topLinePunct w:val="0"/>
              <w:autoSpaceDE/>
              <w:autoSpaceDN/>
              <w:bidi w:val="0"/>
              <w:spacing w:line="400" w:lineRule="exact"/>
              <w:jc w:val="center"/>
              <w:textAlignment w:val="auto"/>
              <w:rPr>
                <w:rFonts w:ascii="宋体" w:hAnsi="宋体" w:cs="宋体"/>
                <w:color w:val="auto"/>
                <w:kern w:val="0"/>
                <w:sz w:val="22"/>
                <w:szCs w:val="22"/>
                <w:highlight w:val="none"/>
              </w:rPr>
            </w:pPr>
          </w:p>
        </w:tc>
        <w:tc>
          <w:tcPr>
            <w:tcW w:w="1560" w:type="dxa"/>
            <w:vMerge w:val="continue"/>
            <w:vAlign w:val="center"/>
          </w:tcPr>
          <w:p w14:paraId="2BB048B9">
            <w:pPr>
              <w:pageBreakBefore w:val="0"/>
              <w:widowControl w:val="0"/>
              <w:kinsoku/>
              <w:wordWrap/>
              <w:overflowPunct/>
              <w:topLinePunct w:val="0"/>
              <w:autoSpaceDE/>
              <w:autoSpaceDN/>
              <w:bidi w:val="0"/>
              <w:spacing w:line="400" w:lineRule="exact"/>
              <w:textAlignment w:val="auto"/>
              <w:rPr>
                <w:rFonts w:ascii="宋体" w:hAnsi="宋体" w:cs="宋体"/>
                <w:color w:val="auto"/>
                <w:sz w:val="22"/>
                <w:szCs w:val="22"/>
                <w:highlight w:val="none"/>
                <w:lang w:val="zh-CN"/>
              </w:rPr>
            </w:pPr>
          </w:p>
        </w:tc>
        <w:tc>
          <w:tcPr>
            <w:tcW w:w="1984" w:type="dxa"/>
            <w:vAlign w:val="center"/>
          </w:tcPr>
          <w:p w14:paraId="50962413">
            <w:pPr>
              <w:pageBreakBefore w:val="0"/>
              <w:widowControl w:val="0"/>
              <w:kinsoku/>
              <w:wordWrap/>
              <w:overflowPunct/>
              <w:topLinePunct w:val="0"/>
              <w:autoSpaceDE/>
              <w:autoSpaceDN/>
              <w:bidi w:val="0"/>
              <w:spacing w:line="400" w:lineRule="exact"/>
              <w:textAlignment w:val="auto"/>
              <w:rPr>
                <w:rFonts w:ascii="宋体" w:hAnsi="宋体" w:cs="宋体"/>
                <w:b/>
                <w:bCs/>
                <w:color w:val="auto"/>
                <w:kern w:val="0"/>
                <w:sz w:val="22"/>
                <w:szCs w:val="22"/>
                <w:highlight w:val="none"/>
              </w:rPr>
            </w:pPr>
            <w:r>
              <w:rPr>
                <w:rFonts w:hint="eastAsia" w:ascii="宋体" w:hAnsi="宋体" w:cs="宋体"/>
                <w:color w:val="auto"/>
                <w:kern w:val="0"/>
                <w:sz w:val="22"/>
                <w:szCs w:val="22"/>
                <w:highlight w:val="none"/>
              </w:rPr>
              <w:t>磋商有效期</w:t>
            </w:r>
          </w:p>
        </w:tc>
        <w:tc>
          <w:tcPr>
            <w:tcW w:w="5409" w:type="dxa"/>
            <w:vAlign w:val="center"/>
          </w:tcPr>
          <w:p w14:paraId="63960E7C">
            <w:pPr>
              <w:pageBreakBefore w:val="0"/>
              <w:widowControl w:val="0"/>
              <w:kinsoku/>
              <w:wordWrap/>
              <w:overflowPunct/>
              <w:topLinePunct w:val="0"/>
              <w:autoSpaceDE/>
              <w:autoSpaceDN/>
              <w:bidi w:val="0"/>
              <w:spacing w:line="400" w:lineRule="exact"/>
              <w:textAlignment w:val="auto"/>
              <w:rPr>
                <w:rFonts w:ascii="宋体" w:hAnsi="宋体" w:cs="宋体"/>
                <w:b/>
                <w:bCs/>
                <w:color w:val="auto"/>
                <w:kern w:val="0"/>
                <w:sz w:val="22"/>
                <w:szCs w:val="22"/>
                <w:highlight w:val="none"/>
              </w:rPr>
            </w:pPr>
            <w:r>
              <w:rPr>
                <w:rFonts w:hint="eastAsia" w:ascii="宋体" w:hAnsi="宋体" w:cs="宋体"/>
                <w:color w:val="auto"/>
                <w:kern w:val="0"/>
                <w:sz w:val="22"/>
                <w:szCs w:val="22"/>
                <w:highlight w:val="none"/>
              </w:rPr>
              <w:t>响应文件及有关承诺文件有效期为提交响应文件截止时间起90天。</w:t>
            </w:r>
          </w:p>
        </w:tc>
      </w:tr>
    </w:tbl>
    <w:p w14:paraId="2D1F629D">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49BFF28D">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3EAA0E9">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4C8D98F2">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（五）在磋商过程中磋商的任何一方不得向他人透露与磋商有关的服务资料、价格或其他信息。</w:t>
      </w:r>
    </w:p>
    <w:p w14:paraId="775A0E5F">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24C10275">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（七）供应商在磋商时作出的所有书面承诺须由法定代表人（或其授权代表）或自然人（供应商为自然人）签署。</w:t>
      </w:r>
    </w:p>
    <w:p w14:paraId="0F983D32">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2F930020">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（九）磋商小组采用综合评分法对提交最后报价的供应商的响应文件和最后报价（含有效书面承诺）进行综合评分。</w:t>
      </w:r>
      <w:r>
        <w:rPr>
          <w:rFonts w:hint="eastAsia" w:ascii="宋体" w:hAnsi="宋体" w:cs="宋体"/>
          <w:color w:val="auto"/>
          <w:kern w:val="0"/>
          <w:sz w:val="24"/>
          <w:szCs w:val="24"/>
          <w:highlight w:val="none"/>
        </w:rPr>
        <w:t>综合评分法，是指响应文件满足竞争性磋商文件全部实质性要求且按照评审因素的量化指标评审得分最高的供应商为成交候选供应商的评审方法。供应商总得分为服务、商务等评定因素分别按照相应权重值计算分项得分后相加，满分为100分</w:t>
      </w:r>
      <w:r>
        <w:rPr>
          <w:rFonts w:hint="eastAsia" w:ascii="宋体" w:hAnsi="宋体" w:cs="宋体"/>
          <w:color w:val="auto"/>
          <w:sz w:val="24"/>
          <w:szCs w:val="24"/>
          <w:highlight w:val="none"/>
        </w:rPr>
        <w:t>。</w:t>
      </w:r>
    </w:p>
    <w:p w14:paraId="7EA1E4FC">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（十）磋商小组各成员独立对每个有效响应（通过资格性审查、</w:t>
      </w:r>
      <w:r>
        <w:rPr>
          <w:rFonts w:hint="eastAsia" w:ascii="宋体" w:hAnsi="宋体" w:cs="宋体"/>
          <w:color w:val="auto"/>
          <w:kern w:val="0"/>
          <w:sz w:val="24"/>
          <w:szCs w:val="24"/>
          <w:highlight w:val="none"/>
        </w:rPr>
        <w:t>符合性审查的供应商</w:t>
      </w:r>
      <w:r>
        <w:rPr>
          <w:rFonts w:hint="eastAsia" w:ascii="宋体" w:hAnsi="宋体" w:cs="宋体"/>
          <w:color w:val="auto"/>
          <w:sz w:val="24"/>
          <w:szCs w:val="24"/>
          <w:highlight w:val="none"/>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w:t>
      </w:r>
    </w:p>
    <w:p w14:paraId="23B69788">
      <w:pPr>
        <w:pStyle w:val="3"/>
        <w:pageBreakBefore w:val="0"/>
        <w:widowControl w:val="0"/>
        <w:numPr>
          <w:ilvl w:val="1"/>
          <w:numId w:val="0"/>
        </w:numPr>
        <w:kinsoku/>
        <w:wordWrap/>
        <w:overflowPunct/>
        <w:topLinePunct w:val="0"/>
        <w:autoSpaceDE/>
        <w:autoSpaceDN/>
        <w:bidi w:val="0"/>
        <w:adjustRightInd w:val="0"/>
        <w:snapToGrid w:val="0"/>
        <w:spacing w:line="400" w:lineRule="exact"/>
        <w:textAlignment w:val="auto"/>
        <w:rPr>
          <w:rFonts w:ascii="宋体" w:hAnsi="宋体" w:eastAsia="宋体"/>
          <w:b/>
          <w:bCs w:val="0"/>
          <w:color w:val="auto"/>
          <w:sz w:val="24"/>
          <w:highlight w:val="none"/>
        </w:rPr>
      </w:pPr>
      <w:bookmarkStart w:id="150" w:name="_Toc106030889"/>
      <w:bookmarkStart w:id="151" w:name="_Toc69"/>
      <w:bookmarkStart w:id="152" w:name="_Toc22015"/>
      <w:bookmarkStart w:id="153" w:name="_Toc22744"/>
      <w:bookmarkStart w:id="154" w:name="_Toc76462334"/>
      <w:bookmarkStart w:id="155" w:name="_Toc3799"/>
      <w:bookmarkStart w:id="156" w:name="_Toc25329"/>
      <w:r>
        <w:rPr>
          <w:rFonts w:hint="eastAsia" w:ascii="宋体" w:hAnsi="宋体" w:eastAsia="宋体"/>
          <w:b/>
          <w:bCs w:val="0"/>
          <w:color w:val="auto"/>
          <w:sz w:val="24"/>
          <w:highlight w:val="none"/>
        </w:rPr>
        <w:t>二、</w:t>
      </w:r>
      <w:bookmarkStart w:id="157" w:name="_Toc102227320"/>
      <w:bookmarkStart w:id="158" w:name="_Toc342913394"/>
      <w:r>
        <w:rPr>
          <w:rFonts w:hint="eastAsia" w:ascii="宋体" w:hAnsi="宋体" w:eastAsia="宋体"/>
          <w:b/>
          <w:bCs w:val="0"/>
          <w:color w:val="auto"/>
          <w:sz w:val="24"/>
          <w:highlight w:val="none"/>
        </w:rPr>
        <w:t>评审标准</w:t>
      </w:r>
      <w:bookmarkEnd w:id="150"/>
      <w:bookmarkEnd w:id="151"/>
      <w:bookmarkEnd w:id="152"/>
      <w:bookmarkEnd w:id="153"/>
      <w:bookmarkEnd w:id="154"/>
      <w:bookmarkEnd w:id="155"/>
      <w:bookmarkEnd w:id="156"/>
    </w:p>
    <w:tbl>
      <w:tblPr>
        <w:tblStyle w:val="29"/>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433"/>
        <w:gridCol w:w="823"/>
        <w:gridCol w:w="4162"/>
        <w:gridCol w:w="2483"/>
      </w:tblGrid>
      <w:tr w14:paraId="7E6FF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1CFDE95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序号</w:t>
            </w:r>
          </w:p>
        </w:tc>
        <w:tc>
          <w:tcPr>
            <w:tcW w:w="1433" w:type="dxa"/>
            <w:vAlign w:val="center"/>
          </w:tcPr>
          <w:p w14:paraId="2D1E530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评分因素及权值</w:t>
            </w:r>
          </w:p>
        </w:tc>
        <w:tc>
          <w:tcPr>
            <w:tcW w:w="823" w:type="dxa"/>
            <w:vAlign w:val="center"/>
          </w:tcPr>
          <w:p w14:paraId="08536FC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分值</w:t>
            </w:r>
          </w:p>
        </w:tc>
        <w:tc>
          <w:tcPr>
            <w:tcW w:w="4162" w:type="dxa"/>
            <w:vAlign w:val="center"/>
          </w:tcPr>
          <w:p w14:paraId="37AFC04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评分标准</w:t>
            </w:r>
          </w:p>
        </w:tc>
        <w:tc>
          <w:tcPr>
            <w:tcW w:w="2483" w:type="dxa"/>
            <w:vAlign w:val="center"/>
          </w:tcPr>
          <w:p w14:paraId="59BBC1F7">
            <w:pPr>
              <w:pStyle w:val="47"/>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宋体"/>
                <w:color w:val="auto"/>
                <w:szCs w:val="24"/>
                <w:highlight w:val="none"/>
              </w:rPr>
            </w:pPr>
            <w:r>
              <w:rPr>
                <w:rFonts w:hint="eastAsia" w:ascii="宋体" w:hAnsi="宋体" w:eastAsia="宋体" w:cs="宋体"/>
                <w:color w:val="auto"/>
                <w:szCs w:val="24"/>
                <w:highlight w:val="none"/>
              </w:rPr>
              <w:t>说明</w:t>
            </w:r>
          </w:p>
        </w:tc>
      </w:tr>
      <w:tr w14:paraId="3F5D0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35" w:type="dxa"/>
            <w:vAlign w:val="center"/>
          </w:tcPr>
          <w:p w14:paraId="2C62748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1</w:t>
            </w:r>
          </w:p>
        </w:tc>
        <w:tc>
          <w:tcPr>
            <w:tcW w:w="1433" w:type="dxa"/>
            <w:vAlign w:val="center"/>
          </w:tcPr>
          <w:p w14:paraId="11B6E8C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磋商报价</w:t>
            </w:r>
          </w:p>
          <w:p w14:paraId="54AB2E9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（30%）</w:t>
            </w:r>
          </w:p>
        </w:tc>
        <w:tc>
          <w:tcPr>
            <w:tcW w:w="823" w:type="dxa"/>
            <w:tcBorders>
              <w:bottom w:val="single" w:color="auto" w:sz="4" w:space="0"/>
            </w:tcBorders>
            <w:vAlign w:val="center"/>
          </w:tcPr>
          <w:p w14:paraId="51DA8DA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30分</w:t>
            </w:r>
          </w:p>
        </w:tc>
        <w:tc>
          <w:tcPr>
            <w:tcW w:w="4162" w:type="dxa"/>
            <w:tcBorders>
              <w:bottom w:val="single" w:color="auto" w:sz="4" w:space="0"/>
            </w:tcBorders>
            <w:vAlign w:val="center"/>
          </w:tcPr>
          <w:p w14:paraId="690ADBD3">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满足资格性、符合性要求且最后报价</w:t>
            </w:r>
            <w:r>
              <w:rPr>
                <w:rFonts w:hint="eastAsia" w:ascii="宋体" w:hAnsi="宋体" w:cs="宋体"/>
                <w:bCs/>
                <w:color w:val="auto"/>
                <w:sz w:val="24"/>
                <w:szCs w:val="24"/>
                <w:highlight w:val="none"/>
                <w:lang w:eastAsia="zh-CN"/>
              </w:rPr>
              <w:t>（折扣报价）</w:t>
            </w:r>
            <w:r>
              <w:rPr>
                <w:rFonts w:hint="eastAsia" w:ascii="宋体" w:hAnsi="宋体" w:cs="宋体"/>
                <w:bCs/>
                <w:color w:val="auto"/>
                <w:sz w:val="24"/>
                <w:szCs w:val="24"/>
                <w:highlight w:val="none"/>
              </w:rPr>
              <w:t>最低的供应商的价格为磋商基准价，其价格分为满分。其他供应商的价格分统一按照下列公式计算：</w:t>
            </w:r>
          </w:p>
          <w:p w14:paraId="17FF9324">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磋商报价得分=（磋商基准价/最后磋商报价）×价格权值×100（按四舍五入法保留小数点后两位）</w:t>
            </w:r>
          </w:p>
        </w:tc>
        <w:tc>
          <w:tcPr>
            <w:tcW w:w="2483" w:type="dxa"/>
            <w:vAlign w:val="center"/>
          </w:tcPr>
          <w:p w14:paraId="28BCA39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以</w:t>
            </w:r>
            <w:r>
              <w:rPr>
                <w:rFonts w:hint="eastAsia" w:ascii="宋体" w:hAnsi="宋体" w:cs="宋体"/>
                <w:bCs/>
                <w:color w:val="auto"/>
                <w:sz w:val="24"/>
                <w:szCs w:val="24"/>
                <w:highlight w:val="none"/>
                <w:lang w:val="en-US" w:eastAsia="zh-CN"/>
              </w:rPr>
              <w:t>折扣</w:t>
            </w:r>
            <w:r>
              <w:rPr>
                <w:rFonts w:hint="eastAsia" w:ascii="宋体" w:hAnsi="宋体" w:eastAsia="宋体" w:cs="宋体"/>
                <w:bCs/>
                <w:color w:val="auto"/>
                <w:sz w:val="24"/>
                <w:szCs w:val="24"/>
                <w:highlight w:val="none"/>
                <w:lang w:val="en-US" w:eastAsia="zh-CN"/>
              </w:rPr>
              <w:t>报价作为评审依据。</w:t>
            </w:r>
          </w:p>
        </w:tc>
      </w:tr>
      <w:tr w14:paraId="76F86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35" w:type="dxa"/>
            <w:vMerge w:val="restart"/>
            <w:vAlign w:val="center"/>
          </w:tcPr>
          <w:p w14:paraId="4BBBF86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2</w:t>
            </w:r>
          </w:p>
        </w:tc>
        <w:tc>
          <w:tcPr>
            <w:tcW w:w="1433" w:type="dxa"/>
            <w:vMerge w:val="restart"/>
            <w:vAlign w:val="center"/>
          </w:tcPr>
          <w:p w14:paraId="6D97D54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服务部分</w:t>
            </w:r>
          </w:p>
          <w:p w14:paraId="77FDABE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val="en-US" w:eastAsia="zh-CN"/>
              </w:rPr>
              <w:t>50</w:t>
            </w:r>
            <w:r>
              <w:rPr>
                <w:rFonts w:hint="eastAsia" w:ascii="宋体" w:hAnsi="宋体" w:cs="宋体"/>
                <w:bCs/>
                <w:color w:val="auto"/>
                <w:sz w:val="24"/>
                <w:szCs w:val="24"/>
                <w:highlight w:val="none"/>
              </w:rPr>
              <w:t>%）</w:t>
            </w:r>
          </w:p>
        </w:tc>
        <w:tc>
          <w:tcPr>
            <w:tcW w:w="823" w:type="dxa"/>
            <w:tcBorders>
              <w:bottom w:val="single" w:color="auto" w:sz="4" w:space="0"/>
            </w:tcBorders>
            <w:vAlign w:val="center"/>
          </w:tcPr>
          <w:p w14:paraId="610BE9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ascii="宋体" w:hAnsi="宋体" w:cs="宋体"/>
                <w:bCs/>
                <w:color w:val="auto"/>
                <w:sz w:val="24"/>
                <w:szCs w:val="24"/>
                <w:highlight w:val="none"/>
              </w:rPr>
            </w:pPr>
            <w:r>
              <w:rPr>
                <w:rFonts w:hint="eastAsia" w:ascii="宋体" w:hAnsi="宋体" w:cs="仿宋"/>
                <w:color w:val="auto"/>
                <w:sz w:val="24"/>
                <w:szCs w:val="24"/>
                <w:highlight w:val="none"/>
                <w:lang w:val="en-US" w:eastAsia="zh-CN"/>
              </w:rPr>
              <w:t>15分</w:t>
            </w:r>
          </w:p>
        </w:tc>
        <w:tc>
          <w:tcPr>
            <w:tcW w:w="4162" w:type="dxa"/>
            <w:vAlign w:val="center"/>
          </w:tcPr>
          <w:p w14:paraId="4205115A">
            <w:pPr>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lang w:eastAsia="zh-CN"/>
              </w:rPr>
              <w:t>供应商</w:t>
            </w:r>
            <w:r>
              <w:rPr>
                <w:rFonts w:hint="eastAsia" w:ascii="宋体" w:hAnsi="宋体" w:eastAsia="宋体" w:cs="仿宋"/>
                <w:color w:val="auto"/>
                <w:sz w:val="24"/>
                <w:szCs w:val="24"/>
                <w:highlight w:val="none"/>
              </w:rPr>
              <w:t>针对本项目</w:t>
            </w:r>
            <w:r>
              <w:rPr>
                <w:rFonts w:hint="eastAsia" w:ascii="宋体" w:hAnsi="宋体" w:eastAsia="宋体" w:cs="仿宋"/>
                <w:color w:val="auto"/>
                <w:sz w:val="24"/>
                <w:szCs w:val="24"/>
                <w:highlight w:val="none"/>
                <w:lang w:eastAsia="zh-CN"/>
              </w:rPr>
              <w:t>提供</w:t>
            </w:r>
            <w:r>
              <w:rPr>
                <w:rFonts w:hint="eastAsia" w:ascii="宋体" w:hAnsi="宋体" w:eastAsia="宋体" w:cs="仿宋"/>
                <w:color w:val="auto"/>
                <w:sz w:val="24"/>
                <w:szCs w:val="24"/>
                <w:highlight w:val="none"/>
              </w:rPr>
              <w:t>实施方案，</w:t>
            </w:r>
            <w:r>
              <w:rPr>
                <w:rFonts w:hint="eastAsia" w:ascii="宋体" w:hAnsi="宋体" w:eastAsia="宋体" w:cs="仿宋"/>
                <w:color w:val="auto"/>
                <w:sz w:val="24"/>
                <w:szCs w:val="24"/>
                <w:highlight w:val="none"/>
                <w:lang w:eastAsia="zh-CN"/>
              </w:rPr>
              <w:t>内容</w:t>
            </w:r>
            <w:r>
              <w:rPr>
                <w:rFonts w:hint="eastAsia" w:ascii="宋体" w:hAnsi="宋体" w:eastAsia="宋体" w:cs="仿宋"/>
                <w:color w:val="auto"/>
                <w:sz w:val="24"/>
                <w:szCs w:val="24"/>
                <w:highlight w:val="none"/>
              </w:rPr>
              <w:t>包含不限于</w:t>
            </w:r>
            <w:r>
              <w:rPr>
                <w:rFonts w:hint="eastAsia" w:ascii="宋体" w:hAnsi="宋体" w:eastAsia="宋体" w:cs="仿宋"/>
                <w:color w:val="auto"/>
                <w:sz w:val="24"/>
                <w:szCs w:val="24"/>
                <w:highlight w:val="none"/>
                <w:lang w:eastAsia="zh-CN"/>
              </w:rPr>
              <w:t>：</w:t>
            </w:r>
            <w:r>
              <w:rPr>
                <w:rFonts w:hint="eastAsia" w:ascii="宋体" w:hAnsi="宋体" w:eastAsia="宋体" w:cs="仿宋"/>
                <w:color w:val="auto"/>
                <w:sz w:val="24"/>
                <w:szCs w:val="24"/>
                <w:highlight w:val="none"/>
              </w:rPr>
              <w:t>①</w:t>
            </w:r>
            <w:r>
              <w:rPr>
                <w:rFonts w:hint="eastAsia" w:ascii="宋体" w:hAnsi="宋体" w:eastAsia="宋体" w:cs="仿宋"/>
                <w:color w:val="auto"/>
                <w:sz w:val="24"/>
                <w:szCs w:val="24"/>
                <w:highlight w:val="none"/>
                <w:lang w:eastAsia="zh-CN"/>
              </w:rPr>
              <w:t>防治实施计划</w:t>
            </w:r>
            <w:r>
              <w:rPr>
                <w:rFonts w:hint="eastAsia" w:ascii="宋体" w:hAnsi="宋体" w:eastAsia="宋体" w:cs="仿宋"/>
                <w:color w:val="auto"/>
                <w:sz w:val="24"/>
                <w:szCs w:val="24"/>
                <w:highlight w:val="none"/>
              </w:rPr>
              <w:t>；②药物选择</w:t>
            </w:r>
            <w:r>
              <w:rPr>
                <w:rFonts w:hint="eastAsia" w:ascii="宋体" w:hAnsi="宋体" w:eastAsia="宋体" w:cs="仿宋"/>
                <w:color w:val="auto"/>
                <w:sz w:val="24"/>
                <w:szCs w:val="24"/>
                <w:highlight w:val="none"/>
                <w:lang w:eastAsia="zh-CN"/>
              </w:rPr>
              <w:t>；③专业人员配置；④</w:t>
            </w:r>
            <w:r>
              <w:rPr>
                <w:rFonts w:hint="eastAsia" w:ascii="宋体" w:hAnsi="宋体" w:eastAsia="宋体" w:cs="仿宋"/>
                <w:color w:val="auto"/>
                <w:sz w:val="24"/>
                <w:szCs w:val="24"/>
                <w:highlight w:val="none"/>
              </w:rPr>
              <w:t>具体</w:t>
            </w:r>
            <w:r>
              <w:rPr>
                <w:rFonts w:hint="eastAsia" w:ascii="宋体" w:hAnsi="宋体" w:eastAsia="宋体" w:cs="仿宋"/>
                <w:color w:val="auto"/>
                <w:sz w:val="24"/>
                <w:szCs w:val="24"/>
                <w:highlight w:val="none"/>
                <w:lang w:eastAsia="zh-CN"/>
              </w:rPr>
              <w:t>防治</w:t>
            </w:r>
            <w:r>
              <w:rPr>
                <w:rFonts w:hint="eastAsia" w:ascii="宋体" w:hAnsi="宋体" w:eastAsia="宋体" w:cs="仿宋"/>
                <w:color w:val="auto"/>
                <w:sz w:val="24"/>
                <w:szCs w:val="24"/>
                <w:highlight w:val="none"/>
              </w:rPr>
              <w:t>技术措施；</w:t>
            </w:r>
            <w:r>
              <w:rPr>
                <w:rFonts w:hint="eastAsia" w:ascii="宋体" w:hAnsi="宋体" w:eastAsia="宋体" w:cs="仿宋"/>
                <w:color w:val="auto"/>
                <w:sz w:val="24"/>
                <w:szCs w:val="24"/>
                <w:highlight w:val="none"/>
                <w:lang w:eastAsia="zh-CN"/>
              </w:rPr>
              <w:t>⑤整体</w:t>
            </w:r>
            <w:r>
              <w:rPr>
                <w:rFonts w:hint="eastAsia" w:ascii="宋体" w:hAnsi="宋体" w:eastAsia="宋体" w:cs="仿宋"/>
                <w:color w:val="auto"/>
                <w:sz w:val="24"/>
                <w:szCs w:val="24"/>
                <w:highlight w:val="none"/>
              </w:rPr>
              <w:t>管理措施；</w:t>
            </w:r>
            <w:r>
              <w:rPr>
                <w:rFonts w:hint="eastAsia" w:ascii="宋体" w:hAnsi="宋体" w:eastAsia="宋体" w:cs="仿宋"/>
                <w:color w:val="auto"/>
                <w:sz w:val="24"/>
                <w:szCs w:val="24"/>
                <w:highlight w:val="none"/>
                <w:lang w:eastAsia="zh-CN"/>
              </w:rPr>
              <w:t>⑥环境保护措施</w:t>
            </w:r>
            <w:r>
              <w:rPr>
                <w:rFonts w:hint="eastAsia" w:ascii="宋体" w:hAnsi="宋体" w:eastAsia="宋体" w:cs="仿宋"/>
                <w:color w:val="auto"/>
                <w:sz w:val="24"/>
                <w:szCs w:val="24"/>
                <w:highlight w:val="none"/>
              </w:rPr>
              <w:t>；</w:t>
            </w:r>
            <w:r>
              <w:rPr>
                <w:rFonts w:hint="eastAsia" w:ascii="宋体" w:hAnsi="宋体" w:eastAsia="宋体" w:cs="仿宋"/>
                <w:color w:val="auto"/>
                <w:sz w:val="24"/>
                <w:szCs w:val="24"/>
                <w:highlight w:val="none"/>
                <w:lang w:eastAsia="zh-CN"/>
              </w:rPr>
              <w:t>⑦</w:t>
            </w:r>
            <w:r>
              <w:rPr>
                <w:rFonts w:hint="eastAsia" w:ascii="宋体" w:hAnsi="宋体" w:eastAsia="宋体" w:cs="仿宋"/>
                <w:color w:val="auto"/>
                <w:sz w:val="24"/>
                <w:szCs w:val="24"/>
                <w:highlight w:val="none"/>
              </w:rPr>
              <w:t>资料归档。</w:t>
            </w:r>
          </w:p>
          <w:p w14:paraId="76D2B3D8">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方案内容完整且不存在瑕疵的得</w:t>
            </w:r>
            <w:r>
              <w:rPr>
                <w:rFonts w:hint="eastAsia" w:ascii="宋体" w:hAnsi="宋体" w:cs="仿宋"/>
                <w:color w:val="auto"/>
                <w:sz w:val="24"/>
                <w:szCs w:val="24"/>
                <w:highlight w:val="none"/>
                <w:lang w:val="en-US" w:eastAsia="zh-CN"/>
              </w:rPr>
              <w:t>15</w:t>
            </w:r>
            <w:r>
              <w:rPr>
                <w:rFonts w:hint="eastAsia" w:ascii="宋体" w:hAnsi="宋体" w:eastAsia="宋体" w:cs="仿宋"/>
                <w:color w:val="auto"/>
                <w:sz w:val="24"/>
                <w:szCs w:val="24"/>
                <w:highlight w:val="none"/>
                <w:lang w:val="en-US" w:eastAsia="zh-CN"/>
              </w:rPr>
              <w:t>分；</w:t>
            </w:r>
          </w:p>
          <w:p w14:paraId="584DA416">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方案内容完整但存在1处瑕疵的得</w:t>
            </w:r>
            <w:r>
              <w:rPr>
                <w:rFonts w:hint="eastAsia" w:ascii="宋体" w:hAnsi="宋体" w:cs="仿宋"/>
                <w:color w:val="auto"/>
                <w:sz w:val="24"/>
                <w:szCs w:val="24"/>
                <w:highlight w:val="none"/>
                <w:lang w:val="en-US" w:eastAsia="zh-CN"/>
              </w:rPr>
              <w:t>10</w:t>
            </w:r>
            <w:r>
              <w:rPr>
                <w:rFonts w:hint="eastAsia" w:ascii="宋体" w:hAnsi="宋体" w:eastAsia="宋体" w:cs="仿宋"/>
                <w:color w:val="auto"/>
                <w:sz w:val="24"/>
                <w:szCs w:val="24"/>
                <w:highlight w:val="none"/>
                <w:lang w:val="en-US" w:eastAsia="zh-CN"/>
              </w:rPr>
              <w:t>分；</w:t>
            </w:r>
          </w:p>
          <w:p w14:paraId="00D8B92F">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方案内容完整但存在2处瑕疵的得6分；</w:t>
            </w:r>
          </w:p>
          <w:p w14:paraId="110B869A">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方案内容完整但存在3处瑕疵的得4分；</w:t>
            </w:r>
          </w:p>
          <w:p w14:paraId="69D275DB">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方案内容完整但存在4处瑕疵的得2分；</w:t>
            </w:r>
          </w:p>
          <w:p w14:paraId="34B77744">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宋体" w:hAnsi="宋体" w:cs="宋体"/>
                <w:bCs/>
                <w:color w:val="auto"/>
                <w:sz w:val="24"/>
                <w:szCs w:val="24"/>
                <w:highlight w:val="none"/>
              </w:rPr>
            </w:pPr>
            <w:r>
              <w:rPr>
                <w:rFonts w:hint="eastAsia" w:ascii="宋体" w:hAnsi="宋体" w:eastAsia="宋体" w:cs="仿宋"/>
                <w:color w:val="auto"/>
                <w:sz w:val="24"/>
                <w:szCs w:val="24"/>
                <w:highlight w:val="none"/>
                <w:lang w:val="en-US" w:eastAsia="zh-CN"/>
              </w:rPr>
              <w:t>方案内容存在5处及以上瑕疵或内容不完整或未提供方案不得分。</w:t>
            </w:r>
          </w:p>
        </w:tc>
        <w:tc>
          <w:tcPr>
            <w:tcW w:w="2483" w:type="dxa"/>
            <w:vMerge w:val="restart"/>
            <w:vAlign w:val="center"/>
          </w:tcPr>
          <w:p w14:paraId="105148F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1.提供书面方案进行评审。</w:t>
            </w:r>
          </w:p>
          <w:p w14:paraId="131E0287">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Cs/>
                <w:color w:val="auto"/>
                <w:sz w:val="24"/>
                <w:szCs w:val="24"/>
                <w:highlight w:val="none"/>
              </w:rPr>
            </w:pPr>
            <w:r>
              <w:rPr>
                <w:rFonts w:hint="eastAsia" w:ascii="宋体" w:hAnsi="宋体" w:cs="宋体"/>
                <w:color w:val="auto"/>
                <w:kern w:val="0"/>
                <w:sz w:val="24"/>
                <w:szCs w:val="24"/>
                <w:highlight w:val="none"/>
              </w:rPr>
              <w:t>2.本项内容中所称的“瑕疵”：①内容表述不完整或缺少关键分析点；②计划及措施不科学合理方案</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③内容表述前后矛盾、无连贯性、内容存在逻辑漏洞；④常识性错误；⑤技术措施保障安排并不适用本项目特性或非专门针对本项目制定；⑥方案中提出的措施举措不利于本项目目标的实现；⑦现有技术条件下不可能实现采购目标；上述任意一种情形为1处瑕疵。</w:t>
            </w:r>
          </w:p>
        </w:tc>
      </w:tr>
      <w:tr w14:paraId="4B9B0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35" w:type="dxa"/>
            <w:vMerge w:val="continue"/>
            <w:vAlign w:val="center"/>
          </w:tcPr>
          <w:p w14:paraId="5C1AEB2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Cs/>
                <w:color w:val="auto"/>
                <w:sz w:val="24"/>
                <w:szCs w:val="24"/>
                <w:highlight w:val="none"/>
              </w:rPr>
            </w:pPr>
          </w:p>
        </w:tc>
        <w:tc>
          <w:tcPr>
            <w:tcW w:w="1433" w:type="dxa"/>
            <w:vMerge w:val="continue"/>
            <w:vAlign w:val="center"/>
          </w:tcPr>
          <w:p w14:paraId="27E90B1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Cs/>
                <w:color w:val="auto"/>
                <w:sz w:val="24"/>
                <w:szCs w:val="24"/>
                <w:highlight w:val="none"/>
              </w:rPr>
            </w:pPr>
          </w:p>
        </w:tc>
        <w:tc>
          <w:tcPr>
            <w:tcW w:w="823" w:type="dxa"/>
            <w:tcBorders>
              <w:bottom w:val="single" w:color="auto" w:sz="4" w:space="0"/>
            </w:tcBorders>
            <w:vAlign w:val="center"/>
          </w:tcPr>
          <w:p w14:paraId="47CC95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宋体" w:hAnsi="宋体" w:cs="仿宋"/>
                <w:color w:val="auto"/>
                <w:sz w:val="24"/>
                <w:szCs w:val="24"/>
                <w:highlight w:val="none"/>
                <w:lang w:val="en-US" w:eastAsia="zh-CN"/>
              </w:rPr>
            </w:pPr>
            <w:r>
              <w:rPr>
                <w:rFonts w:hint="eastAsia" w:ascii="宋体" w:hAnsi="宋体" w:cs="仿宋"/>
                <w:color w:val="auto"/>
                <w:sz w:val="24"/>
                <w:szCs w:val="24"/>
                <w:highlight w:val="none"/>
                <w:lang w:val="en-US" w:eastAsia="zh-CN"/>
              </w:rPr>
              <w:t>15分</w:t>
            </w:r>
          </w:p>
        </w:tc>
        <w:tc>
          <w:tcPr>
            <w:tcW w:w="4162" w:type="dxa"/>
            <w:vAlign w:val="center"/>
          </w:tcPr>
          <w:p w14:paraId="5D31AF87">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cs="仿宋"/>
                <w:color w:val="auto"/>
                <w:sz w:val="24"/>
                <w:szCs w:val="24"/>
                <w:highlight w:val="none"/>
                <w:lang w:val="en-US" w:eastAsia="zh-CN"/>
              </w:rPr>
            </w:pPr>
            <w:r>
              <w:rPr>
                <w:rFonts w:hint="eastAsia" w:ascii="宋体" w:hAnsi="宋体" w:cs="仿宋"/>
                <w:color w:val="auto"/>
                <w:sz w:val="24"/>
                <w:szCs w:val="24"/>
                <w:highlight w:val="none"/>
                <w:lang w:val="en-US" w:eastAsia="zh-CN"/>
              </w:rPr>
              <w:t>供应商针对本项目提供药剂使用方案，方案内容包含但不限于：①药剂选择依据（附药效数据）；②环保性对比分析。</w:t>
            </w:r>
          </w:p>
          <w:p w14:paraId="4184F049">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cs="仿宋"/>
                <w:color w:val="auto"/>
                <w:sz w:val="24"/>
                <w:szCs w:val="24"/>
                <w:highlight w:val="none"/>
                <w:lang w:val="en-US" w:eastAsia="zh-CN"/>
              </w:rPr>
            </w:pPr>
            <w:r>
              <w:rPr>
                <w:rFonts w:hint="eastAsia" w:ascii="宋体" w:hAnsi="宋体" w:cs="仿宋"/>
                <w:color w:val="auto"/>
                <w:sz w:val="24"/>
                <w:szCs w:val="24"/>
                <w:highlight w:val="none"/>
                <w:lang w:val="en-US" w:eastAsia="zh-CN"/>
              </w:rPr>
              <w:t>方案内容完整且不存在瑕疵的得15分；</w:t>
            </w:r>
          </w:p>
          <w:p w14:paraId="5282F3B4">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cs="仿宋"/>
                <w:color w:val="auto"/>
                <w:sz w:val="24"/>
                <w:szCs w:val="24"/>
                <w:highlight w:val="none"/>
                <w:lang w:val="en-US" w:eastAsia="zh-CN"/>
              </w:rPr>
            </w:pPr>
            <w:r>
              <w:rPr>
                <w:rFonts w:hint="eastAsia" w:ascii="宋体" w:hAnsi="宋体" w:cs="仿宋"/>
                <w:color w:val="auto"/>
                <w:sz w:val="24"/>
                <w:szCs w:val="24"/>
                <w:highlight w:val="none"/>
                <w:lang w:val="en-US" w:eastAsia="zh-CN"/>
              </w:rPr>
              <w:t>方案内容完整但存在1处瑕疵的得10分；</w:t>
            </w:r>
          </w:p>
          <w:p w14:paraId="7C10F3DF">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cs="仿宋"/>
                <w:color w:val="auto"/>
                <w:sz w:val="24"/>
                <w:szCs w:val="24"/>
                <w:highlight w:val="none"/>
                <w:lang w:val="en-US" w:eastAsia="zh-CN"/>
              </w:rPr>
            </w:pPr>
            <w:r>
              <w:rPr>
                <w:rFonts w:hint="eastAsia" w:ascii="宋体" w:hAnsi="宋体" w:cs="仿宋"/>
                <w:color w:val="auto"/>
                <w:sz w:val="24"/>
                <w:szCs w:val="24"/>
                <w:highlight w:val="none"/>
                <w:lang w:val="en-US" w:eastAsia="zh-CN"/>
              </w:rPr>
              <w:t>方案内容完整但存在2处瑕疵的得6分；</w:t>
            </w:r>
          </w:p>
          <w:p w14:paraId="546A5041">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cs="仿宋"/>
                <w:color w:val="auto"/>
                <w:sz w:val="24"/>
                <w:szCs w:val="24"/>
                <w:highlight w:val="none"/>
                <w:lang w:val="en-US" w:eastAsia="zh-CN"/>
              </w:rPr>
            </w:pPr>
            <w:r>
              <w:rPr>
                <w:rFonts w:hint="eastAsia" w:ascii="宋体" w:hAnsi="宋体" w:cs="仿宋"/>
                <w:color w:val="auto"/>
                <w:sz w:val="24"/>
                <w:szCs w:val="24"/>
                <w:highlight w:val="none"/>
                <w:lang w:val="en-US" w:eastAsia="zh-CN"/>
              </w:rPr>
              <w:t>方案内容完整但存在3处瑕疵的得4分；</w:t>
            </w:r>
          </w:p>
          <w:p w14:paraId="76A89993">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cs="仿宋"/>
                <w:color w:val="auto"/>
                <w:sz w:val="24"/>
                <w:szCs w:val="24"/>
                <w:highlight w:val="none"/>
                <w:lang w:val="en-US" w:eastAsia="zh-CN"/>
              </w:rPr>
            </w:pPr>
            <w:r>
              <w:rPr>
                <w:rFonts w:hint="eastAsia" w:ascii="宋体" w:hAnsi="宋体" w:cs="仿宋"/>
                <w:color w:val="auto"/>
                <w:sz w:val="24"/>
                <w:szCs w:val="24"/>
                <w:highlight w:val="none"/>
                <w:lang w:val="en-US" w:eastAsia="zh-CN"/>
              </w:rPr>
              <w:t>方案内容完整但存在4处瑕疵的得2分；</w:t>
            </w:r>
          </w:p>
          <w:p w14:paraId="0F508CF4">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宋体" w:hAnsi="宋体" w:eastAsia="宋体" w:cs="仿宋"/>
                <w:color w:val="auto"/>
                <w:sz w:val="24"/>
                <w:szCs w:val="24"/>
                <w:highlight w:val="none"/>
                <w:lang w:val="en-US" w:eastAsia="zh-CN"/>
              </w:rPr>
            </w:pPr>
            <w:r>
              <w:rPr>
                <w:rFonts w:hint="eastAsia" w:ascii="宋体" w:hAnsi="宋体" w:cs="仿宋"/>
                <w:color w:val="auto"/>
                <w:sz w:val="24"/>
                <w:szCs w:val="24"/>
                <w:highlight w:val="none"/>
                <w:lang w:val="en-US" w:eastAsia="zh-CN"/>
              </w:rPr>
              <w:t>方案内容存在5处及以上瑕疵或内容不完整或未提供方案不得分。</w:t>
            </w:r>
          </w:p>
        </w:tc>
        <w:tc>
          <w:tcPr>
            <w:tcW w:w="2483" w:type="dxa"/>
            <w:vMerge w:val="continue"/>
            <w:vAlign w:val="center"/>
          </w:tcPr>
          <w:p w14:paraId="26F71BB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kern w:val="0"/>
                <w:sz w:val="24"/>
                <w:szCs w:val="24"/>
                <w:highlight w:val="none"/>
              </w:rPr>
            </w:pPr>
          </w:p>
        </w:tc>
      </w:tr>
      <w:tr w14:paraId="02361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35" w:type="dxa"/>
            <w:vMerge w:val="continue"/>
            <w:vAlign w:val="center"/>
          </w:tcPr>
          <w:p w14:paraId="753F769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Cs/>
                <w:color w:val="auto"/>
                <w:sz w:val="24"/>
                <w:szCs w:val="24"/>
                <w:highlight w:val="none"/>
              </w:rPr>
            </w:pPr>
          </w:p>
        </w:tc>
        <w:tc>
          <w:tcPr>
            <w:tcW w:w="1433" w:type="dxa"/>
            <w:vMerge w:val="continue"/>
            <w:vAlign w:val="center"/>
          </w:tcPr>
          <w:p w14:paraId="11C0955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Cs/>
                <w:color w:val="auto"/>
                <w:sz w:val="24"/>
                <w:szCs w:val="24"/>
                <w:highlight w:val="none"/>
              </w:rPr>
            </w:pPr>
          </w:p>
        </w:tc>
        <w:tc>
          <w:tcPr>
            <w:tcW w:w="823" w:type="dxa"/>
            <w:tcBorders>
              <w:bottom w:val="single" w:color="auto" w:sz="4" w:space="0"/>
            </w:tcBorders>
            <w:vAlign w:val="center"/>
          </w:tcPr>
          <w:p w14:paraId="082582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ascii="宋体" w:hAnsi="宋体" w:cs="宋体"/>
                <w:bCs/>
                <w:color w:val="auto"/>
                <w:sz w:val="24"/>
                <w:szCs w:val="24"/>
                <w:highlight w:val="none"/>
              </w:rPr>
            </w:pPr>
            <w:r>
              <w:rPr>
                <w:rFonts w:hint="eastAsia" w:ascii="宋体" w:hAnsi="宋体" w:cs="仿宋"/>
                <w:color w:val="auto"/>
                <w:sz w:val="24"/>
                <w:szCs w:val="24"/>
                <w:highlight w:val="none"/>
                <w:lang w:val="en-US" w:eastAsia="zh-CN"/>
              </w:rPr>
              <w:t>10分</w:t>
            </w:r>
          </w:p>
        </w:tc>
        <w:tc>
          <w:tcPr>
            <w:tcW w:w="4162" w:type="dxa"/>
            <w:vAlign w:val="center"/>
          </w:tcPr>
          <w:p w14:paraId="05917025">
            <w:pPr>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供应商针对本项目提供安全保障</w:t>
            </w:r>
            <w:r>
              <w:rPr>
                <w:rFonts w:hint="eastAsia" w:ascii="宋体" w:hAnsi="宋体" w:eastAsia="宋体" w:cs="仿宋"/>
                <w:color w:val="auto"/>
                <w:sz w:val="24"/>
                <w:szCs w:val="24"/>
                <w:highlight w:val="none"/>
                <w:lang w:eastAsia="zh-CN"/>
              </w:rPr>
              <w:t>及应急处理</w:t>
            </w:r>
            <w:r>
              <w:rPr>
                <w:rFonts w:hint="eastAsia" w:ascii="宋体" w:hAnsi="宋体" w:eastAsia="宋体" w:cs="仿宋"/>
                <w:color w:val="auto"/>
                <w:sz w:val="24"/>
                <w:szCs w:val="24"/>
                <w:highlight w:val="none"/>
              </w:rPr>
              <w:t>措施，</w:t>
            </w:r>
            <w:r>
              <w:rPr>
                <w:rFonts w:hint="eastAsia" w:ascii="宋体" w:hAnsi="宋体" w:eastAsia="宋体" w:cs="仿宋"/>
                <w:color w:val="auto"/>
                <w:sz w:val="24"/>
                <w:szCs w:val="24"/>
                <w:highlight w:val="none"/>
                <w:lang w:eastAsia="zh-CN"/>
              </w:rPr>
              <w:t>内容包含</w:t>
            </w:r>
            <w:r>
              <w:rPr>
                <w:rFonts w:hint="eastAsia" w:ascii="宋体" w:hAnsi="宋体" w:eastAsia="宋体" w:cs="仿宋"/>
                <w:color w:val="auto"/>
                <w:sz w:val="24"/>
                <w:szCs w:val="24"/>
                <w:highlight w:val="none"/>
              </w:rPr>
              <w:t>但不限于：①安全文明作业制度；②安全保障设施、设备；③对发生各类安全事故作善后处理。</w:t>
            </w:r>
          </w:p>
          <w:p w14:paraId="50F0C914">
            <w:pPr>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方案内容</w:t>
            </w:r>
            <w:r>
              <w:rPr>
                <w:rFonts w:hint="eastAsia" w:ascii="宋体" w:hAnsi="宋体" w:eastAsia="宋体" w:cs="仿宋"/>
                <w:color w:val="auto"/>
                <w:sz w:val="24"/>
                <w:szCs w:val="24"/>
                <w:highlight w:val="none"/>
                <w:lang w:val="en-US" w:eastAsia="zh-CN"/>
              </w:rPr>
              <w:t>完整且</w:t>
            </w:r>
            <w:r>
              <w:rPr>
                <w:rFonts w:hint="eastAsia" w:ascii="宋体" w:hAnsi="宋体" w:eastAsia="宋体" w:cs="仿宋"/>
                <w:color w:val="auto"/>
                <w:sz w:val="24"/>
                <w:szCs w:val="24"/>
                <w:highlight w:val="none"/>
              </w:rPr>
              <w:t>不存在瑕疵</w:t>
            </w:r>
            <w:r>
              <w:rPr>
                <w:rFonts w:hint="eastAsia" w:ascii="宋体" w:hAnsi="宋体" w:eastAsia="宋体" w:cs="仿宋"/>
                <w:color w:val="auto"/>
                <w:sz w:val="24"/>
                <w:szCs w:val="24"/>
                <w:highlight w:val="none"/>
                <w:lang w:eastAsia="zh-CN"/>
              </w:rPr>
              <w:t>的</w:t>
            </w:r>
            <w:r>
              <w:rPr>
                <w:rFonts w:hint="eastAsia" w:ascii="宋体" w:hAnsi="宋体" w:eastAsia="宋体" w:cs="仿宋"/>
                <w:color w:val="auto"/>
                <w:sz w:val="24"/>
                <w:szCs w:val="24"/>
                <w:highlight w:val="none"/>
              </w:rPr>
              <w:t>得</w:t>
            </w:r>
            <w:r>
              <w:rPr>
                <w:rFonts w:hint="eastAsia" w:ascii="宋体" w:hAnsi="宋体" w:cs="仿宋"/>
                <w:color w:val="auto"/>
                <w:sz w:val="24"/>
                <w:szCs w:val="24"/>
                <w:highlight w:val="none"/>
                <w:lang w:val="en-US" w:eastAsia="zh-CN"/>
              </w:rPr>
              <w:t>10</w:t>
            </w:r>
            <w:r>
              <w:rPr>
                <w:rFonts w:hint="eastAsia" w:ascii="宋体" w:hAnsi="宋体" w:eastAsia="宋体" w:cs="仿宋"/>
                <w:color w:val="auto"/>
                <w:sz w:val="24"/>
                <w:szCs w:val="24"/>
                <w:highlight w:val="none"/>
              </w:rPr>
              <w:t>分；</w:t>
            </w:r>
          </w:p>
          <w:p w14:paraId="37497E49">
            <w:pPr>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方案内容</w:t>
            </w:r>
            <w:r>
              <w:rPr>
                <w:rFonts w:hint="eastAsia" w:ascii="宋体" w:hAnsi="宋体" w:eastAsia="宋体" w:cs="仿宋"/>
                <w:color w:val="auto"/>
                <w:sz w:val="24"/>
                <w:szCs w:val="24"/>
                <w:highlight w:val="none"/>
                <w:lang w:val="en-US" w:eastAsia="zh-CN"/>
              </w:rPr>
              <w:t>完整但</w:t>
            </w:r>
            <w:r>
              <w:rPr>
                <w:rFonts w:hint="eastAsia" w:ascii="宋体" w:hAnsi="宋体" w:eastAsia="宋体" w:cs="仿宋"/>
                <w:color w:val="auto"/>
                <w:sz w:val="24"/>
                <w:szCs w:val="24"/>
                <w:highlight w:val="none"/>
              </w:rPr>
              <w:t>存在1处瑕疵</w:t>
            </w:r>
            <w:r>
              <w:rPr>
                <w:rFonts w:hint="eastAsia" w:ascii="宋体" w:hAnsi="宋体" w:eastAsia="宋体" w:cs="仿宋"/>
                <w:color w:val="auto"/>
                <w:sz w:val="24"/>
                <w:szCs w:val="24"/>
                <w:highlight w:val="none"/>
                <w:lang w:eastAsia="zh-CN"/>
              </w:rPr>
              <w:t>的</w:t>
            </w:r>
            <w:r>
              <w:rPr>
                <w:rFonts w:hint="eastAsia" w:ascii="宋体" w:hAnsi="宋体" w:eastAsia="宋体" w:cs="仿宋"/>
                <w:color w:val="auto"/>
                <w:sz w:val="24"/>
                <w:szCs w:val="24"/>
                <w:highlight w:val="none"/>
              </w:rPr>
              <w:t>得</w:t>
            </w:r>
            <w:r>
              <w:rPr>
                <w:rFonts w:hint="eastAsia" w:ascii="宋体" w:hAnsi="宋体" w:cs="仿宋"/>
                <w:color w:val="auto"/>
                <w:sz w:val="24"/>
                <w:szCs w:val="24"/>
                <w:highlight w:val="none"/>
                <w:lang w:val="en-US" w:eastAsia="zh-CN"/>
              </w:rPr>
              <w:t>8</w:t>
            </w:r>
            <w:r>
              <w:rPr>
                <w:rFonts w:hint="eastAsia" w:ascii="宋体" w:hAnsi="宋体" w:eastAsia="宋体" w:cs="仿宋"/>
                <w:color w:val="auto"/>
                <w:sz w:val="24"/>
                <w:szCs w:val="24"/>
                <w:highlight w:val="none"/>
              </w:rPr>
              <w:t>分；</w:t>
            </w:r>
          </w:p>
          <w:p w14:paraId="26B99C8C">
            <w:pPr>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方案内容</w:t>
            </w:r>
            <w:r>
              <w:rPr>
                <w:rFonts w:hint="eastAsia" w:ascii="宋体" w:hAnsi="宋体" w:eastAsia="宋体" w:cs="仿宋"/>
                <w:color w:val="auto"/>
                <w:sz w:val="24"/>
                <w:szCs w:val="24"/>
                <w:highlight w:val="none"/>
                <w:lang w:val="en-US" w:eastAsia="zh-CN"/>
              </w:rPr>
              <w:t>完整但</w:t>
            </w:r>
            <w:r>
              <w:rPr>
                <w:rFonts w:hint="eastAsia" w:ascii="宋体" w:hAnsi="宋体" w:eastAsia="宋体" w:cs="仿宋"/>
                <w:color w:val="auto"/>
                <w:sz w:val="24"/>
                <w:szCs w:val="24"/>
                <w:highlight w:val="none"/>
              </w:rPr>
              <w:t>存在2处瑕疵</w:t>
            </w:r>
            <w:r>
              <w:rPr>
                <w:rFonts w:hint="eastAsia" w:ascii="宋体" w:hAnsi="宋体" w:eastAsia="宋体" w:cs="仿宋"/>
                <w:color w:val="auto"/>
                <w:sz w:val="24"/>
                <w:szCs w:val="24"/>
                <w:highlight w:val="none"/>
                <w:lang w:eastAsia="zh-CN"/>
              </w:rPr>
              <w:t>的</w:t>
            </w:r>
            <w:r>
              <w:rPr>
                <w:rFonts w:hint="eastAsia" w:ascii="宋体" w:hAnsi="宋体" w:eastAsia="宋体" w:cs="仿宋"/>
                <w:color w:val="auto"/>
                <w:sz w:val="24"/>
                <w:szCs w:val="24"/>
                <w:highlight w:val="none"/>
              </w:rPr>
              <w:t>得</w:t>
            </w:r>
            <w:r>
              <w:rPr>
                <w:rFonts w:hint="eastAsia" w:ascii="宋体" w:hAnsi="宋体" w:cs="仿宋"/>
                <w:color w:val="auto"/>
                <w:sz w:val="24"/>
                <w:szCs w:val="24"/>
                <w:highlight w:val="none"/>
                <w:lang w:val="en-US" w:eastAsia="zh-CN"/>
              </w:rPr>
              <w:t>6</w:t>
            </w:r>
            <w:r>
              <w:rPr>
                <w:rFonts w:hint="eastAsia" w:ascii="宋体" w:hAnsi="宋体" w:eastAsia="宋体" w:cs="仿宋"/>
                <w:color w:val="auto"/>
                <w:sz w:val="24"/>
                <w:szCs w:val="24"/>
                <w:highlight w:val="none"/>
              </w:rPr>
              <w:t>分；</w:t>
            </w:r>
          </w:p>
          <w:p w14:paraId="6C159143">
            <w:pPr>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方案内容</w:t>
            </w:r>
            <w:r>
              <w:rPr>
                <w:rFonts w:hint="eastAsia" w:ascii="宋体" w:hAnsi="宋体" w:eastAsia="宋体" w:cs="仿宋"/>
                <w:color w:val="auto"/>
                <w:sz w:val="24"/>
                <w:szCs w:val="24"/>
                <w:highlight w:val="none"/>
                <w:lang w:val="en-US" w:eastAsia="zh-CN"/>
              </w:rPr>
              <w:t>完整但</w:t>
            </w:r>
            <w:r>
              <w:rPr>
                <w:rFonts w:hint="eastAsia" w:ascii="宋体" w:hAnsi="宋体" w:eastAsia="宋体" w:cs="仿宋"/>
                <w:color w:val="auto"/>
                <w:sz w:val="24"/>
                <w:szCs w:val="24"/>
                <w:highlight w:val="none"/>
              </w:rPr>
              <w:t>存在3处瑕疵</w:t>
            </w:r>
            <w:r>
              <w:rPr>
                <w:rFonts w:hint="eastAsia" w:ascii="宋体" w:hAnsi="宋体" w:eastAsia="宋体" w:cs="仿宋"/>
                <w:color w:val="auto"/>
                <w:sz w:val="24"/>
                <w:szCs w:val="24"/>
                <w:highlight w:val="none"/>
                <w:lang w:eastAsia="zh-CN"/>
              </w:rPr>
              <w:t>的</w:t>
            </w:r>
            <w:r>
              <w:rPr>
                <w:rFonts w:hint="eastAsia" w:ascii="宋体" w:hAnsi="宋体" w:eastAsia="宋体" w:cs="仿宋"/>
                <w:color w:val="auto"/>
                <w:sz w:val="24"/>
                <w:szCs w:val="24"/>
                <w:highlight w:val="none"/>
              </w:rPr>
              <w:t>得</w:t>
            </w:r>
            <w:r>
              <w:rPr>
                <w:rFonts w:hint="eastAsia" w:ascii="宋体" w:hAnsi="宋体" w:cs="仿宋"/>
                <w:color w:val="auto"/>
                <w:sz w:val="24"/>
                <w:szCs w:val="24"/>
                <w:highlight w:val="none"/>
                <w:lang w:val="en-US" w:eastAsia="zh-CN"/>
              </w:rPr>
              <w:t>4</w:t>
            </w:r>
            <w:r>
              <w:rPr>
                <w:rFonts w:hint="eastAsia" w:ascii="宋体" w:hAnsi="宋体" w:eastAsia="宋体" w:cs="仿宋"/>
                <w:color w:val="auto"/>
                <w:sz w:val="24"/>
                <w:szCs w:val="24"/>
                <w:highlight w:val="none"/>
              </w:rPr>
              <w:t>分；</w:t>
            </w:r>
          </w:p>
          <w:p w14:paraId="75BB9D0A">
            <w:pPr>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方案内容</w:t>
            </w:r>
            <w:r>
              <w:rPr>
                <w:rFonts w:hint="eastAsia" w:ascii="宋体" w:hAnsi="宋体" w:eastAsia="宋体" w:cs="仿宋"/>
                <w:color w:val="auto"/>
                <w:sz w:val="24"/>
                <w:szCs w:val="24"/>
                <w:highlight w:val="none"/>
                <w:lang w:val="en-US" w:eastAsia="zh-CN"/>
              </w:rPr>
              <w:t>完整但</w:t>
            </w:r>
            <w:r>
              <w:rPr>
                <w:rFonts w:hint="eastAsia" w:ascii="宋体" w:hAnsi="宋体" w:eastAsia="宋体" w:cs="仿宋"/>
                <w:color w:val="auto"/>
                <w:sz w:val="24"/>
                <w:szCs w:val="24"/>
                <w:highlight w:val="none"/>
              </w:rPr>
              <w:t>存在</w:t>
            </w:r>
            <w:r>
              <w:rPr>
                <w:rFonts w:hint="eastAsia" w:ascii="宋体" w:hAnsi="宋体" w:eastAsia="宋体" w:cs="仿宋"/>
                <w:color w:val="auto"/>
                <w:sz w:val="24"/>
                <w:szCs w:val="24"/>
                <w:highlight w:val="none"/>
                <w:lang w:val="en-US" w:eastAsia="zh-CN"/>
              </w:rPr>
              <w:t>4</w:t>
            </w:r>
            <w:r>
              <w:rPr>
                <w:rFonts w:hint="eastAsia" w:ascii="宋体" w:hAnsi="宋体" w:eastAsia="宋体" w:cs="仿宋"/>
                <w:color w:val="auto"/>
                <w:sz w:val="24"/>
                <w:szCs w:val="24"/>
                <w:highlight w:val="none"/>
              </w:rPr>
              <w:t>处瑕疵</w:t>
            </w:r>
            <w:r>
              <w:rPr>
                <w:rFonts w:hint="eastAsia" w:ascii="宋体" w:hAnsi="宋体" w:eastAsia="宋体" w:cs="仿宋"/>
                <w:color w:val="auto"/>
                <w:sz w:val="24"/>
                <w:szCs w:val="24"/>
                <w:highlight w:val="none"/>
                <w:lang w:eastAsia="zh-CN"/>
              </w:rPr>
              <w:t>的</w:t>
            </w:r>
            <w:r>
              <w:rPr>
                <w:rFonts w:hint="eastAsia" w:ascii="宋体" w:hAnsi="宋体" w:eastAsia="宋体" w:cs="仿宋"/>
                <w:color w:val="auto"/>
                <w:sz w:val="24"/>
                <w:szCs w:val="24"/>
                <w:highlight w:val="none"/>
              </w:rPr>
              <w:t>得</w:t>
            </w:r>
            <w:r>
              <w:rPr>
                <w:rFonts w:hint="eastAsia" w:ascii="宋体" w:hAnsi="宋体" w:eastAsia="宋体" w:cs="仿宋"/>
                <w:color w:val="auto"/>
                <w:sz w:val="24"/>
                <w:szCs w:val="24"/>
                <w:highlight w:val="none"/>
                <w:lang w:val="en-US" w:eastAsia="zh-CN"/>
              </w:rPr>
              <w:t>2</w:t>
            </w:r>
            <w:r>
              <w:rPr>
                <w:rFonts w:hint="eastAsia" w:ascii="宋体" w:hAnsi="宋体" w:eastAsia="宋体" w:cs="仿宋"/>
                <w:color w:val="auto"/>
                <w:sz w:val="24"/>
                <w:szCs w:val="24"/>
                <w:highlight w:val="none"/>
              </w:rPr>
              <w:t>分；</w:t>
            </w:r>
          </w:p>
          <w:p w14:paraId="66315105">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宋体" w:hAnsi="宋体" w:cs="宋体"/>
                <w:bCs/>
                <w:color w:val="auto"/>
                <w:sz w:val="24"/>
                <w:szCs w:val="24"/>
                <w:highlight w:val="none"/>
              </w:rPr>
            </w:pPr>
            <w:r>
              <w:rPr>
                <w:rFonts w:hint="eastAsia" w:ascii="宋体" w:hAnsi="宋体" w:eastAsia="宋体" w:cs="仿宋"/>
                <w:color w:val="auto"/>
                <w:sz w:val="24"/>
                <w:szCs w:val="24"/>
                <w:highlight w:val="none"/>
              </w:rPr>
              <w:t>方案内容存在</w:t>
            </w:r>
            <w:r>
              <w:rPr>
                <w:rFonts w:hint="eastAsia" w:ascii="宋体" w:hAnsi="宋体" w:eastAsia="宋体" w:cs="仿宋"/>
                <w:color w:val="auto"/>
                <w:sz w:val="24"/>
                <w:szCs w:val="24"/>
                <w:highlight w:val="none"/>
                <w:lang w:val="en-US" w:eastAsia="zh-CN"/>
              </w:rPr>
              <w:t>5</w:t>
            </w:r>
            <w:r>
              <w:rPr>
                <w:rFonts w:hint="eastAsia" w:ascii="宋体" w:hAnsi="宋体" w:eastAsia="宋体" w:cs="仿宋"/>
                <w:color w:val="auto"/>
                <w:sz w:val="24"/>
                <w:szCs w:val="24"/>
                <w:highlight w:val="none"/>
              </w:rPr>
              <w:t>处及以上瑕疵或</w:t>
            </w:r>
            <w:r>
              <w:rPr>
                <w:rFonts w:hint="eastAsia" w:ascii="宋体" w:hAnsi="宋体" w:eastAsia="宋体" w:cs="仿宋"/>
                <w:color w:val="auto"/>
                <w:sz w:val="24"/>
                <w:szCs w:val="24"/>
                <w:highlight w:val="none"/>
                <w:lang w:eastAsia="zh-CN"/>
              </w:rPr>
              <w:t>内容不完整或</w:t>
            </w:r>
            <w:r>
              <w:rPr>
                <w:rFonts w:hint="eastAsia" w:ascii="宋体" w:hAnsi="宋体" w:eastAsia="宋体" w:cs="仿宋"/>
                <w:color w:val="auto"/>
                <w:sz w:val="24"/>
                <w:szCs w:val="24"/>
                <w:highlight w:val="none"/>
              </w:rPr>
              <w:t>未提供方案不得分。</w:t>
            </w:r>
          </w:p>
        </w:tc>
        <w:tc>
          <w:tcPr>
            <w:tcW w:w="2483" w:type="dxa"/>
            <w:vMerge w:val="continue"/>
            <w:vAlign w:val="center"/>
          </w:tcPr>
          <w:p w14:paraId="6DB7266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Cs/>
                <w:color w:val="auto"/>
                <w:sz w:val="24"/>
                <w:szCs w:val="24"/>
                <w:highlight w:val="none"/>
                <w:lang w:val="zh-CN"/>
              </w:rPr>
            </w:pPr>
          </w:p>
        </w:tc>
      </w:tr>
      <w:tr w14:paraId="66AB9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35" w:type="dxa"/>
            <w:vMerge w:val="continue"/>
            <w:vAlign w:val="center"/>
          </w:tcPr>
          <w:p w14:paraId="1D7572D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Cs/>
                <w:color w:val="auto"/>
                <w:sz w:val="24"/>
                <w:szCs w:val="24"/>
                <w:highlight w:val="none"/>
              </w:rPr>
            </w:pPr>
          </w:p>
        </w:tc>
        <w:tc>
          <w:tcPr>
            <w:tcW w:w="1433" w:type="dxa"/>
            <w:vMerge w:val="continue"/>
            <w:vAlign w:val="center"/>
          </w:tcPr>
          <w:p w14:paraId="4638C20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Cs/>
                <w:color w:val="auto"/>
                <w:sz w:val="24"/>
                <w:szCs w:val="24"/>
                <w:highlight w:val="none"/>
              </w:rPr>
            </w:pPr>
          </w:p>
        </w:tc>
        <w:tc>
          <w:tcPr>
            <w:tcW w:w="823" w:type="dxa"/>
            <w:tcBorders>
              <w:bottom w:val="single" w:color="auto" w:sz="4" w:space="0"/>
            </w:tcBorders>
            <w:vAlign w:val="center"/>
          </w:tcPr>
          <w:p w14:paraId="091CAA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ascii="宋体" w:hAnsi="宋体" w:cs="宋体"/>
                <w:bCs/>
                <w:color w:val="auto"/>
                <w:sz w:val="24"/>
                <w:szCs w:val="24"/>
                <w:highlight w:val="none"/>
              </w:rPr>
            </w:pPr>
            <w:r>
              <w:rPr>
                <w:rFonts w:hint="eastAsia" w:ascii="宋体" w:hAnsi="宋体" w:cs="仿宋"/>
                <w:color w:val="auto"/>
                <w:sz w:val="24"/>
                <w:szCs w:val="24"/>
                <w:highlight w:val="none"/>
                <w:lang w:val="en-US" w:eastAsia="zh-CN"/>
              </w:rPr>
              <w:t>10分</w:t>
            </w:r>
          </w:p>
        </w:tc>
        <w:tc>
          <w:tcPr>
            <w:tcW w:w="4162" w:type="dxa"/>
            <w:tcBorders>
              <w:bottom w:val="single" w:color="auto" w:sz="4" w:space="0"/>
            </w:tcBorders>
            <w:vAlign w:val="center"/>
          </w:tcPr>
          <w:p w14:paraId="55BA8440">
            <w:pPr>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供应商针对本项目提供售后服务方案内容包含不限于：①售后服务响应时间；②售后服务保障措施；③安全保障措施；④服务质量承诺内容。</w:t>
            </w:r>
          </w:p>
          <w:p w14:paraId="2A067E24">
            <w:pPr>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方案内容</w:t>
            </w:r>
            <w:r>
              <w:rPr>
                <w:rFonts w:hint="eastAsia" w:ascii="宋体" w:hAnsi="宋体" w:eastAsia="宋体" w:cs="仿宋"/>
                <w:color w:val="auto"/>
                <w:sz w:val="24"/>
                <w:szCs w:val="24"/>
                <w:highlight w:val="none"/>
                <w:lang w:val="en-US" w:eastAsia="zh-CN"/>
              </w:rPr>
              <w:t>完整且</w:t>
            </w:r>
            <w:r>
              <w:rPr>
                <w:rFonts w:hint="eastAsia" w:ascii="宋体" w:hAnsi="宋体" w:eastAsia="宋体" w:cs="仿宋"/>
                <w:color w:val="auto"/>
                <w:sz w:val="24"/>
                <w:szCs w:val="24"/>
                <w:highlight w:val="none"/>
              </w:rPr>
              <w:t>不存在瑕疵</w:t>
            </w:r>
            <w:r>
              <w:rPr>
                <w:rFonts w:hint="eastAsia" w:ascii="宋体" w:hAnsi="宋体" w:eastAsia="宋体" w:cs="仿宋"/>
                <w:color w:val="auto"/>
                <w:sz w:val="24"/>
                <w:szCs w:val="24"/>
                <w:highlight w:val="none"/>
                <w:lang w:eastAsia="zh-CN"/>
              </w:rPr>
              <w:t>的</w:t>
            </w:r>
            <w:r>
              <w:rPr>
                <w:rFonts w:hint="eastAsia" w:ascii="宋体" w:hAnsi="宋体" w:eastAsia="宋体" w:cs="仿宋"/>
                <w:color w:val="auto"/>
                <w:sz w:val="24"/>
                <w:szCs w:val="24"/>
                <w:highlight w:val="none"/>
              </w:rPr>
              <w:t>得</w:t>
            </w:r>
            <w:r>
              <w:rPr>
                <w:rFonts w:hint="eastAsia" w:ascii="宋体" w:hAnsi="宋体" w:cs="仿宋"/>
                <w:color w:val="auto"/>
                <w:sz w:val="24"/>
                <w:szCs w:val="24"/>
                <w:highlight w:val="none"/>
                <w:lang w:val="en-US" w:eastAsia="zh-CN"/>
              </w:rPr>
              <w:t>10</w:t>
            </w:r>
            <w:r>
              <w:rPr>
                <w:rFonts w:hint="eastAsia" w:ascii="宋体" w:hAnsi="宋体" w:eastAsia="宋体" w:cs="仿宋"/>
                <w:color w:val="auto"/>
                <w:sz w:val="24"/>
                <w:szCs w:val="24"/>
                <w:highlight w:val="none"/>
              </w:rPr>
              <w:t>分；</w:t>
            </w:r>
          </w:p>
          <w:p w14:paraId="25315E74">
            <w:pPr>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方案内容</w:t>
            </w:r>
            <w:r>
              <w:rPr>
                <w:rFonts w:hint="eastAsia" w:ascii="宋体" w:hAnsi="宋体" w:eastAsia="宋体" w:cs="仿宋"/>
                <w:color w:val="auto"/>
                <w:sz w:val="24"/>
                <w:szCs w:val="24"/>
                <w:highlight w:val="none"/>
                <w:lang w:val="en-US" w:eastAsia="zh-CN"/>
              </w:rPr>
              <w:t>完整但</w:t>
            </w:r>
            <w:r>
              <w:rPr>
                <w:rFonts w:hint="eastAsia" w:ascii="宋体" w:hAnsi="宋体" w:eastAsia="宋体" w:cs="仿宋"/>
                <w:color w:val="auto"/>
                <w:sz w:val="24"/>
                <w:szCs w:val="24"/>
                <w:highlight w:val="none"/>
              </w:rPr>
              <w:t>存在1处瑕疵</w:t>
            </w:r>
            <w:r>
              <w:rPr>
                <w:rFonts w:hint="eastAsia" w:ascii="宋体" w:hAnsi="宋体" w:eastAsia="宋体" w:cs="仿宋"/>
                <w:color w:val="auto"/>
                <w:sz w:val="24"/>
                <w:szCs w:val="24"/>
                <w:highlight w:val="none"/>
                <w:lang w:eastAsia="zh-CN"/>
              </w:rPr>
              <w:t>的</w:t>
            </w:r>
            <w:r>
              <w:rPr>
                <w:rFonts w:hint="eastAsia" w:ascii="宋体" w:hAnsi="宋体" w:eastAsia="宋体" w:cs="仿宋"/>
                <w:color w:val="auto"/>
                <w:sz w:val="24"/>
                <w:szCs w:val="24"/>
                <w:highlight w:val="none"/>
              </w:rPr>
              <w:t>得</w:t>
            </w:r>
            <w:r>
              <w:rPr>
                <w:rFonts w:hint="eastAsia" w:ascii="宋体" w:hAnsi="宋体" w:cs="仿宋"/>
                <w:color w:val="auto"/>
                <w:sz w:val="24"/>
                <w:szCs w:val="24"/>
                <w:highlight w:val="none"/>
                <w:lang w:val="en-US" w:eastAsia="zh-CN"/>
              </w:rPr>
              <w:t>8</w:t>
            </w:r>
            <w:r>
              <w:rPr>
                <w:rFonts w:hint="eastAsia" w:ascii="宋体" w:hAnsi="宋体" w:eastAsia="宋体" w:cs="仿宋"/>
                <w:color w:val="auto"/>
                <w:sz w:val="24"/>
                <w:szCs w:val="24"/>
                <w:highlight w:val="none"/>
              </w:rPr>
              <w:t>分；</w:t>
            </w:r>
          </w:p>
          <w:p w14:paraId="34BE8EA0">
            <w:pPr>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方案内容</w:t>
            </w:r>
            <w:r>
              <w:rPr>
                <w:rFonts w:hint="eastAsia" w:ascii="宋体" w:hAnsi="宋体" w:eastAsia="宋体" w:cs="仿宋"/>
                <w:color w:val="auto"/>
                <w:sz w:val="24"/>
                <w:szCs w:val="24"/>
                <w:highlight w:val="none"/>
                <w:lang w:val="en-US" w:eastAsia="zh-CN"/>
              </w:rPr>
              <w:t>完整但</w:t>
            </w:r>
            <w:r>
              <w:rPr>
                <w:rFonts w:hint="eastAsia" w:ascii="宋体" w:hAnsi="宋体" w:eastAsia="宋体" w:cs="仿宋"/>
                <w:color w:val="auto"/>
                <w:sz w:val="24"/>
                <w:szCs w:val="24"/>
                <w:highlight w:val="none"/>
              </w:rPr>
              <w:t>存在2处瑕疵</w:t>
            </w:r>
            <w:r>
              <w:rPr>
                <w:rFonts w:hint="eastAsia" w:ascii="宋体" w:hAnsi="宋体" w:eastAsia="宋体" w:cs="仿宋"/>
                <w:color w:val="auto"/>
                <w:sz w:val="24"/>
                <w:szCs w:val="24"/>
                <w:highlight w:val="none"/>
                <w:lang w:eastAsia="zh-CN"/>
              </w:rPr>
              <w:t>的</w:t>
            </w:r>
            <w:r>
              <w:rPr>
                <w:rFonts w:hint="eastAsia" w:ascii="宋体" w:hAnsi="宋体" w:eastAsia="宋体" w:cs="仿宋"/>
                <w:color w:val="auto"/>
                <w:sz w:val="24"/>
                <w:szCs w:val="24"/>
                <w:highlight w:val="none"/>
              </w:rPr>
              <w:t>得</w:t>
            </w:r>
            <w:r>
              <w:rPr>
                <w:rFonts w:hint="eastAsia" w:ascii="宋体" w:hAnsi="宋体" w:cs="仿宋"/>
                <w:color w:val="auto"/>
                <w:sz w:val="24"/>
                <w:szCs w:val="24"/>
                <w:highlight w:val="none"/>
                <w:lang w:val="en-US" w:eastAsia="zh-CN"/>
              </w:rPr>
              <w:t>6</w:t>
            </w:r>
            <w:r>
              <w:rPr>
                <w:rFonts w:hint="eastAsia" w:ascii="宋体" w:hAnsi="宋体" w:eastAsia="宋体" w:cs="仿宋"/>
                <w:color w:val="auto"/>
                <w:sz w:val="24"/>
                <w:szCs w:val="24"/>
                <w:highlight w:val="none"/>
              </w:rPr>
              <w:t>分；</w:t>
            </w:r>
          </w:p>
          <w:p w14:paraId="08058BB0">
            <w:pPr>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方案内容</w:t>
            </w:r>
            <w:r>
              <w:rPr>
                <w:rFonts w:hint="eastAsia" w:ascii="宋体" w:hAnsi="宋体" w:eastAsia="宋体" w:cs="仿宋"/>
                <w:color w:val="auto"/>
                <w:sz w:val="24"/>
                <w:szCs w:val="24"/>
                <w:highlight w:val="none"/>
                <w:lang w:val="en-US" w:eastAsia="zh-CN"/>
              </w:rPr>
              <w:t>完整但</w:t>
            </w:r>
            <w:r>
              <w:rPr>
                <w:rFonts w:hint="eastAsia" w:ascii="宋体" w:hAnsi="宋体" w:eastAsia="宋体" w:cs="仿宋"/>
                <w:color w:val="auto"/>
                <w:sz w:val="24"/>
                <w:szCs w:val="24"/>
                <w:highlight w:val="none"/>
              </w:rPr>
              <w:t>存在3处瑕疵</w:t>
            </w:r>
            <w:r>
              <w:rPr>
                <w:rFonts w:hint="eastAsia" w:ascii="宋体" w:hAnsi="宋体" w:eastAsia="宋体" w:cs="仿宋"/>
                <w:color w:val="auto"/>
                <w:sz w:val="24"/>
                <w:szCs w:val="24"/>
                <w:highlight w:val="none"/>
                <w:lang w:eastAsia="zh-CN"/>
              </w:rPr>
              <w:t>的</w:t>
            </w:r>
            <w:r>
              <w:rPr>
                <w:rFonts w:hint="eastAsia" w:ascii="宋体" w:hAnsi="宋体" w:eastAsia="宋体" w:cs="仿宋"/>
                <w:color w:val="auto"/>
                <w:sz w:val="24"/>
                <w:szCs w:val="24"/>
                <w:highlight w:val="none"/>
              </w:rPr>
              <w:t>得</w:t>
            </w:r>
            <w:r>
              <w:rPr>
                <w:rFonts w:hint="eastAsia" w:ascii="宋体" w:hAnsi="宋体" w:cs="仿宋"/>
                <w:color w:val="auto"/>
                <w:sz w:val="24"/>
                <w:szCs w:val="24"/>
                <w:highlight w:val="none"/>
                <w:lang w:val="en-US" w:eastAsia="zh-CN"/>
              </w:rPr>
              <w:t>4</w:t>
            </w:r>
            <w:r>
              <w:rPr>
                <w:rFonts w:hint="eastAsia" w:ascii="宋体" w:hAnsi="宋体" w:eastAsia="宋体" w:cs="仿宋"/>
                <w:color w:val="auto"/>
                <w:sz w:val="24"/>
                <w:szCs w:val="24"/>
                <w:highlight w:val="none"/>
              </w:rPr>
              <w:t>分；</w:t>
            </w:r>
          </w:p>
          <w:p w14:paraId="490EDBD8">
            <w:pPr>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方案内容</w:t>
            </w:r>
            <w:r>
              <w:rPr>
                <w:rFonts w:hint="eastAsia" w:ascii="宋体" w:hAnsi="宋体" w:eastAsia="宋体" w:cs="仿宋"/>
                <w:color w:val="auto"/>
                <w:sz w:val="24"/>
                <w:szCs w:val="24"/>
                <w:highlight w:val="none"/>
                <w:lang w:val="en-US" w:eastAsia="zh-CN"/>
              </w:rPr>
              <w:t>完整但</w:t>
            </w:r>
            <w:r>
              <w:rPr>
                <w:rFonts w:hint="eastAsia" w:ascii="宋体" w:hAnsi="宋体" w:eastAsia="宋体" w:cs="仿宋"/>
                <w:color w:val="auto"/>
                <w:sz w:val="24"/>
                <w:szCs w:val="24"/>
                <w:highlight w:val="none"/>
              </w:rPr>
              <w:t>存在</w:t>
            </w:r>
            <w:r>
              <w:rPr>
                <w:rFonts w:hint="eastAsia" w:ascii="宋体" w:hAnsi="宋体" w:eastAsia="宋体" w:cs="仿宋"/>
                <w:color w:val="auto"/>
                <w:sz w:val="24"/>
                <w:szCs w:val="24"/>
                <w:highlight w:val="none"/>
                <w:lang w:val="en-US" w:eastAsia="zh-CN"/>
              </w:rPr>
              <w:t>4</w:t>
            </w:r>
            <w:r>
              <w:rPr>
                <w:rFonts w:hint="eastAsia" w:ascii="宋体" w:hAnsi="宋体" w:eastAsia="宋体" w:cs="仿宋"/>
                <w:color w:val="auto"/>
                <w:sz w:val="24"/>
                <w:szCs w:val="24"/>
                <w:highlight w:val="none"/>
              </w:rPr>
              <w:t>处瑕疵</w:t>
            </w:r>
            <w:r>
              <w:rPr>
                <w:rFonts w:hint="eastAsia" w:ascii="宋体" w:hAnsi="宋体" w:eastAsia="宋体" w:cs="仿宋"/>
                <w:color w:val="auto"/>
                <w:sz w:val="24"/>
                <w:szCs w:val="24"/>
                <w:highlight w:val="none"/>
                <w:lang w:eastAsia="zh-CN"/>
              </w:rPr>
              <w:t>的</w:t>
            </w:r>
            <w:r>
              <w:rPr>
                <w:rFonts w:hint="eastAsia" w:ascii="宋体" w:hAnsi="宋体" w:eastAsia="宋体" w:cs="仿宋"/>
                <w:color w:val="auto"/>
                <w:sz w:val="24"/>
                <w:szCs w:val="24"/>
                <w:highlight w:val="none"/>
              </w:rPr>
              <w:t>得</w:t>
            </w:r>
            <w:r>
              <w:rPr>
                <w:rFonts w:hint="eastAsia" w:ascii="宋体" w:hAnsi="宋体" w:eastAsia="宋体" w:cs="仿宋"/>
                <w:color w:val="auto"/>
                <w:sz w:val="24"/>
                <w:szCs w:val="24"/>
                <w:highlight w:val="none"/>
                <w:lang w:val="en-US" w:eastAsia="zh-CN"/>
              </w:rPr>
              <w:t>2</w:t>
            </w:r>
            <w:r>
              <w:rPr>
                <w:rFonts w:hint="eastAsia" w:ascii="宋体" w:hAnsi="宋体" w:eastAsia="宋体" w:cs="仿宋"/>
                <w:color w:val="auto"/>
                <w:sz w:val="24"/>
                <w:szCs w:val="24"/>
                <w:highlight w:val="none"/>
              </w:rPr>
              <w:t>分；</w:t>
            </w:r>
          </w:p>
          <w:p w14:paraId="296CBF96">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宋体" w:hAnsi="宋体" w:cs="宋体"/>
                <w:bCs/>
                <w:color w:val="auto"/>
                <w:sz w:val="24"/>
                <w:szCs w:val="24"/>
                <w:highlight w:val="none"/>
              </w:rPr>
            </w:pPr>
            <w:r>
              <w:rPr>
                <w:rFonts w:hint="eastAsia" w:ascii="宋体" w:hAnsi="宋体" w:eastAsia="宋体" w:cs="仿宋"/>
                <w:color w:val="auto"/>
                <w:sz w:val="24"/>
                <w:szCs w:val="24"/>
                <w:highlight w:val="none"/>
              </w:rPr>
              <w:t>方案内容存在</w:t>
            </w:r>
            <w:r>
              <w:rPr>
                <w:rFonts w:hint="eastAsia" w:ascii="宋体" w:hAnsi="宋体" w:eastAsia="宋体" w:cs="仿宋"/>
                <w:color w:val="auto"/>
                <w:sz w:val="24"/>
                <w:szCs w:val="24"/>
                <w:highlight w:val="none"/>
                <w:lang w:val="en-US" w:eastAsia="zh-CN"/>
              </w:rPr>
              <w:t>5</w:t>
            </w:r>
            <w:r>
              <w:rPr>
                <w:rFonts w:hint="eastAsia" w:ascii="宋体" w:hAnsi="宋体" w:eastAsia="宋体" w:cs="仿宋"/>
                <w:color w:val="auto"/>
                <w:sz w:val="24"/>
                <w:szCs w:val="24"/>
                <w:highlight w:val="none"/>
              </w:rPr>
              <w:t>处及以上瑕疵或</w:t>
            </w:r>
            <w:r>
              <w:rPr>
                <w:rFonts w:hint="eastAsia" w:ascii="宋体" w:hAnsi="宋体" w:eastAsia="宋体" w:cs="仿宋"/>
                <w:color w:val="auto"/>
                <w:sz w:val="24"/>
                <w:szCs w:val="24"/>
                <w:highlight w:val="none"/>
                <w:lang w:eastAsia="zh-CN"/>
              </w:rPr>
              <w:t>内容不完整或</w:t>
            </w:r>
            <w:r>
              <w:rPr>
                <w:rFonts w:hint="eastAsia" w:ascii="宋体" w:hAnsi="宋体" w:eastAsia="宋体" w:cs="仿宋"/>
                <w:color w:val="auto"/>
                <w:sz w:val="24"/>
                <w:szCs w:val="24"/>
                <w:highlight w:val="none"/>
              </w:rPr>
              <w:t>未提供方案不得分。</w:t>
            </w:r>
          </w:p>
        </w:tc>
        <w:tc>
          <w:tcPr>
            <w:tcW w:w="2483" w:type="dxa"/>
            <w:vMerge w:val="continue"/>
            <w:vAlign w:val="center"/>
          </w:tcPr>
          <w:p w14:paraId="03811D80">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Cs/>
                <w:color w:val="auto"/>
                <w:sz w:val="24"/>
                <w:szCs w:val="24"/>
                <w:highlight w:val="none"/>
              </w:rPr>
            </w:pPr>
          </w:p>
        </w:tc>
      </w:tr>
      <w:tr w14:paraId="79429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3" w:hRule="atLeast"/>
        </w:trPr>
        <w:tc>
          <w:tcPr>
            <w:tcW w:w="835" w:type="dxa"/>
            <w:tcBorders>
              <w:top w:val="single" w:color="auto" w:sz="4" w:space="0"/>
              <w:left w:val="single" w:color="auto" w:sz="4" w:space="0"/>
              <w:right w:val="single" w:color="auto" w:sz="4" w:space="0"/>
            </w:tcBorders>
            <w:vAlign w:val="center"/>
          </w:tcPr>
          <w:p w14:paraId="2072C30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Cs/>
                <w:color w:val="auto"/>
                <w:sz w:val="24"/>
                <w:szCs w:val="24"/>
                <w:highlight w:val="none"/>
              </w:rPr>
            </w:pPr>
          </w:p>
          <w:p w14:paraId="063CE01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3</w:t>
            </w:r>
          </w:p>
          <w:p w14:paraId="5B9C0F9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Cs/>
                <w:color w:val="auto"/>
                <w:sz w:val="24"/>
                <w:szCs w:val="24"/>
                <w:highlight w:val="none"/>
              </w:rPr>
            </w:pPr>
          </w:p>
        </w:tc>
        <w:tc>
          <w:tcPr>
            <w:tcW w:w="1433" w:type="dxa"/>
            <w:tcBorders>
              <w:top w:val="single" w:color="auto" w:sz="4" w:space="0"/>
              <w:left w:val="single" w:color="auto" w:sz="4" w:space="0"/>
              <w:right w:val="single" w:color="auto" w:sz="4" w:space="0"/>
            </w:tcBorders>
            <w:vAlign w:val="center"/>
          </w:tcPr>
          <w:p w14:paraId="578E5B1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商务部分</w:t>
            </w:r>
          </w:p>
          <w:p w14:paraId="0D449C3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val="en-US" w:eastAsia="zh-CN"/>
              </w:rPr>
              <w:t>20</w:t>
            </w:r>
            <w:r>
              <w:rPr>
                <w:rFonts w:hint="eastAsia" w:ascii="宋体" w:hAnsi="宋体" w:cs="宋体"/>
                <w:bCs/>
                <w:color w:val="auto"/>
                <w:sz w:val="24"/>
                <w:szCs w:val="24"/>
                <w:highlight w:val="none"/>
              </w:rPr>
              <w:t>%）</w:t>
            </w:r>
          </w:p>
        </w:tc>
        <w:tc>
          <w:tcPr>
            <w:tcW w:w="823" w:type="dxa"/>
            <w:tcBorders>
              <w:top w:val="single" w:color="auto" w:sz="4" w:space="0"/>
              <w:left w:val="single" w:color="auto" w:sz="4" w:space="0"/>
              <w:right w:val="single" w:color="auto" w:sz="4" w:space="0"/>
            </w:tcBorders>
            <w:vAlign w:val="center"/>
          </w:tcPr>
          <w:p w14:paraId="669A38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ascii="宋体" w:hAnsi="宋体" w:cs="宋体"/>
                <w:bCs/>
                <w:color w:val="auto"/>
                <w:sz w:val="24"/>
                <w:szCs w:val="24"/>
                <w:highlight w:val="none"/>
              </w:rPr>
            </w:pP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分</w:t>
            </w:r>
          </w:p>
        </w:tc>
        <w:tc>
          <w:tcPr>
            <w:tcW w:w="4162" w:type="dxa"/>
            <w:tcBorders>
              <w:top w:val="single" w:color="auto" w:sz="4" w:space="0"/>
              <w:left w:val="single" w:color="auto" w:sz="4" w:space="0"/>
              <w:right w:val="single" w:color="auto" w:sz="4" w:space="0"/>
            </w:tcBorders>
            <w:vAlign w:val="center"/>
          </w:tcPr>
          <w:p w14:paraId="28AD51E7">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宋体" w:hAnsi="宋体" w:cs="宋体"/>
                <w:bCs/>
                <w:color w:val="auto"/>
                <w:sz w:val="24"/>
                <w:szCs w:val="24"/>
                <w:highlight w:val="none"/>
              </w:rPr>
            </w:pPr>
            <w:r>
              <w:rPr>
                <w:rFonts w:hint="eastAsia" w:ascii="宋体" w:hAnsi="宋体" w:eastAsia="宋体" w:cs="仿宋"/>
                <w:color w:val="auto"/>
                <w:sz w:val="24"/>
                <w:szCs w:val="24"/>
                <w:highlight w:val="none"/>
                <w:lang w:val="en-US" w:eastAsia="zh-CN"/>
              </w:rPr>
              <w:t>2022年1月1日至今（以合同签订时间为准）， 供应商具有有害生物防治服务（或者病媒生物防制服务）项目业绩的，每提供一个得</w:t>
            </w:r>
            <w:r>
              <w:rPr>
                <w:rFonts w:hint="eastAsia" w:ascii="宋体" w:hAnsi="宋体" w:cs="仿宋"/>
                <w:color w:val="auto"/>
                <w:sz w:val="24"/>
                <w:szCs w:val="24"/>
                <w:highlight w:val="none"/>
                <w:lang w:val="en-US" w:eastAsia="zh-CN"/>
              </w:rPr>
              <w:t>5</w:t>
            </w:r>
            <w:r>
              <w:rPr>
                <w:rFonts w:hint="eastAsia" w:ascii="宋体" w:hAnsi="宋体" w:eastAsia="宋体" w:cs="仿宋"/>
                <w:color w:val="auto"/>
                <w:sz w:val="24"/>
                <w:szCs w:val="24"/>
                <w:highlight w:val="none"/>
                <w:lang w:val="en-US" w:eastAsia="zh-CN"/>
              </w:rPr>
              <w:t>分，最多得</w:t>
            </w:r>
            <w:r>
              <w:rPr>
                <w:rFonts w:hint="eastAsia" w:ascii="宋体" w:hAnsi="宋体" w:cs="仿宋"/>
                <w:color w:val="auto"/>
                <w:sz w:val="24"/>
                <w:szCs w:val="24"/>
                <w:highlight w:val="none"/>
                <w:lang w:val="en-US" w:eastAsia="zh-CN"/>
              </w:rPr>
              <w:t>20</w:t>
            </w:r>
            <w:r>
              <w:rPr>
                <w:rFonts w:hint="eastAsia" w:ascii="宋体" w:hAnsi="宋体" w:eastAsia="宋体" w:cs="仿宋"/>
                <w:color w:val="auto"/>
                <w:sz w:val="24"/>
                <w:szCs w:val="24"/>
                <w:highlight w:val="none"/>
                <w:lang w:val="en-US" w:eastAsia="zh-CN"/>
              </w:rPr>
              <w:t>分。</w:t>
            </w:r>
          </w:p>
        </w:tc>
        <w:tc>
          <w:tcPr>
            <w:tcW w:w="2483" w:type="dxa"/>
            <w:tcBorders>
              <w:top w:val="single" w:color="auto" w:sz="4" w:space="0"/>
              <w:left w:val="single" w:color="auto" w:sz="4" w:space="0"/>
              <w:right w:val="single" w:color="auto" w:sz="4" w:space="0"/>
            </w:tcBorders>
            <w:vAlign w:val="center"/>
          </w:tcPr>
          <w:p w14:paraId="6139A675">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宋体" w:hAnsi="宋体" w:cs="宋体"/>
                <w:bCs/>
                <w:color w:val="auto"/>
                <w:sz w:val="24"/>
                <w:szCs w:val="24"/>
                <w:highlight w:val="none"/>
              </w:rPr>
            </w:pPr>
            <w:r>
              <w:rPr>
                <w:rFonts w:hint="eastAsia" w:ascii="宋体" w:hAnsi="宋体" w:eastAsia="宋体" w:cs="仿宋"/>
                <w:color w:val="auto"/>
                <w:sz w:val="24"/>
                <w:szCs w:val="24"/>
                <w:highlight w:val="none"/>
                <w:lang w:val="en-US" w:eastAsia="zh-CN"/>
              </w:rPr>
              <w:t>提供合同（协议）复印件，加盖供应商公章。</w:t>
            </w:r>
          </w:p>
        </w:tc>
      </w:tr>
    </w:tbl>
    <w:p w14:paraId="03AC9E1D">
      <w:pPr>
        <w:pageBreakBefore w:val="0"/>
        <w:widowControl w:val="0"/>
        <w:numPr>
          <w:ilvl w:val="1"/>
          <w:numId w:val="0"/>
        </w:numPr>
        <w:kinsoku/>
        <w:wordWrap/>
        <w:overflowPunct/>
        <w:topLinePunct w:val="0"/>
        <w:autoSpaceDE/>
        <w:autoSpaceDN/>
        <w:bidi w:val="0"/>
        <w:adjustRightInd w:val="0"/>
        <w:snapToGrid w:val="0"/>
        <w:spacing w:line="400" w:lineRule="exact"/>
        <w:ind w:firstLine="465"/>
        <w:textAlignment w:val="auto"/>
        <w:rPr>
          <w:rFonts w:ascii="宋体" w:hAnsi="宋体" w:cs="宋体"/>
          <w:color w:val="auto"/>
          <w:sz w:val="24"/>
          <w:szCs w:val="24"/>
          <w:highlight w:val="none"/>
        </w:rPr>
      </w:pPr>
      <w:bookmarkStart w:id="159" w:name="_Toc76462335"/>
      <w:bookmarkStart w:id="160" w:name="_Toc27944"/>
      <w:bookmarkStart w:id="161" w:name="_Toc16319"/>
      <w:bookmarkStart w:id="162" w:name="_Toc106030890"/>
      <w:bookmarkStart w:id="163" w:name="_Toc22887"/>
      <w:r>
        <w:rPr>
          <w:rFonts w:hint="eastAsia" w:ascii="宋体" w:hAnsi="宋体" w:cs="宋体"/>
          <w:color w:val="auto"/>
          <w:sz w:val="24"/>
          <w:szCs w:val="24"/>
          <w:highlight w:val="none"/>
        </w:rPr>
        <w:t>说明：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响应处理。</w:t>
      </w:r>
    </w:p>
    <w:p w14:paraId="3880581E">
      <w:pPr>
        <w:pStyle w:val="3"/>
        <w:pageBreakBefore w:val="0"/>
        <w:widowControl w:val="0"/>
        <w:numPr>
          <w:ilvl w:val="1"/>
          <w:numId w:val="0"/>
        </w:numPr>
        <w:kinsoku/>
        <w:wordWrap/>
        <w:overflowPunct/>
        <w:topLinePunct w:val="0"/>
        <w:autoSpaceDE/>
        <w:autoSpaceDN/>
        <w:bidi w:val="0"/>
        <w:adjustRightInd w:val="0"/>
        <w:snapToGrid w:val="0"/>
        <w:spacing w:line="400" w:lineRule="exact"/>
        <w:textAlignment w:val="auto"/>
        <w:rPr>
          <w:rFonts w:ascii="宋体" w:hAnsi="宋体" w:eastAsia="宋体"/>
          <w:b/>
          <w:bCs w:val="0"/>
          <w:color w:val="auto"/>
          <w:sz w:val="24"/>
          <w:highlight w:val="none"/>
        </w:rPr>
      </w:pPr>
      <w:bookmarkStart w:id="164" w:name="_Toc30217"/>
      <w:bookmarkStart w:id="165" w:name="_Toc28377"/>
      <w:r>
        <w:rPr>
          <w:rFonts w:hint="eastAsia" w:ascii="宋体" w:hAnsi="宋体" w:eastAsia="宋体"/>
          <w:b/>
          <w:bCs w:val="0"/>
          <w:color w:val="auto"/>
          <w:sz w:val="24"/>
          <w:highlight w:val="none"/>
        </w:rPr>
        <w:t>三、无效响应</w:t>
      </w:r>
      <w:bookmarkEnd w:id="159"/>
      <w:bookmarkEnd w:id="160"/>
      <w:bookmarkEnd w:id="161"/>
      <w:bookmarkEnd w:id="162"/>
      <w:bookmarkEnd w:id="163"/>
      <w:bookmarkEnd w:id="164"/>
      <w:bookmarkEnd w:id="165"/>
    </w:p>
    <w:p w14:paraId="6B9335EE">
      <w:pPr>
        <w:pageBreakBefore w:val="0"/>
        <w:widowControl w:val="0"/>
        <w:kinsoku/>
        <w:wordWrap/>
        <w:overflowPunct/>
        <w:topLinePunct w:val="0"/>
        <w:autoSpaceDE/>
        <w:autoSpaceDN/>
        <w:bidi w:val="0"/>
        <w:snapToGrid w:val="0"/>
        <w:spacing w:line="400" w:lineRule="exact"/>
        <w:ind w:firstLine="465"/>
        <w:textAlignment w:val="auto"/>
        <w:rPr>
          <w:rFonts w:ascii="宋体" w:hAnsi="宋体" w:cs="宋体"/>
          <w:color w:val="auto"/>
          <w:sz w:val="24"/>
          <w:szCs w:val="24"/>
          <w:highlight w:val="none"/>
        </w:rPr>
      </w:pPr>
      <w:r>
        <w:rPr>
          <w:rFonts w:hint="eastAsia" w:ascii="宋体" w:hAnsi="宋体" w:cs="宋体"/>
          <w:color w:val="auto"/>
          <w:sz w:val="24"/>
          <w:szCs w:val="24"/>
          <w:highlight w:val="none"/>
        </w:rPr>
        <w:t>供应商发生以下条款情况之一者，视为无效响应，其响应文件将被拒绝：</w:t>
      </w:r>
    </w:p>
    <w:p w14:paraId="65140E41">
      <w:pPr>
        <w:pageBreakBefore w:val="0"/>
        <w:widowControl w:val="0"/>
        <w:kinsoku/>
        <w:wordWrap/>
        <w:overflowPunct/>
        <w:topLinePunct w:val="0"/>
        <w:autoSpaceDE/>
        <w:autoSpaceDN/>
        <w:bidi w:val="0"/>
        <w:snapToGrid w:val="0"/>
        <w:spacing w:line="400" w:lineRule="exact"/>
        <w:ind w:firstLine="465"/>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（一）供应商不符合规定的资格条件的；</w:t>
      </w:r>
    </w:p>
    <w:p w14:paraId="0E61B98B">
      <w:pPr>
        <w:pageBreakBefore w:val="0"/>
        <w:widowControl w:val="0"/>
        <w:kinsoku/>
        <w:wordWrap/>
        <w:overflowPunct/>
        <w:topLinePunct w:val="0"/>
        <w:autoSpaceDE/>
        <w:autoSpaceDN/>
        <w:bidi w:val="0"/>
        <w:snapToGrid w:val="0"/>
        <w:spacing w:line="400" w:lineRule="exact"/>
        <w:ind w:firstLine="465"/>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（二）供应商的法定代表人（或其授权代表）或自然人未参加磋商；</w:t>
      </w:r>
    </w:p>
    <w:p w14:paraId="1F1834E7">
      <w:pPr>
        <w:pageBreakBefore w:val="0"/>
        <w:widowControl w:val="0"/>
        <w:kinsoku/>
        <w:wordWrap/>
        <w:overflowPunct/>
        <w:topLinePunct w:val="0"/>
        <w:autoSpaceDE/>
        <w:autoSpaceDN/>
        <w:bidi w:val="0"/>
        <w:snapToGrid w:val="0"/>
        <w:spacing w:line="400" w:lineRule="exact"/>
        <w:ind w:firstLine="465"/>
        <w:textAlignment w:val="auto"/>
        <w:rPr>
          <w:rFonts w:ascii="宋体" w:hAnsi="宋体" w:cs="宋体"/>
          <w:color w:val="auto"/>
          <w:sz w:val="24"/>
          <w:szCs w:val="24"/>
          <w:highlight w:val="none"/>
        </w:rPr>
      </w:pPr>
      <w:r>
        <w:rPr>
          <w:rFonts w:hint="eastAsia" w:ascii="宋体" w:hAnsi="宋体" w:cs="宋体"/>
          <w:color w:val="auto"/>
          <w:sz w:val="24"/>
          <w:szCs w:val="24"/>
          <w:highlight w:val="none"/>
        </w:rPr>
        <w:t>（三）供应商未在保证金到账截止时间前足额交纳保证金的；</w:t>
      </w:r>
    </w:p>
    <w:p w14:paraId="56618FA6">
      <w:pPr>
        <w:pageBreakBefore w:val="0"/>
        <w:widowControl w:val="0"/>
        <w:kinsoku/>
        <w:wordWrap/>
        <w:overflowPunct/>
        <w:topLinePunct w:val="0"/>
        <w:autoSpaceDE/>
        <w:autoSpaceDN/>
        <w:bidi w:val="0"/>
        <w:snapToGrid w:val="0"/>
        <w:spacing w:line="40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（四）供应商所提交的响应文件不按“第七篇响应文件编制要求”要求签署或盖章；</w:t>
      </w:r>
    </w:p>
    <w:p w14:paraId="7E2D9ED2">
      <w:pPr>
        <w:pageBreakBefore w:val="0"/>
        <w:widowControl w:val="0"/>
        <w:kinsoku/>
        <w:wordWrap/>
        <w:overflowPunct/>
        <w:topLinePunct w:val="0"/>
        <w:autoSpaceDE/>
        <w:autoSpaceDN/>
        <w:bidi w:val="0"/>
        <w:snapToGrid w:val="0"/>
        <w:spacing w:line="40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（五）供应商的最后报价超过采购预算或最高限价的；</w:t>
      </w:r>
    </w:p>
    <w:p w14:paraId="275EB809">
      <w:pPr>
        <w:pageBreakBefore w:val="0"/>
        <w:widowControl w:val="0"/>
        <w:kinsoku/>
        <w:wordWrap/>
        <w:overflowPunct/>
        <w:topLinePunct w:val="0"/>
        <w:autoSpaceDE/>
        <w:autoSpaceDN/>
        <w:bidi w:val="0"/>
        <w:snapToGrid w:val="0"/>
        <w:spacing w:line="40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（六）供应商的最后报价</w:t>
      </w:r>
      <w:r>
        <w:rPr>
          <w:rFonts w:hint="eastAsia" w:ascii="宋体" w:hAnsi="宋体" w:eastAsia="宋体" w:cs="宋体"/>
          <w:color w:val="auto"/>
          <w:sz w:val="24"/>
          <w:szCs w:val="24"/>
          <w:highlight w:val="none"/>
          <w:lang w:eastAsia="zh-CN"/>
        </w:rPr>
        <w:t>为</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的；</w:t>
      </w:r>
    </w:p>
    <w:p w14:paraId="29575F58">
      <w:pPr>
        <w:pageBreakBefore w:val="0"/>
        <w:widowControl w:val="0"/>
        <w:kinsoku/>
        <w:wordWrap/>
        <w:overflowPunct/>
        <w:topLinePunct w:val="0"/>
        <w:autoSpaceDE/>
        <w:autoSpaceDN/>
        <w:bidi w:val="0"/>
        <w:snapToGrid w:val="0"/>
        <w:spacing w:line="40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七</w:t>
      </w:r>
      <w:r>
        <w:rPr>
          <w:rFonts w:hint="eastAsia" w:ascii="宋体" w:hAnsi="宋体" w:eastAsia="宋体" w:cs="宋体"/>
          <w:color w:val="auto"/>
          <w:sz w:val="24"/>
          <w:szCs w:val="24"/>
          <w:highlight w:val="none"/>
        </w:rPr>
        <w:t>）法定代表人为同一个人的两个及两个以上法人，母公司、全资子公司及其控股公司，在同一包采购中同时参与磋商；</w:t>
      </w:r>
    </w:p>
    <w:p w14:paraId="0C955003">
      <w:pPr>
        <w:pageBreakBefore w:val="0"/>
        <w:widowControl w:val="0"/>
        <w:kinsoku/>
        <w:wordWrap/>
        <w:overflowPunct/>
        <w:topLinePunct w:val="0"/>
        <w:autoSpaceDE/>
        <w:autoSpaceDN/>
        <w:bidi w:val="0"/>
        <w:snapToGrid w:val="0"/>
        <w:spacing w:line="400" w:lineRule="exact"/>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八</w:t>
      </w:r>
      <w:r>
        <w:rPr>
          <w:rFonts w:hint="eastAsia" w:ascii="宋体" w:hAnsi="宋体" w:eastAsia="宋体" w:cs="宋体"/>
          <w:color w:val="auto"/>
          <w:sz w:val="24"/>
          <w:szCs w:val="24"/>
          <w:highlight w:val="none"/>
        </w:rPr>
        <w:t>）单位负责人为同一人或者存在直接控股、管理关系的不同供应商，参加同一合同项下的采购活动的；</w:t>
      </w:r>
    </w:p>
    <w:p w14:paraId="2C63C2B0">
      <w:pPr>
        <w:pageBreakBefore w:val="0"/>
        <w:widowControl w:val="0"/>
        <w:kinsoku/>
        <w:wordWrap/>
        <w:overflowPunct/>
        <w:topLinePunct w:val="0"/>
        <w:autoSpaceDE/>
        <w:autoSpaceDN/>
        <w:bidi w:val="0"/>
        <w:snapToGrid w:val="0"/>
        <w:spacing w:line="400" w:lineRule="exact"/>
        <w:ind w:firstLine="465"/>
        <w:textAlignment w:val="auto"/>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九</w:t>
      </w:r>
      <w:r>
        <w:rPr>
          <w:rFonts w:hint="eastAsia" w:ascii="宋体" w:hAnsi="宋体" w:cs="宋体"/>
          <w:color w:val="auto"/>
          <w:sz w:val="24"/>
          <w:szCs w:val="24"/>
          <w:highlight w:val="none"/>
        </w:rPr>
        <w:t>）为采购项目提供整体设计、规范编制或者项目管理、监理、检测等服务的供应商，再参加该采购项目的其他采购活动；</w:t>
      </w:r>
    </w:p>
    <w:p w14:paraId="5DFACFD8">
      <w:pPr>
        <w:pageBreakBefore w:val="0"/>
        <w:widowControl w:val="0"/>
        <w:kinsoku/>
        <w:wordWrap/>
        <w:overflowPunct/>
        <w:topLinePunct w:val="0"/>
        <w:autoSpaceDE/>
        <w:autoSpaceDN/>
        <w:bidi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十</w:t>
      </w:r>
      <w:r>
        <w:rPr>
          <w:rFonts w:hint="eastAsia" w:ascii="宋体" w:hAnsi="宋体" w:cs="宋体"/>
          <w:color w:val="auto"/>
          <w:sz w:val="24"/>
          <w:szCs w:val="24"/>
          <w:highlight w:val="none"/>
        </w:rPr>
        <w:t>）供应商磋商有效期不满足竞争性磋商文件要求的；</w:t>
      </w:r>
    </w:p>
    <w:p w14:paraId="7D16EC03">
      <w:pPr>
        <w:pageBreakBefore w:val="0"/>
        <w:widowControl w:val="0"/>
        <w:kinsoku/>
        <w:wordWrap/>
        <w:overflowPunct/>
        <w:topLinePunct w:val="0"/>
        <w:autoSpaceDE/>
        <w:autoSpaceDN/>
        <w:bidi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（十</w:t>
      </w:r>
      <w:r>
        <w:rPr>
          <w:rFonts w:hint="eastAsia" w:ascii="宋体" w:hAnsi="宋体" w:cs="宋体"/>
          <w:color w:val="auto"/>
          <w:sz w:val="24"/>
          <w:szCs w:val="24"/>
          <w:highlight w:val="none"/>
          <w:lang w:eastAsia="zh-CN"/>
        </w:rPr>
        <w:t>一</w:t>
      </w:r>
      <w:r>
        <w:rPr>
          <w:rFonts w:hint="eastAsia" w:ascii="宋体" w:hAnsi="宋体" w:cs="宋体"/>
          <w:color w:val="auto"/>
          <w:sz w:val="24"/>
          <w:szCs w:val="24"/>
          <w:highlight w:val="none"/>
        </w:rPr>
        <w:t>）供应商响应文件内容有与国家现行法律法规相违背的内容，或附有采购人无法接受的条件；</w:t>
      </w:r>
    </w:p>
    <w:p w14:paraId="4B4F116B">
      <w:pPr>
        <w:pageBreakBefore w:val="0"/>
        <w:widowControl w:val="0"/>
        <w:kinsoku/>
        <w:wordWrap/>
        <w:overflowPunct/>
        <w:topLinePunct w:val="0"/>
        <w:autoSpaceDE/>
        <w:autoSpaceDN/>
        <w:bidi w:val="0"/>
        <w:snapToGrid w:val="0"/>
        <w:spacing w:line="400" w:lineRule="exact"/>
        <w:ind w:firstLine="465"/>
        <w:textAlignment w:val="auto"/>
        <w:rPr>
          <w:rFonts w:ascii="宋体" w:hAnsi="宋体" w:cs="宋体"/>
          <w:color w:val="auto"/>
          <w:sz w:val="24"/>
          <w:szCs w:val="24"/>
          <w:highlight w:val="none"/>
        </w:rPr>
      </w:pPr>
      <w:r>
        <w:rPr>
          <w:rFonts w:hint="eastAsia" w:ascii="宋体" w:hAnsi="宋体" w:cs="宋体"/>
          <w:color w:val="auto"/>
          <w:sz w:val="24"/>
          <w:szCs w:val="24"/>
          <w:highlight w:val="none"/>
        </w:rPr>
        <w:t>（十</w:t>
      </w:r>
      <w:r>
        <w:rPr>
          <w:rFonts w:hint="eastAsia" w:ascii="宋体" w:hAnsi="宋体" w:cs="宋体"/>
          <w:color w:val="auto"/>
          <w:sz w:val="24"/>
          <w:szCs w:val="24"/>
          <w:highlight w:val="none"/>
          <w:lang w:eastAsia="zh-CN"/>
        </w:rPr>
        <w:t>二</w:t>
      </w:r>
      <w:r>
        <w:rPr>
          <w:rFonts w:hint="eastAsia" w:ascii="宋体" w:hAnsi="宋体" w:cs="宋体"/>
          <w:color w:val="auto"/>
          <w:sz w:val="24"/>
          <w:szCs w:val="24"/>
          <w:highlight w:val="none"/>
        </w:rPr>
        <w:t>）法律、法规和竞争性磋商文件规定的其他无效情形。</w:t>
      </w:r>
    </w:p>
    <w:p w14:paraId="7180CB37">
      <w:pPr>
        <w:pStyle w:val="3"/>
        <w:pageBreakBefore w:val="0"/>
        <w:widowControl w:val="0"/>
        <w:numPr>
          <w:ilvl w:val="1"/>
          <w:numId w:val="0"/>
        </w:numPr>
        <w:kinsoku/>
        <w:wordWrap/>
        <w:overflowPunct/>
        <w:topLinePunct w:val="0"/>
        <w:autoSpaceDE/>
        <w:autoSpaceDN/>
        <w:bidi w:val="0"/>
        <w:adjustRightInd w:val="0"/>
        <w:snapToGrid w:val="0"/>
        <w:spacing w:line="400" w:lineRule="exact"/>
        <w:textAlignment w:val="auto"/>
        <w:rPr>
          <w:rFonts w:ascii="宋体" w:hAnsi="宋体" w:eastAsia="宋体"/>
          <w:b/>
          <w:bCs w:val="0"/>
          <w:color w:val="auto"/>
          <w:sz w:val="24"/>
          <w:highlight w:val="none"/>
        </w:rPr>
      </w:pPr>
      <w:bookmarkStart w:id="166" w:name="_Toc3617"/>
      <w:bookmarkStart w:id="167" w:name="_Toc106030891"/>
      <w:bookmarkStart w:id="168" w:name="_Toc13574"/>
      <w:bookmarkStart w:id="169" w:name="_Toc15000"/>
      <w:bookmarkStart w:id="170" w:name="_Toc25630"/>
      <w:bookmarkStart w:id="171" w:name="_Toc76462336"/>
      <w:bookmarkStart w:id="172" w:name="_Toc13735"/>
      <w:r>
        <w:rPr>
          <w:rFonts w:hint="eastAsia" w:ascii="宋体" w:hAnsi="宋体" w:eastAsia="宋体"/>
          <w:b/>
          <w:bCs w:val="0"/>
          <w:color w:val="auto"/>
          <w:sz w:val="24"/>
          <w:highlight w:val="none"/>
        </w:rPr>
        <w:t>四、</w:t>
      </w:r>
      <w:bookmarkEnd w:id="157"/>
      <w:bookmarkEnd w:id="158"/>
      <w:r>
        <w:rPr>
          <w:rFonts w:hint="eastAsia" w:ascii="宋体" w:hAnsi="宋体" w:eastAsia="宋体"/>
          <w:b/>
          <w:bCs w:val="0"/>
          <w:color w:val="auto"/>
          <w:sz w:val="24"/>
          <w:highlight w:val="none"/>
        </w:rPr>
        <w:t>采购终止</w:t>
      </w:r>
      <w:bookmarkEnd w:id="166"/>
      <w:bookmarkEnd w:id="167"/>
      <w:bookmarkEnd w:id="168"/>
      <w:bookmarkEnd w:id="169"/>
      <w:bookmarkEnd w:id="170"/>
      <w:bookmarkEnd w:id="171"/>
      <w:bookmarkEnd w:id="172"/>
    </w:p>
    <w:p w14:paraId="3E2AA14C">
      <w:pPr>
        <w:pageBreakBefore w:val="0"/>
        <w:widowControl w:val="0"/>
        <w:kinsoku/>
        <w:wordWrap/>
        <w:overflowPunct/>
        <w:topLinePunct w:val="0"/>
        <w:autoSpaceDE/>
        <w:autoSpaceDN/>
        <w:bidi w:val="0"/>
        <w:snapToGrid w:val="0"/>
        <w:spacing w:line="400" w:lineRule="exact"/>
        <w:ind w:firstLine="465"/>
        <w:textAlignment w:val="auto"/>
        <w:rPr>
          <w:rFonts w:ascii="宋体" w:hAnsi="宋体" w:cs="宋体"/>
          <w:color w:val="auto"/>
          <w:sz w:val="24"/>
          <w:szCs w:val="24"/>
          <w:highlight w:val="none"/>
        </w:rPr>
      </w:pPr>
      <w:r>
        <w:rPr>
          <w:rFonts w:hint="eastAsia" w:ascii="宋体" w:hAnsi="宋体" w:cs="宋体"/>
          <w:color w:val="auto"/>
          <w:sz w:val="24"/>
          <w:szCs w:val="24"/>
          <w:highlight w:val="none"/>
        </w:rPr>
        <w:t>出现下列情形之一的，采购人或者采购代理机构应当终止竞争性磋商采购活动，发布项目终止公告并说明原因，重新开展采购活动：</w:t>
      </w:r>
    </w:p>
    <w:p w14:paraId="1369ABEA">
      <w:pPr>
        <w:pageBreakBefore w:val="0"/>
        <w:widowControl w:val="0"/>
        <w:kinsoku/>
        <w:wordWrap/>
        <w:overflowPunct/>
        <w:topLinePunct w:val="0"/>
        <w:autoSpaceDE/>
        <w:autoSpaceDN/>
        <w:bidi w:val="0"/>
        <w:snapToGrid w:val="0"/>
        <w:spacing w:line="400" w:lineRule="exact"/>
        <w:ind w:firstLine="465"/>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（一）因情况变化，不再符合规定的竞争性磋商采购方式适用情形的；</w:t>
      </w:r>
    </w:p>
    <w:p w14:paraId="7FE62A45">
      <w:pPr>
        <w:pageBreakBefore w:val="0"/>
        <w:widowControl w:val="0"/>
        <w:kinsoku/>
        <w:wordWrap/>
        <w:overflowPunct/>
        <w:topLinePunct w:val="0"/>
        <w:autoSpaceDE/>
        <w:autoSpaceDN/>
        <w:bidi w:val="0"/>
        <w:snapToGrid w:val="0"/>
        <w:spacing w:line="400" w:lineRule="exact"/>
        <w:ind w:firstLine="465"/>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（二）出现影响采购公正的违法、违规行为的；</w:t>
      </w:r>
    </w:p>
    <w:p w14:paraId="5704321E">
      <w:pPr>
        <w:pageBreakBefore w:val="0"/>
        <w:widowControl w:val="0"/>
        <w:kinsoku/>
        <w:wordWrap/>
        <w:overflowPunct/>
        <w:topLinePunct w:val="0"/>
        <w:autoSpaceDE/>
        <w:autoSpaceDN/>
        <w:bidi w:val="0"/>
        <w:snapToGrid w:val="0"/>
        <w:spacing w:line="400" w:lineRule="exact"/>
        <w:ind w:firstLine="465"/>
        <w:textAlignment w:val="auto"/>
        <w:rPr>
          <w:rFonts w:ascii="宋体" w:hAnsi="宋体" w:cs="宋体"/>
          <w:color w:val="auto"/>
          <w:sz w:val="24"/>
          <w:szCs w:val="24"/>
          <w:highlight w:val="none"/>
        </w:rPr>
      </w:pPr>
      <w:r>
        <w:rPr>
          <w:rFonts w:hint="eastAsia" w:ascii="宋体" w:hAnsi="宋体" w:cs="宋体"/>
          <w:color w:val="auto"/>
          <w:sz w:val="24"/>
          <w:szCs w:val="24"/>
          <w:highlight w:val="none"/>
        </w:rPr>
        <w:t>（三）在采购过程中符合要求的供应商或者报价未超过采购预算的供应商不足3家的，但《政府采购竞争性磋商采购方式管理暂行办法》第二十一条第三款规定的情形除外。</w:t>
      </w:r>
    </w:p>
    <w:p w14:paraId="4DC87931">
      <w:pPr>
        <w:pStyle w:val="3"/>
        <w:pageBreakBefore/>
        <w:numPr>
          <w:ilvl w:val="1"/>
          <w:numId w:val="0"/>
        </w:numPr>
        <w:spacing w:line="360" w:lineRule="auto"/>
        <w:jc w:val="center"/>
        <w:rPr>
          <w:rFonts w:ascii="宋体" w:hAnsi="宋体" w:eastAsia="宋体"/>
          <w:color w:val="auto"/>
          <w:sz w:val="36"/>
          <w:szCs w:val="30"/>
          <w:highlight w:val="none"/>
        </w:rPr>
      </w:pPr>
      <w:bookmarkStart w:id="173" w:name="_Toc76462337"/>
      <w:bookmarkStart w:id="174" w:name="_Toc6000"/>
      <w:bookmarkStart w:id="175" w:name="_Toc16007"/>
      <w:bookmarkStart w:id="176" w:name="_Toc11218"/>
      <w:bookmarkStart w:id="177" w:name="_Toc106030892"/>
      <w:bookmarkStart w:id="178" w:name="_Toc102227313"/>
      <w:bookmarkStart w:id="179" w:name="_Toc24282"/>
      <w:bookmarkStart w:id="180" w:name="_Toc1323"/>
      <w:r>
        <w:rPr>
          <w:rFonts w:hint="eastAsia" w:ascii="宋体" w:hAnsi="宋体" w:eastAsia="宋体"/>
          <w:color w:val="auto"/>
          <w:sz w:val="36"/>
          <w:szCs w:val="30"/>
          <w:highlight w:val="none"/>
        </w:rPr>
        <w:t>第五篇  供应商须知</w:t>
      </w:r>
      <w:bookmarkEnd w:id="173"/>
      <w:bookmarkEnd w:id="174"/>
      <w:bookmarkEnd w:id="175"/>
      <w:bookmarkEnd w:id="176"/>
      <w:bookmarkEnd w:id="177"/>
      <w:bookmarkEnd w:id="178"/>
      <w:bookmarkEnd w:id="179"/>
      <w:bookmarkEnd w:id="180"/>
    </w:p>
    <w:p w14:paraId="58C46ED5">
      <w:pPr>
        <w:pStyle w:val="3"/>
        <w:pageBreakBefore w:val="0"/>
        <w:widowControl w:val="0"/>
        <w:numPr>
          <w:ilvl w:val="1"/>
          <w:numId w:val="0"/>
        </w:numPr>
        <w:kinsoku/>
        <w:wordWrap/>
        <w:overflowPunct/>
        <w:topLinePunct w:val="0"/>
        <w:autoSpaceDE/>
        <w:autoSpaceDN/>
        <w:bidi w:val="0"/>
        <w:adjustRightInd w:val="0"/>
        <w:snapToGrid w:val="0"/>
        <w:spacing w:line="400" w:lineRule="exact"/>
        <w:textAlignment w:val="auto"/>
        <w:rPr>
          <w:rFonts w:ascii="宋体" w:hAnsi="宋体" w:eastAsia="宋体"/>
          <w:b/>
          <w:bCs w:val="0"/>
          <w:color w:val="auto"/>
          <w:sz w:val="24"/>
          <w:highlight w:val="none"/>
        </w:rPr>
      </w:pPr>
      <w:bookmarkStart w:id="181" w:name="_Toc30494"/>
      <w:bookmarkStart w:id="182" w:name="_Toc12741"/>
      <w:bookmarkStart w:id="183" w:name="_Toc6124"/>
      <w:bookmarkStart w:id="184" w:name="_Toc2845"/>
      <w:bookmarkStart w:id="185" w:name="_Toc76462338"/>
      <w:bookmarkStart w:id="186" w:name="_Toc106030893"/>
      <w:bookmarkStart w:id="187" w:name="_Toc342913389"/>
      <w:bookmarkStart w:id="188" w:name="_Toc5729"/>
      <w:r>
        <w:rPr>
          <w:rFonts w:hint="eastAsia" w:ascii="宋体" w:hAnsi="宋体" w:eastAsia="宋体"/>
          <w:b/>
          <w:bCs w:val="0"/>
          <w:color w:val="auto"/>
          <w:sz w:val="24"/>
          <w:highlight w:val="none"/>
        </w:rPr>
        <w:t>一、磋商费用</w:t>
      </w:r>
      <w:bookmarkEnd w:id="181"/>
      <w:bookmarkEnd w:id="182"/>
      <w:bookmarkEnd w:id="183"/>
      <w:bookmarkEnd w:id="184"/>
      <w:bookmarkEnd w:id="185"/>
      <w:bookmarkEnd w:id="186"/>
      <w:bookmarkEnd w:id="187"/>
      <w:bookmarkEnd w:id="188"/>
    </w:p>
    <w:p w14:paraId="57E38994">
      <w:pPr>
        <w:pStyle w:val="48"/>
        <w:pageBreakBefore w:val="0"/>
        <w:widowControl w:val="0"/>
        <w:kinsoku/>
        <w:wordWrap/>
        <w:overflowPunct/>
        <w:topLinePunct w:val="0"/>
        <w:autoSpaceDE/>
        <w:autoSpaceDN/>
        <w:bidi w:val="0"/>
        <w:spacing w:line="400" w:lineRule="exact"/>
        <w:ind w:firstLine="480" w:firstLineChars="200"/>
        <w:textAlignment w:val="auto"/>
        <w:rPr>
          <w:rFonts w:hAnsi="宋体" w:cs="宋体"/>
          <w:color w:val="auto"/>
          <w:sz w:val="24"/>
          <w:szCs w:val="24"/>
          <w:highlight w:val="none"/>
        </w:rPr>
      </w:pPr>
      <w:r>
        <w:rPr>
          <w:rFonts w:hint="eastAsia" w:hAnsi="宋体" w:cs="宋体"/>
          <w:color w:val="auto"/>
          <w:sz w:val="24"/>
          <w:szCs w:val="24"/>
          <w:highlight w:val="none"/>
        </w:rPr>
        <w:t>参与磋商的供应商应承担其编制响应文件与递交响应文件所涉及的一切费用，不论磋商结果如何，采购人和采购代理机构在任何情况下无义务也无责任承担这些费用。</w:t>
      </w:r>
    </w:p>
    <w:p w14:paraId="6237279B">
      <w:pPr>
        <w:pStyle w:val="3"/>
        <w:pageBreakBefore w:val="0"/>
        <w:widowControl w:val="0"/>
        <w:numPr>
          <w:ilvl w:val="1"/>
          <w:numId w:val="0"/>
        </w:numPr>
        <w:kinsoku/>
        <w:wordWrap/>
        <w:overflowPunct/>
        <w:topLinePunct w:val="0"/>
        <w:autoSpaceDE/>
        <w:autoSpaceDN/>
        <w:bidi w:val="0"/>
        <w:adjustRightInd w:val="0"/>
        <w:snapToGrid w:val="0"/>
        <w:spacing w:line="400" w:lineRule="exact"/>
        <w:textAlignment w:val="auto"/>
        <w:rPr>
          <w:rFonts w:ascii="宋体" w:hAnsi="宋体" w:eastAsia="宋体"/>
          <w:b/>
          <w:bCs w:val="0"/>
          <w:color w:val="auto"/>
          <w:sz w:val="24"/>
          <w:highlight w:val="none"/>
        </w:rPr>
      </w:pPr>
      <w:bookmarkStart w:id="189" w:name="_Toc31325"/>
      <w:bookmarkStart w:id="190" w:name="_Toc342913391"/>
      <w:bookmarkStart w:id="191" w:name="_Toc3616"/>
      <w:bookmarkStart w:id="192" w:name="_Toc106030894"/>
      <w:bookmarkStart w:id="193" w:name="_Toc26129"/>
      <w:bookmarkStart w:id="194" w:name="_Toc76462339"/>
      <w:bookmarkStart w:id="195" w:name="_Toc14176"/>
      <w:bookmarkStart w:id="196" w:name="_Toc11583"/>
      <w:r>
        <w:rPr>
          <w:rFonts w:hint="eastAsia" w:ascii="宋体" w:hAnsi="宋体" w:eastAsia="宋体"/>
          <w:b/>
          <w:bCs w:val="0"/>
          <w:color w:val="auto"/>
          <w:sz w:val="24"/>
          <w:highlight w:val="none"/>
        </w:rPr>
        <w:t>二、竞争性磋商文件</w:t>
      </w:r>
      <w:bookmarkEnd w:id="189"/>
      <w:bookmarkEnd w:id="190"/>
      <w:bookmarkEnd w:id="191"/>
      <w:bookmarkEnd w:id="192"/>
      <w:bookmarkEnd w:id="193"/>
      <w:bookmarkEnd w:id="194"/>
      <w:bookmarkEnd w:id="195"/>
      <w:bookmarkEnd w:id="196"/>
    </w:p>
    <w:p w14:paraId="51F46638">
      <w:pPr>
        <w:pageBreakBefore w:val="0"/>
        <w:widowControl w:val="0"/>
        <w:kinsoku/>
        <w:wordWrap/>
        <w:overflowPunct/>
        <w:topLinePunct w:val="0"/>
        <w:autoSpaceDE/>
        <w:autoSpaceDN/>
        <w:bidi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（一）竞争性磋商文件由采购邀请书、项目服务需求、项目商务需求、磋商程序及方法、评审标准、无效响应和采购终止、供应商须知</w:t>
      </w:r>
      <w:r>
        <w:rPr>
          <w:rFonts w:hint="eastAsia" w:ascii="宋体" w:hAnsi="宋体" w:cs="宋体"/>
          <w:b/>
          <w:color w:val="auto"/>
          <w:sz w:val="24"/>
          <w:szCs w:val="24"/>
          <w:highlight w:val="none"/>
        </w:rPr>
        <w:t>、</w:t>
      </w:r>
      <w:r>
        <w:rPr>
          <w:rFonts w:hint="eastAsia" w:ascii="宋体" w:hAnsi="宋体" w:cs="宋体"/>
          <w:color w:val="auto"/>
          <w:sz w:val="24"/>
          <w:szCs w:val="24"/>
          <w:highlight w:val="none"/>
        </w:rPr>
        <w:t>采购合同</w:t>
      </w:r>
      <w:r>
        <w:rPr>
          <w:rFonts w:hint="eastAsia" w:ascii="宋体" w:hAnsi="宋体" w:cs="宋体"/>
          <w:b/>
          <w:color w:val="auto"/>
          <w:sz w:val="24"/>
          <w:szCs w:val="24"/>
          <w:highlight w:val="none"/>
        </w:rPr>
        <w:t>、</w:t>
      </w:r>
      <w:r>
        <w:rPr>
          <w:rFonts w:hint="eastAsia" w:ascii="宋体" w:hAnsi="宋体" w:cs="宋体"/>
          <w:color w:val="auto"/>
          <w:sz w:val="24"/>
          <w:szCs w:val="24"/>
          <w:highlight w:val="none"/>
        </w:rPr>
        <w:t>响应文件编制要求七部分组成。</w:t>
      </w:r>
    </w:p>
    <w:p w14:paraId="2697573D">
      <w:pPr>
        <w:pageBreakBefore w:val="0"/>
        <w:widowControl w:val="0"/>
        <w:kinsoku/>
        <w:wordWrap/>
        <w:overflowPunct/>
        <w:topLinePunct w:val="0"/>
        <w:autoSpaceDE/>
        <w:autoSpaceDN/>
        <w:bidi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（二）采购人（或采购代理机构）所作的一切有效的书面通知、修改及补充，都是竞争性磋商文件不可分割的部分。</w:t>
      </w:r>
    </w:p>
    <w:p w14:paraId="604E213D">
      <w:pPr>
        <w:pageBreakBefore w:val="0"/>
        <w:widowControl w:val="0"/>
        <w:kinsoku/>
        <w:wordWrap/>
        <w:overflowPunct/>
        <w:topLinePunct w:val="0"/>
        <w:autoSpaceDE/>
        <w:autoSpaceDN/>
        <w:bidi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（三）竞争性磋商文件的解释</w:t>
      </w:r>
    </w:p>
    <w:p w14:paraId="1E3EE583">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197" w:name="_Toc318159780"/>
      <w:bookmarkStart w:id="198" w:name="_Toc318159349"/>
      <w:bookmarkStart w:id="199" w:name="_Toc318159160"/>
      <w:bookmarkStart w:id="200" w:name="_Toc318166429"/>
    </w:p>
    <w:p w14:paraId="1F6BB712">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（四）本竞争性磋商文件中，磋商小组根据与供应商进行磋商可能实质性变动的内容为竞争性磋商文件第二、三、六篇全部内容。</w:t>
      </w:r>
    </w:p>
    <w:p w14:paraId="3F6893E4">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（五）评审的依据为竞争性磋商文件和响应文件（含有效的书面承诺）。磋商小组判断响应文件对竞争性磋商文件的响应，仅基于响应文件本身而不靠外部证据。</w:t>
      </w:r>
    </w:p>
    <w:bookmarkEnd w:id="197"/>
    <w:bookmarkEnd w:id="198"/>
    <w:bookmarkEnd w:id="199"/>
    <w:bookmarkEnd w:id="200"/>
    <w:p w14:paraId="5CD77EB8">
      <w:pPr>
        <w:pStyle w:val="3"/>
        <w:pageBreakBefore w:val="0"/>
        <w:widowControl w:val="0"/>
        <w:numPr>
          <w:ilvl w:val="1"/>
          <w:numId w:val="0"/>
        </w:numPr>
        <w:kinsoku/>
        <w:wordWrap/>
        <w:overflowPunct/>
        <w:topLinePunct w:val="0"/>
        <w:autoSpaceDE/>
        <w:autoSpaceDN/>
        <w:bidi w:val="0"/>
        <w:adjustRightInd w:val="0"/>
        <w:snapToGrid w:val="0"/>
        <w:spacing w:line="400" w:lineRule="exact"/>
        <w:textAlignment w:val="auto"/>
        <w:rPr>
          <w:rFonts w:ascii="宋体" w:hAnsi="宋体" w:eastAsia="宋体"/>
          <w:b/>
          <w:bCs w:val="0"/>
          <w:color w:val="auto"/>
          <w:sz w:val="24"/>
          <w:highlight w:val="none"/>
        </w:rPr>
      </w:pPr>
      <w:bookmarkStart w:id="201" w:name="_Toc18703"/>
      <w:bookmarkStart w:id="202" w:name="_Toc106030895"/>
      <w:bookmarkStart w:id="203" w:name="_Toc5211"/>
      <w:bookmarkStart w:id="204" w:name="_Toc13093"/>
      <w:bookmarkStart w:id="205" w:name="_Toc179714297"/>
      <w:bookmarkStart w:id="206" w:name="_Toc76462340"/>
      <w:bookmarkStart w:id="207" w:name="_Toc102227318"/>
      <w:bookmarkStart w:id="208" w:name="_Toc13367"/>
      <w:bookmarkStart w:id="209" w:name="_Toc342913392"/>
      <w:bookmarkStart w:id="210" w:name="_Toc29539"/>
      <w:r>
        <w:rPr>
          <w:rFonts w:hint="eastAsia" w:ascii="宋体" w:hAnsi="宋体" w:eastAsia="宋体"/>
          <w:b/>
          <w:bCs w:val="0"/>
          <w:color w:val="auto"/>
          <w:sz w:val="24"/>
          <w:highlight w:val="none"/>
        </w:rPr>
        <w:t>三、磋商要求</w:t>
      </w:r>
      <w:bookmarkEnd w:id="201"/>
      <w:bookmarkEnd w:id="202"/>
      <w:bookmarkEnd w:id="203"/>
      <w:bookmarkEnd w:id="204"/>
      <w:bookmarkEnd w:id="205"/>
      <w:bookmarkEnd w:id="206"/>
      <w:bookmarkEnd w:id="207"/>
      <w:bookmarkEnd w:id="208"/>
      <w:bookmarkEnd w:id="209"/>
      <w:bookmarkEnd w:id="210"/>
    </w:p>
    <w:p w14:paraId="2514B936">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（一）响应文件</w:t>
      </w:r>
    </w:p>
    <w:p w14:paraId="6819671C">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1.供应商应当按照竞争性磋商文件的要求编制响应文件，并对竞争性磋商文件提出的要求和条件作出实质性响应，响应文件原则上采用软面订本，同时应编制完整的页码、目录。</w:t>
      </w:r>
    </w:p>
    <w:p w14:paraId="744C9315">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2.响应文件组成</w:t>
      </w:r>
    </w:p>
    <w:p w14:paraId="61AD3E22">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09BA3D48">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（二）磋商有效期：响应文件及有关承诺文件有效期为提交响应文件截止时间起90天。</w:t>
      </w:r>
    </w:p>
    <w:p w14:paraId="4161F18B">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（三）保证金：</w:t>
      </w:r>
    </w:p>
    <w:p w14:paraId="7230E086">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1.供应商提交保证金金额和方式详见“第一篇  五、保证金”；</w:t>
      </w:r>
    </w:p>
    <w:p w14:paraId="3A6A6819">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2.发生以下情况之一者，保证金不予退还：</w:t>
      </w:r>
    </w:p>
    <w:p w14:paraId="1D949CDC">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2.1供应商在提交响应文件截止时间后撤回响应文件的；</w:t>
      </w:r>
    </w:p>
    <w:p w14:paraId="31ACE775">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2.2供应商在响应文件中提供虚假材料的；</w:t>
      </w:r>
    </w:p>
    <w:p w14:paraId="29BAD5CC">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2.3除因不可抗力或竞争性磋商文件认可的情形以外，成交供应商不与采购人签订合同的；</w:t>
      </w:r>
    </w:p>
    <w:p w14:paraId="0144469D">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2.4供应商与采购人、其他供应商或者采购代理机构恶意串通的。</w:t>
      </w:r>
    </w:p>
    <w:p w14:paraId="29A0339D">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（四）修正错误</w:t>
      </w:r>
    </w:p>
    <w:p w14:paraId="72FBD09E">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1.若供应商所递交的响应文件或最后报价中的价格出现大写金额和小写金额不一致的错误，以大写金额修正为准。</w:t>
      </w:r>
    </w:p>
    <w:p w14:paraId="0CA96CA2">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2.磋商小组按上述修正错误的原则及方法修正供应商的报价，供应商同意并签字确认后，修正后的报价对供应商具有约束作用。如果供应商不接受修正后的价格，将失去成为成交供应商的资格。</w:t>
      </w:r>
    </w:p>
    <w:p w14:paraId="7A168A06">
      <w:pPr>
        <w:pageBreakBefore w:val="0"/>
        <w:widowControl w:val="0"/>
        <w:kinsoku/>
        <w:wordWrap/>
        <w:overflowPunct/>
        <w:topLinePunct w:val="0"/>
        <w:autoSpaceDE/>
        <w:autoSpaceDN/>
        <w:bidi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（五）提交响应文件的份数和签署</w:t>
      </w:r>
    </w:p>
    <w:p w14:paraId="6A9B4FF9">
      <w:pPr>
        <w:pageBreakBefore w:val="0"/>
        <w:widowControl w:val="0"/>
        <w:kinsoku/>
        <w:wordWrap/>
        <w:overflowPunct/>
        <w:topLinePunct w:val="0"/>
        <w:autoSpaceDE/>
        <w:autoSpaceDN/>
        <w:bidi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55E208BE">
      <w:pPr>
        <w:pageBreakBefore w:val="0"/>
        <w:widowControl w:val="0"/>
        <w:kinsoku/>
        <w:wordWrap/>
        <w:overflowPunct/>
        <w:topLinePunct w:val="0"/>
        <w:autoSpaceDE/>
        <w:autoSpaceDN/>
        <w:bidi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highlight w:val="none"/>
        </w:rPr>
        <w:t>响应文件按竞争性磋商文件“第七篇响应文件编制要求”要求签署或盖章。</w:t>
      </w:r>
    </w:p>
    <w:p w14:paraId="15B7A83E">
      <w:pPr>
        <w:pageBreakBefore w:val="0"/>
        <w:widowControl w:val="0"/>
        <w:kinsoku/>
        <w:wordWrap/>
        <w:overflowPunct/>
        <w:topLinePunct w:val="0"/>
        <w:autoSpaceDE/>
        <w:autoSpaceDN/>
        <w:bidi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（六）响应文件的递交</w:t>
      </w:r>
    </w:p>
    <w:p w14:paraId="6DFC3290">
      <w:pPr>
        <w:pStyle w:val="16"/>
        <w:pageBreakBefore w:val="0"/>
        <w:widowControl w:val="0"/>
        <w:kinsoku/>
        <w:wordWrap/>
        <w:overflowPunct/>
        <w:topLinePunct w:val="0"/>
        <w:autoSpaceDE/>
        <w:autoSpaceDN/>
        <w:bidi w:val="0"/>
        <w:spacing w:line="400" w:lineRule="exact"/>
        <w:ind w:firstLine="480" w:firstLineChars="200"/>
        <w:textAlignment w:val="auto"/>
        <w:rPr>
          <w:rFonts w:hAnsi="宋体" w:cs="宋体"/>
          <w:color w:val="auto"/>
          <w:sz w:val="24"/>
          <w:highlight w:val="none"/>
        </w:rPr>
      </w:pPr>
      <w:r>
        <w:rPr>
          <w:rFonts w:hint="eastAsia" w:hAnsi="宋体" w:cs="宋体"/>
          <w:color w:val="auto"/>
          <w:sz w:val="24"/>
          <w:highlight w:val="none"/>
        </w:rPr>
        <w:t>响应文件的正本、副本以及电子文档均应密封送达磋商地点，应在封套上注明磋商项目名称、供应商名称。若正本、副本以及电子文档分别进行密封的，还应在封套上注明“正本”、“副本”、“电子文档”字样。</w:t>
      </w:r>
    </w:p>
    <w:p w14:paraId="05929F81">
      <w:pPr>
        <w:pageBreakBefore w:val="0"/>
        <w:widowControl w:val="0"/>
        <w:kinsoku/>
        <w:wordWrap/>
        <w:overflowPunct/>
        <w:topLinePunct w:val="0"/>
        <w:autoSpaceDE/>
        <w:autoSpaceDN/>
        <w:bidi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（六）供应商参与人员</w:t>
      </w:r>
    </w:p>
    <w:p w14:paraId="2C88BD20">
      <w:pPr>
        <w:pageBreakBefore w:val="0"/>
        <w:widowControl w:val="0"/>
        <w:kinsoku/>
        <w:wordWrap/>
        <w:overflowPunct/>
        <w:topLinePunct w:val="0"/>
        <w:autoSpaceDE/>
        <w:autoSpaceDN/>
        <w:bidi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各个供应商应当派1-2名代表参与磋商，至少1人应为法定代表人（或其授权代表）或自然人（供应商为自然人）。</w:t>
      </w:r>
    </w:p>
    <w:p w14:paraId="7A041561">
      <w:pPr>
        <w:pStyle w:val="3"/>
        <w:pageBreakBefore w:val="0"/>
        <w:widowControl w:val="0"/>
        <w:numPr>
          <w:ilvl w:val="1"/>
          <w:numId w:val="0"/>
        </w:numPr>
        <w:kinsoku/>
        <w:wordWrap/>
        <w:overflowPunct/>
        <w:topLinePunct w:val="0"/>
        <w:autoSpaceDE/>
        <w:autoSpaceDN/>
        <w:bidi w:val="0"/>
        <w:adjustRightInd w:val="0"/>
        <w:snapToGrid w:val="0"/>
        <w:spacing w:line="400" w:lineRule="exact"/>
        <w:textAlignment w:val="auto"/>
        <w:rPr>
          <w:rFonts w:ascii="宋体" w:hAnsi="宋体" w:eastAsia="宋体"/>
          <w:b/>
          <w:bCs w:val="0"/>
          <w:color w:val="auto"/>
          <w:sz w:val="24"/>
          <w:highlight w:val="none"/>
        </w:rPr>
      </w:pPr>
      <w:bookmarkStart w:id="211" w:name="_Toc3865"/>
      <w:bookmarkStart w:id="212" w:name="_Toc106030896"/>
      <w:bookmarkStart w:id="213" w:name="_Toc31879"/>
      <w:bookmarkStart w:id="214" w:name="_Toc17158"/>
      <w:bookmarkStart w:id="215" w:name="_Toc76462341"/>
      <w:bookmarkStart w:id="216" w:name="_Toc528"/>
      <w:bookmarkStart w:id="217" w:name="_Toc4494"/>
      <w:r>
        <w:rPr>
          <w:rFonts w:hint="eastAsia" w:ascii="宋体" w:hAnsi="宋体" w:eastAsia="宋体"/>
          <w:b/>
          <w:bCs w:val="0"/>
          <w:color w:val="auto"/>
          <w:sz w:val="24"/>
          <w:highlight w:val="none"/>
        </w:rPr>
        <w:t>四、成交供应商的确认和变更</w:t>
      </w:r>
      <w:bookmarkEnd w:id="211"/>
      <w:bookmarkEnd w:id="212"/>
      <w:bookmarkEnd w:id="213"/>
      <w:bookmarkEnd w:id="214"/>
      <w:bookmarkEnd w:id="215"/>
      <w:bookmarkEnd w:id="216"/>
      <w:bookmarkEnd w:id="217"/>
    </w:p>
    <w:p w14:paraId="08258286">
      <w:pPr>
        <w:pageBreakBefore w:val="0"/>
        <w:widowControl w:val="0"/>
        <w:kinsoku/>
        <w:wordWrap/>
        <w:overflowPunct/>
        <w:topLinePunct w:val="0"/>
        <w:autoSpaceDE/>
        <w:autoSpaceDN/>
        <w:bidi w:val="0"/>
        <w:snapToGrid w:val="0"/>
        <w:spacing w:line="400" w:lineRule="exact"/>
        <w:ind w:firstLine="480" w:firstLineChars="200"/>
        <w:textAlignment w:val="auto"/>
        <w:outlineLvl w:val="2"/>
        <w:rPr>
          <w:rFonts w:ascii="宋体" w:hAnsi="宋体" w:cs="宋体"/>
          <w:color w:val="auto"/>
          <w:sz w:val="24"/>
          <w:szCs w:val="24"/>
          <w:highlight w:val="none"/>
        </w:rPr>
      </w:pPr>
      <w:bookmarkStart w:id="218" w:name="_Toc8871"/>
      <w:r>
        <w:rPr>
          <w:rFonts w:hint="eastAsia" w:ascii="宋体" w:hAnsi="宋体" w:cs="宋体"/>
          <w:color w:val="auto"/>
          <w:sz w:val="24"/>
          <w:szCs w:val="24"/>
          <w:highlight w:val="none"/>
        </w:rPr>
        <w:t>（一）成交供应商的确认</w:t>
      </w:r>
      <w:bookmarkEnd w:id="218"/>
    </w:p>
    <w:p w14:paraId="0B5075BD">
      <w:pPr>
        <w:pageBreakBefore w:val="0"/>
        <w:widowControl w:val="0"/>
        <w:kinsoku/>
        <w:wordWrap/>
        <w:overflowPunct/>
        <w:topLinePunct w:val="0"/>
        <w:autoSpaceDE/>
        <w:autoSpaceDN/>
        <w:bidi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采购代理机构应当在评审结束后2个工作日内将评审报告送采购人确认。采购人应当在收到评审报告后5个工作日内，从评审报告提出的成交候选供应商中，按照评审得分排序由高到低的原则确定成交供应商，也可以书面授权磋商小组直接确定成交供应商。采购人逾期未确定成交供应商且不提出异议的，视为确定评审报告提出的排序第一的供应商为成交供应商。</w:t>
      </w:r>
    </w:p>
    <w:p w14:paraId="44943A94">
      <w:pPr>
        <w:pageBreakBefore w:val="0"/>
        <w:widowControl w:val="0"/>
        <w:kinsoku/>
        <w:wordWrap/>
        <w:overflowPunct/>
        <w:topLinePunct w:val="0"/>
        <w:autoSpaceDE/>
        <w:autoSpaceDN/>
        <w:bidi w:val="0"/>
        <w:snapToGrid w:val="0"/>
        <w:spacing w:line="400" w:lineRule="exact"/>
        <w:ind w:firstLine="480" w:firstLineChars="200"/>
        <w:textAlignment w:val="auto"/>
        <w:outlineLvl w:val="2"/>
        <w:rPr>
          <w:rFonts w:ascii="宋体" w:hAnsi="宋体" w:cs="宋体"/>
          <w:color w:val="auto"/>
          <w:sz w:val="24"/>
          <w:szCs w:val="24"/>
          <w:highlight w:val="none"/>
        </w:rPr>
      </w:pPr>
      <w:bookmarkStart w:id="219" w:name="_Toc19256"/>
      <w:r>
        <w:rPr>
          <w:rFonts w:hint="eastAsia" w:ascii="宋体" w:hAnsi="宋体" w:cs="宋体"/>
          <w:color w:val="auto"/>
          <w:sz w:val="24"/>
          <w:szCs w:val="24"/>
          <w:highlight w:val="none"/>
        </w:rPr>
        <w:t>（二）成交供应商的变更</w:t>
      </w:r>
      <w:bookmarkEnd w:id="219"/>
    </w:p>
    <w:p w14:paraId="1EAFFE87">
      <w:pPr>
        <w:pageBreakBefore w:val="0"/>
        <w:widowControl w:val="0"/>
        <w:kinsoku/>
        <w:wordWrap/>
        <w:overflowPunct/>
        <w:topLinePunct w:val="0"/>
        <w:autoSpaceDE/>
        <w:autoSpaceDN/>
        <w:bidi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highlight w:val="none"/>
        </w:rPr>
        <w:t>成交供应商拒绝与采购人签订合同的，采购人可以按照评标报告推荐的成交候选供应商顺序，确定排名下一位的候选人为成交供应商，也可以重新开展采购活动。</w:t>
      </w:r>
    </w:p>
    <w:p w14:paraId="75F1B7DF">
      <w:pPr>
        <w:pStyle w:val="3"/>
        <w:pageBreakBefore w:val="0"/>
        <w:widowControl w:val="0"/>
        <w:numPr>
          <w:ilvl w:val="1"/>
          <w:numId w:val="0"/>
        </w:numPr>
        <w:kinsoku/>
        <w:wordWrap/>
        <w:overflowPunct/>
        <w:topLinePunct w:val="0"/>
        <w:autoSpaceDE/>
        <w:autoSpaceDN/>
        <w:bidi w:val="0"/>
        <w:adjustRightInd w:val="0"/>
        <w:snapToGrid w:val="0"/>
        <w:spacing w:line="400" w:lineRule="exact"/>
        <w:textAlignment w:val="auto"/>
        <w:rPr>
          <w:rFonts w:ascii="宋体" w:hAnsi="宋体" w:eastAsia="宋体"/>
          <w:b/>
          <w:bCs w:val="0"/>
          <w:color w:val="auto"/>
          <w:sz w:val="24"/>
          <w:highlight w:val="none"/>
        </w:rPr>
      </w:pPr>
      <w:bookmarkStart w:id="220" w:name="_Toc76462342"/>
      <w:bookmarkStart w:id="221" w:name="_Toc342913395"/>
      <w:bookmarkStart w:id="222" w:name="_Toc13561"/>
      <w:bookmarkStart w:id="223" w:name="_Toc102227321"/>
      <w:bookmarkStart w:id="224" w:name="_Toc23535"/>
      <w:bookmarkStart w:id="225" w:name="_Toc20230"/>
      <w:bookmarkStart w:id="226" w:name="_Toc8696"/>
      <w:bookmarkStart w:id="227" w:name="_Toc5724"/>
      <w:bookmarkStart w:id="228" w:name="_Toc106030897"/>
      <w:r>
        <w:rPr>
          <w:rFonts w:hint="eastAsia" w:ascii="宋体" w:hAnsi="宋体" w:eastAsia="宋体"/>
          <w:b/>
          <w:bCs w:val="0"/>
          <w:color w:val="auto"/>
          <w:sz w:val="24"/>
          <w:highlight w:val="none"/>
        </w:rPr>
        <w:t>五、成交通知</w:t>
      </w:r>
      <w:bookmarkEnd w:id="220"/>
      <w:bookmarkEnd w:id="221"/>
      <w:bookmarkEnd w:id="222"/>
      <w:bookmarkEnd w:id="223"/>
      <w:bookmarkEnd w:id="224"/>
      <w:bookmarkEnd w:id="225"/>
      <w:bookmarkEnd w:id="226"/>
      <w:bookmarkEnd w:id="227"/>
      <w:bookmarkEnd w:id="228"/>
    </w:p>
    <w:p w14:paraId="5758CAC0">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（一）成交供应商确定后，采购代理机构将在“行采家”（ https://www.gec123.com/）上发布成交结果公告。</w:t>
      </w:r>
    </w:p>
    <w:p w14:paraId="62B952EA">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（二）结果公告发出同时，采购代理机构将以书面形式发出《成交通知书》。《成交通知书》一经发出即发生法律效力。</w:t>
      </w:r>
    </w:p>
    <w:p w14:paraId="113EAEF6">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（三）《成交通知书》将作为签订合同的依据。</w:t>
      </w:r>
    </w:p>
    <w:p w14:paraId="2D351575">
      <w:pPr>
        <w:pStyle w:val="3"/>
        <w:pageBreakBefore w:val="0"/>
        <w:widowControl w:val="0"/>
        <w:numPr>
          <w:ilvl w:val="1"/>
          <w:numId w:val="0"/>
        </w:numPr>
        <w:kinsoku/>
        <w:wordWrap/>
        <w:overflowPunct/>
        <w:topLinePunct w:val="0"/>
        <w:autoSpaceDE/>
        <w:autoSpaceDN/>
        <w:bidi w:val="0"/>
        <w:adjustRightInd w:val="0"/>
        <w:snapToGrid w:val="0"/>
        <w:spacing w:line="400" w:lineRule="exact"/>
        <w:textAlignment w:val="auto"/>
        <w:rPr>
          <w:rFonts w:ascii="宋体" w:hAnsi="宋体" w:eastAsia="宋体"/>
          <w:b/>
          <w:bCs w:val="0"/>
          <w:color w:val="auto"/>
          <w:sz w:val="24"/>
          <w:highlight w:val="none"/>
        </w:rPr>
      </w:pPr>
      <w:bookmarkStart w:id="229" w:name="_Toc7701"/>
      <w:bookmarkStart w:id="230" w:name="_Toc26769"/>
      <w:bookmarkStart w:id="231" w:name="_Toc106030898"/>
      <w:bookmarkStart w:id="232" w:name="_Toc20100"/>
      <w:bookmarkStart w:id="233" w:name="_Toc1763"/>
      <w:bookmarkStart w:id="234" w:name="_Toc76462343"/>
      <w:bookmarkStart w:id="235" w:name="_Toc19518"/>
      <w:r>
        <w:rPr>
          <w:rFonts w:hint="eastAsia" w:ascii="宋体" w:hAnsi="宋体" w:eastAsia="宋体"/>
          <w:b/>
          <w:bCs w:val="0"/>
          <w:color w:val="auto"/>
          <w:sz w:val="24"/>
          <w:highlight w:val="none"/>
        </w:rPr>
        <w:t>六、关于质疑和投诉</w:t>
      </w:r>
      <w:bookmarkEnd w:id="229"/>
      <w:bookmarkEnd w:id="230"/>
      <w:bookmarkEnd w:id="231"/>
      <w:bookmarkEnd w:id="232"/>
      <w:bookmarkEnd w:id="233"/>
      <w:bookmarkEnd w:id="234"/>
      <w:bookmarkEnd w:id="235"/>
    </w:p>
    <w:p w14:paraId="7F829748">
      <w:pPr>
        <w:pageBreakBefore w:val="0"/>
        <w:widowControl w:val="0"/>
        <w:kinsoku/>
        <w:wordWrap/>
        <w:overflowPunct/>
        <w:topLinePunct w:val="0"/>
        <w:autoSpaceDE/>
        <w:autoSpaceDN/>
        <w:bidi w:val="0"/>
        <w:spacing w:line="400" w:lineRule="exact"/>
        <w:ind w:firstLine="480" w:firstLineChars="200"/>
        <w:textAlignment w:val="auto"/>
        <w:outlineLvl w:val="2"/>
        <w:rPr>
          <w:rFonts w:ascii="宋体" w:hAnsi="宋体" w:cs="宋体"/>
          <w:color w:val="auto"/>
          <w:sz w:val="24"/>
          <w:szCs w:val="24"/>
          <w:highlight w:val="none"/>
        </w:rPr>
      </w:pPr>
      <w:bookmarkStart w:id="236" w:name="_Toc5011"/>
      <w:r>
        <w:rPr>
          <w:rFonts w:hint="eastAsia" w:ascii="宋体" w:hAnsi="宋体" w:cs="宋体"/>
          <w:color w:val="auto"/>
          <w:sz w:val="24"/>
          <w:szCs w:val="24"/>
          <w:highlight w:val="none"/>
        </w:rPr>
        <w:t>（一）质疑</w:t>
      </w:r>
      <w:bookmarkEnd w:id="236"/>
    </w:p>
    <w:p w14:paraId="619CBA16">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供应商认为采购文件、采购过程和成交结果使自己的权益</w:t>
      </w:r>
      <w:r>
        <w:rPr>
          <w:rFonts w:hint="eastAsia" w:ascii="宋体" w:hAnsi="宋体" w:cs="宋体"/>
          <w:color w:val="auto"/>
          <w:sz w:val="24"/>
          <w:szCs w:val="24"/>
          <w:highlight w:val="none"/>
          <w:lang w:eastAsia="zh-CN"/>
        </w:rPr>
        <w:t>受到</w:t>
      </w:r>
      <w:r>
        <w:rPr>
          <w:rFonts w:hint="eastAsia" w:ascii="宋体" w:hAnsi="宋体" w:cs="宋体"/>
          <w:color w:val="auto"/>
          <w:sz w:val="24"/>
          <w:szCs w:val="24"/>
          <w:highlight w:val="none"/>
        </w:rPr>
        <w:t>伤害的，可向采购人或采购代理机构以书面形式提出质疑。</w:t>
      </w:r>
    </w:p>
    <w:p w14:paraId="4FFEA1F9">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提出质疑的应当是参与所质疑项目采购活动的供应商。 </w:t>
      </w:r>
    </w:p>
    <w:p w14:paraId="17C3BD2E">
      <w:pPr>
        <w:pageBreakBefore w:val="0"/>
        <w:widowControl w:val="0"/>
        <w:kinsoku/>
        <w:wordWrap/>
        <w:overflowPunct/>
        <w:topLinePunct w:val="0"/>
        <w:autoSpaceDE/>
        <w:autoSpaceDN/>
        <w:bidi w:val="0"/>
        <w:spacing w:line="400" w:lineRule="exact"/>
        <w:ind w:right="12" w:firstLine="480"/>
        <w:textAlignment w:val="auto"/>
        <w:outlineLvl w:val="2"/>
        <w:rPr>
          <w:rFonts w:ascii="宋体" w:hAnsi="宋体" w:cs="宋体"/>
          <w:color w:val="auto"/>
          <w:sz w:val="24"/>
          <w:highlight w:val="none"/>
        </w:rPr>
      </w:pPr>
      <w:bookmarkStart w:id="237" w:name="_Toc29896"/>
      <w:r>
        <w:rPr>
          <w:rFonts w:hint="eastAsia" w:ascii="宋体" w:hAnsi="宋体" w:cs="宋体"/>
          <w:color w:val="auto"/>
          <w:sz w:val="24"/>
          <w:highlight w:val="none"/>
        </w:rPr>
        <w:t>1.质疑时限、内容</w:t>
      </w:r>
      <w:bookmarkEnd w:id="237"/>
    </w:p>
    <w:p w14:paraId="17A80DEE">
      <w:pPr>
        <w:pageBreakBefore w:val="0"/>
        <w:widowControl w:val="0"/>
        <w:kinsoku/>
        <w:wordWrap/>
        <w:overflowPunct/>
        <w:topLinePunct w:val="0"/>
        <w:autoSpaceDE/>
        <w:autoSpaceDN/>
        <w:bidi w:val="0"/>
        <w:spacing w:line="400" w:lineRule="exact"/>
        <w:ind w:right="12" w:firstLine="480"/>
        <w:textAlignment w:val="auto"/>
        <w:rPr>
          <w:rFonts w:ascii="宋体" w:hAnsi="宋体" w:cs="宋体"/>
          <w:color w:val="auto"/>
          <w:sz w:val="24"/>
          <w:highlight w:val="none"/>
        </w:rPr>
      </w:pPr>
      <w:r>
        <w:rPr>
          <w:rFonts w:hint="eastAsia" w:ascii="宋体" w:hAnsi="宋体" w:cs="宋体"/>
          <w:color w:val="auto"/>
          <w:sz w:val="24"/>
          <w:highlight w:val="none"/>
        </w:rPr>
        <w:t>供应商认为采购文件、采购过程、成交结果使自己的权益受到损害的，可以在知道或者应知其权益受到损害之日起7个工作日内，以书面形式向采购人、采购代理机构提出质疑。</w:t>
      </w:r>
    </w:p>
    <w:p w14:paraId="21C824B9">
      <w:pPr>
        <w:pageBreakBefore w:val="0"/>
        <w:widowControl w:val="0"/>
        <w:kinsoku/>
        <w:wordWrap/>
        <w:overflowPunct/>
        <w:topLinePunct w:val="0"/>
        <w:autoSpaceDE/>
        <w:autoSpaceDN/>
        <w:bidi w:val="0"/>
        <w:spacing w:line="400" w:lineRule="exact"/>
        <w:ind w:right="12" w:firstLine="480"/>
        <w:textAlignment w:val="auto"/>
        <w:rPr>
          <w:rFonts w:ascii="宋体" w:hAnsi="宋体" w:cs="宋体"/>
          <w:color w:val="auto"/>
          <w:sz w:val="24"/>
          <w:highlight w:val="none"/>
        </w:rPr>
      </w:pPr>
      <w:r>
        <w:rPr>
          <w:rFonts w:hint="eastAsia" w:ascii="宋体" w:hAnsi="宋体" w:cs="宋体"/>
          <w:color w:val="auto"/>
          <w:sz w:val="24"/>
          <w:highlight w:val="none"/>
        </w:rPr>
        <w:t>1.2供应商提出质疑应当提交质疑函和必要的证明材料，质疑函应当包括下列内容：</w:t>
      </w:r>
    </w:p>
    <w:p w14:paraId="0ACDDA5D">
      <w:pPr>
        <w:pageBreakBefore w:val="0"/>
        <w:widowControl w:val="0"/>
        <w:kinsoku/>
        <w:wordWrap/>
        <w:overflowPunct/>
        <w:topLinePunct w:val="0"/>
        <w:autoSpaceDE/>
        <w:autoSpaceDN/>
        <w:bidi w:val="0"/>
        <w:spacing w:line="400" w:lineRule="exact"/>
        <w:ind w:right="12" w:firstLine="480"/>
        <w:textAlignment w:val="auto"/>
        <w:rPr>
          <w:rFonts w:ascii="宋体" w:hAnsi="宋体" w:cs="宋体"/>
          <w:color w:val="auto"/>
          <w:sz w:val="24"/>
          <w:highlight w:val="none"/>
        </w:rPr>
      </w:pPr>
      <w:r>
        <w:rPr>
          <w:rFonts w:hint="eastAsia" w:ascii="宋体" w:hAnsi="宋体" w:cs="宋体"/>
          <w:color w:val="auto"/>
          <w:sz w:val="24"/>
          <w:highlight w:val="none"/>
        </w:rPr>
        <w:t>1.2.1供应商的姓名或者名称、地址、邮编、联系人及联系电话；</w:t>
      </w:r>
    </w:p>
    <w:p w14:paraId="641B01E4">
      <w:pPr>
        <w:pageBreakBefore w:val="0"/>
        <w:widowControl w:val="0"/>
        <w:kinsoku/>
        <w:wordWrap/>
        <w:overflowPunct/>
        <w:topLinePunct w:val="0"/>
        <w:autoSpaceDE/>
        <w:autoSpaceDN/>
        <w:bidi w:val="0"/>
        <w:spacing w:line="400" w:lineRule="exact"/>
        <w:ind w:right="12" w:firstLine="480"/>
        <w:textAlignment w:val="auto"/>
        <w:rPr>
          <w:rFonts w:ascii="宋体" w:hAnsi="宋体" w:cs="宋体"/>
          <w:color w:val="auto"/>
          <w:sz w:val="24"/>
          <w:highlight w:val="none"/>
        </w:rPr>
      </w:pPr>
      <w:r>
        <w:rPr>
          <w:rFonts w:hint="eastAsia" w:ascii="宋体" w:hAnsi="宋体" w:cs="宋体"/>
          <w:color w:val="auto"/>
          <w:sz w:val="24"/>
          <w:highlight w:val="none"/>
        </w:rPr>
        <w:t>1.2.2质疑项目的名称、项目号以及采购执行编号；</w:t>
      </w:r>
    </w:p>
    <w:p w14:paraId="61722754">
      <w:pPr>
        <w:pageBreakBefore w:val="0"/>
        <w:widowControl w:val="0"/>
        <w:kinsoku/>
        <w:wordWrap/>
        <w:overflowPunct/>
        <w:topLinePunct w:val="0"/>
        <w:autoSpaceDE/>
        <w:autoSpaceDN/>
        <w:bidi w:val="0"/>
        <w:spacing w:line="400" w:lineRule="exact"/>
        <w:ind w:right="12" w:firstLine="480"/>
        <w:textAlignment w:val="auto"/>
        <w:rPr>
          <w:rFonts w:ascii="宋体" w:hAnsi="宋体" w:cs="宋体"/>
          <w:color w:val="auto"/>
          <w:sz w:val="24"/>
          <w:highlight w:val="none"/>
        </w:rPr>
      </w:pPr>
      <w:r>
        <w:rPr>
          <w:rFonts w:hint="eastAsia" w:ascii="宋体" w:hAnsi="宋体" w:cs="宋体"/>
          <w:color w:val="auto"/>
          <w:sz w:val="24"/>
          <w:highlight w:val="none"/>
        </w:rPr>
        <w:t>1.2.3具体、明确的质疑事项和与质疑事项相关的请求；</w:t>
      </w:r>
    </w:p>
    <w:p w14:paraId="3EB65576">
      <w:pPr>
        <w:pageBreakBefore w:val="0"/>
        <w:widowControl w:val="0"/>
        <w:kinsoku/>
        <w:wordWrap/>
        <w:overflowPunct/>
        <w:topLinePunct w:val="0"/>
        <w:autoSpaceDE/>
        <w:autoSpaceDN/>
        <w:bidi w:val="0"/>
        <w:spacing w:line="400" w:lineRule="exact"/>
        <w:ind w:right="12" w:firstLine="480"/>
        <w:textAlignment w:val="auto"/>
        <w:rPr>
          <w:rFonts w:ascii="宋体" w:hAnsi="宋体" w:cs="宋体"/>
          <w:color w:val="auto"/>
          <w:sz w:val="24"/>
          <w:highlight w:val="none"/>
        </w:rPr>
      </w:pPr>
      <w:r>
        <w:rPr>
          <w:rFonts w:hint="eastAsia" w:ascii="宋体" w:hAnsi="宋体" w:cs="宋体"/>
          <w:color w:val="auto"/>
          <w:sz w:val="24"/>
          <w:highlight w:val="none"/>
        </w:rPr>
        <w:t>1.2.4事实依据；</w:t>
      </w:r>
    </w:p>
    <w:p w14:paraId="79E08431">
      <w:pPr>
        <w:pageBreakBefore w:val="0"/>
        <w:widowControl w:val="0"/>
        <w:kinsoku/>
        <w:wordWrap/>
        <w:overflowPunct/>
        <w:topLinePunct w:val="0"/>
        <w:autoSpaceDE/>
        <w:autoSpaceDN/>
        <w:bidi w:val="0"/>
        <w:spacing w:line="400" w:lineRule="exact"/>
        <w:ind w:right="12" w:firstLine="480"/>
        <w:textAlignment w:val="auto"/>
        <w:rPr>
          <w:rFonts w:ascii="宋体" w:hAnsi="宋体" w:cs="宋体"/>
          <w:color w:val="auto"/>
          <w:sz w:val="24"/>
          <w:highlight w:val="none"/>
        </w:rPr>
      </w:pPr>
      <w:r>
        <w:rPr>
          <w:rFonts w:hint="eastAsia" w:ascii="宋体" w:hAnsi="宋体" w:cs="宋体"/>
          <w:color w:val="auto"/>
          <w:sz w:val="24"/>
          <w:highlight w:val="none"/>
        </w:rPr>
        <w:t>1.2.5必要的法律依据；</w:t>
      </w:r>
    </w:p>
    <w:p w14:paraId="708956B0">
      <w:pPr>
        <w:pageBreakBefore w:val="0"/>
        <w:widowControl w:val="0"/>
        <w:kinsoku/>
        <w:wordWrap/>
        <w:overflowPunct/>
        <w:topLinePunct w:val="0"/>
        <w:autoSpaceDE/>
        <w:autoSpaceDN/>
        <w:bidi w:val="0"/>
        <w:spacing w:line="400" w:lineRule="exact"/>
        <w:ind w:right="12" w:firstLine="480"/>
        <w:textAlignment w:val="auto"/>
        <w:rPr>
          <w:rFonts w:ascii="宋体" w:hAnsi="宋体" w:cs="宋体"/>
          <w:color w:val="auto"/>
          <w:sz w:val="24"/>
          <w:highlight w:val="none"/>
        </w:rPr>
      </w:pPr>
      <w:r>
        <w:rPr>
          <w:rFonts w:hint="eastAsia" w:ascii="宋体" w:hAnsi="宋体" w:cs="宋体"/>
          <w:color w:val="auto"/>
          <w:sz w:val="24"/>
          <w:highlight w:val="none"/>
        </w:rPr>
        <w:t>1.2.6提出质疑的日期；</w:t>
      </w:r>
    </w:p>
    <w:p w14:paraId="126F2456">
      <w:pPr>
        <w:pageBreakBefore w:val="0"/>
        <w:widowControl w:val="0"/>
        <w:kinsoku/>
        <w:wordWrap/>
        <w:overflowPunct/>
        <w:topLinePunct w:val="0"/>
        <w:autoSpaceDE/>
        <w:autoSpaceDN/>
        <w:bidi w:val="0"/>
        <w:spacing w:line="400" w:lineRule="exact"/>
        <w:ind w:right="12" w:firstLine="480"/>
        <w:textAlignment w:val="auto"/>
        <w:rPr>
          <w:rFonts w:ascii="宋体" w:hAnsi="宋体" w:cs="宋体"/>
          <w:color w:val="auto"/>
          <w:sz w:val="24"/>
          <w:highlight w:val="none"/>
        </w:rPr>
      </w:pPr>
      <w:r>
        <w:rPr>
          <w:rFonts w:hint="eastAsia" w:ascii="宋体" w:hAnsi="宋体" w:cs="宋体"/>
          <w:color w:val="auto"/>
          <w:sz w:val="24"/>
          <w:highlight w:val="none"/>
        </w:rPr>
        <w:t>1.2.7营业执照（或事业单位法人证书，或个体工商户营业执照或有效的自然人身份证明）复印件；</w:t>
      </w:r>
    </w:p>
    <w:p w14:paraId="24B7B9FB">
      <w:pPr>
        <w:pageBreakBefore w:val="0"/>
        <w:widowControl w:val="0"/>
        <w:kinsoku/>
        <w:wordWrap/>
        <w:overflowPunct/>
        <w:topLinePunct w:val="0"/>
        <w:autoSpaceDE/>
        <w:autoSpaceDN/>
        <w:bidi w:val="0"/>
        <w:spacing w:line="400" w:lineRule="exact"/>
        <w:ind w:right="12" w:firstLine="480"/>
        <w:textAlignment w:val="auto"/>
        <w:rPr>
          <w:rFonts w:ascii="宋体" w:hAnsi="宋体" w:cs="宋体"/>
          <w:color w:val="auto"/>
          <w:sz w:val="24"/>
          <w:highlight w:val="none"/>
        </w:rPr>
      </w:pPr>
      <w:r>
        <w:rPr>
          <w:rFonts w:hint="eastAsia" w:ascii="宋体" w:hAnsi="宋体" w:cs="宋体"/>
          <w:color w:val="auto"/>
          <w:sz w:val="24"/>
          <w:highlight w:val="none"/>
        </w:rPr>
        <w:t>1.2.8法定代表人授权委托书原件、法定代表人身份证复印件和其授权代表的身份证复印件（供应商为自然人的提供自然人身份证复印件）；</w:t>
      </w:r>
    </w:p>
    <w:p w14:paraId="4ECCF9E4">
      <w:pPr>
        <w:pageBreakBefore w:val="0"/>
        <w:widowControl w:val="0"/>
        <w:kinsoku/>
        <w:wordWrap/>
        <w:overflowPunct/>
        <w:topLinePunct w:val="0"/>
        <w:autoSpaceDE/>
        <w:autoSpaceDN/>
        <w:bidi w:val="0"/>
        <w:spacing w:line="400" w:lineRule="exact"/>
        <w:ind w:right="12" w:firstLine="480"/>
        <w:textAlignment w:val="auto"/>
        <w:rPr>
          <w:rFonts w:ascii="宋体" w:hAnsi="宋体" w:cs="宋体"/>
          <w:color w:val="auto"/>
          <w:sz w:val="24"/>
          <w:highlight w:val="none"/>
        </w:rPr>
      </w:pPr>
      <w:r>
        <w:rPr>
          <w:rFonts w:hint="eastAsia" w:ascii="宋体" w:hAnsi="宋体" w:cs="宋体"/>
          <w:color w:val="auto"/>
          <w:sz w:val="24"/>
          <w:highlight w:val="none"/>
        </w:rPr>
        <w:t>1.3供应商为自然人的，质疑函应当由本人签字；供应商为法人或者其他组织的，质疑函应当由法定代表人、主要负责人，或者其授权代表签字或者盖章，并加盖公章。</w:t>
      </w:r>
    </w:p>
    <w:p w14:paraId="31253F7E">
      <w:pPr>
        <w:pageBreakBefore w:val="0"/>
        <w:widowControl w:val="0"/>
        <w:kinsoku/>
        <w:wordWrap/>
        <w:overflowPunct/>
        <w:topLinePunct w:val="0"/>
        <w:autoSpaceDE/>
        <w:autoSpaceDN/>
        <w:bidi w:val="0"/>
        <w:spacing w:line="400" w:lineRule="exact"/>
        <w:ind w:right="12" w:firstLine="480"/>
        <w:textAlignment w:val="auto"/>
        <w:outlineLvl w:val="2"/>
        <w:rPr>
          <w:rFonts w:ascii="宋体" w:hAnsi="宋体" w:cs="宋体"/>
          <w:color w:val="auto"/>
          <w:sz w:val="24"/>
          <w:highlight w:val="none"/>
        </w:rPr>
      </w:pPr>
      <w:bookmarkStart w:id="238" w:name="_Toc20110"/>
      <w:r>
        <w:rPr>
          <w:rFonts w:hint="eastAsia" w:ascii="宋体" w:hAnsi="宋体" w:cs="宋体"/>
          <w:color w:val="auto"/>
          <w:sz w:val="24"/>
          <w:highlight w:val="none"/>
        </w:rPr>
        <w:t>2.质疑答复</w:t>
      </w:r>
      <w:bookmarkEnd w:id="238"/>
    </w:p>
    <w:p w14:paraId="6EE57CA0">
      <w:pPr>
        <w:pageBreakBefore w:val="0"/>
        <w:widowControl w:val="0"/>
        <w:kinsoku/>
        <w:wordWrap/>
        <w:overflowPunct/>
        <w:topLinePunct w:val="0"/>
        <w:autoSpaceDE/>
        <w:autoSpaceDN/>
        <w:bidi w:val="0"/>
        <w:spacing w:line="400" w:lineRule="exact"/>
        <w:ind w:right="12" w:firstLine="480"/>
        <w:textAlignment w:val="auto"/>
        <w:rPr>
          <w:rFonts w:ascii="宋体" w:hAnsi="宋体" w:cs="宋体"/>
          <w:color w:val="auto"/>
          <w:sz w:val="24"/>
          <w:highlight w:val="none"/>
        </w:rPr>
      </w:pPr>
      <w:r>
        <w:rPr>
          <w:rFonts w:hint="eastAsia" w:ascii="宋体" w:hAnsi="宋体" w:cs="宋体"/>
          <w:color w:val="auto"/>
          <w:sz w:val="24"/>
          <w:highlight w:val="none"/>
        </w:rPr>
        <w:t>采购人、采购代理机构应当在收到供应商的书面质疑后七个工作日内作出答复，并以书面形式通知质疑供应商和其他有关供应商。</w:t>
      </w:r>
    </w:p>
    <w:p w14:paraId="21C1B025">
      <w:pPr>
        <w:pageBreakBefore w:val="0"/>
        <w:widowControl w:val="0"/>
        <w:kinsoku/>
        <w:wordWrap/>
        <w:overflowPunct/>
        <w:topLinePunct w:val="0"/>
        <w:autoSpaceDE/>
        <w:autoSpaceDN/>
        <w:bidi w:val="0"/>
        <w:spacing w:line="400" w:lineRule="exact"/>
        <w:ind w:right="12" w:firstLine="480"/>
        <w:textAlignment w:val="auto"/>
        <w:outlineLvl w:val="2"/>
        <w:rPr>
          <w:rFonts w:ascii="宋体" w:hAnsi="宋体" w:cs="宋体"/>
          <w:color w:val="auto"/>
          <w:sz w:val="24"/>
          <w:highlight w:val="none"/>
        </w:rPr>
      </w:pPr>
      <w:bookmarkStart w:id="239" w:name="_Toc16825"/>
      <w:r>
        <w:rPr>
          <w:rFonts w:hint="eastAsia" w:ascii="宋体" w:hAnsi="宋体" w:cs="宋体"/>
          <w:color w:val="auto"/>
          <w:sz w:val="24"/>
          <w:highlight w:val="none"/>
        </w:rPr>
        <w:t>3.其他</w:t>
      </w:r>
      <w:bookmarkEnd w:id="239"/>
    </w:p>
    <w:p w14:paraId="6EAB31DA">
      <w:pPr>
        <w:pageBreakBefore w:val="0"/>
        <w:widowControl w:val="0"/>
        <w:kinsoku/>
        <w:wordWrap/>
        <w:overflowPunct/>
        <w:topLinePunct w:val="0"/>
        <w:autoSpaceDE/>
        <w:autoSpaceDN/>
        <w:bidi w:val="0"/>
        <w:spacing w:line="400" w:lineRule="exact"/>
        <w:ind w:right="12" w:firstLine="480"/>
        <w:textAlignment w:val="auto"/>
        <w:rPr>
          <w:rFonts w:ascii="宋体" w:hAnsi="宋体" w:cs="宋体"/>
          <w:color w:val="auto"/>
          <w:sz w:val="24"/>
          <w:highlight w:val="none"/>
        </w:rPr>
      </w:pPr>
      <w:r>
        <w:rPr>
          <w:rFonts w:hint="eastAsia" w:ascii="宋体" w:hAnsi="宋体" w:cs="宋体"/>
          <w:color w:val="auto"/>
          <w:sz w:val="24"/>
          <w:highlight w:val="none"/>
        </w:rPr>
        <w:t>3.1供应商应按照《政府采购质疑和投诉办法》（财政部令第94号）及相关法律法规要求，在法定质疑期内一次性提出针对同一采购程序环节的质疑。</w:t>
      </w:r>
    </w:p>
    <w:p w14:paraId="40B965B1">
      <w:pPr>
        <w:pageBreakBefore w:val="0"/>
        <w:widowControl w:val="0"/>
        <w:kinsoku/>
        <w:wordWrap/>
        <w:overflowPunct/>
        <w:topLinePunct w:val="0"/>
        <w:autoSpaceDE/>
        <w:autoSpaceDN/>
        <w:bidi w:val="0"/>
        <w:spacing w:line="400" w:lineRule="exact"/>
        <w:ind w:right="12" w:firstLine="480"/>
        <w:textAlignment w:val="auto"/>
        <w:rPr>
          <w:rFonts w:ascii="宋体" w:hAnsi="宋体" w:cs="宋体"/>
          <w:color w:val="auto"/>
          <w:sz w:val="24"/>
          <w:highlight w:val="none"/>
        </w:rPr>
      </w:pPr>
      <w:r>
        <w:rPr>
          <w:rFonts w:hint="eastAsia" w:ascii="宋体" w:hAnsi="宋体" w:cs="宋体"/>
          <w:color w:val="auto"/>
          <w:sz w:val="24"/>
          <w:highlight w:val="none"/>
        </w:rPr>
        <w:t>3.2质疑函范本可在财政部门户网站和中国政府采购网下载。</w:t>
      </w:r>
    </w:p>
    <w:p w14:paraId="56BCEA51">
      <w:pPr>
        <w:pageBreakBefore w:val="0"/>
        <w:widowControl w:val="0"/>
        <w:kinsoku/>
        <w:wordWrap/>
        <w:overflowPunct/>
        <w:topLinePunct w:val="0"/>
        <w:autoSpaceDE/>
        <w:autoSpaceDN/>
        <w:bidi w:val="0"/>
        <w:spacing w:line="400" w:lineRule="exact"/>
        <w:ind w:right="12" w:firstLine="480"/>
        <w:textAlignment w:val="auto"/>
        <w:outlineLvl w:val="2"/>
        <w:rPr>
          <w:rFonts w:ascii="宋体" w:hAnsi="宋体" w:cs="宋体"/>
          <w:color w:val="auto"/>
          <w:sz w:val="24"/>
          <w:highlight w:val="none"/>
        </w:rPr>
      </w:pPr>
      <w:bookmarkStart w:id="240" w:name="_Toc15539"/>
      <w:r>
        <w:rPr>
          <w:rFonts w:hint="eastAsia" w:ascii="宋体" w:hAnsi="宋体" w:cs="宋体"/>
          <w:color w:val="auto"/>
          <w:sz w:val="24"/>
          <w:highlight w:val="none"/>
        </w:rPr>
        <w:t>（二）投诉</w:t>
      </w:r>
      <w:bookmarkEnd w:id="240"/>
    </w:p>
    <w:p w14:paraId="65F61193">
      <w:pPr>
        <w:pageBreakBefore w:val="0"/>
        <w:widowControl w:val="0"/>
        <w:kinsoku/>
        <w:wordWrap/>
        <w:overflowPunct/>
        <w:topLinePunct w:val="0"/>
        <w:autoSpaceDE/>
        <w:autoSpaceDN/>
        <w:bidi w:val="0"/>
        <w:spacing w:line="400" w:lineRule="exact"/>
        <w:ind w:right="12" w:firstLine="480"/>
        <w:textAlignment w:val="auto"/>
        <w:rPr>
          <w:rFonts w:ascii="宋体" w:hAnsi="宋体" w:cs="宋体"/>
          <w:color w:val="auto"/>
          <w:sz w:val="24"/>
          <w:highlight w:val="none"/>
        </w:rPr>
      </w:pPr>
      <w:r>
        <w:rPr>
          <w:rFonts w:hint="eastAsia" w:ascii="宋体" w:hAnsi="宋体" w:cs="宋体"/>
          <w:color w:val="auto"/>
          <w:sz w:val="24"/>
          <w:highlight w:val="none"/>
        </w:rPr>
        <w:t>1.供应商对采购人、采购代理机构的答复不满意，或者采购人、采购代理机构未在规定时间内作出答复的，可以在答复期满后15个工作日内按照相关法律法规向采购人监督部门提起投诉。</w:t>
      </w:r>
    </w:p>
    <w:p w14:paraId="2F4BAD11">
      <w:pPr>
        <w:pageBreakBefore w:val="0"/>
        <w:widowControl w:val="0"/>
        <w:kinsoku/>
        <w:wordWrap/>
        <w:overflowPunct/>
        <w:topLinePunct w:val="0"/>
        <w:autoSpaceDE/>
        <w:autoSpaceDN/>
        <w:bidi w:val="0"/>
        <w:spacing w:line="400" w:lineRule="exact"/>
        <w:ind w:right="12" w:firstLine="480"/>
        <w:textAlignment w:val="auto"/>
        <w:rPr>
          <w:rFonts w:ascii="宋体" w:hAnsi="宋体" w:cs="宋体"/>
          <w:color w:val="auto"/>
          <w:sz w:val="24"/>
          <w:highlight w:val="none"/>
        </w:rPr>
      </w:pPr>
      <w:r>
        <w:rPr>
          <w:rFonts w:hint="eastAsia" w:ascii="宋体" w:hAnsi="宋体" w:cs="宋体"/>
          <w:color w:val="auto"/>
          <w:sz w:val="24"/>
          <w:highlight w:val="none"/>
        </w:rPr>
        <w:t>2.供应商应按照《政府采购质疑和投诉办法》（财政部令第94号）及相关法律法规要求递交投诉书和必要的证明材料。投诉书范本可在财政部门户网站和中国政府采购网下载。</w:t>
      </w:r>
    </w:p>
    <w:p w14:paraId="4760A593">
      <w:pPr>
        <w:pageBreakBefore w:val="0"/>
        <w:widowControl w:val="0"/>
        <w:kinsoku/>
        <w:wordWrap/>
        <w:overflowPunct/>
        <w:topLinePunct w:val="0"/>
        <w:autoSpaceDE/>
        <w:autoSpaceDN/>
        <w:bidi w:val="0"/>
        <w:spacing w:line="400" w:lineRule="exact"/>
        <w:ind w:right="12" w:firstLine="480"/>
        <w:textAlignment w:val="auto"/>
        <w:rPr>
          <w:rFonts w:ascii="宋体" w:hAnsi="宋体" w:cs="宋体"/>
          <w:color w:val="auto"/>
          <w:sz w:val="24"/>
          <w:highlight w:val="none"/>
        </w:rPr>
      </w:pPr>
      <w:r>
        <w:rPr>
          <w:rFonts w:hint="eastAsia" w:ascii="宋体" w:hAnsi="宋体" w:cs="宋体"/>
          <w:color w:val="auto"/>
          <w:sz w:val="24"/>
          <w:highlight w:val="none"/>
        </w:rPr>
        <w:t>3.投诉书应当使用中文，相关当事人提供外文书证或者外国语视听资料的，应当附有中文译本，由翻译机构盖章或者翻译人员签名；相关当事人向采购人监督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0B4FC512">
      <w:pPr>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highlight w:val="none"/>
        </w:rPr>
        <w:t>4.在确定受理投诉后，采购人监督部门自受理投诉之日起30个工作日内（需要检验、检测、鉴定、专家评审以及需要投诉人补正材料的，所需时间不计算在投诉处理期限内）对投诉事项做出处理决定。</w:t>
      </w:r>
    </w:p>
    <w:p w14:paraId="772C3E55">
      <w:pPr>
        <w:pStyle w:val="3"/>
        <w:pageBreakBefore w:val="0"/>
        <w:widowControl w:val="0"/>
        <w:numPr>
          <w:ilvl w:val="1"/>
          <w:numId w:val="0"/>
        </w:numPr>
        <w:kinsoku/>
        <w:wordWrap/>
        <w:overflowPunct/>
        <w:topLinePunct w:val="0"/>
        <w:autoSpaceDE/>
        <w:autoSpaceDN/>
        <w:bidi w:val="0"/>
        <w:adjustRightInd w:val="0"/>
        <w:snapToGrid w:val="0"/>
        <w:spacing w:line="400" w:lineRule="exact"/>
        <w:textAlignment w:val="auto"/>
        <w:rPr>
          <w:rFonts w:ascii="宋体" w:hAnsi="宋体" w:eastAsia="宋体"/>
          <w:b/>
          <w:bCs w:val="0"/>
          <w:color w:val="auto"/>
          <w:sz w:val="24"/>
          <w:highlight w:val="none"/>
        </w:rPr>
      </w:pPr>
      <w:bookmarkStart w:id="241" w:name="_Toc18992"/>
      <w:bookmarkStart w:id="242" w:name="_Toc106030899"/>
      <w:bookmarkStart w:id="243" w:name="_Toc28162"/>
      <w:bookmarkStart w:id="244" w:name="_Toc76462344"/>
      <w:bookmarkStart w:id="245" w:name="_Toc20988"/>
      <w:bookmarkStart w:id="246" w:name="_Toc3206"/>
      <w:bookmarkStart w:id="247" w:name="_Toc5107"/>
      <w:r>
        <w:rPr>
          <w:rFonts w:hint="eastAsia" w:ascii="宋体" w:hAnsi="宋体" w:eastAsia="宋体"/>
          <w:b/>
          <w:bCs w:val="0"/>
          <w:color w:val="auto"/>
          <w:sz w:val="24"/>
          <w:highlight w:val="none"/>
        </w:rPr>
        <w:t>七、采购代理服务费</w:t>
      </w:r>
      <w:bookmarkEnd w:id="241"/>
      <w:bookmarkEnd w:id="242"/>
      <w:bookmarkEnd w:id="243"/>
      <w:bookmarkEnd w:id="244"/>
      <w:bookmarkEnd w:id="245"/>
      <w:bookmarkEnd w:id="246"/>
      <w:bookmarkEnd w:id="247"/>
    </w:p>
    <w:p w14:paraId="3D811747">
      <w:pPr>
        <w:pageBreakBefore w:val="0"/>
        <w:widowControl w:val="0"/>
        <w:kinsoku/>
        <w:wordWrap/>
        <w:overflowPunct/>
        <w:topLinePunct w:val="0"/>
        <w:autoSpaceDE/>
        <w:autoSpaceDN/>
        <w:bidi w:val="0"/>
        <w:spacing w:line="400" w:lineRule="exact"/>
        <w:ind w:firstLine="360" w:firstLineChars="150"/>
        <w:textAlignment w:val="auto"/>
        <w:rPr>
          <w:rFonts w:ascii="宋体" w:hAnsi="宋体" w:cs="宋体"/>
          <w:color w:val="auto"/>
          <w:sz w:val="24"/>
          <w:szCs w:val="24"/>
          <w:highlight w:val="none"/>
        </w:rPr>
      </w:pPr>
      <w:bookmarkStart w:id="248" w:name="_Toc76462345"/>
      <w:bookmarkStart w:id="249" w:name="_Toc106030900"/>
      <w:r>
        <w:rPr>
          <w:rFonts w:hint="eastAsia" w:ascii="宋体" w:hAnsi="宋体" w:cs="宋体"/>
          <w:color w:val="auto"/>
          <w:sz w:val="24"/>
          <w:highlight w:val="none"/>
        </w:rPr>
        <w:t>（一）</w:t>
      </w:r>
      <w:bookmarkStart w:id="250" w:name="OLE_LINK7"/>
      <w:r>
        <w:rPr>
          <w:rFonts w:hint="eastAsia" w:ascii="宋体" w:hAnsi="宋体" w:cs="宋体"/>
          <w:color w:val="auto"/>
          <w:sz w:val="24"/>
          <w:szCs w:val="24"/>
          <w:highlight w:val="none"/>
        </w:rPr>
        <w:t>供应商成交后，</w:t>
      </w:r>
      <w:r>
        <w:rPr>
          <w:rFonts w:hint="eastAsia" w:ascii="宋体" w:hAnsi="宋体" w:eastAsia="宋体" w:cs="宋体"/>
          <w:color w:val="auto"/>
          <w:sz w:val="24"/>
          <w:szCs w:val="24"/>
          <w:highlight w:val="none"/>
        </w:rPr>
        <w:t>由成交供应商向采购代理机构缴纳采购代理服务费，采购代理服务费</w:t>
      </w:r>
      <w:bookmarkEnd w:id="250"/>
      <w:r>
        <w:rPr>
          <w:rFonts w:hint="eastAsia" w:ascii="宋体" w:hAnsi="宋体" w:cs="宋体"/>
          <w:color w:val="auto"/>
          <w:sz w:val="24"/>
          <w:szCs w:val="24"/>
          <w:highlight w:val="none"/>
          <w:lang w:eastAsia="zh-CN"/>
        </w:rPr>
        <w:t>按照定额叁仟元整收取。</w:t>
      </w:r>
    </w:p>
    <w:p w14:paraId="720E4C0B">
      <w:pPr>
        <w:pageBreakBefore w:val="0"/>
        <w:widowControl w:val="0"/>
        <w:kinsoku/>
        <w:wordWrap/>
        <w:overflowPunct/>
        <w:topLinePunct w:val="0"/>
        <w:autoSpaceDE/>
        <w:autoSpaceDN/>
        <w:bidi w:val="0"/>
        <w:spacing w:line="400" w:lineRule="exact"/>
        <w:ind w:firstLine="360" w:firstLineChars="150"/>
        <w:textAlignment w:val="auto"/>
        <w:rPr>
          <w:rFonts w:ascii="宋体" w:hAnsi="宋体" w:cs="宋体"/>
          <w:color w:val="auto"/>
          <w:sz w:val="24"/>
          <w:highlight w:val="none"/>
        </w:rPr>
      </w:pPr>
      <w:r>
        <w:rPr>
          <w:rFonts w:hint="eastAsia" w:ascii="宋体" w:hAnsi="宋体" w:cs="宋体"/>
          <w:color w:val="auto"/>
          <w:sz w:val="24"/>
          <w:highlight w:val="none"/>
        </w:rPr>
        <w:t>（二）采购代理服务费缴纳账号：</w:t>
      </w:r>
    </w:p>
    <w:bookmarkEnd w:id="248"/>
    <w:bookmarkEnd w:id="249"/>
    <w:p w14:paraId="2306FA5F">
      <w:pPr>
        <w:pageBreakBefore w:val="0"/>
        <w:widowControl w:val="0"/>
        <w:kinsoku/>
        <w:wordWrap/>
        <w:overflowPunct/>
        <w:topLinePunct w:val="0"/>
        <w:autoSpaceDE/>
        <w:autoSpaceDN/>
        <w:bidi w:val="0"/>
        <w:spacing w:line="400" w:lineRule="exact"/>
        <w:ind w:firstLine="360" w:firstLineChars="150"/>
        <w:textAlignment w:val="auto"/>
        <w:rPr>
          <w:rFonts w:ascii="宋体" w:hAnsi="宋体" w:cs="宋体"/>
          <w:color w:val="auto"/>
          <w:sz w:val="24"/>
          <w:highlight w:val="none"/>
        </w:rPr>
      </w:pPr>
      <w:bookmarkStart w:id="251" w:name="_Toc102227322"/>
      <w:bookmarkStart w:id="252" w:name="_Toc76462346"/>
      <w:bookmarkStart w:id="253" w:name="_Toc24631"/>
      <w:bookmarkStart w:id="254" w:name="_Toc342913396"/>
      <w:bookmarkStart w:id="255" w:name="_Toc18091"/>
      <w:bookmarkStart w:id="256" w:name="_Toc106030901"/>
      <w:bookmarkStart w:id="257" w:name="_Toc20655"/>
      <w:bookmarkStart w:id="258" w:name="_Toc9365"/>
      <w:bookmarkStart w:id="259" w:name="_Toc12789059"/>
      <w:bookmarkStart w:id="260" w:name="_Toc11641055"/>
      <w:r>
        <w:rPr>
          <w:rFonts w:hint="eastAsia" w:ascii="宋体" w:hAnsi="宋体" w:cs="宋体"/>
          <w:color w:val="auto"/>
          <w:sz w:val="24"/>
          <w:highlight w:val="none"/>
        </w:rPr>
        <w:t>户  名：重庆千策招标代理有限公司</w:t>
      </w:r>
    </w:p>
    <w:p w14:paraId="146A14F9">
      <w:pPr>
        <w:pageBreakBefore w:val="0"/>
        <w:widowControl w:val="0"/>
        <w:kinsoku/>
        <w:wordWrap/>
        <w:overflowPunct/>
        <w:topLinePunct w:val="0"/>
        <w:autoSpaceDE/>
        <w:autoSpaceDN/>
        <w:bidi w:val="0"/>
        <w:spacing w:line="400" w:lineRule="exact"/>
        <w:ind w:firstLine="360" w:firstLineChars="150"/>
        <w:textAlignment w:val="auto"/>
        <w:rPr>
          <w:rFonts w:ascii="宋体" w:hAnsi="宋体" w:cs="宋体"/>
          <w:color w:val="auto"/>
          <w:sz w:val="24"/>
          <w:highlight w:val="none"/>
        </w:rPr>
      </w:pPr>
      <w:r>
        <w:rPr>
          <w:rFonts w:hint="eastAsia" w:ascii="宋体" w:hAnsi="宋体" w:cs="宋体"/>
          <w:color w:val="auto"/>
          <w:sz w:val="24"/>
          <w:highlight w:val="none"/>
        </w:rPr>
        <w:t>开户行：中国建设银行重庆杨家坪支行</w:t>
      </w:r>
    </w:p>
    <w:p w14:paraId="275699DD">
      <w:pPr>
        <w:pageBreakBefore w:val="0"/>
        <w:widowControl w:val="0"/>
        <w:kinsoku/>
        <w:wordWrap/>
        <w:overflowPunct/>
        <w:topLinePunct w:val="0"/>
        <w:autoSpaceDE/>
        <w:autoSpaceDN/>
        <w:bidi w:val="0"/>
        <w:spacing w:line="400" w:lineRule="exact"/>
        <w:ind w:firstLine="360" w:firstLineChars="150"/>
        <w:textAlignment w:val="auto"/>
        <w:rPr>
          <w:rFonts w:ascii="宋体" w:hAnsi="宋体" w:cs="宋体"/>
          <w:color w:val="auto"/>
          <w:sz w:val="24"/>
          <w:highlight w:val="none"/>
        </w:rPr>
      </w:pPr>
      <w:r>
        <w:rPr>
          <w:rFonts w:hint="eastAsia" w:ascii="宋体" w:hAnsi="宋体" w:cs="宋体"/>
          <w:color w:val="auto"/>
          <w:sz w:val="24"/>
          <w:highlight w:val="none"/>
        </w:rPr>
        <w:t>账  号：50050103360000000623</w:t>
      </w:r>
    </w:p>
    <w:p w14:paraId="382A124C">
      <w:pPr>
        <w:pStyle w:val="3"/>
        <w:pageBreakBefore w:val="0"/>
        <w:widowControl w:val="0"/>
        <w:numPr>
          <w:ilvl w:val="1"/>
          <w:numId w:val="0"/>
        </w:numPr>
        <w:kinsoku/>
        <w:wordWrap/>
        <w:overflowPunct/>
        <w:topLinePunct w:val="0"/>
        <w:autoSpaceDE/>
        <w:autoSpaceDN/>
        <w:bidi w:val="0"/>
        <w:adjustRightInd w:val="0"/>
        <w:snapToGrid w:val="0"/>
        <w:spacing w:line="400" w:lineRule="exact"/>
        <w:textAlignment w:val="auto"/>
        <w:rPr>
          <w:rFonts w:ascii="宋体" w:hAnsi="宋体" w:eastAsia="宋体"/>
          <w:b/>
          <w:bCs w:val="0"/>
          <w:color w:val="auto"/>
          <w:sz w:val="24"/>
          <w:highlight w:val="none"/>
        </w:rPr>
      </w:pPr>
      <w:bookmarkStart w:id="261" w:name="_Toc26503"/>
      <w:r>
        <w:rPr>
          <w:rFonts w:hint="eastAsia" w:ascii="宋体" w:hAnsi="宋体" w:eastAsia="宋体"/>
          <w:b/>
          <w:bCs w:val="0"/>
          <w:color w:val="auto"/>
          <w:sz w:val="24"/>
          <w:highlight w:val="none"/>
        </w:rPr>
        <w:t>八、签订</w:t>
      </w:r>
      <w:bookmarkEnd w:id="251"/>
      <w:r>
        <w:rPr>
          <w:rFonts w:hint="eastAsia" w:ascii="宋体" w:hAnsi="宋体" w:eastAsia="宋体"/>
          <w:b/>
          <w:bCs w:val="0"/>
          <w:color w:val="auto"/>
          <w:sz w:val="24"/>
          <w:highlight w:val="none"/>
        </w:rPr>
        <w:t>合同</w:t>
      </w:r>
      <w:bookmarkEnd w:id="252"/>
      <w:bookmarkEnd w:id="253"/>
      <w:bookmarkEnd w:id="254"/>
      <w:bookmarkEnd w:id="255"/>
      <w:bookmarkEnd w:id="256"/>
      <w:bookmarkEnd w:id="257"/>
      <w:bookmarkEnd w:id="258"/>
      <w:bookmarkEnd w:id="261"/>
    </w:p>
    <w:p w14:paraId="70D959DF">
      <w:pPr>
        <w:pageBreakBefore w:val="0"/>
        <w:widowControl w:val="0"/>
        <w:kinsoku/>
        <w:wordWrap/>
        <w:overflowPunct/>
        <w:topLinePunct w:val="0"/>
        <w:autoSpaceDE/>
        <w:autoSpaceDN/>
        <w:bidi w:val="0"/>
        <w:spacing w:line="400" w:lineRule="exact"/>
        <w:ind w:firstLine="360" w:firstLineChars="15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w:t>
      </w:r>
      <w:r>
        <w:rPr>
          <w:rFonts w:hint="eastAsia" w:ascii="宋体" w:hAnsi="宋体" w:cs="宋体"/>
          <w:color w:val="auto"/>
          <w:sz w:val="24"/>
          <w:highlight w:val="none"/>
        </w:rPr>
        <w:t>采购人原则上应在成交通知书发出之日起二十日内和成交供应商签订采购合同，无正当理由不得拒绝或拖延合同签订</w:t>
      </w:r>
      <w:r>
        <w:rPr>
          <w:rFonts w:hint="eastAsia" w:ascii="宋体" w:hAnsi="宋体" w:cs="宋体"/>
          <w:color w:val="auto"/>
          <w:sz w:val="24"/>
          <w:szCs w:val="24"/>
          <w:highlight w:val="none"/>
        </w:rPr>
        <w:t>。所签订的合同不得对竞争性磋商文件和供应商的响应文件作实质性修改。其他未尽事宜由采购人和成交供应商在采购合同中详细约定。</w:t>
      </w:r>
    </w:p>
    <w:p w14:paraId="58BFAD18">
      <w:pPr>
        <w:pageBreakBefore w:val="0"/>
        <w:widowControl w:val="0"/>
        <w:kinsoku/>
        <w:wordWrap/>
        <w:overflowPunct/>
        <w:topLinePunct w:val="0"/>
        <w:autoSpaceDE/>
        <w:autoSpaceDN/>
        <w:bidi w:val="0"/>
        <w:spacing w:line="400" w:lineRule="exact"/>
        <w:ind w:firstLine="360" w:firstLineChars="15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（二）竞争性磋商文件、供应商的响应文件及澄清文件等，均为签订采购合同的依据。</w:t>
      </w:r>
    </w:p>
    <w:p w14:paraId="113D2A40">
      <w:pPr>
        <w:pageBreakBefore w:val="0"/>
        <w:widowControl w:val="0"/>
        <w:kinsoku/>
        <w:wordWrap/>
        <w:overflowPunct/>
        <w:topLinePunct w:val="0"/>
        <w:autoSpaceDE/>
        <w:autoSpaceDN/>
        <w:bidi w:val="0"/>
        <w:spacing w:line="400" w:lineRule="exact"/>
        <w:ind w:firstLine="360" w:firstLineChars="15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（三）合同生效条款由供需双方约定，法律、行政法规规定应当办理批准、登记等手续后生效的合同，依照其规定。</w:t>
      </w:r>
    </w:p>
    <w:p w14:paraId="721A1F18">
      <w:pPr>
        <w:pageBreakBefore w:val="0"/>
        <w:widowControl w:val="0"/>
        <w:kinsoku/>
        <w:wordWrap/>
        <w:overflowPunct/>
        <w:topLinePunct w:val="0"/>
        <w:autoSpaceDE/>
        <w:autoSpaceDN/>
        <w:bidi w:val="0"/>
        <w:spacing w:line="400" w:lineRule="exact"/>
        <w:ind w:firstLine="360" w:firstLineChars="150"/>
        <w:textAlignment w:val="auto"/>
        <w:rPr>
          <w:rFonts w:ascii="宋体" w:hAnsi="宋体" w:cs="宋体"/>
          <w:color w:val="auto"/>
          <w:sz w:val="24"/>
          <w:szCs w:val="24"/>
          <w:highlight w:val="none"/>
        </w:rPr>
      </w:pPr>
      <w:r>
        <w:rPr>
          <w:rFonts w:hint="eastAsia" w:ascii="宋体" w:hAnsi="宋体" w:cs="宋体"/>
          <w:color w:val="auto"/>
          <w:sz w:val="24"/>
          <w:szCs w:val="24"/>
          <w:highlight w:val="none"/>
        </w:rPr>
        <w:t>（四）合同原则上应按照《采购合同》签订，相关单位要求适用合同通用格式版本的，应按其要求另行签订其他合同。</w:t>
      </w:r>
    </w:p>
    <w:p w14:paraId="3B0A2FA1">
      <w:pPr>
        <w:pageBreakBefore w:val="0"/>
        <w:widowControl w:val="0"/>
        <w:kinsoku/>
        <w:wordWrap/>
        <w:overflowPunct/>
        <w:topLinePunct w:val="0"/>
        <w:autoSpaceDE/>
        <w:autoSpaceDN/>
        <w:bidi w:val="0"/>
        <w:spacing w:line="400" w:lineRule="exact"/>
        <w:ind w:firstLine="360" w:firstLineChars="15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（五）采购人要求成交供应商提供履约保证金的，应当在竞争性磋商文件中予以约定。成交供应商履约完毕后，采购人根据采购文件规定无息退还其履约保证金。</w:t>
      </w:r>
    </w:p>
    <w:p w14:paraId="1BBEC372">
      <w:pPr>
        <w:pStyle w:val="3"/>
        <w:numPr>
          <w:ilvl w:val="1"/>
          <w:numId w:val="0"/>
        </w:numPr>
        <w:spacing w:line="360" w:lineRule="auto"/>
        <w:jc w:val="center"/>
        <w:rPr>
          <w:rFonts w:ascii="宋体" w:hAnsi="宋体" w:eastAsia="宋体"/>
          <w:color w:val="auto"/>
          <w:sz w:val="36"/>
          <w:szCs w:val="30"/>
          <w:highlight w:val="none"/>
        </w:rPr>
      </w:pPr>
      <w:r>
        <w:rPr>
          <w:rFonts w:hint="eastAsia" w:ascii="宋体" w:hAnsi="宋体" w:eastAsia="宋体"/>
          <w:color w:val="auto"/>
          <w:sz w:val="36"/>
          <w:szCs w:val="30"/>
          <w:highlight w:val="none"/>
        </w:rPr>
        <w:br w:type="page"/>
      </w:r>
      <w:bookmarkStart w:id="262" w:name="_Toc15809"/>
      <w:bookmarkStart w:id="263" w:name="_Toc21533"/>
      <w:bookmarkStart w:id="264" w:name="_Toc106030904"/>
      <w:bookmarkStart w:id="265" w:name="_Toc7747"/>
      <w:bookmarkStart w:id="266" w:name="_Toc76462348"/>
      <w:bookmarkStart w:id="267" w:name="_Toc2102"/>
      <w:bookmarkStart w:id="268" w:name="_Toc5554"/>
      <w:r>
        <w:rPr>
          <w:rFonts w:hint="eastAsia" w:ascii="宋体" w:hAnsi="宋体" w:eastAsia="宋体"/>
          <w:color w:val="auto"/>
          <w:sz w:val="36"/>
          <w:szCs w:val="30"/>
          <w:highlight w:val="none"/>
        </w:rPr>
        <w:t xml:space="preserve">第六篇  </w:t>
      </w:r>
      <w:bookmarkEnd w:id="259"/>
      <w:bookmarkEnd w:id="260"/>
      <w:bookmarkEnd w:id="262"/>
      <w:bookmarkEnd w:id="263"/>
      <w:bookmarkEnd w:id="264"/>
      <w:bookmarkEnd w:id="265"/>
      <w:bookmarkEnd w:id="266"/>
      <w:bookmarkEnd w:id="267"/>
      <w:r>
        <w:rPr>
          <w:rFonts w:hint="eastAsia" w:ascii="宋体" w:hAnsi="宋体" w:eastAsia="宋体"/>
          <w:color w:val="auto"/>
          <w:sz w:val="36"/>
          <w:szCs w:val="30"/>
          <w:highlight w:val="none"/>
        </w:rPr>
        <w:t>采购合同</w:t>
      </w:r>
      <w:bookmarkEnd w:id="268"/>
    </w:p>
    <w:p w14:paraId="2F95D334">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color w:val="auto"/>
          <w:sz w:val="44"/>
          <w:highlight w:val="none"/>
        </w:rPr>
      </w:pPr>
      <w:r>
        <w:rPr>
          <w:rFonts w:hint="eastAsia" w:ascii="宋体" w:hAnsi="宋体" w:cs="宋体"/>
          <w:b/>
          <w:color w:val="auto"/>
          <w:sz w:val="44"/>
          <w:highlight w:val="none"/>
        </w:rPr>
        <w:t>采购合同</w:t>
      </w:r>
    </w:p>
    <w:p w14:paraId="228CAB0E">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highlight w:val="none"/>
        </w:rPr>
      </w:pPr>
      <w:r>
        <w:rPr>
          <w:rFonts w:hint="eastAsia" w:ascii="宋体" w:hAnsi="宋体" w:cs="宋体"/>
          <w:color w:val="auto"/>
          <w:highlight w:val="none"/>
        </w:rPr>
        <w:t>（项目号：     ）</w:t>
      </w:r>
    </w:p>
    <w:p w14:paraId="7B97F81C">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 w:val="24"/>
          <w:highlight w:val="none"/>
        </w:rPr>
      </w:pPr>
      <w:r>
        <w:rPr>
          <w:rFonts w:hint="eastAsia" w:ascii="宋体" w:hAnsi="宋体" w:cs="宋体"/>
          <w:color w:val="auto"/>
          <w:sz w:val="24"/>
          <w:highlight w:val="none"/>
        </w:rPr>
        <w:t>甲方（需方）：___________________________      计价单位：____________</w:t>
      </w:r>
    </w:p>
    <w:p w14:paraId="5EB59655">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 w:val="24"/>
          <w:highlight w:val="none"/>
        </w:rPr>
      </w:pPr>
      <w:r>
        <w:rPr>
          <w:rFonts w:hint="eastAsia" w:ascii="宋体" w:hAnsi="宋体" w:cs="宋体"/>
          <w:color w:val="auto"/>
          <w:sz w:val="24"/>
          <w:highlight w:val="none"/>
        </w:rPr>
        <w:t>乙方（供方）：___________________________      计量单位：_____________</w:t>
      </w:r>
    </w:p>
    <w:p w14:paraId="1822EA57">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 w:val="24"/>
          <w:highlight w:val="none"/>
        </w:rPr>
      </w:pPr>
    </w:p>
    <w:p w14:paraId="172356E2">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 w:val="24"/>
          <w:highlight w:val="none"/>
        </w:rPr>
      </w:pPr>
      <w:r>
        <w:rPr>
          <w:rFonts w:hint="eastAsia" w:ascii="宋体" w:hAnsi="宋体" w:cs="宋体"/>
          <w:color w:val="auto"/>
          <w:sz w:val="24"/>
          <w:highlight w:val="none"/>
        </w:rPr>
        <w:t>经双方协商一致，达成以下购销合同：</w:t>
      </w:r>
    </w:p>
    <w:tbl>
      <w:tblPr>
        <w:tblStyle w:val="2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345F4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7E769C19">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磋商项目名称</w:t>
            </w:r>
          </w:p>
        </w:tc>
        <w:tc>
          <w:tcPr>
            <w:tcW w:w="984" w:type="dxa"/>
            <w:vAlign w:val="center"/>
          </w:tcPr>
          <w:p w14:paraId="2EF786F2">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数量</w:t>
            </w:r>
          </w:p>
        </w:tc>
        <w:tc>
          <w:tcPr>
            <w:tcW w:w="1298" w:type="dxa"/>
            <w:gridSpan w:val="2"/>
            <w:vAlign w:val="center"/>
          </w:tcPr>
          <w:p w14:paraId="220C721C">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综合单价</w:t>
            </w:r>
          </w:p>
        </w:tc>
        <w:tc>
          <w:tcPr>
            <w:tcW w:w="1134" w:type="dxa"/>
            <w:vAlign w:val="center"/>
          </w:tcPr>
          <w:p w14:paraId="1F2F74E1">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总价</w:t>
            </w:r>
          </w:p>
        </w:tc>
        <w:tc>
          <w:tcPr>
            <w:tcW w:w="1559" w:type="dxa"/>
            <w:vAlign w:val="center"/>
          </w:tcPr>
          <w:p w14:paraId="4231187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服务</w:t>
            </w:r>
            <w:r>
              <w:rPr>
                <w:rFonts w:hint="eastAsia" w:ascii="宋体" w:hAnsi="宋体" w:cs="宋体"/>
                <w:color w:val="auto"/>
                <w:sz w:val="24"/>
                <w:szCs w:val="24"/>
                <w:highlight w:val="none"/>
                <w:lang w:eastAsia="zh-CN"/>
              </w:rPr>
              <w:t>期限</w:t>
            </w:r>
          </w:p>
        </w:tc>
        <w:tc>
          <w:tcPr>
            <w:tcW w:w="1567" w:type="dxa"/>
            <w:vAlign w:val="center"/>
          </w:tcPr>
          <w:p w14:paraId="1A3E0A06">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服务地点</w:t>
            </w:r>
          </w:p>
        </w:tc>
      </w:tr>
      <w:tr w14:paraId="7DC09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25DF891F">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 w:val="24"/>
                <w:szCs w:val="24"/>
                <w:highlight w:val="none"/>
              </w:rPr>
            </w:pPr>
          </w:p>
        </w:tc>
        <w:tc>
          <w:tcPr>
            <w:tcW w:w="984" w:type="dxa"/>
            <w:vAlign w:val="center"/>
          </w:tcPr>
          <w:p w14:paraId="722FA4EE">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 w:val="24"/>
                <w:szCs w:val="24"/>
                <w:highlight w:val="none"/>
              </w:rPr>
            </w:pPr>
          </w:p>
        </w:tc>
        <w:tc>
          <w:tcPr>
            <w:tcW w:w="1298" w:type="dxa"/>
            <w:gridSpan w:val="2"/>
            <w:vAlign w:val="center"/>
          </w:tcPr>
          <w:p w14:paraId="41371117">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 w:val="24"/>
                <w:szCs w:val="24"/>
                <w:highlight w:val="none"/>
              </w:rPr>
            </w:pPr>
          </w:p>
        </w:tc>
        <w:tc>
          <w:tcPr>
            <w:tcW w:w="1134" w:type="dxa"/>
            <w:vAlign w:val="center"/>
          </w:tcPr>
          <w:p w14:paraId="57D43D84">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 w:val="24"/>
                <w:szCs w:val="24"/>
                <w:highlight w:val="none"/>
              </w:rPr>
            </w:pPr>
          </w:p>
        </w:tc>
        <w:tc>
          <w:tcPr>
            <w:tcW w:w="1559" w:type="dxa"/>
            <w:vAlign w:val="center"/>
          </w:tcPr>
          <w:p w14:paraId="33C26CCB">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 w:val="24"/>
                <w:szCs w:val="24"/>
                <w:highlight w:val="none"/>
              </w:rPr>
            </w:pPr>
          </w:p>
        </w:tc>
        <w:tc>
          <w:tcPr>
            <w:tcW w:w="1567" w:type="dxa"/>
            <w:vAlign w:val="center"/>
          </w:tcPr>
          <w:p w14:paraId="13F2A1B1">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 w:val="24"/>
                <w:szCs w:val="24"/>
                <w:highlight w:val="none"/>
              </w:rPr>
            </w:pPr>
          </w:p>
        </w:tc>
      </w:tr>
      <w:tr w14:paraId="63106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13DE3BAD">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 w:val="24"/>
                <w:szCs w:val="24"/>
                <w:highlight w:val="none"/>
              </w:rPr>
            </w:pPr>
          </w:p>
        </w:tc>
        <w:tc>
          <w:tcPr>
            <w:tcW w:w="984" w:type="dxa"/>
            <w:vAlign w:val="center"/>
          </w:tcPr>
          <w:p w14:paraId="2206BA89">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 w:val="24"/>
                <w:szCs w:val="24"/>
                <w:highlight w:val="none"/>
              </w:rPr>
            </w:pPr>
          </w:p>
        </w:tc>
        <w:tc>
          <w:tcPr>
            <w:tcW w:w="1298" w:type="dxa"/>
            <w:gridSpan w:val="2"/>
            <w:vAlign w:val="center"/>
          </w:tcPr>
          <w:p w14:paraId="6DCA14A7">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 w:val="24"/>
                <w:szCs w:val="24"/>
                <w:highlight w:val="none"/>
              </w:rPr>
            </w:pPr>
          </w:p>
        </w:tc>
        <w:tc>
          <w:tcPr>
            <w:tcW w:w="1134" w:type="dxa"/>
            <w:vAlign w:val="center"/>
          </w:tcPr>
          <w:p w14:paraId="1B342F63">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 w:val="24"/>
                <w:szCs w:val="24"/>
                <w:highlight w:val="none"/>
              </w:rPr>
            </w:pPr>
          </w:p>
        </w:tc>
        <w:tc>
          <w:tcPr>
            <w:tcW w:w="1559" w:type="dxa"/>
            <w:vAlign w:val="center"/>
          </w:tcPr>
          <w:p w14:paraId="08D4CF16">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 w:val="24"/>
                <w:szCs w:val="24"/>
                <w:highlight w:val="none"/>
              </w:rPr>
            </w:pPr>
          </w:p>
        </w:tc>
        <w:tc>
          <w:tcPr>
            <w:tcW w:w="1567" w:type="dxa"/>
            <w:vAlign w:val="center"/>
          </w:tcPr>
          <w:p w14:paraId="474D2245">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 w:val="24"/>
                <w:szCs w:val="24"/>
                <w:highlight w:val="none"/>
              </w:rPr>
            </w:pPr>
          </w:p>
        </w:tc>
      </w:tr>
      <w:tr w14:paraId="2E001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0D1F1172">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合计人民币（小写）：</w:t>
            </w:r>
          </w:p>
        </w:tc>
      </w:tr>
      <w:tr w14:paraId="424F5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05095C80">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合计人民币（大写）：</w:t>
            </w:r>
          </w:p>
        </w:tc>
      </w:tr>
      <w:tr w14:paraId="16AA4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14:paraId="7763D86F">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一、服务要求</w:t>
            </w:r>
          </w:p>
        </w:tc>
      </w:tr>
      <w:tr w14:paraId="0A7D6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Pr>
          <w:p w14:paraId="356034BB">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w:t>
            </w:r>
            <w:r>
              <w:rPr>
                <w:rFonts w:hint="eastAsia" w:ascii="宋体" w:hAnsi="宋体" w:cs="宋体"/>
                <w:color w:val="auto"/>
                <w:sz w:val="24"/>
                <w:szCs w:val="24"/>
                <w:highlight w:val="none"/>
                <w:lang w:eastAsia="zh-CN"/>
              </w:rPr>
              <w:t>验收、</w:t>
            </w:r>
            <w:r>
              <w:rPr>
                <w:rFonts w:hint="eastAsia" w:ascii="宋体" w:hAnsi="宋体" w:cs="宋体"/>
                <w:color w:val="auto"/>
                <w:sz w:val="24"/>
                <w:szCs w:val="24"/>
                <w:highlight w:val="none"/>
              </w:rPr>
              <w:t>考核方式</w:t>
            </w:r>
          </w:p>
        </w:tc>
      </w:tr>
      <w:tr w14:paraId="4EC10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Pr>
          <w:p w14:paraId="30700734">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三、付款方式：</w:t>
            </w:r>
          </w:p>
          <w:p w14:paraId="55DD448A">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 w:val="24"/>
                <w:szCs w:val="24"/>
                <w:highlight w:val="none"/>
              </w:rPr>
            </w:pPr>
          </w:p>
        </w:tc>
      </w:tr>
      <w:tr w14:paraId="1B5E1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3F0060A5">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四、违约责任：</w:t>
            </w:r>
          </w:p>
          <w:p w14:paraId="0665A21E">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按《中华人民共和国民法典》、《中华人民共和国政府采购法》执行，或按双方约定。</w:t>
            </w:r>
          </w:p>
        </w:tc>
      </w:tr>
      <w:tr w14:paraId="3D30D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1C2B5262">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五、其他约定事项：</w:t>
            </w:r>
          </w:p>
          <w:p w14:paraId="698485F8">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1.采购文件及其澄清文件、响应文件和承诺是本合同不可分割的部分。</w:t>
            </w:r>
          </w:p>
          <w:p w14:paraId="53E2AD7B">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2.本合同如发生争议由双方协商解决，协商不成向需方所在人民法院提请诉讼。</w:t>
            </w:r>
          </w:p>
          <w:p w14:paraId="01F5E911">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3.本合同一式__份， 需方__份，供方__份，具同等法律效力。</w:t>
            </w:r>
          </w:p>
          <w:p w14:paraId="08AEC5E2">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4.其他：</w:t>
            </w:r>
          </w:p>
        </w:tc>
      </w:tr>
      <w:tr w14:paraId="17C94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7466C460">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需方：</w:t>
            </w:r>
          </w:p>
          <w:p w14:paraId="4EAC5942">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地址：</w:t>
            </w:r>
          </w:p>
          <w:p w14:paraId="05C752D0">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联系电话：</w:t>
            </w:r>
          </w:p>
          <w:p w14:paraId="7F7E0983">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授权代表：</w:t>
            </w:r>
          </w:p>
        </w:tc>
        <w:tc>
          <w:tcPr>
            <w:tcW w:w="4984" w:type="dxa"/>
            <w:gridSpan w:val="5"/>
          </w:tcPr>
          <w:p w14:paraId="4D5E2F64">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供方：</w:t>
            </w:r>
          </w:p>
          <w:p w14:paraId="634C5BBB">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地址：</w:t>
            </w:r>
          </w:p>
          <w:p w14:paraId="6B0AF7E3">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电话：</w:t>
            </w:r>
          </w:p>
          <w:p w14:paraId="1AB1439A">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传真：</w:t>
            </w:r>
          </w:p>
          <w:p w14:paraId="3A8D90AB">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开户银行：</w:t>
            </w:r>
          </w:p>
          <w:p w14:paraId="448728A0">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账号：</w:t>
            </w:r>
          </w:p>
          <w:p w14:paraId="604ADF2F">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授权代表：</w:t>
            </w:r>
          </w:p>
          <w:p w14:paraId="4E077E4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（本栏请用计算机打印以便于准确付款）</w:t>
            </w:r>
          </w:p>
        </w:tc>
      </w:tr>
      <w:tr w14:paraId="4FEC5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267A758A">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备注：</w:t>
            </w:r>
          </w:p>
          <w:p w14:paraId="35CB8C1E">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 w:val="24"/>
                <w:szCs w:val="24"/>
                <w:highlight w:val="none"/>
              </w:rPr>
            </w:pPr>
          </w:p>
          <w:p w14:paraId="1814D270">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 w:val="24"/>
                <w:szCs w:val="24"/>
                <w:highlight w:val="none"/>
              </w:rPr>
            </w:pPr>
          </w:p>
        </w:tc>
      </w:tr>
    </w:tbl>
    <w:p w14:paraId="3206CD7B">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签约时间：           年   月   日      签约地点：</w:t>
      </w:r>
    </w:p>
    <w:p w14:paraId="79966338">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4"/>
          <w:highlight w:val="none"/>
        </w:rPr>
      </w:pPr>
    </w:p>
    <w:p w14:paraId="3ED13441">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4"/>
          <w:highlight w:val="none"/>
        </w:rPr>
      </w:pPr>
    </w:p>
    <w:p w14:paraId="7E2BA4F9">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4"/>
          <w:highlight w:val="none"/>
        </w:rPr>
      </w:pPr>
    </w:p>
    <w:p w14:paraId="43840DDB">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4"/>
          <w:highlight w:val="none"/>
        </w:rPr>
      </w:pPr>
    </w:p>
    <w:p w14:paraId="47A5C137">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4"/>
          <w:highlight w:val="none"/>
        </w:rPr>
      </w:pPr>
    </w:p>
    <w:p w14:paraId="3395F00A">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4"/>
          <w:highlight w:val="none"/>
        </w:rPr>
      </w:pPr>
    </w:p>
    <w:p w14:paraId="24066362">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4"/>
          <w:highlight w:val="none"/>
        </w:rPr>
      </w:pPr>
    </w:p>
    <w:p w14:paraId="2ACAD3C2">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4"/>
          <w:highlight w:val="none"/>
        </w:rPr>
      </w:pPr>
    </w:p>
    <w:p w14:paraId="54713A46">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4"/>
          <w:highlight w:val="none"/>
        </w:rPr>
      </w:pPr>
    </w:p>
    <w:p w14:paraId="364C3A4E">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4"/>
          <w:highlight w:val="none"/>
        </w:rPr>
      </w:pPr>
    </w:p>
    <w:p w14:paraId="7A1AA548">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4"/>
          <w:highlight w:val="none"/>
        </w:rPr>
      </w:pPr>
    </w:p>
    <w:p w14:paraId="0D4FDD88">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4"/>
          <w:highlight w:val="none"/>
        </w:rPr>
      </w:pPr>
    </w:p>
    <w:p w14:paraId="70F35F57">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4"/>
          <w:highlight w:val="none"/>
        </w:rPr>
      </w:pPr>
    </w:p>
    <w:p w14:paraId="7B2D4184">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4"/>
          <w:highlight w:val="none"/>
        </w:rPr>
      </w:pPr>
    </w:p>
    <w:p w14:paraId="3648F17E">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4"/>
          <w:highlight w:val="none"/>
        </w:rPr>
      </w:pPr>
    </w:p>
    <w:p w14:paraId="4CF90ED0">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4"/>
          <w:highlight w:val="none"/>
        </w:rPr>
      </w:pPr>
    </w:p>
    <w:p w14:paraId="18093E0F">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4"/>
          <w:highlight w:val="none"/>
        </w:rPr>
      </w:pPr>
    </w:p>
    <w:p w14:paraId="3D891BE9">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4"/>
          <w:highlight w:val="none"/>
        </w:rPr>
      </w:pPr>
    </w:p>
    <w:p w14:paraId="2E745935">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4"/>
          <w:highlight w:val="none"/>
        </w:rPr>
      </w:pPr>
    </w:p>
    <w:p w14:paraId="4D0C8DBD">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4"/>
          <w:highlight w:val="none"/>
        </w:rPr>
      </w:pPr>
    </w:p>
    <w:p w14:paraId="1BED1005">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4"/>
          <w:highlight w:val="none"/>
        </w:rPr>
      </w:pPr>
    </w:p>
    <w:p w14:paraId="5083BE67">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4"/>
          <w:highlight w:val="none"/>
        </w:rPr>
      </w:pPr>
    </w:p>
    <w:p w14:paraId="0E41A4C8">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4"/>
          <w:highlight w:val="none"/>
        </w:rPr>
      </w:pPr>
    </w:p>
    <w:p w14:paraId="23D76F3E">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4"/>
          <w:highlight w:val="none"/>
        </w:rPr>
      </w:pPr>
    </w:p>
    <w:p w14:paraId="543C98D9">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4"/>
          <w:highlight w:val="none"/>
        </w:rPr>
      </w:pPr>
    </w:p>
    <w:p w14:paraId="738A3379">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4"/>
          <w:highlight w:val="none"/>
        </w:rPr>
      </w:pPr>
    </w:p>
    <w:p w14:paraId="1844E518">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4"/>
          <w:highlight w:val="none"/>
        </w:rPr>
      </w:pPr>
    </w:p>
    <w:p w14:paraId="47EDB365">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4"/>
          <w:highlight w:val="none"/>
        </w:rPr>
      </w:pPr>
    </w:p>
    <w:p w14:paraId="64C0BA32">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4"/>
          <w:highlight w:val="none"/>
        </w:rPr>
      </w:pPr>
    </w:p>
    <w:p w14:paraId="5809A9D3">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4"/>
          <w:highlight w:val="none"/>
        </w:rPr>
      </w:pPr>
    </w:p>
    <w:p w14:paraId="0D699941">
      <w:pPr>
        <w:pStyle w:val="14"/>
        <w:keepNext w:val="0"/>
        <w:keepLines w:val="0"/>
        <w:pageBreakBefore w:val="0"/>
        <w:kinsoku/>
        <w:wordWrap/>
        <w:overflowPunct/>
        <w:topLinePunct w:val="0"/>
        <w:autoSpaceDE/>
        <w:autoSpaceDN/>
        <w:bidi w:val="0"/>
        <w:adjustRightInd/>
        <w:snapToGrid/>
        <w:spacing w:line="400" w:lineRule="exact"/>
        <w:ind w:left="0"/>
        <w:textAlignment w:val="auto"/>
        <w:rPr>
          <w:rFonts w:ascii="宋体" w:hAnsi="宋体" w:cs="宋体"/>
          <w:color w:val="auto"/>
          <w:highlight w:val="none"/>
        </w:rPr>
      </w:pPr>
    </w:p>
    <w:p w14:paraId="4C7004A7">
      <w:pPr>
        <w:pStyle w:val="3"/>
        <w:numPr>
          <w:ilvl w:val="1"/>
          <w:numId w:val="0"/>
        </w:numPr>
        <w:spacing w:line="360" w:lineRule="auto"/>
        <w:jc w:val="center"/>
        <w:rPr>
          <w:rFonts w:ascii="宋体" w:hAnsi="宋体" w:eastAsia="宋体"/>
          <w:color w:val="auto"/>
          <w:sz w:val="36"/>
          <w:szCs w:val="30"/>
          <w:highlight w:val="none"/>
        </w:rPr>
      </w:pPr>
      <w:bookmarkStart w:id="269" w:name="_Hlt41879464"/>
      <w:bookmarkEnd w:id="269"/>
      <w:bookmarkStart w:id="270" w:name="_Toc12987"/>
      <w:bookmarkStart w:id="271" w:name="_Toc21047"/>
      <w:bookmarkStart w:id="272" w:name="_Toc76462349"/>
      <w:bookmarkStart w:id="273" w:name="_Toc17388"/>
      <w:bookmarkStart w:id="274" w:name="_Toc32031"/>
      <w:bookmarkStart w:id="275" w:name="_Toc1018"/>
      <w:bookmarkStart w:id="276" w:name="_Toc106030905"/>
      <w:r>
        <w:rPr>
          <w:rFonts w:hint="eastAsia" w:ascii="宋体" w:hAnsi="宋体" w:eastAsia="宋体"/>
          <w:color w:val="auto"/>
          <w:sz w:val="36"/>
          <w:szCs w:val="30"/>
          <w:highlight w:val="none"/>
        </w:rPr>
        <w:t>第七篇  响应文件编制要求</w:t>
      </w:r>
      <w:bookmarkEnd w:id="270"/>
      <w:bookmarkEnd w:id="271"/>
      <w:bookmarkEnd w:id="272"/>
      <w:bookmarkEnd w:id="273"/>
      <w:bookmarkEnd w:id="274"/>
      <w:bookmarkEnd w:id="275"/>
      <w:bookmarkEnd w:id="276"/>
    </w:p>
    <w:p w14:paraId="414B69EB">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一、经济部分</w:t>
      </w:r>
    </w:p>
    <w:p w14:paraId="20DB8C81">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（一）竞争性磋商报价函</w:t>
      </w:r>
    </w:p>
    <w:p w14:paraId="1D9EFF1A">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二、服务部分</w:t>
      </w:r>
    </w:p>
    <w:p w14:paraId="30DAB468">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（一）服务响应偏离表</w:t>
      </w:r>
    </w:p>
    <w:p w14:paraId="0A599E57">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（二）其他资料（格式自定）</w:t>
      </w:r>
    </w:p>
    <w:p w14:paraId="6E9F536A">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三、商务部分</w:t>
      </w:r>
    </w:p>
    <w:p w14:paraId="1B7ACBA3">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（一）商务响应偏离表</w:t>
      </w:r>
    </w:p>
    <w:p w14:paraId="262FA89D">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（二）其它优惠服务承诺（格式自定）</w:t>
      </w:r>
    </w:p>
    <w:p w14:paraId="72BC8541">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四、资格条件及其他</w:t>
      </w:r>
    </w:p>
    <w:p w14:paraId="614300F0">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（一）法人营业执照（副本）或事业单位法人证书（副本）或个体工商户营业执照或有效的自然人身份证明或社会团体法人登记证书复印件</w:t>
      </w:r>
    </w:p>
    <w:p w14:paraId="1975F4A9">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（二）法定代表人身份证明书（格式）</w:t>
      </w:r>
    </w:p>
    <w:p w14:paraId="5DD966DD">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（三）法定代表人授权委托书（格式）</w:t>
      </w:r>
    </w:p>
    <w:p w14:paraId="7B23A6D4">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（四）基本资格条件承诺函（格式）</w:t>
      </w:r>
    </w:p>
    <w:p w14:paraId="4C8946FE">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（五）特定资格条件证书或证明文件（如果有）</w:t>
      </w:r>
    </w:p>
    <w:p w14:paraId="13F661C0">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五、其他资料</w:t>
      </w:r>
    </w:p>
    <w:p w14:paraId="6A08E861">
      <w:pPr>
        <w:keepNext w:val="0"/>
        <w:keepLines w:val="0"/>
        <w:pageBreakBefore w:val="0"/>
        <w:widowControl w:val="0"/>
        <w:kinsoku/>
        <w:wordWrap/>
        <w:overflowPunct/>
        <w:topLinePunct w:val="0"/>
        <w:autoSpaceDE/>
        <w:autoSpaceDN/>
        <w:bidi w:val="0"/>
        <w:adjustRightInd/>
        <w:spacing w:line="400" w:lineRule="exact"/>
        <w:ind w:left="476" w:leftChars="170"/>
        <w:textAlignment w:val="auto"/>
        <w:rPr>
          <w:rFonts w:ascii="宋体" w:hAnsi="宋体" w:cs="宋体"/>
          <w:color w:val="auto"/>
          <w:sz w:val="24"/>
          <w:szCs w:val="24"/>
          <w:highlight w:val="none"/>
        </w:rPr>
      </w:pPr>
      <w:r>
        <w:rPr>
          <w:rFonts w:hint="eastAsia" w:ascii="宋体" w:hAnsi="宋体" w:cs="宋体"/>
          <w:color w:val="auto"/>
          <w:sz w:val="24"/>
          <w:szCs w:val="24"/>
          <w:highlight w:val="none"/>
        </w:rPr>
        <w:t>其他与项目有关的资料</w:t>
      </w:r>
    </w:p>
    <w:p w14:paraId="332E5409">
      <w:pPr>
        <w:keepNext w:val="0"/>
        <w:keepLines w:val="0"/>
        <w:pageBreakBefore w:val="0"/>
        <w:widowControl w:val="0"/>
        <w:kinsoku/>
        <w:wordWrap/>
        <w:overflowPunct/>
        <w:topLinePunct w:val="0"/>
        <w:autoSpaceDE/>
        <w:autoSpaceDN/>
        <w:bidi w:val="0"/>
        <w:adjustRightInd/>
        <w:spacing w:line="400" w:lineRule="exact"/>
        <w:ind w:left="476" w:leftChars="170"/>
        <w:textAlignment w:val="auto"/>
        <w:rPr>
          <w:rFonts w:ascii="宋体" w:hAnsi="宋体" w:cs="宋体"/>
          <w:color w:val="auto"/>
          <w:sz w:val="24"/>
          <w:szCs w:val="24"/>
          <w:highlight w:val="none"/>
        </w:rPr>
        <w:sectPr>
          <w:footerReference r:id="rId9" w:type="default"/>
          <w:pgSz w:w="11907" w:h="16840"/>
          <w:pgMar w:top="1134" w:right="1191" w:bottom="1134" w:left="1304" w:header="680" w:footer="992" w:gutter="0"/>
          <w:pgNumType w:fmt="numberInDash"/>
          <w:cols w:space="0" w:num="1"/>
          <w:docGrid w:linePitch="380" w:charSpace="0"/>
        </w:sectPr>
      </w:pPr>
    </w:p>
    <w:p w14:paraId="761FB23A">
      <w:pPr>
        <w:pStyle w:val="3"/>
        <w:pageBreakBefore w:val="0"/>
        <w:numPr>
          <w:ilvl w:val="0"/>
          <w:numId w:val="2"/>
        </w:numPr>
        <w:kinsoku/>
        <w:wordWrap/>
        <w:overflowPunct/>
        <w:topLinePunct w:val="0"/>
        <w:bidi w:val="0"/>
        <w:adjustRightInd w:val="0"/>
        <w:snapToGrid w:val="0"/>
        <w:spacing w:line="400" w:lineRule="exact"/>
        <w:textAlignment w:val="auto"/>
        <w:rPr>
          <w:rFonts w:hint="eastAsia" w:ascii="宋体" w:hAnsi="宋体" w:eastAsia="宋体"/>
          <w:b/>
          <w:bCs w:val="0"/>
          <w:color w:val="auto"/>
          <w:sz w:val="24"/>
          <w:highlight w:val="none"/>
        </w:rPr>
      </w:pPr>
      <w:bookmarkStart w:id="277" w:name="_Toc342913419"/>
      <w:bookmarkStart w:id="278" w:name="_Toc106030906"/>
      <w:bookmarkStart w:id="279" w:name="_Toc313008356"/>
      <w:bookmarkStart w:id="280" w:name="_Toc313888360"/>
      <w:bookmarkStart w:id="281" w:name="_Toc31217"/>
      <w:bookmarkStart w:id="282" w:name="_Toc12836"/>
      <w:bookmarkStart w:id="283" w:name="_Toc13360"/>
      <w:bookmarkStart w:id="284" w:name="_Toc19783"/>
      <w:bookmarkStart w:id="285" w:name="_Toc23464"/>
      <w:bookmarkStart w:id="286" w:name="_Toc76462350"/>
      <w:bookmarkStart w:id="287" w:name="_Toc12789073"/>
      <w:bookmarkStart w:id="288" w:name="_Toc283382454"/>
      <w:r>
        <w:rPr>
          <w:rFonts w:hint="eastAsia" w:ascii="宋体" w:hAnsi="宋体" w:eastAsia="宋体"/>
          <w:b/>
          <w:bCs w:val="0"/>
          <w:color w:val="auto"/>
          <w:sz w:val="24"/>
          <w:highlight w:val="none"/>
        </w:rPr>
        <w:t>经济部分</w:t>
      </w:r>
      <w:bookmarkEnd w:id="277"/>
      <w:bookmarkEnd w:id="278"/>
      <w:bookmarkEnd w:id="279"/>
      <w:bookmarkEnd w:id="280"/>
      <w:bookmarkEnd w:id="281"/>
      <w:bookmarkEnd w:id="282"/>
      <w:bookmarkEnd w:id="283"/>
      <w:bookmarkEnd w:id="284"/>
      <w:bookmarkEnd w:id="285"/>
      <w:bookmarkEnd w:id="286"/>
    </w:p>
    <w:p w14:paraId="1DA4229A">
      <w:pPr>
        <w:pageBreakBefore w:val="0"/>
        <w:tabs>
          <w:tab w:val="left" w:pos="6300"/>
        </w:tabs>
        <w:kinsoku/>
        <w:wordWrap/>
        <w:overflowPunct/>
        <w:topLinePunct w:val="0"/>
        <w:bidi w:val="0"/>
        <w:snapToGrid w:val="0"/>
        <w:spacing w:line="400" w:lineRule="exact"/>
        <w:ind w:firstLine="57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（一）竞争性磋商报价函</w:t>
      </w:r>
    </w:p>
    <w:p w14:paraId="1C6F064A">
      <w:pPr>
        <w:pageBreakBefore w:val="0"/>
        <w:numPr>
          <w:ilvl w:val="0"/>
          <w:numId w:val="0"/>
        </w:numPr>
        <w:kinsoku/>
        <w:wordWrap/>
        <w:overflowPunct/>
        <w:topLinePunct w:val="0"/>
        <w:bidi w:val="0"/>
        <w:spacing w:line="400" w:lineRule="exact"/>
        <w:textAlignment w:val="auto"/>
        <w:rPr>
          <w:color w:val="auto"/>
          <w:highlight w:val="none"/>
        </w:rPr>
      </w:pPr>
    </w:p>
    <w:bookmarkEnd w:id="287"/>
    <w:bookmarkEnd w:id="288"/>
    <w:p w14:paraId="7BAEFDEA">
      <w:pPr>
        <w:pageBreakBefore w:val="0"/>
        <w:kinsoku/>
        <w:wordWrap/>
        <w:overflowPunct/>
        <w:topLinePunct w:val="0"/>
        <w:bidi w:val="0"/>
        <w:spacing w:line="400" w:lineRule="exact"/>
        <w:jc w:val="center"/>
        <w:textAlignment w:val="auto"/>
        <w:rPr>
          <w:rFonts w:ascii="宋体" w:hAnsi="宋体" w:cs="宋体"/>
          <w:b/>
          <w:color w:val="auto"/>
          <w:szCs w:val="28"/>
          <w:highlight w:val="none"/>
        </w:rPr>
      </w:pPr>
      <w:r>
        <w:rPr>
          <w:rFonts w:hint="eastAsia" w:ascii="宋体" w:hAnsi="宋体" w:cs="宋体"/>
          <w:b/>
          <w:color w:val="auto"/>
          <w:szCs w:val="28"/>
          <w:highlight w:val="none"/>
        </w:rPr>
        <w:t>竞争性磋商报价函</w:t>
      </w:r>
    </w:p>
    <w:p w14:paraId="70933F81">
      <w:pPr>
        <w:pageBreakBefore w:val="0"/>
        <w:tabs>
          <w:tab w:val="left" w:pos="6300"/>
        </w:tabs>
        <w:kinsoku/>
        <w:wordWrap/>
        <w:overflowPunct/>
        <w:topLinePunct w:val="0"/>
        <w:bidi w:val="0"/>
        <w:snapToGrid w:val="0"/>
        <w:spacing w:line="40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u w:val="single"/>
        </w:rPr>
        <w:t>（采购代理机构名称）</w:t>
      </w:r>
      <w:r>
        <w:rPr>
          <w:rFonts w:hint="eastAsia" w:ascii="宋体" w:hAnsi="宋体" w:cs="宋体"/>
          <w:color w:val="auto"/>
          <w:sz w:val="24"/>
          <w:szCs w:val="24"/>
          <w:highlight w:val="none"/>
        </w:rPr>
        <w:t>：</w:t>
      </w:r>
    </w:p>
    <w:p w14:paraId="3C1554F9">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我方收到____________________________（磋商项目名称）的竞争性磋商文件，经详细研究，决定参加该项目的磋商。</w:t>
      </w:r>
    </w:p>
    <w:p w14:paraId="3ED56152">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1.愿意按照竞争性磋商文件中的一切要求，提供本项目的服务，</w:t>
      </w:r>
      <w:r>
        <w:rPr>
          <w:rFonts w:hint="eastAsia" w:ascii="宋体" w:hAnsi="宋体" w:eastAsia="宋体" w:cs="宋体"/>
          <w:color w:val="auto"/>
          <w:sz w:val="24"/>
          <w:szCs w:val="24"/>
          <w:highlight w:val="none"/>
        </w:rPr>
        <w:t>初始报价</w:t>
      </w:r>
      <w:r>
        <w:rPr>
          <w:rFonts w:hint="eastAsia" w:ascii="宋体" w:hAnsi="宋体" w:cs="宋体"/>
          <w:color w:val="auto"/>
          <w:sz w:val="24"/>
          <w:szCs w:val="24"/>
          <w:highlight w:val="none"/>
          <w:lang w:eastAsia="zh-CN"/>
        </w:rPr>
        <w:t>（折扣）</w:t>
      </w:r>
      <w:r>
        <w:rPr>
          <w:rFonts w:hint="eastAsia" w:ascii="宋体" w:hAnsi="宋体" w:eastAsia="宋体" w:cs="宋体"/>
          <w:color w:val="auto"/>
          <w:sz w:val="24"/>
          <w:szCs w:val="24"/>
          <w:highlight w:val="none"/>
        </w:rPr>
        <w:t>为大写：</w:t>
      </w:r>
      <w:r>
        <w:rPr>
          <w:rFonts w:hint="eastAsia" w:ascii="宋体" w:hAnsi="宋体" w:cs="宋体"/>
          <w:color w:val="auto"/>
          <w:sz w:val="24"/>
          <w:szCs w:val="24"/>
          <w:highlight w:val="none"/>
          <w:u w:val="single"/>
          <w:lang w:eastAsia="zh-CN"/>
        </w:rPr>
        <w:t>百分之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以我公司最后报价为准</w:t>
      </w:r>
      <w:r>
        <w:rPr>
          <w:rFonts w:hint="eastAsia" w:ascii="宋体" w:hAnsi="宋体" w:cs="宋体"/>
          <w:color w:val="auto"/>
          <w:sz w:val="24"/>
          <w:szCs w:val="24"/>
          <w:highlight w:val="none"/>
        </w:rPr>
        <w:t>。</w:t>
      </w:r>
    </w:p>
    <w:p w14:paraId="7AFFB93C">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2.我方现提交的响应文件为：响应文件正本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份，副本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份，电子文档</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w:t>
      </w:r>
    </w:p>
    <w:p w14:paraId="44B0E566">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3.我方承诺：本次磋商的有效期为提交响应文件截止时间起90天。</w:t>
      </w:r>
    </w:p>
    <w:p w14:paraId="7C97C51B">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4.我方完全理解和接受贵方竞争性磋商文件的一切规定和要求及评审办法。</w:t>
      </w:r>
    </w:p>
    <w:p w14:paraId="14E54983">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5.在整个竞争性磋商过程中，我方若有违规行为，接受按照《中华人民共和国政府采购法》和《竞争性磋商文件》之规定给予惩罚。</w:t>
      </w:r>
    </w:p>
    <w:p w14:paraId="15FA3AAA">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6.我方若成为成交供应商，将按照最终磋商结果签订合同，并且严格履行合同义务。本承诺函将成为合同不可分割的一部分，与合同具有同等的法律效力。</w:t>
      </w:r>
    </w:p>
    <w:p w14:paraId="2AD1F3CE">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7.如果我方成为成交供应商，保证在接到成交通知书后，向采购代理机构</w:t>
      </w:r>
      <w:r>
        <w:rPr>
          <w:rFonts w:hint="eastAsia" w:ascii="宋体" w:hAnsi="宋体" w:cs="宋体"/>
          <w:color w:val="auto"/>
          <w:sz w:val="24"/>
          <w:highlight w:val="none"/>
        </w:rPr>
        <w:t>缴纳</w:t>
      </w:r>
      <w:r>
        <w:rPr>
          <w:rFonts w:hint="eastAsia" w:ascii="宋体" w:hAnsi="宋体" w:cs="宋体"/>
          <w:color w:val="auto"/>
          <w:sz w:val="24"/>
          <w:szCs w:val="24"/>
          <w:highlight w:val="none"/>
        </w:rPr>
        <w:t>竞争性磋商文件规定的采购代理服务费。</w:t>
      </w:r>
    </w:p>
    <w:p w14:paraId="32E1A083">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8.</w:t>
      </w:r>
      <w:r>
        <w:rPr>
          <w:rFonts w:hint="eastAsia" w:ascii="宋体" w:hAnsi="宋体" w:cs="宋体"/>
          <w:color w:val="auto"/>
          <w:sz w:val="24"/>
          <w:szCs w:val="28"/>
          <w:highlight w:val="none"/>
        </w:rPr>
        <w:t>我方未</w:t>
      </w:r>
      <w:r>
        <w:rPr>
          <w:rFonts w:hint="eastAsia" w:ascii="宋体" w:hAnsi="宋体" w:cs="宋体"/>
          <w:color w:val="auto"/>
          <w:sz w:val="24"/>
          <w:szCs w:val="24"/>
          <w:highlight w:val="none"/>
        </w:rPr>
        <w:t>为采购项目提供整体设计、规范编制或者项目管理、监理、检测等服务。</w:t>
      </w:r>
    </w:p>
    <w:p w14:paraId="44436639">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szCs w:val="24"/>
          <w:highlight w:val="none"/>
        </w:rPr>
      </w:pPr>
      <w:r>
        <w:rPr>
          <w:rFonts w:hint="eastAsia" w:ascii="宋体" w:hAnsi="宋体" w:cs="宋体"/>
          <w:color w:val="auto"/>
          <w:sz w:val="24"/>
          <w:szCs w:val="24"/>
          <w:highlight w:val="none"/>
        </w:rPr>
        <w:t>供应商（公章）或自然人签署：</w:t>
      </w:r>
    </w:p>
    <w:p w14:paraId="62384D65">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地址：  </w:t>
      </w:r>
    </w:p>
    <w:p w14:paraId="08AC60AE">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szCs w:val="24"/>
          <w:highlight w:val="none"/>
        </w:rPr>
      </w:pPr>
      <w:r>
        <w:rPr>
          <w:rFonts w:hint="eastAsia" w:ascii="宋体" w:hAnsi="宋体" w:cs="宋体"/>
          <w:color w:val="auto"/>
          <w:sz w:val="24"/>
          <w:szCs w:val="24"/>
          <w:highlight w:val="none"/>
        </w:rPr>
        <w:t>电话：                                             传真：</w:t>
      </w:r>
    </w:p>
    <w:p w14:paraId="781003DA">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szCs w:val="24"/>
          <w:highlight w:val="none"/>
        </w:rPr>
      </w:pPr>
      <w:r>
        <w:rPr>
          <w:rFonts w:hint="eastAsia" w:ascii="宋体" w:hAnsi="宋体" w:cs="宋体"/>
          <w:color w:val="auto"/>
          <w:sz w:val="24"/>
          <w:szCs w:val="24"/>
          <w:highlight w:val="none"/>
        </w:rPr>
        <w:t>网址：                                             邮编：</w:t>
      </w:r>
    </w:p>
    <w:p w14:paraId="1580DDEB">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szCs w:val="24"/>
          <w:highlight w:val="none"/>
        </w:rPr>
      </w:pPr>
      <w:r>
        <w:rPr>
          <w:rFonts w:hint="eastAsia" w:ascii="宋体" w:hAnsi="宋体" w:cs="宋体"/>
          <w:color w:val="auto"/>
          <w:sz w:val="24"/>
          <w:szCs w:val="24"/>
          <w:highlight w:val="none"/>
        </w:rPr>
        <w:t>联系人：</w:t>
      </w:r>
    </w:p>
    <w:p w14:paraId="1A3E70BE">
      <w:pPr>
        <w:pageBreakBefore w:val="0"/>
        <w:kinsoku/>
        <w:wordWrap/>
        <w:overflowPunct/>
        <w:topLinePunct w:val="0"/>
        <w:bidi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77434626">
      <w:pPr>
        <w:pStyle w:val="23"/>
        <w:pageBreakBefore w:val="0"/>
        <w:kinsoku/>
        <w:wordWrap/>
        <w:overflowPunct/>
        <w:topLinePunct w:val="0"/>
        <w:bidi w:val="0"/>
        <w:spacing w:line="400" w:lineRule="exact"/>
        <w:textAlignment w:val="auto"/>
        <w:rPr>
          <w:rFonts w:ascii="宋体" w:hAnsi="宋体" w:cs="宋体"/>
          <w:color w:val="auto"/>
          <w:sz w:val="24"/>
          <w:szCs w:val="24"/>
          <w:highlight w:val="none"/>
        </w:rPr>
      </w:pPr>
    </w:p>
    <w:p w14:paraId="19006923">
      <w:pPr>
        <w:pageBreakBefore w:val="0"/>
        <w:kinsoku/>
        <w:wordWrap/>
        <w:overflowPunct/>
        <w:topLinePunct w:val="0"/>
        <w:bidi w:val="0"/>
        <w:spacing w:line="400" w:lineRule="exact"/>
        <w:textAlignment w:val="auto"/>
        <w:rPr>
          <w:rFonts w:ascii="宋体" w:hAnsi="宋体" w:cs="宋体"/>
          <w:color w:val="auto"/>
          <w:sz w:val="24"/>
          <w:szCs w:val="24"/>
          <w:highlight w:val="none"/>
        </w:rPr>
      </w:pPr>
    </w:p>
    <w:p w14:paraId="680071BD">
      <w:pPr>
        <w:pStyle w:val="23"/>
        <w:pageBreakBefore w:val="0"/>
        <w:kinsoku/>
        <w:wordWrap/>
        <w:overflowPunct/>
        <w:topLinePunct w:val="0"/>
        <w:bidi w:val="0"/>
        <w:spacing w:line="400" w:lineRule="exact"/>
        <w:textAlignment w:val="auto"/>
        <w:rPr>
          <w:rFonts w:ascii="宋体" w:hAnsi="宋体" w:cs="宋体"/>
          <w:color w:val="auto"/>
          <w:sz w:val="24"/>
          <w:szCs w:val="24"/>
          <w:highlight w:val="none"/>
        </w:rPr>
      </w:pPr>
    </w:p>
    <w:p w14:paraId="52E5FB5F">
      <w:pPr>
        <w:pageBreakBefore w:val="0"/>
        <w:kinsoku/>
        <w:wordWrap/>
        <w:overflowPunct/>
        <w:topLinePunct w:val="0"/>
        <w:bidi w:val="0"/>
        <w:snapToGrid w:val="0"/>
        <w:spacing w:line="400" w:lineRule="exact"/>
        <w:ind w:firstLine="480" w:firstLineChars="200"/>
        <w:textAlignment w:val="auto"/>
        <w:rPr>
          <w:rFonts w:ascii="宋体" w:hAnsi="宋体" w:cs="宋体"/>
          <w:color w:val="auto"/>
          <w:sz w:val="24"/>
          <w:szCs w:val="28"/>
          <w:highlight w:val="none"/>
        </w:rPr>
      </w:pPr>
    </w:p>
    <w:p w14:paraId="5B1D8446">
      <w:pPr>
        <w:pageBreakBefore w:val="0"/>
        <w:kinsoku/>
        <w:wordWrap/>
        <w:overflowPunct/>
        <w:topLinePunct w:val="0"/>
        <w:bidi w:val="0"/>
        <w:snapToGrid w:val="0"/>
        <w:spacing w:line="400" w:lineRule="exact"/>
        <w:ind w:firstLine="480" w:firstLineChars="200"/>
        <w:textAlignment w:val="auto"/>
        <w:rPr>
          <w:rFonts w:ascii="宋体" w:hAnsi="宋体" w:cs="宋体"/>
          <w:color w:val="auto"/>
          <w:sz w:val="24"/>
          <w:szCs w:val="28"/>
          <w:highlight w:val="none"/>
        </w:rPr>
      </w:pPr>
    </w:p>
    <w:p w14:paraId="3ABDCFDE">
      <w:pPr>
        <w:pageBreakBefore w:val="0"/>
        <w:kinsoku/>
        <w:wordWrap/>
        <w:overflowPunct/>
        <w:topLinePunct w:val="0"/>
        <w:bidi w:val="0"/>
        <w:snapToGrid w:val="0"/>
        <w:spacing w:line="400" w:lineRule="exact"/>
        <w:ind w:firstLine="480" w:firstLineChars="200"/>
        <w:textAlignment w:val="auto"/>
        <w:rPr>
          <w:rFonts w:ascii="宋体" w:hAnsi="宋体" w:cs="宋体"/>
          <w:color w:val="auto"/>
          <w:sz w:val="24"/>
          <w:szCs w:val="28"/>
          <w:highlight w:val="none"/>
        </w:rPr>
      </w:pPr>
    </w:p>
    <w:p w14:paraId="26E4CE9F">
      <w:pPr>
        <w:pageBreakBefore w:val="0"/>
        <w:kinsoku/>
        <w:wordWrap/>
        <w:overflowPunct/>
        <w:topLinePunct w:val="0"/>
        <w:bidi w:val="0"/>
        <w:snapToGrid w:val="0"/>
        <w:spacing w:line="400" w:lineRule="exact"/>
        <w:ind w:firstLine="480" w:firstLineChars="200"/>
        <w:textAlignment w:val="auto"/>
        <w:rPr>
          <w:rFonts w:ascii="宋体" w:hAnsi="宋体" w:cs="宋体"/>
          <w:color w:val="auto"/>
          <w:sz w:val="24"/>
          <w:szCs w:val="28"/>
          <w:highlight w:val="none"/>
        </w:rPr>
      </w:pPr>
    </w:p>
    <w:p w14:paraId="659E8B5A">
      <w:pPr>
        <w:pageBreakBefore w:val="0"/>
        <w:kinsoku/>
        <w:wordWrap/>
        <w:overflowPunct/>
        <w:topLinePunct w:val="0"/>
        <w:bidi w:val="0"/>
        <w:snapToGrid w:val="0"/>
        <w:spacing w:line="400" w:lineRule="exact"/>
        <w:ind w:firstLine="480" w:firstLineChars="200"/>
        <w:textAlignment w:val="auto"/>
        <w:rPr>
          <w:rFonts w:ascii="宋体" w:hAnsi="宋体" w:cs="宋体"/>
          <w:color w:val="auto"/>
          <w:sz w:val="24"/>
          <w:szCs w:val="28"/>
          <w:highlight w:val="none"/>
        </w:rPr>
      </w:pPr>
    </w:p>
    <w:p w14:paraId="3B446832">
      <w:pPr>
        <w:pageBreakBefore w:val="0"/>
        <w:kinsoku/>
        <w:wordWrap/>
        <w:overflowPunct/>
        <w:topLinePunct w:val="0"/>
        <w:bidi w:val="0"/>
        <w:snapToGrid w:val="0"/>
        <w:spacing w:line="400" w:lineRule="exact"/>
        <w:ind w:firstLine="480" w:firstLineChars="200"/>
        <w:textAlignment w:val="auto"/>
        <w:rPr>
          <w:rFonts w:ascii="宋体" w:hAnsi="宋体" w:cs="宋体"/>
          <w:color w:val="auto"/>
          <w:sz w:val="24"/>
          <w:szCs w:val="28"/>
          <w:highlight w:val="none"/>
        </w:rPr>
      </w:pPr>
    </w:p>
    <w:p w14:paraId="57255ACA">
      <w:pPr>
        <w:pageBreakBefore w:val="0"/>
        <w:kinsoku/>
        <w:wordWrap/>
        <w:overflowPunct/>
        <w:topLinePunct w:val="0"/>
        <w:bidi w:val="0"/>
        <w:snapToGrid w:val="0"/>
        <w:spacing w:line="400" w:lineRule="exact"/>
        <w:ind w:firstLine="480" w:firstLineChars="200"/>
        <w:textAlignment w:val="auto"/>
        <w:rPr>
          <w:rFonts w:ascii="宋体" w:hAnsi="宋体" w:cs="宋体"/>
          <w:color w:val="auto"/>
          <w:sz w:val="24"/>
          <w:szCs w:val="28"/>
          <w:highlight w:val="none"/>
        </w:rPr>
      </w:pPr>
    </w:p>
    <w:p w14:paraId="7FDED278">
      <w:pPr>
        <w:pageBreakBefore w:val="0"/>
        <w:kinsoku/>
        <w:wordWrap/>
        <w:overflowPunct/>
        <w:topLinePunct w:val="0"/>
        <w:bidi w:val="0"/>
        <w:snapToGrid w:val="0"/>
        <w:spacing w:line="400" w:lineRule="exact"/>
        <w:ind w:firstLine="480" w:firstLineChars="200"/>
        <w:textAlignment w:val="auto"/>
        <w:rPr>
          <w:rFonts w:ascii="宋体" w:hAnsi="宋体" w:cs="宋体"/>
          <w:color w:val="auto"/>
          <w:sz w:val="24"/>
          <w:szCs w:val="28"/>
          <w:highlight w:val="none"/>
        </w:rPr>
      </w:pPr>
    </w:p>
    <w:p w14:paraId="06577D48">
      <w:pPr>
        <w:pStyle w:val="3"/>
        <w:pageBreakBefore w:val="0"/>
        <w:numPr>
          <w:ilvl w:val="1"/>
          <w:numId w:val="0"/>
        </w:numPr>
        <w:kinsoku/>
        <w:wordWrap/>
        <w:overflowPunct/>
        <w:topLinePunct w:val="0"/>
        <w:bidi w:val="0"/>
        <w:adjustRightInd w:val="0"/>
        <w:snapToGrid w:val="0"/>
        <w:spacing w:line="400" w:lineRule="exact"/>
        <w:textAlignment w:val="auto"/>
        <w:rPr>
          <w:rFonts w:ascii="宋体" w:hAnsi="宋体" w:eastAsia="宋体"/>
          <w:b/>
          <w:bCs w:val="0"/>
          <w:color w:val="auto"/>
          <w:sz w:val="24"/>
          <w:highlight w:val="none"/>
        </w:rPr>
      </w:pPr>
      <w:bookmarkStart w:id="289" w:name="_Toc106030907"/>
      <w:bookmarkStart w:id="290" w:name="_Toc23030"/>
      <w:bookmarkStart w:id="291" w:name="_Toc6100"/>
      <w:bookmarkStart w:id="292" w:name="_Toc31020"/>
      <w:bookmarkStart w:id="293" w:name="_Toc342913420"/>
      <w:bookmarkStart w:id="294" w:name="_Toc313888361"/>
      <w:bookmarkStart w:id="295" w:name="_Toc313008357"/>
      <w:bookmarkStart w:id="296" w:name="_Toc21115"/>
      <w:bookmarkStart w:id="297" w:name="_Toc76462351"/>
      <w:bookmarkStart w:id="298" w:name="_Toc10029"/>
      <w:r>
        <w:rPr>
          <w:rFonts w:hint="eastAsia" w:ascii="宋体" w:hAnsi="宋体" w:eastAsia="宋体"/>
          <w:b/>
          <w:bCs w:val="0"/>
          <w:color w:val="auto"/>
          <w:sz w:val="24"/>
          <w:highlight w:val="none"/>
        </w:rPr>
        <w:t>二、服务部分</w:t>
      </w:r>
      <w:bookmarkEnd w:id="289"/>
      <w:bookmarkEnd w:id="290"/>
      <w:bookmarkEnd w:id="291"/>
      <w:bookmarkEnd w:id="292"/>
      <w:bookmarkEnd w:id="293"/>
      <w:bookmarkEnd w:id="294"/>
      <w:bookmarkEnd w:id="295"/>
      <w:bookmarkEnd w:id="296"/>
      <w:bookmarkEnd w:id="297"/>
      <w:bookmarkEnd w:id="298"/>
    </w:p>
    <w:p w14:paraId="0A1DE8E9">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Cs w:val="24"/>
          <w:highlight w:val="none"/>
        </w:rPr>
      </w:pPr>
      <w:r>
        <w:rPr>
          <w:rFonts w:hint="eastAsia" w:ascii="宋体" w:hAnsi="宋体" w:cs="宋体"/>
          <w:color w:val="auto"/>
          <w:sz w:val="24"/>
          <w:szCs w:val="24"/>
          <w:highlight w:val="none"/>
        </w:rPr>
        <w:t>（一）服务响应偏离表</w:t>
      </w:r>
    </w:p>
    <w:p w14:paraId="174CC914">
      <w:pPr>
        <w:pageBreakBefore w:val="0"/>
        <w:kinsoku/>
        <w:wordWrap/>
        <w:overflowPunct/>
        <w:topLinePunct w:val="0"/>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项目号：                                </w:t>
      </w:r>
    </w:p>
    <w:p w14:paraId="6E48D584">
      <w:pPr>
        <w:pageBreakBefore w:val="0"/>
        <w:kinsoku/>
        <w:wordWrap/>
        <w:overflowPunct/>
        <w:topLinePunct w:val="0"/>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磋商项目名称：</w:t>
      </w:r>
    </w:p>
    <w:tbl>
      <w:tblPr>
        <w:tblStyle w:val="29"/>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14:paraId="4233D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vAlign w:val="center"/>
          </w:tcPr>
          <w:p w14:paraId="5FA1CB54">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4"/>
                <w:szCs w:val="24"/>
                <w:highlight w:val="none"/>
              </w:rPr>
            </w:pPr>
            <w:bookmarkStart w:id="299" w:name="_Toc18309"/>
            <w:r>
              <w:rPr>
                <w:rFonts w:hint="eastAsia" w:ascii="宋体" w:hAnsi="宋体" w:cs="宋体"/>
                <w:color w:val="auto"/>
                <w:sz w:val="24"/>
                <w:szCs w:val="24"/>
                <w:highlight w:val="none"/>
              </w:rPr>
              <w:t>序号</w:t>
            </w:r>
            <w:bookmarkEnd w:id="299"/>
          </w:p>
        </w:tc>
        <w:tc>
          <w:tcPr>
            <w:tcW w:w="2967" w:type="dxa"/>
            <w:vAlign w:val="center"/>
          </w:tcPr>
          <w:p w14:paraId="697D16CC">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4"/>
                <w:szCs w:val="24"/>
                <w:highlight w:val="none"/>
              </w:rPr>
            </w:pPr>
            <w:bookmarkStart w:id="300" w:name="_Toc7159"/>
            <w:r>
              <w:rPr>
                <w:rFonts w:hint="eastAsia" w:ascii="宋体" w:hAnsi="宋体" w:cs="宋体"/>
                <w:color w:val="auto"/>
                <w:sz w:val="24"/>
                <w:szCs w:val="24"/>
                <w:highlight w:val="none"/>
              </w:rPr>
              <w:t>采购需求</w:t>
            </w:r>
            <w:bookmarkEnd w:id="300"/>
          </w:p>
        </w:tc>
        <w:tc>
          <w:tcPr>
            <w:tcW w:w="3081" w:type="dxa"/>
            <w:vAlign w:val="center"/>
          </w:tcPr>
          <w:p w14:paraId="5516E5D4">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4"/>
                <w:szCs w:val="24"/>
                <w:highlight w:val="none"/>
              </w:rPr>
            </w:pPr>
            <w:bookmarkStart w:id="301" w:name="_Toc8879"/>
            <w:r>
              <w:rPr>
                <w:rFonts w:hint="eastAsia" w:ascii="宋体" w:hAnsi="宋体" w:cs="宋体"/>
                <w:color w:val="auto"/>
                <w:sz w:val="24"/>
                <w:szCs w:val="24"/>
                <w:highlight w:val="none"/>
              </w:rPr>
              <w:t>响应情况</w:t>
            </w:r>
            <w:bookmarkEnd w:id="301"/>
          </w:p>
        </w:tc>
        <w:tc>
          <w:tcPr>
            <w:tcW w:w="2309" w:type="dxa"/>
            <w:vAlign w:val="center"/>
          </w:tcPr>
          <w:p w14:paraId="7F4F6E9B">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4"/>
                <w:szCs w:val="24"/>
                <w:highlight w:val="none"/>
              </w:rPr>
            </w:pPr>
            <w:bookmarkStart w:id="302" w:name="_Toc12296"/>
            <w:r>
              <w:rPr>
                <w:rFonts w:hint="eastAsia" w:ascii="宋体" w:hAnsi="宋体" w:cs="宋体"/>
                <w:color w:val="auto"/>
                <w:sz w:val="24"/>
                <w:szCs w:val="24"/>
                <w:highlight w:val="none"/>
              </w:rPr>
              <w:t>差异说明</w:t>
            </w:r>
            <w:bookmarkEnd w:id="302"/>
          </w:p>
        </w:tc>
      </w:tr>
      <w:tr w14:paraId="16058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66F3A2CC">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c>
          <w:tcPr>
            <w:tcW w:w="2967" w:type="dxa"/>
            <w:vAlign w:val="center"/>
          </w:tcPr>
          <w:p w14:paraId="472D33F3">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c>
          <w:tcPr>
            <w:tcW w:w="3081" w:type="dxa"/>
            <w:vAlign w:val="center"/>
          </w:tcPr>
          <w:p w14:paraId="7720195A">
            <w:pPr>
              <w:pageBreakBefore w:val="0"/>
              <w:tabs>
                <w:tab w:val="left" w:pos="6300"/>
              </w:tabs>
              <w:kinsoku/>
              <w:wordWrap/>
              <w:overflowPunct/>
              <w:topLinePunct w:val="0"/>
              <w:bidi w:val="0"/>
              <w:snapToGrid w:val="0"/>
              <w:spacing w:line="400" w:lineRule="exact"/>
              <w:textAlignment w:val="auto"/>
              <w:outlineLvl w:val="0"/>
              <w:rPr>
                <w:rFonts w:ascii="宋体" w:hAnsi="宋体" w:cs="宋体"/>
                <w:color w:val="auto"/>
                <w:sz w:val="21"/>
                <w:szCs w:val="21"/>
                <w:highlight w:val="none"/>
              </w:rPr>
            </w:pPr>
          </w:p>
        </w:tc>
        <w:tc>
          <w:tcPr>
            <w:tcW w:w="2309" w:type="dxa"/>
            <w:vAlign w:val="center"/>
          </w:tcPr>
          <w:p w14:paraId="00BA62A0">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r>
      <w:tr w14:paraId="16F28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5B15F79D">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c>
          <w:tcPr>
            <w:tcW w:w="2967" w:type="dxa"/>
            <w:vAlign w:val="center"/>
          </w:tcPr>
          <w:p w14:paraId="2BC10956">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c>
          <w:tcPr>
            <w:tcW w:w="3081" w:type="dxa"/>
            <w:vAlign w:val="center"/>
          </w:tcPr>
          <w:p w14:paraId="3FBF7B3A">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c>
          <w:tcPr>
            <w:tcW w:w="2309" w:type="dxa"/>
            <w:vAlign w:val="center"/>
          </w:tcPr>
          <w:p w14:paraId="17025939">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r>
      <w:tr w14:paraId="5C428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C0E385F">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c>
          <w:tcPr>
            <w:tcW w:w="2967" w:type="dxa"/>
            <w:vAlign w:val="center"/>
          </w:tcPr>
          <w:p w14:paraId="722EB589">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c>
          <w:tcPr>
            <w:tcW w:w="3081" w:type="dxa"/>
            <w:vAlign w:val="center"/>
          </w:tcPr>
          <w:p w14:paraId="71402C74">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c>
          <w:tcPr>
            <w:tcW w:w="2309" w:type="dxa"/>
            <w:vAlign w:val="center"/>
          </w:tcPr>
          <w:p w14:paraId="65EBD168">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r>
      <w:tr w14:paraId="6296A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4FF3E874">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c>
          <w:tcPr>
            <w:tcW w:w="2967" w:type="dxa"/>
            <w:vAlign w:val="center"/>
          </w:tcPr>
          <w:p w14:paraId="06798A7E">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c>
          <w:tcPr>
            <w:tcW w:w="3081" w:type="dxa"/>
            <w:vAlign w:val="center"/>
          </w:tcPr>
          <w:p w14:paraId="064B9A8E">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c>
          <w:tcPr>
            <w:tcW w:w="2309" w:type="dxa"/>
            <w:vAlign w:val="center"/>
          </w:tcPr>
          <w:p w14:paraId="24C42E58">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r>
      <w:tr w14:paraId="4FEE3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7D7C8659">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c>
          <w:tcPr>
            <w:tcW w:w="2967" w:type="dxa"/>
            <w:vAlign w:val="center"/>
          </w:tcPr>
          <w:p w14:paraId="57C70795">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c>
          <w:tcPr>
            <w:tcW w:w="3081" w:type="dxa"/>
            <w:vAlign w:val="center"/>
          </w:tcPr>
          <w:p w14:paraId="1B730E88">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c>
          <w:tcPr>
            <w:tcW w:w="2309" w:type="dxa"/>
            <w:vAlign w:val="center"/>
          </w:tcPr>
          <w:p w14:paraId="2BB5E301">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r>
      <w:tr w14:paraId="32DF0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2EF5579E">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c>
          <w:tcPr>
            <w:tcW w:w="2967" w:type="dxa"/>
            <w:vAlign w:val="center"/>
          </w:tcPr>
          <w:p w14:paraId="20B498C9">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c>
          <w:tcPr>
            <w:tcW w:w="3081" w:type="dxa"/>
            <w:vAlign w:val="center"/>
          </w:tcPr>
          <w:p w14:paraId="67D8E244">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c>
          <w:tcPr>
            <w:tcW w:w="2309" w:type="dxa"/>
            <w:vAlign w:val="center"/>
          </w:tcPr>
          <w:p w14:paraId="6C9D058D">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r>
      <w:tr w14:paraId="6E598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38441C35">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c>
          <w:tcPr>
            <w:tcW w:w="2967" w:type="dxa"/>
            <w:vAlign w:val="center"/>
          </w:tcPr>
          <w:p w14:paraId="2045F574">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c>
          <w:tcPr>
            <w:tcW w:w="3081" w:type="dxa"/>
            <w:vAlign w:val="center"/>
          </w:tcPr>
          <w:p w14:paraId="5C04258C">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c>
          <w:tcPr>
            <w:tcW w:w="2309" w:type="dxa"/>
            <w:vAlign w:val="center"/>
          </w:tcPr>
          <w:p w14:paraId="18566317">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r>
      <w:tr w14:paraId="527BF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304AA97A">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c>
          <w:tcPr>
            <w:tcW w:w="2967" w:type="dxa"/>
            <w:vAlign w:val="center"/>
          </w:tcPr>
          <w:p w14:paraId="6AF8B2A3">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c>
          <w:tcPr>
            <w:tcW w:w="3081" w:type="dxa"/>
            <w:vAlign w:val="center"/>
          </w:tcPr>
          <w:p w14:paraId="07B68B72">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c>
          <w:tcPr>
            <w:tcW w:w="2309" w:type="dxa"/>
            <w:vAlign w:val="center"/>
          </w:tcPr>
          <w:p w14:paraId="6F3B493B">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r>
      <w:tr w14:paraId="42282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7ECA018">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c>
          <w:tcPr>
            <w:tcW w:w="2967" w:type="dxa"/>
            <w:vAlign w:val="center"/>
          </w:tcPr>
          <w:p w14:paraId="414385EA">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c>
          <w:tcPr>
            <w:tcW w:w="3081" w:type="dxa"/>
            <w:vAlign w:val="center"/>
          </w:tcPr>
          <w:p w14:paraId="5B916579">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c>
          <w:tcPr>
            <w:tcW w:w="2309" w:type="dxa"/>
            <w:vAlign w:val="center"/>
          </w:tcPr>
          <w:p w14:paraId="716B78AA">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r>
      <w:tr w14:paraId="17B71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645236E6">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c>
          <w:tcPr>
            <w:tcW w:w="2967" w:type="dxa"/>
            <w:vAlign w:val="center"/>
          </w:tcPr>
          <w:p w14:paraId="2DA8656D">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c>
          <w:tcPr>
            <w:tcW w:w="3081" w:type="dxa"/>
            <w:vAlign w:val="center"/>
          </w:tcPr>
          <w:p w14:paraId="477ACB2F">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c>
          <w:tcPr>
            <w:tcW w:w="2309" w:type="dxa"/>
            <w:vAlign w:val="center"/>
          </w:tcPr>
          <w:p w14:paraId="0DF325FA">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1"/>
                <w:szCs w:val="21"/>
                <w:highlight w:val="none"/>
              </w:rPr>
            </w:pPr>
          </w:p>
        </w:tc>
      </w:tr>
    </w:tbl>
    <w:p w14:paraId="25FB757B">
      <w:pPr>
        <w:pageBreakBefore w:val="0"/>
        <w:kinsoku/>
        <w:wordWrap/>
        <w:overflowPunct/>
        <w:topLinePunct w:val="0"/>
        <w:bidi w:val="0"/>
        <w:spacing w:line="400" w:lineRule="exact"/>
        <w:ind w:firstLine="600" w:firstLineChars="250"/>
        <w:textAlignment w:val="auto"/>
        <w:rPr>
          <w:rFonts w:ascii="宋体" w:hAnsi="宋体" w:cs="宋体"/>
          <w:color w:val="auto"/>
          <w:sz w:val="24"/>
          <w:szCs w:val="28"/>
          <w:highlight w:val="none"/>
        </w:rPr>
      </w:pPr>
      <w:r>
        <w:rPr>
          <w:rFonts w:hint="eastAsia" w:ascii="宋体" w:hAnsi="宋体" w:cs="宋体"/>
          <w:color w:val="auto"/>
          <w:sz w:val="24"/>
          <w:szCs w:val="28"/>
          <w:highlight w:val="none"/>
        </w:rPr>
        <w:t xml:space="preserve">供应商：                            </w:t>
      </w:r>
      <w:r>
        <w:rPr>
          <w:rFonts w:hint="eastAsia" w:ascii="宋体" w:hAnsi="宋体" w:cs="宋体"/>
          <w:color w:val="auto"/>
          <w:sz w:val="24"/>
          <w:szCs w:val="24"/>
          <w:highlight w:val="none"/>
        </w:rPr>
        <w:t>法定代表人（或其授权代表）或自然人：</w:t>
      </w:r>
    </w:p>
    <w:p w14:paraId="521CA876">
      <w:pPr>
        <w:pageBreakBefore w:val="0"/>
        <w:kinsoku/>
        <w:wordWrap/>
        <w:overflowPunct/>
        <w:topLinePunct w:val="0"/>
        <w:bidi w:val="0"/>
        <w:spacing w:line="400" w:lineRule="exact"/>
        <w:textAlignment w:val="auto"/>
        <w:rPr>
          <w:rFonts w:ascii="宋体" w:hAnsi="宋体" w:cs="宋体"/>
          <w:color w:val="auto"/>
          <w:sz w:val="24"/>
          <w:szCs w:val="28"/>
          <w:highlight w:val="none"/>
        </w:rPr>
      </w:pPr>
    </w:p>
    <w:p w14:paraId="4A709717">
      <w:pPr>
        <w:pageBreakBefore w:val="0"/>
        <w:kinsoku/>
        <w:wordWrap/>
        <w:overflowPunct/>
        <w:topLinePunct w:val="0"/>
        <w:bidi w:val="0"/>
        <w:spacing w:line="400" w:lineRule="exact"/>
        <w:ind w:firstLine="720" w:firstLineChars="300"/>
        <w:textAlignment w:val="auto"/>
        <w:rPr>
          <w:rFonts w:ascii="宋体" w:hAnsi="宋体" w:cs="宋体"/>
          <w:color w:val="auto"/>
          <w:sz w:val="24"/>
          <w:szCs w:val="28"/>
          <w:highlight w:val="none"/>
        </w:rPr>
      </w:pPr>
      <w:r>
        <w:rPr>
          <w:rFonts w:hint="eastAsia" w:ascii="宋体" w:hAnsi="宋体" w:cs="宋体"/>
          <w:color w:val="auto"/>
          <w:sz w:val="24"/>
          <w:szCs w:val="28"/>
          <w:highlight w:val="none"/>
        </w:rPr>
        <w:t>（供应商公章）                               （签署或盖章）</w:t>
      </w:r>
    </w:p>
    <w:p w14:paraId="765F9992">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highlight w:val="none"/>
        </w:rPr>
      </w:pPr>
      <w:r>
        <w:rPr>
          <w:rFonts w:hint="eastAsia" w:ascii="宋体" w:hAnsi="宋体" w:cs="宋体"/>
          <w:color w:val="auto"/>
          <w:sz w:val="24"/>
          <w:szCs w:val="28"/>
          <w:highlight w:val="none"/>
        </w:rPr>
        <w:t xml:space="preserve">                                              年     月     日</w:t>
      </w:r>
    </w:p>
    <w:p w14:paraId="2AFED1DE">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注：</w:t>
      </w:r>
    </w:p>
    <w:p w14:paraId="3B8B2A80">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szCs w:val="24"/>
          <w:highlight w:val="none"/>
        </w:rPr>
        <w:t>1</w:t>
      </w:r>
      <w:r>
        <w:rPr>
          <w:rFonts w:hint="eastAsia" w:ascii="宋体" w:hAnsi="宋体" w:cs="宋体"/>
          <w:color w:val="auto"/>
          <w:sz w:val="24"/>
          <w:highlight w:val="none"/>
        </w:rPr>
        <w:t>.</w:t>
      </w:r>
      <w:r>
        <w:rPr>
          <w:rFonts w:hint="eastAsia" w:ascii="宋体" w:hAnsi="宋体" w:cs="宋体"/>
          <w:color w:val="auto"/>
          <w:sz w:val="24"/>
          <w:szCs w:val="24"/>
          <w:highlight w:val="none"/>
        </w:rPr>
        <w:t>本表即为对本项目“第二篇  项目服务需求”中所列条款进行比较和响应；</w:t>
      </w:r>
    </w:p>
    <w:p w14:paraId="36C4291C">
      <w:pPr>
        <w:pageBreakBefore w:val="0"/>
        <w:kinsoku/>
        <w:wordWrap/>
        <w:overflowPunct/>
        <w:topLinePunct w:val="0"/>
        <w:bidi w:val="0"/>
        <w:snapToGrid w:val="0"/>
        <w:spacing w:line="40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2.本表可扩展。</w:t>
      </w:r>
    </w:p>
    <w:p w14:paraId="1493CD1A">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 w:val="24"/>
          <w:szCs w:val="24"/>
          <w:highlight w:val="none"/>
        </w:rPr>
      </w:pPr>
    </w:p>
    <w:p w14:paraId="3BE25BE1">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 w:val="24"/>
          <w:szCs w:val="24"/>
          <w:highlight w:val="none"/>
        </w:rPr>
      </w:pPr>
    </w:p>
    <w:p w14:paraId="4DAFB33B">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 w:val="24"/>
          <w:szCs w:val="24"/>
          <w:highlight w:val="none"/>
        </w:rPr>
      </w:pPr>
    </w:p>
    <w:p w14:paraId="48ED2AB4">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 w:val="24"/>
          <w:szCs w:val="24"/>
          <w:highlight w:val="none"/>
        </w:rPr>
      </w:pPr>
    </w:p>
    <w:p w14:paraId="11425C00">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 w:val="24"/>
          <w:szCs w:val="24"/>
          <w:highlight w:val="none"/>
        </w:rPr>
      </w:pPr>
    </w:p>
    <w:p w14:paraId="2BAAD73D">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 w:val="24"/>
          <w:szCs w:val="24"/>
          <w:highlight w:val="none"/>
        </w:rPr>
      </w:pPr>
    </w:p>
    <w:p w14:paraId="63475EE3">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 w:val="24"/>
          <w:szCs w:val="24"/>
          <w:highlight w:val="none"/>
        </w:rPr>
      </w:pPr>
    </w:p>
    <w:p w14:paraId="32F76A01">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 w:val="24"/>
          <w:szCs w:val="24"/>
          <w:highlight w:val="none"/>
        </w:rPr>
      </w:pPr>
    </w:p>
    <w:p w14:paraId="6805589A">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Cs w:val="24"/>
          <w:highlight w:val="none"/>
        </w:rPr>
      </w:pPr>
      <w:r>
        <w:rPr>
          <w:rFonts w:hint="eastAsia" w:ascii="宋体" w:hAnsi="宋体" w:cs="宋体"/>
          <w:color w:val="auto"/>
          <w:sz w:val="24"/>
          <w:szCs w:val="24"/>
          <w:highlight w:val="none"/>
        </w:rPr>
        <w:t>（二）其他资料（格式自定）</w:t>
      </w:r>
    </w:p>
    <w:p w14:paraId="542469F4">
      <w:pPr>
        <w:pStyle w:val="3"/>
        <w:pageBreakBefore w:val="0"/>
        <w:numPr>
          <w:ilvl w:val="1"/>
          <w:numId w:val="0"/>
        </w:numPr>
        <w:kinsoku/>
        <w:wordWrap/>
        <w:overflowPunct/>
        <w:topLinePunct w:val="0"/>
        <w:bidi w:val="0"/>
        <w:adjustRightInd w:val="0"/>
        <w:snapToGrid w:val="0"/>
        <w:spacing w:line="400" w:lineRule="exact"/>
        <w:ind w:left="560" w:leftChars="200"/>
        <w:textAlignment w:val="auto"/>
        <w:rPr>
          <w:rFonts w:ascii="宋体" w:hAnsi="宋体" w:eastAsia="宋体"/>
          <w:color w:val="auto"/>
          <w:sz w:val="24"/>
          <w:highlight w:val="none"/>
        </w:rPr>
      </w:pPr>
      <w:r>
        <w:rPr>
          <w:rFonts w:hint="eastAsia" w:ascii="宋体" w:hAnsi="宋体" w:eastAsia="宋体"/>
          <w:color w:val="auto"/>
          <w:highlight w:val="none"/>
        </w:rPr>
        <w:br w:type="page"/>
      </w:r>
      <w:bookmarkStart w:id="303" w:name="_Toc106030908"/>
      <w:bookmarkStart w:id="304" w:name="_Toc313888362"/>
      <w:bookmarkStart w:id="305" w:name="_Toc32555"/>
      <w:bookmarkStart w:id="306" w:name="_Toc76462352"/>
      <w:bookmarkStart w:id="307" w:name="_Toc27486"/>
      <w:bookmarkStart w:id="308" w:name="_Toc342913421"/>
      <w:bookmarkStart w:id="309" w:name="_Toc30485"/>
      <w:bookmarkStart w:id="310" w:name="_Toc13584"/>
      <w:bookmarkStart w:id="311" w:name="_Toc313008358"/>
      <w:bookmarkStart w:id="312" w:name="_Toc20851"/>
      <w:r>
        <w:rPr>
          <w:rFonts w:hint="eastAsia" w:ascii="宋体" w:hAnsi="宋体" w:eastAsia="宋体"/>
          <w:b/>
          <w:bCs w:val="0"/>
          <w:color w:val="auto"/>
          <w:sz w:val="24"/>
          <w:highlight w:val="none"/>
        </w:rPr>
        <w:t>三、商务部分</w:t>
      </w:r>
      <w:bookmarkEnd w:id="303"/>
      <w:bookmarkEnd w:id="304"/>
      <w:bookmarkEnd w:id="305"/>
      <w:bookmarkEnd w:id="306"/>
      <w:bookmarkEnd w:id="307"/>
      <w:bookmarkEnd w:id="308"/>
      <w:bookmarkEnd w:id="309"/>
      <w:bookmarkEnd w:id="310"/>
      <w:bookmarkEnd w:id="311"/>
      <w:bookmarkEnd w:id="312"/>
    </w:p>
    <w:p w14:paraId="3F121AB4">
      <w:pPr>
        <w:pageBreakBefore w:val="0"/>
        <w:kinsoku/>
        <w:wordWrap/>
        <w:overflowPunct/>
        <w:topLinePunct w:val="0"/>
        <w:bidi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（一）商务响应偏离表</w:t>
      </w:r>
    </w:p>
    <w:p w14:paraId="5C6BA9AC">
      <w:pPr>
        <w:pageBreakBefore w:val="0"/>
        <w:kinsoku/>
        <w:wordWrap/>
        <w:overflowPunct/>
        <w:topLinePunct w:val="0"/>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项目号：                                </w:t>
      </w:r>
    </w:p>
    <w:p w14:paraId="794BA4BE">
      <w:pPr>
        <w:pageBreakBefore w:val="0"/>
        <w:kinsoku/>
        <w:wordWrap/>
        <w:overflowPunct/>
        <w:topLinePunct w:val="0"/>
        <w:bidi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磋商项目名称： </w:t>
      </w:r>
    </w:p>
    <w:tbl>
      <w:tblPr>
        <w:tblStyle w:val="29"/>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6281E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6097DC5C">
            <w:pPr>
              <w:pageBreakBefore w:val="0"/>
              <w:kinsoku/>
              <w:wordWrap/>
              <w:overflowPunct/>
              <w:topLinePunct w:val="0"/>
              <w:bidi w:val="0"/>
              <w:snapToGrid w:val="0"/>
              <w:spacing w:line="400" w:lineRule="exact"/>
              <w:ind w:firstLine="465"/>
              <w:textAlignment w:val="auto"/>
              <w:rPr>
                <w:rFonts w:ascii="宋体" w:hAnsi="宋体" w:cs="宋体"/>
                <w:color w:val="auto"/>
                <w:sz w:val="22"/>
                <w:szCs w:val="28"/>
                <w:highlight w:val="none"/>
              </w:rPr>
            </w:pPr>
            <w:r>
              <w:rPr>
                <w:rFonts w:hint="eastAsia" w:ascii="宋体" w:hAnsi="宋体" w:cs="宋体"/>
                <w:color w:val="auto"/>
                <w:sz w:val="22"/>
                <w:szCs w:val="28"/>
                <w:highlight w:val="none"/>
              </w:rPr>
              <w:t>序号</w:t>
            </w:r>
          </w:p>
        </w:tc>
        <w:tc>
          <w:tcPr>
            <w:tcW w:w="3179" w:type="dxa"/>
            <w:vAlign w:val="center"/>
          </w:tcPr>
          <w:p w14:paraId="3B78A7B7">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2"/>
                <w:szCs w:val="28"/>
                <w:highlight w:val="none"/>
              </w:rPr>
            </w:pPr>
            <w:bookmarkStart w:id="313" w:name="_Toc5023"/>
            <w:r>
              <w:rPr>
                <w:rFonts w:hint="eastAsia" w:ascii="宋体" w:hAnsi="宋体" w:cs="宋体"/>
                <w:color w:val="auto"/>
                <w:sz w:val="22"/>
                <w:szCs w:val="28"/>
                <w:highlight w:val="none"/>
              </w:rPr>
              <w:t>磋商项目商务需求</w:t>
            </w:r>
            <w:bookmarkEnd w:id="313"/>
          </w:p>
        </w:tc>
        <w:tc>
          <w:tcPr>
            <w:tcW w:w="2434" w:type="dxa"/>
            <w:vAlign w:val="center"/>
          </w:tcPr>
          <w:p w14:paraId="4D3EEEAC">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2"/>
                <w:szCs w:val="28"/>
                <w:highlight w:val="none"/>
              </w:rPr>
            </w:pPr>
            <w:bookmarkStart w:id="314" w:name="_Toc17107"/>
            <w:r>
              <w:rPr>
                <w:rFonts w:hint="eastAsia" w:ascii="宋体" w:hAnsi="宋体" w:cs="宋体"/>
                <w:color w:val="auto"/>
                <w:sz w:val="22"/>
                <w:szCs w:val="28"/>
                <w:highlight w:val="none"/>
              </w:rPr>
              <w:t>响应情况</w:t>
            </w:r>
            <w:bookmarkEnd w:id="314"/>
          </w:p>
        </w:tc>
        <w:tc>
          <w:tcPr>
            <w:tcW w:w="2355" w:type="dxa"/>
            <w:vAlign w:val="center"/>
          </w:tcPr>
          <w:p w14:paraId="7CA34993">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2"/>
                <w:szCs w:val="28"/>
                <w:highlight w:val="none"/>
              </w:rPr>
            </w:pPr>
            <w:bookmarkStart w:id="315" w:name="_Toc20857"/>
            <w:r>
              <w:rPr>
                <w:rFonts w:hint="eastAsia" w:ascii="宋体" w:hAnsi="宋体" w:cs="宋体"/>
                <w:color w:val="auto"/>
                <w:sz w:val="22"/>
                <w:szCs w:val="28"/>
                <w:highlight w:val="none"/>
              </w:rPr>
              <w:t>差异说明</w:t>
            </w:r>
            <w:bookmarkEnd w:id="315"/>
          </w:p>
        </w:tc>
      </w:tr>
      <w:tr w14:paraId="6D192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A13F2AA">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2"/>
                <w:szCs w:val="28"/>
                <w:highlight w:val="none"/>
              </w:rPr>
            </w:pPr>
          </w:p>
        </w:tc>
        <w:tc>
          <w:tcPr>
            <w:tcW w:w="3179" w:type="dxa"/>
            <w:vAlign w:val="center"/>
          </w:tcPr>
          <w:p w14:paraId="6BBC56D7">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2"/>
                <w:szCs w:val="28"/>
                <w:highlight w:val="none"/>
              </w:rPr>
            </w:pPr>
          </w:p>
        </w:tc>
        <w:tc>
          <w:tcPr>
            <w:tcW w:w="2434" w:type="dxa"/>
            <w:vAlign w:val="center"/>
          </w:tcPr>
          <w:p w14:paraId="60B720DA">
            <w:pPr>
              <w:pageBreakBefore w:val="0"/>
              <w:tabs>
                <w:tab w:val="left" w:pos="6300"/>
              </w:tabs>
              <w:kinsoku/>
              <w:wordWrap/>
              <w:overflowPunct/>
              <w:topLinePunct w:val="0"/>
              <w:bidi w:val="0"/>
              <w:snapToGrid w:val="0"/>
              <w:spacing w:line="400" w:lineRule="exact"/>
              <w:textAlignment w:val="auto"/>
              <w:outlineLvl w:val="0"/>
              <w:rPr>
                <w:rFonts w:ascii="宋体" w:hAnsi="宋体" w:cs="宋体"/>
                <w:color w:val="auto"/>
                <w:sz w:val="22"/>
                <w:szCs w:val="28"/>
                <w:highlight w:val="none"/>
              </w:rPr>
            </w:pPr>
          </w:p>
        </w:tc>
        <w:tc>
          <w:tcPr>
            <w:tcW w:w="2355" w:type="dxa"/>
            <w:vAlign w:val="center"/>
          </w:tcPr>
          <w:p w14:paraId="7A34E547">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2"/>
                <w:szCs w:val="28"/>
                <w:highlight w:val="none"/>
              </w:rPr>
            </w:pPr>
          </w:p>
        </w:tc>
      </w:tr>
      <w:tr w14:paraId="18722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2E77466">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2"/>
                <w:szCs w:val="28"/>
                <w:highlight w:val="none"/>
              </w:rPr>
            </w:pPr>
          </w:p>
        </w:tc>
        <w:tc>
          <w:tcPr>
            <w:tcW w:w="3179" w:type="dxa"/>
            <w:vAlign w:val="center"/>
          </w:tcPr>
          <w:p w14:paraId="2A7DFB6A">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2"/>
                <w:szCs w:val="28"/>
                <w:highlight w:val="none"/>
              </w:rPr>
            </w:pPr>
          </w:p>
        </w:tc>
        <w:tc>
          <w:tcPr>
            <w:tcW w:w="2434" w:type="dxa"/>
            <w:vAlign w:val="center"/>
          </w:tcPr>
          <w:p w14:paraId="3010C51A">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2"/>
                <w:szCs w:val="28"/>
                <w:highlight w:val="none"/>
              </w:rPr>
            </w:pPr>
          </w:p>
        </w:tc>
        <w:tc>
          <w:tcPr>
            <w:tcW w:w="2355" w:type="dxa"/>
            <w:vAlign w:val="center"/>
          </w:tcPr>
          <w:p w14:paraId="512366BE">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2"/>
                <w:szCs w:val="28"/>
                <w:highlight w:val="none"/>
              </w:rPr>
            </w:pPr>
          </w:p>
        </w:tc>
      </w:tr>
      <w:tr w14:paraId="12093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08B0FA3">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2"/>
                <w:szCs w:val="28"/>
                <w:highlight w:val="none"/>
              </w:rPr>
            </w:pPr>
          </w:p>
        </w:tc>
        <w:tc>
          <w:tcPr>
            <w:tcW w:w="3179" w:type="dxa"/>
            <w:vAlign w:val="center"/>
          </w:tcPr>
          <w:p w14:paraId="5F055761">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2"/>
                <w:szCs w:val="28"/>
                <w:highlight w:val="none"/>
              </w:rPr>
            </w:pPr>
          </w:p>
        </w:tc>
        <w:tc>
          <w:tcPr>
            <w:tcW w:w="2434" w:type="dxa"/>
            <w:vAlign w:val="center"/>
          </w:tcPr>
          <w:p w14:paraId="149DBC16">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2"/>
                <w:szCs w:val="28"/>
                <w:highlight w:val="none"/>
              </w:rPr>
            </w:pPr>
          </w:p>
        </w:tc>
        <w:tc>
          <w:tcPr>
            <w:tcW w:w="2355" w:type="dxa"/>
            <w:vAlign w:val="center"/>
          </w:tcPr>
          <w:p w14:paraId="34323288">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2"/>
                <w:szCs w:val="28"/>
                <w:highlight w:val="none"/>
              </w:rPr>
            </w:pPr>
          </w:p>
        </w:tc>
      </w:tr>
      <w:tr w14:paraId="52838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C184FCE">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2"/>
                <w:szCs w:val="28"/>
                <w:highlight w:val="none"/>
              </w:rPr>
            </w:pPr>
          </w:p>
        </w:tc>
        <w:tc>
          <w:tcPr>
            <w:tcW w:w="3179" w:type="dxa"/>
            <w:vAlign w:val="center"/>
          </w:tcPr>
          <w:p w14:paraId="0B35201C">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2"/>
                <w:szCs w:val="28"/>
                <w:highlight w:val="none"/>
              </w:rPr>
            </w:pPr>
          </w:p>
        </w:tc>
        <w:tc>
          <w:tcPr>
            <w:tcW w:w="2434" w:type="dxa"/>
            <w:vAlign w:val="center"/>
          </w:tcPr>
          <w:p w14:paraId="42EF428C">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2"/>
                <w:szCs w:val="28"/>
                <w:highlight w:val="none"/>
              </w:rPr>
            </w:pPr>
          </w:p>
        </w:tc>
        <w:tc>
          <w:tcPr>
            <w:tcW w:w="2355" w:type="dxa"/>
            <w:vAlign w:val="center"/>
          </w:tcPr>
          <w:p w14:paraId="1CDC3454">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2"/>
                <w:szCs w:val="28"/>
                <w:highlight w:val="none"/>
              </w:rPr>
            </w:pPr>
          </w:p>
        </w:tc>
      </w:tr>
      <w:tr w14:paraId="4E1F4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DFAA277">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2"/>
                <w:szCs w:val="28"/>
                <w:highlight w:val="none"/>
              </w:rPr>
            </w:pPr>
          </w:p>
        </w:tc>
        <w:tc>
          <w:tcPr>
            <w:tcW w:w="3179" w:type="dxa"/>
            <w:vAlign w:val="center"/>
          </w:tcPr>
          <w:p w14:paraId="415D935A">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2"/>
                <w:szCs w:val="28"/>
                <w:highlight w:val="none"/>
              </w:rPr>
            </w:pPr>
          </w:p>
        </w:tc>
        <w:tc>
          <w:tcPr>
            <w:tcW w:w="2434" w:type="dxa"/>
            <w:vAlign w:val="center"/>
          </w:tcPr>
          <w:p w14:paraId="19C35C68">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2"/>
                <w:szCs w:val="28"/>
                <w:highlight w:val="none"/>
              </w:rPr>
            </w:pPr>
          </w:p>
        </w:tc>
        <w:tc>
          <w:tcPr>
            <w:tcW w:w="2355" w:type="dxa"/>
            <w:vAlign w:val="center"/>
          </w:tcPr>
          <w:p w14:paraId="6F581A74">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2"/>
                <w:szCs w:val="28"/>
                <w:highlight w:val="none"/>
              </w:rPr>
            </w:pPr>
          </w:p>
        </w:tc>
      </w:tr>
      <w:tr w14:paraId="11BFC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E97FFE0">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2"/>
                <w:szCs w:val="28"/>
                <w:highlight w:val="none"/>
              </w:rPr>
            </w:pPr>
          </w:p>
        </w:tc>
        <w:tc>
          <w:tcPr>
            <w:tcW w:w="3179" w:type="dxa"/>
            <w:vAlign w:val="center"/>
          </w:tcPr>
          <w:p w14:paraId="2B4AFEF2">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2"/>
                <w:szCs w:val="28"/>
                <w:highlight w:val="none"/>
              </w:rPr>
            </w:pPr>
          </w:p>
        </w:tc>
        <w:tc>
          <w:tcPr>
            <w:tcW w:w="2434" w:type="dxa"/>
            <w:vAlign w:val="center"/>
          </w:tcPr>
          <w:p w14:paraId="607D5E59">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2"/>
                <w:szCs w:val="28"/>
                <w:highlight w:val="none"/>
              </w:rPr>
            </w:pPr>
          </w:p>
        </w:tc>
        <w:tc>
          <w:tcPr>
            <w:tcW w:w="2355" w:type="dxa"/>
            <w:vAlign w:val="center"/>
          </w:tcPr>
          <w:p w14:paraId="5851C386">
            <w:pPr>
              <w:pageBreakBefore w:val="0"/>
              <w:tabs>
                <w:tab w:val="left" w:pos="6300"/>
              </w:tabs>
              <w:kinsoku/>
              <w:wordWrap/>
              <w:overflowPunct/>
              <w:topLinePunct w:val="0"/>
              <w:bidi w:val="0"/>
              <w:snapToGrid w:val="0"/>
              <w:spacing w:line="400" w:lineRule="exact"/>
              <w:jc w:val="center"/>
              <w:textAlignment w:val="auto"/>
              <w:outlineLvl w:val="0"/>
              <w:rPr>
                <w:rFonts w:ascii="宋体" w:hAnsi="宋体" w:cs="宋体"/>
                <w:color w:val="auto"/>
                <w:sz w:val="22"/>
                <w:szCs w:val="28"/>
                <w:highlight w:val="none"/>
              </w:rPr>
            </w:pPr>
          </w:p>
        </w:tc>
      </w:tr>
    </w:tbl>
    <w:p w14:paraId="202EE851">
      <w:pPr>
        <w:pageBreakBefore w:val="0"/>
        <w:kinsoku/>
        <w:wordWrap/>
        <w:overflowPunct/>
        <w:topLinePunct w:val="0"/>
        <w:bidi w:val="0"/>
        <w:snapToGrid w:val="0"/>
        <w:spacing w:line="400" w:lineRule="exact"/>
        <w:ind w:firstLine="465"/>
        <w:textAlignment w:val="auto"/>
        <w:rPr>
          <w:rFonts w:ascii="宋体" w:hAnsi="宋体" w:cs="宋体"/>
          <w:color w:val="auto"/>
          <w:sz w:val="24"/>
          <w:szCs w:val="24"/>
          <w:highlight w:val="none"/>
        </w:rPr>
      </w:pPr>
    </w:p>
    <w:p w14:paraId="607A4F6E">
      <w:pPr>
        <w:pageBreakBefore w:val="0"/>
        <w:kinsoku/>
        <w:wordWrap/>
        <w:overflowPunct/>
        <w:topLinePunct w:val="0"/>
        <w:bidi w:val="0"/>
        <w:spacing w:line="400" w:lineRule="exact"/>
        <w:ind w:firstLine="600" w:firstLineChars="250"/>
        <w:textAlignment w:val="auto"/>
        <w:rPr>
          <w:rFonts w:ascii="宋体" w:hAnsi="宋体" w:cs="宋体"/>
          <w:color w:val="auto"/>
          <w:sz w:val="24"/>
          <w:szCs w:val="28"/>
          <w:highlight w:val="none"/>
        </w:rPr>
      </w:pPr>
      <w:r>
        <w:rPr>
          <w:rFonts w:hint="eastAsia" w:ascii="宋体" w:hAnsi="宋体" w:cs="宋体"/>
          <w:color w:val="auto"/>
          <w:sz w:val="24"/>
          <w:szCs w:val="28"/>
          <w:highlight w:val="none"/>
        </w:rPr>
        <w:t xml:space="preserve">供应商：                          </w:t>
      </w:r>
      <w:r>
        <w:rPr>
          <w:rFonts w:hint="eastAsia" w:ascii="宋体" w:hAnsi="宋体" w:cs="宋体"/>
          <w:color w:val="auto"/>
          <w:sz w:val="24"/>
          <w:szCs w:val="24"/>
          <w:highlight w:val="none"/>
        </w:rPr>
        <w:t>法定代表人（或其授权代表）或自然人：</w:t>
      </w:r>
    </w:p>
    <w:p w14:paraId="64570730">
      <w:pPr>
        <w:pageBreakBefore w:val="0"/>
        <w:kinsoku/>
        <w:wordWrap/>
        <w:overflowPunct/>
        <w:topLinePunct w:val="0"/>
        <w:bidi w:val="0"/>
        <w:spacing w:line="400" w:lineRule="exact"/>
        <w:textAlignment w:val="auto"/>
        <w:rPr>
          <w:rFonts w:ascii="宋体" w:hAnsi="宋体" w:cs="宋体"/>
          <w:color w:val="auto"/>
          <w:sz w:val="24"/>
          <w:szCs w:val="28"/>
          <w:highlight w:val="none"/>
        </w:rPr>
      </w:pPr>
    </w:p>
    <w:p w14:paraId="56D7BA82">
      <w:pPr>
        <w:pageBreakBefore w:val="0"/>
        <w:kinsoku/>
        <w:wordWrap/>
        <w:overflowPunct/>
        <w:topLinePunct w:val="0"/>
        <w:bidi w:val="0"/>
        <w:spacing w:line="400" w:lineRule="exact"/>
        <w:ind w:firstLine="360" w:firstLineChars="150"/>
        <w:textAlignment w:val="auto"/>
        <w:rPr>
          <w:rFonts w:ascii="宋体" w:hAnsi="宋体" w:cs="宋体"/>
          <w:color w:val="auto"/>
          <w:sz w:val="24"/>
          <w:szCs w:val="28"/>
          <w:highlight w:val="none"/>
        </w:rPr>
      </w:pPr>
      <w:r>
        <w:rPr>
          <w:rFonts w:hint="eastAsia" w:ascii="宋体" w:hAnsi="宋体" w:cs="宋体"/>
          <w:color w:val="auto"/>
          <w:sz w:val="24"/>
          <w:szCs w:val="28"/>
          <w:highlight w:val="none"/>
        </w:rPr>
        <w:t>（供应商公章）                                 （签署或盖章）</w:t>
      </w:r>
    </w:p>
    <w:p w14:paraId="47C5B775">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highlight w:val="none"/>
        </w:rPr>
      </w:pPr>
      <w:r>
        <w:rPr>
          <w:rFonts w:hint="eastAsia" w:ascii="宋体" w:hAnsi="宋体" w:cs="宋体"/>
          <w:color w:val="auto"/>
          <w:sz w:val="24"/>
          <w:szCs w:val="28"/>
          <w:highlight w:val="none"/>
        </w:rPr>
        <w:t xml:space="preserve">                                            年     月     日</w:t>
      </w:r>
    </w:p>
    <w:p w14:paraId="5EC0D20C">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注：</w:t>
      </w:r>
    </w:p>
    <w:p w14:paraId="418DAA73">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szCs w:val="24"/>
          <w:highlight w:val="none"/>
        </w:rPr>
        <w:t>1</w:t>
      </w:r>
      <w:r>
        <w:rPr>
          <w:rFonts w:hint="eastAsia" w:ascii="宋体" w:hAnsi="宋体" w:cs="宋体"/>
          <w:color w:val="auto"/>
          <w:sz w:val="24"/>
          <w:highlight w:val="none"/>
        </w:rPr>
        <w:t>.</w:t>
      </w:r>
      <w:r>
        <w:rPr>
          <w:rFonts w:hint="eastAsia" w:ascii="宋体" w:hAnsi="宋体" w:cs="宋体"/>
          <w:color w:val="auto"/>
          <w:sz w:val="24"/>
          <w:szCs w:val="24"/>
          <w:highlight w:val="none"/>
        </w:rPr>
        <w:t>本表即为对本项目“第三篇  项目商务需求”中所列条款进行比较和响应；</w:t>
      </w:r>
    </w:p>
    <w:p w14:paraId="3CDADDD9">
      <w:pPr>
        <w:pageBreakBefore w:val="0"/>
        <w:kinsoku/>
        <w:wordWrap/>
        <w:overflowPunct/>
        <w:topLinePunct w:val="0"/>
        <w:bidi w:val="0"/>
        <w:snapToGrid w:val="0"/>
        <w:spacing w:line="400" w:lineRule="exact"/>
        <w:ind w:firstLine="480" w:firstLineChars="200"/>
        <w:textAlignment w:val="auto"/>
        <w:rPr>
          <w:rFonts w:ascii="宋体" w:hAnsi="宋体" w:cs="宋体"/>
          <w:b/>
          <w:color w:val="auto"/>
          <w:highlight w:val="none"/>
        </w:rPr>
        <w:sectPr>
          <w:headerReference r:id="rId10" w:type="default"/>
          <w:pgSz w:w="11907" w:h="16840"/>
          <w:pgMar w:top="1134" w:right="1191" w:bottom="1134" w:left="1304" w:header="680" w:footer="992" w:gutter="0"/>
          <w:pgNumType w:fmt="numberInDash"/>
          <w:cols w:space="0" w:num="1"/>
          <w:docGrid w:linePitch="380" w:charSpace="0"/>
        </w:sectPr>
      </w:pPr>
      <w:r>
        <w:rPr>
          <w:rFonts w:hint="eastAsia" w:ascii="宋体" w:hAnsi="宋体" w:cs="宋体"/>
          <w:color w:val="auto"/>
          <w:sz w:val="24"/>
          <w:highlight w:val="none"/>
        </w:rPr>
        <w:t>2.本表可扩展。</w:t>
      </w:r>
    </w:p>
    <w:p w14:paraId="47DCBEFC">
      <w:pPr>
        <w:pageBreakBefore w:val="0"/>
        <w:kinsoku/>
        <w:wordWrap/>
        <w:overflowPunct/>
        <w:topLinePunct w:val="0"/>
        <w:bidi w:val="0"/>
        <w:snapToGrid w:val="0"/>
        <w:spacing w:line="400" w:lineRule="exact"/>
        <w:ind w:firstLine="480" w:firstLineChars="200"/>
        <w:textAlignment w:val="auto"/>
        <w:rPr>
          <w:rFonts w:ascii="宋体" w:hAnsi="宋体" w:cs="宋体"/>
          <w:color w:val="auto"/>
          <w:sz w:val="24"/>
          <w:szCs w:val="24"/>
          <w:highlight w:val="none"/>
        </w:rPr>
      </w:pPr>
      <w:bookmarkStart w:id="316" w:name="_Toc283382459"/>
      <w:r>
        <w:rPr>
          <w:rFonts w:hint="eastAsia" w:ascii="宋体" w:hAnsi="宋体" w:cs="宋体"/>
          <w:color w:val="auto"/>
          <w:sz w:val="24"/>
          <w:szCs w:val="24"/>
          <w:highlight w:val="none"/>
        </w:rPr>
        <w:t>（二）其它资料（格式自定）</w:t>
      </w:r>
    </w:p>
    <w:p w14:paraId="79ECAD6C">
      <w:pPr>
        <w:pageBreakBefore w:val="0"/>
        <w:kinsoku/>
        <w:wordWrap/>
        <w:overflowPunct/>
        <w:topLinePunct w:val="0"/>
        <w:bidi w:val="0"/>
        <w:snapToGrid w:val="0"/>
        <w:spacing w:line="400" w:lineRule="exact"/>
        <w:ind w:firstLine="480" w:firstLineChars="200"/>
        <w:textAlignment w:val="auto"/>
        <w:rPr>
          <w:rFonts w:ascii="宋体" w:hAnsi="宋体" w:cs="宋体"/>
          <w:color w:val="auto"/>
          <w:sz w:val="24"/>
          <w:szCs w:val="24"/>
          <w:highlight w:val="none"/>
        </w:rPr>
      </w:pPr>
    </w:p>
    <w:p w14:paraId="4D293CEE">
      <w:pPr>
        <w:pStyle w:val="3"/>
        <w:pageBreakBefore w:val="0"/>
        <w:numPr>
          <w:ilvl w:val="1"/>
          <w:numId w:val="0"/>
        </w:numPr>
        <w:kinsoku/>
        <w:wordWrap/>
        <w:overflowPunct/>
        <w:topLinePunct w:val="0"/>
        <w:bidi w:val="0"/>
        <w:adjustRightInd w:val="0"/>
        <w:snapToGrid w:val="0"/>
        <w:spacing w:line="400" w:lineRule="exact"/>
        <w:ind w:left="560" w:leftChars="200"/>
        <w:textAlignment w:val="auto"/>
        <w:rPr>
          <w:rFonts w:ascii="宋体" w:hAnsi="宋体" w:eastAsia="宋体"/>
          <w:color w:val="auto"/>
          <w:sz w:val="24"/>
          <w:highlight w:val="none"/>
        </w:rPr>
      </w:pPr>
      <w:r>
        <w:rPr>
          <w:rFonts w:hint="eastAsia" w:ascii="宋体" w:hAnsi="宋体" w:eastAsia="宋体"/>
          <w:color w:val="auto"/>
          <w:sz w:val="24"/>
          <w:szCs w:val="24"/>
          <w:highlight w:val="none"/>
        </w:rPr>
        <w:br w:type="page"/>
      </w:r>
      <w:bookmarkEnd w:id="316"/>
      <w:bookmarkStart w:id="317" w:name="_Toc16979"/>
      <w:bookmarkStart w:id="318" w:name="_Toc76462353"/>
      <w:bookmarkStart w:id="319" w:name="_Toc23339"/>
      <w:bookmarkStart w:id="320" w:name="_Toc30837"/>
      <w:bookmarkStart w:id="321" w:name="_Toc106030909"/>
      <w:bookmarkStart w:id="322" w:name="_Toc342913422"/>
      <w:bookmarkStart w:id="323" w:name="_Toc313888363"/>
      <w:bookmarkStart w:id="324" w:name="_Toc17489"/>
      <w:bookmarkStart w:id="325" w:name="_Toc16296"/>
      <w:bookmarkStart w:id="326" w:name="_Toc313008359"/>
      <w:r>
        <w:rPr>
          <w:rFonts w:hint="eastAsia" w:ascii="宋体" w:hAnsi="宋体" w:eastAsia="宋体"/>
          <w:b/>
          <w:bCs w:val="0"/>
          <w:color w:val="auto"/>
          <w:sz w:val="24"/>
          <w:highlight w:val="none"/>
        </w:rPr>
        <w:t>四、资格条件</w:t>
      </w:r>
      <w:bookmarkEnd w:id="317"/>
      <w:bookmarkEnd w:id="318"/>
      <w:bookmarkEnd w:id="319"/>
      <w:bookmarkEnd w:id="320"/>
      <w:bookmarkEnd w:id="321"/>
      <w:bookmarkEnd w:id="322"/>
      <w:bookmarkEnd w:id="323"/>
      <w:bookmarkEnd w:id="324"/>
      <w:bookmarkEnd w:id="325"/>
      <w:bookmarkEnd w:id="326"/>
    </w:p>
    <w:p w14:paraId="13BCEFCD">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（一）法人营业执照（副本）或事业单位法人证书（副本）或个体工商户营业执照或有效的自然人身份证明或社会团体法人登记证书复印件</w:t>
      </w:r>
    </w:p>
    <w:p w14:paraId="72B43010">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highlight w:val="none"/>
        </w:rPr>
      </w:pPr>
    </w:p>
    <w:p w14:paraId="10005A68">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highlight w:val="none"/>
        </w:rPr>
      </w:pPr>
    </w:p>
    <w:p w14:paraId="1971C851">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highlight w:val="none"/>
        </w:rPr>
      </w:pPr>
    </w:p>
    <w:p w14:paraId="2876516A">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highlight w:val="none"/>
        </w:rPr>
      </w:pPr>
    </w:p>
    <w:p w14:paraId="3C86A43F">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highlight w:val="none"/>
        </w:rPr>
      </w:pPr>
    </w:p>
    <w:p w14:paraId="160E3CD3">
      <w:pPr>
        <w:pageBreakBefore w:val="0"/>
        <w:kinsoku/>
        <w:wordWrap/>
        <w:overflowPunct/>
        <w:topLinePunct w:val="0"/>
        <w:bidi w:val="0"/>
        <w:snapToGrid w:val="0"/>
        <w:spacing w:line="400" w:lineRule="exact"/>
        <w:ind w:firstLine="560" w:firstLineChars="200"/>
        <w:textAlignment w:val="auto"/>
        <w:rPr>
          <w:rFonts w:ascii="宋体" w:hAnsi="宋体" w:cs="宋体"/>
          <w:color w:val="auto"/>
          <w:sz w:val="24"/>
          <w:szCs w:val="24"/>
          <w:highlight w:val="none"/>
        </w:rPr>
      </w:pPr>
      <w:r>
        <w:rPr>
          <w:rFonts w:hint="eastAsia" w:ascii="宋体" w:hAnsi="宋体" w:cs="宋体"/>
          <w:color w:val="auto"/>
          <w:highlight w:val="none"/>
        </w:rPr>
        <w:br w:type="page"/>
      </w:r>
      <w:r>
        <w:rPr>
          <w:rFonts w:hint="eastAsia" w:ascii="宋体" w:hAnsi="宋体" w:cs="宋体"/>
          <w:color w:val="auto"/>
          <w:sz w:val="24"/>
          <w:szCs w:val="24"/>
          <w:highlight w:val="none"/>
        </w:rPr>
        <w:t>（二）法定代表人身份证明书（格式）</w:t>
      </w:r>
    </w:p>
    <w:p w14:paraId="6523E14D">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highlight w:val="none"/>
        </w:rPr>
      </w:pPr>
    </w:p>
    <w:p w14:paraId="353A919A">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highlight w:val="none"/>
          <w:u w:val="single"/>
        </w:rPr>
      </w:pPr>
      <w:r>
        <w:rPr>
          <w:rFonts w:hint="eastAsia" w:ascii="宋体" w:hAnsi="宋体" w:cs="宋体"/>
          <w:color w:val="auto"/>
          <w:sz w:val="24"/>
          <w:highlight w:val="none"/>
        </w:rPr>
        <w:t xml:space="preserve">磋商项目名称： </w:t>
      </w:r>
      <w:r>
        <w:rPr>
          <w:rFonts w:hint="eastAsia" w:ascii="宋体" w:hAnsi="宋体" w:cs="宋体"/>
          <w:color w:val="auto"/>
          <w:sz w:val="24"/>
          <w:highlight w:val="none"/>
          <w:u w:val="single"/>
        </w:rPr>
        <w:t xml:space="preserve">                        </w:t>
      </w:r>
    </w:p>
    <w:p w14:paraId="58CB82CF">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highlight w:val="none"/>
        </w:rPr>
      </w:pPr>
    </w:p>
    <w:p w14:paraId="07B65891">
      <w:pPr>
        <w:pageBreakBefore w:val="0"/>
        <w:tabs>
          <w:tab w:val="left" w:pos="6300"/>
        </w:tabs>
        <w:kinsoku/>
        <w:wordWrap/>
        <w:overflowPunct/>
        <w:topLinePunct w:val="0"/>
        <w:bidi w:val="0"/>
        <w:snapToGrid w:val="0"/>
        <w:spacing w:line="400" w:lineRule="exact"/>
        <w:textAlignment w:val="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（采购代理机构名称）：</w:t>
      </w:r>
    </w:p>
    <w:p w14:paraId="4130CFF7">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（法定代表人姓名）在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（职务名称）职务，是</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（供应商名称）的法定代表人。</w:t>
      </w:r>
    </w:p>
    <w:p w14:paraId="212E12EF">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highlight w:val="none"/>
        </w:rPr>
      </w:pPr>
    </w:p>
    <w:p w14:paraId="282E7577">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highlight w:val="none"/>
        </w:rPr>
      </w:pPr>
      <w:r>
        <w:rPr>
          <w:rFonts w:hint="eastAsia" w:ascii="宋体" w:hAnsi="宋体" w:cs="宋体"/>
          <w:color w:val="auto"/>
          <w:sz w:val="24"/>
          <w:highlight w:val="none"/>
        </w:rPr>
        <w:t>特此证明。</w:t>
      </w:r>
    </w:p>
    <w:p w14:paraId="7B801BE5">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highlight w:val="none"/>
        </w:rPr>
      </w:pPr>
    </w:p>
    <w:p w14:paraId="5DD14F6A">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highlight w:val="none"/>
        </w:rPr>
      </w:pPr>
    </w:p>
    <w:p w14:paraId="422BC8DD">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highlight w:val="none"/>
        </w:rPr>
      </w:pPr>
    </w:p>
    <w:p w14:paraId="6F09A7A5">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highlight w:val="none"/>
        </w:rPr>
      </w:pPr>
      <w:r>
        <w:rPr>
          <w:rFonts w:hint="eastAsia" w:ascii="宋体" w:hAnsi="宋体" w:cs="宋体"/>
          <w:color w:val="auto"/>
          <w:sz w:val="24"/>
          <w:highlight w:val="none"/>
        </w:rPr>
        <w:t xml:space="preserve">                                             （供应商公章）</w:t>
      </w:r>
    </w:p>
    <w:p w14:paraId="2A74CE49">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highlight w:val="none"/>
        </w:rPr>
      </w:pPr>
    </w:p>
    <w:p w14:paraId="43FA9D1E">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highlight w:val="none"/>
        </w:rPr>
      </w:pPr>
      <w:r>
        <w:rPr>
          <w:rFonts w:hint="eastAsia" w:ascii="宋体" w:hAnsi="宋体" w:cs="宋体"/>
          <w:color w:val="auto"/>
          <w:sz w:val="24"/>
          <w:highlight w:val="none"/>
        </w:rPr>
        <w:t xml:space="preserve">                                             年   月   日</w:t>
      </w:r>
    </w:p>
    <w:p w14:paraId="2773694E">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highlight w:val="none"/>
        </w:rPr>
      </w:pPr>
      <w:r>
        <w:rPr>
          <w:rFonts w:hint="eastAsia" w:ascii="宋体" w:hAnsi="宋体" w:cs="宋体"/>
          <w:color w:val="auto"/>
          <w:sz w:val="24"/>
          <w:highlight w:val="none"/>
        </w:rPr>
        <w:t>法定代表人电话：XXXXXXX      电子邮箱：XXXXXX@XXXXX（若授权他人办理并签署响应文件的可不填写）</w:t>
      </w:r>
    </w:p>
    <w:p w14:paraId="31CA4C69">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highlight w:val="none"/>
        </w:rPr>
      </w:pPr>
      <w:r>
        <w:rPr>
          <w:rFonts w:hint="eastAsia" w:ascii="宋体" w:hAnsi="宋体" w:cs="宋体"/>
          <w:color w:val="auto"/>
          <w:sz w:val="24"/>
          <w:highlight w:val="none"/>
        </w:rPr>
        <w:t>（附：法定代表人身份证正反面复印件）</w:t>
      </w:r>
    </w:p>
    <w:p w14:paraId="7B777CB9">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highlight w:val="none"/>
        </w:rPr>
      </w:pPr>
    </w:p>
    <w:p w14:paraId="19B13D6E">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highlight w:val="none"/>
        </w:rPr>
      </w:pPr>
    </w:p>
    <w:p w14:paraId="77A741E1">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highlight w:val="none"/>
        </w:rPr>
      </w:pPr>
    </w:p>
    <w:p w14:paraId="2A2D9BF8">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highlight w:val="none"/>
        </w:rPr>
      </w:pPr>
    </w:p>
    <w:p w14:paraId="43D23980">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highlight w:val="none"/>
        </w:rPr>
      </w:pPr>
    </w:p>
    <w:p w14:paraId="395F3DD4">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highlight w:val="none"/>
        </w:rPr>
      </w:pPr>
    </w:p>
    <w:p w14:paraId="425C6D0C">
      <w:pPr>
        <w:pageBreakBefore w:val="0"/>
        <w:kinsoku/>
        <w:wordWrap/>
        <w:overflowPunct/>
        <w:topLinePunct w:val="0"/>
        <w:bidi w:val="0"/>
        <w:snapToGrid w:val="0"/>
        <w:spacing w:line="400" w:lineRule="exact"/>
        <w:ind w:firstLine="560" w:firstLineChars="200"/>
        <w:textAlignment w:val="auto"/>
        <w:rPr>
          <w:rFonts w:ascii="宋体" w:hAnsi="宋体" w:cs="宋体"/>
          <w:color w:val="auto"/>
          <w:sz w:val="24"/>
          <w:szCs w:val="24"/>
          <w:highlight w:val="none"/>
        </w:rPr>
      </w:pPr>
      <w:r>
        <w:rPr>
          <w:rFonts w:hint="eastAsia" w:ascii="宋体" w:hAnsi="宋体" w:cs="宋体"/>
          <w:color w:val="auto"/>
          <w:highlight w:val="none"/>
        </w:rPr>
        <w:br w:type="column"/>
      </w:r>
      <w:r>
        <w:rPr>
          <w:rFonts w:hint="eastAsia" w:ascii="宋体" w:hAnsi="宋体" w:cs="宋体"/>
          <w:color w:val="auto"/>
          <w:sz w:val="24"/>
          <w:szCs w:val="24"/>
          <w:highlight w:val="none"/>
        </w:rPr>
        <w:t>（三）法定代表人授权委托书（格式）</w:t>
      </w:r>
    </w:p>
    <w:p w14:paraId="344BF539">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highlight w:val="none"/>
        </w:rPr>
      </w:pPr>
    </w:p>
    <w:p w14:paraId="55FB37F8">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szCs w:val="28"/>
          <w:highlight w:val="none"/>
        </w:rPr>
        <w:t>磋商项目名称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799F1392">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highlight w:val="none"/>
        </w:rPr>
      </w:pPr>
    </w:p>
    <w:p w14:paraId="08172E9F">
      <w:pPr>
        <w:pageBreakBefore w:val="0"/>
        <w:tabs>
          <w:tab w:val="left" w:pos="6300"/>
        </w:tabs>
        <w:kinsoku/>
        <w:wordWrap/>
        <w:overflowPunct/>
        <w:topLinePunct w:val="0"/>
        <w:bidi w:val="0"/>
        <w:snapToGrid w:val="0"/>
        <w:spacing w:line="400" w:lineRule="exact"/>
        <w:textAlignment w:val="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（采购代理机构名称）：</w:t>
      </w:r>
    </w:p>
    <w:p w14:paraId="7D9BC9AD">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（供应商法定代表人名称）是</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（供应商名称）的法定代表人，特授权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（被授权人姓名及身份证代码）代表我单位全权办理上述项目的磋商、签约等具体工作，并签署全部有关文件、协议及合同。</w:t>
      </w:r>
    </w:p>
    <w:p w14:paraId="09128D6C">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我单位对被授权人的</w:t>
      </w:r>
      <w:r>
        <w:rPr>
          <w:rFonts w:hint="eastAsia" w:ascii="宋体" w:hAnsi="宋体" w:cs="宋体"/>
          <w:color w:val="auto"/>
          <w:sz w:val="24"/>
          <w:szCs w:val="28"/>
          <w:highlight w:val="none"/>
        </w:rPr>
        <w:t>签署</w:t>
      </w:r>
      <w:r>
        <w:rPr>
          <w:rFonts w:hint="eastAsia" w:ascii="宋体" w:hAnsi="宋体" w:cs="宋体"/>
          <w:color w:val="auto"/>
          <w:sz w:val="24"/>
          <w:highlight w:val="none"/>
        </w:rPr>
        <w:t>负全部责任。</w:t>
      </w:r>
    </w:p>
    <w:p w14:paraId="561D7BA2">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在撤销授权的书面通知以前，本授权书一直有效。被授权人在授权书有效期内签署的所有文件不因授权的撤销而失效。</w:t>
      </w:r>
    </w:p>
    <w:p w14:paraId="47168902">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highlight w:val="none"/>
        </w:rPr>
      </w:pPr>
    </w:p>
    <w:p w14:paraId="70077570">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highlight w:val="none"/>
        </w:rPr>
      </w:pPr>
    </w:p>
    <w:p w14:paraId="6A3541CF">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highlight w:val="none"/>
        </w:rPr>
      </w:pPr>
      <w:r>
        <w:rPr>
          <w:rFonts w:hint="eastAsia" w:ascii="宋体" w:hAnsi="宋体" w:cs="宋体"/>
          <w:color w:val="auto"/>
          <w:sz w:val="24"/>
          <w:highlight w:val="none"/>
        </w:rPr>
        <w:t>被授权人：                                 供应商法定代表人：</w:t>
      </w:r>
    </w:p>
    <w:p w14:paraId="7CE9DE9D">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szCs w:val="28"/>
          <w:highlight w:val="none"/>
        </w:rPr>
      </w:pPr>
      <w:r>
        <w:rPr>
          <w:rFonts w:hint="eastAsia" w:ascii="宋体" w:hAnsi="宋体" w:cs="宋体"/>
          <w:color w:val="auto"/>
          <w:sz w:val="24"/>
          <w:szCs w:val="28"/>
          <w:highlight w:val="none"/>
        </w:rPr>
        <w:t>（签署或盖章）                                （签署或盖章）</w:t>
      </w:r>
    </w:p>
    <w:p w14:paraId="4F7EE71B">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szCs w:val="28"/>
          <w:highlight w:val="none"/>
        </w:rPr>
      </w:pPr>
    </w:p>
    <w:p w14:paraId="6126E9C3">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highlight w:val="none"/>
        </w:rPr>
      </w:pPr>
    </w:p>
    <w:p w14:paraId="3EC6622F">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highlight w:val="none"/>
        </w:rPr>
      </w:pPr>
      <w:r>
        <w:rPr>
          <w:rFonts w:hint="eastAsia" w:ascii="宋体" w:hAnsi="宋体" w:cs="宋体"/>
          <w:color w:val="auto"/>
          <w:sz w:val="24"/>
          <w:highlight w:val="none"/>
        </w:rPr>
        <w:t>（附：被授权人身份证正反面复印件）</w:t>
      </w:r>
    </w:p>
    <w:p w14:paraId="400A97F7">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highlight w:val="none"/>
        </w:rPr>
      </w:pPr>
    </w:p>
    <w:p w14:paraId="000FEBC2">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highlight w:val="none"/>
        </w:rPr>
      </w:pPr>
    </w:p>
    <w:p w14:paraId="2E1BD981">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highlight w:val="none"/>
        </w:rPr>
      </w:pPr>
    </w:p>
    <w:p w14:paraId="5E3F1BEC">
      <w:pPr>
        <w:pageBreakBefore w:val="0"/>
        <w:tabs>
          <w:tab w:val="left" w:pos="6300"/>
        </w:tabs>
        <w:kinsoku/>
        <w:wordWrap/>
        <w:overflowPunct/>
        <w:topLinePunct w:val="0"/>
        <w:bidi w:val="0"/>
        <w:snapToGrid w:val="0"/>
        <w:spacing w:line="400" w:lineRule="exact"/>
        <w:ind w:right="480" w:firstLine="570"/>
        <w:jc w:val="right"/>
        <w:textAlignment w:val="auto"/>
        <w:rPr>
          <w:rFonts w:ascii="宋体" w:hAnsi="宋体" w:cs="宋体"/>
          <w:color w:val="auto"/>
          <w:sz w:val="24"/>
          <w:highlight w:val="none"/>
        </w:rPr>
      </w:pPr>
      <w:r>
        <w:rPr>
          <w:rFonts w:hint="eastAsia" w:ascii="宋体" w:hAnsi="宋体" w:cs="宋体"/>
          <w:color w:val="auto"/>
          <w:sz w:val="24"/>
          <w:highlight w:val="none"/>
        </w:rPr>
        <w:t>（供应商公章）</w:t>
      </w:r>
    </w:p>
    <w:p w14:paraId="3A5A05AE">
      <w:pPr>
        <w:pageBreakBefore w:val="0"/>
        <w:tabs>
          <w:tab w:val="left" w:pos="6300"/>
        </w:tabs>
        <w:kinsoku/>
        <w:wordWrap/>
        <w:overflowPunct/>
        <w:topLinePunct w:val="0"/>
        <w:bidi w:val="0"/>
        <w:snapToGrid w:val="0"/>
        <w:spacing w:line="400" w:lineRule="exact"/>
        <w:ind w:right="480" w:firstLine="570"/>
        <w:jc w:val="right"/>
        <w:textAlignment w:val="auto"/>
        <w:rPr>
          <w:rFonts w:ascii="宋体" w:hAnsi="宋体" w:cs="宋体"/>
          <w:color w:val="auto"/>
          <w:sz w:val="24"/>
          <w:highlight w:val="none"/>
        </w:rPr>
      </w:pPr>
      <w:r>
        <w:rPr>
          <w:rFonts w:hint="eastAsia" w:ascii="宋体" w:hAnsi="宋体" w:cs="宋体"/>
          <w:color w:val="auto"/>
          <w:sz w:val="24"/>
          <w:highlight w:val="none"/>
        </w:rPr>
        <w:t>年   月   日</w:t>
      </w:r>
    </w:p>
    <w:p w14:paraId="69D3EE07">
      <w:pPr>
        <w:pageBreakBefore w:val="0"/>
        <w:tabs>
          <w:tab w:val="left" w:pos="6300"/>
        </w:tabs>
        <w:kinsoku/>
        <w:wordWrap/>
        <w:overflowPunct/>
        <w:topLinePunct w:val="0"/>
        <w:bidi w:val="0"/>
        <w:snapToGrid w:val="0"/>
        <w:spacing w:line="400" w:lineRule="exact"/>
        <w:ind w:right="480" w:firstLine="570"/>
        <w:jc w:val="left"/>
        <w:textAlignment w:val="auto"/>
        <w:rPr>
          <w:rFonts w:ascii="宋体" w:hAnsi="宋体" w:cs="宋体"/>
          <w:color w:val="auto"/>
          <w:sz w:val="24"/>
          <w:highlight w:val="none"/>
        </w:rPr>
      </w:pPr>
      <w:r>
        <w:rPr>
          <w:rFonts w:hint="eastAsia" w:ascii="宋体" w:hAnsi="宋体" w:cs="宋体"/>
          <w:color w:val="auto"/>
          <w:sz w:val="24"/>
          <w:highlight w:val="none"/>
        </w:rPr>
        <w:t>被授权人电话：XXXXXXX     电子邮箱：XXXXXX@XXXXX（若法定代表人办理并签署响应文件的可不填写）</w:t>
      </w:r>
    </w:p>
    <w:p w14:paraId="7D75D6E3">
      <w:pPr>
        <w:pageBreakBefore w:val="0"/>
        <w:tabs>
          <w:tab w:val="left" w:pos="6300"/>
        </w:tabs>
        <w:kinsoku/>
        <w:wordWrap/>
        <w:overflowPunct/>
        <w:topLinePunct w:val="0"/>
        <w:bidi w:val="0"/>
        <w:snapToGrid w:val="0"/>
        <w:spacing w:line="400" w:lineRule="exact"/>
        <w:ind w:right="480" w:firstLine="570"/>
        <w:jc w:val="left"/>
        <w:textAlignment w:val="auto"/>
        <w:rPr>
          <w:rFonts w:ascii="宋体" w:hAnsi="宋体" w:cs="宋体"/>
          <w:color w:val="auto"/>
          <w:sz w:val="24"/>
          <w:highlight w:val="none"/>
        </w:rPr>
      </w:pPr>
      <w:r>
        <w:rPr>
          <w:rFonts w:hint="eastAsia" w:ascii="宋体" w:hAnsi="宋体" w:cs="宋体"/>
          <w:color w:val="auto"/>
          <w:sz w:val="24"/>
          <w:highlight w:val="none"/>
        </w:rPr>
        <w:t>注：若为法定代表人办理并签署响应文件的，不提供此文件。</w:t>
      </w:r>
    </w:p>
    <w:p w14:paraId="526578A6">
      <w:pPr>
        <w:pageBreakBefore w:val="0"/>
        <w:tabs>
          <w:tab w:val="left" w:pos="6300"/>
        </w:tabs>
        <w:kinsoku/>
        <w:wordWrap/>
        <w:overflowPunct/>
        <w:topLinePunct w:val="0"/>
        <w:bidi w:val="0"/>
        <w:snapToGrid w:val="0"/>
        <w:spacing w:line="400" w:lineRule="exact"/>
        <w:ind w:firstLine="570"/>
        <w:textAlignment w:val="auto"/>
        <w:rPr>
          <w:rFonts w:ascii="宋体" w:hAnsi="宋体" w:cs="宋体"/>
          <w:color w:val="auto"/>
          <w:sz w:val="24"/>
          <w:szCs w:val="24"/>
          <w:highlight w:val="none"/>
        </w:rPr>
      </w:pPr>
      <w:r>
        <w:rPr>
          <w:rFonts w:hint="eastAsia" w:ascii="宋体" w:hAnsi="宋体" w:cs="宋体"/>
          <w:color w:val="auto"/>
          <w:highlight w:val="none"/>
        </w:rPr>
        <w:br w:type="column"/>
      </w:r>
      <w:r>
        <w:rPr>
          <w:rFonts w:hint="eastAsia" w:ascii="宋体" w:hAnsi="宋体" w:cs="宋体"/>
          <w:color w:val="auto"/>
          <w:sz w:val="24"/>
          <w:szCs w:val="24"/>
          <w:highlight w:val="none"/>
        </w:rPr>
        <w:t>（四）</w:t>
      </w:r>
      <w:r>
        <w:rPr>
          <w:rFonts w:hint="eastAsia" w:ascii="宋体" w:hAnsi="宋体" w:cs="宋体"/>
          <w:color w:val="auto"/>
          <w:sz w:val="24"/>
          <w:szCs w:val="28"/>
          <w:highlight w:val="none"/>
        </w:rPr>
        <w:t>基本资格条件承诺函</w:t>
      </w:r>
    </w:p>
    <w:p w14:paraId="2592D811">
      <w:pPr>
        <w:pageBreakBefore w:val="0"/>
        <w:tabs>
          <w:tab w:val="left" w:pos="6300"/>
        </w:tabs>
        <w:kinsoku/>
        <w:wordWrap/>
        <w:overflowPunct/>
        <w:topLinePunct w:val="0"/>
        <w:bidi w:val="0"/>
        <w:snapToGrid w:val="0"/>
        <w:spacing w:line="400" w:lineRule="exact"/>
        <w:ind w:firstLine="643" w:firstLineChars="200"/>
        <w:jc w:val="center"/>
        <w:textAlignment w:val="auto"/>
        <w:rPr>
          <w:rFonts w:ascii="宋体" w:hAnsi="宋体" w:cs="宋体"/>
          <w:b/>
          <w:bCs/>
          <w:color w:val="auto"/>
          <w:sz w:val="32"/>
          <w:szCs w:val="32"/>
          <w:highlight w:val="none"/>
        </w:rPr>
      </w:pPr>
      <w:r>
        <w:rPr>
          <w:rFonts w:hint="eastAsia" w:ascii="宋体" w:hAnsi="宋体" w:cs="宋体"/>
          <w:b/>
          <w:bCs/>
          <w:color w:val="auto"/>
          <w:sz w:val="32"/>
          <w:szCs w:val="32"/>
          <w:highlight w:val="none"/>
        </w:rPr>
        <w:t>基本资格条件承诺函</w:t>
      </w:r>
    </w:p>
    <w:p w14:paraId="40A599B1">
      <w:pPr>
        <w:pageBreakBefore w:val="0"/>
        <w:tabs>
          <w:tab w:val="left" w:pos="6300"/>
        </w:tabs>
        <w:kinsoku/>
        <w:wordWrap/>
        <w:overflowPunct/>
        <w:topLinePunct w:val="0"/>
        <w:bidi w:val="0"/>
        <w:snapToGrid w:val="0"/>
        <w:spacing w:line="400" w:lineRule="exact"/>
        <w:textAlignment w:val="auto"/>
        <w:rPr>
          <w:rFonts w:ascii="宋体" w:hAnsi="宋体" w:cs="宋体"/>
          <w:color w:val="auto"/>
          <w:sz w:val="24"/>
          <w:highlight w:val="none"/>
        </w:rPr>
      </w:pPr>
    </w:p>
    <w:p w14:paraId="66A029FA">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（采购代理机构名称）：</w:t>
      </w:r>
    </w:p>
    <w:p w14:paraId="5830257C">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（供应商名称）郑重承诺：</w:t>
      </w:r>
    </w:p>
    <w:p w14:paraId="760F2F1E">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1.我方具有良好的商业信誉和健全的财务会计制度，具有履行合同所必需的设备和专业技术能力，具</w:t>
      </w:r>
      <w:r>
        <w:rPr>
          <w:rFonts w:hint="eastAsia" w:ascii="宋体" w:hAnsi="宋体" w:cs="宋体"/>
          <w:color w:val="auto"/>
          <w:sz w:val="24"/>
          <w:highlight w:val="none"/>
          <w:lang w:val="zh-CN"/>
        </w:rPr>
        <w:t>有依法缴纳税收和社会保障金的良好记录</w:t>
      </w:r>
      <w:r>
        <w:rPr>
          <w:rFonts w:hint="eastAsia" w:ascii="宋体" w:hAnsi="宋体" w:cs="宋体"/>
          <w:color w:val="auto"/>
          <w:sz w:val="24"/>
          <w:highlight w:val="none"/>
        </w:rPr>
        <w:t>，参加本项目采购活动前三年内无重大违法活动记录。</w:t>
      </w:r>
    </w:p>
    <w:p w14:paraId="17BE9342">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3FED1114">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14:paraId="5A0BA5BA">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我方对以上承诺负全部法律责任。</w:t>
      </w:r>
    </w:p>
    <w:p w14:paraId="205CB284">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特此承诺。</w:t>
      </w:r>
    </w:p>
    <w:p w14:paraId="1232E125">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 w:val="24"/>
          <w:highlight w:val="none"/>
        </w:rPr>
      </w:pPr>
    </w:p>
    <w:p w14:paraId="02EF6822">
      <w:pPr>
        <w:pageBreakBefore w:val="0"/>
        <w:tabs>
          <w:tab w:val="left" w:pos="6300"/>
        </w:tabs>
        <w:kinsoku/>
        <w:wordWrap/>
        <w:overflowPunct/>
        <w:topLinePunct w:val="0"/>
        <w:bidi w:val="0"/>
        <w:snapToGrid w:val="0"/>
        <w:spacing w:line="400" w:lineRule="exact"/>
        <w:ind w:firstLine="480" w:firstLineChars="200"/>
        <w:jc w:val="right"/>
        <w:textAlignment w:val="auto"/>
        <w:rPr>
          <w:rFonts w:ascii="宋体" w:hAnsi="宋体" w:cs="宋体"/>
          <w:color w:val="auto"/>
          <w:sz w:val="24"/>
          <w:highlight w:val="none"/>
        </w:rPr>
      </w:pPr>
      <w:r>
        <w:rPr>
          <w:rFonts w:hint="eastAsia" w:ascii="宋体" w:hAnsi="宋体" w:cs="宋体"/>
          <w:color w:val="auto"/>
          <w:sz w:val="24"/>
          <w:highlight w:val="none"/>
        </w:rPr>
        <w:t>（供应商公章）</w:t>
      </w:r>
    </w:p>
    <w:p w14:paraId="326F9AEA">
      <w:pPr>
        <w:pageBreakBefore w:val="0"/>
        <w:tabs>
          <w:tab w:val="left" w:pos="6300"/>
        </w:tabs>
        <w:kinsoku/>
        <w:wordWrap/>
        <w:overflowPunct/>
        <w:topLinePunct w:val="0"/>
        <w:bidi w:val="0"/>
        <w:snapToGrid w:val="0"/>
        <w:spacing w:line="400" w:lineRule="exact"/>
        <w:ind w:firstLine="7920" w:firstLineChars="3300"/>
        <w:textAlignment w:val="auto"/>
        <w:rPr>
          <w:rFonts w:ascii="宋体" w:hAnsi="宋体" w:cs="宋体"/>
          <w:color w:val="auto"/>
          <w:sz w:val="24"/>
          <w:szCs w:val="24"/>
          <w:highlight w:val="none"/>
        </w:rPr>
      </w:pPr>
      <w:r>
        <w:rPr>
          <w:rFonts w:hint="eastAsia" w:ascii="宋体" w:hAnsi="宋体" w:cs="宋体"/>
          <w:color w:val="auto"/>
          <w:sz w:val="24"/>
          <w:highlight w:val="none"/>
        </w:rPr>
        <w:t>年   月   日</w:t>
      </w:r>
    </w:p>
    <w:p w14:paraId="1DE13F26">
      <w:pPr>
        <w:pageBreakBefore w:val="0"/>
        <w:kinsoku/>
        <w:wordWrap/>
        <w:overflowPunct/>
        <w:topLinePunct w:val="0"/>
        <w:bidi w:val="0"/>
        <w:snapToGrid w:val="0"/>
        <w:spacing w:line="400" w:lineRule="exact"/>
        <w:ind w:firstLine="560" w:firstLineChars="200"/>
        <w:textAlignment w:val="auto"/>
        <w:rPr>
          <w:rFonts w:ascii="宋体" w:hAnsi="宋体" w:cs="宋体"/>
          <w:color w:val="auto"/>
          <w:sz w:val="24"/>
          <w:szCs w:val="24"/>
          <w:highlight w:val="none"/>
        </w:rPr>
      </w:pPr>
      <w:r>
        <w:rPr>
          <w:rFonts w:hint="eastAsia" w:ascii="宋体" w:hAnsi="宋体" w:cs="宋体"/>
          <w:color w:val="auto"/>
          <w:highlight w:val="none"/>
        </w:rPr>
        <w:br w:type="page"/>
      </w:r>
      <w:r>
        <w:rPr>
          <w:rFonts w:hint="eastAsia" w:ascii="宋体" w:hAnsi="宋体" w:cs="宋体"/>
          <w:color w:val="auto"/>
          <w:sz w:val="24"/>
          <w:szCs w:val="24"/>
          <w:highlight w:val="none"/>
        </w:rPr>
        <w:t>（五）特定资格条件证书或证明文件（如果有）</w:t>
      </w:r>
    </w:p>
    <w:p w14:paraId="11876577">
      <w:pPr>
        <w:pageBreakBefore w:val="0"/>
        <w:tabs>
          <w:tab w:val="left" w:pos="6300"/>
        </w:tabs>
        <w:kinsoku/>
        <w:wordWrap/>
        <w:overflowPunct/>
        <w:topLinePunct w:val="0"/>
        <w:bidi w:val="0"/>
        <w:snapToGrid w:val="0"/>
        <w:spacing w:line="400" w:lineRule="exact"/>
        <w:ind w:firstLine="480" w:firstLineChars="200"/>
        <w:textAlignment w:val="auto"/>
        <w:rPr>
          <w:rFonts w:ascii="宋体" w:hAnsi="宋体" w:cs="宋体"/>
          <w:color w:val="auto"/>
          <w:sz w:val="24"/>
          <w:szCs w:val="24"/>
          <w:highlight w:val="none"/>
        </w:rPr>
      </w:pPr>
    </w:p>
    <w:p w14:paraId="53B092F1">
      <w:pPr>
        <w:pStyle w:val="3"/>
        <w:pageBreakBefore w:val="0"/>
        <w:numPr>
          <w:ilvl w:val="1"/>
          <w:numId w:val="0"/>
        </w:numPr>
        <w:kinsoku/>
        <w:wordWrap/>
        <w:overflowPunct/>
        <w:topLinePunct w:val="0"/>
        <w:bidi w:val="0"/>
        <w:adjustRightInd w:val="0"/>
        <w:snapToGrid w:val="0"/>
        <w:spacing w:line="400" w:lineRule="exact"/>
        <w:ind w:left="560" w:leftChars="200"/>
        <w:textAlignment w:val="auto"/>
        <w:rPr>
          <w:rFonts w:ascii="宋体" w:hAnsi="宋体" w:eastAsia="宋体"/>
          <w:color w:val="auto"/>
          <w:sz w:val="24"/>
          <w:highlight w:val="none"/>
        </w:rPr>
      </w:pPr>
      <w:bookmarkStart w:id="327" w:name="_Toc14422"/>
      <w:r>
        <w:rPr>
          <w:rFonts w:hint="eastAsia" w:ascii="宋体" w:hAnsi="宋体" w:eastAsia="宋体"/>
          <w:color w:val="auto"/>
          <w:sz w:val="28"/>
          <w:highlight w:val="none"/>
        </w:rPr>
        <w:br w:type="page"/>
      </w:r>
      <w:bookmarkStart w:id="328" w:name="_Toc19332"/>
      <w:bookmarkStart w:id="329" w:name="_Toc21904"/>
      <w:bookmarkStart w:id="330" w:name="_Toc18889"/>
      <w:bookmarkStart w:id="331" w:name="_Toc31035"/>
      <w:bookmarkStart w:id="332" w:name="_Toc76462354"/>
      <w:bookmarkStart w:id="333" w:name="_Toc25441"/>
      <w:bookmarkStart w:id="334" w:name="_Toc21264"/>
      <w:bookmarkStart w:id="335" w:name="_Toc106030910"/>
      <w:r>
        <w:rPr>
          <w:rFonts w:hint="eastAsia" w:ascii="宋体" w:hAnsi="宋体" w:eastAsia="宋体"/>
          <w:b/>
          <w:bCs w:val="0"/>
          <w:color w:val="auto"/>
          <w:sz w:val="24"/>
          <w:highlight w:val="none"/>
        </w:rPr>
        <w:t>五、其他资料</w:t>
      </w:r>
      <w:bookmarkEnd w:id="327"/>
      <w:bookmarkEnd w:id="328"/>
      <w:bookmarkEnd w:id="329"/>
      <w:bookmarkEnd w:id="330"/>
      <w:bookmarkEnd w:id="331"/>
      <w:bookmarkEnd w:id="332"/>
      <w:bookmarkEnd w:id="333"/>
      <w:bookmarkEnd w:id="334"/>
      <w:bookmarkEnd w:id="335"/>
    </w:p>
    <w:p w14:paraId="138CB1CB">
      <w:pPr>
        <w:pageBreakBefore w:val="0"/>
        <w:kinsoku/>
        <w:wordWrap/>
        <w:overflowPunct/>
        <w:topLinePunct w:val="0"/>
        <w:bidi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其他与项目有关的资料</w:t>
      </w:r>
    </w:p>
    <w:p w14:paraId="209BE7F9">
      <w:pPr>
        <w:pageBreakBefore w:val="0"/>
        <w:kinsoku/>
        <w:wordWrap/>
        <w:overflowPunct/>
        <w:topLinePunct w:val="0"/>
        <w:bidi w:val="0"/>
        <w:spacing w:line="400" w:lineRule="exact"/>
        <w:ind w:firstLine="480" w:firstLineChars="200"/>
        <w:textAlignment w:val="auto"/>
        <w:rPr>
          <w:rFonts w:ascii="宋体" w:hAnsi="宋体" w:cs="宋体"/>
          <w:color w:val="auto"/>
          <w:sz w:val="24"/>
          <w:szCs w:val="24"/>
          <w:highlight w:val="none"/>
        </w:rPr>
      </w:pPr>
    </w:p>
    <w:p w14:paraId="6DEE1A2A">
      <w:pPr>
        <w:pageBreakBefore w:val="0"/>
        <w:kinsoku/>
        <w:wordWrap/>
        <w:overflowPunct/>
        <w:topLinePunct w:val="0"/>
        <w:bidi w:val="0"/>
        <w:spacing w:line="400" w:lineRule="exact"/>
        <w:ind w:firstLine="480" w:firstLineChars="200"/>
        <w:textAlignment w:val="auto"/>
        <w:rPr>
          <w:rFonts w:ascii="宋体" w:hAnsi="宋体" w:cs="宋体"/>
          <w:color w:val="auto"/>
          <w:sz w:val="24"/>
          <w:szCs w:val="24"/>
          <w:highlight w:val="none"/>
        </w:rPr>
      </w:pPr>
    </w:p>
    <w:p w14:paraId="2C6363E6">
      <w:pPr>
        <w:pageBreakBefore w:val="0"/>
        <w:kinsoku/>
        <w:wordWrap/>
        <w:overflowPunct/>
        <w:topLinePunct w:val="0"/>
        <w:bidi w:val="0"/>
        <w:spacing w:line="400" w:lineRule="exact"/>
        <w:ind w:firstLine="480" w:firstLineChars="200"/>
        <w:textAlignment w:val="auto"/>
        <w:rPr>
          <w:rFonts w:ascii="宋体" w:hAnsi="宋体" w:cs="宋体"/>
          <w:color w:val="auto"/>
          <w:sz w:val="24"/>
          <w:szCs w:val="24"/>
          <w:highlight w:val="none"/>
        </w:rPr>
      </w:pPr>
    </w:p>
    <w:p w14:paraId="3FA70F10">
      <w:pPr>
        <w:pageBreakBefore w:val="0"/>
        <w:kinsoku/>
        <w:wordWrap/>
        <w:overflowPunct/>
        <w:topLinePunct w:val="0"/>
        <w:bidi w:val="0"/>
        <w:spacing w:line="400" w:lineRule="exact"/>
        <w:ind w:firstLine="480" w:firstLineChars="200"/>
        <w:textAlignment w:val="auto"/>
        <w:rPr>
          <w:rFonts w:ascii="宋体" w:hAnsi="宋体" w:cs="宋体"/>
          <w:color w:val="auto"/>
          <w:sz w:val="24"/>
          <w:szCs w:val="24"/>
          <w:highlight w:val="none"/>
        </w:rPr>
      </w:pPr>
    </w:p>
    <w:p w14:paraId="17758045">
      <w:pPr>
        <w:pageBreakBefore w:val="0"/>
        <w:kinsoku/>
        <w:wordWrap/>
        <w:overflowPunct/>
        <w:topLinePunct w:val="0"/>
        <w:bidi w:val="0"/>
        <w:spacing w:line="400" w:lineRule="exact"/>
        <w:ind w:firstLine="480" w:firstLineChars="200"/>
        <w:textAlignment w:val="auto"/>
        <w:rPr>
          <w:rFonts w:ascii="宋体" w:hAnsi="宋体" w:cs="宋体"/>
          <w:color w:val="auto"/>
          <w:sz w:val="24"/>
          <w:szCs w:val="24"/>
          <w:highlight w:val="none"/>
        </w:rPr>
      </w:pPr>
    </w:p>
    <w:p w14:paraId="2DACD0AD">
      <w:pPr>
        <w:pageBreakBefore w:val="0"/>
        <w:kinsoku/>
        <w:wordWrap/>
        <w:overflowPunct/>
        <w:topLinePunct w:val="0"/>
        <w:bidi w:val="0"/>
        <w:spacing w:line="400" w:lineRule="exact"/>
        <w:ind w:firstLine="480" w:firstLineChars="200"/>
        <w:textAlignment w:val="auto"/>
        <w:rPr>
          <w:rFonts w:ascii="宋体" w:hAnsi="宋体" w:cs="宋体"/>
          <w:color w:val="auto"/>
          <w:sz w:val="24"/>
          <w:szCs w:val="24"/>
          <w:highlight w:val="none"/>
        </w:rPr>
      </w:pPr>
    </w:p>
    <w:p w14:paraId="150D91B8">
      <w:pPr>
        <w:pageBreakBefore w:val="0"/>
        <w:kinsoku/>
        <w:wordWrap/>
        <w:overflowPunct/>
        <w:topLinePunct w:val="0"/>
        <w:bidi w:val="0"/>
        <w:spacing w:line="400" w:lineRule="exact"/>
        <w:ind w:firstLine="480" w:firstLineChars="200"/>
        <w:textAlignment w:val="auto"/>
        <w:rPr>
          <w:rFonts w:ascii="宋体" w:hAnsi="宋体" w:cs="宋体"/>
          <w:color w:val="auto"/>
          <w:sz w:val="24"/>
          <w:szCs w:val="24"/>
          <w:highlight w:val="none"/>
        </w:rPr>
      </w:pPr>
    </w:p>
    <w:p w14:paraId="53A73FA7">
      <w:pPr>
        <w:pageBreakBefore w:val="0"/>
        <w:kinsoku/>
        <w:wordWrap/>
        <w:overflowPunct/>
        <w:topLinePunct w:val="0"/>
        <w:bidi w:val="0"/>
        <w:spacing w:line="400" w:lineRule="exact"/>
        <w:ind w:firstLine="480" w:firstLineChars="200"/>
        <w:textAlignment w:val="auto"/>
        <w:rPr>
          <w:rFonts w:ascii="宋体" w:hAnsi="宋体" w:cs="宋体"/>
          <w:color w:val="auto"/>
          <w:sz w:val="24"/>
          <w:szCs w:val="24"/>
          <w:highlight w:val="none"/>
        </w:rPr>
      </w:pPr>
    </w:p>
    <w:p w14:paraId="7CF70E5D">
      <w:pPr>
        <w:pageBreakBefore w:val="0"/>
        <w:kinsoku/>
        <w:wordWrap/>
        <w:overflowPunct/>
        <w:topLinePunct w:val="0"/>
        <w:bidi w:val="0"/>
        <w:spacing w:line="400" w:lineRule="exact"/>
        <w:textAlignment w:val="auto"/>
        <w:rPr>
          <w:rFonts w:ascii="宋体" w:hAnsi="宋体" w:cs="宋体"/>
          <w:color w:val="auto"/>
          <w:sz w:val="24"/>
          <w:szCs w:val="24"/>
          <w:highlight w:val="none"/>
        </w:rPr>
      </w:pPr>
    </w:p>
    <w:p w14:paraId="5F76528D">
      <w:pPr>
        <w:pageBreakBefore w:val="0"/>
        <w:kinsoku/>
        <w:wordWrap/>
        <w:overflowPunct/>
        <w:topLinePunct w:val="0"/>
        <w:bidi w:val="0"/>
        <w:spacing w:line="400" w:lineRule="exact"/>
        <w:ind w:firstLine="480" w:firstLineChars="200"/>
        <w:textAlignment w:val="auto"/>
        <w:rPr>
          <w:rFonts w:ascii="宋体" w:hAnsi="宋体" w:cs="宋体"/>
          <w:color w:val="auto"/>
          <w:sz w:val="24"/>
          <w:szCs w:val="24"/>
          <w:highlight w:val="none"/>
        </w:rPr>
      </w:pPr>
    </w:p>
    <w:p w14:paraId="05BDEB69">
      <w:pPr>
        <w:pageBreakBefore w:val="0"/>
        <w:kinsoku/>
        <w:wordWrap/>
        <w:overflowPunct/>
        <w:topLinePunct w:val="0"/>
        <w:bidi w:val="0"/>
        <w:spacing w:line="400" w:lineRule="exact"/>
        <w:ind w:firstLine="480" w:firstLineChars="200"/>
        <w:textAlignment w:val="auto"/>
        <w:rPr>
          <w:rFonts w:ascii="宋体" w:hAnsi="宋体" w:cs="宋体"/>
          <w:color w:val="auto"/>
          <w:sz w:val="24"/>
          <w:szCs w:val="24"/>
          <w:highlight w:val="none"/>
        </w:rPr>
      </w:pPr>
    </w:p>
    <w:p w14:paraId="39D5FAF5">
      <w:pPr>
        <w:pageBreakBefore w:val="0"/>
        <w:kinsoku/>
        <w:wordWrap/>
        <w:overflowPunct/>
        <w:topLinePunct w:val="0"/>
        <w:bidi w:val="0"/>
        <w:spacing w:line="400" w:lineRule="exact"/>
        <w:ind w:firstLine="480" w:firstLineChars="200"/>
        <w:textAlignment w:val="auto"/>
        <w:rPr>
          <w:rFonts w:ascii="宋体" w:hAnsi="宋体" w:cs="宋体"/>
          <w:color w:val="auto"/>
          <w:sz w:val="24"/>
          <w:szCs w:val="24"/>
          <w:highlight w:val="none"/>
        </w:rPr>
      </w:pPr>
    </w:p>
    <w:p w14:paraId="6948932D">
      <w:pPr>
        <w:pageBreakBefore w:val="0"/>
        <w:kinsoku/>
        <w:wordWrap/>
        <w:overflowPunct/>
        <w:topLinePunct w:val="0"/>
        <w:bidi w:val="0"/>
        <w:spacing w:line="400" w:lineRule="exact"/>
        <w:textAlignment w:val="auto"/>
        <w:rPr>
          <w:rFonts w:ascii="宋体" w:hAnsi="宋体" w:cs="宋体"/>
          <w:color w:val="auto"/>
          <w:sz w:val="24"/>
          <w:szCs w:val="24"/>
          <w:highlight w:val="none"/>
        </w:rPr>
      </w:pPr>
    </w:p>
    <w:p w14:paraId="4A7C0C5C">
      <w:pPr>
        <w:pageBreakBefore w:val="0"/>
        <w:kinsoku/>
        <w:wordWrap/>
        <w:overflowPunct/>
        <w:topLinePunct w:val="0"/>
        <w:bidi w:val="0"/>
        <w:spacing w:line="400" w:lineRule="exact"/>
        <w:ind w:firstLine="480" w:firstLineChars="200"/>
        <w:jc w:val="center"/>
        <w:textAlignment w:val="auto"/>
        <w:rPr>
          <w:rFonts w:ascii="宋体" w:hAnsi="宋体" w:cs="宋体"/>
          <w:color w:val="auto"/>
          <w:sz w:val="24"/>
          <w:szCs w:val="24"/>
          <w:highlight w:val="none"/>
        </w:rPr>
      </w:pPr>
    </w:p>
    <w:p w14:paraId="779C08AA">
      <w:pPr>
        <w:pageBreakBefore w:val="0"/>
        <w:kinsoku/>
        <w:wordWrap/>
        <w:overflowPunct/>
        <w:topLinePunct w:val="0"/>
        <w:bidi w:val="0"/>
        <w:spacing w:line="400" w:lineRule="exact"/>
        <w:ind w:firstLine="480" w:firstLineChars="200"/>
        <w:jc w:val="center"/>
        <w:textAlignment w:val="auto"/>
        <w:outlineLvl w:val="0"/>
        <w:rPr>
          <w:rFonts w:ascii="宋体" w:hAnsi="宋体" w:cs="宋体"/>
          <w:color w:val="auto"/>
          <w:highlight w:val="none"/>
        </w:rPr>
      </w:pPr>
      <w:bookmarkStart w:id="336" w:name="_Toc4009"/>
      <w:r>
        <w:rPr>
          <w:rFonts w:hint="eastAsia" w:ascii="宋体" w:hAnsi="宋体" w:cs="宋体"/>
          <w:color w:val="auto"/>
          <w:sz w:val="24"/>
          <w:szCs w:val="24"/>
          <w:highlight w:val="none"/>
        </w:rPr>
        <w:t>（结束）</w:t>
      </w:r>
      <w:bookmarkEnd w:id="336"/>
    </w:p>
    <w:sectPr>
      <w:pgSz w:w="11907" w:h="16840"/>
      <w:pgMar w:top="1134" w:right="1191" w:bottom="1134" w:left="1304" w:header="794" w:footer="992" w:gutter="0"/>
      <w:pgNumType w:fmt="numberInDash"/>
      <w:cols w:space="0" w:num="1"/>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F3872">
    <w:pPr>
      <w:pStyle w:val="20"/>
      <w:framePr w:wrap="around" w:vAnchor="text" w:hAnchor="margin" w:xAlign="center" w:y="1"/>
      <w:rPr>
        <w:rStyle w:val="32"/>
      </w:rPr>
    </w:pPr>
    <w:r>
      <w:fldChar w:fldCharType="begin"/>
    </w:r>
    <w:r>
      <w:rPr>
        <w:rStyle w:val="32"/>
      </w:rPr>
      <w:instrText xml:space="preserve">PAGE  </w:instrText>
    </w:r>
    <w:r>
      <w:fldChar w:fldCharType="end"/>
    </w:r>
  </w:p>
  <w:p w14:paraId="7C36EE8C">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29D6D">
    <w:pPr>
      <w:pStyle w:val="20"/>
      <w:framePr w:wrap="around" w:vAnchor="text" w:hAnchor="margin" w:xAlign="center" w:y="1"/>
      <w:rPr>
        <w:rStyle w:val="32"/>
      </w:rPr>
    </w:pPr>
  </w:p>
  <w:p w14:paraId="2C6BB12A">
    <w:pPr>
      <w:pStyle w:val="20"/>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E5492">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0246AA">
                          <w:pPr>
                            <w:pStyle w:val="2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00246AA">
                    <w:pPr>
                      <w:pStyle w:val="2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140F2">
    <w:pPr>
      <w:pStyle w:val="20"/>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5AFEB7">
                          <w:pPr>
                            <w:pStyle w:val="20"/>
                          </w:pPr>
                          <w:r>
                            <w:fldChar w:fldCharType="begin"/>
                          </w:r>
                          <w:r>
                            <w:instrText xml:space="preserve"> PAGE  \* MERGEFORMAT </w:instrText>
                          </w:r>
                          <w:r>
                            <w:fldChar w:fldCharType="separate"/>
                          </w:r>
                          <w:r>
                            <w:t>- 17 -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F5AFEB7">
                    <w:pPr>
                      <w:pStyle w:val="20"/>
                    </w:pPr>
                    <w:r>
                      <w:fldChar w:fldCharType="begin"/>
                    </w:r>
                    <w:r>
                      <w:instrText xml:space="preserve"> PAGE  \* MERGEFORMAT </w:instrText>
                    </w:r>
                    <w:r>
                      <w:fldChar w:fldCharType="separate"/>
                    </w:r>
                    <w:r>
                      <w:t>- 17 -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48B7E">
    <w:pPr>
      <w:pBdr>
        <w:bottom w:val="single" w:color="auto" w:sz="4" w:space="0"/>
      </w:pBdr>
    </w:pPr>
    <w:r>
      <w:rPr>
        <w:rFonts w:hint="eastAsia" w:ascii="宋体" w:hAnsi="宋体" w:cs="宋体"/>
        <w:sz w:val="21"/>
        <w:szCs w:val="21"/>
      </w:rPr>
      <w:drawing>
        <wp:inline distT="0" distB="0" distL="0" distR="0">
          <wp:extent cx="1035685" cy="238760"/>
          <wp:effectExtent l="0" t="0" r="12065" b="8890"/>
          <wp:docPr id="4097" name="图片 1" descr="41c27853c758a996df789047efa7338"/>
          <wp:cNvGraphicFramePr/>
          <a:graphic xmlns:a="http://schemas.openxmlformats.org/drawingml/2006/main">
            <a:graphicData uri="http://schemas.openxmlformats.org/drawingml/2006/picture">
              <pic:pic xmlns:pic="http://schemas.openxmlformats.org/drawingml/2006/picture">
                <pic:nvPicPr>
                  <pic:cNvPr id="4097" name="图片 1" descr="41c27853c758a996df789047efa7338"/>
                  <pic:cNvPicPr/>
                </pic:nvPicPr>
                <pic:blipFill>
                  <a:blip r:embed="rId1" cstate="print"/>
                  <a:srcRect/>
                  <a:stretch>
                    <a:fillRect/>
                  </a:stretch>
                </pic:blipFill>
                <pic:spPr>
                  <a:xfrm>
                    <a:off x="0" y="0"/>
                    <a:ext cx="1035685" cy="238760"/>
                  </a:xfrm>
                  <a:prstGeom prst="rect">
                    <a:avLst/>
                  </a:prstGeom>
                  <a:ln>
                    <a:noFill/>
                  </a:ln>
                </pic:spPr>
              </pic:pic>
            </a:graphicData>
          </a:graphic>
        </wp:inline>
      </w:drawing>
    </w:r>
    <w:r>
      <w:rPr>
        <w:rFonts w:hint="eastAsia" w:ascii="宋体" w:hAnsi="宋体" w:cs="宋体"/>
        <w:sz w:val="21"/>
        <w:szCs w:val="21"/>
      </w:rPr>
      <w:t xml:space="preserve">                                                          </w:t>
    </w:r>
    <w:r>
      <w:rPr>
        <w:rFonts w:hint="eastAsia" w:ascii="宋体" w:hAnsi="宋体" w:cs="宋体"/>
        <w:sz w:val="22"/>
        <w:szCs w:val="22"/>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814FB">
    <w:pPr>
      <w:pStyle w:val="2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221B1">
    <w:pPr>
      <w:pBdr>
        <w:bottom w:val="single" w:color="auto" w:sz="4" w:space="0"/>
      </w:pBdr>
      <w:rPr>
        <w:rFonts w:ascii="仿宋" w:hAnsi="仿宋" w:eastAsia="仿宋" w:cs="仿宋"/>
        <w:sz w:val="24"/>
        <w:szCs w:val="24"/>
      </w:rPr>
    </w:pPr>
    <w:r>
      <w:rPr>
        <w:rFonts w:hint="eastAsia" w:ascii="宋体" w:hAnsi="宋体" w:cs="宋体"/>
        <w:sz w:val="21"/>
        <w:szCs w:val="21"/>
      </w:rPr>
      <w:drawing>
        <wp:inline distT="0" distB="0" distL="0" distR="0">
          <wp:extent cx="1035685" cy="238760"/>
          <wp:effectExtent l="0" t="0" r="5715" b="2540"/>
          <wp:docPr id="4098" name="图片 1" descr="41c27853c758a996df789047efa7338"/>
          <wp:cNvGraphicFramePr/>
          <a:graphic xmlns:a="http://schemas.openxmlformats.org/drawingml/2006/main">
            <a:graphicData uri="http://schemas.openxmlformats.org/drawingml/2006/picture">
              <pic:pic xmlns:pic="http://schemas.openxmlformats.org/drawingml/2006/picture">
                <pic:nvPicPr>
                  <pic:cNvPr id="4098" name="图片 1" descr="41c27853c758a996df789047efa7338"/>
                  <pic:cNvPicPr/>
                </pic:nvPicPr>
                <pic:blipFill>
                  <a:blip r:embed="rId1" cstate="print"/>
                  <a:srcRect/>
                  <a:stretch>
                    <a:fillRect/>
                  </a:stretch>
                </pic:blipFill>
                <pic:spPr>
                  <a:xfrm>
                    <a:off x="0" y="0"/>
                    <a:ext cx="1035685" cy="238760"/>
                  </a:xfrm>
                  <a:prstGeom prst="rect">
                    <a:avLst/>
                  </a:prstGeom>
                  <a:ln>
                    <a:noFill/>
                  </a:ln>
                </pic:spPr>
              </pic:pic>
            </a:graphicData>
          </a:graphic>
        </wp:inline>
      </w:drawing>
    </w:r>
    <w:r>
      <w:rPr>
        <w:rFonts w:hint="eastAsia" w:ascii="宋体" w:hAnsi="宋体" w:cs="宋体"/>
        <w:sz w:val="21"/>
        <w:szCs w:val="21"/>
      </w:rPr>
      <w:t xml:space="preserve">                                                      </w:t>
    </w:r>
    <w:r>
      <w:rPr>
        <w:rFonts w:hint="eastAsia" w:ascii="宋体" w:hAnsi="宋体" w:cs="宋体"/>
        <w:sz w:val="24"/>
        <w:szCs w:val="24"/>
      </w:rPr>
      <w:t>竞争性磋商文件</w:t>
    </w:r>
    <w:r>
      <w:rPr>
        <w:rFonts w:hint="eastAsia" w:ascii="仿宋" w:hAnsi="仿宋" w:eastAsia="仿宋" w:cs="仿宋"/>
        <w:sz w:val="24"/>
        <w:szCs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922AF">
    <w:pPr>
      <w:pBdr>
        <w:bottom w:val="single" w:color="auto" w:sz="4" w:space="0"/>
      </w:pBdr>
    </w:pPr>
    <w:r>
      <w:rPr>
        <w:rFonts w:hint="eastAsia" w:ascii="宋体" w:hAnsi="宋体" w:cs="宋体"/>
        <w:sz w:val="21"/>
        <w:szCs w:val="21"/>
      </w:rPr>
      <w:drawing>
        <wp:inline distT="0" distB="0" distL="0" distR="0">
          <wp:extent cx="1035685" cy="238760"/>
          <wp:effectExtent l="0" t="0" r="12065" b="8890"/>
          <wp:docPr id="4099" name="图片 1" descr="41c27853c758a996df789047efa7338"/>
          <wp:cNvGraphicFramePr/>
          <a:graphic xmlns:a="http://schemas.openxmlformats.org/drawingml/2006/main">
            <a:graphicData uri="http://schemas.openxmlformats.org/drawingml/2006/picture">
              <pic:pic xmlns:pic="http://schemas.openxmlformats.org/drawingml/2006/picture">
                <pic:nvPicPr>
                  <pic:cNvPr id="4099" name="图片 1" descr="41c27853c758a996df789047efa7338"/>
                  <pic:cNvPicPr/>
                </pic:nvPicPr>
                <pic:blipFill>
                  <a:blip r:embed="rId1" cstate="print"/>
                  <a:srcRect/>
                  <a:stretch>
                    <a:fillRect/>
                  </a:stretch>
                </pic:blipFill>
                <pic:spPr>
                  <a:xfrm>
                    <a:off x="0" y="0"/>
                    <a:ext cx="1035685" cy="238760"/>
                  </a:xfrm>
                  <a:prstGeom prst="rect">
                    <a:avLst/>
                  </a:prstGeom>
                  <a:ln>
                    <a:noFill/>
                  </a:ln>
                </pic:spPr>
              </pic:pic>
            </a:graphicData>
          </a:graphic>
        </wp:inline>
      </w:drawing>
    </w:r>
    <w:r>
      <w:rPr>
        <w:rFonts w:hint="eastAsia" w:ascii="宋体" w:hAnsi="宋体" w:cs="宋体"/>
        <w:sz w:val="21"/>
        <w:szCs w:val="21"/>
      </w:rPr>
      <w:t xml:space="preserve">                                                          </w:t>
    </w:r>
    <w:r>
      <w:rPr>
        <w:rFonts w:hint="eastAsia" w:ascii="宋体" w:hAnsi="宋体" w:cs="宋体"/>
        <w:sz w:val="22"/>
        <w:szCs w:val="22"/>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780471"/>
    <w:multiLevelType w:val="singleLevel"/>
    <w:tmpl w:val="EF780471"/>
    <w:lvl w:ilvl="0" w:tentative="0">
      <w:start w:val="1"/>
      <w:numFmt w:val="chineseCounting"/>
      <w:suff w:val="nothing"/>
      <w:lvlText w:val="%1、"/>
      <w:lvlJc w:val="left"/>
      <w:rPr>
        <w:rFonts w:hint="eastAsia"/>
      </w:rPr>
    </w:lvl>
  </w:abstractNum>
  <w:abstractNum w:abstractNumId="1">
    <w:nsid w:val="00000001"/>
    <w:multiLevelType w:val="multilevel"/>
    <w:tmpl w:val="00000001"/>
    <w:lvl w:ilvl="0" w:tentative="0">
      <w:start w:val="1"/>
      <w:numFmt w:val="chineseCounting"/>
      <w:pStyle w:val="2"/>
      <w:suff w:val="nothing"/>
      <w:lvlText w:val="第%1章 "/>
      <w:lvlJc w:val="left"/>
      <w:pPr>
        <w:ind w:left="432" w:hanging="432"/>
      </w:pPr>
      <w:rPr>
        <w:rFonts w:hint="eastAsia"/>
      </w:rPr>
    </w:lvl>
    <w:lvl w:ilvl="1" w:tentative="0">
      <w:start w:val="1"/>
      <w:numFmt w:val="decimal"/>
      <w:pStyle w:val="3"/>
      <w:isLgl/>
      <w:lvlText w:val="%1.%2."/>
      <w:lvlJc w:val="left"/>
      <w:pPr>
        <w:ind w:left="575" w:hanging="575"/>
      </w:pPr>
      <w:rPr>
        <w:rFonts w:hint="eastAsia"/>
      </w:rPr>
    </w:lvl>
    <w:lvl w:ilvl="2" w:tentative="0">
      <w:start w:val="1"/>
      <w:numFmt w:val="decimal"/>
      <w:pStyle w:val="4"/>
      <w:isLgl/>
      <w:lvlText w:val="%1.%2.%3."/>
      <w:lvlJc w:val="left"/>
      <w:pPr>
        <w:ind w:left="720" w:hanging="720"/>
      </w:pPr>
      <w:rPr>
        <w:rFonts w:hint="eastAsia"/>
      </w:rPr>
    </w:lvl>
    <w:lvl w:ilvl="3" w:tentative="0">
      <w:start w:val="1"/>
      <w:numFmt w:val="decimal"/>
      <w:pStyle w:val="5"/>
      <w:isLgl/>
      <w:lvlText w:val="%1.%2.%3.%4."/>
      <w:lvlJc w:val="left"/>
      <w:pPr>
        <w:ind w:left="864" w:hanging="864"/>
      </w:pPr>
      <w:rPr>
        <w:rFonts w:hint="eastAsia"/>
      </w:rPr>
    </w:lvl>
    <w:lvl w:ilvl="4" w:tentative="0">
      <w:start w:val="1"/>
      <w:numFmt w:val="decimal"/>
      <w:pStyle w:val="6"/>
      <w:isLgl/>
      <w:lvlText w:val="%1.%2.%3.%4.%5."/>
      <w:lvlJc w:val="left"/>
      <w:pPr>
        <w:ind w:left="1008" w:hanging="1008"/>
      </w:pPr>
      <w:rPr>
        <w:rFonts w:hint="eastAsia"/>
      </w:rPr>
    </w:lvl>
    <w:lvl w:ilvl="5" w:tentative="0">
      <w:start w:val="1"/>
      <w:numFmt w:val="decimal"/>
      <w:pStyle w:val="7"/>
      <w:isLgl/>
      <w:lvlText w:val="%1.%2.%3.%4.%5.%6."/>
      <w:lvlJc w:val="left"/>
      <w:pPr>
        <w:ind w:left="1151" w:hanging="1151"/>
      </w:pPr>
      <w:rPr>
        <w:rFonts w:hint="eastAsia"/>
      </w:rPr>
    </w:lvl>
    <w:lvl w:ilvl="6" w:tentative="0">
      <w:start w:val="1"/>
      <w:numFmt w:val="decimal"/>
      <w:pStyle w:val="8"/>
      <w:isLgl/>
      <w:lvlText w:val="%1.%2.%3.%4.%5.%6.%7."/>
      <w:lvlJc w:val="left"/>
      <w:pPr>
        <w:ind w:left="1296" w:hanging="1296"/>
      </w:pPr>
      <w:rPr>
        <w:rFonts w:hint="eastAsia"/>
      </w:rPr>
    </w:lvl>
    <w:lvl w:ilvl="7" w:tentative="0">
      <w:start w:val="1"/>
      <w:numFmt w:val="decimal"/>
      <w:pStyle w:val="9"/>
      <w:isLgl/>
      <w:lvlText w:val="%1.%2.%3.%4.%5.%6.%7.%8."/>
      <w:lvlJc w:val="left"/>
      <w:pPr>
        <w:ind w:left="1440" w:hanging="1440"/>
      </w:pPr>
      <w:rPr>
        <w:rFonts w:hint="eastAsia"/>
      </w:rPr>
    </w:lvl>
    <w:lvl w:ilvl="8" w:tentative="0">
      <w:start w:val="1"/>
      <w:numFmt w:val="decimal"/>
      <w:pStyle w:val="10"/>
      <w:isLgl/>
      <w:lvlText w:val="%1.%2.%3.%4.%5.%6.%7.%8.%9."/>
      <w:lvlJc w:val="left"/>
      <w:pPr>
        <w:ind w:left="1583" w:hanging="1583"/>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6D732A"/>
    <w:rsid w:val="04A25D9D"/>
    <w:rsid w:val="0C6D0117"/>
    <w:rsid w:val="116E59F0"/>
    <w:rsid w:val="11C3120A"/>
    <w:rsid w:val="15C64FDE"/>
    <w:rsid w:val="18AA5D35"/>
    <w:rsid w:val="1F4B3573"/>
    <w:rsid w:val="24A31BBC"/>
    <w:rsid w:val="2DE16797"/>
    <w:rsid w:val="30612E30"/>
    <w:rsid w:val="307F238E"/>
    <w:rsid w:val="365141C7"/>
    <w:rsid w:val="45BD5F00"/>
    <w:rsid w:val="48072B29"/>
    <w:rsid w:val="4F016627"/>
    <w:rsid w:val="5F04228A"/>
    <w:rsid w:val="5F33435B"/>
    <w:rsid w:val="661F2341"/>
    <w:rsid w:val="66D66966"/>
    <w:rsid w:val="679B79FA"/>
    <w:rsid w:val="6D303167"/>
    <w:rsid w:val="7BA163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44"/>
    <w:qFormat/>
    <w:uiPriority w:val="0"/>
    <w:pPr>
      <w:widowControl/>
      <w:numPr>
        <w:ilvl w:val="0"/>
        <w:numId w:val="1"/>
      </w:numPr>
      <w:spacing w:beforeAutospacing="1" w:afterAutospacing="1" w:line="560" w:lineRule="exact"/>
      <w:jc w:val="center"/>
      <w:outlineLvl w:val="0"/>
    </w:pPr>
    <w:rPr>
      <w:rFonts w:ascii="方正小标宋_GBK" w:hAnsi="方正小标宋_GBK" w:eastAsia="仿宋" w:cs="方正小标宋_GBK"/>
      <w:kern w:val="36"/>
      <w:sz w:val="36"/>
      <w:szCs w:val="32"/>
    </w:rPr>
  </w:style>
  <w:style w:type="paragraph" w:styleId="3">
    <w:name w:val="heading 2"/>
    <w:basedOn w:val="1"/>
    <w:next w:val="1"/>
    <w:link w:val="37"/>
    <w:qFormat/>
    <w:uiPriority w:val="0"/>
    <w:pPr>
      <w:keepNext/>
      <w:keepLines/>
      <w:numPr>
        <w:ilvl w:val="1"/>
        <w:numId w:val="1"/>
      </w:numPr>
      <w:spacing w:line="560" w:lineRule="exact"/>
      <w:jc w:val="left"/>
      <w:outlineLvl w:val="1"/>
    </w:pPr>
    <w:rPr>
      <w:rFonts w:ascii="Calibri Light" w:hAnsi="Calibri Light" w:eastAsia="方正小标宋_GBK" w:cs="宋体"/>
      <w:bCs/>
      <w:sz w:val="32"/>
      <w:szCs w:val="32"/>
    </w:rPr>
  </w:style>
  <w:style w:type="paragraph" w:styleId="4">
    <w:name w:val="heading 3"/>
    <w:basedOn w:val="1"/>
    <w:next w:val="1"/>
    <w:link w:val="45"/>
    <w:qFormat/>
    <w:uiPriority w:val="0"/>
    <w:pPr>
      <w:keepNext/>
      <w:keepLines/>
      <w:numPr>
        <w:ilvl w:val="2"/>
        <w:numId w:val="1"/>
      </w:numPr>
      <w:spacing w:line="560" w:lineRule="exact"/>
      <w:ind w:left="680" w:firstLine="0"/>
      <w:jc w:val="left"/>
      <w:outlineLvl w:val="2"/>
    </w:pPr>
    <w:rPr>
      <w:rFonts w:ascii="方正小标宋_GBK" w:hAnsi="方正小标宋_GBK" w:eastAsia="方正小标宋_GBK" w:cs="方正小标宋_GBK"/>
      <w:sz w:val="32"/>
      <w:szCs w:val="32"/>
    </w:rPr>
  </w:style>
  <w:style w:type="paragraph" w:styleId="5">
    <w:name w:val="heading 4"/>
    <w:basedOn w:val="1"/>
    <w:next w:val="1"/>
    <w:link w:val="46"/>
    <w:qFormat/>
    <w:uiPriority w:val="0"/>
    <w:pPr>
      <w:keepNext/>
      <w:keepLines/>
      <w:numPr>
        <w:ilvl w:val="3"/>
        <w:numId w:val="1"/>
      </w:numPr>
      <w:spacing w:before="280" w:after="290" w:line="560" w:lineRule="exact"/>
      <w:jc w:val="left"/>
      <w:outlineLvl w:val="3"/>
    </w:pPr>
    <w:rPr>
      <w:rFonts w:ascii="方正小标宋_GBK" w:hAnsi="方正小标宋_GBK" w:eastAsia="方正小标宋_GBK" w:cs="方正仿宋_GBK"/>
      <w:sz w:val="32"/>
      <w:szCs w:val="28"/>
    </w:rPr>
  </w:style>
  <w:style w:type="paragraph" w:styleId="6">
    <w:name w:val="heading 5"/>
    <w:basedOn w:val="1"/>
    <w:next w:val="1"/>
    <w:qFormat/>
    <w:uiPriority w:val="0"/>
    <w:pPr>
      <w:keepNext/>
      <w:keepLines/>
      <w:numPr>
        <w:ilvl w:val="4"/>
        <w:numId w:val="1"/>
      </w:numPr>
      <w:spacing w:line="372" w:lineRule="auto"/>
      <w:outlineLvl w:val="4"/>
    </w:pPr>
    <w:rPr>
      <w:b/>
    </w:rPr>
  </w:style>
  <w:style w:type="paragraph" w:styleId="7">
    <w:name w:val="heading 6"/>
    <w:basedOn w:val="1"/>
    <w:next w:val="1"/>
    <w:qFormat/>
    <w:uiPriority w:val="0"/>
    <w:pPr>
      <w:keepNext/>
      <w:keepLines/>
      <w:numPr>
        <w:ilvl w:val="5"/>
        <w:numId w:val="1"/>
      </w:numPr>
      <w:spacing w:line="317" w:lineRule="auto"/>
      <w:outlineLvl w:val="5"/>
    </w:pPr>
    <w:rPr>
      <w:rFonts w:ascii="Arial" w:hAnsi="Arial" w:eastAsia="黑体"/>
      <w:b/>
      <w:sz w:val="24"/>
    </w:rPr>
  </w:style>
  <w:style w:type="paragraph" w:styleId="8">
    <w:name w:val="heading 7"/>
    <w:basedOn w:val="1"/>
    <w:next w:val="1"/>
    <w:qFormat/>
    <w:uiPriority w:val="0"/>
    <w:pPr>
      <w:keepNext/>
      <w:keepLines/>
      <w:numPr>
        <w:ilvl w:val="6"/>
        <w:numId w:val="1"/>
      </w:numPr>
      <w:spacing w:line="317" w:lineRule="auto"/>
      <w:outlineLvl w:val="6"/>
    </w:pPr>
    <w:rPr>
      <w:b/>
      <w:sz w:val="24"/>
    </w:rPr>
  </w:style>
  <w:style w:type="paragraph" w:styleId="9">
    <w:name w:val="heading 8"/>
    <w:basedOn w:val="1"/>
    <w:next w:val="1"/>
    <w:qFormat/>
    <w:uiPriority w:val="0"/>
    <w:pPr>
      <w:keepNext/>
      <w:keepLines/>
      <w:numPr>
        <w:ilvl w:val="7"/>
        <w:numId w:val="1"/>
      </w:numPr>
      <w:spacing w:line="317" w:lineRule="auto"/>
      <w:outlineLvl w:val="7"/>
    </w:pPr>
    <w:rPr>
      <w:rFonts w:ascii="Arial" w:hAnsi="Arial" w:eastAsia="黑体"/>
      <w:sz w:val="24"/>
    </w:rPr>
  </w:style>
  <w:style w:type="paragraph" w:styleId="10">
    <w:name w:val="heading 9"/>
    <w:basedOn w:val="1"/>
    <w:next w:val="1"/>
    <w:qFormat/>
    <w:uiPriority w:val="0"/>
    <w:pPr>
      <w:keepNext/>
      <w:keepLines/>
      <w:numPr>
        <w:ilvl w:val="8"/>
        <w:numId w:val="1"/>
      </w:numPr>
      <w:spacing w:line="317" w:lineRule="auto"/>
      <w:outlineLvl w:val="8"/>
    </w:pPr>
    <w:rPr>
      <w:rFonts w:ascii="Arial" w:hAnsi="Arial" w:eastAsia="黑体"/>
      <w:sz w:val="21"/>
    </w:rPr>
  </w:style>
  <w:style w:type="character" w:default="1" w:styleId="31">
    <w:name w:val="Default Paragraph Font"/>
    <w:unhideWhenUsed/>
    <w:qFormat/>
    <w:uiPriority w:val="1"/>
  </w:style>
  <w:style w:type="table" w:default="1" w:styleId="29">
    <w:name w:val="Normal Table"/>
    <w:unhideWhenUsed/>
    <w:qFormat/>
    <w:uiPriority w:val="99"/>
    <w:tblPr>
      <w:tblCellMar>
        <w:top w:w="0" w:type="dxa"/>
        <w:left w:w="108" w:type="dxa"/>
        <w:bottom w:w="0" w:type="dxa"/>
        <w:right w:w="108" w:type="dxa"/>
      </w:tblCellMar>
    </w:tblPr>
  </w:style>
  <w:style w:type="paragraph" w:styleId="11">
    <w:name w:val="Normal Indent"/>
    <w:basedOn w:val="1"/>
    <w:qFormat/>
    <w:uiPriority w:val="0"/>
    <w:pPr>
      <w:adjustRightInd w:val="0"/>
      <w:snapToGrid w:val="0"/>
      <w:spacing w:line="360" w:lineRule="auto"/>
      <w:ind w:firstLine="420"/>
    </w:pPr>
    <w:rPr>
      <w:sz w:val="24"/>
    </w:rPr>
  </w:style>
  <w:style w:type="paragraph" w:styleId="12">
    <w:name w:val="annotation text"/>
    <w:basedOn w:val="1"/>
    <w:qFormat/>
    <w:uiPriority w:val="0"/>
    <w:pPr>
      <w:adjustRightInd w:val="0"/>
      <w:spacing w:line="360" w:lineRule="atLeast"/>
      <w:jc w:val="left"/>
      <w:textAlignment w:val="baseline"/>
    </w:pPr>
    <w:rPr>
      <w:kern w:val="0"/>
      <w:sz w:val="24"/>
    </w:rPr>
  </w:style>
  <w:style w:type="paragraph" w:styleId="13">
    <w:name w:val="Body Text"/>
    <w:basedOn w:val="1"/>
    <w:next w:val="1"/>
    <w:qFormat/>
    <w:uiPriority w:val="0"/>
    <w:rPr>
      <w:rFonts w:ascii="仿宋_GB2312" w:eastAsia="仿宋_GB2312"/>
      <w:sz w:val="32"/>
    </w:rPr>
  </w:style>
  <w:style w:type="paragraph" w:styleId="14">
    <w:name w:val="Body Text Indent"/>
    <w:basedOn w:val="1"/>
    <w:qFormat/>
    <w:uiPriority w:val="0"/>
    <w:pPr>
      <w:spacing w:line="700" w:lineRule="exact"/>
      <w:ind w:left="960"/>
    </w:pPr>
    <w:rPr>
      <w:sz w:val="44"/>
    </w:rPr>
  </w:style>
  <w:style w:type="paragraph" w:styleId="15">
    <w:name w:val="toc 3"/>
    <w:basedOn w:val="1"/>
    <w:next w:val="1"/>
    <w:qFormat/>
    <w:uiPriority w:val="0"/>
    <w:pPr>
      <w:ind w:left="840" w:leftChars="400"/>
    </w:pPr>
  </w:style>
  <w:style w:type="paragraph" w:styleId="16">
    <w:name w:val="Plain Text"/>
    <w:basedOn w:val="1"/>
    <w:qFormat/>
    <w:uiPriority w:val="0"/>
    <w:rPr>
      <w:rFonts w:ascii="宋体" w:hAnsi="Courier New"/>
      <w:sz w:val="21"/>
    </w:rPr>
  </w:style>
  <w:style w:type="paragraph" w:styleId="17">
    <w:name w:val="Date"/>
    <w:basedOn w:val="1"/>
    <w:next w:val="1"/>
    <w:qFormat/>
    <w:uiPriority w:val="0"/>
  </w:style>
  <w:style w:type="paragraph" w:styleId="18">
    <w:name w:val="Body Text Indent 2"/>
    <w:basedOn w:val="1"/>
    <w:qFormat/>
    <w:uiPriority w:val="0"/>
    <w:pPr>
      <w:snapToGrid w:val="0"/>
      <w:spacing w:line="560" w:lineRule="atLeast"/>
      <w:ind w:firstLine="540"/>
    </w:pPr>
  </w:style>
  <w:style w:type="paragraph" w:styleId="19">
    <w:name w:val="Balloon Text"/>
    <w:basedOn w:val="1"/>
    <w:link w:val="54"/>
    <w:qFormat/>
    <w:uiPriority w:val="0"/>
    <w:rPr>
      <w:sz w:val="18"/>
      <w:szCs w:val="18"/>
    </w:rPr>
  </w:style>
  <w:style w:type="paragraph" w:styleId="20">
    <w:name w:val="footer"/>
    <w:basedOn w:val="1"/>
    <w:qFormat/>
    <w:uiPriority w:val="0"/>
    <w:pPr>
      <w:tabs>
        <w:tab w:val="center" w:pos="4153"/>
        <w:tab w:val="right" w:pos="8306"/>
      </w:tabs>
      <w:snapToGrid w:val="0"/>
      <w:jc w:val="left"/>
    </w:pPr>
    <w:rPr>
      <w:sz w:val="18"/>
    </w:rPr>
  </w:style>
  <w:style w:type="paragraph" w:styleId="21">
    <w:name w:val="envelope return"/>
    <w:basedOn w:val="1"/>
    <w:qFormat/>
    <w:uiPriority w:val="0"/>
    <w:pPr>
      <w:snapToGrid w:val="0"/>
    </w:pPr>
    <w:rPr>
      <w:rFonts w:ascii="Arial" w:hAnsi="Arial" w:eastAsia="微软雅黑"/>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rPr>
  </w:style>
  <w:style w:type="paragraph" w:styleId="23">
    <w:name w:val="toc 1"/>
    <w:basedOn w:val="1"/>
    <w:next w:val="1"/>
    <w:qFormat/>
    <w:uiPriority w:val="0"/>
    <w:pPr>
      <w:spacing w:line="180" w:lineRule="auto"/>
      <w:jc w:val="center"/>
    </w:pPr>
    <w:rPr>
      <w:sz w:val="30"/>
    </w:rPr>
  </w:style>
  <w:style w:type="paragraph" w:styleId="24">
    <w:name w:val="toc 2"/>
    <w:basedOn w:val="1"/>
    <w:next w:val="1"/>
    <w:qFormat/>
    <w:uiPriority w:val="39"/>
    <w:pPr>
      <w:ind w:left="420" w:leftChars="200"/>
    </w:pPr>
  </w:style>
  <w:style w:type="paragraph" w:styleId="2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26">
    <w:name w:val="Normal (Web)"/>
    <w:basedOn w:val="1"/>
    <w:qFormat/>
    <w:uiPriority w:val="0"/>
    <w:pPr>
      <w:spacing w:beforeAutospacing="1" w:afterAutospacing="1"/>
      <w:jc w:val="left"/>
    </w:pPr>
    <w:rPr>
      <w:kern w:val="0"/>
      <w:sz w:val="24"/>
    </w:rPr>
  </w:style>
  <w:style w:type="paragraph" w:styleId="27">
    <w:name w:val="Body Text First Indent"/>
    <w:basedOn w:val="13"/>
    <w:next w:val="28"/>
    <w:qFormat/>
    <w:uiPriority w:val="0"/>
    <w:pPr>
      <w:spacing w:line="360" w:lineRule="auto"/>
      <w:ind w:firstLine="420"/>
    </w:pPr>
    <w:rPr>
      <w:rFonts w:ascii="宋体" w:hAnsi="宋体"/>
      <w:sz w:val="24"/>
    </w:rPr>
  </w:style>
  <w:style w:type="paragraph" w:styleId="28">
    <w:name w:val="Body Text First Indent 2"/>
    <w:basedOn w:val="14"/>
    <w:next w:val="1"/>
    <w:qFormat/>
    <w:uiPriority w:val="0"/>
    <w:pPr>
      <w:spacing w:after="120" w:line="240" w:lineRule="auto"/>
      <w:ind w:left="420" w:leftChars="200" w:firstLine="420" w:firstLineChars="200"/>
    </w:pPr>
  </w:style>
  <w:style w:type="table" w:styleId="30">
    <w:name w:val="Table Grid"/>
    <w:basedOn w:val="29"/>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page number"/>
    <w:qFormat/>
    <w:uiPriority w:val="0"/>
  </w:style>
  <w:style w:type="character" w:styleId="33">
    <w:name w:val="Hyperlink"/>
    <w:basedOn w:val="31"/>
    <w:qFormat/>
    <w:uiPriority w:val="0"/>
    <w:rPr>
      <w:color w:val="0000FF"/>
      <w:u w:val="single"/>
    </w:rPr>
  </w:style>
  <w:style w:type="character" w:styleId="34">
    <w:name w:val="annotation reference"/>
    <w:basedOn w:val="31"/>
    <w:qFormat/>
    <w:uiPriority w:val="0"/>
    <w:rPr>
      <w:sz w:val="21"/>
      <w:szCs w:val="21"/>
    </w:rPr>
  </w:style>
  <w:style w:type="paragraph" w:customStyle="1" w:styleId="35">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36">
    <w:name w:val="Default"/>
    <w:basedOn w:val="13"/>
    <w:qFormat/>
    <w:uiPriority w:val="0"/>
    <w:pPr>
      <w:autoSpaceDE w:val="0"/>
      <w:autoSpaceDN w:val="0"/>
      <w:adjustRightInd w:val="0"/>
    </w:pPr>
    <w:rPr>
      <w:rFonts w:ascii="宋体" w:hAnsi="Calibri" w:eastAsia="微软雅黑"/>
      <w:color w:val="000000"/>
      <w:sz w:val="24"/>
    </w:rPr>
  </w:style>
  <w:style w:type="character" w:customStyle="1" w:styleId="37">
    <w:name w:val="标题 2 Char"/>
    <w:link w:val="3"/>
    <w:qFormat/>
    <w:uiPriority w:val="0"/>
    <w:rPr>
      <w:rFonts w:ascii="Calibri Light" w:hAnsi="Calibri Light" w:eastAsia="方正小标宋_GBK" w:cs="宋体"/>
      <w:bCs/>
      <w:kern w:val="2"/>
      <w:sz w:val="32"/>
      <w:szCs w:val="32"/>
    </w:rPr>
  </w:style>
  <w:style w:type="paragraph" w:customStyle="1" w:styleId="3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9">
    <w:name w:val="目录 11"/>
    <w:basedOn w:val="1"/>
    <w:next w:val="1"/>
    <w:qFormat/>
    <w:uiPriority w:val="0"/>
    <w:pPr>
      <w:spacing w:line="180" w:lineRule="auto"/>
      <w:jc w:val="center"/>
    </w:pPr>
    <w:rPr>
      <w:sz w:val="30"/>
    </w:rPr>
  </w:style>
  <w:style w:type="paragraph" w:customStyle="1" w:styleId="40">
    <w:name w:val="标题 31"/>
    <w:basedOn w:val="1"/>
    <w:next w:val="1"/>
    <w:qFormat/>
    <w:uiPriority w:val="0"/>
    <w:pPr>
      <w:keepNext/>
      <w:keepLines/>
      <w:spacing w:before="260" w:after="260" w:line="413" w:lineRule="auto"/>
      <w:outlineLvl w:val="2"/>
    </w:pPr>
    <w:rPr>
      <w:b/>
      <w:sz w:val="32"/>
    </w:rPr>
  </w:style>
  <w:style w:type="paragraph" w:customStyle="1" w:styleId="41">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42">
    <w:name w:val="Char Char Char Char1"/>
    <w:basedOn w:val="1"/>
    <w:next w:val="1"/>
    <w:qFormat/>
    <w:uiPriority w:val="0"/>
    <w:pPr>
      <w:tabs>
        <w:tab w:val="left" w:pos="0"/>
      </w:tabs>
      <w:spacing w:after="160" w:line="240" w:lineRule="exact"/>
      <w:textAlignment w:val="baseline"/>
    </w:pPr>
    <w:rPr>
      <w:rFonts w:ascii="Arial" w:hAnsi="Arial" w:eastAsia="Times New Roman" w:cs="Verdana"/>
      <w:b/>
      <w:lang w:eastAsia="en-US"/>
    </w:rPr>
  </w:style>
  <w:style w:type="paragraph" w:customStyle="1" w:styleId="43">
    <w:name w:val="无间隔1"/>
    <w:qFormat/>
    <w:uiPriority w:val="1"/>
    <w:pPr>
      <w:jc w:val="both"/>
    </w:pPr>
    <w:rPr>
      <w:rFonts w:ascii="Calibri" w:hAnsi="Calibri" w:eastAsia="Times New Roman" w:cs="Times New Roman"/>
      <w:lang w:val="en-US" w:eastAsia="zh-CN" w:bidi="ar-SA"/>
    </w:rPr>
  </w:style>
  <w:style w:type="character" w:customStyle="1" w:styleId="44">
    <w:name w:val="标题 1 Char"/>
    <w:basedOn w:val="31"/>
    <w:link w:val="2"/>
    <w:qFormat/>
    <w:uiPriority w:val="0"/>
    <w:rPr>
      <w:rFonts w:ascii="方正小标宋_GBK" w:hAnsi="方正小标宋_GBK" w:eastAsia="仿宋" w:cs="方正小标宋_GBK"/>
      <w:kern w:val="36"/>
      <w:sz w:val="36"/>
      <w:szCs w:val="32"/>
    </w:rPr>
  </w:style>
  <w:style w:type="character" w:customStyle="1" w:styleId="45">
    <w:name w:val="标题 3 Char"/>
    <w:link w:val="4"/>
    <w:qFormat/>
    <w:uiPriority w:val="0"/>
    <w:rPr>
      <w:rFonts w:ascii="方正小标宋_GBK" w:hAnsi="方正小标宋_GBK" w:eastAsia="方正小标宋_GBK" w:cs="方正小标宋_GBK"/>
      <w:kern w:val="2"/>
      <w:sz w:val="32"/>
      <w:szCs w:val="32"/>
    </w:rPr>
  </w:style>
  <w:style w:type="character" w:customStyle="1" w:styleId="46">
    <w:name w:val="标题 4 Char"/>
    <w:link w:val="5"/>
    <w:qFormat/>
    <w:uiPriority w:val="0"/>
    <w:rPr>
      <w:rFonts w:ascii="方正小标宋_GBK" w:hAnsi="方正小标宋_GBK" w:eastAsia="方正小标宋_GBK" w:cs="方正仿宋_GBK"/>
      <w:kern w:val="2"/>
      <w:sz w:val="32"/>
      <w:szCs w:val="28"/>
    </w:rPr>
  </w:style>
  <w:style w:type="paragraph" w:customStyle="1" w:styleId="47">
    <w:name w:val="图例"/>
    <w:basedOn w:val="1"/>
    <w:qFormat/>
    <w:uiPriority w:val="0"/>
    <w:pPr>
      <w:spacing w:line="360" w:lineRule="auto"/>
      <w:jc w:val="center"/>
    </w:pPr>
    <w:rPr>
      <w:rFonts w:eastAsia="仿宋_GB2312"/>
      <w:b/>
      <w:sz w:val="24"/>
    </w:rPr>
  </w:style>
  <w:style w:type="paragraph" w:customStyle="1" w:styleId="48">
    <w:name w:val="1"/>
    <w:basedOn w:val="1"/>
    <w:next w:val="16"/>
    <w:qFormat/>
    <w:uiPriority w:val="0"/>
    <w:rPr>
      <w:rFonts w:ascii="宋体" w:hAnsi="Courier New"/>
      <w:sz w:val="21"/>
    </w:rPr>
  </w:style>
  <w:style w:type="paragraph" w:customStyle="1" w:styleId="49">
    <w:name w:val="摘要"/>
    <w:basedOn w:val="1"/>
    <w:next w:val="3"/>
    <w:qFormat/>
    <w:uiPriority w:val="0"/>
    <w:pPr>
      <w:spacing w:line="360" w:lineRule="auto"/>
    </w:pPr>
    <w:rPr>
      <w:rFonts w:eastAsia="黑体"/>
      <w:sz w:val="20"/>
    </w:rPr>
  </w:style>
  <w:style w:type="paragraph" w:customStyle="1" w:styleId="50">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51">
    <w:name w:val="正文1"/>
    <w:basedOn w:val="1"/>
    <w:next w:val="52"/>
    <w:qFormat/>
    <w:uiPriority w:val="0"/>
    <w:pPr>
      <w:spacing w:line="300" w:lineRule="auto"/>
      <w:ind w:firstLine="200" w:firstLineChars="200"/>
    </w:pPr>
    <w:rPr>
      <w:sz w:val="24"/>
    </w:rPr>
  </w:style>
  <w:style w:type="paragraph" w:customStyle="1" w:styleId="52">
    <w:name w:val="正文文本1"/>
    <w:basedOn w:val="51"/>
    <w:next w:val="53"/>
    <w:qFormat/>
    <w:uiPriority w:val="0"/>
    <w:rPr>
      <w:rFonts w:ascii="??_GB2312;??" w:hAnsi="??_GB2312;??" w:eastAsia="Times New Roman"/>
      <w:sz w:val="32"/>
    </w:rPr>
  </w:style>
  <w:style w:type="paragraph" w:customStyle="1" w:styleId="53">
    <w:name w:val="目录 53"/>
    <w:next w:val="1"/>
    <w:qFormat/>
    <w:uiPriority w:val="0"/>
    <w:pPr>
      <w:ind w:left="1275"/>
      <w:jc w:val="both"/>
    </w:pPr>
    <w:rPr>
      <w:rFonts w:ascii="Calibri" w:hAnsi="Calibri" w:eastAsia="宋体" w:cs="Calibri"/>
      <w:sz w:val="21"/>
      <w:lang w:val="en-US" w:eastAsia="zh-CN" w:bidi="ar-SA"/>
    </w:rPr>
  </w:style>
  <w:style w:type="character" w:customStyle="1" w:styleId="54">
    <w:name w:val="批注框文本 Char"/>
    <w:basedOn w:val="31"/>
    <w:link w:val="19"/>
    <w:qFormat/>
    <w:uiPriority w:val="0"/>
    <w:rPr>
      <w:kern w:val="2"/>
      <w:sz w:val="18"/>
      <w:szCs w:val="18"/>
    </w:rPr>
  </w:style>
  <w:style w:type="paragraph" w:customStyle="1" w:styleId="55">
    <w:name w:val="List Paragraph"/>
    <w:basedOn w:val="1"/>
    <w:qFormat/>
    <w:uiPriority w:val="99"/>
    <w:pPr>
      <w:ind w:firstLine="420" w:firstLineChars="200"/>
    </w:pPr>
  </w:style>
  <w:style w:type="paragraph" w:customStyle="1" w:styleId="56">
    <w:name w:val="BodyText"/>
    <w:basedOn w:val="1"/>
    <w:next w:val="1"/>
    <w:qFormat/>
    <w:uiPriority w:val="0"/>
  </w:style>
  <w:style w:type="paragraph" w:customStyle="1" w:styleId="57">
    <w:name w:val="Table Text"/>
    <w:basedOn w:val="1"/>
    <w:qFormat/>
    <w:uiPriority w:val="0"/>
    <w:rPr>
      <w:rFonts w:ascii="宋体" w:hAnsi="宋体" w:cs="宋体"/>
      <w:sz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35</Pages>
  <Words>15350</Words>
  <Characters>16227</Characters>
  <Lines>132</Lines>
  <Paragraphs>37</Paragraphs>
  <TotalTime>8</TotalTime>
  <ScaleCrop>false</ScaleCrop>
  <LinksUpToDate>false</LinksUpToDate>
  <CharactersWithSpaces>17331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2023-10-25T09:41:00Z</dcterms:created>
  <dc:creator>Lenovo</dc:creator>
  <cp:lastModifiedBy>ᥫᩣ໌້ᮨ</cp:lastModifiedBy>
  <cp:lastPrinted>2023-03-06T14:20:00Z</cp:lastPrinted>
  <dcterms:modified xsi:type="dcterms:W3CDTF">2025-09-23T01:45:44Z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09c9057154fe42b7a1f95ced687f91bf_23</vt:lpwstr>
  </property>
  <property fmtid="{D5CDD505-2E9C-101B-9397-08002B2CF9AE}" pid="4" name="KSOTemplateDocerSaveRecord">
    <vt:lpwstr>eyJoZGlkIjoiMDVkMzAzZjAwMGI2ZTQ1MDExNGUyNjk4MDdjNDg3NDYiLCJ1c2VySWQiOiIxNjQ3NzUxODA2In0=</vt:lpwstr>
  </property>
</Properties>
</file>