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A3225">
      <w:pPr>
        <w:autoSpaceDE w:val="0"/>
        <w:autoSpaceDN w:val="0"/>
        <w:adjustRightInd w:val="0"/>
        <w:snapToGrid w:val="0"/>
        <w:spacing w:line="360" w:lineRule="auto"/>
        <w:jc w:val="center"/>
        <w:rPr>
          <w:rFonts w:hint="eastAsia" w:ascii="宋体" w:hAnsi="宋体" w:eastAsia="宋体"/>
          <w:color w:val="auto"/>
          <w:kern w:val="0"/>
          <w:sz w:val="20"/>
          <w:szCs w:val="20"/>
          <w:highlight w:val="none"/>
          <w:lang w:eastAsia="zh-CN"/>
        </w:rPr>
      </w:pPr>
      <w:bookmarkStart w:id="0" w:name="_Toc287620665"/>
      <w:r>
        <w:rPr>
          <w:rFonts w:hint="eastAsia"/>
          <w:color w:val="auto"/>
          <w:sz w:val="32"/>
          <w:szCs w:val="32"/>
          <w:highlight w:val="none"/>
          <w:lang w:eastAsia="zh-CN"/>
        </w:rPr>
        <w:t>荣昌粮食仓储物流项目4#仓散水工程</w:t>
      </w:r>
    </w:p>
    <w:p w14:paraId="68C7ED4F">
      <w:pPr>
        <w:autoSpaceDE w:val="0"/>
        <w:autoSpaceDN w:val="0"/>
        <w:adjustRightInd w:val="0"/>
        <w:snapToGrid w:val="0"/>
        <w:spacing w:line="360" w:lineRule="auto"/>
        <w:jc w:val="left"/>
        <w:rPr>
          <w:rFonts w:ascii="宋体" w:hAnsi="宋体"/>
          <w:color w:val="auto"/>
          <w:kern w:val="0"/>
          <w:sz w:val="20"/>
          <w:szCs w:val="20"/>
          <w:highlight w:val="none"/>
        </w:rPr>
      </w:pPr>
    </w:p>
    <w:p w14:paraId="38A52B08">
      <w:pPr>
        <w:autoSpaceDE w:val="0"/>
        <w:autoSpaceDN w:val="0"/>
        <w:adjustRightInd w:val="0"/>
        <w:snapToGrid w:val="0"/>
        <w:spacing w:line="360" w:lineRule="auto"/>
        <w:jc w:val="center"/>
        <w:rPr>
          <w:rFonts w:ascii="宋体" w:hAnsi="宋体"/>
          <w:color w:val="auto"/>
          <w:kern w:val="0"/>
          <w:sz w:val="72"/>
          <w:szCs w:val="72"/>
          <w:highlight w:val="none"/>
        </w:rPr>
      </w:pPr>
    </w:p>
    <w:p w14:paraId="065ADBD1">
      <w:pPr>
        <w:autoSpaceDE w:val="0"/>
        <w:autoSpaceDN w:val="0"/>
        <w:adjustRightInd w:val="0"/>
        <w:snapToGrid w:val="0"/>
        <w:spacing w:line="360" w:lineRule="auto"/>
        <w:jc w:val="center"/>
        <w:rPr>
          <w:rFonts w:ascii="宋体" w:hAnsi="宋体"/>
          <w:color w:val="auto"/>
          <w:kern w:val="0"/>
          <w:sz w:val="72"/>
          <w:szCs w:val="72"/>
          <w:highlight w:val="none"/>
        </w:rPr>
      </w:pPr>
    </w:p>
    <w:p w14:paraId="07C5321B">
      <w:pPr>
        <w:autoSpaceDE w:val="0"/>
        <w:autoSpaceDN w:val="0"/>
        <w:adjustRightInd w:val="0"/>
        <w:snapToGrid w:val="0"/>
        <w:spacing w:line="360" w:lineRule="auto"/>
        <w:jc w:val="center"/>
        <w:rPr>
          <w:rFonts w:ascii="宋体" w:hAnsi="宋体"/>
          <w:b/>
          <w:bCs/>
          <w:color w:val="auto"/>
          <w:kern w:val="0"/>
          <w:sz w:val="84"/>
          <w:szCs w:val="84"/>
          <w:highlight w:val="none"/>
        </w:rPr>
      </w:pPr>
      <w:r>
        <w:rPr>
          <w:rFonts w:hint="eastAsia" w:ascii="宋体" w:hAnsi="宋体"/>
          <w:b/>
          <w:bCs/>
          <w:color w:val="auto"/>
          <w:kern w:val="0"/>
          <w:sz w:val="84"/>
          <w:szCs w:val="84"/>
          <w:highlight w:val="none"/>
        </w:rPr>
        <w:t>竞争性比选文件</w:t>
      </w:r>
    </w:p>
    <w:p w14:paraId="6BDAC779">
      <w:pPr>
        <w:autoSpaceDE w:val="0"/>
        <w:autoSpaceDN w:val="0"/>
        <w:adjustRightInd w:val="0"/>
        <w:snapToGrid w:val="0"/>
        <w:spacing w:line="360" w:lineRule="auto"/>
        <w:jc w:val="left"/>
        <w:rPr>
          <w:rFonts w:ascii="宋体" w:hAnsi="宋体"/>
          <w:color w:val="auto"/>
          <w:kern w:val="0"/>
          <w:sz w:val="10"/>
          <w:szCs w:val="10"/>
          <w:highlight w:val="none"/>
        </w:rPr>
      </w:pPr>
    </w:p>
    <w:p w14:paraId="622C1978">
      <w:pPr>
        <w:autoSpaceDE w:val="0"/>
        <w:autoSpaceDN w:val="0"/>
        <w:adjustRightInd w:val="0"/>
        <w:snapToGrid w:val="0"/>
        <w:spacing w:line="360" w:lineRule="auto"/>
        <w:jc w:val="left"/>
        <w:rPr>
          <w:rFonts w:ascii="宋体" w:hAnsi="宋体"/>
          <w:color w:val="auto"/>
          <w:kern w:val="0"/>
          <w:sz w:val="20"/>
          <w:szCs w:val="20"/>
          <w:highlight w:val="none"/>
        </w:rPr>
      </w:pPr>
    </w:p>
    <w:p w14:paraId="0378144E">
      <w:pPr>
        <w:autoSpaceDE w:val="0"/>
        <w:autoSpaceDN w:val="0"/>
        <w:adjustRightInd w:val="0"/>
        <w:snapToGrid w:val="0"/>
        <w:spacing w:line="360" w:lineRule="auto"/>
        <w:jc w:val="left"/>
        <w:rPr>
          <w:rFonts w:ascii="宋体" w:hAnsi="宋体"/>
          <w:color w:val="auto"/>
          <w:kern w:val="0"/>
          <w:sz w:val="20"/>
          <w:szCs w:val="20"/>
          <w:highlight w:val="none"/>
        </w:rPr>
      </w:pPr>
    </w:p>
    <w:p w14:paraId="2297A5A7">
      <w:pPr>
        <w:autoSpaceDE w:val="0"/>
        <w:autoSpaceDN w:val="0"/>
        <w:adjustRightInd w:val="0"/>
        <w:snapToGrid w:val="0"/>
        <w:spacing w:line="360" w:lineRule="auto"/>
        <w:jc w:val="left"/>
        <w:rPr>
          <w:rFonts w:ascii="宋体" w:hAnsi="宋体"/>
          <w:color w:val="auto"/>
          <w:kern w:val="0"/>
          <w:sz w:val="20"/>
          <w:szCs w:val="20"/>
          <w:highlight w:val="none"/>
        </w:rPr>
      </w:pPr>
    </w:p>
    <w:p w14:paraId="16379F11">
      <w:pPr>
        <w:autoSpaceDE w:val="0"/>
        <w:autoSpaceDN w:val="0"/>
        <w:adjustRightInd w:val="0"/>
        <w:snapToGrid w:val="0"/>
        <w:spacing w:line="360" w:lineRule="auto"/>
        <w:jc w:val="left"/>
        <w:rPr>
          <w:rFonts w:ascii="宋体" w:hAnsi="宋体"/>
          <w:color w:val="auto"/>
          <w:kern w:val="0"/>
          <w:sz w:val="20"/>
          <w:szCs w:val="20"/>
          <w:highlight w:val="none"/>
        </w:rPr>
      </w:pPr>
    </w:p>
    <w:p w14:paraId="7326AB2D">
      <w:pPr>
        <w:autoSpaceDE w:val="0"/>
        <w:autoSpaceDN w:val="0"/>
        <w:adjustRightInd w:val="0"/>
        <w:snapToGrid w:val="0"/>
        <w:spacing w:line="360" w:lineRule="auto"/>
        <w:rPr>
          <w:rFonts w:ascii="宋体" w:hAnsi="宋体"/>
          <w:color w:val="auto"/>
          <w:kern w:val="0"/>
          <w:sz w:val="20"/>
          <w:szCs w:val="20"/>
          <w:highlight w:val="none"/>
        </w:rPr>
      </w:pPr>
    </w:p>
    <w:p w14:paraId="4CA47C5E">
      <w:pPr>
        <w:autoSpaceDE w:val="0"/>
        <w:autoSpaceDN w:val="0"/>
        <w:adjustRightInd w:val="0"/>
        <w:snapToGrid w:val="0"/>
        <w:spacing w:line="360" w:lineRule="auto"/>
        <w:jc w:val="left"/>
        <w:rPr>
          <w:rFonts w:ascii="宋体" w:hAnsi="宋体"/>
          <w:color w:val="auto"/>
          <w:kern w:val="0"/>
          <w:sz w:val="20"/>
          <w:szCs w:val="20"/>
          <w:highlight w:val="none"/>
        </w:rPr>
      </w:pPr>
    </w:p>
    <w:p w14:paraId="7217F2ED">
      <w:pPr>
        <w:autoSpaceDE w:val="0"/>
        <w:autoSpaceDN w:val="0"/>
        <w:adjustRightInd w:val="0"/>
        <w:snapToGrid w:val="0"/>
        <w:spacing w:line="360" w:lineRule="auto"/>
        <w:rPr>
          <w:rFonts w:ascii="宋体" w:hAnsi="宋体"/>
          <w:color w:val="auto"/>
          <w:kern w:val="0"/>
          <w:sz w:val="20"/>
          <w:szCs w:val="20"/>
          <w:highlight w:val="none"/>
        </w:rPr>
      </w:pPr>
    </w:p>
    <w:p w14:paraId="6BB84378">
      <w:pPr>
        <w:tabs>
          <w:tab w:val="left" w:pos="6219"/>
        </w:tabs>
        <w:autoSpaceDE w:val="0"/>
        <w:autoSpaceDN w:val="0"/>
        <w:adjustRightInd w:val="0"/>
        <w:snapToGrid w:val="0"/>
        <w:spacing w:line="360" w:lineRule="auto"/>
        <w:ind w:firstLine="554" w:firstLineChars="200"/>
        <w:rPr>
          <w:rFonts w:ascii="宋体" w:hAnsi="宋体"/>
          <w:color w:val="auto"/>
          <w:w w:val="99"/>
          <w:kern w:val="0"/>
          <w:sz w:val="28"/>
          <w:szCs w:val="28"/>
          <w:highlight w:val="none"/>
        </w:rPr>
      </w:pPr>
      <w:r>
        <w:rPr>
          <w:rFonts w:hint="eastAsia" w:ascii="宋体" w:hAnsi="宋体"/>
          <w:color w:val="auto"/>
          <w:w w:val="99"/>
          <w:kern w:val="0"/>
          <w:sz w:val="28"/>
          <w:szCs w:val="28"/>
          <w:highlight w:val="none"/>
        </w:rPr>
        <w:t>比  选  人</w:t>
      </w:r>
      <w:r>
        <w:rPr>
          <w:rFonts w:ascii="宋体" w:hAnsi="宋体"/>
          <w:color w:val="auto"/>
          <w:w w:val="99"/>
          <w:kern w:val="0"/>
          <w:sz w:val="28"/>
          <w:szCs w:val="28"/>
          <w:highlight w:val="none"/>
        </w:rPr>
        <w:t>：</w:t>
      </w:r>
      <w:r>
        <w:rPr>
          <w:rFonts w:hint="eastAsia" w:ascii="宋体" w:hAnsi="宋体"/>
          <w:color w:val="auto"/>
          <w:kern w:val="0"/>
          <w:sz w:val="28"/>
          <w:szCs w:val="28"/>
          <w:highlight w:val="none"/>
          <w:u w:val="single"/>
          <w:lang w:eastAsia="zh-CN"/>
        </w:rPr>
        <w:t>重庆储备粮管理集团有限公司荣昌分公司</w:t>
      </w:r>
      <w:r>
        <w:rPr>
          <w:rFonts w:ascii="宋体" w:hAnsi="宋体"/>
          <w:color w:val="auto"/>
          <w:w w:val="99"/>
          <w:kern w:val="0"/>
          <w:sz w:val="28"/>
          <w:szCs w:val="28"/>
          <w:highlight w:val="none"/>
        </w:rPr>
        <w:t>（盖单位法人章）</w:t>
      </w:r>
    </w:p>
    <w:p w14:paraId="5AD75463">
      <w:pPr>
        <w:tabs>
          <w:tab w:val="left" w:pos="6252"/>
        </w:tabs>
        <w:autoSpaceDE w:val="0"/>
        <w:autoSpaceDN w:val="0"/>
        <w:adjustRightInd w:val="0"/>
        <w:snapToGrid w:val="0"/>
        <w:spacing w:line="360" w:lineRule="auto"/>
        <w:ind w:left="559" w:leftChars="266" w:firstLine="0" w:firstLineChars="0"/>
        <w:rPr>
          <w:rFonts w:ascii="宋体" w:hAnsi="宋体"/>
          <w:color w:val="auto"/>
          <w:w w:val="99"/>
          <w:kern w:val="0"/>
          <w:sz w:val="28"/>
          <w:szCs w:val="28"/>
          <w:highlight w:val="none"/>
        </w:rPr>
      </w:pPr>
      <w:r>
        <w:rPr>
          <w:rFonts w:hint="eastAsia" w:ascii="宋体" w:hAnsi="宋体"/>
          <w:color w:val="auto"/>
          <w:spacing w:val="8"/>
          <w:kern w:val="0"/>
          <w:sz w:val="28"/>
          <w:szCs w:val="28"/>
          <w:highlight w:val="none"/>
        </w:rPr>
        <w:br w:type="textWrapping"/>
      </w:r>
      <w:r>
        <w:rPr>
          <w:rFonts w:hint="eastAsia" w:ascii="宋体" w:hAnsi="宋体"/>
          <w:color w:val="auto"/>
          <w:spacing w:val="8"/>
          <w:kern w:val="0"/>
          <w:sz w:val="28"/>
          <w:szCs w:val="28"/>
          <w:highlight w:val="none"/>
        </w:rPr>
        <w:t>比选代理机构</w:t>
      </w:r>
      <w:r>
        <w:rPr>
          <w:rFonts w:ascii="宋体" w:hAnsi="宋体"/>
          <w:color w:val="auto"/>
          <w:spacing w:val="8"/>
          <w:kern w:val="0"/>
          <w:sz w:val="28"/>
          <w:szCs w:val="28"/>
          <w:highlight w:val="none"/>
        </w:rPr>
        <w:t>：</w:t>
      </w:r>
      <w:r>
        <w:rPr>
          <w:rFonts w:hint="eastAsia" w:ascii="宋体" w:hAnsi="宋体"/>
          <w:color w:val="auto"/>
          <w:spacing w:val="8"/>
          <w:kern w:val="0"/>
          <w:sz w:val="28"/>
          <w:szCs w:val="28"/>
          <w:highlight w:val="none"/>
          <w:u w:val="single"/>
        </w:rPr>
        <w:t>重庆深夏工程咨询有限公司</w:t>
      </w:r>
      <w:r>
        <w:rPr>
          <w:rFonts w:ascii="宋体" w:hAnsi="宋体"/>
          <w:color w:val="auto"/>
          <w:w w:val="99"/>
          <w:kern w:val="0"/>
          <w:sz w:val="28"/>
          <w:szCs w:val="28"/>
          <w:highlight w:val="none"/>
        </w:rPr>
        <w:t>（盖单位法人章）</w:t>
      </w:r>
    </w:p>
    <w:p w14:paraId="0505C3EE">
      <w:pPr>
        <w:pStyle w:val="3"/>
        <w:ind w:firstLine="645"/>
        <w:rPr>
          <w:color w:val="auto"/>
          <w:highlight w:val="none"/>
        </w:rPr>
      </w:pPr>
    </w:p>
    <w:p w14:paraId="582E5BEB">
      <w:pPr>
        <w:pStyle w:val="65"/>
        <w:rPr>
          <w:rFonts w:eastAsiaTheme="minorEastAsia"/>
          <w:color w:val="auto"/>
          <w:highlight w:val="none"/>
        </w:rPr>
      </w:pPr>
    </w:p>
    <w:p w14:paraId="233324F2">
      <w:pPr>
        <w:pStyle w:val="3"/>
        <w:rPr>
          <w:color w:val="auto"/>
          <w:highlight w:val="none"/>
        </w:rPr>
      </w:pPr>
    </w:p>
    <w:p w14:paraId="237C9B49">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r>
        <w:rPr>
          <w:rFonts w:hint="eastAsia" w:ascii="宋体" w:hAnsi="宋体"/>
          <w:color w:val="auto"/>
          <w:spacing w:val="8"/>
          <w:kern w:val="0"/>
          <w:sz w:val="28"/>
          <w:szCs w:val="28"/>
          <w:highlight w:val="none"/>
          <w:u w:val="single"/>
        </w:rPr>
        <w:t>202</w:t>
      </w:r>
      <w:bookmarkStart w:id="1" w:name="_Toc509218549"/>
      <w:bookmarkStart w:id="2" w:name="_Toc536797277"/>
      <w:bookmarkStart w:id="3" w:name="_Toc536796736"/>
      <w:bookmarkStart w:id="4" w:name="_Toc13210649"/>
      <w:bookmarkStart w:id="5" w:name="_Toc536621766"/>
      <w:r>
        <w:rPr>
          <w:rFonts w:hint="eastAsia" w:ascii="宋体" w:hAnsi="宋体"/>
          <w:color w:val="auto"/>
          <w:spacing w:val="8"/>
          <w:kern w:val="0"/>
          <w:sz w:val="28"/>
          <w:szCs w:val="28"/>
          <w:highlight w:val="none"/>
          <w:u w:val="single"/>
          <w:lang w:val="en-US" w:eastAsia="zh-CN"/>
        </w:rPr>
        <w:t>5</w:t>
      </w:r>
      <w:r>
        <w:rPr>
          <w:rFonts w:ascii="宋体" w:hAnsi="宋体"/>
          <w:color w:val="auto"/>
          <w:spacing w:val="8"/>
          <w:kern w:val="0"/>
          <w:sz w:val="28"/>
          <w:szCs w:val="28"/>
          <w:highlight w:val="none"/>
        </w:rPr>
        <w:t>年</w:t>
      </w:r>
      <w:r>
        <w:rPr>
          <w:rFonts w:hint="eastAsia" w:ascii="宋体" w:hAnsi="宋体"/>
          <w:color w:val="auto"/>
          <w:spacing w:val="8"/>
          <w:kern w:val="0"/>
          <w:sz w:val="28"/>
          <w:szCs w:val="28"/>
          <w:highlight w:val="none"/>
          <w:u w:val="single"/>
          <w:lang w:val="en-US" w:eastAsia="zh-CN"/>
        </w:rPr>
        <w:t>4</w:t>
      </w:r>
      <w:r>
        <w:rPr>
          <w:rFonts w:ascii="宋体" w:hAnsi="宋体"/>
          <w:color w:val="auto"/>
          <w:spacing w:val="8"/>
          <w:kern w:val="0"/>
          <w:sz w:val="28"/>
          <w:szCs w:val="28"/>
          <w:highlight w:val="none"/>
        </w:rPr>
        <w:t>月</w:t>
      </w:r>
      <w:bookmarkEnd w:id="1"/>
      <w:bookmarkEnd w:id="2"/>
      <w:bookmarkEnd w:id="3"/>
      <w:bookmarkEnd w:id="4"/>
      <w:bookmarkEnd w:id="5"/>
    </w:p>
    <w:p w14:paraId="13250A56">
      <w:pPr>
        <w:pStyle w:val="4"/>
        <w:spacing w:line="360" w:lineRule="auto"/>
        <w:jc w:val="center"/>
        <w:rPr>
          <w:rFonts w:ascii="宋体" w:hAnsi="宋体"/>
          <w:color w:val="auto"/>
          <w:w w:val="99"/>
          <w:kern w:val="0"/>
          <w:sz w:val="24"/>
          <w:highlight w:val="none"/>
        </w:rPr>
        <w:sectPr>
          <w:headerReference r:id="rId3" w:type="default"/>
          <w:pgSz w:w="11907" w:h="16840"/>
          <w:pgMar w:top="1304" w:right="1134" w:bottom="1304" w:left="1304" w:header="851" w:footer="992" w:gutter="0"/>
          <w:pgNumType w:fmt="numberInDash" w:start="1"/>
          <w:cols w:space="720" w:num="1"/>
          <w:docGrid w:linePitch="312" w:charSpace="0"/>
        </w:sectPr>
      </w:pPr>
    </w:p>
    <w:p w14:paraId="173F5E47">
      <w:pPr>
        <w:pStyle w:val="130"/>
        <w:jc w:val="center"/>
        <w:rPr>
          <w:rFonts w:ascii="宋体" w:hAnsi="宋体"/>
          <w:b w:val="0"/>
          <w:bCs w:val="0"/>
          <w:color w:val="auto"/>
          <w:sz w:val="44"/>
          <w:szCs w:val="44"/>
          <w:highlight w:val="none"/>
        </w:rPr>
      </w:pPr>
      <w:bookmarkStart w:id="6" w:name="_Toc5767"/>
      <w:bookmarkStart w:id="7" w:name="_Toc28843"/>
      <w:r>
        <w:rPr>
          <w:rFonts w:ascii="宋体" w:hAnsi="宋体"/>
          <w:b w:val="0"/>
          <w:bCs w:val="0"/>
          <w:color w:val="auto"/>
          <w:sz w:val="44"/>
          <w:szCs w:val="44"/>
          <w:highlight w:val="none"/>
          <w:lang w:val="zh-CN"/>
        </w:rPr>
        <w:t>目录</w:t>
      </w:r>
      <w:bookmarkEnd w:id="6"/>
      <w:bookmarkEnd w:id="7"/>
    </w:p>
    <w:p w14:paraId="65820879">
      <w:pPr>
        <w:pStyle w:val="32"/>
        <w:tabs>
          <w:tab w:val="right" w:leader="dot" w:pos="9459"/>
        </w:tabs>
        <w:rPr>
          <w:rFonts w:ascii="宋体" w:hAnsi="宋体" w:cs="宋体"/>
          <w:b w:val="0"/>
          <w:bCs w:val="0"/>
          <w:caps w:val="0"/>
          <w:color w:val="auto"/>
          <w:sz w:val="24"/>
          <w:szCs w:val="24"/>
          <w:highlight w:val="none"/>
        </w:rPr>
      </w:pPr>
      <w:r>
        <w:rPr>
          <w:rFonts w:ascii="宋体" w:hAnsi="宋体"/>
          <w:b w:val="0"/>
          <w:bCs w:val="0"/>
          <w:color w:val="auto"/>
          <w:highlight w:val="none"/>
        </w:rPr>
        <w:fldChar w:fldCharType="begin"/>
      </w:r>
      <w:r>
        <w:rPr>
          <w:rFonts w:ascii="宋体" w:hAnsi="宋体"/>
          <w:b w:val="0"/>
          <w:bCs w:val="0"/>
          <w:color w:val="auto"/>
          <w:highlight w:val="none"/>
        </w:rPr>
        <w:instrText xml:space="preserve"> TOC \o "1-3" \h \z \u </w:instrText>
      </w:r>
      <w:r>
        <w:rPr>
          <w:rFonts w:ascii="宋体" w:hAnsi="宋体"/>
          <w:b w:val="0"/>
          <w:bCs w:val="0"/>
          <w:color w:val="auto"/>
          <w:highlight w:val="none"/>
        </w:rPr>
        <w:fldChar w:fldCharType="separate"/>
      </w:r>
      <w:r>
        <w:rPr>
          <w:color w:val="auto"/>
          <w:highlight w:val="none"/>
        </w:rPr>
        <w:fldChar w:fldCharType="begin"/>
      </w:r>
      <w:r>
        <w:rPr>
          <w:color w:val="auto"/>
          <w:highlight w:val="none"/>
        </w:rPr>
        <w:instrText xml:space="preserve"> HYPERLINK \l "_Toc57905811" </w:instrText>
      </w:r>
      <w:r>
        <w:rPr>
          <w:color w:val="auto"/>
          <w:highlight w:val="none"/>
        </w:rPr>
        <w:fldChar w:fldCharType="separate"/>
      </w:r>
      <w:r>
        <w:rPr>
          <w:rStyle w:val="58"/>
          <w:rFonts w:hint="eastAsia" w:ascii="宋体" w:hAnsi="宋体" w:cs="宋体"/>
          <w:b w:val="0"/>
          <w:bCs w:val="0"/>
          <w:snapToGrid w:val="0"/>
          <w:color w:val="auto"/>
          <w:kern w:val="0"/>
          <w:sz w:val="24"/>
          <w:szCs w:val="24"/>
          <w:highlight w:val="none"/>
        </w:rPr>
        <w:t xml:space="preserve">第一章  </w:t>
      </w:r>
      <w:r>
        <w:rPr>
          <w:rFonts w:hint="eastAsia" w:ascii="宋体" w:hAnsi="宋体" w:cs="宋体"/>
          <w:b w:val="0"/>
          <w:bCs w:val="0"/>
          <w:snapToGrid w:val="0"/>
          <w:color w:val="auto"/>
          <w:kern w:val="0"/>
          <w:sz w:val="24"/>
          <w:szCs w:val="24"/>
          <w:highlight w:val="none"/>
        </w:rPr>
        <w:t>竞争性比选公告</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_Toc57905811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3</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14:paraId="1CFD12A3">
      <w:pPr>
        <w:pStyle w:val="32"/>
        <w:tabs>
          <w:tab w:val="right" w:leader="dot" w:pos="9459"/>
        </w:tabs>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"_Toc57905828" </w:instrText>
      </w:r>
      <w:r>
        <w:rPr>
          <w:color w:val="auto"/>
          <w:highlight w:val="none"/>
        </w:rPr>
        <w:fldChar w:fldCharType="separate"/>
      </w:r>
      <w:r>
        <w:rPr>
          <w:rStyle w:val="58"/>
          <w:rFonts w:hint="eastAsia" w:ascii="宋体" w:hAnsi="宋体" w:cs="宋体"/>
          <w:b w:val="0"/>
          <w:bCs w:val="0"/>
          <w:snapToGrid w:val="0"/>
          <w:color w:val="auto"/>
          <w:kern w:val="0"/>
          <w:sz w:val="24"/>
          <w:szCs w:val="24"/>
          <w:highlight w:val="none"/>
        </w:rPr>
        <w:t>第二章  竞选人须知</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_Toc57905828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5</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14:paraId="4F7F0085">
      <w:pPr>
        <w:pStyle w:val="32"/>
        <w:tabs>
          <w:tab w:val="right" w:leader="dot" w:pos="9459"/>
        </w:tabs>
        <w:rPr>
          <w:rFonts w:ascii="宋体" w:hAnsi="宋体" w:cs="宋体"/>
          <w:snapToGrid w:val="0"/>
          <w:color w:val="auto"/>
          <w:kern w:val="0"/>
          <w:sz w:val="24"/>
          <w:highlight w:val="none"/>
          <w:u w:val="single"/>
        </w:rPr>
      </w:pPr>
      <w:r>
        <w:rPr>
          <w:color w:val="auto"/>
          <w:highlight w:val="none"/>
        </w:rPr>
        <w:fldChar w:fldCharType="begin"/>
      </w:r>
      <w:r>
        <w:rPr>
          <w:color w:val="auto"/>
          <w:highlight w:val="none"/>
        </w:rPr>
        <w:instrText xml:space="preserve"> HYPERLINK \l "_Toc57905884" </w:instrText>
      </w:r>
      <w:r>
        <w:rPr>
          <w:color w:val="auto"/>
          <w:highlight w:val="none"/>
        </w:rPr>
        <w:fldChar w:fldCharType="separate"/>
      </w:r>
      <w:r>
        <w:rPr>
          <w:rStyle w:val="58"/>
          <w:rFonts w:hint="eastAsia" w:ascii="宋体" w:hAnsi="宋体" w:cs="宋体"/>
          <w:b w:val="0"/>
          <w:bCs w:val="0"/>
          <w:snapToGrid w:val="0"/>
          <w:color w:val="auto"/>
          <w:kern w:val="0"/>
          <w:sz w:val="24"/>
          <w:szCs w:val="24"/>
          <w:highlight w:val="none"/>
        </w:rPr>
        <w:t>第三章  评标办法（综合评估法）</w:t>
      </w:r>
      <w:r>
        <w:rPr>
          <w:rStyle w:val="58"/>
          <w:rFonts w:hint="eastAsia" w:ascii="宋体" w:hAnsi="宋体" w:cs="宋体"/>
          <w:b w:val="0"/>
          <w:bCs w:val="0"/>
          <w:color w:val="auto"/>
          <w:sz w:val="24"/>
          <w:szCs w:val="24"/>
          <w:highlight w:val="none"/>
        </w:rPr>
        <w:tab/>
      </w:r>
      <w:r>
        <w:rPr>
          <w:rStyle w:val="58"/>
          <w:rFonts w:hint="eastAsia" w:ascii="宋体" w:hAnsi="宋体" w:cs="宋体"/>
          <w:b w:val="0"/>
          <w:bCs w:val="0"/>
          <w:color w:val="auto"/>
          <w:sz w:val="24"/>
          <w:szCs w:val="24"/>
          <w:highlight w:val="none"/>
        </w:rPr>
        <w:t>3</w:t>
      </w:r>
      <w:r>
        <w:rPr>
          <w:rStyle w:val="58"/>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t>1</w:t>
      </w:r>
    </w:p>
    <w:p w14:paraId="0C09370F">
      <w:pPr>
        <w:pStyle w:val="32"/>
        <w:tabs>
          <w:tab w:val="right" w:leader="dot" w:pos="9459"/>
        </w:tabs>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"_Toc57905906" </w:instrText>
      </w:r>
      <w:r>
        <w:rPr>
          <w:color w:val="auto"/>
          <w:highlight w:val="none"/>
        </w:rPr>
        <w:fldChar w:fldCharType="separate"/>
      </w:r>
      <w:r>
        <w:rPr>
          <w:rStyle w:val="58"/>
          <w:rFonts w:hint="eastAsia" w:ascii="宋体" w:hAnsi="宋体" w:cs="宋体"/>
          <w:b w:val="0"/>
          <w:bCs w:val="0"/>
          <w:color w:val="auto"/>
          <w:kern w:val="0"/>
          <w:sz w:val="24"/>
          <w:szCs w:val="24"/>
          <w:highlight w:val="none"/>
        </w:rPr>
        <w:t>第四章  合同条款及格式</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t>4</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t>1</w:t>
      </w:r>
    </w:p>
    <w:p w14:paraId="22D6726A">
      <w:pPr>
        <w:pStyle w:val="32"/>
        <w:tabs>
          <w:tab w:val="right" w:leader="dot" w:pos="9459"/>
        </w:tabs>
        <w:rPr>
          <w:rFonts w:ascii="宋体" w:hAnsi="宋体" w:cs="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"_Toc57905910" </w:instrText>
      </w:r>
      <w:r>
        <w:rPr>
          <w:color w:val="auto"/>
          <w:highlight w:val="none"/>
        </w:rPr>
        <w:fldChar w:fldCharType="separate"/>
      </w:r>
      <w:r>
        <w:rPr>
          <w:rStyle w:val="58"/>
          <w:rFonts w:hint="eastAsia" w:ascii="宋体" w:hAnsi="宋体" w:cs="宋体"/>
          <w:b w:val="0"/>
          <w:bCs w:val="0"/>
          <w:color w:val="auto"/>
          <w:sz w:val="24"/>
          <w:szCs w:val="24"/>
          <w:highlight w:val="none"/>
        </w:rPr>
        <w:t>第五章  工程量清单</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t>1</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t>65</w:t>
      </w:r>
    </w:p>
    <w:p w14:paraId="11B62704">
      <w:pPr>
        <w:pStyle w:val="32"/>
        <w:tabs>
          <w:tab w:val="right" w:leader="dot" w:pos="9459"/>
        </w:tabs>
        <w:rPr>
          <w:rFonts w:ascii="宋体" w:hAnsi="宋体" w:cs="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"_Toc57905912" </w:instrText>
      </w:r>
      <w:r>
        <w:rPr>
          <w:color w:val="auto"/>
          <w:highlight w:val="none"/>
        </w:rPr>
        <w:fldChar w:fldCharType="separate"/>
      </w:r>
      <w:r>
        <w:rPr>
          <w:rStyle w:val="58"/>
          <w:rFonts w:hint="eastAsia" w:ascii="宋体" w:hAnsi="宋体" w:cs="宋体"/>
          <w:b w:val="0"/>
          <w:bCs w:val="0"/>
          <w:color w:val="auto"/>
          <w:sz w:val="24"/>
          <w:szCs w:val="24"/>
          <w:highlight w:val="none"/>
        </w:rPr>
        <w:t>第六章  图纸</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t>1</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t>67</w:t>
      </w:r>
    </w:p>
    <w:p w14:paraId="4A197DA4">
      <w:pPr>
        <w:pStyle w:val="32"/>
        <w:tabs>
          <w:tab w:val="right" w:leader="dot" w:pos="9459"/>
        </w:tabs>
        <w:rPr>
          <w:rFonts w:ascii="宋体" w:hAnsi="宋体" w:cs="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"_Toc57905914" </w:instrText>
      </w:r>
      <w:r>
        <w:rPr>
          <w:color w:val="auto"/>
          <w:highlight w:val="none"/>
        </w:rPr>
        <w:fldChar w:fldCharType="separate"/>
      </w:r>
      <w:r>
        <w:rPr>
          <w:rStyle w:val="58"/>
          <w:rFonts w:hint="eastAsia" w:ascii="宋体" w:hAnsi="宋体" w:cs="宋体"/>
          <w:b w:val="0"/>
          <w:bCs w:val="0"/>
          <w:color w:val="auto"/>
          <w:sz w:val="24"/>
          <w:szCs w:val="24"/>
          <w:highlight w:val="none"/>
        </w:rPr>
        <w:t>第七章  技术标准和要求</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t>1</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t>69</w:t>
      </w:r>
    </w:p>
    <w:p w14:paraId="02C607CF">
      <w:pPr>
        <w:pStyle w:val="32"/>
        <w:tabs>
          <w:tab w:val="right" w:leader="dot" w:pos="9459"/>
        </w:tabs>
        <w:rPr>
          <w:rFonts w:ascii="宋体" w:hAnsi="宋体" w:cs="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"_Toc57905916" </w:instrText>
      </w:r>
      <w:r>
        <w:rPr>
          <w:color w:val="auto"/>
          <w:highlight w:val="none"/>
        </w:rPr>
        <w:fldChar w:fldCharType="separate"/>
      </w:r>
      <w:r>
        <w:rPr>
          <w:rStyle w:val="58"/>
          <w:rFonts w:hint="eastAsia" w:ascii="宋体" w:hAnsi="宋体" w:cs="宋体"/>
          <w:b w:val="0"/>
          <w:bCs w:val="0"/>
          <w:color w:val="auto"/>
          <w:sz w:val="24"/>
          <w:szCs w:val="24"/>
          <w:highlight w:val="none"/>
        </w:rPr>
        <w:t>第八章  竞选文件格式</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t>1</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t>71</w:t>
      </w:r>
    </w:p>
    <w:p w14:paraId="740DCA35">
      <w:pPr>
        <w:pStyle w:val="23"/>
        <w:tabs>
          <w:tab w:val="right" w:leader="dot" w:pos="9459"/>
        </w:tabs>
        <w:rPr>
          <w:rFonts w:ascii="Calibri" w:hAnsi="Calibri"/>
          <w:i w:val="0"/>
          <w:iCs w:val="0"/>
          <w:color w:val="auto"/>
          <w:sz w:val="21"/>
          <w:szCs w:val="22"/>
          <w:highlight w:val="none"/>
        </w:rPr>
      </w:pPr>
    </w:p>
    <w:p w14:paraId="419F9D37">
      <w:pPr>
        <w:rPr>
          <w:rFonts w:ascii="宋体" w:hAnsi="宋体"/>
          <w:color w:val="auto"/>
          <w:highlight w:val="none"/>
        </w:rPr>
      </w:pPr>
      <w:r>
        <w:rPr>
          <w:rFonts w:ascii="宋体" w:hAnsi="宋体"/>
          <w:color w:val="auto"/>
          <w:szCs w:val="20"/>
          <w:highlight w:val="none"/>
          <w:lang w:val="zh-CN"/>
        </w:rPr>
        <w:fldChar w:fldCharType="end"/>
      </w:r>
    </w:p>
    <w:bookmarkEnd w:id="0"/>
    <w:p w14:paraId="78559492">
      <w:pPr>
        <w:spacing w:line="20" w:lineRule="exact"/>
        <w:rPr>
          <w:rFonts w:ascii="宋体" w:hAnsi="宋体"/>
          <w:color w:val="auto"/>
          <w:highlight w:val="none"/>
        </w:rPr>
      </w:pPr>
      <w:bookmarkStart w:id="8" w:name="_Toc430530414"/>
    </w:p>
    <w:p w14:paraId="7FBBD5C1">
      <w:pPr>
        <w:spacing w:line="20" w:lineRule="exact"/>
        <w:jc w:val="left"/>
        <w:rPr>
          <w:rFonts w:ascii="宋体" w:hAnsi="宋体"/>
          <w:color w:val="auto"/>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8"/>
    <w:p w14:paraId="0C16F763">
      <w:pPr>
        <w:spacing w:line="360" w:lineRule="auto"/>
        <w:rPr>
          <w:rFonts w:ascii="宋体" w:hAnsi="宋体"/>
          <w:color w:val="auto"/>
          <w:highlight w:val="none"/>
        </w:rPr>
      </w:pPr>
    </w:p>
    <w:p w14:paraId="4ACF4F38">
      <w:pPr>
        <w:pStyle w:val="4"/>
        <w:spacing w:before="0" w:after="0" w:line="480" w:lineRule="auto"/>
        <w:jc w:val="center"/>
        <w:rPr>
          <w:rFonts w:ascii="宋体" w:hAnsi="宋体"/>
          <w:color w:val="auto"/>
          <w:sz w:val="52"/>
          <w:szCs w:val="52"/>
          <w:highlight w:val="none"/>
        </w:rPr>
      </w:pPr>
      <w:bookmarkStart w:id="9" w:name="_Toc57905810"/>
      <w:bookmarkStart w:id="10" w:name="_Toc509218690"/>
      <w:bookmarkStart w:id="11" w:name="_Toc9936"/>
      <w:r>
        <w:rPr>
          <w:rFonts w:hint="eastAsia" w:ascii="宋体" w:hAnsi="宋体"/>
          <w:color w:val="auto"/>
          <w:sz w:val="52"/>
          <w:szCs w:val="52"/>
          <w:highlight w:val="none"/>
        </w:rPr>
        <w:t>第 一 卷</w:t>
      </w:r>
      <w:bookmarkEnd w:id="9"/>
      <w:bookmarkEnd w:id="10"/>
      <w:bookmarkEnd w:id="11"/>
    </w:p>
    <w:p w14:paraId="5C5ED2CB">
      <w:pPr>
        <w:spacing w:line="200" w:lineRule="exact"/>
        <w:rPr>
          <w:rFonts w:ascii="宋体" w:hAnsi="宋体"/>
          <w:color w:val="auto"/>
          <w:highlight w:val="none"/>
        </w:rPr>
      </w:pPr>
      <w:r>
        <w:rPr>
          <w:rFonts w:ascii="宋体" w:hAnsi="宋体"/>
          <w:color w:val="auto"/>
          <w:highlight w:val="none"/>
        </w:rPr>
        <w:br w:type="page"/>
      </w:r>
    </w:p>
    <w:p w14:paraId="6836AE1B">
      <w:pPr>
        <w:pStyle w:val="4"/>
        <w:spacing w:line="360" w:lineRule="auto"/>
        <w:jc w:val="center"/>
        <w:rPr>
          <w:rFonts w:ascii="宋体" w:hAnsi="宋体"/>
          <w:snapToGrid w:val="0"/>
          <w:color w:val="auto"/>
          <w:kern w:val="0"/>
          <w:highlight w:val="none"/>
        </w:rPr>
      </w:pPr>
      <w:bookmarkStart w:id="12" w:name="_Toc277082535"/>
      <w:bookmarkStart w:id="13" w:name="_Toc287607727"/>
      <w:bookmarkStart w:id="14" w:name="_Toc224103298"/>
      <w:bookmarkStart w:id="15" w:name="_Toc12819"/>
      <w:bookmarkStart w:id="16" w:name="_Toc509218691"/>
      <w:bookmarkStart w:id="17" w:name="_Toc287620666"/>
      <w:bookmarkStart w:id="18" w:name="_Toc57905811"/>
      <w:bookmarkStart w:id="19" w:name="_Toc430530415"/>
      <w:bookmarkStart w:id="20" w:name="_Toc224103299"/>
      <w:bookmarkStart w:id="21" w:name="_Toc200359238"/>
      <w:bookmarkStart w:id="22" w:name="_Toc57905812"/>
      <w:bookmarkStart w:id="23" w:name="_Toc27491"/>
      <w:bookmarkStart w:id="24" w:name="_Toc200359427"/>
      <w:bookmarkStart w:id="25" w:name="_Toc287620667"/>
      <w:bookmarkStart w:id="26" w:name="_Toc430530416"/>
      <w:bookmarkStart w:id="27" w:name="_Toc509218692"/>
      <w:bookmarkStart w:id="28" w:name="_Toc287607728"/>
      <w:bookmarkStart w:id="29" w:name="_Toc277082536"/>
      <w:r>
        <w:rPr>
          <w:rFonts w:ascii="宋体" w:hAnsi="宋体"/>
          <w:snapToGrid w:val="0"/>
          <w:color w:val="auto"/>
          <w:kern w:val="0"/>
          <w:highlight w:val="none"/>
        </w:rPr>
        <w:t xml:space="preserve">第一章  </w:t>
      </w:r>
      <w:bookmarkEnd w:id="12"/>
      <w:bookmarkEnd w:id="13"/>
      <w:bookmarkEnd w:id="14"/>
      <w:bookmarkEnd w:id="15"/>
      <w:bookmarkEnd w:id="16"/>
      <w:bookmarkEnd w:id="17"/>
      <w:bookmarkEnd w:id="18"/>
      <w:bookmarkEnd w:id="19"/>
      <w:r>
        <w:rPr>
          <w:rFonts w:hint="eastAsia" w:ascii="宋体" w:hAnsi="宋体"/>
          <w:snapToGrid w:val="0"/>
          <w:color w:val="auto"/>
          <w:kern w:val="0"/>
          <w:highlight w:val="none"/>
        </w:rPr>
        <w:t>竞争性比选公告</w:t>
      </w:r>
    </w:p>
    <w:p w14:paraId="0212C43E">
      <w:pPr>
        <w:autoSpaceDE w:val="0"/>
        <w:autoSpaceDN w:val="0"/>
        <w:adjustRightInd w:val="0"/>
        <w:snapToGrid w:val="0"/>
        <w:spacing w:line="360" w:lineRule="auto"/>
        <w:jc w:val="center"/>
        <w:rPr>
          <w:rFonts w:hint="eastAsia" w:ascii="宋体" w:hAnsi="宋体" w:eastAsia="宋体"/>
          <w:color w:val="auto"/>
          <w:kern w:val="0"/>
          <w:sz w:val="32"/>
          <w:szCs w:val="32"/>
          <w:highlight w:val="none"/>
          <w:u w:val="none"/>
          <w:lang w:eastAsia="zh-CN"/>
        </w:rPr>
      </w:pPr>
      <w:bookmarkStart w:id="30" w:name="OLE_LINK5"/>
      <w:bookmarkStart w:id="31" w:name="OLE_LINK4"/>
      <w:r>
        <w:rPr>
          <w:rFonts w:hint="eastAsia" w:ascii="宋体" w:hAnsi="宋体"/>
          <w:color w:val="auto"/>
          <w:kern w:val="0"/>
          <w:sz w:val="32"/>
          <w:szCs w:val="32"/>
          <w:highlight w:val="none"/>
          <w:u w:val="none"/>
          <w:lang w:eastAsia="zh-CN"/>
        </w:rPr>
        <w:t>荣昌粮食仓储物流项目4#仓散水工程</w:t>
      </w:r>
    </w:p>
    <w:bookmarkEnd w:id="30"/>
    <w:bookmarkEnd w:id="31"/>
    <w:p w14:paraId="2BB19971">
      <w:pPr>
        <w:autoSpaceDE w:val="0"/>
        <w:autoSpaceDN w:val="0"/>
        <w:adjustRightInd w:val="0"/>
        <w:snapToGrid w:val="0"/>
        <w:spacing w:line="360" w:lineRule="auto"/>
        <w:jc w:val="center"/>
        <w:rPr>
          <w:rFonts w:hint="eastAsia" w:ascii="宋体" w:hAnsi="宋体"/>
          <w:color w:val="auto"/>
          <w:kern w:val="0"/>
          <w:sz w:val="32"/>
          <w:szCs w:val="32"/>
          <w:highlight w:val="none"/>
          <w:u w:val="single"/>
        </w:rPr>
      </w:pPr>
      <w:r>
        <w:rPr>
          <w:rFonts w:hint="eastAsia" w:ascii="宋体" w:hAnsi="宋体"/>
          <w:color w:val="auto"/>
          <w:kern w:val="0"/>
          <w:sz w:val="32"/>
          <w:szCs w:val="32"/>
          <w:highlight w:val="none"/>
          <w:u w:val="single"/>
        </w:rPr>
        <w:t>竞争性比选公告</w:t>
      </w:r>
    </w:p>
    <w:p w14:paraId="146B4E4E">
      <w:pPr>
        <w:pStyle w:val="5"/>
        <w:spacing w:before="100" w:after="100" w:line="460" w:lineRule="exact"/>
        <w:rPr>
          <w:rFonts w:ascii="宋体" w:hAnsi="宋体"/>
          <w:snapToGrid w:val="0"/>
          <w:color w:val="auto"/>
          <w:sz w:val="28"/>
          <w:szCs w:val="28"/>
          <w:highlight w:val="none"/>
        </w:rPr>
      </w:pPr>
      <w:r>
        <w:rPr>
          <w:rFonts w:ascii="宋体" w:hAnsi="宋体"/>
          <w:snapToGrid w:val="0"/>
          <w:color w:val="auto"/>
          <w:sz w:val="28"/>
          <w:szCs w:val="28"/>
          <w:highlight w:val="none"/>
        </w:rPr>
        <w:t>1.招标条件</w:t>
      </w:r>
      <w:bookmarkEnd w:id="20"/>
      <w:bookmarkEnd w:id="21"/>
      <w:bookmarkEnd w:id="22"/>
      <w:bookmarkEnd w:id="23"/>
      <w:bookmarkEnd w:id="24"/>
      <w:bookmarkEnd w:id="25"/>
      <w:bookmarkEnd w:id="26"/>
      <w:bookmarkEnd w:id="27"/>
      <w:bookmarkEnd w:id="28"/>
      <w:bookmarkEnd w:id="29"/>
    </w:p>
    <w:p w14:paraId="3C3613A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lang w:eastAsia="zh-CN"/>
        </w:rPr>
        <w:t>荣昌粮食仓储物流项目4#仓散水工程</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为</w:t>
      </w:r>
      <w:r>
        <w:rPr>
          <w:rFonts w:hint="eastAsia" w:ascii="宋体" w:hAnsi="宋体"/>
          <w:snapToGrid w:val="0"/>
          <w:color w:val="auto"/>
          <w:kern w:val="0"/>
          <w:szCs w:val="21"/>
          <w:highlight w:val="none"/>
          <w:u w:val="single"/>
          <w:lang w:eastAsia="zh-CN"/>
        </w:rPr>
        <w:t>重庆储备粮管理集团有限公司荣昌分公司</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争取上级补助及自筹</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出资比例为</w:t>
      </w:r>
      <w:r>
        <w:rPr>
          <w:rFonts w:hint="eastAsia" w:ascii="宋体" w:hAnsi="宋体"/>
          <w:snapToGrid w:val="0"/>
          <w:color w:val="auto"/>
          <w:kern w:val="0"/>
          <w:szCs w:val="21"/>
          <w:highlight w:val="none"/>
          <w:u w:val="single"/>
        </w:rPr>
        <w:t>100%</w:t>
      </w:r>
      <w:r>
        <w:rPr>
          <w:rFonts w:ascii="宋体" w:hAnsi="宋体"/>
          <w:snapToGrid w:val="0"/>
          <w:color w:val="auto"/>
          <w:kern w:val="0"/>
          <w:position w:val="-2"/>
          <w:szCs w:val="21"/>
          <w:highlight w:val="none"/>
        </w:rPr>
        <w:t>。项目已具备招标条件，</w:t>
      </w:r>
      <w:r>
        <w:rPr>
          <w:rFonts w:ascii="宋体" w:hAnsi="宋体"/>
          <w:snapToGrid w:val="0"/>
          <w:color w:val="auto"/>
          <w:kern w:val="0"/>
          <w:szCs w:val="21"/>
          <w:highlight w:val="none"/>
        </w:rPr>
        <w:t>现对</w:t>
      </w:r>
      <w:r>
        <w:rPr>
          <w:rFonts w:hint="eastAsia" w:ascii="宋体" w:hAnsi="宋体"/>
          <w:snapToGrid w:val="0"/>
          <w:color w:val="auto"/>
          <w:kern w:val="0"/>
          <w:szCs w:val="21"/>
          <w:highlight w:val="none"/>
          <w:u w:val="single"/>
          <w:lang w:eastAsia="zh-CN"/>
        </w:rPr>
        <w:t>荣昌粮食仓储物流项目4#仓散水工程</w:t>
      </w:r>
      <w:r>
        <w:rPr>
          <w:rFonts w:ascii="宋体" w:hAnsi="宋体"/>
          <w:snapToGrid w:val="0"/>
          <w:color w:val="auto"/>
          <w:kern w:val="0"/>
          <w:szCs w:val="21"/>
          <w:highlight w:val="none"/>
        </w:rPr>
        <w:t>进行</w:t>
      </w:r>
      <w:r>
        <w:rPr>
          <w:rFonts w:hint="eastAsia" w:ascii="宋体" w:hAnsi="宋体"/>
          <w:snapToGrid w:val="0"/>
          <w:color w:val="auto"/>
          <w:kern w:val="0"/>
          <w:szCs w:val="21"/>
          <w:highlight w:val="none"/>
        </w:rPr>
        <w:t>公开竞争性比选</w:t>
      </w:r>
      <w:r>
        <w:rPr>
          <w:rFonts w:ascii="宋体" w:hAnsi="宋体"/>
          <w:snapToGrid w:val="0"/>
          <w:color w:val="auto"/>
          <w:kern w:val="0"/>
          <w:szCs w:val="21"/>
          <w:highlight w:val="none"/>
        </w:rPr>
        <w:t>。</w:t>
      </w:r>
    </w:p>
    <w:p w14:paraId="0501429F">
      <w:pPr>
        <w:pStyle w:val="5"/>
        <w:spacing w:before="100" w:after="100" w:line="460" w:lineRule="exact"/>
        <w:rPr>
          <w:rFonts w:ascii="宋体" w:hAnsi="宋体"/>
          <w:snapToGrid w:val="0"/>
          <w:color w:val="auto"/>
          <w:sz w:val="28"/>
          <w:szCs w:val="28"/>
          <w:highlight w:val="none"/>
        </w:rPr>
      </w:pPr>
      <w:bookmarkStart w:id="32" w:name="_Toc224103300"/>
      <w:bookmarkStart w:id="33" w:name="_Toc57905813"/>
      <w:bookmarkStart w:id="34" w:name="_Toc277082537"/>
      <w:bookmarkStart w:id="35" w:name="_Toc200359428"/>
      <w:bookmarkStart w:id="36" w:name="_Toc287620668"/>
      <w:bookmarkStart w:id="37" w:name="_Toc287607729"/>
      <w:bookmarkStart w:id="38" w:name="_Toc509218693"/>
      <w:bookmarkStart w:id="39" w:name="_Toc16344"/>
      <w:bookmarkStart w:id="40" w:name="_Toc430530417"/>
      <w:bookmarkStart w:id="41" w:name="_Toc200359239"/>
      <w:r>
        <w:rPr>
          <w:rFonts w:ascii="宋体" w:hAnsi="宋体"/>
          <w:snapToGrid w:val="0"/>
          <w:color w:val="auto"/>
          <w:sz w:val="28"/>
          <w:szCs w:val="28"/>
          <w:highlight w:val="none"/>
        </w:rPr>
        <w:t>2.项目概况与</w:t>
      </w:r>
      <w:bookmarkEnd w:id="32"/>
      <w:bookmarkEnd w:id="33"/>
      <w:bookmarkEnd w:id="34"/>
      <w:bookmarkEnd w:id="35"/>
      <w:bookmarkEnd w:id="36"/>
      <w:bookmarkEnd w:id="37"/>
      <w:bookmarkEnd w:id="38"/>
      <w:bookmarkEnd w:id="39"/>
      <w:bookmarkEnd w:id="40"/>
      <w:bookmarkEnd w:id="41"/>
      <w:r>
        <w:rPr>
          <w:rFonts w:hint="eastAsia" w:ascii="宋体" w:hAnsi="宋体"/>
          <w:snapToGrid w:val="0"/>
          <w:color w:val="auto"/>
          <w:sz w:val="28"/>
          <w:szCs w:val="28"/>
          <w:highlight w:val="none"/>
        </w:rPr>
        <w:t>比选范围</w:t>
      </w:r>
    </w:p>
    <w:p w14:paraId="33922D1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2.1 建设地点：重庆市荣昌区峰高街道峨眉社区1号。</w:t>
      </w:r>
    </w:p>
    <w:p w14:paraId="34FAF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540" w:lineRule="exact"/>
        <w:ind w:left="0" w:right="0" w:firstLine="315" w:firstLineChars="150"/>
        <w:jc w:val="left"/>
        <w:textAlignment w:val="baseline"/>
        <w:rPr>
          <w:rFonts w:hint="eastAsia" w:ascii="宋体" w:hAnsi="宋体" w:eastAsia="宋体" w:cs="Times New Roman"/>
          <w:snapToGrid w:val="0"/>
          <w:color w:val="auto"/>
          <w:kern w:val="0"/>
          <w:szCs w:val="21"/>
          <w:highlight w:val="non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lang w:val="en-US" w:eastAsia="zh-CN"/>
        </w:rPr>
        <w:t>本项目主要工作内容为在4#仓库修筑未完善的散水465.54m²</w:t>
      </w:r>
      <w:r>
        <w:rPr>
          <w:rFonts w:hint="eastAsia" w:ascii="宋体" w:hAnsi="宋体" w:eastAsia="宋体" w:cs="Times New Roman"/>
          <w:snapToGrid w:val="0"/>
          <w:color w:val="auto"/>
          <w:kern w:val="0"/>
          <w:szCs w:val="21"/>
          <w:highlight w:val="none"/>
          <w:lang w:val="en-US" w:eastAsia="zh-CN"/>
        </w:rPr>
        <w:t>。</w:t>
      </w:r>
    </w:p>
    <w:p w14:paraId="09F8D24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2.3 本次比选项目合同估算金额：</w:t>
      </w:r>
      <w:r>
        <w:rPr>
          <w:rFonts w:hint="eastAsia" w:ascii="宋体" w:hAnsi="宋体"/>
          <w:snapToGrid w:val="0"/>
          <w:color w:val="auto"/>
          <w:kern w:val="0"/>
          <w:szCs w:val="21"/>
          <w:highlight w:val="none"/>
          <w:lang w:val="en-US" w:eastAsia="zh-CN"/>
        </w:rPr>
        <w:t>63650.68</w:t>
      </w:r>
      <w:r>
        <w:rPr>
          <w:rFonts w:hint="eastAsia" w:ascii="宋体" w:hAnsi="宋体"/>
          <w:snapToGrid w:val="0"/>
          <w:color w:val="auto"/>
          <w:kern w:val="0"/>
          <w:szCs w:val="21"/>
          <w:highlight w:val="none"/>
        </w:rPr>
        <w:t>元。</w:t>
      </w:r>
    </w:p>
    <w:p w14:paraId="1398C64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2.4 比选范围：包括但不限于施工图范围内</w:t>
      </w:r>
      <w:r>
        <w:rPr>
          <w:rFonts w:hint="eastAsia" w:ascii="宋体" w:hAnsi="宋体"/>
          <w:snapToGrid w:val="0"/>
          <w:color w:val="auto"/>
          <w:kern w:val="0"/>
          <w:szCs w:val="21"/>
          <w:highlight w:val="none"/>
          <w:lang w:val="en-US" w:eastAsia="zh-CN"/>
        </w:rPr>
        <w:t>的全部</w:t>
      </w:r>
      <w:r>
        <w:rPr>
          <w:rFonts w:hint="eastAsia" w:ascii="宋体" w:hAnsi="宋体"/>
          <w:snapToGrid w:val="0"/>
          <w:color w:val="auto"/>
          <w:kern w:val="0"/>
          <w:szCs w:val="21"/>
          <w:highlight w:val="none"/>
        </w:rPr>
        <w:t>内容，具体</w:t>
      </w:r>
      <w:r>
        <w:rPr>
          <w:rFonts w:hint="eastAsia" w:ascii="宋体" w:hAnsi="宋体"/>
          <w:snapToGrid w:val="0"/>
          <w:color w:val="auto"/>
          <w:kern w:val="0"/>
          <w:szCs w:val="21"/>
          <w:highlight w:val="none"/>
          <w:lang w:val="en-US" w:eastAsia="zh-CN"/>
        </w:rPr>
        <w:t>包括铺筑散水工作内容，</w:t>
      </w:r>
      <w:r>
        <w:rPr>
          <w:rFonts w:hint="eastAsia" w:ascii="宋体" w:hAnsi="宋体"/>
          <w:snapToGrid w:val="0"/>
          <w:color w:val="auto"/>
          <w:kern w:val="0"/>
          <w:szCs w:val="21"/>
          <w:highlight w:val="none"/>
        </w:rPr>
        <w:t>以比选人给出的工程量清单和图纸为准。</w:t>
      </w:r>
    </w:p>
    <w:p w14:paraId="3BF000C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2.5 工</w:t>
      </w:r>
      <w:r>
        <w:rPr>
          <w:rFonts w:hint="eastAsia" w:ascii="宋体" w:hAnsi="宋体"/>
          <w:snapToGrid w:val="0"/>
          <w:color w:val="auto"/>
          <w:kern w:val="0"/>
          <w:szCs w:val="21"/>
          <w:highlight w:val="none"/>
        </w:rPr>
        <w:t>期要求：</w:t>
      </w:r>
      <w:r>
        <w:rPr>
          <w:rFonts w:hint="eastAsia" w:ascii="宋体" w:hAnsi="宋体" w:cs="宋体"/>
          <w:color w:val="auto"/>
          <w:kern w:val="0"/>
          <w:szCs w:val="21"/>
          <w:highlight w:val="none"/>
          <w:u w:val="single"/>
          <w:shd w:val="clear" w:color="auto" w:fill="FFFFFF"/>
          <w:lang w:val="en-US" w:eastAsia="zh-CN"/>
        </w:rPr>
        <w:t>20</w:t>
      </w:r>
      <w:r>
        <w:rPr>
          <w:rFonts w:hint="eastAsia" w:ascii="宋体" w:hAnsi="宋体" w:cs="宋体"/>
          <w:color w:val="auto"/>
          <w:kern w:val="0"/>
          <w:szCs w:val="21"/>
          <w:highlight w:val="none"/>
          <w:u w:val="single"/>
          <w:shd w:val="clear" w:color="auto" w:fill="FFFFFF"/>
        </w:rPr>
        <w:t>日历天</w:t>
      </w:r>
      <w:r>
        <w:rPr>
          <w:rFonts w:hint="eastAsia" w:ascii="宋体" w:hAnsi="宋体" w:cs="宋体"/>
          <w:color w:val="auto"/>
          <w:kern w:val="0"/>
          <w:szCs w:val="21"/>
          <w:highlight w:val="none"/>
          <w:shd w:val="clear" w:color="auto" w:fill="FFFFFF"/>
        </w:rPr>
        <w:t>。</w:t>
      </w:r>
    </w:p>
    <w:p w14:paraId="253D7D0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rPr>
        <w:t>12个月</w:t>
      </w:r>
      <w:r>
        <w:rPr>
          <w:rFonts w:hint="eastAsia" w:ascii="宋体" w:hAnsi="宋体"/>
          <w:snapToGrid w:val="0"/>
          <w:color w:val="auto"/>
          <w:kern w:val="0"/>
          <w:szCs w:val="21"/>
          <w:highlight w:val="none"/>
        </w:rPr>
        <w:t>。</w:t>
      </w:r>
    </w:p>
    <w:p w14:paraId="1C9E026B">
      <w:pPr>
        <w:pStyle w:val="5"/>
        <w:spacing w:before="100" w:after="100" w:line="460" w:lineRule="exact"/>
        <w:rPr>
          <w:rFonts w:ascii="宋体" w:hAnsi="宋体"/>
          <w:snapToGrid w:val="0"/>
          <w:color w:val="auto"/>
          <w:sz w:val="28"/>
          <w:szCs w:val="28"/>
          <w:highlight w:val="none"/>
        </w:rPr>
      </w:pPr>
      <w:bookmarkStart w:id="42" w:name="_Toc430530418"/>
      <w:bookmarkStart w:id="43" w:name="_Toc224103301"/>
      <w:bookmarkStart w:id="44" w:name="_Toc509218694"/>
      <w:bookmarkStart w:id="45" w:name="_Toc287607730"/>
      <w:bookmarkStart w:id="46" w:name="_Toc277082538"/>
      <w:bookmarkStart w:id="47" w:name="_Toc200359240"/>
      <w:bookmarkStart w:id="48" w:name="_Toc200359429"/>
      <w:bookmarkStart w:id="49" w:name="_Toc287620669"/>
      <w:bookmarkStart w:id="50" w:name="_Toc57905814"/>
      <w:bookmarkStart w:id="51" w:name="_Toc19513"/>
      <w:r>
        <w:rPr>
          <w:rFonts w:ascii="宋体" w:hAnsi="宋体"/>
          <w:snapToGrid w:val="0"/>
          <w:color w:val="auto"/>
          <w:sz w:val="28"/>
          <w:szCs w:val="28"/>
          <w:highlight w:val="none"/>
        </w:rPr>
        <w:t>3.</w:t>
      </w:r>
      <w:r>
        <w:rPr>
          <w:rFonts w:hint="eastAsia" w:ascii="宋体" w:hAnsi="宋体" w:cs="宋体"/>
          <w:snapToGrid w:val="0"/>
          <w:color w:val="auto"/>
          <w:sz w:val="28"/>
          <w:szCs w:val="28"/>
          <w:highlight w:val="none"/>
        </w:rPr>
        <w:t>竞选人</w:t>
      </w:r>
      <w:r>
        <w:rPr>
          <w:rFonts w:ascii="宋体" w:hAnsi="宋体"/>
          <w:snapToGrid w:val="0"/>
          <w:color w:val="auto"/>
          <w:sz w:val="28"/>
          <w:szCs w:val="28"/>
          <w:highlight w:val="none"/>
        </w:rPr>
        <w:t>资格要求</w:t>
      </w:r>
      <w:bookmarkEnd w:id="42"/>
      <w:bookmarkEnd w:id="43"/>
      <w:bookmarkEnd w:id="44"/>
      <w:bookmarkEnd w:id="45"/>
      <w:bookmarkEnd w:id="46"/>
      <w:bookmarkEnd w:id="47"/>
      <w:bookmarkEnd w:id="48"/>
      <w:bookmarkEnd w:id="49"/>
      <w:bookmarkEnd w:id="50"/>
      <w:bookmarkEnd w:id="51"/>
    </w:p>
    <w:p w14:paraId="359C367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3.1  </w:t>
      </w:r>
      <w:r>
        <w:rPr>
          <w:rFonts w:hint="eastAsia" w:ascii="宋体" w:hAnsi="宋体"/>
          <w:snapToGrid w:val="0"/>
          <w:color w:val="auto"/>
          <w:kern w:val="0"/>
          <w:szCs w:val="21"/>
          <w:highlight w:val="none"/>
        </w:rPr>
        <w:t>本次比选要求竞选人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5DC03D9D">
      <w:pPr>
        <w:autoSpaceDE w:val="0"/>
        <w:autoSpaceDN w:val="0"/>
        <w:adjustRightInd w:val="0"/>
        <w:snapToGrid w:val="0"/>
        <w:spacing w:line="400" w:lineRule="exact"/>
        <w:ind w:firstLine="420" w:firstLineChars="200"/>
        <w:rPr>
          <w:color w:val="auto"/>
          <w:highlight w:val="none"/>
        </w:rPr>
      </w:pPr>
      <w:r>
        <w:rPr>
          <w:rFonts w:hint="eastAsia" w:ascii="宋体" w:hAnsi="宋体"/>
          <w:snapToGrid w:val="0"/>
          <w:color w:val="auto"/>
          <w:kern w:val="0"/>
          <w:szCs w:val="21"/>
          <w:highlight w:val="none"/>
        </w:rPr>
        <w:t>3.1.1 本次比选要求竞选人具备的资质条件：具备建设行政主管部门颁发的建筑工程施工总承包三级及以上资质；</w:t>
      </w:r>
    </w:p>
    <w:p w14:paraId="3BA3C168">
      <w:pPr>
        <w:autoSpaceDE w:val="0"/>
        <w:autoSpaceDN w:val="0"/>
        <w:adjustRightInd w:val="0"/>
        <w:snapToGri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3.1.2竞选人还应在人员、设备、资金等方面具有相应的施工能力，详见竞争性比选文件第二章竞选人须知前附表第1.4.1项内容。</w:t>
      </w:r>
    </w:p>
    <w:p w14:paraId="00625CC7">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  </w:t>
      </w:r>
      <w:r>
        <w:rPr>
          <w:rFonts w:hint="eastAsia" w:ascii="宋体" w:hAnsi="宋体"/>
          <w:snapToGrid w:val="0"/>
          <w:color w:val="auto"/>
          <w:kern w:val="0"/>
          <w:szCs w:val="21"/>
          <w:highlight w:val="none"/>
        </w:rPr>
        <w:t>本次比选不接受</w:t>
      </w:r>
      <w:r>
        <w:rPr>
          <w:rFonts w:ascii="宋体" w:hAnsi="宋体"/>
          <w:snapToGrid w:val="0"/>
          <w:color w:val="auto"/>
          <w:kern w:val="0"/>
          <w:szCs w:val="21"/>
          <w:highlight w:val="none"/>
        </w:rPr>
        <w:t>联合体投标。</w:t>
      </w:r>
    </w:p>
    <w:p w14:paraId="29B5DE24">
      <w:pPr>
        <w:pStyle w:val="5"/>
        <w:spacing w:before="100" w:after="100" w:line="460" w:lineRule="exact"/>
        <w:rPr>
          <w:rFonts w:ascii="宋体" w:hAnsi="宋体"/>
          <w:snapToGrid w:val="0"/>
          <w:color w:val="auto"/>
          <w:sz w:val="28"/>
          <w:szCs w:val="28"/>
          <w:highlight w:val="none"/>
        </w:rPr>
      </w:pPr>
      <w:bookmarkStart w:id="52" w:name="_Toc224103302"/>
      <w:bookmarkStart w:id="53" w:name="_Toc277082539"/>
      <w:bookmarkStart w:id="54" w:name="_Toc430530419"/>
      <w:bookmarkStart w:id="55" w:name="_Toc57905815"/>
      <w:bookmarkStart w:id="56" w:name="_Toc287607731"/>
      <w:bookmarkStart w:id="57" w:name="_Toc10508"/>
      <w:bookmarkStart w:id="58" w:name="_Toc509218695"/>
      <w:bookmarkStart w:id="59" w:name="_Toc200359241"/>
      <w:bookmarkStart w:id="60" w:name="_Toc287620670"/>
      <w:bookmarkStart w:id="61" w:name="_Toc200359430"/>
      <w:r>
        <w:rPr>
          <w:rFonts w:ascii="宋体" w:hAnsi="宋体"/>
          <w:snapToGrid w:val="0"/>
          <w:color w:val="auto"/>
          <w:sz w:val="28"/>
          <w:szCs w:val="28"/>
          <w:highlight w:val="none"/>
        </w:rPr>
        <w:t>4.</w:t>
      </w:r>
      <w:r>
        <w:rPr>
          <w:rFonts w:hint="eastAsia" w:ascii="宋体" w:hAnsi="宋体"/>
          <w:snapToGrid w:val="0"/>
          <w:color w:val="auto"/>
          <w:sz w:val="28"/>
          <w:szCs w:val="28"/>
          <w:highlight w:val="none"/>
        </w:rPr>
        <w:t>竞争性比选文件</w:t>
      </w:r>
      <w:r>
        <w:rPr>
          <w:rFonts w:ascii="宋体" w:hAnsi="宋体"/>
          <w:snapToGrid w:val="0"/>
          <w:color w:val="auto"/>
          <w:sz w:val="28"/>
          <w:szCs w:val="28"/>
          <w:highlight w:val="none"/>
        </w:rPr>
        <w:t>的获取</w:t>
      </w:r>
      <w:bookmarkEnd w:id="52"/>
      <w:bookmarkEnd w:id="53"/>
      <w:bookmarkEnd w:id="54"/>
      <w:bookmarkEnd w:id="55"/>
      <w:bookmarkEnd w:id="56"/>
      <w:bookmarkEnd w:id="57"/>
      <w:bookmarkEnd w:id="58"/>
      <w:bookmarkEnd w:id="59"/>
      <w:bookmarkEnd w:id="60"/>
      <w:bookmarkEnd w:id="61"/>
    </w:p>
    <w:p w14:paraId="4607EBB0">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4.1  </w:t>
      </w:r>
      <w:r>
        <w:rPr>
          <w:rFonts w:ascii="宋体" w:hAnsi="宋体"/>
          <w:snapToGrid w:val="0"/>
          <w:color w:val="auto"/>
          <w:kern w:val="0"/>
          <w:szCs w:val="21"/>
          <w:highlight w:val="none"/>
        </w:rPr>
        <w:t>凡有意参加</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w:t>
      </w:r>
      <w:r>
        <w:rPr>
          <w:rFonts w:ascii="宋体" w:hAnsi="宋体"/>
          <w:snapToGrid w:val="0"/>
          <w:color w:val="auto"/>
          <w:kern w:val="0"/>
          <w:szCs w:val="21"/>
          <w:highlight w:val="none"/>
        </w:rPr>
        <w:t>请于</w:t>
      </w: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4</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11</w:t>
      </w:r>
      <w:r>
        <w:rPr>
          <w:rFonts w:ascii="宋体" w:hAnsi="宋体"/>
          <w:snapToGrid w:val="0"/>
          <w:color w:val="auto"/>
          <w:kern w:val="0"/>
          <w:szCs w:val="21"/>
          <w:highlight w:val="none"/>
        </w:rPr>
        <w:t>日</w:t>
      </w:r>
      <w:r>
        <w:rPr>
          <w:rFonts w:ascii="宋体" w:hAnsi="宋体"/>
          <w:snapToGrid w:val="0"/>
          <w:color w:val="auto"/>
          <w:kern w:val="0"/>
          <w:szCs w:val="21"/>
          <w:highlight w:val="none"/>
        </w:rPr>
        <w:t>（北京时间，下同）起在</w:t>
      </w:r>
      <w:r>
        <w:rPr>
          <w:rFonts w:hint="eastAsia" w:ascii="宋体" w:hAnsi="宋体"/>
          <w:snapToGrid w:val="0"/>
          <w:color w:val="auto"/>
          <w:kern w:val="0"/>
          <w:szCs w:val="21"/>
          <w:highlight w:val="none"/>
          <w:u w:val="single"/>
        </w:rPr>
        <w:t>在“行采家”平台（http://www.gec123.com）</w:t>
      </w:r>
      <w:r>
        <w:rPr>
          <w:rFonts w:ascii="宋体" w:hAnsi="宋体"/>
          <w:snapToGrid w:val="0"/>
          <w:color w:val="auto"/>
          <w:kern w:val="0"/>
          <w:szCs w:val="21"/>
          <w:highlight w:val="none"/>
        </w:rPr>
        <w:t>下载</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工程量清单、图纸、澄清、修改、补充通知、最高限价通知等全部内容。</w:t>
      </w:r>
      <w:r>
        <w:rPr>
          <w:rFonts w:hint="eastAsia" w:ascii="宋体" w:hAnsi="宋体"/>
          <w:snapToGrid w:val="0"/>
          <w:color w:val="auto"/>
          <w:kern w:val="0"/>
          <w:szCs w:val="21"/>
          <w:highlight w:val="none"/>
        </w:rPr>
        <w:t>不管竞选人下载与否，比选人和比选代理机构都视为竞选人收到以上资料并全部知晓有关比选过程和事宜，由此产生的一切后果由竞选人自负。</w:t>
      </w:r>
      <w:r>
        <w:rPr>
          <w:rFonts w:ascii="宋体" w:hAnsi="宋体"/>
          <w:snapToGrid w:val="0"/>
          <w:color w:val="auto"/>
          <w:kern w:val="0"/>
          <w:szCs w:val="21"/>
          <w:highlight w:val="none"/>
        </w:rPr>
        <w:br w:type="textWrapping"/>
      </w:r>
      <w:r>
        <w:rPr>
          <w:rFonts w:hint="eastAsia" w:ascii="宋体" w:hAnsi="宋体"/>
          <w:snapToGrid w:val="0"/>
          <w:color w:val="auto"/>
          <w:kern w:val="0"/>
          <w:szCs w:val="21"/>
          <w:highlight w:val="none"/>
        </w:rPr>
        <w:t xml:space="preserve">   4.2比选文件售价：人民币500元/份（售后不退）随递交竞选文件同时缴纳。</w:t>
      </w:r>
    </w:p>
    <w:p w14:paraId="55DA7E25">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u w:val="single"/>
        </w:rPr>
      </w:pPr>
    </w:p>
    <w:p w14:paraId="65F118B0">
      <w:pPr>
        <w:pStyle w:val="5"/>
        <w:spacing w:before="100" w:after="100" w:line="460" w:lineRule="exact"/>
        <w:rPr>
          <w:rFonts w:ascii="宋体" w:hAnsi="宋体"/>
          <w:snapToGrid w:val="0"/>
          <w:color w:val="auto"/>
          <w:sz w:val="28"/>
          <w:szCs w:val="28"/>
          <w:highlight w:val="none"/>
        </w:rPr>
      </w:pPr>
      <w:bookmarkStart w:id="62" w:name="_Toc509218696"/>
      <w:bookmarkStart w:id="63" w:name="_Toc287607732"/>
      <w:bookmarkStart w:id="64" w:name="_Toc277082540"/>
      <w:bookmarkStart w:id="65" w:name="_Toc200359242"/>
      <w:bookmarkStart w:id="66" w:name="_Toc57905816"/>
      <w:bookmarkStart w:id="67" w:name="_Toc28449"/>
      <w:bookmarkStart w:id="68" w:name="_Toc224103303"/>
      <w:bookmarkStart w:id="69" w:name="_Toc430530420"/>
      <w:bookmarkStart w:id="70" w:name="_Toc200359431"/>
      <w:bookmarkStart w:id="71" w:name="_Toc287620671"/>
      <w:r>
        <w:rPr>
          <w:rFonts w:ascii="宋体" w:hAnsi="宋体"/>
          <w:snapToGrid w:val="0"/>
          <w:color w:val="auto"/>
          <w:sz w:val="28"/>
          <w:szCs w:val="28"/>
          <w:highlight w:val="none"/>
        </w:rPr>
        <w:t>5.</w:t>
      </w:r>
      <w:bookmarkEnd w:id="62"/>
      <w:bookmarkEnd w:id="63"/>
      <w:bookmarkEnd w:id="64"/>
      <w:bookmarkEnd w:id="65"/>
      <w:bookmarkEnd w:id="66"/>
      <w:bookmarkEnd w:id="67"/>
      <w:bookmarkEnd w:id="68"/>
      <w:bookmarkEnd w:id="69"/>
      <w:bookmarkEnd w:id="70"/>
      <w:bookmarkEnd w:id="71"/>
      <w:r>
        <w:rPr>
          <w:rFonts w:hint="eastAsia" w:ascii="宋体" w:hAnsi="宋体"/>
          <w:snapToGrid w:val="0"/>
          <w:color w:val="auto"/>
          <w:sz w:val="24"/>
          <w:szCs w:val="24"/>
          <w:highlight w:val="none"/>
        </w:rPr>
        <w:t>竞选截止和开标时间及地点</w:t>
      </w:r>
    </w:p>
    <w:p w14:paraId="41A2B235">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5.1</w:t>
      </w:r>
      <w:r>
        <w:rPr>
          <w:rFonts w:hint="eastAsia" w:ascii="宋体" w:hAnsi="宋体"/>
          <w:color w:val="auto"/>
          <w:szCs w:val="21"/>
          <w:highlight w:val="none"/>
        </w:rPr>
        <w:t>竞选截止和开标时间：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4 </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17 </w:t>
      </w:r>
      <w:r>
        <w:rPr>
          <w:rFonts w:hint="eastAsia" w:ascii="宋体" w:hAnsi="宋体"/>
          <w:color w:val="auto"/>
          <w:szCs w:val="21"/>
          <w:highlight w:val="none"/>
        </w:rPr>
        <w:t>日</w:t>
      </w:r>
      <w:r>
        <w:rPr>
          <w:rFonts w:hint="eastAsia" w:ascii="宋体" w:hAnsi="宋体"/>
          <w:color w:val="auto"/>
          <w:szCs w:val="21"/>
          <w:highlight w:val="none"/>
          <w:u w:val="single"/>
          <w:lang w:val="en-US" w:eastAsia="zh-CN"/>
        </w:rPr>
        <w:t xml:space="preserve"> 10 </w:t>
      </w:r>
      <w:r>
        <w:rPr>
          <w:rFonts w:hint="eastAsia" w:ascii="宋体" w:hAnsi="宋体"/>
          <w:color w:val="auto"/>
          <w:szCs w:val="21"/>
          <w:highlight w:val="none"/>
        </w:rPr>
        <w:t>时</w:t>
      </w:r>
      <w:r>
        <w:rPr>
          <w:rFonts w:hint="eastAsia" w:ascii="宋体" w:hAnsi="宋体"/>
          <w:snapToGrid w:val="0"/>
          <w:color w:val="auto"/>
          <w:kern w:val="0"/>
          <w:szCs w:val="21"/>
          <w:highlight w:val="none"/>
          <w:u w:val="single"/>
          <w:lang w:val="en-US" w:eastAsia="zh-CN"/>
        </w:rPr>
        <w:t xml:space="preserve"> 00 </w:t>
      </w:r>
      <w:r>
        <w:rPr>
          <w:rFonts w:hint="eastAsia" w:ascii="宋体" w:hAnsi="宋体"/>
          <w:color w:val="auto"/>
          <w:szCs w:val="21"/>
          <w:highlight w:val="none"/>
        </w:rPr>
        <w:t>分（北京时间）；</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递交的截止时间（投标截止时间，下同）为</w:t>
      </w: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single"/>
          <w:lang w:val="en-US" w:eastAsia="zh-CN"/>
        </w:rPr>
        <w:t xml:space="preserve">4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single"/>
          <w:lang w:val="en-US" w:eastAsia="zh-CN"/>
        </w:rPr>
        <w:t xml:space="preserve">17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lang w:val="en-US" w:eastAsia="zh-CN"/>
        </w:rPr>
        <w:t xml:space="preserve"> 09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lang w:val="en-US" w:eastAsia="zh-CN"/>
        </w:rPr>
        <w:t xml:space="preserve"> 30</w:t>
      </w:r>
      <w:r>
        <w:rPr>
          <w:rFonts w:ascii="宋体" w:hAnsi="宋体"/>
          <w:snapToGrid w:val="0"/>
          <w:color w:val="auto"/>
          <w:kern w:val="0"/>
          <w:szCs w:val="21"/>
          <w:highlight w:val="none"/>
        </w:rPr>
        <w:t>分</w:t>
      </w:r>
      <w:r>
        <w:rPr>
          <w:rFonts w:hint="eastAsia" w:ascii="宋体" w:hAnsi="宋体"/>
          <w:snapToGrid w:val="0"/>
          <w:color w:val="auto"/>
          <w:kern w:val="0"/>
          <w:szCs w:val="21"/>
          <w:highlight w:val="none"/>
        </w:rPr>
        <w:t>至</w:t>
      </w:r>
      <w:r>
        <w:rPr>
          <w:rFonts w:hint="eastAsia" w:ascii="宋体" w:hAnsi="宋体"/>
          <w:snapToGrid w:val="0"/>
          <w:color w:val="auto"/>
          <w:kern w:val="0"/>
          <w:szCs w:val="21"/>
          <w:highlight w:val="none"/>
          <w:u w:val="single"/>
          <w:lang w:val="en-US" w:eastAsia="zh-CN"/>
        </w:rPr>
        <w:t xml:space="preserve"> 10</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lang w:val="en-US" w:eastAsia="zh-CN"/>
        </w:rPr>
        <w:t xml:space="preserve"> 00</w:t>
      </w:r>
      <w:r>
        <w:rPr>
          <w:rFonts w:ascii="宋体" w:hAnsi="宋体"/>
          <w:snapToGrid w:val="0"/>
          <w:color w:val="auto"/>
          <w:kern w:val="0"/>
          <w:szCs w:val="21"/>
          <w:highlight w:val="none"/>
        </w:rPr>
        <w:t>分</w:t>
      </w:r>
      <w:r>
        <w:rPr>
          <w:rFonts w:hint="eastAsia" w:ascii="宋体" w:hAnsi="宋体"/>
          <w:color w:val="auto"/>
          <w:szCs w:val="21"/>
          <w:highlight w:val="none"/>
        </w:rPr>
        <w:t>（北京时间）。</w:t>
      </w:r>
    </w:p>
    <w:p w14:paraId="08CB6366">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color w:val="auto"/>
          <w:highlight w:val="none"/>
          <w:u w:val="single"/>
        </w:rPr>
      </w:pPr>
      <w:r>
        <w:rPr>
          <w:rFonts w:hint="eastAsia" w:ascii="宋体" w:hAnsi="宋体"/>
          <w:snapToGrid w:val="0"/>
          <w:color w:val="auto"/>
          <w:kern w:val="0"/>
          <w:szCs w:val="21"/>
          <w:highlight w:val="none"/>
        </w:rPr>
        <w:t>5.2竞选和</w:t>
      </w:r>
      <w:r>
        <w:rPr>
          <w:rFonts w:hint="eastAsia"/>
          <w:color w:val="auto"/>
          <w:highlight w:val="none"/>
        </w:rPr>
        <w:t>开标地点</w:t>
      </w:r>
      <w:r>
        <w:rPr>
          <w:rFonts w:hint="eastAsia" w:ascii="宋体" w:hAnsi="宋体"/>
          <w:color w:val="auto"/>
          <w:sz w:val="24"/>
          <w:highlight w:val="none"/>
        </w:rPr>
        <w:t>：</w:t>
      </w:r>
      <w:r>
        <w:rPr>
          <w:rFonts w:hint="eastAsia" w:ascii="宋体" w:hAnsi="宋体"/>
          <w:snapToGrid w:val="0"/>
          <w:color w:val="auto"/>
          <w:kern w:val="0"/>
          <w:szCs w:val="21"/>
          <w:highlight w:val="none"/>
        </w:rPr>
        <w:t>重庆市荣昌区</w:t>
      </w:r>
      <w:r>
        <w:rPr>
          <w:rFonts w:hint="eastAsia" w:ascii="宋体" w:hAnsi="宋体"/>
          <w:snapToGrid w:val="0"/>
          <w:color w:val="auto"/>
          <w:kern w:val="0"/>
          <w:szCs w:val="21"/>
          <w:highlight w:val="none"/>
          <w:lang w:val="en-US" w:eastAsia="zh-CN"/>
        </w:rPr>
        <w:t>瑞尔国际2号楼13-16</w:t>
      </w:r>
      <w:r>
        <w:rPr>
          <w:rFonts w:hint="eastAsia" w:ascii="宋体" w:hAnsi="宋体"/>
          <w:snapToGrid w:val="0"/>
          <w:color w:val="auto"/>
          <w:kern w:val="0"/>
          <w:szCs w:val="21"/>
          <w:highlight w:val="none"/>
        </w:rPr>
        <w:t>。</w:t>
      </w:r>
    </w:p>
    <w:p w14:paraId="146BCC88">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逾期送达的或者未送达指定地点的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p>
    <w:p w14:paraId="4D87278D">
      <w:pPr>
        <w:pStyle w:val="5"/>
        <w:spacing w:before="100" w:after="100" w:line="460" w:lineRule="exact"/>
        <w:rPr>
          <w:rFonts w:ascii="宋体" w:hAnsi="宋体"/>
          <w:snapToGrid w:val="0"/>
          <w:color w:val="auto"/>
          <w:sz w:val="28"/>
          <w:szCs w:val="28"/>
          <w:highlight w:val="none"/>
        </w:rPr>
      </w:pPr>
      <w:bookmarkStart w:id="72" w:name="_Toc287620672"/>
      <w:bookmarkStart w:id="73" w:name="_Toc509218697"/>
      <w:bookmarkStart w:id="74" w:name="_Toc224103304"/>
      <w:bookmarkStart w:id="75" w:name="_Toc57905817"/>
      <w:bookmarkStart w:id="76" w:name="_Toc200359243"/>
      <w:bookmarkStart w:id="77" w:name="_Toc8166"/>
      <w:bookmarkStart w:id="78" w:name="_Toc287607733"/>
      <w:bookmarkStart w:id="79" w:name="_Toc277082541"/>
      <w:bookmarkStart w:id="80" w:name="_Toc430530421"/>
      <w:bookmarkStart w:id="81" w:name="_Toc200359432"/>
      <w:r>
        <w:rPr>
          <w:rFonts w:ascii="宋体" w:hAnsi="宋体"/>
          <w:snapToGrid w:val="0"/>
          <w:color w:val="auto"/>
          <w:sz w:val="28"/>
          <w:szCs w:val="28"/>
          <w:highlight w:val="none"/>
        </w:rPr>
        <w:t>6.发布公告的媒介</w:t>
      </w:r>
      <w:bookmarkEnd w:id="72"/>
      <w:bookmarkEnd w:id="73"/>
      <w:bookmarkEnd w:id="74"/>
      <w:bookmarkEnd w:id="75"/>
      <w:bookmarkEnd w:id="76"/>
      <w:bookmarkEnd w:id="77"/>
      <w:bookmarkEnd w:id="78"/>
      <w:bookmarkEnd w:id="79"/>
      <w:bookmarkEnd w:id="80"/>
      <w:bookmarkEnd w:id="81"/>
    </w:p>
    <w:p w14:paraId="6E2AE6F6">
      <w:pPr>
        <w:spacing w:line="540" w:lineRule="exact"/>
        <w:ind w:firstLine="420" w:firstLineChars="200"/>
        <w:rPr>
          <w:rFonts w:ascii="宋体" w:hAnsi="宋体"/>
          <w:snapToGrid w:val="0"/>
          <w:color w:val="auto"/>
          <w:kern w:val="0"/>
          <w:szCs w:val="21"/>
          <w:highlight w:val="none"/>
          <w:u w:val="single"/>
        </w:rPr>
      </w:pPr>
      <w:bookmarkStart w:id="82" w:name="_Toc14240"/>
      <w:bookmarkStart w:id="83" w:name="_Toc31352"/>
      <w:bookmarkStart w:id="84" w:name="_Toc287620673"/>
      <w:bookmarkStart w:id="85" w:name="_Toc277082542"/>
      <w:bookmarkStart w:id="86" w:name="_Toc57905818"/>
      <w:bookmarkStart w:id="87" w:name="_Toc287607734"/>
      <w:bookmarkStart w:id="88" w:name="_Toc430530422"/>
      <w:bookmarkStart w:id="89" w:name="_Toc509218698"/>
      <w:bookmarkStart w:id="90" w:name="_Toc224103305"/>
      <w:r>
        <w:rPr>
          <w:rFonts w:hint="eastAsia" w:ascii="宋体" w:hAnsi="宋体"/>
          <w:snapToGrid w:val="0"/>
          <w:color w:val="auto"/>
          <w:kern w:val="0"/>
          <w:szCs w:val="21"/>
          <w:highlight w:val="none"/>
        </w:rPr>
        <w:t>本次比选公告在</w:t>
      </w:r>
      <w:r>
        <w:rPr>
          <w:rFonts w:hint="eastAsia" w:ascii="宋体" w:hAnsi="宋体"/>
          <w:snapToGrid w:val="0"/>
          <w:color w:val="auto"/>
          <w:kern w:val="0"/>
          <w:szCs w:val="21"/>
          <w:highlight w:val="none"/>
          <w:u w:val="single"/>
        </w:rPr>
        <w:t>“行采家”平台（http://www.gec123.com）</w:t>
      </w:r>
      <w:r>
        <w:rPr>
          <w:rFonts w:hint="eastAsia" w:ascii="宋体" w:hAnsi="宋体"/>
          <w:snapToGrid w:val="0"/>
          <w:color w:val="auto"/>
          <w:kern w:val="0"/>
          <w:szCs w:val="21"/>
          <w:highlight w:val="none"/>
        </w:rPr>
        <w:t>上发布</w:t>
      </w:r>
      <w:r>
        <w:rPr>
          <w:rFonts w:hint="eastAsia" w:ascii="宋体" w:hAnsi="宋体"/>
          <w:color w:val="auto"/>
          <w:sz w:val="24"/>
          <w:highlight w:val="none"/>
        </w:rPr>
        <w:t>。</w:t>
      </w:r>
    </w:p>
    <w:p w14:paraId="2A0FDE66">
      <w:pPr>
        <w:pStyle w:val="5"/>
        <w:spacing w:before="100" w:after="100" w:line="460" w:lineRule="exact"/>
        <w:rPr>
          <w:rFonts w:ascii="宋体" w:hAnsi="宋体"/>
          <w:snapToGrid w:val="0"/>
          <w:color w:val="auto"/>
          <w:sz w:val="28"/>
          <w:szCs w:val="28"/>
          <w:highlight w:val="none"/>
        </w:rPr>
      </w:pPr>
      <w:r>
        <w:rPr>
          <w:rFonts w:hint="eastAsia" w:ascii="宋体" w:hAnsi="宋体"/>
          <w:snapToGrid w:val="0"/>
          <w:color w:val="auto"/>
          <w:sz w:val="28"/>
          <w:szCs w:val="28"/>
          <w:highlight w:val="none"/>
        </w:rPr>
        <w:t>7</w:t>
      </w:r>
      <w:r>
        <w:rPr>
          <w:rFonts w:ascii="宋体" w:hAnsi="宋体"/>
          <w:snapToGrid w:val="0"/>
          <w:color w:val="auto"/>
          <w:sz w:val="28"/>
          <w:szCs w:val="28"/>
          <w:highlight w:val="none"/>
        </w:rPr>
        <w:t>.</w:t>
      </w:r>
      <w:bookmarkEnd w:id="82"/>
      <w:bookmarkEnd w:id="83"/>
      <w:bookmarkStart w:id="91" w:name="_Toc589"/>
      <w:r>
        <w:rPr>
          <w:rFonts w:ascii="宋体" w:hAnsi="宋体"/>
          <w:snapToGrid w:val="0"/>
          <w:color w:val="auto"/>
          <w:sz w:val="28"/>
          <w:szCs w:val="28"/>
          <w:highlight w:val="none"/>
        </w:rPr>
        <w:t>联系方式</w:t>
      </w:r>
      <w:bookmarkEnd w:id="84"/>
      <w:bookmarkEnd w:id="85"/>
      <w:bookmarkEnd w:id="86"/>
      <w:bookmarkEnd w:id="87"/>
      <w:bookmarkEnd w:id="88"/>
      <w:bookmarkEnd w:id="89"/>
      <w:bookmarkEnd w:id="90"/>
      <w:bookmarkEnd w:id="91"/>
    </w:p>
    <w:p w14:paraId="5B80AB72">
      <w:pPr>
        <w:autoSpaceDE w:val="0"/>
        <w:autoSpaceDN w:val="0"/>
        <w:adjustRightInd w:val="0"/>
        <w:snapToGrid w:val="0"/>
        <w:spacing w:line="500" w:lineRule="exact"/>
        <w:jc w:val="left"/>
        <w:rPr>
          <w:rFonts w:ascii="宋体" w:hAnsi="宋体"/>
          <w:color w:val="auto"/>
          <w:szCs w:val="21"/>
          <w:highlight w:val="none"/>
        </w:rPr>
      </w:pPr>
      <w:r>
        <w:rPr>
          <w:rFonts w:hint="eastAsia" w:ascii="宋体" w:hAnsi="宋体"/>
          <w:color w:val="auto"/>
          <w:sz w:val="24"/>
          <w:highlight w:val="none"/>
        </w:rPr>
        <w:t xml:space="preserve"> </w:t>
      </w:r>
      <w:r>
        <w:rPr>
          <w:rFonts w:hint="eastAsia" w:ascii="宋体" w:hAnsi="宋体"/>
          <w:color w:val="auto"/>
          <w:szCs w:val="21"/>
          <w:highlight w:val="none"/>
        </w:rPr>
        <w:t xml:space="preserve">  比选人：</w:t>
      </w:r>
      <w:r>
        <w:rPr>
          <w:rFonts w:hint="eastAsia" w:ascii="宋体" w:hAnsi="宋体"/>
          <w:color w:val="auto"/>
          <w:szCs w:val="21"/>
          <w:highlight w:val="none"/>
          <w:lang w:eastAsia="zh-CN"/>
        </w:rPr>
        <w:t>重庆储备粮管理集团有限公司荣昌分公司</w:t>
      </w:r>
      <w:r>
        <w:rPr>
          <w:rFonts w:hint="eastAsia" w:ascii="宋体" w:hAnsi="宋体"/>
          <w:color w:val="auto"/>
          <w:szCs w:val="21"/>
          <w:highlight w:val="none"/>
        </w:rPr>
        <w:t xml:space="preserve">      </w:t>
      </w:r>
    </w:p>
    <w:p w14:paraId="7ABD003C">
      <w:pPr>
        <w:autoSpaceDE w:val="0"/>
        <w:autoSpaceDN w:val="0"/>
        <w:adjustRightInd w:val="0"/>
        <w:snapToGrid w:val="0"/>
        <w:spacing w:line="500" w:lineRule="exact"/>
        <w:jc w:val="left"/>
        <w:rPr>
          <w:rFonts w:hint="eastAsia" w:ascii="宋体" w:hAnsi="宋体"/>
          <w:color w:val="auto"/>
          <w:szCs w:val="21"/>
          <w:highlight w:val="none"/>
        </w:rPr>
      </w:pPr>
      <w:r>
        <w:rPr>
          <w:rFonts w:hint="eastAsia" w:ascii="宋体" w:hAnsi="宋体"/>
          <w:color w:val="auto"/>
          <w:szCs w:val="21"/>
          <w:highlight w:val="none"/>
        </w:rPr>
        <w:t xml:space="preserve">   地址：重庆市荣昌区峰高街道峨眉社区1号                        </w:t>
      </w:r>
    </w:p>
    <w:p w14:paraId="66AE7F16">
      <w:pPr>
        <w:autoSpaceDE w:val="0"/>
        <w:autoSpaceDN w:val="0"/>
        <w:adjustRightInd w:val="0"/>
        <w:snapToGrid w:val="0"/>
        <w:spacing w:line="500" w:lineRule="exact"/>
        <w:jc w:val="left"/>
        <w:rPr>
          <w:rFonts w:hint="eastAsia" w:ascii="宋体" w:hAnsi="宋体"/>
          <w:color w:val="auto"/>
          <w:szCs w:val="21"/>
          <w:highlight w:val="none"/>
        </w:rPr>
      </w:pPr>
      <w:r>
        <w:rPr>
          <w:rFonts w:hint="eastAsia" w:ascii="宋体" w:hAnsi="宋体"/>
          <w:color w:val="auto"/>
          <w:szCs w:val="21"/>
          <w:highlight w:val="none"/>
        </w:rPr>
        <w:t xml:space="preserve">   联系人：周先生                                           </w:t>
      </w:r>
    </w:p>
    <w:p w14:paraId="4851E690">
      <w:pPr>
        <w:autoSpaceDE w:val="0"/>
        <w:autoSpaceDN w:val="0"/>
        <w:adjustRightInd w:val="0"/>
        <w:snapToGrid w:val="0"/>
        <w:spacing w:line="500" w:lineRule="exact"/>
        <w:jc w:val="left"/>
        <w:rPr>
          <w:rFonts w:hint="eastAsia" w:ascii="宋体" w:hAnsi="宋体"/>
          <w:color w:val="auto"/>
          <w:szCs w:val="21"/>
          <w:highlight w:val="none"/>
        </w:rPr>
      </w:pPr>
      <w:r>
        <w:rPr>
          <w:rFonts w:hint="eastAsia" w:ascii="宋体" w:hAnsi="宋体"/>
          <w:color w:val="auto"/>
          <w:szCs w:val="21"/>
          <w:highlight w:val="none"/>
        </w:rPr>
        <w:t xml:space="preserve">   电  话：023-46750899  </w:t>
      </w:r>
    </w:p>
    <w:p w14:paraId="3A789CFE">
      <w:pPr>
        <w:autoSpaceDE w:val="0"/>
        <w:autoSpaceDN w:val="0"/>
        <w:adjustRightInd w:val="0"/>
        <w:snapToGrid w:val="0"/>
        <w:spacing w:line="50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比选代理机构：</w:t>
      </w:r>
      <w:r>
        <w:rPr>
          <w:rFonts w:hint="eastAsia"/>
          <w:color w:val="auto"/>
          <w:szCs w:val="21"/>
          <w:highlight w:val="none"/>
        </w:rPr>
        <w:t>重庆深夏工程咨询有限公司</w:t>
      </w:r>
      <w:r>
        <w:rPr>
          <w:rFonts w:hint="eastAsia" w:ascii="宋体" w:hAnsi="宋体"/>
          <w:color w:val="auto"/>
          <w:szCs w:val="21"/>
          <w:highlight w:val="none"/>
        </w:rPr>
        <w:t xml:space="preserve">  </w:t>
      </w:r>
    </w:p>
    <w:p w14:paraId="1570CF7B">
      <w:pPr>
        <w:autoSpaceDE w:val="0"/>
        <w:autoSpaceDN w:val="0"/>
        <w:adjustRightInd w:val="0"/>
        <w:snapToGrid w:val="0"/>
        <w:spacing w:line="500" w:lineRule="exact"/>
        <w:ind w:firstLine="210" w:firstLineChars="1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地址：重庆市荣昌区</w:t>
      </w:r>
      <w:r>
        <w:rPr>
          <w:rFonts w:hint="eastAsia" w:ascii="宋体" w:hAnsi="宋体"/>
          <w:color w:val="auto"/>
          <w:szCs w:val="21"/>
          <w:highlight w:val="none"/>
          <w:lang w:val="en-US" w:eastAsia="zh-CN"/>
        </w:rPr>
        <w:t>瑞尔国际2号楼13-16</w:t>
      </w:r>
    </w:p>
    <w:p w14:paraId="4038E3FF">
      <w:pPr>
        <w:autoSpaceDE w:val="0"/>
        <w:autoSpaceDN w:val="0"/>
        <w:adjustRightInd w:val="0"/>
        <w:snapToGrid w:val="0"/>
        <w:spacing w:line="50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 xml:space="preserve">联系人：王老师  </w:t>
      </w:r>
    </w:p>
    <w:p w14:paraId="35B6F04A">
      <w:pPr>
        <w:autoSpaceDE w:val="0"/>
        <w:autoSpaceDN w:val="0"/>
        <w:adjustRightInd w:val="0"/>
        <w:snapToGrid w:val="0"/>
        <w:spacing w:line="500" w:lineRule="exact"/>
        <w:ind w:firstLine="210" w:firstLineChars="100"/>
        <w:jc w:val="left"/>
        <w:rPr>
          <w:rFonts w:hint="eastAsia"/>
          <w:color w:val="auto"/>
          <w:szCs w:val="21"/>
          <w:highlight w:val="none"/>
        </w:rPr>
      </w:pPr>
      <w:r>
        <w:rPr>
          <w:rFonts w:hint="eastAsia" w:ascii="宋体" w:hAnsi="宋体"/>
          <w:color w:val="auto"/>
          <w:szCs w:val="21"/>
          <w:highlight w:val="none"/>
        </w:rPr>
        <w:t xml:space="preserve">电  话：023-46324356   </w:t>
      </w:r>
    </w:p>
    <w:p w14:paraId="39F7F68A">
      <w:pPr>
        <w:tabs>
          <w:tab w:val="left" w:pos="5140"/>
          <w:tab w:val="left" w:pos="8420"/>
        </w:tabs>
        <w:autoSpaceDE w:val="0"/>
        <w:autoSpaceDN w:val="0"/>
        <w:adjustRightInd w:val="0"/>
        <w:snapToGrid w:val="0"/>
        <w:spacing w:line="400" w:lineRule="exact"/>
        <w:jc w:val="left"/>
        <w:rPr>
          <w:rFonts w:ascii="宋体" w:hAnsi="宋体"/>
          <w:snapToGrid w:val="0"/>
          <w:color w:val="auto"/>
          <w:kern w:val="0"/>
          <w:szCs w:val="21"/>
          <w:highlight w:val="none"/>
          <w:u w:val="single"/>
        </w:rPr>
      </w:pPr>
    </w:p>
    <w:p w14:paraId="42937E8C">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 xml:space="preserve"> 4</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 xml:space="preserve"> 11 </w:t>
      </w:r>
      <w:r>
        <w:rPr>
          <w:rFonts w:ascii="宋体" w:hAnsi="宋体"/>
          <w:snapToGrid w:val="0"/>
          <w:color w:val="auto"/>
          <w:kern w:val="0"/>
          <w:szCs w:val="21"/>
          <w:highlight w:val="none"/>
        </w:rPr>
        <w:t>日</w:t>
      </w:r>
    </w:p>
    <w:p w14:paraId="73E861F3">
      <w:pPr>
        <w:pStyle w:val="4"/>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92" w:name="_Toc430530423"/>
      <w:bookmarkStart w:id="93" w:name="_Toc287607735"/>
      <w:bookmarkStart w:id="94" w:name="_Toc224103306"/>
      <w:bookmarkStart w:id="95" w:name="_Toc287620674"/>
    </w:p>
    <w:bookmarkEnd w:id="92"/>
    <w:bookmarkEnd w:id="93"/>
    <w:bookmarkEnd w:id="94"/>
    <w:bookmarkEnd w:id="95"/>
    <w:p w14:paraId="0FFD778A">
      <w:pPr>
        <w:pStyle w:val="4"/>
        <w:spacing w:line="360" w:lineRule="auto"/>
        <w:jc w:val="center"/>
        <w:rPr>
          <w:rFonts w:ascii="宋体" w:hAnsi="宋体"/>
          <w:bCs w:val="0"/>
          <w:snapToGrid w:val="0"/>
          <w:color w:val="auto"/>
          <w:kern w:val="0"/>
          <w:highlight w:val="none"/>
        </w:rPr>
      </w:pPr>
      <w:bookmarkStart w:id="96" w:name="_Toc430530432"/>
      <w:bookmarkStart w:id="97" w:name="_Toc287607744"/>
      <w:bookmarkStart w:id="98" w:name="_Toc224103315"/>
      <w:bookmarkStart w:id="99" w:name="_Toc57905828"/>
      <w:bookmarkStart w:id="100" w:name="_Toc287620683"/>
      <w:bookmarkStart w:id="101" w:name="_Toc32148"/>
      <w:r>
        <w:rPr>
          <w:rFonts w:ascii="宋体" w:hAnsi="宋体"/>
          <w:snapToGrid w:val="0"/>
          <w:color w:val="auto"/>
          <w:kern w:val="0"/>
          <w:highlight w:val="none"/>
        </w:rPr>
        <w:t xml:space="preserve">第二章  </w:t>
      </w:r>
      <w:bookmarkEnd w:id="96"/>
      <w:bookmarkEnd w:id="97"/>
      <w:bookmarkEnd w:id="98"/>
      <w:bookmarkEnd w:id="99"/>
      <w:bookmarkEnd w:id="100"/>
      <w:bookmarkEnd w:id="101"/>
      <w:bookmarkStart w:id="102" w:name="_Toc224103316"/>
      <w:bookmarkStart w:id="103" w:name="_Toc430530433"/>
      <w:bookmarkStart w:id="104" w:name="_Toc287607745"/>
      <w:bookmarkStart w:id="105" w:name="_Toc287620684"/>
      <w:bookmarkStart w:id="106" w:name="_Toc277082551"/>
      <w:r>
        <w:rPr>
          <w:rFonts w:hint="eastAsia" w:ascii="宋体" w:hAnsi="宋体"/>
          <w:snapToGrid w:val="0"/>
          <w:color w:val="auto"/>
          <w:kern w:val="0"/>
          <w:highlight w:val="none"/>
        </w:rPr>
        <w:t>竞选人须知</w:t>
      </w:r>
    </w:p>
    <w:p w14:paraId="32772AEE">
      <w:pPr>
        <w:pStyle w:val="5"/>
        <w:spacing w:before="100" w:after="100" w:line="360" w:lineRule="auto"/>
        <w:rPr>
          <w:rFonts w:ascii="宋体" w:hAnsi="宋体"/>
          <w:color w:val="auto"/>
          <w:highlight w:val="none"/>
        </w:rPr>
      </w:pPr>
      <w:bookmarkStart w:id="107" w:name="_Toc57905829"/>
      <w:bookmarkStart w:id="108" w:name="_Toc509218708"/>
      <w:bookmarkStart w:id="109" w:name="_Toc8005"/>
      <w:r>
        <w:rPr>
          <w:rFonts w:hint="eastAsia" w:ascii="宋体" w:hAnsi="宋体"/>
          <w:color w:val="auto"/>
          <w:highlight w:val="none"/>
        </w:rPr>
        <w:t>竞选人须知前附表</w:t>
      </w:r>
      <w:bookmarkEnd w:id="102"/>
      <w:bookmarkEnd w:id="103"/>
      <w:bookmarkEnd w:id="104"/>
      <w:bookmarkEnd w:id="105"/>
      <w:bookmarkEnd w:id="106"/>
      <w:bookmarkEnd w:id="107"/>
      <w:bookmarkEnd w:id="108"/>
      <w:bookmarkEnd w:id="109"/>
    </w:p>
    <w:p w14:paraId="0ADF0C4B">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rPr>
        <w:t>竞选人须知</w:t>
      </w:r>
      <w:r>
        <w:rPr>
          <w:rFonts w:ascii="宋体" w:hAnsi="宋体"/>
          <w:color w:val="auto"/>
          <w:szCs w:val="21"/>
          <w:highlight w:val="none"/>
        </w:rPr>
        <w:t>前附表与正文不一致的地方，以</w:t>
      </w:r>
      <w:r>
        <w:rPr>
          <w:rFonts w:hint="eastAsia" w:ascii="宋体" w:hAnsi="宋体"/>
          <w:color w:val="auto"/>
          <w:szCs w:val="21"/>
          <w:highlight w:val="none"/>
        </w:rPr>
        <w:t>竞选人须知</w:t>
      </w:r>
      <w:r>
        <w:rPr>
          <w:rFonts w:ascii="宋体" w:hAnsi="宋体"/>
          <w:color w:val="auto"/>
          <w:szCs w:val="21"/>
          <w:highlight w:val="none"/>
        </w:rPr>
        <w:t>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09EF1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20004340">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082E07C2">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23D30E10">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26152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834B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1AE3FEC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比选人</w:t>
            </w:r>
          </w:p>
        </w:tc>
        <w:tc>
          <w:tcPr>
            <w:tcW w:w="6490" w:type="dxa"/>
            <w:vAlign w:val="center"/>
          </w:tcPr>
          <w:p w14:paraId="58546105">
            <w:pPr>
              <w:snapToGrid w:val="0"/>
              <w:spacing w:line="400" w:lineRule="exact"/>
              <w:rPr>
                <w:rFonts w:ascii="宋体" w:hAnsi="宋体"/>
                <w:color w:val="auto"/>
                <w:kern w:val="0"/>
                <w:highlight w:val="none"/>
              </w:rPr>
            </w:pPr>
            <w:r>
              <w:rPr>
                <w:rFonts w:hint="eastAsia" w:ascii="宋体" w:hAnsi="宋体"/>
                <w:color w:val="auto"/>
                <w:kern w:val="0"/>
                <w:highlight w:val="none"/>
              </w:rPr>
              <w:t>比选人：</w:t>
            </w:r>
            <w:r>
              <w:rPr>
                <w:rFonts w:hint="eastAsia" w:ascii="宋体" w:hAnsi="宋体"/>
                <w:color w:val="auto"/>
                <w:kern w:val="0"/>
                <w:highlight w:val="none"/>
                <w:lang w:eastAsia="zh-CN"/>
              </w:rPr>
              <w:t>重庆储备粮管理集团有限公司荣昌分公司</w:t>
            </w:r>
            <w:r>
              <w:rPr>
                <w:rFonts w:hint="eastAsia" w:ascii="宋体" w:hAnsi="宋体"/>
                <w:color w:val="auto"/>
                <w:kern w:val="0"/>
                <w:highlight w:val="none"/>
              </w:rPr>
              <w:t xml:space="preserve">      </w:t>
            </w:r>
          </w:p>
          <w:p w14:paraId="7F5F1134">
            <w:pPr>
              <w:snapToGrid w:val="0"/>
              <w:spacing w:line="400" w:lineRule="exact"/>
              <w:rPr>
                <w:rFonts w:hint="eastAsia" w:ascii="宋体" w:hAnsi="宋体"/>
                <w:color w:val="auto"/>
                <w:kern w:val="0"/>
                <w:highlight w:val="none"/>
              </w:rPr>
            </w:pPr>
            <w:r>
              <w:rPr>
                <w:rFonts w:hint="eastAsia" w:ascii="宋体" w:hAnsi="宋体"/>
                <w:color w:val="auto"/>
                <w:kern w:val="0"/>
                <w:highlight w:val="none"/>
              </w:rPr>
              <w:t xml:space="preserve">地址：重庆市荣昌区峰高街道峨眉社区1号                        </w:t>
            </w:r>
          </w:p>
          <w:p w14:paraId="15805471">
            <w:pPr>
              <w:snapToGrid w:val="0"/>
              <w:spacing w:line="400" w:lineRule="exact"/>
              <w:rPr>
                <w:rFonts w:hint="eastAsia" w:ascii="宋体" w:hAnsi="宋体"/>
                <w:color w:val="auto"/>
                <w:kern w:val="0"/>
                <w:highlight w:val="none"/>
              </w:rPr>
            </w:pPr>
            <w:r>
              <w:rPr>
                <w:rFonts w:hint="eastAsia" w:ascii="宋体" w:hAnsi="宋体"/>
                <w:color w:val="auto"/>
                <w:kern w:val="0"/>
                <w:highlight w:val="none"/>
              </w:rPr>
              <w:t xml:space="preserve">联系人：周先生                                           </w:t>
            </w:r>
          </w:p>
          <w:p w14:paraId="3466B037">
            <w:pPr>
              <w:rPr>
                <w:color w:val="auto"/>
                <w:highlight w:val="none"/>
              </w:rPr>
            </w:pPr>
            <w:r>
              <w:rPr>
                <w:rFonts w:hint="eastAsia" w:ascii="宋体" w:hAnsi="宋体"/>
                <w:color w:val="auto"/>
                <w:kern w:val="0"/>
                <w:highlight w:val="none"/>
              </w:rPr>
              <w:t xml:space="preserve">电  话：023-46750899 </w:t>
            </w:r>
          </w:p>
        </w:tc>
      </w:tr>
      <w:tr w14:paraId="19F02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59FFA2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6B5A02F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比选代理机构</w:t>
            </w:r>
          </w:p>
        </w:tc>
        <w:tc>
          <w:tcPr>
            <w:tcW w:w="6490" w:type="dxa"/>
            <w:vAlign w:val="center"/>
          </w:tcPr>
          <w:p w14:paraId="6A3D1F77">
            <w:pPr>
              <w:spacing w:line="440" w:lineRule="exact"/>
              <w:rPr>
                <w:rFonts w:ascii="宋体" w:hAnsi="宋体"/>
                <w:color w:val="auto"/>
                <w:kern w:val="0"/>
                <w:szCs w:val="21"/>
                <w:highlight w:val="none"/>
              </w:rPr>
            </w:pPr>
            <w:r>
              <w:rPr>
                <w:rFonts w:hint="eastAsia" w:ascii="宋体" w:hAnsi="宋体"/>
                <w:color w:val="auto"/>
                <w:kern w:val="0"/>
                <w:szCs w:val="21"/>
                <w:highlight w:val="none"/>
              </w:rPr>
              <w:t xml:space="preserve">比选代理机构：重庆深夏工程咨询有限公司  </w:t>
            </w:r>
          </w:p>
          <w:p w14:paraId="13CF2F8A">
            <w:pPr>
              <w:spacing w:line="440" w:lineRule="exact"/>
              <w:rPr>
                <w:rFonts w:hint="eastAsia" w:ascii="宋体" w:hAnsi="宋体"/>
                <w:color w:val="auto"/>
                <w:kern w:val="0"/>
                <w:szCs w:val="21"/>
                <w:highlight w:val="none"/>
              </w:rPr>
            </w:pPr>
            <w:r>
              <w:rPr>
                <w:rFonts w:hint="eastAsia" w:ascii="宋体" w:hAnsi="宋体"/>
                <w:color w:val="auto"/>
                <w:kern w:val="0"/>
                <w:szCs w:val="21"/>
                <w:highlight w:val="none"/>
              </w:rPr>
              <w:t>地址：重庆市荣昌区</w:t>
            </w:r>
            <w:r>
              <w:rPr>
                <w:rFonts w:hint="eastAsia" w:ascii="宋体" w:hAnsi="宋体"/>
                <w:color w:val="auto"/>
                <w:kern w:val="0"/>
                <w:szCs w:val="21"/>
                <w:highlight w:val="none"/>
                <w:lang w:val="en-US" w:eastAsia="zh-CN"/>
              </w:rPr>
              <w:t>瑞尔国际2号楼13-16</w:t>
            </w:r>
          </w:p>
          <w:p w14:paraId="13851E16">
            <w:pPr>
              <w:spacing w:line="44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联系人：王老师  </w:t>
            </w:r>
          </w:p>
          <w:p w14:paraId="748909B4">
            <w:pPr>
              <w:spacing w:line="440" w:lineRule="exact"/>
              <w:rPr>
                <w:rFonts w:ascii="宋体" w:hAnsi="宋体"/>
                <w:color w:val="auto"/>
                <w:kern w:val="0"/>
                <w:szCs w:val="21"/>
                <w:highlight w:val="none"/>
              </w:rPr>
            </w:pPr>
            <w:r>
              <w:rPr>
                <w:rFonts w:hint="eastAsia" w:ascii="宋体" w:hAnsi="宋体"/>
                <w:color w:val="auto"/>
                <w:kern w:val="0"/>
                <w:szCs w:val="21"/>
                <w:highlight w:val="none"/>
              </w:rPr>
              <w:t xml:space="preserve">电  话：023-46324356 </w:t>
            </w:r>
          </w:p>
        </w:tc>
      </w:tr>
      <w:tr w14:paraId="7225D6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7F77C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291D788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比选项目名称</w:t>
            </w:r>
          </w:p>
        </w:tc>
        <w:tc>
          <w:tcPr>
            <w:tcW w:w="6490" w:type="dxa"/>
            <w:vAlign w:val="center"/>
          </w:tcPr>
          <w:p w14:paraId="4B96BA3B">
            <w:pPr>
              <w:snapToGrid w:val="0"/>
              <w:spacing w:line="400" w:lineRule="exact"/>
              <w:jc w:val="left"/>
              <w:rPr>
                <w:rFonts w:hint="eastAsia" w:ascii="宋体" w:hAnsi="宋体" w:eastAsia="宋体"/>
                <w:color w:val="auto"/>
                <w:szCs w:val="21"/>
                <w:highlight w:val="none"/>
                <w:lang w:eastAsia="zh-CN"/>
              </w:rPr>
            </w:pPr>
            <w:r>
              <w:rPr>
                <w:rFonts w:hint="eastAsia" w:ascii="宋体" w:hAnsi="宋体"/>
                <w:snapToGrid w:val="0"/>
                <w:color w:val="auto"/>
                <w:kern w:val="0"/>
                <w:szCs w:val="21"/>
                <w:highlight w:val="none"/>
                <w:lang w:eastAsia="zh-CN"/>
              </w:rPr>
              <w:t>荣昌粮食仓储物流项目4#仓散水工程</w:t>
            </w:r>
          </w:p>
        </w:tc>
      </w:tr>
      <w:tr w14:paraId="31413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E75D5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7357A164">
            <w:pPr>
              <w:snapToGrid w:val="0"/>
              <w:spacing w:line="400" w:lineRule="exact"/>
              <w:ind w:firstLine="210" w:firstLineChars="100"/>
              <w:jc w:val="both"/>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29D8E9E0">
            <w:pPr>
              <w:rPr>
                <w:color w:val="auto"/>
                <w:highlight w:val="none"/>
              </w:rPr>
            </w:pPr>
            <w:r>
              <w:rPr>
                <w:rFonts w:hint="eastAsia" w:ascii="宋体" w:hAnsi="宋体"/>
                <w:color w:val="auto"/>
                <w:highlight w:val="none"/>
              </w:rPr>
              <w:t>重庆市荣昌区峰高街道峨眉社区1号</w:t>
            </w:r>
          </w:p>
        </w:tc>
      </w:tr>
      <w:tr w14:paraId="6E5376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5140C6">
            <w:pPr>
              <w:snapToGrid w:val="0"/>
              <w:spacing w:line="40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1.1.6</w:t>
            </w:r>
          </w:p>
        </w:tc>
        <w:tc>
          <w:tcPr>
            <w:tcW w:w="1644" w:type="dxa"/>
            <w:vAlign w:val="center"/>
          </w:tcPr>
          <w:p w14:paraId="7C8D8B5F">
            <w:pPr>
              <w:snapToGrid w:val="0"/>
              <w:spacing w:line="400" w:lineRule="exact"/>
              <w:ind w:firstLine="210" w:firstLineChars="1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建设规模</w:t>
            </w:r>
          </w:p>
        </w:tc>
        <w:tc>
          <w:tcPr>
            <w:tcW w:w="6490" w:type="dxa"/>
            <w:vAlign w:val="center"/>
          </w:tcPr>
          <w:p w14:paraId="707811D4">
            <w:pPr>
              <w:snapToGrid w:val="0"/>
              <w:spacing w:line="400" w:lineRule="exact"/>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本项目主要工作内容为在4#仓库修筑未完善的散水465.54m²</w:t>
            </w:r>
          </w:p>
        </w:tc>
      </w:tr>
      <w:tr w14:paraId="7DBDCC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81726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5838789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0D103B30">
            <w:pPr>
              <w:snapToGrid w:val="0"/>
              <w:spacing w:line="400" w:lineRule="exact"/>
              <w:rPr>
                <w:rFonts w:ascii="宋体" w:hAnsi="宋体"/>
                <w:color w:val="auto"/>
                <w:szCs w:val="21"/>
                <w:highlight w:val="none"/>
              </w:rPr>
            </w:pPr>
            <w:r>
              <w:rPr>
                <w:rFonts w:hint="eastAsia" w:ascii="宋体" w:hAnsi="宋体"/>
                <w:color w:val="auto"/>
                <w:kern w:val="0"/>
                <w:szCs w:val="21"/>
                <w:highlight w:val="none"/>
              </w:rPr>
              <w:t xml:space="preserve">争取上级补助及自筹  </w:t>
            </w:r>
          </w:p>
        </w:tc>
      </w:tr>
      <w:tr w14:paraId="37478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DA3A8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5F01AAF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68F7C28B">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single"/>
              </w:rPr>
              <w:t>100%</w:t>
            </w:r>
          </w:p>
        </w:tc>
      </w:tr>
      <w:tr w14:paraId="13A6A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F240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3181D9E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173D515B">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single"/>
              </w:rPr>
              <w:t>已落实</w:t>
            </w:r>
          </w:p>
        </w:tc>
      </w:tr>
      <w:tr w14:paraId="3A013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335" w:type="dxa"/>
            <w:vAlign w:val="center"/>
          </w:tcPr>
          <w:p w14:paraId="6698341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67C7A29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比选范围</w:t>
            </w:r>
          </w:p>
        </w:tc>
        <w:tc>
          <w:tcPr>
            <w:tcW w:w="6490" w:type="dxa"/>
            <w:vAlign w:val="center"/>
          </w:tcPr>
          <w:p w14:paraId="4227BB5A">
            <w:pPr>
              <w:tabs>
                <w:tab w:val="left" w:pos="3840"/>
                <w:tab w:val="left" w:pos="5300"/>
              </w:tabs>
              <w:autoSpaceDE w:val="0"/>
              <w:autoSpaceDN w:val="0"/>
              <w:adjustRightInd w:val="0"/>
              <w:snapToGrid w:val="0"/>
              <w:spacing w:line="460" w:lineRule="exact"/>
              <w:ind w:firstLine="420" w:firstLineChars="200"/>
              <w:jc w:val="left"/>
              <w:rPr>
                <w:i/>
                <w:color w:val="auto"/>
                <w:szCs w:val="21"/>
                <w:highlight w:val="none"/>
              </w:rPr>
            </w:pPr>
            <w:r>
              <w:rPr>
                <w:rFonts w:hint="eastAsia" w:ascii="宋体" w:hAnsi="宋体"/>
                <w:snapToGrid w:val="0"/>
                <w:color w:val="auto"/>
                <w:kern w:val="0"/>
                <w:szCs w:val="21"/>
                <w:highlight w:val="none"/>
              </w:rPr>
              <w:t>包括但不限于施工图范围内</w:t>
            </w:r>
            <w:r>
              <w:rPr>
                <w:rFonts w:hint="eastAsia" w:ascii="宋体" w:hAnsi="宋体"/>
                <w:snapToGrid w:val="0"/>
                <w:color w:val="auto"/>
                <w:kern w:val="0"/>
                <w:szCs w:val="21"/>
                <w:highlight w:val="none"/>
                <w:lang w:val="en-US" w:eastAsia="zh-CN"/>
              </w:rPr>
              <w:t>的全部</w:t>
            </w:r>
            <w:r>
              <w:rPr>
                <w:rFonts w:hint="eastAsia" w:ascii="宋体" w:hAnsi="宋体"/>
                <w:snapToGrid w:val="0"/>
                <w:color w:val="auto"/>
                <w:kern w:val="0"/>
                <w:szCs w:val="21"/>
                <w:highlight w:val="none"/>
              </w:rPr>
              <w:t>内容，具体</w:t>
            </w:r>
            <w:r>
              <w:rPr>
                <w:rFonts w:hint="eastAsia" w:ascii="宋体" w:hAnsi="宋体"/>
                <w:snapToGrid w:val="0"/>
                <w:color w:val="auto"/>
                <w:kern w:val="0"/>
                <w:szCs w:val="21"/>
                <w:highlight w:val="none"/>
                <w:lang w:val="en-US" w:eastAsia="zh-CN"/>
              </w:rPr>
              <w:t>包括铺筑散水工作内容，</w:t>
            </w:r>
            <w:r>
              <w:rPr>
                <w:rFonts w:hint="eastAsia" w:ascii="宋体" w:hAnsi="宋体"/>
                <w:snapToGrid w:val="0"/>
                <w:color w:val="auto"/>
                <w:kern w:val="0"/>
                <w:szCs w:val="21"/>
                <w:highlight w:val="none"/>
              </w:rPr>
              <w:t>以比选人给出的工程量清单和图纸为准。</w:t>
            </w:r>
          </w:p>
        </w:tc>
      </w:tr>
      <w:tr w14:paraId="0A5C2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9E181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1FA7793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7FE2393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71293476">
            <w:pPr>
              <w:snapToGrid w:val="0"/>
              <w:spacing w:line="400" w:lineRule="exact"/>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cs="宋体"/>
                <w:color w:val="auto"/>
                <w:kern w:val="0"/>
                <w:szCs w:val="21"/>
                <w:highlight w:val="none"/>
                <w:u w:val="single"/>
                <w:shd w:val="clear" w:color="auto" w:fill="FFFFFF"/>
                <w:lang w:val="en-US" w:eastAsia="zh-CN"/>
              </w:rPr>
              <w:t>20</w:t>
            </w:r>
            <w:r>
              <w:rPr>
                <w:rFonts w:hint="eastAsia" w:ascii="宋体" w:hAnsi="宋体" w:cs="宋体"/>
                <w:color w:val="auto"/>
                <w:kern w:val="0"/>
                <w:szCs w:val="21"/>
                <w:highlight w:val="none"/>
                <w:u w:val="single"/>
                <w:shd w:val="clear" w:color="auto" w:fill="FFFFFF"/>
              </w:rPr>
              <w:t>日历天</w:t>
            </w:r>
          </w:p>
          <w:p w14:paraId="0836F110">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rPr>
              <w:t>12个月</w:t>
            </w:r>
          </w:p>
        </w:tc>
      </w:tr>
      <w:tr w14:paraId="2DBE8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335" w:type="dxa"/>
            <w:vAlign w:val="center"/>
          </w:tcPr>
          <w:p w14:paraId="10DAC7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7703787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4A27706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0A784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5245B881">
            <w:pPr>
              <w:snapToGrid w:val="0"/>
              <w:spacing w:line="400" w:lineRule="exact"/>
              <w:jc w:val="center"/>
              <w:rPr>
                <w:rFonts w:ascii="宋体" w:hAnsi="宋体"/>
                <w:color w:val="auto"/>
                <w:kern w:val="0"/>
                <w:szCs w:val="21"/>
                <w:highlight w:val="none"/>
              </w:rPr>
            </w:pPr>
          </w:p>
          <w:p w14:paraId="501FE7C8">
            <w:pPr>
              <w:snapToGrid w:val="0"/>
              <w:spacing w:line="400" w:lineRule="exact"/>
              <w:jc w:val="center"/>
              <w:rPr>
                <w:rFonts w:ascii="宋体" w:hAnsi="宋体"/>
                <w:color w:val="auto"/>
                <w:kern w:val="0"/>
                <w:szCs w:val="21"/>
                <w:highlight w:val="none"/>
              </w:rPr>
            </w:pPr>
          </w:p>
          <w:p w14:paraId="33B2B176">
            <w:pPr>
              <w:snapToGrid w:val="0"/>
              <w:spacing w:line="400" w:lineRule="exact"/>
              <w:jc w:val="center"/>
              <w:rPr>
                <w:rFonts w:ascii="宋体" w:hAnsi="宋体"/>
                <w:color w:val="auto"/>
                <w:kern w:val="0"/>
                <w:szCs w:val="21"/>
                <w:highlight w:val="none"/>
              </w:rPr>
            </w:pPr>
          </w:p>
          <w:p w14:paraId="313F3041">
            <w:pPr>
              <w:snapToGrid w:val="0"/>
              <w:spacing w:line="400" w:lineRule="exact"/>
              <w:jc w:val="center"/>
              <w:rPr>
                <w:rFonts w:ascii="宋体" w:hAnsi="宋体"/>
                <w:color w:val="auto"/>
                <w:kern w:val="0"/>
                <w:szCs w:val="21"/>
                <w:highlight w:val="none"/>
              </w:rPr>
            </w:pPr>
          </w:p>
          <w:p w14:paraId="33D3E446">
            <w:pPr>
              <w:snapToGrid w:val="0"/>
              <w:spacing w:line="400" w:lineRule="exact"/>
              <w:jc w:val="center"/>
              <w:rPr>
                <w:rFonts w:ascii="宋体" w:hAnsi="宋体"/>
                <w:color w:val="auto"/>
                <w:kern w:val="0"/>
                <w:szCs w:val="21"/>
                <w:highlight w:val="none"/>
              </w:rPr>
            </w:pPr>
          </w:p>
          <w:p w14:paraId="60A8008F">
            <w:pPr>
              <w:snapToGrid w:val="0"/>
              <w:spacing w:line="400" w:lineRule="exact"/>
              <w:jc w:val="center"/>
              <w:rPr>
                <w:rFonts w:ascii="宋体" w:hAnsi="宋体"/>
                <w:color w:val="auto"/>
                <w:kern w:val="0"/>
                <w:szCs w:val="21"/>
                <w:highlight w:val="none"/>
              </w:rPr>
            </w:pPr>
          </w:p>
          <w:p w14:paraId="1CF6EFFC">
            <w:pPr>
              <w:snapToGrid w:val="0"/>
              <w:spacing w:line="400" w:lineRule="exact"/>
              <w:jc w:val="center"/>
              <w:rPr>
                <w:rFonts w:ascii="宋体" w:hAnsi="宋体"/>
                <w:color w:val="auto"/>
                <w:kern w:val="0"/>
                <w:szCs w:val="21"/>
                <w:highlight w:val="none"/>
              </w:rPr>
            </w:pPr>
          </w:p>
          <w:p w14:paraId="3CCA93FE">
            <w:pPr>
              <w:snapToGrid w:val="0"/>
              <w:spacing w:line="400" w:lineRule="exact"/>
              <w:jc w:val="center"/>
              <w:rPr>
                <w:rFonts w:ascii="宋体" w:hAnsi="宋体"/>
                <w:color w:val="auto"/>
                <w:kern w:val="0"/>
                <w:szCs w:val="21"/>
                <w:highlight w:val="none"/>
              </w:rPr>
            </w:pPr>
          </w:p>
          <w:p w14:paraId="253B4C0B">
            <w:pPr>
              <w:snapToGrid w:val="0"/>
              <w:spacing w:line="400" w:lineRule="exact"/>
              <w:jc w:val="center"/>
              <w:rPr>
                <w:rFonts w:ascii="宋体" w:hAnsi="宋体"/>
                <w:color w:val="auto"/>
                <w:kern w:val="0"/>
                <w:szCs w:val="21"/>
                <w:highlight w:val="none"/>
              </w:rPr>
            </w:pPr>
          </w:p>
          <w:p w14:paraId="7B59D1D4">
            <w:pPr>
              <w:snapToGrid w:val="0"/>
              <w:spacing w:line="400" w:lineRule="exact"/>
              <w:jc w:val="center"/>
              <w:rPr>
                <w:rFonts w:ascii="宋体" w:hAnsi="宋体"/>
                <w:color w:val="auto"/>
                <w:kern w:val="0"/>
                <w:szCs w:val="21"/>
                <w:highlight w:val="none"/>
              </w:rPr>
            </w:pPr>
          </w:p>
          <w:p w14:paraId="6C3206E1">
            <w:pPr>
              <w:snapToGrid w:val="0"/>
              <w:spacing w:line="400" w:lineRule="exact"/>
              <w:jc w:val="center"/>
              <w:rPr>
                <w:rFonts w:ascii="宋体" w:hAnsi="宋体"/>
                <w:color w:val="auto"/>
                <w:kern w:val="0"/>
                <w:szCs w:val="21"/>
                <w:highlight w:val="none"/>
              </w:rPr>
            </w:pPr>
          </w:p>
          <w:p w14:paraId="14556027">
            <w:pPr>
              <w:snapToGrid w:val="0"/>
              <w:spacing w:line="400" w:lineRule="exact"/>
              <w:jc w:val="center"/>
              <w:rPr>
                <w:rFonts w:ascii="宋体" w:hAnsi="宋体"/>
                <w:color w:val="auto"/>
                <w:kern w:val="0"/>
                <w:szCs w:val="21"/>
                <w:highlight w:val="none"/>
              </w:rPr>
            </w:pPr>
          </w:p>
          <w:p w14:paraId="5ED61C4F">
            <w:pPr>
              <w:snapToGrid w:val="0"/>
              <w:spacing w:line="400" w:lineRule="exact"/>
              <w:jc w:val="center"/>
              <w:rPr>
                <w:rFonts w:ascii="宋体" w:hAnsi="宋体"/>
                <w:color w:val="auto"/>
                <w:kern w:val="0"/>
                <w:szCs w:val="21"/>
                <w:highlight w:val="none"/>
              </w:rPr>
            </w:pPr>
          </w:p>
          <w:p w14:paraId="59149139">
            <w:pPr>
              <w:snapToGrid w:val="0"/>
              <w:spacing w:line="400" w:lineRule="exact"/>
              <w:jc w:val="center"/>
              <w:rPr>
                <w:rFonts w:ascii="宋体" w:hAnsi="宋体"/>
                <w:color w:val="auto"/>
                <w:kern w:val="0"/>
                <w:szCs w:val="21"/>
                <w:highlight w:val="none"/>
              </w:rPr>
            </w:pPr>
          </w:p>
          <w:p w14:paraId="12DCBE47">
            <w:pPr>
              <w:snapToGrid w:val="0"/>
              <w:spacing w:line="400" w:lineRule="exact"/>
              <w:jc w:val="center"/>
              <w:rPr>
                <w:rFonts w:ascii="宋体" w:hAnsi="宋体"/>
                <w:color w:val="auto"/>
                <w:kern w:val="0"/>
                <w:szCs w:val="21"/>
                <w:highlight w:val="none"/>
              </w:rPr>
            </w:pPr>
          </w:p>
          <w:p w14:paraId="15C9BFC6">
            <w:pPr>
              <w:snapToGrid w:val="0"/>
              <w:spacing w:line="400" w:lineRule="exact"/>
              <w:jc w:val="center"/>
              <w:rPr>
                <w:rFonts w:ascii="宋体" w:hAnsi="宋体"/>
                <w:color w:val="auto"/>
                <w:kern w:val="0"/>
                <w:szCs w:val="21"/>
                <w:highlight w:val="none"/>
              </w:rPr>
            </w:pPr>
          </w:p>
          <w:p w14:paraId="58F33F76">
            <w:pPr>
              <w:snapToGrid w:val="0"/>
              <w:spacing w:line="400" w:lineRule="exact"/>
              <w:jc w:val="center"/>
              <w:rPr>
                <w:rFonts w:ascii="宋体" w:hAnsi="宋体"/>
                <w:color w:val="auto"/>
                <w:kern w:val="0"/>
                <w:szCs w:val="21"/>
                <w:highlight w:val="none"/>
              </w:rPr>
            </w:pPr>
          </w:p>
          <w:p w14:paraId="312DA0C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2C813C3D">
            <w:pPr>
              <w:snapToGrid w:val="0"/>
              <w:spacing w:line="400" w:lineRule="exact"/>
              <w:jc w:val="center"/>
              <w:rPr>
                <w:rFonts w:ascii="宋体" w:hAnsi="宋体"/>
                <w:color w:val="auto"/>
                <w:kern w:val="0"/>
                <w:szCs w:val="21"/>
                <w:highlight w:val="none"/>
              </w:rPr>
            </w:pPr>
          </w:p>
          <w:p w14:paraId="5C49379B">
            <w:pPr>
              <w:snapToGrid w:val="0"/>
              <w:spacing w:line="400" w:lineRule="exact"/>
              <w:jc w:val="center"/>
              <w:rPr>
                <w:rFonts w:ascii="宋体" w:hAnsi="宋体"/>
                <w:color w:val="auto"/>
                <w:kern w:val="0"/>
                <w:szCs w:val="21"/>
                <w:highlight w:val="none"/>
              </w:rPr>
            </w:pPr>
          </w:p>
          <w:p w14:paraId="65405B61">
            <w:pPr>
              <w:snapToGrid w:val="0"/>
              <w:spacing w:line="400" w:lineRule="exact"/>
              <w:jc w:val="center"/>
              <w:rPr>
                <w:rFonts w:ascii="宋体" w:hAnsi="宋体"/>
                <w:color w:val="auto"/>
                <w:kern w:val="0"/>
                <w:szCs w:val="21"/>
                <w:highlight w:val="none"/>
              </w:rPr>
            </w:pPr>
          </w:p>
          <w:p w14:paraId="1D3D5131">
            <w:pPr>
              <w:snapToGrid w:val="0"/>
              <w:spacing w:line="400" w:lineRule="exact"/>
              <w:jc w:val="center"/>
              <w:rPr>
                <w:rFonts w:ascii="宋体" w:hAnsi="宋体"/>
                <w:color w:val="auto"/>
                <w:kern w:val="0"/>
                <w:szCs w:val="21"/>
                <w:highlight w:val="none"/>
              </w:rPr>
            </w:pPr>
          </w:p>
          <w:p w14:paraId="004171C1">
            <w:pPr>
              <w:snapToGrid w:val="0"/>
              <w:spacing w:line="400" w:lineRule="exact"/>
              <w:jc w:val="center"/>
              <w:rPr>
                <w:rFonts w:ascii="宋体" w:hAnsi="宋体"/>
                <w:color w:val="auto"/>
                <w:kern w:val="0"/>
                <w:szCs w:val="21"/>
                <w:highlight w:val="none"/>
              </w:rPr>
            </w:pPr>
          </w:p>
          <w:p w14:paraId="1CE6EBD9">
            <w:pPr>
              <w:snapToGrid w:val="0"/>
              <w:spacing w:line="400" w:lineRule="exact"/>
              <w:jc w:val="center"/>
              <w:rPr>
                <w:rFonts w:ascii="宋体" w:hAnsi="宋体"/>
                <w:color w:val="auto"/>
                <w:kern w:val="0"/>
                <w:szCs w:val="21"/>
                <w:highlight w:val="none"/>
              </w:rPr>
            </w:pPr>
          </w:p>
          <w:p w14:paraId="174A9E5F">
            <w:pPr>
              <w:snapToGrid w:val="0"/>
              <w:spacing w:line="400" w:lineRule="exact"/>
              <w:jc w:val="center"/>
              <w:rPr>
                <w:rFonts w:ascii="宋体" w:hAnsi="宋体"/>
                <w:color w:val="auto"/>
                <w:kern w:val="0"/>
                <w:szCs w:val="21"/>
                <w:highlight w:val="none"/>
              </w:rPr>
            </w:pPr>
          </w:p>
          <w:p w14:paraId="492C5AC6">
            <w:pPr>
              <w:snapToGrid w:val="0"/>
              <w:spacing w:line="400" w:lineRule="exact"/>
              <w:jc w:val="center"/>
              <w:rPr>
                <w:rFonts w:ascii="宋体" w:hAnsi="宋体"/>
                <w:color w:val="auto"/>
                <w:kern w:val="0"/>
                <w:szCs w:val="21"/>
                <w:highlight w:val="none"/>
              </w:rPr>
            </w:pPr>
          </w:p>
          <w:p w14:paraId="1E2E78F6">
            <w:pPr>
              <w:snapToGrid w:val="0"/>
              <w:spacing w:line="400" w:lineRule="exact"/>
              <w:jc w:val="center"/>
              <w:rPr>
                <w:rFonts w:ascii="宋体" w:hAnsi="宋体"/>
                <w:color w:val="auto"/>
                <w:kern w:val="0"/>
                <w:szCs w:val="21"/>
                <w:highlight w:val="none"/>
              </w:rPr>
            </w:pPr>
          </w:p>
          <w:p w14:paraId="4546BB08">
            <w:pPr>
              <w:snapToGrid w:val="0"/>
              <w:spacing w:line="400" w:lineRule="exact"/>
              <w:jc w:val="center"/>
              <w:rPr>
                <w:rFonts w:ascii="宋体" w:hAnsi="宋体"/>
                <w:color w:val="auto"/>
                <w:kern w:val="0"/>
                <w:szCs w:val="21"/>
                <w:highlight w:val="none"/>
              </w:rPr>
            </w:pPr>
          </w:p>
          <w:p w14:paraId="0F4C957F">
            <w:pPr>
              <w:snapToGrid w:val="0"/>
              <w:spacing w:line="400" w:lineRule="exact"/>
              <w:jc w:val="center"/>
              <w:rPr>
                <w:rFonts w:ascii="宋体" w:hAnsi="宋体"/>
                <w:color w:val="auto"/>
                <w:kern w:val="0"/>
                <w:szCs w:val="21"/>
                <w:highlight w:val="none"/>
              </w:rPr>
            </w:pPr>
          </w:p>
          <w:p w14:paraId="766E5CEA">
            <w:pPr>
              <w:snapToGrid w:val="0"/>
              <w:spacing w:line="400" w:lineRule="exact"/>
              <w:jc w:val="center"/>
              <w:rPr>
                <w:rFonts w:ascii="宋体" w:hAnsi="宋体"/>
                <w:color w:val="auto"/>
                <w:kern w:val="0"/>
                <w:szCs w:val="21"/>
                <w:highlight w:val="none"/>
              </w:rPr>
            </w:pPr>
          </w:p>
          <w:p w14:paraId="256DABA5">
            <w:pPr>
              <w:snapToGrid w:val="0"/>
              <w:spacing w:line="400" w:lineRule="exact"/>
              <w:jc w:val="center"/>
              <w:rPr>
                <w:rFonts w:ascii="宋体" w:hAnsi="宋体"/>
                <w:color w:val="auto"/>
                <w:kern w:val="0"/>
                <w:szCs w:val="21"/>
                <w:highlight w:val="none"/>
              </w:rPr>
            </w:pPr>
          </w:p>
          <w:p w14:paraId="41EC5B3A">
            <w:pPr>
              <w:snapToGrid w:val="0"/>
              <w:spacing w:line="400" w:lineRule="exact"/>
              <w:jc w:val="center"/>
              <w:rPr>
                <w:rFonts w:ascii="宋体" w:hAnsi="宋体"/>
                <w:color w:val="auto"/>
                <w:kern w:val="0"/>
                <w:szCs w:val="21"/>
                <w:highlight w:val="none"/>
              </w:rPr>
            </w:pPr>
          </w:p>
          <w:p w14:paraId="6C33587B">
            <w:pPr>
              <w:snapToGrid w:val="0"/>
              <w:spacing w:line="400" w:lineRule="exact"/>
              <w:jc w:val="center"/>
              <w:rPr>
                <w:rFonts w:ascii="宋体" w:hAnsi="宋体"/>
                <w:color w:val="auto"/>
                <w:kern w:val="0"/>
                <w:szCs w:val="21"/>
                <w:highlight w:val="none"/>
              </w:rPr>
            </w:pPr>
          </w:p>
          <w:p w14:paraId="01633EC8">
            <w:pPr>
              <w:snapToGrid w:val="0"/>
              <w:spacing w:line="400" w:lineRule="exact"/>
              <w:jc w:val="center"/>
              <w:rPr>
                <w:rFonts w:ascii="宋体" w:hAnsi="宋体"/>
                <w:color w:val="auto"/>
                <w:kern w:val="0"/>
                <w:szCs w:val="21"/>
                <w:highlight w:val="none"/>
              </w:rPr>
            </w:pPr>
          </w:p>
          <w:p w14:paraId="0C6F5BC7">
            <w:pPr>
              <w:snapToGrid w:val="0"/>
              <w:spacing w:line="400" w:lineRule="exact"/>
              <w:jc w:val="center"/>
              <w:rPr>
                <w:rFonts w:ascii="宋体" w:hAnsi="宋体"/>
                <w:color w:val="auto"/>
                <w:kern w:val="0"/>
                <w:szCs w:val="21"/>
                <w:highlight w:val="none"/>
              </w:rPr>
            </w:pPr>
          </w:p>
          <w:p w14:paraId="074D3FEF">
            <w:pPr>
              <w:snapToGrid w:val="0"/>
              <w:spacing w:line="400" w:lineRule="exact"/>
              <w:jc w:val="center"/>
              <w:rPr>
                <w:rFonts w:ascii="宋体" w:hAnsi="宋体"/>
                <w:color w:val="auto"/>
                <w:kern w:val="0"/>
                <w:szCs w:val="21"/>
                <w:highlight w:val="none"/>
              </w:rPr>
            </w:pPr>
          </w:p>
          <w:p w14:paraId="3606D23C">
            <w:pPr>
              <w:snapToGrid w:val="0"/>
              <w:spacing w:line="400" w:lineRule="exact"/>
              <w:jc w:val="center"/>
              <w:rPr>
                <w:rFonts w:ascii="宋体" w:hAnsi="宋体"/>
                <w:color w:val="auto"/>
                <w:kern w:val="0"/>
                <w:szCs w:val="21"/>
                <w:highlight w:val="none"/>
              </w:rPr>
            </w:pPr>
          </w:p>
          <w:p w14:paraId="32822EED">
            <w:pPr>
              <w:snapToGrid w:val="0"/>
              <w:spacing w:line="400" w:lineRule="exact"/>
              <w:jc w:val="center"/>
              <w:rPr>
                <w:rFonts w:ascii="宋体" w:hAnsi="宋体"/>
                <w:color w:val="auto"/>
                <w:kern w:val="0"/>
                <w:szCs w:val="21"/>
                <w:highlight w:val="none"/>
              </w:rPr>
            </w:pPr>
          </w:p>
          <w:p w14:paraId="395BADD3">
            <w:pPr>
              <w:snapToGrid w:val="0"/>
              <w:spacing w:line="400" w:lineRule="exact"/>
              <w:jc w:val="center"/>
              <w:rPr>
                <w:rFonts w:ascii="宋体" w:hAnsi="宋体"/>
                <w:color w:val="auto"/>
                <w:kern w:val="0"/>
                <w:szCs w:val="21"/>
                <w:highlight w:val="none"/>
              </w:rPr>
            </w:pPr>
          </w:p>
          <w:p w14:paraId="548B1936">
            <w:pPr>
              <w:snapToGrid w:val="0"/>
              <w:spacing w:line="400" w:lineRule="exact"/>
              <w:jc w:val="center"/>
              <w:rPr>
                <w:rFonts w:ascii="宋体" w:hAnsi="宋体"/>
                <w:color w:val="auto"/>
                <w:kern w:val="0"/>
                <w:szCs w:val="21"/>
                <w:highlight w:val="none"/>
              </w:rPr>
            </w:pPr>
          </w:p>
          <w:p w14:paraId="269E0020">
            <w:pPr>
              <w:snapToGrid w:val="0"/>
              <w:spacing w:line="400" w:lineRule="exact"/>
              <w:jc w:val="center"/>
              <w:rPr>
                <w:rFonts w:ascii="宋体" w:hAnsi="宋体"/>
                <w:color w:val="auto"/>
                <w:kern w:val="0"/>
                <w:szCs w:val="21"/>
                <w:highlight w:val="none"/>
              </w:rPr>
            </w:pPr>
          </w:p>
          <w:p w14:paraId="4CDE5406">
            <w:pPr>
              <w:snapToGrid w:val="0"/>
              <w:spacing w:line="400" w:lineRule="exact"/>
              <w:jc w:val="center"/>
              <w:rPr>
                <w:rFonts w:ascii="宋体" w:hAnsi="宋体"/>
                <w:color w:val="auto"/>
                <w:kern w:val="0"/>
                <w:szCs w:val="21"/>
                <w:highlight w:val="none"/>
              </w:rPr>
            </w:pPr>
          </w:p>
          <w:p w14:paraId="4EC589F8">
            <w:pPr>
              <w:snapToGrid w:val="0"/>
              <w:spacing w:line="400" w:lineRule="exact"/>
              <w:jc w:val="center"/>
              <w:rPr>
                <w:rFonts w:ascii="宋体" w:hAnsi="宋体"/>
                <w:color w:val="auto"/>
                <w:kern w:val="0"/>
                <w:szCs w:val="21"/>
                <w:highlight w:val="none"/>
              </w:rPr>
            </w:pPr>
          </w:p>
          <w:p w14:paraId="0D1F83D7">
            <w:pPr>
              <w:snapToGrid w:val="0"/>
              <w:spacing w:line="400" w:lineRule="exact"/>
              <w:jc w:val="center"/>
              <w:rPr>
                <w:rFonts w:ascii="宋体" w:hAnsi="宋体"/>
                <w:color w:val="auto"/>
                <w:kern w:val="0"/>
                <w:szCs w:val="21"/>
                <w:highlight w:val="none"/>
              </w:rPr>
            </w:pPr>
          </w:p>
          <w:p w14:paraId="2D0AFEB2">
            <w:pPr>
              <w:snapToGrid w:val="0"/>
              <w:spacing w:line="400" w:lineRule="exact"/>
              <w:jc w:val="center"/>
              <w:rPr>
                <w:rFonts w:ascii="宋体" w:hAnsi="宋体"/>
                <w:color w:val="auto"/>
                <w:kern w:val="0"/>
                <w:szCs w:val="21"/>
                <w:highlight w:val="none"/>
              </w:rPr>
            </w:pPr>
          </w:p>
          <w:p w14:paraId="36269304">
            <w:pPr>
              <w:snapToGrid w:val="0"/>
              <w:spacing w:line="400" w:lineRule="exact"/>
              <w:jc w:val="center"/>
              <w:rPr>
                <w:rFonts w:ascii="宋体" w:hAnsi="宋体"/>
                <w:color w:val="auto"/>
                <w:kern w:val="0"/>
                <w:szCs w:val="21"/>
                <w:highlight w:val="none"/>
              </w:rPr>
            </w:pPr>
          </w:p>
          <w:p w14:paraId="1B722A73">
            <w:pPr>
              <w:snapToGrid w:val="0"/>
              <w:spacing w:line="400" w:lineRule="exact"/>
              <w:jc w:val="center"/>
              <w:rPr>
                <w:rFonts w:ascii="宋体" w:hAnsi="宋体"/>
                <w:color w:val="auto"/>
                <w:kern w:val="0"/>
                <w:szCs w:val="21"/>
                <w:highlight w:val="none"/>
              </w:rPr>
            </w:pPr>
          </w:p>
          <w:p w14:paraId="1D90DDC0">
            <w:pPr>
              <w:snapToGrid w:val="0"/>
              <w:spacing w:line="400" w:lineRule="exact"/>
              <w:jc w:val="center"/>
              <w:rPr>
                <w:rFonts w:ascii="宋体" w:hAnsi="宋体"/>
                <w:color w:val="auto"/>
                <w:kern w:val="0"/>
                <w:szCs w:val="21"/>
                <w:highlight w:val="none"/>
              </w:rPr>
            </w:pPr>
          </w:p>
          <w:p w14:paraId="2F900CA9">
            <w:pPr>
              <w:snapToGrid w:val="0"/>
              <w:spacing w:line="400" w:lineRule="exact"/>
              <w:jc w:val="center"/>
              <w:rPr>
                <w:rFonts w:ascii="宋体" w:hAnsi="宋体"/>
                <w:color w:val="auto"/>
                <w:kern w:val="0"/>
                <w:szCs w:val="21"/>
                <w:highlight w:val="none"/>
              </w:rPr>
            </w:pPr>
          </w:p>
          <w:p w14:paraId="07D47028">
            <w:pPr>
              <w:snapToGrid w:val="0"/>
              <w:spacing w:line="400" w:lineRule="exact"/>
              <w:jc w:val="center"/>
              <w:rPr>
                <w:rFonts w:ascii="宋体" w:hAnsi="宋体"/>
                <w:color w:val="auto"/>
                <w:kern w:val="0"/>
                <w:szCs w:val="21"/>
                <w:highlight w:val="none"/>
              </w:rPr>
            </w:pPr>
          </w:p>
          <w:p w14:paraId="444CC95F">
            <w:pPr>
              <w:snapToGrid w:val="0"/>
              <w:spacing w:line="400" w:lineRule="exact"/>
              <w:jc w:val="center"/>
              <w:rPr>
                <w:rFonts w:ascii="宋体" w:hAnsi="宋体"/>
                <w:color w:val="auto"/>
                <w:kern w:val="0"/>
                <w:szCs w:val="21"/>
                <w:highlight w:val="none"/>
              </w:rPr>
            </w:pPr>
          </w:p>
          <w:p w14:paraId="1DA03157">
            <w:pPr>
              <w:snapToGrid w:val="0"/>
              <w:spacing w:line="400" w:lineRule="exact"/>
              <w:jc w:val="center"/>
              <w:rPr>
                <w:rFonts w:ascii="宋体" w:hAnsi="宋体"/>
                <w:color w:val="auto"/>
                <w:kern w:val="0"/>
                <w:szCs w:val="21"/>
                <w:highlight w:val="none"/>
              </w:rPr>
            </w:pPr>
          </w:p>
          <w:p w14:paraId="77FE73D8">
            <w:pPr>
              <w:snapToGrid w:val="0"/>
              <w:spacing w:line="400" w:lineRule="exact"/>
              <w:jc w:val="center"/>
              <w:rPr>
                <w:rFonts w:ascii="宋体" w:hAnsi="宋体"/>
                <w:color w:val="auto"/>
                <w:kern w:val="0"/>
                <w:szCs w:val="21"/>
                <w:highlight w:val="none"/>
              </w:rPr>
            </w:pPr>
          </w:p>
          <w:p w14:paraId="25C0113A">
            <w:pPr>
              <w:snapToGrid w:val="0"/>
              <w:spacing w:line="400" w:lineRule="exact"/>
              <w:jc w:val="center"/>
              <w:rPr>
                <w:rFonts w:ascii="宋体" w:hAnsi="宋体"/>
                <w:color w:val="auto"/>
                <w:kern w:val="0"/>
                <w:szCs w:val="21"/>
                <w:highlight w:val="none"/>
              </w:rPr>
            </w:pPr>
          </w:p>
          <w:p w14:paraId="5C368086">
            <w:pPr>
              <w:snapToGrid w:val="0"/>
              <w:spacing w:line="400" w:lineRule="exact"/>
              <w:jc w:val="center"/>
              <w:rPr>
                <w:rFonts w:ascii="宋体" w:hAnsi="宋体"/>
                <w:color w:val="auto"/>
                <w:kern w:val="0"/>
                <w:szCs w:val="21"/>
                <w:highlight w:val="none"/>
              </w:rPr>
            </w:pPr>
          </w:p>
          <w:p w14:paraId="76F05579">
            <w:pPr>
              <w:snapToGrid w:val="0"/>
              <w:spacing w:line="400" w:lineRule="exact"/>
              <w:jc w:val="center"/>
              <w:rPr>
                <w:rFonts w:ascii="宋体" w:hAnsi="宋体"/>
                <w:color w:val="auto"/>
                <w:kern w:val="0"/>
                <w:szCs w:val="21"/>
                <w:highlight w:val="none"/>
              </w:rPr>
            </w:pPr>
          </w:p>
          <w:p w14:paraId="7A6E5CCA">
            <w:pPr>
              <w:snapToGrid w:val="0"/>
              <w:spacing w:line="400" w:lineRule="exact"/>
              <w:jc w:val="center"/>
              <w:rPr>
                <w:rFonts w:ascii="宋体" w:hAnsi="宋体"/>
                <w:color w:val="auto"/>
                <w:kern w:val="0"/>
                <w:szCs w:val="21"/>
                <w:highlight w:val="none"/>
              </w:rPr>
            </w:pPr>
          </w:p>
          <w:p w14:paraId="730A126B">
            <w:pPr>
              <w:snapToGrid w:val="0"/>
              <w:spacing w:line="400" w:lineRule="exact"/>
              <w:rPr>
                <w:rFonts w:ascii="宋体" w:hAnsi="宋体"/>
                <w:color w:val="auto"/>
                <w:kern w:val="0"/>
                <w:szCs w:val="21"/>
                <w:highlight w:val="none"/>
              </w:rPr>
            </w:pPr>
          </w:p>
        </w:tc>
        <w:tc>
          <w:tcPr>
            <w:tcW w:w="1644" w:type="dxa"/>
            <w:vAlign w:val="center"/>
          </w:tcPr>
          <w:p w14:paraId="115FD01A">
            <w:pPr>
              <w:snapToGrid w:val="0"/>
              <w:spacing w:line="400" w:lineRule="exact"/>
              <w:jc w:val="center"/>
              <w:rPr>
                <w:color w:val="auto"/>
                <w:highlight w:val="none"/>
              </w:rPr>
            </w:pPr>
          </w:p>
          <w:p w14:paraId="3D3B903C">
            <w:pPr>
              <w:snapToGrid w:val="0"/>
              <w:spacing w:line="400" w:lineRule="exact"/>
              <w:jc w:val="center"/>
              <w:rPr>
                <w:color w:val="auto"/>
                <w:highlight w:val="none"/>
              </w:rPr>
            </w:pPr>
          </w:p>
          <w:p w14:paraId="35E05FC6">
            <w:pPr>
              <w:snapToGrid w:val="0"/>
              <w:spacing w:line="400" w:lineRule="exact"/>
              <w:jc w:val="center"/>
              <w:rPr>
                <w:color w:val="auto"/>
                <w:highlight w:val="none"/>
              </w:rPr>
            </w:pPr>
          </w:p>
          <w:p w14:paraId="1B6068B0">
            <w:pPr>
              <w:snapToGrid w:val="0"/>
              <w:spacing w:line="400" w:lineRule="exact"/>
              <w:jc w:val="center"/>
              <w:rPr>
                <w:color w:val="auto"/>
                <w:highlight w:val="none"/>
              </w:rPr>
            </w:pPr>
          </w:p>
          <w:p w14:paraId="513ED66F">
            <w:pPr>
              <w:snapToGrid w:val="0"/>
              <w:spacing w:line="400" w:lineRule="exact"/>
              <w:jc w:val="center"/>
              <w:rPr>
                <w:color w:val="auto"/>
                <w:highlight w:val="none"/>
              </w:rPr>
            </w:pPr>
          </w:p>
          <w:p w14:paraId="60FFEAF6">
            <w:pPr>
              <w:snapToGrid w:val="0"/>
              <w:spacing w:line="400" w:lineRule="exact"/>
              <w:jc w:val="center"/>
              <w:rPr>
                <w:color w:val="auto"/>
                <w:highlight w:val="none"/>
              </w:rPr>
            </w:pPr>
          </w:p>
          <w:p w14:paraId="739D116F">
            <w:pPr>
              <w:snapToGrid w:val="0"/>
              <w:spacing w:line="400" w:lineRule="exact"/>
              <w:jc w:val="center"/>
              <w:rPr>
                <w:color w:val="auto"/>
                <w:highlight w:val="none"/>
              </w:rPr>
            </w:pPr>
          </w:p>
          <w:p w14:paraId="701A8DDB">
            <w:pPr>
              <w:snapToGrid w:val="0"/>
              <w:spacing w:line="400" w:lineRule="exact"/>
              <w:jc w:val="center"/>
              <w:rPr>
                <w:color w:val="auto"/>
                <w:highlight w:val="none"/>
              </w:rPr>
            </w:pPr>
          </w:p>
          <w:p w14:paraId="3435F343">
            <w:pPr>
              <w:snapToGrid w:val="0"/>
              <w:spacing w:line="400" w:lineRule="exact"/>
              <w:jc w:val="center"/>
              <w:rPr>
                <w:color w:val="auto"/>
                <w:highlight w:val="none"/>
              </w:rPr>
            </w:pPr>
          </w:p>
          <w:p w14:paraId="34B93496">
            <w:pPr>
              <w:snapToGrid w:val="0"/>
              <w:spacing w:line="400" w:lineRule="exact"/>
              <w:jc w:val="center"/>
              <w:rPr>
                <w:color w:val="auto"/>
                <w:highlight w:val="none"/>
              </w:rPr>
            </w:pPr>
          </w:p>
          <w:p w14:paraId="5EE11F08">
            <w:pPr>
              <w:snapToGrid w:val="0"/>
              <w:spacing w:line="400" w:lineRule="exact"/>
              <w:jc w:val="center"/>
              <w:rPr>
                <w:color w:val="auto"/>
                <w:highlight w:val="none"/>
              </w:rPr>
            </w:pPr>
          </w:p>
          <w:p w14:paraId="0912D978">
            <w:pPr>
              <w:snapToGrid w:val="0"/>
              <w:spacing w:line="400" w:lineRule="exact"/>
              <w:jc w:val="center"/>
              <w:rPr>
                <w:color w:val="auto"/>
                <w:highlight w:val="none"/>
              </w:rPr>
            </w:pPr>
          </w:p>
          <w:p w14:paraId="4587D255">
            <w:pPr>
              <w:snapToGrid w:val="0"/>
              <w:spacing w:line="400" w:lineRule="exact"/>
              <w:jc w:val="center"/>
              <w:rPr>
                <w:color w:val="auto"/>
                <w:highlight w:val="none"/>
              </w:rPr>
            </w:pPr>
          </w:p>
          <w:p w14:paraId="04FD9069">
            <w:pPr>
              <w:snapToGrid w:val="0"/>
              <w:spacing w:line="400" w:lineRule="exact"/>
              <w:jc w:val="center"/>
              <w:rPr>
                <w:color w:val="auto"/>
                <w:highlight w:val="none"/>
              </w:rPr>
            </w:pPr>
          </w:p>
          <w:p w14:paraId="73EF009B">
            <w:pPr>
              <w:snapToGrid w:val="0"/>
              <w:spacing w:line="400" w:lineRule="exact"/>
              <w:jc w:val="center"/>
              <w:rPr>
                <w:color w:val="auto"/>
                <w:highlight w:val="none"/>
              </w:rPr>
            </w:pPr>
          </w:p>
          <w:p w14:paraId="269BBA27">
            <w:pPr>
              <w:snapToGrid w:val="0"/>
              <w:spacing w:line="400" w:lineRule="exact"/>
              <w:jc w:val="center"/>
              <w:rPr>
                <w:color w:val="auto"/>
                <w:highlight w:val="none"/>
              </w:rPr>
            </w:pPr>
          </w:p>
          <w:p w14:paraId="6E1BB91B">
            <w:pPr>
              <w:snapToGrid w:val="0"/>
              <w:spacing w:line="400" w:lineRule="exact"/>
              <w:jc w:val="center"/>
              <w:rPr>
                <w:color w:val="auto"/>
                <w:highlight w:val="none"/>
              </w:rPr>
            </w:pPr>
          </w:p>
          <w:p w14:paraId="424DEC9F">
            <w:pPr>
              <w:snapToGrid w:val="0"/>
              <w:spacing w:line="400" w:lineRule="exact"/>
              <w:jc w:val="center"/>
              <w:rPr>
                <w:color w:val="auto"/>
                <w:highlight w:val="none"/>
              </w:rPr>
            </w:pPr>
            <w:r>
              <w:rPr>
                <w:rFonts w:hint="eastAsia"/>
                <w:color w:val="auto"/>
                <w:highlight w:val="none"/>
              </w:rPr>
              <w:t>竞选人</w:t>
            </w:r>
            <w:r>
              <w:rPr>
                <w:color w:val="auto"/>
                <w:highlight w:val="none"/>
              </w:rPr>
              <w:t>资质条件、能力和信誉</w:t>
            </w:r>
          </w:p>
          <w:p w14:paraId="3A0BCEF5">
            <w:pPr>
              <w:snapToGrid w:val="0"/>
              <w:spacing w:line="400" w:lineRule="exact"/>
              <w:jc w:val="center"/>
              <w:rPr>
                <w:color w:val="auto"/>
                <w:highlight w:val="none"/>
              </w:rPr>
            </w:pPr>
          </w:p>
          <w:p w14:paraId="6A0DD698">
            <w:pPr>
              <w:snapToGrid w:val="0"/>
              <w:spacing w:line="400" w:lineRule="exact"/>
              <w:jc w:val="center"/>
              <w:rPr>
                <w:color w:val="auto"/>
                <w:highlight w:val="none"/>
              </w:rPr>
            </w:pPr>
          </w:p>
          <w:p w14:paraId="29B126E8">
            <w:pPr>
              <w:snapToGrid w:val="0"/>
              <w:spacing w:line="400" w:lineRule="exact"/>
              <w:jc w:val="center"/>
              <w:rPr>
                <w:color w:val="auto"/>
                <w:highlight w:val="none"/>
              </w:rPr>
            </w:pPr>
          </w:p>
          <w:p w14:paraId="21F69B75">
            <w:pPr>
              <w:snapToGrid w:val="0"/>
              <w:spacing w:line="400" w:lineRule="exact"/>
              <w:jc w:val="center"/>
              <w:rPr>
                <w:color w:val="auto"/>
                <w:highlight w:val="none"/>
              </w:rPr>
            </w:pPr>
          </w:p>
          <w:p w14:paraId="097EFAEA">
            <w:pPr>
              <w:snapToGrid w:val="0"/>
              <w:spacing w:line="400" w:lineRule="exact"/>
              <w:jc w:val="center"/>
              <w:rPr>
                <w:color w:val="auto"/>
                <w:highlight w:val="none"/>
              </w:rPr>
            </w:pPr>
          </w:p>
          <w:p w14:paraId="538037ED">
            <w:pPr>
              <w:snapToGrid w:val="0"/>
              <w:spacing w:line="400" w:lineRule="exact"/>
              <w:jc w:val="center"/>
              <w:rPr>
                <w:color w:val="auto"/>
                <w:highlight w:val="none"/>
              </w:rPr>
            </w:pPr>
          </w:p>
          <w:p w14:paraId="4AC37D2D">
            <w:pPr>
              <w:snapToGrid w:val="0"/>
              <w:spacing w:line="400" w:lineRule="exact"/>
              <w:jc w:val="center"/>
              <w:rPr>
                <w:color w:val="auto"/>
                <w:highlight w:val="none"/>
              </w:rPr>
            </w:pPr>
          </w:p>
          <w:p w14:paraId="3356F929">
            <w:pPr>
              <w:snapToGrid w:val="0"/>
              <w:spacing w:line="400" w:lineRule="exact"/>
              <w:jc w:val="center"/>
              <w:rPr>
                <w:color w:val="auto"/>
                <w:highlight w:val="none"/>
              </w:rPr>
            </w:pPr>
          </w:p>
          <w:p w14:paraId="12D81009">
            <w:pPr>
              <w:snapToGrid w:val="0"/>
              <w:spacing w:line="400" w:lineRule="exact"/>
              <w:jc w:val="center"/>
              <w:rPr>
                <w:color w:val="auto"/>
                <w:highlight w:val="none"/>
              </w:rPr>
            </w:pPr>
          </w:p>
          <w:p w14:paraId="6D6B4C61">
            <w:pPr>
              <w:snapToGrid w:val="0"/>
              <w:spacing w:line="400" w:lineRule="exact"/>
              <w:jc w:val="center"/>
              <w:rPr>
                <w:color w:val="auto"/>
                <w:highlight w:val="none"/>
              </w:rPr>
            </w:pPr>
          </w:p>
          <w:p w14:paraId="1C1446EF">
            <w:pPr>
              <w:snapToGrid w:val="0"/>
              <w:spacing w:line="400" w:lineRule="exact"/>
              <w:jc w:val="center"/>
              <w:rPr>
                <w:color w:val="auto"/>
                <w:highlight w:val="none"/>
              </w:rPr>
            </w:pPr>
          </w:p>
          <w:p w14:paraId="454167D2">
            <w:pPr>
              <w:snapToGrid w:val="0"/>
              <w:spacing w:line="400" w:lineRule="exact"/>
              <w:jc w:val="center"/>
              <w:rPr>
                <w:color w:val="auto"/>
                <w:highlight w:val="none"/>
              </w:rPr>
            </w:pPr>
          </w:p>
          <w:p w14:paraId="4373B963">
            <w:pPr>
              <w:snapToGrid w:val="0"/>
              <w:spacing w:line="400" w:lineRule="exact"/>
              <w:jc w:val="center"/>
              <w:rPr>
                <w:color w:val="auto"/>
                <w:highlight w:val="none"/>
              </w:rPr>
            </w:pPr>
          </w:p>
          <w:p w14:paraId="445E0575">
            <w:pPr>
              <w:snapToGrid w:val="0"/>
              <w:spacing w:line="400" w:lineRule="exact"/>
              <w:jc w:val="center"/>
              <w:rPr>
                <w:color w:val="auto"/>
                <w:highlight w:val="none"/>
              </w:rPr>
            </w:pPr>
          </w:p>
          <w:p w14:paraId="46ED36A4">
            <w:pPr>
              <w:snapToGrid w:val="0"/>
              <w:spacing w:line="400" w:lineRule="exact"/>
              <w:jc w:val="center"/>
              <w:rPr>
                <w:color w:val="auto"/>
                <w:highlight w:val="none"/>
              </w:rPr>
            </w:pPr>
          </w:p>
          <w:p w14:paraId="77006B5E">
            <w:pPr>
              <w:snapToGrid w:val="0"/>
              <w:spacing w:line="400" w:lineRule="exact"/>
              <w:jc w:val="center"/>
              <w:rPr>
                <w:color w:val="auto"/>
                <w:highlight w:val="none"/>
              </w:rPr>
            </w:pPr>
          </w:p>
          <w:p w14:paraId="1DD56372">
            <w:pPr>
              <w:snapToGrid w:val="0"/>
              <w:spacing w:line="400" w:lineRule="exact"/>
              <w:jc w:val="center"/>
              <w:rPr>
                <w:color w:val="auto"/>
                <w:highlight w:val="none"/>
              </w:rPr>
            </w:pPr>
          </w:p>
          <w:p w14:paraId="206BA2C7">
            <w:pPr>
              <w:snapToGrid w:val="0"/>
              <w:spacing w:line="400" w:lineRule="exact"/>
              <w:jc w:val="center"/>
              <w:rPr>
                <w:color w:val="auto"/>
                <w:highlight w:val="none"/>
              </w:rPr>
            </w:pPr>
          </w:p>
          <w:p w14:paraId="2AACD990">
            <w:pPr>
              <w:snapToGrid w:val="0"/>
              <w:spacing w:line="400" w:lineRule="exact"/>
              <w:jc w:val="center"/>
              <w:rPr>
                <w:color w:val="auto"/>
                <w:highlight w:val="none"/>
              </w:rPr>
            </w:pPr>
          </w:p>
          <w:p w14:paraId="04AFA3C0">
            <w:pPr>
              <w:snapToGrid w:val="0"/>
              <w:spacing w:line="400" w:lineRule="exact"/>
              <w:jc w:val="center"/>
              <w:rPr>
                <w:color w:val="auto"/>
                <w:highlight w:val="none"/>
              </w:rPr>
            </w:pPr>
          </w:p>
          <w:p w14:paraId="332F9010">
            <w:pPr>
              <w:snapToGrid w:val="0"/>
              <w:spacing w:line="400" w:lineRule="exact"/>
              <w:jc w:val="center"/>
              <w:rPr>
                <w:color w:val="auto"/>
                <w:highlight w:val="none"/>
              </w:rPr>
            </w:pPr>
          </w:p>
          <w:p w14:paraId="0331CA24">
            <w:pPr>
              <w:snapToGrid w:val="0"/>
              <w:spacing w:line="400" w:lineRule="exact"/>
              <w:jc w:val="center"/>
              <w:rPr>
                <w:color w:val="auto"/>
                <w:highlight w:val="none"/>
              </w:rPr>
            </w:pPr>
          </w:p>
          <w:p w14:paraId="1A2C41B7">
            <w:pPr>
              <w:snapToGrid w:val="0"/>
              <w:spacing w:line="400" w:lineRule="exact"/>
              <w:jc w:val="center"/>
              <w:rPr>
                <w:color w:val="auto"/>
                <w:highlight w:val="none"/>
              </w:rPr>
            </w:pPr>
          </w:p>
          <w:p w14:paraId="49BE3A6A">
            <w:pPr>
              <w:snapToGrid w:val="0"/>
              <w:spacing w:line="400" w:lineRule="exact"/>
              <w:jc w:val="center"/>
              <w:rPr>
                <w:color w:val="auto"/>
                <w:highlight w:val="none"/>
              </w:rPr>
            </w:pPr>
          </w:p>
          <w:p w14:paraId="1F89F726">
            <w:pPr>
              <w:snapToGrid w:val="0"/>
              <w:spacing w:line="400" w:lineRule="exact"/>
              <w:jc w:val="center"/>
              <w:rPr>
                <w:color w:val="auto"/>
                <w:highlight w:val="none"/>
              </w:rPr>
            </w:pPr>
          </w:p>
          <w:p w14:paraId="1D597B2E">
            <w:pPr>
              <w:snapToGrid w:val="0"/>
              <w:spacing w:line="400" w:lineRule="exact"/>
              <w:jc w:val="center"/>
              <w:rPr>
                <w:color w:val="auto"/>
                <w:highlight w:val="none"/>
              </w:rPr>
            </w:pPr>
          </w:p>
          <w:p w14:paraId="3B3A44E6">
            <w:pPr>
              <w:snapToGrid w:val="0"/>
              <w:spacing w:line="400" w:lineRule="exact"/>
              <w:jc w:val="center"/>
              <w:rPr>
                <w:color w:val="auto"/>
                <w:highlight w:val="none"/>
              </w:rPr>
            </w:pPr>
          </w:p>
          <w:p w14:paraId="6CE24377">
            <w:pPr>
              <w:snapToGrid w:val="0"/>
              <w:spacing w:line="400" w:lineRule="exact"/>
              <w:jc w:val="center"/>
              <w:rPr>
                <w:color w:val="auto"/>
                <w:highlight w:val="none"/>
              </w:rPr>
            </w:pPr>
          </w:p>
          <w:p w14:paraId="16B87156">
            <w:pPr>
              <w:snapToGrid w:val="0"/>
              <w:spacing w:line="400" w:lineRule="exact"/>
              <w:jc w:val="center"/>
              <w:rPr>
                <w:color w:val="auto"/>
                <w:highlight w:val="none"/>
              </w:rPr>
            </w:pPr>
          </w:p>
          <w:p w14:paraId="4CCD3D04">
            <w:pPr>
              <w:snapToGrid w:val="0"/>
              <w:spacing w:line="400" w:lineRule="exact"/>
              <w:jc w:val="center"/>
              <w:rPr>
                <w:color w:val="auto"/>
                <w:highlight w:val="none"/>
              </w:rPr>
            </w:pPr>
          </w:p>
          <w:p w14:paraId="5A4597DF">
            <w:pPr>
              <w:snapToGrid w:val="0"/>
              <w:spacing w:line="400" w:lineRule="exact"/>
              <w:jc w:val="center"/>
              <w:rPr>
                <w:color w:val="auto"/>
                <w:highlight w:val="none"/>
              </w:rPr>
            </w:pPr>
          </w:p>
          <w:p w14:paraId="7F04C3DE">
            <w:pPr>
              <w:snapToGrid w:val="0"/>
              <w:spacing w:line="400" w:lineRule="exact"/>
              <w:jc w:val="center"/>
              <w:rPr>
                <w:color w:val="auto"/>
                <w:highlight w:val="none"/>
              </w:rPr>
            </w:pPr>
          </w:p>
          <w:p w14:paraId="6C4686D4">
            <w:pPr>
              <w:snapToGrid w:val="0"/>
              <w:spacing w:line="400" w:lineRule="exact"/>
              <w:jc w:val="center"/>
              <w:rPr>
                <w:color w:val="auto"/>
                <w:highlight w:val="none"/>
              </w:rPr>
            </w:pPr>
          </w:p>
          <w:p w14:paraId="1D5807C5">
            <w:pPr>
              <w:snapToGrid w:val="0"/>
              <w:spacing w:line="400" w:lineRule="exact"/>
              <w:jc w:val="center"/>
              <w:rPr>
                <w:color w:val="auto"/>
                <w:highlight w:val="none"/>
              </w:rPr>
            </w:pPr>
          </w:p>
          <w:p w14:paraId="11063D5F">
            <w:pPr>
              <w:snapToGrid w:val="0"/>
              <w:spacing w:line="400" w:lineRule="exact"/>
              <w:jc w:val="center"/>
              <w:rPr>
                <w:color w:val="auto"/>
                <w:highlight w:val="none"/>
              </w:rPr>
            </w:pPr>
          </w:p>
        </w:tc>
        <w:tc>
          <w:tcPr>
            <w:tcW w:w="6490" w:type="dxa"/>
            <w:vAlign w:val="center"/>
          </w:tcPr>
          <w:p w14:paraId="71E36ABD">
            <w:pPr>
              <w:autoSpaceDE w:val="0"/>
              <w:autoSpaceDN w:val="0"/>
              <w:adjustRightInd w:val="0"/>
              <w:snapToGrid w:val="0"/>
              <w:spacing w:line="400" w:lineRule="exact"/>
              <w:ind w:firstLine="420" w:firstLineChars="200"/>
              <w:rPr>
                <w:color w:val="auto"/>
                <w:highlight w:val="none"/>
              </w:rPr>
            </w:pPr>
            <w:bookmarkStart w:id="110" w:name="OLE_LINK1"/>
            <w:r>
              <w:rPr>
                <w:color w:val="auto"/>
                <w:highlight w:val="none"/>
              </w:rPr>
              <w:t>本工程施工招标实行资格后审，</w:t>
            </w:r>
            <w:r>
              <w:rPr>
                <w:rFonts w:hint="eastAsia"/>
                <w:color w:val="auto"/>
                <w:highlight w:val="none"/>
              </w:rPr>
              <w:t>竞选人</w:t>
            </w:r>
            <w:r>
              <w:rPr>
                <w:color w:val="auto"/>
                <w:highlight w:val="none"/>
              </w:rPr>
              <w:t>应</w:t>
            </w:r>
            <w:bookmarkStart w:id="111" w:name="一是"/>
            <w:bookmarkEnd w:id="111"/>
            <w:r>
              <w:rPr>
                <w:color w:val="auto"/>
                <w:highlight w:val="none"/>
              </w:rPr>
              <w:t>具备以下资格条件：</w:t>
            </w:r>
          </w:p>
          <w:bookmarkEnd w:id="110"/>
          <w:p w14:paraId="0451CA98">
            <w:pPr>
              <w:autoSpaceDE w:val="0"/>
              <w:autoSpaceDN w:val="0"/>
              <w:adjustRightInd w:val="0"/>
              <w:snapToGrid w:val="0"/>
              <w:spacing w:line="400" w:lineRule="exact"/>
              <w:ind w:firstLine="420" w:firstLineChars="200"/>
              <w:rPr>
                <w:color w:val="auto"/>
                <w:highlight w:val="none"/>
              </w:rPr>
            </w:pPr>
            <w:r>
              <w:rPr>
                <w:color w:val="auto"/>
                <w:highlight w:val="none"/>
              </w:rPr>
              <w:t>1.资质条件、营业执照及安全生产条件</w:t>
            </w:r>
          </w:p>
          <w:p w14:paraId="7FF2E12E">
            <w:pPr>
              <w:autoSpaceDE w:val="0"/>
              <w:autoSpaceDN w:val="0"/>
              <w:adjustRightInd w:val="0"/>
              <w:snapToGrid w:val="0"/>
              <w:spacing w:line="400" w:lineRule="exact"/>
              <w:ind w:firstLine="420" w:firstLineChars="200"/>
              <w:rPr>
                <w:color w:val="auto"/>
                <w:highlight w:val="none"/>
              </w:rPr>
            </w:pPr>
            <w:r>
              <w:rPr>
                <w:rFonts w:hint="eastAsia" w:ascii="宋体" w:hAnsi="宋体"/>
                <w:snapToGrid w:val="0"/>
                <w:color w:val="auto"/>
                <w:kern w:val="0"/>
                <w:szCs w:val="21"/>
                <w:highlight w:val="none"/>
              </w:rPr>
              <w:t>具备建设行政主管部门颁发的建筑工程施工总承包三级及以上资质；</w:t>
            </w:r>
          </w:p>
          <w:p w14:paraId="54848CAF">
            <w:pPr>
              <w:autoSpaceDE w:val="0"/>
              <w:autoSpaceDN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kern w:val="0"/>
                <w:szCs w:val="21"/>
                <w:highlight w:val="none"/>
              </w:rPr>
              <w:t>竞选</w:t>
            </w:r>
            <w:r>
              <w:rPr>
                <w:rFonts w:hint="eastAsia" w:ascii="宋体" w:hAnsi="宋体"/>
                <w:color w:val="auto"/>
                <w:szCs w:val="21"/>
                <w:highlight w:val="none"/>
              </w:rPr>
              <w:t>文件资格审查部分</w:t>
            </w:r>
            <w:r>
              <w:rPr>
                <w:rFonts w:ascii="宋体" w:hAnsi="宋体"/>
                <w:color w:val="auto"/>
                <w:szCs w:val="21"/>
                <w:highlight w:val="none"/>
              </w:rPr>
              <w:t>提供</w:t>
            </w:r>
            <w:r>
              <w:rPr>
                <w:rFonts w:hint="eastAsia" w:ascii="宋体" w:hAnsi="宋体"/>
                <w:color w:val="auto"/>
                <w:szCs w:val="21"/>
                <w:highlight w:val="none"/>
              </w:rPr>
              <w:t>有效的带二维码标识的资质证书</w:t>
            </w:r>
            <w:r>
              <w:rPr>
                <w:rFonts w:ascii="宋体" w:hAnsi="宋体"/>
                <w:color w:val="auto"/>
                <w:szCs w:val="21"/>
                <w:highlight w:val="none"/>
              </w:rPr>
              <w:t>复印件。</w:t>
            </w:r>
          </w:p>
          <w:p w14:paraId="6C9C85C9">
            <w:pPr>
              <w:autoSpaceDE w:val="0"/>
              <w:autoSpaceDN w:val="0"/>
              <w:adjustRightInd w:val="0"/>
              <w:snapToGrid w:val="0"/>
              <w:spacing w:line="400" w:lineRule="exact"/>
              <w:ind w:firstLine="420" w:firstLineChars="200"/>
              <w:rPr>
                <w:color w:val="auto"/>
                <w:highlight w:val="none"/>
              </w:rPr>
            </w:pPr>
            <w:r>
              <w:rPr>
                <w:color w:val="auto"/>
                <w:highlight w:val="none"/>
              </w:rPr>
              <w:t>（2）具备有效的营业执照。</w:t>
            </w:r>
          </w:p>
          <w:p w14:paraId="4BF03994">
            <w:pPr>
              <w:autoSpaceDE w:val="0"/>
              <w:autoSpaceDN w:val="0"/>
              <w:adjustRightInd w:val="0"/>
              <w:snapToGrid w:val="0"/>
              <w:spacing w:line="400" w:lineRule="exact"/>
              <w:ind w:firstLine="420" w:firstLineChars="200"/>
              <w:rPr>
                <w:color w:val="auto"/>
                <w:highlight w:val="none"/>
              </w:rPr>
            </w:pPr>
            <w:r>
              <w:rPr>
                <w:rFonts w:hint="eastAsia"/>
                <w:color w:val="auto"/>
                <w:highlight w:val="none"/>
              </w:rPr>
              <w:t>竞选人</w:t>
            </w:r>
            <w:r>
              <w:rPr>
                <w:color w:val="auto"/>
                <w:highlight w:val="none"/>
              </w:rPr>
              <w:t>须</w:t>
            </w:r>
            <w:r>
              <w:rPr>
                <w:rFonts w:hint="eastAsia"/>
                <w:color w:val="auto"/>
                <w:highlight w:val="none"/>
              </w:rPr>
              <w:t>在竞选文件资格审查部分</w:t>
            </w:r>
            <w:r>
              <w:rPr>
                <w:color w:val="auto"/>
                <w:highlight w:val="none"/>
              </w:rPr>
              <w:t>提供有效的营业执照复印件。</w:t>
            </w:r>
            <w:r>
              <w:rPr>
                <w:rFonts w:hint="eastAsia"/>
                <w:color w:val="auto"/>
                <w:highlight w:val="none"/>
              </w:rPr>
              <w:t>注：不得将竞选人营业执照记载的经营范围作为评审因素。</w:t>
            </w:r>
          </w:p>
          <w:p w14:paraId="61F9E5B5">
            <w:pPr>
              <w:autoSpaceDE w:val="0"/>
              <w:autoSpaceDN w:val="0"/>
              <w:adjustRightInd w:val="0"/>
              <w:snapToGrid w:val="0"/>
              <w:spacing w:line="400" w:lineRule="exact"/>
              <w:ind w:firstLine="420" w:firstLineChars="200"/>
              <w:rPr>
                <w:color w:val="auto"/>
                <w:highlight w:val="none"/>
              </w:rPr>
            </w:pPr>
            <w:r>
              <w:rPr>
                <w:color w:val="auto"/>
                <w:highlight w:val="none"/>
              </w:rPr>
              <w:t>（3）具备建设行政主管部门颁发的有效的安全生产许可证，企业</w:t>
            </w:r>
            <w:r>
              <w:rPr>
                <w:rFonts w:hint="eastAsia"/>
                <w:color w:val="auto"/>
                <w:highlight w:val="none"/>
              </w:rPr>
              <w:t>主要</w:t>
            </w:r>
            <w:r>
              <w:rPr>
                <w:color w:val="auto"/>
                <w:highlight w:val="none"/>
              </w:rPr>
              <w:t>负责人、拟担任该项目项目经理具备相应的由建设行政主管部门颁发的有效的安全生产考核合格证书</w:t>
            </w:r>
            <w:r>
              <w:rPr>
                <w:rFonts w:hint="eastAsia"/>
                <w:color w:val="auto"/>
                <w:highlight w:val="none"/>
              </w:rPr>
              <w:t>。</w:t>
            </w:r>
          </w:p>
          <w:p w14:paraId="7E2561F6">
            <w:pPr>
              <w:autoSpaceDE w:val="0"/>
              <w:autoSpaceDN w:val="0"/>
              <w:adjustRightInd w:val="0"/>
              <w:snapToGrid w:val="0"/>
              <w:spacing w:line="400" w:lineRule="exact"/>
              <w:ind w:firstLine="420" w:firstLineChars="200"/>
              <w:rPr>
                <w:color w:val="auto"/>
                <w:highlight w:val="none"/>
              </w:rPr>
            </w:pPr>
            <w:r>
              <w:rPr>
                <w:rFonts w:hint="eastAsia"/>
                <w:color w:val="auto"/>
                <w:highlight w:val="none"/>
              </w:rPr>
              <w:t>竞选人须在竞选文件资格审查部分提供有效的安全生产许可证</w:t>
            </w:r>
            <w:r>
              <w:rPr>
                <w:color w:val="auto"/>
                <w:highlight w:val="none"/>
              </w:rPr>
              <w:t>及安全生产考核合格证书复印件</w:t>
            </w:r>
            <w:r>
              <w:rPr>
                <w:rFonts w:hint="eastAsia" w:ascii="宋体" w:hAnsi="宋体"/>
                <w:color w:val="auto"/>
                <w:szCs w:val="21"/>
                <w:highlight w:val="none"/>
              </w:rPr>
              <w:t>并加盖单位法人章</w:t>
            </w:r>
            <w:r>
              <w:rPr>
                <w:color w:val="auto"/>
                <w:highlight w:val="none"/>
              </w:rPr>
              <w:t>。</w:t>
            </w:r>
          </w:p>
          <w:p w14:paraId="4427BFDE">
            <w:pPr>
              <w:snapToGrid w:val="0"/>
              <w:spacing w:line="400" w:lineRule="exact"/>
              <w:ind w:firstLine="420" w:firstLineChars="200"/>
              <w:rPr>
                <w:color w:val="auto"/>
                <w:highlight w:val="none"/>
              </w:rPr>
            </w:pPr>
            <w:r>
              <w:rPr>
                <w:rFonts w:hint="eastAsia"/>
                <w:color w:val="auto"/>
                <w:highlight w:val="none"/>
              </w:rPr>
              <w:t>2.投标截止日投标资格情况</w:t>
            </w:r>
          </w:p>
          <w:p w14:paraId="107161A6">
            <w:pPr>
              <w:snapToGrid w:val="0"/>
              <w:spacing w:line="400" w:lineRule="exact"/>
              <w:ind w:firstLine="420" w:firstLineChars="200"/>
              <w:rPr>
                <w:color w:val="auto"/>
                <w:highlight w:val="none"/>
              </w:rPr>
            </w:pPr>
            <w:r>
              <w:rPr>
                <w:rFonts w:hint="eastAsia"/>
                <w:color w:val="auto"/>
                <w:highlight w:val="none"/>
              </w:rPr>
              <w:t>竞选人自行承诺格式自拟不得存在下列情形之一：</w:t>
            </w:r>
          </w:p>
          <w:p w14:paraId="40D842FE">
            <w:pPr>
              <w:snapToGrid w:val="0"/>
              <w:spacing w:line="400" w:lineRule="exact"/>
              <w:ind w:firstLine="420" w:firstLineChars="200"/>
              <w:rPr>
                <w:color w:val="auto"/>
                <w:highlight w:val="none"/>
              </w:rPr>
            </w:pPr>
            <w:r>
              <w:rPr>
                <w:rFonts w:hint="eastAsia"/>
                <w:color w:val="auto"/>
                <w:highlight w:val="none"/>
              </w:rPr>
              <w:t>（1）被人民法院列入失信被执行人名单且在被执行期内；</w:t>
            </w:r>
          </w:p>
          <w:p w14:paraId="5B25C896">
            <w:pPr>
              <w:snapToGrid w:val="0"/>
              <w:spacing w:line="400" w:lineRule="exact"/>
              <w:ind w:firstLine="420" w:firstLineChars="200"/>
              <w:rPr>
                <w:color w:val="auto"/>
                <w:highlight w:val="none"/>
              </w:rPr>
            </w:pPr>
            <w:r>
              <w:rPr>
                <w:rFonts w:hint="eastAsia"/>
                <w:color w:val="auto"/>
                <w:highlight w:val="none"/>
              </w:rPr>
              <w:t>（2）被列入《重庆市工程建设领域招标投标信用管理暂行办法》规定的重点关注名单且记分达到12分且在记分有效期内；</w:t>
            </w:r>
          </w:p>
          <w:p w14:paraId="2D027412">
            <w:pPr>
              <w:snapToGrid w:val="0"/>
              <w:spacing w:line="400" w:lineRule="exact"/>
              <w:ind w:firstLine="420" w:firstLineChars="200"/>
              <w:rPr>
                <w:color w:val="auto"/>
                <w:highlight w:val="none"/>
              </w:rPr>
            </w:pPr>
            <w:r>
              <w:rPr>
                <w:rFonts w:hint="eastAsia"/>
                <w:color w:val="auto"/>
                <w:highlight w:val="none"/>
              </w:rPr>
              <w:t>（3）被列入《重庆市工程建设领域招标投标信用管理暂行办法》规定的重庆市工程建设领域招标投标失信惩戒对象名单（以下称黑名单）且在记分有效期内；</w:t>
            </w:r>
          </w:p>
          <w:p w14:paraId="5A955262">
            <w:pPr>
              <w:snapToGrid w:val="0"/>
              <w:spacing w:line="400" w:lineRule="exact"/>
              <w:ind w:firstLine="420" w:firstLineChars="200"/>
              <w:rPr>
                <w:color w:val="auto"/>
                <w:highlight w:val="none"/>
              </w:rPr>
            </w:pPr>
            <w:r>
              <w:rPr>
                <w:rFonts w:hint="eastAsia"/>
                <w:color w:val="auto"/>
                <w:highlight w:val="none"/>
              </w:rPr>
              <w:t>（4）被国家、重庆市（含市或任意区县）有关行政部门处以暂停投标资格行政处罚，且在处罚期限内；</w:t>
            </w:r>
          </w:p>
          <w:p w14:paraId="245ED884">
            <w:pPr>
              <w:snapToGrid w:val="0"/>
              <w:spacing w:line="400" w:lineRule="exact"/>
              <w:ind w:firstLine="420" w:firstLineChars="200"/>
              <w:rPr>
                <w:color w:val="auto"/>
                <w:highlight w:val="none"/>
              </w:rPr>
            </w:pPr>
            <w:r>
              <w:rPr>
                <w:rFonts w:hint="eastAsia"/>
                <w:color w:val="auto"/>
                <w:highlight w:val="none"/>
              </w:rPr>
              <w:t>（5）被重庆市市级有关行业主管部门暂停在渝承揽新业务且在暂停期内。</w:t>
            </w:r>
          </w:p>
          <w:p w14:paraId="5B9E6D8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（6）被责令停业，暂扣或吊销执照，或吊销资质证书；</w:t>
            </w:r>
          </w:p>
          <w:p w14:paraId="044F1AF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（7）进入清算程序，或被宣告破产，或其他丧失履约能力的情形；</w:t>
            </w:r>
          </w:p>
          <w:p w14:paraId="4A6FD09C">
            <w:pPr>
              <w:pStyle w:val="3"/>
              <w:ind w:firstLine="420" w:firstLineChars="200"/>
              <w:rPr>
                <w:color w:val="auto"/>
                <w:highlight w:val="none"/>
              </w:rPr>
            </w:pPr>
            <w:r>
              <w:rPr>
                <w:rFonts w:hint="eastAsia" w:ascii="宋体" w:hAnsi="宋体" w:cs="宋体"/>
                <w:bCs/>
                <w:color w:val="auto"/>
                <w:szCs w:val="21"/>
                <w:highlight w:val="none"/>
              </w:rPr>
              <w:t>（8）在国家企业信用信息公示系统（http://www.gsxt.gov.cn/）中被列入严重违法失信企业名单；</w:t>
            </w:r>
          </w:p>
          <w:p w14:paraId="60833D80">
            <w:pPr>
              <w:spacing w:line="400" w:lineRule="exact"/>
              <w:ind w:firstLine="420" w:firstLineChars="200"/>
              <w:rPr>
                <w:color w:val="auto"/>
                <w:highlight w:val="none"/>
              </w:rPr>
            </w:pPr>
            <w:r>
              <w:rPr>
                <w:rFonts w:hint="eastAsia" w:ascii="宋体" w:hAnsi="宋体"/>
                <w:color w:val="auto"/>
                <w:szCs w:val="21"/>
                <w:highlight w:val="none"/>
              </w:rPr>
              <w:t>（9）竞选人或其法定代表人、拟委任的项目经理在近两年内有行贿犯罪行为的。</w:t>
            </w:r>
          </w:p>
          <w:p w14:paraId="16C72953">
            <w:pPr>
              <w:snapToGrid w:val="0"/>
              <w:spacing w:line="400" w:lineRule="exact"/>
              <w:ind w:firstLine="420" w:firstLineChars="200"/>
              <w:rPr>
                <w:color w:val="auto"/>
                <w:highlight w:val="none"/>
              </w:rPr>
            </w:pPr>
            <w:r>
              <w:rPr>
                <w:rFonts w:hint="eastAsia"/>
                <w:color w:val="auto"/>
                <w:highlight w:val="none"/>
              </w:rPr>
              <w:t>竞选人须在竞选文件资格审查部分提供承诺</w:t>
            </w:r>
            <w:r>
              <w:rPr>
                <w:rFonts w:hint="eastAsia" w:ascii="宋体" w:hAnsi="宋体"/>
                <w:color w:val="auto"/>
                <w:szCs w:val="21"/>
                <w:highlight w:val="none"/>
              </w:rPr>
              <w:t>并加盖单位法人章</w:t>
            </w:r>
            <w:r>
              <w:rPr>
                <w:rFonts w:hint="eastAsia"/>
                <w:color w:val="auto"/>
                <w:highlight w:val="none"/>
              </w:rPr>
              <w:t>。</w:t>
            </w:r>
          </w:p>
          <w:p w14:paraId="52CA68B5">
            <w:pPr>
              <w:autoSpaceDE w:val="0"/>
              <w:autoSpaceDN w:val="0"/>
              <w:snapToGrid w:val="0"/>
              <w:spacing w:line="400" w:lineRule="exact"/>
              <w:ind w:firstLine="420" w:firstLineChars="200"/>
              <w:rPr>
                <w:color w:val="auto"/>
                <w:highlight w:val="none"/>
              </w:rPr>
            </w:pPr>
            <w:r>
              <w:rPr>
                <w:rFonts w:hint="eastAsia" w:ascii="宋体" w:hAnsi="宋体"/>
                <w:color w:val="auto"/>
                <w:kern w:val="0"/>
                <w:szCs w:val="21"/>
                <w:highlight w:val="none"/>
              </w:rPr>
              <w:t>竞选人须在竞选文件资格审查部分提供承诺。</w:t>
            </w:r>
          </w:p>
          <w:p w14:paraId="4B75BBDC">
            <w:pPr>
              <w:snapToGrid w:val="0"/>
              <w:spacing w:line="400" w:lineRule="exact"/>
              <w:ind w:firstLine="420" w:firstLineChars="200"/>
              <w:rPr>
                <w:color w:val="auto"/>
                <w:highlight w:val="none"/>
              </w:rPr>
            </w:pPr>
            <w:r>
              <w:rPr>
                <w:rFonts w:hint="eastAsia"/>
                <w:color w:val="auto"/>
                <w:highlight w:val="none"/>
              </w:rPr>
              <w:t>3</w:t>
            </w:r>
            <w:r>
              <w:rPr>
                <w:color w:val="auto"/>
                <w:highlight w:val="none"/>
              </w:rPr>
              <w:t>.项目经理资格要求</w:t>
            </w:r>
          </w:p>
          <w:p w14:paraId="72B8360E">
            <w:pPr>
              <w:snapToGrid w:val="0"/>
              <w:spacing w:line="400" w:lineRule="exact"/>
              <w:ind w:firstLine="420" w:firstLineChars="200"/>
              <w:rPr>
                <w:color w:val="auto"/>
                <w:highlight w:val="none"/>
              </w:rPr>
            </w:pPr>
            <w:r>
              <w:rPr>
                <w:rFonts w:hint="eastAsia"/>
                <w:color w:val="auto"/>
                <w:highlight w:val="none"/>
              </w:rPr>
              <w:t>3.1竞选人拟派的</w:t>
            </w:r>
            <w:r>
              <w:rPr>
                <w:color w:val="auto"/>
                <w:highlight w:val="none"/>
              </w:rPr>
              <w:t>项目经理必须已在</w:t>
            </w:r>
            <w:r>
              <w:rPr>
                <w:rFonts w:hint="eastAsia"/>
                <w:color w:val="auto"/>
                <w:highlight w:val="none"/>
              </w:rPr>
              <w:t>竞选人本</w:t>
            </w:r>
            <w:r>
              <w:rPr>
                <w:color w:val="auto"/>
                <w:highlight w:val="none"/>
              </w:rPr>
              <w:t>单位注册并应具有</w:t>
            </w:r>
            <w:r>
              <w:rPr>
                <w:rFonts w:hint="eastAsia" w:ascii="宋体" w:hAnsi="宋体" w:cs="宋体"/>
                <w:color w:val="auto"/>
                <w:szCs w:val="21"/>
                <w:highlight w:val="none"/>
                <w:u w:val="single"/>
              </w:rPr>
              <w:t>建筑工程</w:t>
            </w:r>
            <w:r>
              <w:rPr>
                <w:rFonts w:hint="eastAsia"/>
                <w:color w:val="auto"/>
                <w:highlight w:val="none"/>
              </w:rPr>
              <w:t>专业贰</w:t>
            </w:r>
            <w:r>
              <w:rPr>
                <w:color w:val="auto"/>
                <w:highlight w:val="none"/>
              </w:rPr>
              <w:t>级及以上注册建造师执业资格</w:t>
            </w:r>
            <w:r>
              <w:rPr>
                <w:rFonts w:hint="eastAsia"/>
                <w:color w:val="auto"/>
                <w:highlight w:val="none"/>
              </w:rPr>
              <w:t>。</w:t>
            </w:r>
          </w:p>
          <w:p w14:paraId="7805B152">
            <w:pPr>
              <w:snapToGrid w:val="0"/>
              <w:spacing w:line="400" w:lineRule="exact"/>
              <w:ind w:firstLine="420" w:firstLineChars="200"/>
              <w:jc w:val="left"/>
              <w:rPr>
                <w:color w:val="auto"/>
                <w:highlight w:val="none"/>
              </w:rPr>
            </w:pPr>
            <w:r>
              <w:rPr>
                <w:rFonts w:hint="eastAsia"/>
                <w:color w:val="auto"/>
                <w:highlight w:val="none"/>
              </w:rPr>
              <w:t>3.2项目经理承诺要求：竞选人须承诺拟派项目经理按注册建造师的相关规定到岗履职和未被禁止参与投标。</w:t>
            </w:r>
          </w:p>
          <w:p w14:paraId="25ED2C76">
            <w:pPr>
              <w:snapToGrid w:val="0"/>
              <w:spacing w:line="400" w:lineRule="exact"/>
              <w:ind w:firstLine="420" w:firstLineChars="200"/>
              <w:rPr>
                <w:color w:val="auto"/>
                <w:highlight w:val="none"/>
              </w:rPr>
            </w:pPr>
            <w:r>
              <w:rPr>
                <w:rFonts w:hint="eastAsia"/>
                <w:color w:val="auto"/>
                <w:highlight w:val="none"/>
              </w:rPr>
              <w:t>3</w:t>
            </w:r>
            <w:r>
              <w:rPr>
                <w:color w:val="auto"/>
                <w:highlight w:val="none"/>
              </w:rPr>
              <w:t>.2.1到岗履职承诺要求：承诺拟派项目经理中标后在本项目任职，签订合同时拟派的项目经理必须与</w:t>
            </w:r>
            <w:r>
              <w:rPr>
                <w:rFonts w:hint="eastAsia"/>
                <w:color w:val="auto"/>
                <w:highlight w:val="none"/>
              </w:rPr>
              <w:t>竞选文件</w:t>
            </w:r>
            <w:r>
              <w:rPr>
                <w:color w:val="auto"/>
                <w:highlight w:val="none"/>
              </w:rPr>
              <w:t>中的项目经理一致，并满足办理施工许可手续的相关要求。不能按承诺到岗履约的，按合同相关条款处罚并上报行政主管部门，给</w:t>
            </w:r>
            <w:r>
              <w:rPr>
                <w:rFonts w:hint="eastAsia"/>
                <w:color w:val="auto"/>
                <w:highlight w:val="none"/>
              </w:rPr>
              <w:t>竞选人</w:t>
            </w:r>
            <w:r>
              <w:rPr>
                <w:color w:val="auto"/>
                <w:highlight w:val="none"/>
              </w:rPr>
              <w:t>造成损失的，</w:t>
            </w:r>
            <w:r>
              <w:rPr>
                <w:rFonts w:hint="eastAsia"/>
                <w:color w:val="auto"/>
                <w:highlight w:val="none"/>
              </w:rPr>
              <w:t>竞选人</w:t>
            </w:r>
            <w:r>
              <w:rPr>
                <w:color w:val="auto"/>
                <w:highlight w:val="none"/>
              </w:rPr>
              <w:t>依法承担违约赔偿责任。拟派项目经理中标后不得随意更换。</w:t>
            </w:r>
          </w:p>
          <w:p w14:paraId="43EB6445">
            <w:pPr>
              <w:snapToGrid w:val="0"/>
              <w:spacing w:line="400" w:lineRule="exact"/>
              <w:ind w:firstLine="420" w:firstLineChars="200"/>
              <w:rPr>
                <w:color w:val="auto"/>
                <w:highlight w:val="none"/>
              </w:rPr>
            </w:pPr>
            <w:r>
              <w:rPr>
                <w:rFonts w:hint="eastAsia"/>
                <w:color w:val="auto"/>
                <w:highlight w:val="none"/>
              </w:rPr>
              <w:t>3</w:t>
            </w:r>
            <w:r>
              <w:rPr>
                <w:color w:val="auto"/>
                <w:highlight w:val="none"/>
              </w:rPr>
              <w:t>.2.2未被禁止参与投标承诺要求：承诺拟派项目经理未被重庆市</w:t>
            </w:r>
            <w:r>
              <w:rPr>
                <w:rFonts w:hint="eastAsia"/>
                <w:color w:val="auto"/>
                <w:highlight w:val="none"/>
              </w:rPr>
              <w:t>市级有关行业</w:t>
            </w:r>
            <w:r>
              <w:rPr>
                <w:color w:val="auto"/>
                <w:highlight w:val="none"/>
              </w:rPr>
              <w:t>主管部门暂停在渝承揽新业务。若被暂停在渝承揽新业务但仍参加投标，将被否决投标；已取得中标候选人资格或中标资格的，</w:t>
            </w:r>
            <w:r>
              <w:rPr>
                <w:rFonts w:hint="eastAsia"/>
                <w:color w:val="auto"/>
                <w:highlight w:val="none"/>
              </w:rPr>
              <w:t>比选人</w:t>
            </w:r>
            <w:r>
              <w:rPr>
                <w:color w:val="auto"/>
                <w:highlight w:val="none"/>
              </w:rPr>
              <w:t>有权取消其中标候选人资格或中标资格；给</w:t>
            </w:r>
            <w:r>
              <w:rPr>
                <w:rFonts w:hint="eastAsia"/>
                <w:color w:val="auto"/>
                <w:highlight w:val="none"/>
              </w:rPr>
              <w:t>比选人</w:t>
            </w:r>
            <w:r>
              <w:rPr>
                <w:color w:val="auto"/>
                <w:highlight w:val="none"/>
              </w:rPr>
              <w:t>造成损失的，</w:t>
            </w:r>
            <w:r>
              <w:rPr>
                <w:rFonts w:hint="eastAsia"/>
                <w:color w:val="auto"/>
                <w:highlight w:val="none"/>
              </w:rPr>
              <w:t>竞选人</w:t>
            </w:r>
            <w:r>
              <w:rPr>
                <w:color w:val="auto"/>
                <w:highlight w:val="none"/>
              </w:rPr>
              <w:t>依法承担违约赔偿责任。</w:t>
            </w:r>
          </w:p>
          <w:p w14:paraId="2AC86D56">
            <w:pPr>
              <w:snapToGrid w:val="0"/>
              <w:spacing w:line="400" w:lineRule="exact"/>
              <w:ind w:firstLine="420" w:firstLineChars="200"/>
              <w:rPr>
                <w:color w:val="auto"/>
                <w:highlight w:val="none"/>
              </w:rPr>
            </w:pPr>
            <w:r>
              <w:rPr>
                <w:rFonts w:hint="eastAsia"/>
                <w:color w:val="auto"/>
                <w:highlight w:val="none"/>
              </w:rPr>
              <w:t>3</w:t>
            </w:r>
            <w:r>
              <w:rPr>
                <w:color w:val="auto"/>
                <w:highlight w:val="none"/>
              </w:rPr>
              <w:t>.2.3项目经理的其它承诺要求：为保证</w:t>
            </w:r>
            <w:r>
              <w:rPr>
                <w:rFonts w:hint="eastAsia"/>
                <w:color w:val="auto"/>
                <w:highlight w:val="none"/>
              </w:rPr>
              <w:t>竞选人</w:t>
            </w:r>
            <w:r>
              <w:rPr>
                <w:color w:val="auto"/>
                <w:highlight w:val="none"/>
              </w:rPr>
              <w:t>拟派的项目经理到本项目到岗履职，</w:t>
            </w:r>
            <w:r>
              <w:rPr>
                <w:rFonts w:hint="eastAsia"/>
                <w:color w:val="auto"/>
                <w:highlight w:val="none"/>
              </w:rPr>
              <w:t>竞选人</w:t>
            </w:r>
            <w:r>
              <w:rPr>
                <w:color w:val="auto"/>
                <w:highlight w:val="none"/>
              </w:rPr>
              <w:t>还需承诺：</w:t>
            </w:r>
          </w:p>
          <w:p w14:paraId="512BCB4F">
            <w:pPr>
              <w:snapToGrid w:val="0"/>
              <w:spacing w:line="400" w:lineRule="exact"/>
              <w:ind w:firstLine="420" w:firstLineChars="200"/>
              <w:rPr>
                <w:color w:val="auto"/>
                <w:highlight w:val="none"/>
              </w:rPr>
            </w:pPr>
            <w:r>
              <w:rPr>
                <w:color w:val="auto"/>
                <w:highlight w:val="none"/>
              </w:rPr>
              <w:t>若</w:t>
            </w:r>
            <w:r>
              <w:rPr>
                <w:rFonts w:hint="eastAsia"/>
                <w:color w:val="auto"/>
                <w:highlight w:val="none"/>
              </w:rPr>
              <w:t>竞选人</w:t>
            </w:r>
            <w:r>
              <w:rPr>
                <w:color w:val="auto"/>
                <w:highlight w:val="none"/>
              </w:rPr>
              <w:t>拟派本项目的项目经理有在其他项目任职的情形的（或有在其他项目中标或拟中标的情形的），应在收到中标通知书后</w:t>
            </w:r>
            <w:r>
              <w:rPr>
                <w:rFonts w:hint="eastAsia"/>
                <w:color w:val="auto"/>
                <w:highlight w:val="none"/>
              </w:rPr>
              <w:t>7</w:t>
            </w:r>
            <w:r>
              <w:rPr>
                <w:color w:val="auto"/>
                <w:highlight w:val="none"/>
              </w:rPr>
              <w:t>日内，办理完成放弃在其他项目任职的手续（或办理完成放弃在其他项目中标或拟中标的手续），</w:t>
            </w:r>
            <w:r>
              <w:rPr>
                <w:rFonts w:hint="eastAsia"/>
                <w:color w:val="auto"/>
                <w:highlight w:val="none"/>
              </w:rPr>
              <w:t>竞选人</w:t>
            </w:r>
            <w:r>
              <w:rPr>
                <w:color w:val="auto"/>
                <w:highlight w:val="none"/>
              </w:rPr>
              <w:t>在合同签订前有权对</w:t>
            </w:r>
            <w:r>
              <w:rPr>
                <w:rFonts w:hint="eastAsia"/>
                <w:color w:val="auto"/>
                <w:highlight w:val="none"/>
              </w:rPr>
              <w:t>竞选人</w:t>
            </w:r>
            <w:r>
              <w:rPr>
                <w:color w:val="auto"/>
                <w:highlight w:val="none"/>
              </w:rPr>
              <w:t>拟派项目经理在其他项目的任职情形（或在其他项目的中标或拟中标情形）进行核查，若与</w:t>
            </w:r>
            <w:r>
              <w:rPr>
                <w:rFonts w:hint="eastAsia"/>
                <w:color w:val="auto"/>
                <w:highlight w:val="none"/>
              </w:rPr>
              <w:t>竞选人</w:t>
            </w:r>
            <w:r>
              <w:rPr>
                <w:color w:val="auto"/>
                <w:highlight w:val="none"/>
              </w:rPr>
              <w:t>承诺内容不符或</w:t>
            </w:r>
            <w:r>
              <w:rPr>
                <w:rFonts w:hint="eastAsia"/>
                <w:color w:val="auto"/>
                <w:highlight w:val="none"/>
              </w:rPr>
              <w:t>竞选人</w:t>
            </w:r>
            <w:r>
              <w:rPr>
                <w:color w:val="auto"/>
                <w:highlight w:val="none"/>
              </w:rPr>
              <w:t>未在上述时间内按照</w:t>
            </w:r>
            <w:r>
              <w:rPr>
                <w:rFonts w:hint="eastAsia"/>
                <w:color w:val="auto"/>
                <w:highlight w:val="none"/>
              </w:rPr>
              <w:t>竞争性比选文件</w:t>
            </w:r>
            <w:r>
              <w:rPr>
                <w:color w:val="auto"/>
                <w:highlight w:val="none"/>
              </w:rPr>
              <w:t>规定递交放弃在其他项目任职、中标或拟中标的相关资料，视为</w:t>
            </w:r>
            <w:r>
              <w:rPr>
                <w:rFonts w:hint="eastAsia"/>
                <w:color w:val="auto"/>
                <w:highlight w:val="none"/>
              </w:rPr>
              <w:t>竞选人</w:t>
            </w:r>
            <w:r>
              <w:rPr>
                <w:color w:val="auto"/>
                <w:highlight w:val="none"/>
              </w:rPr>
              <w:t>放弃中标资格，</w:t>
            </w:r>
            <w:r>
              <w:rPr>
                <w:rFonts w:hint="eastAsia"/>
                <w:color w:val="auto"/>
                <w:highlight w:val="none"/>
              </w:rPr>
              <w:t>比选人</w:t>
            </w:r>
            <w:r>
              <w:rPr>
                <w:color w:val="auto"/>
                <w:highlight w:val="none"/>
              </w:rPr>
              <w:t>不退还其投标保证金。在合同签订时，</w:t>
            </w:r>
            <w:r>
              <w:rPr>
                <w:rFonts w:hint="eastAsia"/>
                <w:color w:val="auto"/>
                <w:highlight w:val="none"/>
              </w:rPr>
              <w:t>竞选人</w:t>
            </w:r>
            <w:r>
              <w:rPr>
                <w:color w:val="auto"/>
                <w:highlight w:val="none"/>
              </w:rPr>
              <w:t>需确保拟派项目经理符合《建筑施工企业项目经理资质管理办法》规定的项目经理任职条件，否则视为</w:t>
            </w:r>
            <w:r>
              <w:rPr>
                <w:rFonts w:hint="eastAsia"/>
                <w:color w:val="auto"/>
                <w:highlight w:val="none"/>
              </w:rPr>
              <w:t>竞选人</w:t>
            </w:r>
            <w:r>
              <w:rPr>
                <w:color w:val="auto"/>
                <w:highlight w:val="none"/>
              </w:rPr>
              <w:t>放弃中标资格，</w:t>
            </w:r>
            <w:r>
              <w:rPr>
                <w:rFonts w:hint="eastAsia"/>
                <w:color w:val="auto"/>
                <w:highlight w:val="none"/>
              </w:rPr>
              <w:t>比选人</w:t>
            </w:r>
            <w:r>
              <w:rPr>
                <w:color w:val="auto"/>
                <w:highlight w:val="none"/>
              </w:rPr>
              <w:t>不退还其投标保证金。</w:t>
            </w:r>
          </w:p>
          <w:p w14:paraId="2EA0744C">
            <w:pPr>
              <w:snapToGrid w:val="0"/>
              <w:spacing w:line="400" w:lineRule="exact"/>
              <w:ind w:firstLine="420" w:firstLineChars="200"/>
              <w:rPr>
                <w:color w:val="auto"/>
                <w:highlight w:val="none"/>
              </w:rPr>
            </w:pPr>
            <w:r>
              <w:rPr>
                <w:color w:val="auto"/>
                <w:highlight w:val="none"/>
              </w:rPr>
              <w:t>放弃在其他项目任职的需提供：①经业主或建设单位同意任职变更的文件；②负责项目监管的行业行政主管部门出具同意任职变更的证明材料。</w:t>
            </w:r>
          </w:p>
          <w:p w14:paraId="6941AA6A">
            <w:pPr>
              <w:snapToGrid w:val="0"/>
              <w:spacing w:line="400" w:lineRule="exact"/>
              <w:ind w:firstLine="420" w:firstLineChars="200"/>
              <w:rPr>
                <w:color w:val="auto"/>
                <w:highlight w:val="none"/>
              </w:rPr>
            </w:pPr>
            <w:r>
              <w:rPr>
                <w:color w:val="auto"/>
                <w:highlight w:val="none"/>
              </w:rPr>
              <w:t>放弃在其他项目中标或拟中标的需提供：①经中标或拟中标的其他项目建设单位同意的放弃中标函</w:t>
            </w:r>
            <w:r>
              <w:rPr>
                <w:rFonts w:hint="eastAsia"/>
                <w:color w:val="auto"/>
                <w:highlight w:val="none"/>
              </w:rPr>
              <w:t>。</w:t>
            </w:r>
          </w:p>
          <w:p w14:paraId="19CD4086">
            <w:pPr>
              <w:snapToGrid w:val="0"/>
              <w:spacing w:line="400" w:lineRule="exact"/>
              <w:ind w:firstLine="420" w:firstLineChars="200"/>
              <w:rPr>
                <w:color w:val="auto"/>
                <w:highlight w:val="none"/>
              </w:rPr>
            </w:pPr>
            <w:r>
              <w:rPr>
                <w:rFonts w:hint="eastAsia"/>
                <w:color w:val="auto"/>
                <w:highlight w:val="none"/>
              </w:rPr>
              <w:t>3.2.4未提供上述承诺或承诺内容不符合要求的，由评标委员会作否决投标处理</w:t>
            </w:r>
            <w:r>
              <w:rPr>
                <w:color w:val="auto"/>
                <w:highlight w:val="none"/>
              </w:rPr>
              <w:t>。</w:t>
            </w:r>
          </w:p>
          <w:p w14:paraId="3EC3CB33">
            <w:pPr>
              <w:snapToGrid w:val="0"/>
              <w:spacing w:line="400" w:lineRule="exact"/>
              <w:ind w:firstLine="420" w:firstLineChars="200"/>
              <w:rPr>
                <w:color w:val="auto"/>
                <w:highlight w:val="none"/>
              </w:rPr>
            </w:pPr>
            <w:r>
              <w:rPr>
                <w:rFonts w:hint="eastAsia"/>
                <w:color w:val="auto"/>
                <w:highlight w:val="none"/>
              </w:rPr>
              <w:t>竞选人须在竞选文件资格审查部分提供有效的拟派项目经理建造师注册证、身份证、竞选人为其缴纳的养老保险证明材料复印件，拟派项目经理到岗履职和未被禁止参与投标的承诺原件（</w:t>
            </w:r>
            <w:r>
              <w:rPr>
                <w:rFonts w:hint="eastAsia" w:ascii="宋体" w:hAnsi="宋体"/>
                <w:color w:val="auto"/>
                <w:kern w:val="0"/>
                <w:szCs w:val="21"/>
                <w:highlight w:val="none"/>
              </w:rPr>
              <w:t>以上承诺，自行承诺格式自拟</w:t>
            </w:r>
            <w:r>
              <w:rPr>
                <w:rFonts w:hint="eastAsia"/>
                <w:color w:val="auto"/>
                <w:highlight w:val="none"/>
              </w:rPr>
              <w:t>）。</w:t>
            </w:r>
          </w:p>
          <w:p w14:paraId="519F609C">
            <w:pPr>
              <w:snapToGrid w:val="0"/>
              <w:spacing w:line="400" w:lineRule="exact"/>
              <w:ind w:firstLine="420" w:firstLineChars="200"/>
              <w:rPr>
                <w:color w:val="auto"/>
                <w:highlight w:val="none"/>
              </w:rPr>
            </w:pPr>
            <w:r>
              <w:rPr>
                <w:rFonts w:hint="eastAsia"/>
                <w:color w:val="auto"/>
                <w:highlight w:val="none"/>
              </w:rPr>
              <w:t>注：（1）提供拟派的项目经理为一级建造师或重庆市二级建造师注册人员的，必须提供建造师电子注册证书，且该建造师电子注册证书须由建造师本人在个人签名处手写本人签名。</w:t>
            </w:r>
          </w:p>
          <w:p w14:paraId="115F6F1D">
            <w:pPr>
              <w:snapToGrid w:val="0"/>
              <w:spacing w:line="400" w:lineRule="exact"/>
              <w:ind w:firstLine="420" w:firstLineChars="200"/>
              <w:rPr>
                <w:color w:val="auto"/>
                <w:highlight w:val="none"/>
              </w:rPr>
            </w:pPr>
            <w:r>
              <w:rPr>
                <w:rFonts w:hint="eastAsia"/>
                <w:color w:val="auto"/>
                <w:highlight w:val="none"/>
              </w:rPr>
              <w:t>（2）重庆市以外的省级住房城乡建设主管部门对二级建造师电子注册证书使用有明确规定的，从其规定。未规定使用电子注册证书的，可提供纸质证书扫描件。</w:t>
            </w:r>
          </w:p>
          <w:p w14:paraId="733D9D99">
            <w:pPr>
              <w:snapToGrid w:val="0"/>
              <w:spacing w:line="400" w:lineRule="exact"/>
              <w:ind w:firstLine="420" w:firstLineChars="200"/>
              <w:rPr>
                <w:color w:val="auto"/>
                <w:highlight w:val="none"/>
              </w:rPr>
            </w:pPr>
            <w:r>
              <w:rPr>
                <w:rFonts w:hint="eastAsia"/>
                <w:color w:val="auto"/>
                <w:highlight w:val="none"/>
              </w:rPr>
              <w:t>（3）建造师电子注册证书本人手写签名与签名图像笔迹是否一致不作为否决投标的情形。</w:t>
            </w:r>
          </w:p>
          <w:p w14:paraId="6B8E7591">
            <w:pPr>
              <w:snapToGrid w:val="0"/>
              <w:spacing w:line="400" w:lineRule="exact"/>
              <w:ind w:firstLine="420" w:firstLineChars="200"/>
              <w:rPr>
                <w:color w:val="auto"/>
                <w:highlight w:val="none"/>
              </w:rPr>
            </w:pPr>
            <w:r>
              <w:rPr>
                <w:rFonts w:hint="eastAsia"/>
                <w:color w:val="auto"/>
                <w:highlight w:val="none"/>
              </w:rPr>
              <w:t>（4）提供的项目经理职称证复印件或扫描件的单位与竞选人单位不一致或未注明单位的，由竞选人提供劳动合同及为其缴纳的养老保险证明材料复印件。</w:t>
            </w:r>
          </w:p>
          <w:p w14:paraId="6776C46B">
            <w:pPr>
              <w:autoSpaceDE w:val="0"/>
              <w:autoSpaceDN w:val="0"/>
              <w:adjustRightInd w:val="0"/>
              <w:snapToGrid w:val="0"/>
              <w:spacing w:line="400" w:lineRule="exact"/>
              <w:ind w:firstLine="420" w:firstLineChars="200"/>
              <w:rPr>
                <w:color w:val="auto"/>
                <w:highlight w:val="none"/>
              </w:rPr>
            </w:pPr>
            <w:r>
              <w:rPr>
                <w:rFonts w:hint="eastAsia"/>
                <w:color w:val="auto"/>
                <w:highlight w:val="none"/>
              </w:rPr>
              <w:t>4.</w:t>
            </w:r>
            <w:r>
              <w:rPr>
                <w:color w:val="auto"/>
                <w:highlight w:val="none"/>
              </w:rPr>
              <w:t>委托代理人</w:t>
            </w:r>
            <w:r>
              <w:rPr>
                <w:rFonts w:hint="eastAsia"/>
                <w:color w:val="auto"/>
                <w:highlight w:val="none"/>
              </w:rPr>
              <w:t>：</w:t>
            </w:r>
          </w:p>
          <w:p w14:paraId="78B56AA5">
            <w:pPr>
              <w:autoSpaceDE w:val="0"/>
              <w:autoSpaceDN w:val="0"/>
              <w:adjustRightInd w:val="0"/>
              <w:snapToGrid w:val="0"/>
              <w:spacing w:line="400" w:lineRule="exact"/>
              <w:ind w:firstLine="420" w:firstLineChars="200"/>
              <w:rPr>
                <w:color w:val="auto"/>
                <w:highlight w:val="none"/>
              </w:rPr>
            </w:pPr>
            <w:r>
              <w:rPr>
                <w:color w:val="auto"/>
                <w:highlight w:val="none"/>
              </w:rPr>
              <w:t>委托代理人必须为</w:t>
            </w:r>
            <w:r>
              <w:rPr>
                <w:rFonts w:hint="eastAsia" w:ascii="宋体" w:hAnsi="宋体"/>
                <w:color w:val="auto"/>
                <w:kern w:val="0"/>
                <w:szCs w:val="21"/>
                <w:highlight w:val="none"/>
              </w:rPr>
              <w:t>竞选人</w:t>
            </w:r>
            <w:r>
              <w:rPr>
                <w:color w:val="auto"/>
                <w:highlight w:val="none"/>
              </w:rPr>
              <w:t>本单位</w:t>
            </w:r>
            <w:r>
              <w:rPr>
                <w:rFonts w:hint="eastAsia"/>
                <w:color w:val="auto"/>
                <w:highlight w:val="none"/>
              </w:rPr>
              <w:t>人员。</w:t>
            </w:r>
          </w:p>
          <w:p w14:paraId="0471069D">
            <w:pPr>
              <w:autoSpaceDE w:val="0"/>
              <w:autoSpaceDN w:val="0"/>
              <w:adjustRightInd w:val="0"/>
              <w:snapToGrid w:val="0"/>
              <w:spacing w:line="400" w:lineRule="exact"/>
              <w:ind w:firstLine="420" w:firstLineChars="200"/>
              <w:rPr>
                <w:color w:val="auto"/>
                <w:highlight w:val="none"/>
              </w:rPr>
            </w:pPr>
            <w:r>
              <w:rPr>
                <w:rFonts w:hint="eastAsia"/>
                <w:color w:val="auto"/>
                <w:highlight w:val="none"/>
              </w:rPr>
              <w:t>竞选人须在竞选文件资格审查部分</w:t>
            </w:r>
            <w:r>
              <w:rPr>
                <w:color w:val="auto"/>
                <w:highlight w:val="none"/>
              </w:rPr>
              <w:t>提供</w:t>
            </w:r>
            <w:r>
              <w:rPr>
                <w:rFonts w:hint="eastAsia"/>
                <w:color w:val="auto"/>
                <w:highlight w:val="none"/>
              </w:rPr>
              <w:t>竞选人为该</w:t>
            </w:r>
            <w:r>
              <w:rPr>
                <w:color w:val="auto"/>
                <w:highlight w:val="none"/>
              </w:rPr>
              <w:t>委托代理人</w:t>
            </w:r>
            <w:r>
              <w:rPr>
                <w:rFonts w:hint="eastAsia"/>
                <w:color w:val="auto"/>
                <w:highlight w:val="none"/>
              </w:rPr>
              <w:t>缴纳的养老保险证明复印件</w:t>
            </w:r>
            <w:r>
              <w:rPr>
                <w:rFonts w:hint="eastAsia" w:ascii="宋体" w:hAnsi="宋体"/>
                <w:color w:val="auto"/>
                <w:szCs w:val="21"/>
                <w:highlight w:val="none"/>
              </w:rPr>
              <w:t>并加盖单位法人章</w:t>
            </w:r>
            <w:r>
              <w:rPr>
                <w:rFonts w:hint="eastAsia"/>
                <w:color w:val="auto"/>
                <w:highlight w:val="none"/>
              </w:rPr>
              <w:t>。否则，将由评标委员会作否决投标处理。</w:t>
            </w:r>
          </w:p>
          <w:p w14:paraId="36107287">
            <w:pPr>
              <w:autoSpaceDE w:val="0"/>
              <w:autoSpaceDN w:val="0"/>
              <w:adjustRightInd w:val="0"/>
              <w:snapToGrid w:val="0"/>
              <w:spacing w:line="400" w:lineRule="exact"/>
              <w:ind w:firstLine="417" w:firstLineChars="198"/>
              <w:rPr>
                <w:b/>
                <w:bCs/>
                <w:color w:val="auto"/>
                <w:highlight w:val="none"/>
              </w:rPr>
            </w:pPr>
            <w:r>
              <w:rPr>
                <w:rFonts w:hint="eastAsia"/>
                <w:b/>
                <w:bCs/>
                <w:color w:val="auto"/>
                <w:highlight w:val="none"/>
              </w:rPr>
              <w:t>特别说明：</w:t>
            </w:r>
          </w:p>
          <w:p w14:paraId="6D6B693D">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上述要求须提交的相关证明材料复印件均应加盖竞选单位法人章并装入竞选文件资格审查部分中。上述要求</w:t>
            </w:r>
            <w:r>
              <w:rPr>
                <w:rFonts w:hint="eastAsia" w:ascii="宋体" w:hAnsi="宋体" w:cs="宋体"/>
                <w:color w:val="auto"/>
                <w:kern w:val="0"/>
                <w:szCs w:val="21"/>
                <w:highlight w:val="none"/>
              </w:rPr>
              <w:t>，有一条不满足则竞选文件由评标委员会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2F987438">
            <w:pPr>
              <w:autoSpaceDE w:val="0"/>
              <w:autoSpaceDN w:val="0"/>
              <w:adjustRightInd w:val="0"/>
              <w:snapToGrid w:val="0"/>
              <w:spacing w:line="400" w:lineRule="exact"/>
              <w:ind w:firstLine="415" w:firstLineChars="198"/>
              <w:rPr>
                <w:rFonts w:ascii="宋体" w:hAnsi="宋体"/>
                <w:bCs/>
                <w:color w:val="auto"/>
                <w:kern w:val="0"/>
                <w:szCs w:val="21"/>
                <w:highlight w:val="none"/>
              </w:rPr>
            </w:pPr>
            <w:r>
              <w:rPr>
                <w:rFonts w:hint="eastAsia" w:ascii="宋体" w:hAnsi="宋体" w:cs="宋体"/>
                <w:color w:val="auto"/>
                <w:szCs w:val="21"/>
                <w:highlight w:val="none"/>
              </w:rPr>
              <w:t>（2）</w:t>
            </w:r>
            <w:r>
              <w:rPr>
                <w:rFonts w:ascii="宋体" w:hAnsi="宋体"/>
                <w:bCs/>
                <w:color w:val="auto"/>
                <w:kern w:val="0"/>
                <w:szCs w:val="21"/>
                <w:highlight w:val="none"/>
              </w:rPr>
              <w:t>本</w:t>
            </w:r>
            <w:r>
              <w:rPr>
                <w:rFonts w:hint="eastAsia" w:ascii="宋体" w:hAnsi="宋体"/>
                <w:bCs/>
                <w:color w:val="auto"/>
                <w:kern w:val="0"/>
                <w:szCs w:val="21"/>
                <w:highlight w:val="none"/>
              </w:rPr>
              <w:t>竞争性比选文件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4F5FB2C5">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2C606495">
            <w:pPr>
              <w:pStyle w:val="3"/>
              <w:spacing w:line="360" w:lineRule="auto"/>
              <w:ind w:firstLine="420" w:firstLineChars="200"/>
              <w:rPr>
                <w:color w:val="auto"/>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rPr>
              <w:t>2024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 xml:space="preserve"> 9</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202</w:t>
            </w:r>
            <w:r>
              <w:rPr>
                <w:rFonts w:hint="eastAsia" w:ascii="宋体" w:hAnsi="宋体"/>
                <w:bCs/>
                <w:snapToGrid w:val="0"/>
                <w:color w:val="auto"/>
                <w:kern w:val="0"/>
                <w:szCs w:val="21"/>
                <w:highlight w:val="none"/>
                <w:u w:val="single"/>
                <w:lang w:val="en-US" w:eastAsia="zh-CN"/>
              </w:rPr>
              <w:t>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2</w:t>
            </w:r>
            <w:r>
              <w:rPr>
                <w:rFonts w:ascii="宋体" w:hAnsi="宋体"/>
                <w:bCs/>
                <w:snapToGrid w:val="0"/>
                <w:color w:val="auto"/>
                <w:kern w:val="0"/>
                <w:szCs w:val="21"/>
                <w:highlight w:val="none"/>
              </w:rPr>
              <w:t>月</w:t>
            </w:r>
            <w:r>
              <w:rPr>
                <w:rFonts w:hint="eastAsia" w:ascii="宋体" w:hAnsi="宋体"/>
                <w:bCs/>
                <w:color w:val="auto"/>
                <w:szCs w:val="21"/>
                <w:highlight w:val="none"/>
              </w:rPr>
              <w:t>。养老保险证明原件必须加盖</w:t>
            </w:r>
            <w:r>
              <w:rPr>
                <w:rFonts w:hint="eastAsia" w:ascii="宋体" w:hAnsi="宋体" w:cs="宋体"/>
                <w:color w:val="auto"/>
                <w:szCs w:val="21"/>
                <w:highlight w:val="none"/>
              </w:rPr>
              <w:t>社保部门公章，提供的养老保险参保证明须体现上述人员的姓名、身份证号（或社保号）、单位名称、本单位参保时间（或起始参保时间）。</w:t>
            </w:r>
          </w:p>
        </w:tc>
      </w:tr>
      <w:tr w14:paraId="174DD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6DABC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0B87C5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1C32B1D1">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不接受</w:t>
            </w:r>
          </w:p>
        </w:tc>
      </w:tr>
      <w:tr w14:paraId="02E0D2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35" w:type="dxa"/>
            <w:vAlign w:val="center"/>
          </w:tcPr>
          <w:p w14:paraId="682B308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39043EF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4CA0C1E9">
            <w:pPr>
              <w:snapToGrid w:val="0"/>
              <w:spacing w:line="43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不组织，由竞选人自行踏勘。</w:t>
            </w:r>
          </w:p>
          <w:p w14:paraId="17F075E7">
            <w:pPr>
              <w:pStyle w:val="3"/>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（竞选人</w:t>
            </w:r>
            <w:r>
              <w:rPr>
                <w:rFonts w:hint="eastAsia" w:ascii="宋体" w:hAnsi="宋体"/>
                <w:color w:val="auto"/>
                <w:szCs w:val="21"/>
                <w:highlight w:val="none"/>
              </w:rPr>
              <w:t>应先到工地踏勘以充分了解工地位置、情况、道路、储存空间、装卸限制及任何其它足以影响承包价格的情况，任何因忽视或误解工地情况而导致的索赔或工期延长申请将不获批准，且由</w:t>
            </w:r>
            <w:r>
              <w:rPr>
                <w:rFonts w:hint="eastAsia" w:ascii="宋体" w:hAnsi="宋体" w:cs="宋体"/>
                <w:color w:val="auto"/>
                <w:kern w:val="0"/>
                <w:szCs w:val="21"/>
                <w:highlight w:val="none"/>
              </w:rPr>
              <w:t>竞选人</w:t>
            </w:r>
            <w:r>
              <w:rPr>
                <w:rFonts w:hint="eastAsia" w:ascii="宋体" w:hAnsi="宋体"/>
                <w:color w:val="auto"/>
                <w:szCs w:val="21"/>
                <w:highlight w:val="none"/>
              </w:rPr>
              <w:t>在资格审查中自行承诺。）</w:t>
            </w:r>
          </w:p>
        </w:tc>
      </w:tr>
      <w:tr w14:paraId="541B6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256C0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720ECFA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543A64ED">
            <w:pPr>
              <w:widowControl/>
              <w:tabs>
                <w:tab w:val="left" w:pos="4950"/>
              </w:tabs>
              <w:autoSpaceDE w:val="0"/>
              <w:autoSpaceDN w:val="0"/>
              <w:adjustRightInd w:val="0"/>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不召开</w:t>
            </w:r>
          </w:p>
        </w:tc>
      </w:tr>
      <w:tr w14:paraId="05B7C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64CC1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4E08E43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508AE084">
            <w:pPr>
              <w:widowControl/>
              <w:tabs>
                <w:tab w:val="left" w:pos="4950"/>
              </w:tabs>
              <w:autoSpaceDE w:val="0"/>
              <w:autoSpaceDN w:val="0"/>
              <w:adjustRightInd w:val="0"/>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716AE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DA14B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2E297BC4">
            <w:pPr>
              <w:snapToGrid w:val="0"/>
              <w:spacing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竞争性比选文件</w:t>
            </w:r>
            <w:r>
              <w:rPr>
                <w:rFonts w:ascii="宋体" w:hAnsi="宋体"/>
                <w:color w:val="auto"/>
                <w:kern w:val="0"/>
                <w:szCs w:val="21"/>
                <w:highlight w:val="none"/>
              </w:rPr>
              <w:t>的其他材料</w:t>
            </w:r>
          </w:p>
        </w:tc>
        <w:tc>
          <w:tcPr>
            <w:tcW w:w="6490" w:type="dxa"/>
            <w:vAlign w:val="center"/>
          </w:tcPr>
          <w:p w14:paraId="3C12006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16F6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5E34D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19B1DC7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对</w:t>
            </w:r>
            <w:r>
              <w:rPr>
                <w:rFonts w:hint="eastAsia" w:ascii="宋体" w:hAnsi="宋体"/>
                <w:color w:val="auto"/>
                <w:kern w:val="0"/>
                <w:szCs w:val="21"/>
                <w:highlight w:val="none"/>
              </w:rPr>
              <w:t>比选文件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73FB13EF">
            <w:pPr>
              <w:widowControl/>
              <w:tabs>
                <w:tab w:val="left" w:pos="4950"/>
              </w:tabs>
              <w:autoSpaceDE w:val="0"/>
              <w:autoSpaceDN w:val="0"/>
              <w:adjustRightInd w:val="0"/>
              <w:snapToGrid w:val="0"/>
              <w:spacing w:line="420" w:lineRule="exact"/>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竞选人在获取竞争性比选文件及附件后，应仔细检查所有内容。如有文字表述不清，图纸尺寸标注不明以及存在错、漏、缺、概念模糊和有可能出现歧义或理解上的偏差的内容等，应于202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bCs/>
                <w:snapToGrid w:val="0"/>
                <w:color w:val="auto"/>
                <w:kern w:val="0"/>
                <w:szCs w:val="21"/>
                <w:highlight w:val="none"/>
                <w:u w:val="single"/>
                <w:lang w:val="en-US" w:eastAsia="zh-CN"/>
              </w:rPr>
              <w:t xml:space="preserve"> 4  </w:t>
            </w:r>
            <w:r>
              <w:rPr>
                <w:rFonts w:hint="eastAsia" w:ascii="宋体" w:hAnsi="宋体" w:cs="宋体"/>
                <w:color w:val="auto"/>
                <w:kern w:val="0"/>
                <w:szCs w:val="21"/>
                <w:highlight w:val="none"/>
              </w:rPr>
              <w:t>月</w:t>
            </w:r>
            <w:r>
              <w:rPr>
                <w:rFonts w:hint="eastAsia" w:ascii="宋体" w:hAnsi="宋体" w:cs="宋体"/>
                <w:bCs/>
                <w:snapToGrid w:val="0"/>
                <w:color w:val="auto"/>
                <w:kern w:val="0"/>
                <w:szCs w:val="21"/>
                <w:highlight w:val="none"/>
                <w:u w:val="single"/>
                <w:lang w:val="en-US" w:eastAsia="zh-CN"/>
              </w:rPr>
              <w:t xml:space="preserve"> 15 </w:t>
            </w:r>
            <w:r>
              <w:rPr>
                <w:rFonts w:hint="eastAsia" w:ascii="宋体" w:hAnsi="宋体" w:cs="宋体"/>
                <w:color w:val="auto"/>
                <w:kern w:val="0"/>
                <w:szCs w:val="21"/>
                <w:highlight w:val="none"/>
              </w:rPr>
              <w:t>日</w:t>
            </w:r>
            <w:r>
              <w:rPr>
                <w:rFonts w:ascii="宋体" w:hAnsi="宋体" w:cs="宋体"/>
                <w:bCs/>
                <w:snapToGrid w:val="0"/>
                <w:color w:val="auto"/>
                <w:kern w:val="0"/>
                <w:szCs w:val="21"/>
                <w:highlight w:val="none"/>
                <w:u w:val="single"/>
              </w:rPr>
              <w:t>12</w:t>
            </w:r>
            <w:r>
              <w:rPr>
                <w:rFonts w:hint="eastAsia" w:ascii="宋体" w:hAnsi="宋体" w:cs="宋体"/>
                <w:color w:val="auto"/>
                <w:kern w:val="0"/>
                <w:szCs w:val="21"/>
                <w:highlight w:val="none"/>
              </w:rPr>
              <w:t>时</w:t>
            </w:r>
            <w:r>
              <w:rPr>
                <w:rFonts w:hint="eastAsia" w:ascii="宋体" w:hAnsi="宋体" w:cs="宋体"/>
                <w:bCs/>
                <w:snapToGrid w:val="0"/>
                <w:color w:val="auto"/>
                <w:kern w:val="0"/>
                <w:szCs w:val="21"/>
                <w:highlight w:val="none"/>
                <w:u w:val="single"/>
              </w:rPr>
              <w:t>00</w:t>
            </w:r>
            <w:r>
              <w:rPr>
                <w:rFonts w:hint="eastAsia" w:ascii="宋体" w:hAnsi="宋体" w:cs="宋体"/>
                <w:color w:val="auto"/>
                <w:kern w:val="0"/>
                <w:szCs w:val="21"/>
                <w:highlight w:val="none"/>
              </w:rPr>
              <w:t>分（北京时间）前以书面形式向比选人或比选代理机构提出。电话：</w:t>
            </w:r>
            <w:r>
              <w:rPr>
                <w:rFonts w:hint="eastAsia" w:ascii="宋体" w:hAnsi="宋体" w:cs="宋体"/>
                <w:color w:val="auto"/>
                <w:kern w:val="0"/>
                <w:szCs w:val="21"/>
                <w:highlight w:val="none"/>
                <w:u w:val="single"/>
              </w:rPr>
              <w:t>18306076655</w:t>
            </w:r>
            <w:r>
              <w:rPr>
                <w:rFonts w:hint="eastAsia" w:ascii="宋体" w:hAnsi="宋体" w:cs="宋体"/>
                <w:color w:val="auto"/>
                <w:kern w:val="0"/>
                <w:szCs w:val="21"/>
                <w:highlight w:val="none"/>
              </w:rPr>
              <w:t>。竞选人未在规定时间内提出质疑，则视为竞选人已全面确认竞选文件等内容。</w:t>
            </w:r>
          </w:p>
        </w:tc>
      </w:tr>
      <w:tr w14:paraId="659A0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1B7E49E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49714C47">
            <w:pPr>
              <w:snapToGrid w:val="0"/>
              <w:jc w:val="center"/>
              <w:rPr>
                <w:rFonts w:ascii="宋体" w:hAnsi="宋体"/>
                <w:color w:val="auto"/>
                <w:kern w:val="0"/>
                <w:szCs w:val="21"/>
                <w:highlight w:val="none"/>
              </w:rPr>
            </w:pPr>
            <w:r>
              <w:rPr>
                <w:rFonts w:hint="eastAsia" w:ascii="宋体" w:hAnsi="宋体"/>
                <w:color w:val="auto"/>
                <w:kern w:val="0"/>
                <w:highlight w:val="none"/>
              </w:rPr>
              <w:t>竞选人提出问题的截止时间</w:t>
            </w:r>
          </w:p>
        </w:tc>
        <w:tc>
          <w:tcPr>
            <w:tcW w:w="6490" w:type="dxa"/>
            <w:vAlign w:val="center"/>
          </w:tcPr>
          <w:p w14:paraId="22F45EF5">
            <w:pPr>
              <w:snapToGrid w:val="0"/>
              <w:spacing w:line="390" w:lineRule="exact"/>
              <w:rPr>
                <w:rFonts w:ascii="宋体" w:hAnsi="宋体"/>
                <w:color w:val="auto"/>
                <w:szCs w:val="21"/>
                <w:highlight w:val="none"/>
              </w:rPr>
            </w:pPr>
            <w:r>
              <w:rPr>
                <w:rFonts w:hint="eastAsia" w:ascii="宋体" w:hAnsi="宋体"/>
                <w:color w:val="auto"/>
                <w:highlight w:val="none"/>
                <w:u w:val="single"/>
              </w:rPr>
              <w:t>202</w:t>
            </w:r>
            <w:r>
              <w:rPr>
                <w:rFonts w:hint="eastAsia" w:ascii="宋体" w:hAnsi="宋体"/>
                <w:color w:val="auto"/>
                <w:highlight w:val="none"/>
                <w:u w:val="single"/>
                <w:lang w:val="en-US" w:eastAsia="zh-CN"/>
              </w:rPr>
              <w:t>5</w:t>
            </w:r>
            <w:r>
              <w:rPr>
                <w:rFonts w:hint="eastAsia" w:ascii="宋体" w:hAnsi="宋体"/>
                <w:color w:val="auto"/>
                <w:highlight w:val="none"/>
              </w:rPr>
              <w:t>年</w:t>
            </w:r>
            <w:r>
              <w:rPr>
                <w:rFonts w:hint="eastAsia" w:ascii="宋体" w:hAnsi="宋体"/>
                <w:color w:val="auto"/>
                <w:highlight w:val="none"/>
                <w:u w:val="single"/>
                <w:lang w:val="en-US" w:eastAsia="zh-CN"/>
              </w:rPr>
              <w:t xml:space="preserve"> 4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lang w:val="en-US" w:eastAsia="zh-CN"/>
              </w:rPr>
              <w:t xml:space="preserve">15  </w:t>
            </w:r>
            <w:r>
              <w:rPr>
                <w:rFonts w:hint="eastAsia" w:ascii="宋体" w:hAnsi="宋体"/>
                <w:color w:val="auto"/>
                <w:highlight w:val="none"/>
              </w:rPr>
              <w:t>日</w:t>
            </w:r>
            <w:r>
              <w:rPr>
                <w:rFonts w:hint="eastAsia" w:ascii="宋体" w:hAnsi="宋体"/>
                <w:color w:val="auto"/>
                <w:highlight w:val="none"/>
                <w:u w:val="single"/>
              </w:rPr>
              <w:t>12:00</w:t>
            </w:r>
            <w:r>
              <w:rPr>
                <w:rFonts w:hint="eastAsia" w:ascii="宋体" w:hAnsi="宋体"/>
                <w:color w:val="auto"/>
                <w:highlight w:val="none"/>
              </w:rPr>
              <w:t>前；</w:t>
            </w:r>
          </w:p>
        </w:tc>
      </w:tr>
      <w:tr w14:paraId="3914C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1061C660">
            <w:pPr>
              <w:snapToGrid w:val="0"/>
              <w:spacing w:line="400" w:lineRule="exact"/>
              <w:jc w:val="center"/>
              <w:rPr>
                <w:rFonts w:ascii="宋体" w:hAnsi="宋体"/>
                <w:color w:val="auto"/>
                <w:kern w:val="0"/>
                <w:szCs w:val="21"/>
                <w:highlight w:val="none"/>
              </w:rPr>
            </w:pPr>
          </w:p>
        </w:tc>
        <w:tc>
          <w:tcPr>
            <w:tcW w:w="1644" w:type="dxa"/>
          </w:tcPr>
          <w:p w14:paraId="5AF34956">
            <w:pPr>
              <w:snapToGrid w:val="0"/>
              <w:jc w:val="center"/>
              <w:rPr>
                <w:rFonts w:ascii="宋体" w:hAnsi="宋体"/>
                <w:color w:val="auto"/>
                <w:kern w:val="0"/>
                <w:szCs w:val="21"/>
                <w:highlight w:val="none"/>
              </w:rPr>
            </w:pPr>
            <w:r>
              <w:rPr>
                <w:rFonts w:hint="eastAsia" w:ascii="宋体" w:hAnsi="宋体"/>
                <w:color w:val="auto"/>
                <w:kern w:val="0"/>
                <w:highlight w:val="none"/>
              </w:rPr>
              <w:t>比选人书面澄清的时间</w:t>
            </w:r>
          </w:p>
        </w:tc>
        <w:tc>
          <w:tcPr>
            <w:tcW w:w="6490" w:type="dxa"/>
            <w:vAlign w:val="center"/>
          </w:tcPr>
          <w:p w14:paraId="18319529">
            <w:pPr>
              <w:snapToGrid w:val="0"/>
              <w:spacing w:line="390" w:lineRule="exact"/>
              <w:rPr>
                <w:rFonts w:ascii="宋体" w:hAnsi="宋体"/>
                <w:color w:val="auto"/>
                <w:szCs w:val="21"/>
                <w:highlight w:val="none"/>
              </w:rPr>
            </w:pPr>
            <w:r>
              <w:rPr>
                <w:rFonts w:hint="eastAsia" w:ascii="宋体" w:hAnsi="宋体"/>
                <w:color w:val="auto"/>
                <w:highlight w:val="none"/>
                <w:u w:val="single"/>
              </w:rPr>
              <w:t>202</w:t>
            </w:r>
            <w:r>
              <w:rPr>
                <w:rFonts w:hint="eastAsia" w:ascii="宋体" w:hAnsi="宋体"/>
                <w:color w:val="auto"/>
                <w:highlight w:val="none"/>
                <w:u w:val="single"/>
                <w:lang w:val="en-US" w:eastAsia="zh-CN"/>
              </w:rPr>
              <w:t>5</w:t>
            </w:r>
            <w:r>
              <w:rPr>
                <w:rFonts w:hint="eastAsia" w:ascii="宋体" w:hAnsi="宋体"/>
                <w:color w:val="auto"/>
                <w:highlight w:val="none"/>
              </w:rPr>
              <w:t>年</w:t>
            </w:r>
            <w:r>
              <w:rPr>
                <w:rFonts w:hint="eastAsia" w:ascii="宋体" w:hAnsi="宋体"/>
                <w:color w:val="auto"/>
                <w:highlight w:val="none"/>
                <w:u w:val="single"/>
                <w:lang w:val="en-US" w:eastAsia="zh-CN"/>
              </w:rPr>
              <w:t xml:space="preserve">  4 </w:t>
            </w:r>
            <w:r>
              <w:rPr>
                <w:rFonts w:hint="eastAsia" w:ascii="宋体" w:hAnsi="宋体"/>
                <w:color w:val="auto"/>
                <w:highlight w:val="none"/>
              </w:rPr>
              <w:t>月</w:t>
            </w:r>
            <w:r>
              <w:rPr>
                <w:rFonts w:hint="eastAsia" w:ascii="宋体" w:hAnsi="宋体"/>
                <w:color w:val="auto"/>
                <w:highlight w:val="none"/>
                <w:u w:val="single"/>
                <w:lang w:val="en-US" w:eastAsia="zh-CN"/>
              </w:rPr>
              <w:t xml:space="preserve"> 15  </w:t>
            </w:r>
            <w:r>
              <w:rPr>
                <w:rFonts w:hint="eastAsia" w:ascii="宋体" w:hAnsi="宋体"/>
                <w:color w:val="auto"/>
                <w:highlight w:val="none"/>
              </w:rPr>
              <w:t>日</w:t>
            </w:r>
            <w:r>
              <w:rPr>
                <w:rFonts w:hint="eastAsia" w:ascii="宋体" w:hAnsi="宋体"/>
                <w:color w:val="auto"/>
                <w:highlight w:val="none"/>
                <w:u w:val="single"/>
              </w:rPr>
              <w:t>17:00</w:t>
            </w:r>
            <w:r>
              <w:rPr>
                <w:rFonts w:hint="eastAsia" w:ascii="宋体" w:hAnsi="宋体"/>
                <w:color w:val="auto"/>
                <w:highlight w:val="none"/>
              </w:rPr>
              <w:t>前；</w:t>
            </w:r>
          </w:p>
        </w:tc>
      </w:tr>
      <w:tr w14:paraId="38AC0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B8B8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471D753E">
            <w:pPr>
              <w:snapToGrid w:val="0"/>
              <w:spacing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对</w:t>
            </w:r>
            <w:r>
              <w:rPr>
                <w:rFonts w:hint="eastAsia" w:ascii="宋体" w:hAnsi="宋体"/>
                <w:color w:val="auto"/>
                <w:kern w:val="0"/>
                <w:szCs w:val="21"/>
                <w:highlight w:val="none"/>
              </w:rPr>
              <w:t>比选文件</w:t>
            </w:r>
            <w:r>
              <w:rPr>
                <w:rFonts w:ascii="宋体" w:hAnsi="宋体"/>
                <w:color w:val="auto"/>
                <w:kern w:val="0"/>
                <w:szCs w:val="21"/>
                <w:highlight w:val="none"/>
              </w:rPr>
              <w:t>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23729418">
            <w:pPr>
              <w:rPr>
                <w:color w:val="auto"/>
                <w:highlight w:val="none"/>
              </w:rPr>
            </w:pPr>
            <w:r>
              <w:rPr>
                <w:rFonts w:hint="eastAsia" w:ascii="宋体" w:hAnsi="宋体"/>
                <w:color w:val="auto"/>
                <w:highlight w:val="none"/>
              </w:rPr>
              <w:t>不采用</w:t>
            </w:r>
          </w:p>
        </w:tc>
      </w:tr>
      <w:tr w14:paraId="0335AC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39BD2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1B396885">
            <w:pPr>
              <w:snapToGrid w:val="0"/>
              <w:spacing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竞选文件</w:t>
            </w:r>
            <w:r>
              <w:rPr>
                <w:rFonts w:ascii="宋体" w:hAnsi="宋体"/>
                <w:color w:val="auto"/>
                <w:kern w:val="0"/>
                <w:szCs w:val="21"/>
                <w:highlight w:val="none"/>
              </w:rPr>
              <w:t>的其他材料</w:t>
            </w:r>
          </w:p>
        </w:tc>
        <w:tc>
          <w:tcPr>
            <w:tcW w:w="6490" w:type="dxa"/>
            <w:vAlign w:val="center"/>
          </w:tcPr>
          <w:p w14:paraId="27F0484D">
            <w:pPr>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比选人发出的答疑及补遗书</w:t>
            </w:r>
          </w:p>
        </w:tc>
      </w:tr>
      <w:tr w14:paraId="0D297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0C2E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096FABF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3D7DCA23">
            <w:pPr>
              <w:pStyle w:val="3"/>
              <w:tabs>
                <w:tab w:val="left" w:pos="546"/>
                <w:tab w:val="left" w:pos="711"/>
              </w:tabs>
              <w:snapToGrid w:val="0"/>
              <w:spacing w:after="0" w:line="400" w:lineRule="exact"/>
              <w:ind w:firstLine="420" w:firstLineChars="200"/>
              <w:rPr>
                <w:color w:val="auto"/>
                <w:highlight w:val="none"/>
              </w:rPr>
            </w:pPr>
            <w:r>
              <w:rPr>
                <w:color w:val="auto"/>
                <w:highlight w:val="none"/>
              </w:rPr>
              <w:t>1.</w:t>
            </w:r>
            <w:r>
              <w:rPr>
                <w:rFonts w:hint="eastAsia"/>
                <w:color w:val="auto"/>
                <w:highlight w:val="none"/>
              </w:rPr>
              <w:t>使用国有资金投资的建设工程发承包，必须采用工程量清单计价。工程量清单应采用综合单价计价。</w:t>
            </w:r>
          </w:p>
          <w:p w14:paraId="329F4512">
            <w:pPr>
              <w:spacing w:line="600" w:lineRule="exact"/>
              <w:ind w:firstLine="420" w:firstLineChars="200"/>
              <w:rPr>
                <w:color w:val="auto"/>
                <w:highlight w:val="none"/>
              </w:rPr>
            </w:pPr>
            <w:r>
              <w:rPr>
                <w:rFonts w:hint="eastAsia"/>
                <w:color w:val="auto"/>
                <w:highlight w:val="none"/>
              </w:rPr>
              <w:t>2.竞选人应按《重庆市房屋建筑与装饰工程计价定额》（CQJZZSDE-2018）、《重庆市房屋修缮工程计价定额》（CQFWXSDE-2018）、《重庆市通用安装工程计价定额》（CQAZDE-2018）、《重庆市市政工程计价定额》（CQSZDE-2018）、《重庆市园林绿化工程计价定额》（CQYLLHDE-2018）、《重庆市建设工程施工机械台班定额》（CQJXDE-2018）、《重庆市建设工程施工仪器仪表台班定额》（CQYQYBDE-2018）、《重庆市建设工程混凝土及砂浆配合比表》（CQPHBB-2018）和《重庆市建设工程费用定额》（CQFYDE-2018）及相关配套文件。财政部、国家税务总局关于全面推开营业税改征增值税试点的通知（财税[2016]36号）及关于适用增值税新税率调整建设工程计价依据的通知（渝建【2019】143号）和第五章“工程量清单”的要求填写相应清单表格。竞选人的投标报价应是本章竞选人须知前附表第1.3.1项中所述的本工程合同段比选范围内的全部工程的投标报价，并以竞选人在工程量清单中提出的单价或总价为依据。</w:t>
            </w:r>
          </w:p>
          <w:p w14:paraId="34DCBBE7">
            <w:pPr>
              <w:tabs>
                <w:tab w:val="left" w:pos="546"/>
                <w:tab w:val="left" w:pos="711"/>
              </w:tabs>
              <w:snapToGrid w:val="0"/>
              <w:spacing w:line="400" w:lineRule="exact"/>
              <w:ind w:left="6" w:leftChars="3" w:firstLine="420" w:firstLineChars="200"/>
              <w:rPr>
                <w:color w:val="auto"/>
                <w:highlight w:val="none"/>
              </w:rPr>
            </w:pPr>
            <w:r>
              <w:rPr>
                <w:color w:val="auto"/>
                <w:highlight w:val="none"/>
              </w:rPr>
              <w:t>3.</w:t>
            </w:r>
            <w:r>
              <w:rPr>
                <w:rFonts w:hint="eastAsia"/>
                <w:color w:val="auto"/>
                <w:highlight w:val="none"/>
              </w:rPr>
              <w:t>竞选人应认真填写工程量清单中所列的本合同各工程子目的单价或总价。竞选人没有填入单价或总价的工程子目，比选人将认为该子目的价款已包括在工程量清单其他子目的单价和总价中。竞选人必须按发布的招标工程量清单填报价格，竞选人的报价工程量清单应与发布的招标工程量清单对应，表格完整无缺失。项目编码、项目名称、项目特征、计量单位、工程量必须与招标工程量清单一致。否则由评标委员会作否决投标处理。</w:t>
            </w:r>
          </w:p>
          <w:p w14:paraId="313DC6FC">
            <w:pPr>
              <w:tabs>
                <w:tab w:val="left" w:pos="546"/>
                <w:tab w:val="left" w:pos="711"/>
              </w:tabs>
              <w:snapToGrid w:val="0"/>
              <w:spacing w:line="400" w:lineRule="exact"/>
              <w:ind w:left="6" w:leftChars="3" w:firstLine="420" w:firstLineChars="200"/>
              <w:rPr>
                <w:color w:val="auto"/>
                <w:highlight w:val="none"/>
              </w:rPr>
            </w:pPr>
            <w:r>
              <w:rPr>
                <w:color w:val="auto"/>
                <w:highlight w:val="none"/>
              </w:rPr>
              <w:t>4.</w:t>
            </w:r>
            <w:r>
              <w:rPr>
                <w:rFonts w:hint="eastAsia"/>
                <w:color w:val="auto"/>
                <w:highlight w:val="none"/>
              </w:rPr>
              <w:t>投标函中的总报价必须与已标价工程量清单总报价一致。否则由评标委员会作否决投标处理。</w:t>
            </w:r>
          </w:p>
          <w:p w14:paraId="37CF31ED">
            <w:pPr>
              <w:pStyle w:val="3"/>
              <w:tabs>
                <w:tab w:val="left" w:pos="546"/>
                <w:tab w:val="left" w:pos="711"/>
              </w:tabs>
              <w:snapToGrid w:val="0"/>
              <w:spacing w:after="0" w:line="400" w:lineRule="exact"/>
              <w:ind w:left="6" w:leftChars="3" w:firstLine="420" w:firstLineChars="200"/>
              <w:rPr>
                <w:color w:val="auto"/>
                <w:highlight w:val="none"/>
              </w:rPr>
            </w:pPr>
            <w:r>
              <w:rPr>
                <w:color w:val="auto"/>
                <w:highlight w:val="none"/>
              </w:rPr>
              <w:t>5.</w:t>
            </w:r>
            <w:r>
              <w:rPr>
                <w:rFonts w:hint="eastAsia"/>
                <w:color w:val="auto"/>
                <w:highlight w:val="none"/>
              </w:rPr>
              <w:t>在合同实施期间，单价和总价按专用合同条款第11条的规定可调整。</w:t>
            </w:r>
          </w:p>
          <w:p w14:paraId="5A98312C">
            <w:pPr>
              <w:pStyle w:val="3"/>
              <w:tabs>
                <w:tab w:val="left" w:pos="546"/>
                <w:tab w:val="left" w:pos="711"/>
              </w:tabs>
              <w:snapToGrid w:val="0"/>
              <w:spacing w:after="0" w:line="400" w:lineRule="exact"/>
              <w:ind w:left="6" w:leftChars="3" w:firstLine="420" w:firstLineChars="200"/>
              <w:rPr>
                <w:color w:val="auto"/>
                <w:highlight w:val="none"/>
              </w:rPr>
            </w:pPr>
            <w:r>
              <w:rPr>
                <w:color w:val="auto"/>
                <w:highlight w:val="none"/>
              </w:rPr>
              <w:t>6.</w:t>
            </w:r>
            <w:r>
              <w:rPr>
                <w:rFonts w:hint="eastAsia"/>
                <w:color w:val="auto"/>
                <w:highlight w:val="none"/>
              </w:rPr>
              <w:t>如发现工程量清单中的数量与图纸中数量不一致，应于本须知第2.2.1项中规定的时间前书面通知比选人核查，除非比选人以修改的形式予以更正，否则，应以工程量清单中列出的数量为准。</w:t>
            </w:r>
          </w:p>
          <w:p w14:paraId="0FD895A6">
            <w:pPr>
              <w:tabs>
                <w:tab w:val="left" w:pos="546"/>
                <w:tab w:val="left" w:pos="711"/>
              </w:tabs>
              <w:snapToGrid w:val="0"/>
              <w:spacing w:line="400" w:lineRule="exact"/>
              <w:ind w:firstLine="420" w:firstLineChars="200"/>
              <w:rPr>
                <w:color w:val="auto"/>
                <w:highlight w:val="none"/>
              </w:rPr>
            </w:pPr>
            <w:r>
              <w:rPr>
                <w:color w:val="auto"/>
                <w:highlight w:val="none"/>
              </w:rPr>
              <w:t>7.</w:t>
            </w:r>
            <w:r>
              <w:rPr>
                <w:rFonts w:hint="eastAsia"/>
                <w:color w:val="auto"/>
                <w:highlight w:val="none"/>
              </w:rPr>
              <w:t>比选人在工程量清单中所列出的价格（包括暂列金额、暂估价等），竞选人不得修改。</w:t>
            </w:r>
          </w:p>
          <w:p w14:paraId="563C4636">
            <w:pPr>
              <w:widowControl/>
              <w:spacing w:line="360" w:lineRule="exact"/>
              <w:ind w:firstLine="420" w:firstLineChars="200"/>
              <w:jc w:val="left"/>
              <w:rPr>
                <w:color w:val="auto"/>
                <w:highlight w:val="none"/>
              </w:rPr>
            </w:pPr>
            <w:r>
              <w:rPr>
                <w:color w:val="auto"/>
                <w:highlight w:val="none"/>
              </w:rPr>
              <w:t>8.</w:t>
            </w:r>
            <w:r>
              <w:rPr>
                <w:rFonts w:hint="eastAsia" w:ascii="宋体" w:hAnsi="宋体"/>
                <w:snapToGrid w:val="0"/>
                <w:color w:val="auto"/>
                <w:kern w:val="0"/>
                <w:szCs w:val="21"/>
                <w:highlight w:val="none"/>
              </w:rPr>
              <w:t>本工程最高限价为：</w:t>
            </w:r>
            <w:r>
              <w:rPr>
                <w:rFonts w:hint="eastAsia"/>
                <w:color w:val="auto"/>
                <w:highlight w:val="none"/>
                <w:u w:val="single"/>
              </w:rPr>
              <w:t xml:space="preserve"> </w:t>
            </w:r>
            <w:r>
              <w:rPr>
                <w:rFonts w:hint="eastAsia"/>
                <w:color w:val="auto"/>
                <w:highlight w:val="none"/>
                <w:u w:val="single"/>
                <w:lang w:val="en-US" w:eastAsia="zh-CN"/>
              </w:rPr>
              <w:t>63650.68</w:t>
            </w:r>
            <w:r>
              <w:rPr>
                <w:rFonts w:hint="eastAsia"/>
                <w:color w:val="auto"/>
                <w:highlight w:val="none"/>
                <w:u w:val="single"/>
              </w:rPr>
              <w:t xml:space="preserve"> </w:t>
            </w:r>
            <w:r>
              <w:rPr>
                <w:rFonts w:hint="eastAsia"/>
                <w:color w:val="auto"/>
                <w:highlight w:val="none"/>
              </w:rPr>
              <w:t>元（大写：</w:t>
            </w:r>
            <w:r>
              <w:rPr>
                <w:rFonts w:hint="eastAsia"/>
                <w:color w:val="auto"/>
                <w:highlight w:val="none"/>
                <w:lang w:val="en-US" w:eastAsia="zh-CN"/>
              </w:rPr>
              <w:t>陆万叁仟陆佰伍拾元陆角捌分</w:t>
            </w:r>
            <w:r>
              <w:rPr>
                <w:rFonts w:hint="eastAsia"/>
                <w:color w:val="auto"/>
                <w:highlight w:val="none"/>
              </w:rPr>
              <w:t>），</w:t>
            </w:r>
            <w:r>
              <w:rPr>
                <w:rFonts w:hint="eastAsia" w:ascii="宋体" w:hAnsi="宋体"/>
                <w:snapToGrid w:val="0"/>
                <w:color w:val="auto"/>
                <w:kern w:val="0"/>
                <w:szCs w:val="21"/>
                <w:highlight w:val="none"/>
              </w:rPr>
              <w:t>其中含安全文明施工费用金额为：</w:t>
            </w:r>
            <w:r>
              <w:rPr>
                <w:rFonts w:hint="eastAsia"/>
                <w:color w:val="auto"/>
                <w:highlight w:val="none"/>
                <w:u w:val="single"/>
                <w:lang w:val="en-US" w:eastAsia="zh-CN"/>
              </w:rPr>
              <w:t xml:space="preserve">1955.34 </w:t>
            </w:r>
            <w:r>
              <w:rPr>
                <w:rFonts w:hint="eastAsia" w:ascii="宋体" w:hAnsi="宋体"/>
                <w:snapToGrid w:val="0"/>
                <w:color w:val="auto"/>
                <w:kern w:val="0"/>
                <w:szCs w:val="21"/>
                <w:highlight w:val="none"/>
                <w:u w:val="single"/>
              </w:rPr>
              <w:t>元</w:t>
            </w:r>
            <w:r>
              <w:rPr>
                <w:rFonts w:hint="eastAsia" w:ascii="宋体" w:hAnsi="宋体"/>
                <w:snapToGrid w:val="0"/>
                <w:color w:val="auto"/>
                <w:kern w:val="0"/>
                <w:szCs w:val="21"/>
                <w:highlight w:val="none"/>
              </w:rPr>
              <w:t>。</w:t>
            </w:r>
            <w:r>
              <w:rPr>
                <w:rFonts w:hint="eastAsia" w:ascii="宋体" w:hAnsi="宋体" w:cs="宋体"/>
                <w:bCs/>
                <w:color w:val="auto"/>
                <w:highlight w:val="none"/>
              </w:rPr>
              <w:t>各竞选人</w:t>
            </w:r>
            <w:r>
              <w:rPr>
                <w:rFonts w:hint="eastAsia" w:ascii="宋体" w:hAnsi="宋体" w:cs="宋体"/>
                <w:bCs/>
                <w:color w:val="auto"/>
                <w:highlight w:val="none"/>
                <w:lang w:val="zh-TW"/>
              </w:rPr>
              <w:t>的</w:t>
            </w:r>
            <w:r>
              <w:rPr>
                <w:rFonts w:hint="eastAsia" w:ascii="宋体" w:hAnsi="宋体" w:cs="宋体"/>
                <w:bCs/>
                <w:color w:val="auto"/>
                <w:highlight w:val="none"/>
              </w:rPr>
              <w:t>竞选</w:t>
            </w:r>
            <w:r>
              <w:rPr>
                <w:rFonts w:hint="eastAsia" w:ascii="宋体" w:hAnsi="宋体" w:cs="宋体"/>
                <w:bCs/>
                <w:color w:val="auto"/>
                <w:highlight w:val="none"/>
                <w:lang w:val="zh-TW"/>
              </w:rPr>
              <w:t>申请报价不得超过</w:t>
            </w:r>
            <w:r>
              <w:rPr>
                <w:rFonts w:hint="eastAsia" w:ascii="宋体" w:hAnsi="宋体" w:cs="宋体"/>
                <w:bCs/>
                <w:color w:val="auto"/>
                <w:highlight w:val="none"/>
              </w:rPr>
              <w:t>比选人公布的</w:t>
            </w:r>
            <w:r>
              <w:rPr>
                <w:rFonts w:hint="eastAsia" w:ascii="宋体" w:hAnsi="宋体" w:cs="宋体"/>
                <w:bCs/>
                <w:color w:val="auto"/>
                <w:highlight w:val="none"/>
                <w:lang w:val="zh-TW"/>
              </w:rPr>
              <w:t>最高限价，否则，其</w:t>
            </w:r>
            <w:r>
              <w:rPr>
                <w:rFonts w:hint="eastAsia" w:ascii="宋体" w:hAnsi="宋体" w:cs="宋体"/>
                <w:bCs/>
                <w:color w:val="auto"/>
                <w:highlight w:val="none"/>
              </w:rPr>
              <w:t>竞</w:t>
            </w:r>
            <w:r>
              <w:rPr>
                <w:rFonts w:hint="eastAsia" w:ascii="宋体" w:hAnsi="宋体" w:cs="宋体"/>
                <w:bCs/>
                <w:color w:val="auto"/>
                <w:highlight w:val="none"/>
                <w:lang w:val="zh-TW"/>
              </w:rPr>
              <w:t>选申请文件由评选委员会作否决比选申请处理。</w:t>
            </w:r>
            <w:r>
              <w:rPr>
                <w:rFonts w:hint="eastAsia" w:ascii="宋体" w:hAnsi="宋体" w:cs="宋体"/>
                <w:bCs/>
                <w:color w:val="auto"/>
                <w:highlight w:val="none"/>
              </w:rPr>
              <w:t>各竞选人</w:t>
            </w:r>
            <w:r>
              <w:rPr>
                <w:rFonts w:hint="eastAsia" w:ascii="宋体" w:hAnsi="宋体" w:cs="宋体"/>
                <w:bCs/>
                <w:color w:val="auto"/>
                <w:highlight w:val="none"/>
                <w:lang w:val="zh-TW"/>
              </w:rPr>
              <w:t>的</w:t>
            </w:r>
            <w:r>
              <w:rPr>
                <w:rFonts w:hint="eastAsia" w:ascii="宋体" w:hAnsi="宋体" w:cs="宋体"/>
                <w:bCs/>
                <w:color w:val="auto"/>
                <w:highlight w:val="none"/>
              </w:rPr>
              <w:t>竞选</w:t>
            </w:r>
            <w:r>
              <w:rPr>
                <w:rFonts w:hint="eastAsia" w:ascii="宋体" w:hAnsi="宋体" w:cs="宋体"/>
                <w:bCs/>
                <w:color w:val="auto"/>
                <w:highlight w:val="none"/>
                <w:lang w:val="zh-TW"/>
              </w:rPr>
              <w:t>申请工程量清单综合单价报价不得超过随本</w:t>
            </w:r>
            <w:r>
              <w:rPr>
                <w:rFonts w:hint="eastAsia" w:ascii="宋体" w:hAnsi="宋体" w:cs="宋体"/>
                <w:bCs/>
                <w:color w:val="auto"/>
                <w:highlight w:val="none"/>
              </w:rPr>
              <w:t>竞</w:t>
            </w:r>
            <w:r>
              <w:rPr>
                <w:rFonts w:hint="eastAsia" w:ascii="宋体" w:hAnsi="宋体" w:cs="宋体"/>
                <w:bCs/>
                <w:color w:val="auto"/>
                <w:highlight w:val="none"/>
                <w:lang w:val="zh-TW"/>
              </w:rPr>
              <w:t>选文件同时发布的工程量清单综合单价最高限价，否则，其</w:t>
            </w:r>
            <w:r>
              <w:rPr>
                <w:rFonts w:hint="eastAsia" w:ascii="宋体" w:hAnsi="宋体" w:cs="宋体"/>
                <w:bCs/>
                <w:color w:val="auto"/>
                <w:highlight w:val="none"/>
              </w:rPr>
              <w:t>竞</w:t>
            </w:r>
            <w:r>
              <w:rPr>
                <w:rFonts w:hint="eastAsia" w:ascii="宋体" w:hAnsi="宋体" w:cs="宋体"/>
                <w:bCs/>
                <w:color w:val="auto"/>
                <w:highlight w:val="none"/>
                <w:lang w:val="zh-TW"/>
              </w:rPr>
              <w:t>选申请文件由评选委员会作否决比选申请处理。</w:t>
            </w:r>
          </w:p>
          <w:p w14:paraId="40FA1AFB">
            <w:pPr>
              <w:pStyle w:val="3"/>
              <w:spacing w:after="0" w:line="400" w:lineRule="exact"/>
              <w:ind w:firstLine="420" w:firstLineChars="200"/>
              <w:rPr>
                <w:color w:val="auto"/>
                <w:highlight w:val="none"/>
              </w:rPr>
            </w:pPr>
            <w:r>
              <w:rPr>
                <w:color w:val="auto"/>
                <w:highlight w:val="none"/>
              </w:rPr>
              <w:t>9.安全文明施工费：</w:t>
            </w:r>
          </w:p>
          <w:p w14:paraId="29C0F972">
            <w:pPr>
              <w:pStyle w:val="3"/>
              <w:tabs>
                <w:tab w:val="left" w:pos="546"/>
                <w:tab w:val="left" w:pos="711"/>
              </w:tabs>
              <w:snapToGrid w:val="0"/>
              <w:spacing w:after="0" w:line="400" w:lineRule="exact"/>
              <w:ind w:firstLine="420" w:firstLineChars="200"/>
              <w:rPr>
                <w:color w:val="auto"/>
                <w:highlight w:val="none"/>
              </w:rPr>
            </w:pPr>
            <w:r>
              <w:rPr>
                <w:color w:val="auto"/>
                <w:highlight w:val="none"/>
              </w:rPr>
              <w:t>9.1</w:t>
            </w:r>
            <w:r>
              <w:rPr>
                <w:rFonts w:hint="eastAsia"/>
                <w:color w:val="auto"/>
                <w:highlight w:val="none"/>
              </w:rPr>
              <w:t>根据《重庆城乡建设委员会关于印发</w:t>
            </w:r>
            <w:r>
              <w:rPr>
                <w:color w:val="auto"/>
                <w:highlight w:val="none"/>
              </w:rPr>
              <w:t>&lt;</w:t>
            </w:r>
            <w:r>
              <w:rPr>
                <w:rFonts w:hint="eastAsia"/>
                <w:color w:val="auto"/>
                <w:highlight w:val="none"/>
              </w:rPr>
              <w:t>重庆市建设工程安全文明施工费计取及使用管理规定</w:t>
            </w:r>
            <w:r>
              <w:rPr>
                <w:color w:val="auto"/>
                <w:highlight w:val="none"/>
              </w:rPr>
              <w:t>&gt;</w:t>
            </w:r>
            <w:r>
              <w:rPr>
                <w:rFonts w:hint="eastAsia"/>
                <w:color w:val="auto"/>
                <w:highlight w:val="none"/>
              </w:rPr>
              <w:t>的通知》（渝建发〔2014〕25号）规定，安全文明施工费由安全施工费、文明施工费、环境保护费及临时设施费组成。</w:t>
            </w:r>
          </w:p>
          <w:p w14:paraId="17FAA367">
            <w:pPr>
              <w:pStyle w:val="3"/>
              <w:spacing w:after="0" w:line="400" w:lineRule="exact"/>
              <w:ind w:firstLine="420" w:firstLineChars="200"/>
              <w:rPr>
                <w:color w:val="auto"/>
                <w:highlight w:val="none"/>
              </w:rPr>
            </w:pPr>
            <w:r>
              <w:rPr>
                <w:color w:val="auto"/>
                <w:highlight w:val="none"/>
              </w:rPr>
              <w:t>9.2本</w:t>
            </w:r>
            <w:r>
              <w:rPr>
                <w:rFonts w:hint="eastAsia"/>
                <w:color w:val="auto"/>
                <w:highlight w:val="none"/>
              </w:rPr>
              <w:t>工程安全文明施工费由比选人根据安全文明施工费按渝建管[2024]38号文执行的相关规定和费用标</w:t>
            </w:r>
            <w:r>
              <w:rPr>
                <w:color w:val="auto"/>
                <w:highlight w:val="none"/>
              </w:rPr>
              <w:t>准单列计算，安全文明施工费为暂定金额，与最高限价一起公布。《投标函》中的安全文明施工费</w:t>
            </w:r>
            <w:r>
              <w:rPr>
                <w:rFonts w:hint="eastAsia"/>
                <w:color w:val="auto"/>
                <w:highlight w:val="none"/>
              </w:rPr>
              <w:t>金额或工程量清单中安全文明施工费的汇总金额未</w:t>
            </w:r>
            <w:r>
              <w:rPr>
                <w:color w:val="auto"/>
                <w:highlight w:val="none"/>
              </w:rPr>
              <w:t>按照</w:t>
            </w:r>
            <w:r>
              <w:rPr>
                <w:rFonts w:hint="eastAsia"/>
                <w:color w:val="auto"/>
                <w:highlight w:val="none"/>
              </w:rPr>
              <w:t>比选人</w:t>
            </w:r>
            <w:r>
              <w:rPr>
                <w:color w:val="auto"/>
                <w:highlight w:val="none"/>
              </w:rPr>
              <w:t>给出的暂定金额填报</w:t>
            </w:r>
            <w:r>
              <w:rPr>
                <w:rFonts w:hint="eastAsia"/>
                <w:color w:val="auto"/>
                <w:highlight w:val="none"/>
              </w:rPr>
              <w:t>的</w:t>
            </w:r>
            <w:r>
              <w:rPr>
                <w:color w:val="auto"/>
                <w:highlight w:val="none"/>
              </w:rPr>
              <w:t>，视为对</w:t>
            </w:r>
            <w:r>
              <w:rPr>
                <w:rFonts w:hint="eastAsia"/>
                <w:color w:val="auto"/>
                <w:highlight w:val="none"/>
              </w:rPr>
              <w:t>竞选文件</w:t>
            </w:r>
            <w:r>
              <w:rPr>
                <w:color w:val="auto"/>
                <w:highlight w:val="none"/>
              </w:rPr>
              <w:t>不作实质性响应，其</w:t>
            </w:r>
            <w:r>
              <w:rPr>
                <w:rFonts w:hint="eastAsia"/>
                <w:color w:val="auto"/>
                <w:highlight w:val="none"/>
              </w:rPr>
              <w:t>竞选文件由评标委员会</w:t>
            </w:r>
            <w:r>
              <w:rPr>
                <w:color w:val="auto"/>
                <w:highlight w:val="none"/>
              </w:rPr>
              <w:t>作否决投标处理</w:t>
            </w:r>
            <w:r>
              <w:rPr>
                <w:rFonts w:hint="eastAsia"/>
                <w:color w:val="auto"/>
                <w:highlight w:val="none"/>
              </w:rPr>
              <w:t>。</w:t>
            </w:r>
          </w:p>
          <w:p w14:paraId="224AACCA">
            <w:pPr>
              <w:tabs>
                <w:tab w:val="left" w:pos="546"/>
                <w:tab w:val="left" w:pos="711"/>
              </w:tabs>
              <w:snapToGrid w:val="0"/>
              <w:spacing w:line="400" w:lineRule="exact"/>
              <w:ind w:firstLine="420" w:firstLineChars="200"/>
              <w:rPr>
                <w:color w:val="auto"/>
                <w:highlight w:val="none"/>
              </w:rPr>
            </w:pPr>
            <w:r>
              <w:rPr>
                <w:color w:val="auto"/>
                <w:highlight w:val="none"/>
              </w:rPr>
              <w:t>10.</w:t>
            </w:r>
            <w:r>
              <w:rPr>
                <w:rFonts w:hint="eastAsia"/>
                <w:color w:val="auto"/>
                <w:highlight w:val="none"/>
              </w:rPr>
              <w:t>本工程所需材料（含设备）价格由竞选人参照重庆市建设工程造价管理总站发布的《重庆工程造价信息》或工程造价管理机构发布的工程造价信息（造价信息引用时限为竞争性比选公告发布日期前一期），并结合市场行情及自身实力进行自主报价。</w:t>
            </w:r>
          </w:p>
          <w:p w14:paraId="59C36EB6">
            <w:pPr>
              <w:pStyle w:val="3"/>
              <w:tabs>
                <w:tab w:val="left" w:pos="546"/>
                <w:tab w:val="left" w:pos="711"/>
              </w:tabs>
              <w:snapToGrid w:val="0"/>
              <w:spacing w:after="0" w:line="400" w:lineRule="exact"/>
              <w:ind w:firstLine="420" w:firstLineChars="200"/>
              <w:rPr>
                <w:color w:val="auto"/>
                <w:highlight w:val="none"/>
              </w:rPr>
            </w:pPr>
            <w:r>
              <w:rPr>
                <w:rFonts w:hint="eastAsia"/>
                <w:color w:val="auto"/>
                <w:highlight w:val="none"/>
              </w:rPr>
              <w:t>11.本项目建筑安装材料价格风险按照《重庆市城乡建设委员会关于进一步加强建筑安装材料价格风险管控的指导意见》（渝建〔2018〕61号）执行。本项目主要材料及设备价格风险内容、范围及调整方法为：不调整 。</w:t>
            </w:r>
          </w:p>
          <w:p w14:paraId="1AE6C096">
            <w:pPr>
              <w:pStyle w:val="3"/>
              <w:tabs>
                <w:tab w:val="left" w:pos="546"/>
                <w:tab w:val="left" w:pos="711"/>
              </w:tabs>
              <w:snapToGrid w:val="0"/>
              <w:spacing w:after="0" w:line="400" w:lineRule="exact"/>
              <w:ind w:firstLine="420" w:firstLineChars="200"/>
              <w:rPr>
                <w:color w:val="auto"/>
                <w:highlight w:val="none"/>
              </w:rPr>
            </w:pPr>
            <w:r>
              <w:rPr>
                <w:rFonts w:hint="eastAsia"/>
                <w:color w:val="auto"/>
                <w:highlight w:val="none"/>
              </w:rPr>
              <w:t>12.本项目所采用技术、工艺和产品等必须执行重庆市住房和城乡建设委员会关于发布《重庆市建设领域禁止、限制使用落后技术通告（2019年版）（渝建发〔2019〕25号）的规定。</w:t>
            </w:r>
          </w:p>
          <w:p w14:paraId="15FBB3F1">
            <w:pPr>
              <w:spacing w:line="360" w:lineRule="exact"/>
              <w:ind w:firstLine="420" w:firstLineChars="200"/>
              <w:rPr>
                <w:color w:val="auto"/>
                <w:highlight w:val="none"/>
              </w:rPr>
            </w:pPr>
            <w:r>
              <w:rPr>
                <w:rFonts w:hint="eastAsia"/>
                <w:color w:val="auto"/>
                <w:highlight w:val="none"/>
              </w:rPr>
              <w:t>13. 竞选人自行承诺格式自拟，并包括以下内容：</w:t>
            </w:r>
          </w:p>
          <w:p w14:paraId="4BFD2AC7">
            <w:pPr>
              <w:spacing w:line="360" w:lineRule="exact"/>
              <w:ind w:firstLine="420" w:firstLineChars="200"/>
              <w:rPr>
                <w:color w:val="auto"/>
                <w:highlight w:val="none"/>
              </w:rPr>
            </w:pPr>
            <w:r>
              <w:rPr>
                <w:rFonts w:hint="eastAsia"/>
                <w:color w:val="auto"/>
                <w:highlight w:val="none"/>
              </w:rPr>
              <w:t>（1）按照第五章“工程量清单”的规定进行报价。</w:t>
            </w:r>
          </w:p>
          <w:p w14:paraId="2156F0A5">
            <w:pPr>
              <w:spacing w:line="360" w:lineRule="exact"/>
              <w:ind w:firstLine="420" w:firstLineChars="200"/>
              <w:rPr>
                <w:color w:val="auto"/>
                <w:highlight w:val="none"/>
              </w:rPr>
            </w:pPr>
            <w:r>
              <w:rPr>
                <w:rFonts w:hint="eastAsia"/>
                <w:color w:val="auto"/>
                <w:highlight w:val="none"/>
              </w:rPr>
              <w:t>（2）招标文件中规定工程量清单不允许修改的内容不得修改。</w:t>
            </w:r>
          </w:p>
          <w:p w14:paraId="2FD88358">
            <w:pPr>
              <w:spacing w:line="360" w:lineRule="exact"/>
              <w:ind w:firstLine="420" w:firstLineChars="200"/>
              <w:rPr>
                <w:color w:val="auto"/>
                <w:highlight w:val="none"/>
              </w:rPr>
            </w:pPr>
            <w:r>
              <w:rPr>
                <w:rFonts w:hint="eastAsia"/>
                <w:color w:val="auto"/>
                <w:highlight w:val="none"/>
              </w:rPr>
              <w:t>（3）投标总报价不高于比选人公布的投标总报价最高限价。</w:t>
            </w:r>
          </w:p>
          <w:p w14:paraId="301874AF">
            <w:pPr>
              <w:spacing w:line="360" w:lineRule="exact"/>
              <w:ind w:firstLine="420" w:firstLineChars="200"/>
              <w:rPr>
                <w:color w:val="auto"/>
                <w:highlight w:val="none"/>
              </w:rPr>
            </w:pPr>
            <w:r>
              <w:rPr>
                <w:rFonts w:hint="eastAsia"/>
                <w:color w:val="auto"/>
                <w:highlight w:val="none"/>
              </w:rPr>
              <w:t>（4）各清单子目单价不高于比选人公布的各清单子目单价最高限价的。</w:t>
            </w:r>
          </w:p>
          <w:p w14:paraId="0CD6266D">
            <w:pPr>
              <w:pStyle w:val="3"/>
              <w:tabs>
                <w:tab w:val="left" w:pos="546"/>
                <w:tab w:val="left" w:pos="711"/>
              </w:tabs>
              <w:snapToGrid w:val="0"/>
              <w:spacing w:after="0" w:line="360" w:lineRule="exact"/>
              <w:ind w:firstLine="420" w:firstLineChars="200"/>
              <w:rPr>
                <w:color w:val="auto"/>
                <w:highlight w:val="none"/>
              </w:rPr>
            </w:pPr>
            <w:r>
              <w:rPr>
                <w:rFonts w:hint="eastAsia"/>
                <w:color w:val="auto"/>
                <w:highlight w:val="none"/>
              </w:rPr>
              <w:t>竞选人未按上述要求在竞选文件资格审查部分提供承诺的，由评标委员会作否决投标处理。</w:t>
            </w:r>
          </w:p>
          <w:p w14:paraId="513A4E5C">
            <w:pPr>
              <w:pStyle w:val="3"/>
              <w:tabs>
                <w:tab w:val="left" w:pos="546"/>
                <w:tab w:val="left" w:pos="711"/>
              </w:tabs>
              <w:snapToGrid w:val="0"/>
              <w:spacing w:after="0" w:line="360" w:lineRule="exact"/>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rFonts w:hint="eastAsia"/>
                <w:color w:val="auto"/>
                <w:highlight w:val="none"/>
              </w:rPr>
              <w:t>本工程主体结构若需混凝土，则必须使用商品混凝土，不得自建搅拌站。</w:t>
            </w:r>
          </w:p>
          <w:p w14:paraId="269C8F3A">
            <w:pPr>
              <w:spacing w:line="360" w:lineRule="exact"/>
              <w:ind w:firstLine="420" w:firstLineChars="200"/>
              <w:rPr>
                <w:color w:val="auto"/>
                <w:highlight w:val="none"/>
              </w:rPr>
            </w:pPr>
            <w:r>
              <w:rPr>
                <w:rFonts w:hint="eastAsia"/>
                <w:color w:val="auto"/>
                <w:highlight w:val="none"/>
              </w:rPr>
              <w:t>15.本工程的所有配合费用已包含在总报价中。</w:t>
            </w:r>
          </w:p>
        </w:tc>
      </w:tr>
      <w:tr w14:paraId="54B12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BAF5E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113804B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1F43604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90</w:t>
            </w:r>
            <w:r>
              <w:rPr>
                <w:rFonts w:ascii="宋体" w:hAnsi="宋体"/>
                <w:color w:val="auto"/>
                <w:szCs w:val="21"/>
                <w:highlight w:val="none"/>
              </w:rPr>
              <w:t>日历天（从提交</w:t>
            </w:r>
            <w:r>
              <w:rPr>
                <w:rFonts w:hint="eastAsia" w:ascii="宋体" w:hAnsi="宋体"/>
                <w:color w:val="auto"/>
                <w:szCs w:val="21"/>
                <w:highlight w:val="none"/>
              </w:rPr>
              <w:t>竞选文件</w:t>
            </w:r>
            <w:r>
              <w:rPr>
                <w:rFonts w:ascii="宋体" w:hAnsi="宋体"/>
                <w:color w:val="auto"/>
                <w:szCs w:val="21"/>
                <w:highlight w:val="none"/>
              </w:rPr>
              <w:t>截止日起计算）</w:t>
            </w:r>
          </w:p>
        </w:tc>
      </w:tr>
      <w:tr w14:paraId="3A84E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6A071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194D3BC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44F2A119">
            <w:pPr>
              <w:spacing w:line="400" w:lineRule="exact"/>
              <w:ind w:firstLine="420" w:firstLineChars="200"/>
              <w:rPr>
                <w:rFonts w:ascii="宋体" w:hAnsi="宋体"/>
                <w:color w:val="auto"/>
                <w:highlight w:val="none"/>
              </w:rPr>
            </w:pPr>
            <w:r>
              <w:rPr>
                <w:rFonts w:hint="eastAsia" w:ascii="宋体" w:hAnsi="宋体"/>
                <w:color w:val="auto"/>
                <w:highlight w:val="none"/>
              </w:rPr>
              <w:t>1、本项目竞选保证金金额为人民币¥</w:t>
            </w:r>
            <w:r>
              <w:rPr>
                <w:rFonts w:hint="eastAsia" w:ascii="宋体" w:hAnsi="宋体"/>
                <w:color w:val="auto"/>
                <w:highlight w:val="none"/>
                <w:lang w:val="en-US" w:eastAsia="zh-CN"/>
              </w:rPr>
              <w:t>1</w:t>
            </w:r>
            <w:r>
              <w:rPr>
                <w:rFonts w:hint="eastAsia" w:ascii="宋体" w:hAnsi="宋体"/>
                <w:color w:val="auto"/>
                <w:highlight w:val="none"/>
              </w:rPr>
              <w:t>000.00元（大写：</w:t>
            </w:r>
            <w:r>
              <w:rPr>
                <w:rFonts w:hint="eastAsia" w:ascii="宋体" w:hAnsi="宋体"/>
                <w:color w:val="auto"/>
                <w:highlight w:val="none"/>
                <w:lang w:val="en-US" w:eastAsia="zh-CN"/>
              </w:rPr>
              <w:t>壹</w:t>
            </w:r>
            <w:r>
              <w:rPr>
                <w:rFonts w:hint="eastAsia" w:ascii="宋体" w:hAnsi="宋体"/>
                <w:color w:val="auto"/>
                <w:highlight w:val="none"/>
              </w:rPr>
              <w:t>仟元整）。</w:t>
            </w:r>
          </w:p>
          <w:p w14:paraId="344CB128">
            <w:pPr>
              <w:spacing w:line="400" w:lineRule="exact"/>
              <w:ind w:firstLine="420" w:firstLineChars="200"/>
              <w:rPr>
                <w:rFonts w:hint="eastAsia" w:ascii="宋体" w:hAnsi="宋体"/>
                <w:color w:val="auto"/>
                <w:highlight w:val="none"/>
              </w:rPr>
            </w:pPr>
            <w:r>
              <w:rPr>
                <w:rFonts w:hint="eastAsia" w:ascii="宋体" w:hAnsi="宋体"/>
                <w:color w:val="auto"/>
                <w:highlight w:val="none"/>
              </w:rPr>
              <w:t>2、竞选保证金可采用以下方式缴纳：</w:t>
            </w:r>
          </w:p>
          <w:p w14:paraId="352CEBB6">
            <w:pPr>
              <w:spacing w:line="400" w:lineRule="exact"/>
              <w:ind w:firstLine="420" w:firstLineChars="200"/>
              <w:rPr>
                <w:rFonts w:hint="eastAsia" w:ascii="宋体" w:hAnsi="宋体"/>
                <w:color w:val="auto"/>
                <w:highlight w:val="none"/>
              </w:rPr>
            </w:pPr>
            <w:r>
              <w:rPr>
                <w:rFonts w:hint="eastAsia" w:ascii="宋体" w:hAnsi="宋体"/>
                <w:color w:val="auto"/>
                <w:highlight w:val="none"/>
              </w:rPr>
              <w:t>（1）方式一：</w:t>
            </w:r>
          </w:p>
          <w:p w14:paraId="3C3723CF">
            <w:pPr>
              <w:spacing w:line="400" w:lineRule="exact"/>
              <w:ind w:firstLine="420" w:firstLineChars="200"/>
              <w:rPr>
                <w:rFonts w:hint="eastAsia" w:ascii="宋体" w:hAnsi="宋体"/>
                <w:color w:val="auto"/>
                <w:highlight w:val="none"/>
              </w:rPr>
            </w:pPr>
            <w:r>
              <w:rPr>
                <w:rFonts w:hint="eastAsia" w:ascii="宋体" w:hAnsi="宋体"/>
                <w:color w:val="auto"/>
                <w:highlight w:val="none"/>
              </w:rPr>
              <w:t>竞选人应足额缴纳保证金，由竞选人的基本账户汇至以下账户，保证金的到账截止时间为202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4</w:t>
            </w:r>
            <w:r>
              <w:rPr>
                <w:rFonts w:hint="eastAsia" w:ascii="宋体" w:hAnsi="宋体"/>
                <w:color w:val="auto"/>
                <w:highlight w:val="none"/>
              </w:rPr>
              <w:t>日</w:t>
            </w:r>
            <w:r>
              <w:rPr>
                <w:rFonts w:hint="eastAsia" w:ascii="宋体" w:hAnsi="宋体"/>
                <w:color w:val="auto"/>
                <w:highlight w:val="none"/>
                <w:lang w:val="en-US" w:eastAsia="zh-CN"/>
              </w:rPr>
              <w:t>16</w:t>
            </w:r>
            <w:r>
              <w:rPr>
                <w:rFonts w:hint="eastAsia" w:ascii="宋体" w:hAnsi="宋体"/>
                <w:color w:val="auto"/>
                <w:highlight w:val="none"/>
              </w:rPr>
              <w:t>日18时00分前。</w:t>
            </w:r>
          </w:p>
          <w:p w14:paraId="69A1ED7D">
            <w:pPr>
              <w:spacing w:line="400" w:lineRule="exact"/>
              <w:ind w:firstLine="420" w:firstLineChars="200"/>
              <w:rPr>
                <w:rFonts w:hint="eastAsia" w:ascii="宋体" w:hAnsi="宋体"/>
                <w:color w:val="auto"/>
                <w:highlight w:val="none"/>
              </w:rPr>
            </w:pPr>
            <w:r>
              <w:rPr>
                <w:rFonts w:hint="eastAsia" w:ascii="宋体" w:hAnsi="宋体"/>
                <w:color w:val="auto"/>
                <w:highlight w:val="none"/>
              </w:rPr>
              <w:t>账户名：重庆深夏工程咨询有限公司</w:t>
            </w:r>
          </w:p>
          <w:p w14:paraId="379F118E">
            <w:pPr>
              <w:spacing w:line="400" w:lineRule="exact"/>
              <w:ind w:firstLine="420" w:firstLineChars="200"/>
              <w:rPr>
                <w:rFonts w:hint="eastAsia" w:ascii="宋体" w:hAnsi="宋体"/>
                <w:color w:val="auto"/>
                <w:highlight w:val="none"/>
              </w:rPr>
            </w:pPr>
            <w:r>
              <w:rPr>
                <w:rFonts w:hint="eastAsia" w:ascii="宋体" w:hAnsi="宋体"/>
                <w:color w:val="auto"/>
                <w:highlight w:val="none"/>
              </w:rPr>
              <w:t>开户行：中国农业银行股份有限公司重庆荣昌吴家支行</w:t>
            </w:r>
          </w:p>
          <w:p w14:paraId="3FEA75DE">
            <w:pPr>
              <w:spacing w:line="400" w:lineRule="exact"/>
              <w:ind w:firstLine="420" w:firstLineChars="200"/>
              <w:rPr>
                <w:rFonts w:hint="eastAsia" w:ascii="宋体" w:hAnsi="宋体"/>
                <w:color w:val="auto"/>
                <w:highlight w:val="none"/>
              </w:rPr>
            </w:pPr>
            <w:r>
              <w:rPr>
                <w:rFonts w:hint="eastAsia" w:ascii="宋体" w:hAnsi="宋体"/>
                <w:color w:val="auto"/>
                <w:highlight w:val="none"/>
              </w:rPr>
              <w:t xml:space="preserve">账  号：31171201040002583       </w:t>
            </w:r>
          </w:p>
          <w:p w14:paraId="2583DA05">
            <w:pPr>
              <w:spacing w:line="400" w:lineRule="exact"/>
              <w:ind w:firstLine="420" w:firstLineChars="200"/>
              <w:rPr>
                <w:rFonts w:hint="eastAsia" w:ascii="宋体" w:hAnsi="宋体"/>
                <w:color w:val="auto"/>
                <w:highlight w:val="none"/>
              </w:rPr>
            </w:pPr>
            <w:r>
              <w:rPr>
                <w:rFonts w:hint="eastAsia" w:ascii="宋体" w:hAnsi="宋体"/>
                <w:color w:val="auto"/>
                <w:highlight w:val="none"/>
              </w:rPr>
              <w:t>注：竞选人必须在付款凭证备注栏中注明是“</w:t>
            </w:r>
            <w:r>
              <w:rPr>
                <w:rFonts w:hint="eastAsia" w:ascii="宋体" w:hAnsi="宋体"/>
                <w:color w:val="auto"/>
                <w:highlight w:val="none"/>
                <w:lang w:eastAsia="zh-CN"/>
              </w:rPr>
              <w:t>荣昌粮食仓储物流项目4#仓散水工程”</w:t>
            </w:r>
            <w:r>
              <w:rPr>
                <w:rFonts w:hint="eastAsia" w:ascii="宋体" w:hAnsi="宋体"/>
                <w:color w:val="auto"/>
                <w:highlight w:val="none"/>
              </w:rPr>
              <w:t>，可简写。</w:t>
            </w:r>
          </w:p>
          <w:p w14:paraId="5F1E833C">
            <w:pPr>
              <w:spacing w:line="400" w:lineRule="exact"/>
              <w:ind w:firstLine="420" w:firstLineChars="200"/>
              <w:rPr>
                <w:rFonts w:hint="eastAsia" w:ascii="宋体" w:hAnsi="宋体"/>
                <w:color w:val="auto"/>
                <w:highlight w:val="none"/>
              </w:rPr>
            </w:pPr>
            <w:r>
              <w:rPr>
                <w:rFonts w:hint="eastAsia" w:ascii="宋体" w:hAnsi="宋体"/>
                <w:color w:val="auto"/>
                <w:highlight w:val="none"/>
              </w:rPr>
              <w:t>3、保证金的退还</w:t>
            </w:r>
          </w:p>
          <w:p w14:paraId="755F968D">
            <w:pPr>
              <w:spacing w:line="400" w:lineRule="exact"/>
              <w:ind w:firstLine="420" w:firstLineChars="200"/>
              <w:rPr>
                <w:rFonts w:hint="eastAsia" w:ascii="宋体" w:hAnsi="宋体"/>
                <w:color w:val="auto"/>
                <w:highlight w:val="none"/>
              </w:rPr>
            </w:pPr>
            <w:r>
              <w:rPr>
                <w:rFonts w:hint="eastAsia" w:ascii="宋体" w:hAnsi="宋体"/>
                <w:color w:val="auto"/>
                <w:highlight w:val="none"/>
              </w:rPr>
              <w:t>（1）中选结果发出后，原路退还非中选人保证金。</w:t>
            </w:r>
          </w:p>
          <w:p w14:paraId="4597D60D">
            <w:pPr>
              <w:ind w:firstLine="420" w:firstLineChars="200"/>
              <w:rPr>
                <w:rFonts w:ascii="宋体" w:hAnsi="宋体"/>
                <w:color w:val="auto"/>
                <w:kern w:val="0"/>
                <w:szCs w:val="21"/>
                <w:highlight w:val="none"/>
              </w:rPr>
            </w:pPr>
            <w:r>
              <w:rPr>
                <w:rFonts w:hint="eastAsia" w:ascii="宋体" w:hAnsi="宋体"/>
                <w:color w:val="auto"/>
                <w:highlight w:val="none"/>
              </w:rPr>
              <w:t>（2）中选人的保证金，在中选人与比选人签订合同后，请凭合同复印件至代理机构处退款。</w:t>
            </w:r>
          </w:p>
        </w:tc>
      </w:tr>
      <w:tr w14:paraId="16950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2C176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74621F7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6C68B05F">
            <w:pPr>
              <w:snapToGrid w:val="0"/>
              <w:spacing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2BFD093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03F0B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99559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112E9F80">
            <w:pPr>
              <w:snapToGrid w:val="0"/>
              <w:spacing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竞选文件格式要求</w:t>
            </w:r>
          </w:p>
        </w:tc>
        <w:tc>
          <w:tcPr>
            <w:tcW w:w="6490" w:type="dxa"/>
            <w:vAlign w:val="center"/>
          </w:tcPr>
          <w:p w14:paraId="3F61AE3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编制竞选文件时不得对第八章“竞选文件格式”的相应要素作实质性修改，否则由评标委员会作否决投标处理。</w:t>
            </w:r>
          </w:p>
        </w:tc>
      </w:tr>
      <w:tr w14:paraId="425CF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404B2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6A7CF48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480E9688">
            <w:pPr>
              <w:widowControl/>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竞选文件应用不褪色的材料书写或打印，并由竞选人的法定代表人或其委托代理人在</w:t>
            </w:r>
            <w:r>
              <w:rPr>
                <w:rFonts w:hint="eastAsia" w:ascii="宋体" w:hAnsi="宋体"/>
                <w:color w:val="auto"/>
                <w:szCs w:val="21"/>
                <w:highlight w:val="none"/>
              </w:rPr>
              <w:t>竞争性比选文件</w:t>
            </w:r>
            <w:r>
              <w:rPr>
                <w:rFonts w:hint="eastAsia" w:ascii="宋体" w:hAnsi="宋体" w:cs="宋体"/>
                <w:color w:val="auto"/>
                <w:szCs w:val="21"/>
                <w:highlight w:val="none"/>
              </w:rPr>
              <w:t>规定的位置按竞选文件要求签名或盖章、盖单位章。委托代理人签名的，竞选文件应附法定代表人签署的授权委托书。竞选文件应尽量避免涂改、行间插字或删除。如果出现上述情况，改动之处应加盖单位章或由竞选人的法定代表人或其授权的代理人签名确认。</w:t>
            </w:r>
          </w:p>
          <w:p w14:paraId="42729BEE">
            <w:pPr>
              <w:snapToGrid w:val="0"/>
              <w:spacing w:line="400" w:lineRule="exact"/>
              <w:ind w:firstLine="420" w:firstLineChars="200"/>
              <w:rPr>
                <w:rFonts w:ascii="宋体" w:hAnsi="宋体"/>
                <w:i/>
                <w:color w:val="auto"/>
                <w:szCs w:val="21"/>
                <w:highlight w:val="none"/>
              </w:rPr>
            </w:pPr>
            <w:r>
              <w:rPr>
                <w:rFonts w:hint="eastAsia" w:ascii="宋体" w:hAnsi="宋体" w:cs="宋体"/>
                <w:color w:val="auto"/>
                <w:szCs w:val="21"/>
                <w:highlight w:val="none"/>
              </w:rPr>
              <w:t>未按上述规定执行的，交由评标委员会作否决投标处理。</w:t>
            </w:r>
          </w:p>
        </w:tc>
      </w:tr>
      <w:tr w14:paraId="79D7FB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525CB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4206BEE2">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的份数</w:t>
            </w:r>
          </w:p>
        </w:tc>
        <w:tc>
          <w:tcPr>
            <w:tcW w:w="6490" w:type="dxa"/>
            <w:vAlign w:val="center"/>
          </w:tcPr>
          <w:p w14:paraId="2BEAC34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竞选文件正本1份、副本2份（技术部分不分正副本），电子版形式（U盘）1份（应包含竞选文件所有内容）。当副本和正本不一致时，以正本为准。否则由评标委员会作否决投标处理。</w:t>
            </w:r>
          </w:p>
        </w:tc>
      </w:tr>
      <w:tr w14:paraId="0CAFE2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1F222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31F421B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39CE1A37">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本工程技术部分采用暗标评审，</w:t>
            </w:r>
            <w:r>
              <w:rPr>
                <w:rFonts w:hint="eastAsia" w:ascii="宋体" w:hAnsi="宋体"/>
                <w:color w:val="auto"/>
                <w:szCs w:val="21"/>
                <w:highlight w:val="none"/>
              </w:rPr>
              <w:t>应将投标函部分、经济部分、技术部分、资格审查资料各自分别装订成册。</w:t>
            </w:r>
          </w:p>
          <w:p w14:paraId="144CEBA4">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 装订</w:t>
            </w:r>
          </w:p>
          <w:p w14:paraId="09579DA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（1）投标函部分的装订要求</w:t>
            </w:r>
          </w:p>
          <w:p w14:paraId="42C07040">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应按照第八章规定格式装订成册，原则上应编制目录，标注页码。</w:t>
            </w:r>
          </w:p>
          <w:p w14:paraId="08E46C2A">
            <w:pPr>
              <w:numPr>
                <w:ilvl w:val="0"/>
                <w:numId w:val="1"/>
              </w:num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经济部分的装订要求</w:t>
            </w:r>
          </w:p>
          <w:p w14:paraId="11EA506D">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应按照第八章规定格式装订成册，原则上应编制目录，标注页码。</w:t>
            </w:r>
          </w:p>
          <w:p w14:paraId="7D57A7F1">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（3）技术部分的装订要求</w:t>
            </w:r>
          </w:p>
          <w:p w14:paraId="3012799F">
            <w:pPr>
              <w:autoSpaceDE w:val="0"/>
              <w:autoSpaceDN w:val="0"/>
              <w:adjustRightInd w:val="0"/>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技术方案》面页使用A4厚型白纸面页，用初号仿宋字体居中标明“技术方案”；在页面右下角加盖竞选单位章后沿密封线折叠成腰约10cm左右的等腰直角三角形密封；面页除了“技术方案”四字和右下角密封处印章外不得有其他印记；密封后的面页及整个《技术方案》均不得</w:t>
            </w:r>
            <w:r>
              <w:rPr>
                <w:rFonts w:hint="eastAsia" w:ascii="宋体" w:hAnsi="宋体" w:cs="宋体"/>
                <w:color w:val="auto"/>
                <w:szCs w:val="21"/>
                <w:highlight w:val="none"/>
              </w:rPr>
              <w:t>出现白页、残页和倒页，不得</w:t>
            </w:r>
            <w:r>
              <w:rPr>
                <w:rFonts w:hint="eastAsia" w:ascii="宋体" w:hAnsi="宋体" w:cs="宋体"/>
                <w:color w:val="auto"/>
                <w:kern w:val="0"/>
                <w:szCs w:val="21"/>
                <w:highlight w:val="none"/>
              </w:rPr>
              <w:t>显示与竞选人企业有关的任何信息及与本工程无关内容（面页由竞选人按比选文件中提供的电子文档格式用A4厚型白纸打印，加盖单位法人章后其面页的反面以不得显示出单位法人章单位名称为准）；《技术方案》文本部分的纸张采用A4白纸，文本部分的文字采用四号仿宋字体；图表部分的纸张采用A4或A3白纸，图、表内的字体、字号大小不限；图、表外采用四号仿宋字体；文字、图表不得使用彩色和不得编制页眉、页脚和页码；双面打印。封底用与面页一致的厚型白纸；不得使用塑料夹条、薄膜外皮等饰物或特别标（注）记。装订中不得出现白页（封底除外）、残页和装置倒装页。违反上述任何一项，采用经评审的最低投标价法的其竞选文件《技术方案》符合性评审不合格。</w:t>
            </w:r>
          </w:p>
          <w:p w14:paraId="54272831">
            <w:pPr>
              <w:autoSpaceDE w:val="0"/>
              <w:autoSpaceDN w:val="0"/>
              <w:adjustRightInd w:val="0"/>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（技术方案原则上不超过</w:t>
            </w:r>
            <w:r>
              <w:rPr>
                <w:rFonts w:hint="eastAsia" w:ascii="宋体" w:hAnsi="宋体" w:cs="宋体"/>
                <w:color w:val="auto"/>
                <w:kern w:val="0"/>
                <w:szCs w:val="21"/>
                <w:highlight w:val="none"/>
                <w:u w:val="single"/>
              </w:rPr>
              <w:t>300</w:t>
            </w:r>
            <w:r>
              <w:rPr>
                <w:rFonts w:hint="eastAsia" w:ascii="宋体" w:hAnsi="宋体" w:cs="宋体"/>
                <w:color w:val="auto"/>
                <w:kern w:val="0"/>
                <w:szCs w:val="21"/>
                <w:highlight w:val="none"/>
              </w:rPr>
              <w:t>页。）</w:t>
            </w:r>
          </w:p>
          <w:p w14:paraId="1AAB7C5A">
            <w:pPr>
              <w:autoSpaceDE w:val="0"/>
              <w:autoSpaceDN w:val="0"/>
              <w:adjustRightInd w:val="0"/>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（4）资格审查资料的装订要求</w:t>
            </w:r>
          </w:p>
          <w:p w14:paraId="198246BD">
            <w:pPr>
              <w:adjustRightInd w:val="0"/>
              <w:snapToGrid w:val="0"/>
              <w:spacing w:line="400" w:lineRule="exact"/>
              <w:ind w:firstLine="420" w:firstLineChars="200"/>
              <w:rPr>
                <w:rFonts w:ascii="宋体" w:hAnsi="宋体"/>
                <w:color w:val="auto"/>
                <w:szCs w:val="21"/>
                <w:highlight w:val="none"/>
              </w:rPr>
            </w:pPr>
            <w:r>
              <w:rPr>
                <w:rFonts w:hint="eastAsia" w:ascii="宋体" w:hAnsi="宋体" w:cs="宋体"/>
                <w:color w:val="auto"/>
                <w:kern w:val="0"/>
                <w:szCs w:val="21"/>
                <w:highlight w:val="none"/>
              </w:rPr>
              <w:t>应按照第八章规定格式装订成册，</w:t>
            </w:r>
            <w:r>
              <w:rPr>
                <w:rFonts w:hint="eastAsia" w:ascii="宋体" w:hAnsi="宋体" w:cs="宋体"/>
                <w:color w:val="auto"/>
                <w:szCs w:val="21"/>
                <w:highlight w:val="none"/>
              </w:rPr>
              <w:t>原则上应编制目录，标注页码</w:t>
            </w:r>
            <w:r>
              <w:rPr>
                <w:rFonts w:hint="eastAsia" w:ascii="宋体" w:hAnsi="宋体"/>
                <w:color w:val="auto"/>
                <w:szCs w:val="21"/>
                <w:highlight w:val="none"/>
              </w:rPr>
              <w:t>。</w:t>
            </w:r>
          </w:p>
        </w:tc>
      </w:tr>
      <w:tr w14:paraId="7A8CC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7CDFA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3B8A6B55">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的密封</w:t>
            </w:r>
          </w:p>
        </w:tc>
        <w:tc>
          <w:tcPr>
            <w:tcW w:w="6490" w:type="dxa"/>
            <w:vAlign w:val="center"/>
          </w:tcPr>
          <w:p w14:paraId="34769CE5">
            <w:pPr>
              <w:adjustRightInd w:val="0"/>
              <w:snapToGrid w:val="0"/>
              <w:spacing w:line="430" w:lineRule="exact"/>
              <w:ind w:firstLine="420" w:firstLineChars="200"/>
              <w:rPr>
                <w:rFonts w:ascii="宋体" w:hAnsi="宋体"/>
                <w:color w:val="auto"/>
                <w:szCs w:val="21"/>
                <w:highlight w:val="none"/>
              </w:rPr>
            </w:pPr>
            <w:r>
              <w:rPr>
                <w:rFonts w:hint="eastAsia" w:ascii="宋体" w:hAnsi="宋体"/>
                <w:color w:val="auto"/>
                <w:szCs w:val="21"/>
                <w:highlight w:val="none"/>
              </w:rPr>
              <w:t>1.竞选文件袋使用 “竞选函部分”袋、</w:t>
            </w:r>
            <w:r>
              <w:rPr>
                <w:rFonts w:hint="eastAsia" w:ascii="宋体" w:hAnsi="宋体" w:cs="宋体"/>
                <w:color w:val="auto"/>
                <w:szCs w:val="21"/>
                <w:highlight w:val="none"/>
              </w:rPr>
              <w:t>“技术部分”袋、</w:t>
            </w:r>
            <w:r>
              <w:rPr>
                <w:rFonts w:hint="eastAsia" w:ascii="宋体" w:hAnsi="宋体"/>
                <w:color w:val="auto"/>
                <w:szCs w:val="21"/>
                <w:highlight w:val="none"/>
              </w:rPr>
              <w:t>“经济部分”袋、 “资格审查资料”袋以及“竞选文件”大袋。</w:t>
            </w:r>
          </w:p>
          <w:p w14:paraId="46A902C2">
            <w:pPr>
              <w:adjustRightInd w:val="0"/>
              <w:snapToGrid w:val="0"/>
              <w:spacing w:line="43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竞选函部分和电子版形式（U盘）装入“竞选函部分”袋中，密封并在袋上加盖竞选人单位法人章。注：电子版形式（U盘）须在U盘表面上注明</w:t>
            </w:r>
            <w:r>
              <w:rPr>
                <w:rFonts w:hint="eastAsia" w:ascii="宋体" w:hAnsi="宋体" w:cs="宋体"/>
                <w:color w:val="auto"/>
                <w:kern w:val="0"/>
                <w:szCs w:val="21"/>
                <w:highlight w:val="none"/>
              </w:rPr>
              <w:t>竞选人名称并</w:t>
            </w:r>
            <w:r>
              <w:rPr>
                <w:rFonts w:hint="eastAsia" w:ascii="宋体" w:hAnsi="宋体" w:cs="宋体"/>
                <w:color w:val="auto"/>
                <w:szCs w:val="21"/>
                <w:highlight w:val="none"/>
              </w:rPr>
              <w:t>盖竞选人单位法人章</w:t>
            </w:r>
            <w:r>
              <w:rPr>
                <w:rFonts w:hint="eastAsia" w:ascii="宋体" w:hAnsi="宋体"/>
                <w:color w:val="auto"/>
                <w:szCs w:val="21"/>
                <w:highlight w:val="none"/>
              </w:rPr>
              <w:t>。</w:t>
            </w:r>
          </w:p>
          <w:p w14:paraId="0FAE80E6">
            <w:pPr>
              <w:adjustRightInd w:val="0"/>
              <w:snapToGrid w:val="0"/>
              <w:spacing w:line="430" w:lineRule="exact"/>
              <w:ind w:firstLine="420" w:firstLineChars="200"/>
              <w:rPr>
                <w:rFonts w:ascii="宋体" w:hAnsi="宋体"/>
                <w:color w:val="auto"/>
                <w:szCs w:val="21"/>
                <w:highlight w:val="none"/>
              </w:rPr>
            </w:pPr>
            <w:r>
              <w:rPr>
                <w:rFonts w:hint="eastAsia" w:ascii="宋体" w:hAnsi="宋体"/>
                <w:color w:val="auto"/>
                <w:szCs w:val="21"/>
                <w:highlight w:val="none"/>
              </w:rPr>
              <w:t>3.经济部分装入“经济部分”袋中，密封并在袋上加盖竞选人单位</w:t>
            </w:r>
            <w:r>
              <w:rPr>
                <w:rFonts w:hint="eastAsia" w:ascii="宋体" w:hAnsi="宋体" w:cs="宋体"/>
                <w:color w:val="auto"/>
                <w:szCs w:val="21"/>
                <w:highlight w:val="none"/>
              </w:rPr>
              <w:t>法人章</w:t>
            </w:r>
            <w:r>
              <w:rPr>
                <w:rFonts w:hint="eastAsia" w:ascii="宋体" w:hAnsi="宋体"/>
                <w:color w:val="auto"/>
                <w:szCs w:val="21"/>
                <w:highlight w:val="none"/>
              </w:rPr>
              <w:t>。</w:t>
            </w:r>
          </w:p>
          <w:p w14:paraId="64544DF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4.本次比选技术部分采用暗标评审，技术部分装入“技术部分”袋中，密封不加盖任何印章。</w:t>
            </w:r>
          </w:p>
          <w:p w14:paraId="5A11E722">
            <w:pPr>
              <w:adjustRightInd w:val="0"/>
              <w:snapToGrid w:val="0"/>
              <w:spacing w:line="430" w:lineRule="exact"/>
              <w:ind w:firstLine="420" w:firstLineChars="200"/>
              <w:rPr>
                <w:rFonts w:ascii="宋体" w:hAnsi="宋体"/>
                <w:color w:val="auto"/>
                <w:szCs w:val="21"/>
                <w:highlight w:val="none"/>
              </w:rPr>
            </w:pPr>
            <w:r>
              <w:rPr>
                <w:rFonts w:hint="eastAsia" w:ascii="宋体" w:hAnsi="宋体"/>
                <w:color w:val="auto"/>
                <w:szCs w:val="21"/>
                <w:highlight w:val="none"/>
              </w:rPr>
              <w:t>5.资格审查部分装入“资格审查部分”袋中，密封并在袋上加盖竞选人单位法人章，同时在“资格审查资料”袋按本表第4.1.2项的规定写明相应内容。</w:t>
            </w:r>
          </w:p>
          <w:p w14:paraId="7C599259">
            <w:pPr>
              <w:adjustRightInd w:val="0"/>
              <w:snapToGrid w:val="0"/>
              <w:spacing w:line="430" w:lineRule="exact"/>
              <w:ind w:firstLine="420" w:firstLineChars="200"/>
              <w:rPr>
                <w:rFonts w:ascii="宋体" w:hAnsi="宋体"/>
                <w:color w:val="auto"/>
                <w:szCs w:val="21"/>
                <w:highlight w:val="none"/>
              </w:rPr>
            </w:pPr>
            <w:r>
              <w:rPr>
                <w:rFonts w:hint="eastAsia" w:ascii="宋体" w:hAnsi="宋体"/>
                <w:color w:val="auto"/>
                <w:szCs w:val="21"/>
                <w:highlight w:val="none"/>
              </w:rPr>
              <w:t>6.“竞选函部分”、</w:t>
            </w:r>
            <w:r>
              <w:rPr>
                <w:rFonts w:hint="eastAsia" w:ascii="宋体" w:hAnsi="宋体" w:cs="宋体"/>
                <w:color w:val="auto"/>
                <w:szCs w:val="21"/>
                <w:highlight w:val="none"/>
              </w:rPr>
              <w:t>“技术部分”、</w:t>
            </w:r>
            <w:r>
              <w:rPr>
                <w:rFonts w:hint="eastAsia" w:ascii="宋体" w:hAnsi="宋体"/>
                <w:color w:val="auto"/>
                <w:szCs w:val="21"/>
                <w:highlight w:val="none"/>
              </w:rPr>
              <w:t>“经济部分”“资格审查部分”等小袋装入“竞选文件”大袋中，密封并在大袋上加盖竞选人单位法人章，同时“竞选文件”大袋应按本表第4.1.2项的规定写明相应内容。一个大袋装不下的，可使用多个大袋分册封装。大袋未按要求密封的，比选人或代理机构应该拒收。</w:t>
            </w:r>
          </w:p>
          <w:p w14:paraId="50BA747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7.如果投标文件没有按上述规定密封，该投标文件将被拒绝接收。</w:t>
            </w:r>
          </w:p>
        </w:tc>
      </w:tr>
      <w:tr w14:paraId="45E68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DB24A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6392BD5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0A810C2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rPr>
              <w:t>竞选文件</w:t>
            </w:r>
            <w:r>
              <w:rPr>
                <w:rFonts w:ascii="宋体" w:hAnsi="宋体"/>
                <w:color w:val="auto"/>
                <w:kern w:val="0"/>
                <w:szCs w:val="21"/>
                <w:highlight w:val="none"/>
              </w:rPr>
              <w:t>”大袋封套上写明如下内容：</w:t>
            </w:r>
          </w:p>
          <w:p w14:paraId="6A9A21C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名称：</w:t>
            </w:r>
          </w:p>
          <w:p w14:paraId="6D172E74">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w:t>
            </w:r>
          </w:p>
          <w:p w14:paraId="4CA5E865">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比选项目名称</w:t>
            </w:r>
            <w:r>
              <w:rPr>
                <w:rFonts w:ascii="宋体" w:hAnsi="宋体"/>
                <w:color w:val="auto"/>
                <w:kern w:val="0"/>
                <w:szCs w:val="21"/>
                <w:highlight w:val="none"/>
                <w:u w:val="single"/>
              </w:rPr>
              <w:t>）</w:t>
            </w:r>
            <w:r>
              <w:rPr>
                <w:rFonts w:hint="eastAsia" w:ascii="宋体" w:hAnsi="宋体"/>
                <w:color w:val="auto"/>
                <w:kern w:val="0"/>
                <w:szCs w:val="21"/>
                <w:highlight w:val="none"/>
              </w:rPr>
              <w:t>竞选文件</w:t>
            </w:r>
          </w:p>
          <w:p w14:paraId="56E8C5D1">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年</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月</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日</w:t>
            </w:r>
            <w:r>
              <w:rPr>
                <w:rFonts w:hint="eastAsia" w:ascii="宋体" w:hAnsi="宋体"/>
                <w:color w:val="auto"/>
                <w:kern w:val="0"/>
                <w:szCs w:val="21"/>
                <w:highlight w:val="none"/>
                <w:lang w:val="en-US" w:eastAsia="zh-CN"/>
              </w:rPr>
              <w:t xml:space="preserve">  </w:t>
            </w:r>
            <w:r>
              <w:rPr>
                <w:rFonts w:ascii="宋体" w:hAnsi="宋体"/>
                <w:color w:val="auto"/>
                <w:kern w:val="0"/>
                <w:szCs w:val="21"/>
                <w:highlight w:val="none"/>
              </w:rPr>
              <w:t>时分前不得开启</w:t>
            </w:r>
          </w:p>
        </w:tc>
      </w:tr>
      <w:tr w14:paraId="4CF50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2147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1E449AA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rPr>
              <w:t>竞选文件</w:t>
            </w:r>
            <w:r>
              <w:rPr>
                <w:rFonts w:ascii="宋体" w:hAnsi="宋体"/>
                <w:color w:val="auto"/>
                <w:kern w:val="0"/>
                <w:szCs w:val="21"/>
                <w:highlight w:val="none"/>
              </w:rPr>
              <w:t>地点</w:t>
            </w:r>
          </w:p>
        </w:tc>
        <w:tc>
          <w:tcPr>
            <w:tcW w:w="6490" w:type="dxa"/>
            <w:vAlign w:val="center"/>
          </w:tcPr>
          <w:p w14:paraId="48E44072">
            <w:pPr>
              <w:topLinePunct/>
              <w:spacing w:line="430" w:lineRule="exact"/>
              <w:ind w:left="416" w:hanging="415" w:hangingChars="198"/>
              <w:rPr>
                <w:rFonts w:ascii="宋体" w:hAnsi="宋体"/>
                <w:color w:val="auto"/>
                <w:highlight w:val="none"/>
              </w:rPr>
            </w:pPr>
            <w:r>
              <w:rPr>
                <w:rFonts w:hint="eastAsia" w:ascii="宋体" w:hAnsi="宋体"/>
                <w:color w:val="auto"/>
                <w:highlight w:val="none"/>
              </w:rPr>
              <w:t>地址</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重庆市荣昌区瑞尔国际2号楼13-16</w:t>
            </w:r>
          </w:p>
        </w:tc>
      </w:tr>
      <w:tr w14:paraId="6B45D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F9169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10FB58F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rPr>
              <w:t>竞选文件</w:t>
            </w:r>
          </w:p>
        </w:tc>
        <w:tc>
          <w:tcPr>
            <w:tcW w:w="6490" w:type="dxa"/>
            <w:vAlign w:val="center"/>
          </w:tcPr>
          <w:p w14:paraId="4FAF638B">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p w14:paraId="501115CD">
            <w:pPr>
              <w:snapToGrid w:val="0"/>
              <w:spacing w:afterLines="10" w:line="400" w:lineRule="exact"/>
              <w:ind w:firstLine="420" w:firstLineChars="200"/>
              <w:rPr>
                <w:rFonts w:ascii="宋体" w:hAnsi="宋体"/>
                <w:color w:val="auto"/>
                <w:kern w:val="0"/>
                <w:szCs w:val="21"/>
                <w:highlight w:val="none"/>
              </w:rPr>
            </w:pPr>
          </w:p>
        </w:tc>
      </w:tr>
      <w:tr w14:paraId="3040C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01AB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3414473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11C0EF4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5778398E">
            <w:pPr>
              <w:snapToGrid w:val="0"/>
              <w:spacing w:line="40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开标时间：同投标截止时间</w:t>
            </w:r>
          </w:p>
          <w:p w14:paraId="424D9A56">
            <w:pPr>
              <w:topLinePunct/>
              <w:spacing w:line="430" w:lineRule="exact"/>
              <w:ind w:left="415" w:leftChars="150" w:hanging="100" w:hangingChars="48"/>
              <w:rPr>
                <w:rFonts w:ascii="宋体" w:hAnsi="宋体"/>
                <w:color w:val="auto"/>
                <w:highlight w:val="none"/>
              </w:rPr>
            </w:pPr>
            <w:r>
              <w:rPr>
                <w:rFonts w:hint="eastAsia" w:ascii="宋体" w:hAnsi="宋体" w:cs="宋体"/>
                <w:color w:val="auto"/>
                <w:kern w:val="0"/>
                <w:szCs w:val="21"/>
                <w:highlight w:val="none"/>
              </w:rPr>
              <w:t>开标地点：</w:t>
            </w:r>
            <w:r>
              <w:rPr>
                <w:rFonts w:hint="eastAsia" w:ascii="宋体" w:hAnsi="宋体"/>
                <w:color w:val="auto"/>
                <w:kern w:val="0"/>
                <w:szCs w:val="21"/>
                <w:highlight w:val="none"/>
                <w:lang w:eastAsia="zh-CN"/>
              </w:rPr>
              <w:t>重庆市荣昌区瑞尔国际2号楼13-16</w:t>
            </w:r>
          </w:p>
        </w:tc>
      </w:tr>
      <w:tr w14:paraId="71B5F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E8F8D33">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0DA3E86E">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14:paraId="207454F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6A00B6F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若经核实委托代理人提供资料与实际不符的，不得参加开标会并将其投标文件退回。核验合格的法定代表人或委托代理人可自行选择是否参加开标会，不参加开标会的视为默认开标结果。</w:t>
            </w:r>
          </w:p>
          <w:p w14:paraId="09357D3F">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2.宣布开标纪律</w:t>
            </w:r>
            <w:r>
              <w:rPr>
                <w:rFonts w:hint="eastAsia" w:ascii="宋体" w:hAnsi="宋体"/>
                <w:color w:val="auto"/>
                <w:szCs w:val="21"/>
                <w:highlight w:val="none"/>
              </w:rPr>
              <w:t>。</w:t>
            </w:r>
          </w:p>
          <w:p w14:paraId="12FCE7D4">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4804A1C9">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公布在投标截止时间前递交</w:t>
            </w:r>
            <w:r>
              <w:rPr>
                <w:rFonts w:hint="eastAsia" w:ascii="宋体" w:hAnsi="宋体"/>
                <w:color w:val="auto"/>
                <w:szCs w:val="21"/>
                <w:highlight w:val="none"/>
              </w:rPr>
              <w:t>竞选文件</w:t>
            </w:r>
            <w:r>
              <w:rPr>
                <w:rFonts w:ascii="宋体" w:hAnsi="宋体"/>
                <w:color w:val="auto"/>
                <w:szCs w:val="21"/>
                <w:highlight w:val="none"/>
              </w:rPr>
              <w:t>的</w:t>
            </w:r>
            <w:r>
              <w:rPr>
                <w:rFonts w:hint="eastAsia" w:ascii="宋体" w:hAnsi="宋体"/>
                <w:color w:val="auto"/>
                <w:szCs w:val="21"/>
                <w:highlight w:val="none"/>
              </w:rPr>
              <w:t>竞选人。</w:t>
            </w:r>
          </w:p>
          <w:p w14:paraId="2F02A505">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竞选文件的密封检查：竞选人可对自己的竞选文件封装情况进行检查，以确认其竞选文件密封完好。</w:t>
            </w:r>
          </w:p>
          <w:p w14:paraId="18CB6CE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汇总投标保证金交纳情况</w:t>
            </w:r>
          </w:p>
          <w:p w14:paraId="22586FE3">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5974395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.逐单位随机开启</w:t>
            </w:r>
            <w:r>
              <w:rPr>
                <w:rFonts w:hint="eastAsia" w:ascii="宋体" w:hAnsi="宋体"/>
                <w:color w:val="auto"/>
                <w:szCs w:val="21"/>
                <w:highlight w:val="none"/>
              </w:rPr>
              <w:t>竞选文件</w:t>
            </w:r>
            <w:r>
              <w:rPr>
                <w:rFonts w:ascii="宋体" w:hAnsi="宋体"/>
                <w:color w:val="auto"/>
                <w:szCs w:val="21"/>
                <w:highlight w:val="none"/>
              </w:rPr>
              <w:t>。开启</w:t>
            </w:r>
            <w:r>
              <w:rPr>
                <w:rFonts w:hint="eastAsia" w:ascii="宋体" w:hAnsi="宋体"/>
                <w:color w:val="auto"/>
                <w:szCs w:val="21"/>
                <w:highlight w:val="none"/>
              </w:rPr>
              <w:t>竞选文件</w:t>
            </w:r>
            <w:r>
              <w:rPr>
                <w:rFonts w:ascii="宋体" w:hAnsi="宋体"/>
                <w:color w:val="auto"/>
                <w:szCs w:val="21"/>
                <w:highlight w:val="none"/>
              </w:rPr>
              <w:t>大袋；公布</w:t>
            </w:r>
            <w:r>
              <w:rPr>
                <w:rFonts w:hint="eastAsia" w:ascii="宋体" w:hAnsi="宋体"/>
                <w:color w:val="auto"/>
                <w:szCs w:val="21"/>
                <w:highlight w:val="none"/>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14:paraId="7AA27F7A">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 竞选人对开标有异议的，应当场提出，由比选人或代理机构当场答复，并记录到开标记录表中。异议处理完毕后，汇总开标情况，打印开标记录表。</w:t>
            </w:r>
          </w:p>
          <w:p w14:paraId="3E2D1B65">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44315A7F">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开标结束。</w:t>
            </w:r>
          </w:p>
        </w:tc>
      </w:tr>
      <w:tr w14:paraId="47538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07E9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3BC329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627CAC1E">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由比选人按法律法规及相关规定依法组建评标委员会</w:t>
            </w:r>
            <w:r>
              <w:rPr>
                <w:rFonts w:hint="eastAsia" w:ascii="宋体" w:hAnsi="宋体"/>
                <w:color w:val="auto"/>
                <w:kern w:val="0"/>
                <w:szCs w:val="21"/>
                <w:highlight w:val="none"/>
              </w:rPr>
              <w:t>。</w:t>
            </w:r>
          </w:p>
        </w:tc>
      </w:tr>
      <w:tr w14:paraId="1B17C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AF6ED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4B480339">
            <w:pPr>
              <w:snapToGrid w:val="0"/>
              <w:spacing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35ECBF9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否，推荐经评审综合得分由高到低排名前 3 名为中标候 </w:t>
            </w:r>
          </w:p>
          <w:p w14:paraId="68D8820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选人。 </w:t>
            </w:r>
          </w:p>
        </w:tc>
      </w:tr>
      <w:tr w14:paraId="6DFA0A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F1DE3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6EFA6DD0">
            <w:pPr>
              <w:snapToGrid w:val="0"/>
              <w:spacing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2CABEDBC">
            <w:pPr>
              <w:snapToGrid w:val="0"/>
              <w:spacing w:line="400" w:lineRule="exact"/>
              <w:ind w:firstLine="420" w:firstLineChars="200"/>
              <w:rPr>
                <w:rFonts w:ascii="宋体" w:hAnsi="宋体" w:cs="宋体"/>
                <w:color w:val="auto"/>
                <w:spacing w:val="4"/>
                <w:kern w:val="0"/>
                <w:szCs w:val="21"/>
                <w:highlight w:val="none"/>
                <w:u w:val="single"/>
              </w:rPr>
            </w:pPr>
            <w:r>
              <w:rPr>
                <w:rFonts w:hint="eastAsia" w:ascii="宋体" w:hAnsi="宋体" w:cs="宋体"/>
                <w:color w:val="auto"/>
                <w:szCs w:val="21"/>
                <w:highlight w:val="none"/>
              </w:rPr>
              <w:t>比选人在收到评标报告后3日内将评标结果在</w:t>
            </w:r>
            <w:r>
              <w:rPr>
                <w:rFonts w:hint="eastAsia" w:ascii="宋体" w:hAnsi="宋体" w:cs="宋体"/>
                <w:color w:val="auto"/>
                <w:spacing w:val="4"/>
                <w:kern w:val="0"/>
                <w:szCs w:val="21"/>
                <w:highlight w:val="none"/>
              </w:rPr>
              <w:t>“</w:t>
            </w:r>
            <w:r>
              <w:rPr>
                <w:rFonts w:hint="eastAsia" w:ascii="宋体" w:hAnsi="宋体" w:cs="宋体"/>
                <w:color w:val="auto"/>
                <w:spacing w:val="4"/>
                <w:kern w:val="0"/>
                <w:szCs w:val="21"/>
                <w:highlight w:val="none"/>
                <w:u w:val="single"/>
              </w:rPr>
              <w:t>“行采家”平台（http://www.gec123.com）</w:t>
            </w:r>
            <w:r>
              <w:rPr>
                <w:rFonts w:hint="eastAsia" w:ascii="宋体" w:hAnsi="宋体" w:cs="宋体"/>
                <w:color w:val="auto"/>
                <w:szCs w:val="21"/>
                <w:highlight w:val="none"/>
              </w:rPr>
              <w:t>”上进行公示，公示期为</w:t>
            </w:r>
            <w:r>
              <w:rPr>
                <w:rFonts w:hint="eastAsia" w:ascii="宋体" w:hAnsi="宋体" w:cs="宋体"/>
                <w:snapToGrid w:val="0"/>
                <w:color w:val="auto"/>
                <w:kern w:val="0"/>
                <w:szCs w:val="21"/>
                <w:highlight w:val="none"/>
              </w:rPr>
              <w:t>3个工作日</w:t>
            </w:r>
            <w:r>
              <w:rPr>
                <w:rFonts w:hint="eastAsia" w:ascii="宋体" w:hAnsi="宋体" w:cs="宋体"/>
                <w:color w:val="auto"/>
                <w:szCs w:val="21"/>
                <w:highlight w:val="none"/>
              </w:rPr>
              <w:t>。</w:t>
            </w:r>
          </w:p>
        </w:tc>
      </w:tr>
      <w:tr w14:paraId="37A8EA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DAC9A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7891F03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140961D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745D3B9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6B7BD28B">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（1）履约担保的形式：现金或履约保函或现金+履约保函的组合</w:t>
            </w:r>
            <w:r>
              <w:rPr>
                <w:rFonts w:hint="eastAsia"/>
                <w:color w:val="auto"/>
                <w:highlight w:val="none"/>
              </w:rPr>
              <w:t>，</w:t>
            </w:r>
            <w:r>
              <w:rPr>
                <w:rFonts w:hint="eastAsia" w:ascii="宋体" w:hAnsi="宋体"/>
                <w:color w:val="auto"/>
                <w:kern w:val="0"/>
                <w:szCs w:val="21"/>
                <w:highlight w:val="none"/>
              </w:rPr>
              <w:t>履约保函包括银行保函、保证保险和担保保函，其示范文本详见第四章合同条款及格式附件。</w:t>
            </w:r>
            <w:r>
              <w:rPr>
                <w:rFonts w:hint="eastAsia"/>
                <w:color w:val="auto"/>
                <w:highlight w:val="none"/>
              </w:rPr>
              <w:t>保函必须为</w:t>
            </w:r>
            <w:r>
              <w:rPr>
                <w:rFonts w:hint="eastAsia" w:asciiTheme="minorEastAsia" w:hAnsiTheme="minorEastAsia" w:eastAsiaTheme="minorEastAsia" w:cstheme="minorEastAsia"/>
                <w:color w:val="auto"/>
                <w:szCs w:val="21"/>
                <w:highlight w:val="none"/>
              </w:rPr>
              <w:t>不可撤销、不可转让的见索即付保函。</w:t>
            </w:r>
          </w:p>
          <w:p w14:paraId="0D993A8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竞争性比选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426F86B6">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（3）履约担保的金额：</w:t>
            </w:r>
            <w:r>
              <w:rPr>
                <w:rFonts w:hint="eastAsia" w:ascii="宋体" w:hAnsi="宋体"/>
                <w:color w:val="auto"/>
                <w:kern w:val="0"/>
                <w:szCs w:val="21"/>
                <w:highlight w:val="none"/>
                <w:u w:val="single"/>
              </w:rPr>
              <w:t>中标合同金额的10%</w:t>
            </w:r>
            <w:r>
              <w:rPr>
                <w:rFonts w:hint="eastAsia" w:ascii="宋体" w:hAnsi="宋体"/>
                <w:color w:val="auto"/>
                <w:kern w:val="0"/>
                <w:szCs w:val="21"/>
                <w:highlight w:val="none"/>
              </w:rPr>
              <w:t>。</w:t>
            </w:r>
          </w:p>
          <w:p w14:paraId="5C0991A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（4）履约担保的提交时间：见合同条款。</w:t>
            </w:r>
          </w:p>
          <w:p w14:paraId="7A0283F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（5）履约担保的期限：见合同条款。</w:t>
            </w:r>
          </w:p>
          <w:p w14:paraId="2AFDC87A">
            <w:pPr>
              <w:snapToGrid w:val="0"/>
              <w:spacing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（6）履约担保的退还时间：见合同条款。</w:t>
            </w:r>
          </w:p>
        </w:tc>
      </w:tr>
      <w:tr w14:paraId="6BBE9B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091CC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229E8B4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01954883">
            <w:pPr>
              <w:snapToGrid w:val="0"/>
              <w:spacing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1961F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3F3E1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2A43B21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63225388">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rPr>
              <w:t>竞选人</w:t>
            </w:r>
            <w:r>
              <w:rPr>
                <w:rFonts w:ascii="宋体" w:hAnsi="宋体"/>
                <w:color w:val="auto"/>
                <w:kern w:val="0"/>
                <w:szCs w:val="21"/>
                <w:highlight w:val="none"/>
              </w:rPr>
              <w:t>须知第8.1（1）执行；</w:t>
            </w:r>
          </w:p>
          <w:p w14:paraId="200D155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rPr>
              <w:t>竞选人</w:t>
            </w:r>
            <w:r>
              <w:rPr>
                <w:rFonts w:ascii="宋体" w:hAnsi="宋体"/>
                <w:color w:val="auto"/>
                <w:kern w:val="0"/>
                <w:szCs w:val="21"/>
                <w:highlight w:val="none"/>
              </w:rPr>
              <w:t>须知第8.1（2）执行；</w:t>
            </w:r>
          </w:p>
          <w:p w14:paraId="3E95253A">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须知第8.1（3）执行；</w:t>
            </w:r>
          </w:p>
          <w:p w14:paraId="4D42DE08">
            <w:pPr>
              <w:widowControl/>
              <w:spacing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37D2E82C">
            <w:pPr>
              <w:widowControl/>
              <w:spacing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71925D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61FCC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2AC8883B">
            <w:pPr>
              <w:snapToGrid w:val="0"/>
              <w:spacing w:line="400" w:lineRule="exact"/>
              <w:jc w:val="center"/>
              <w:rPr>
                <w:color w:val="auto"/>
                <w:highlight w:val="none"/>
              </w:rPr>
            </w:pPr>
            <w:bookmarkStart w:id="112" w:name="_Toc536628250"/>
            <w:bookmarkStart w:id="113" w:name="_Toc16930431"/>
            <w:bookmarkStart w:id="114" w:name="_Toc13210670"/>
            <w:bookmarkStart w:id="115" w:name="_Toc509218709"/>
            <w:bookmarkStart w:id="116" w:name="_Toc430530434"/>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12"/>
            <w:bookmarkEnd w:id="113"/>
            <w:bookmarkEnd w:id="114"/>
            <w:bookmarkEnd w:id="115"/>
            <w:bookmarkEnd w:id="116"/>
          </w:p>
        </w:tc>
        <w:tc>
          <w:tcPr>
            <w:tcW w:w="6490" w:type="dxa"/>
            <w:vAlign w:val="center"/>
          </w:tcPr>
          <w:p w14:paraId="2D0FD12B">
            <w:pPr>
              <w:autoSpaceDE w:val="0"/>
              <w:autoSpaceDN w:val="0"/>
              <w:adjustRightInd w:val="0"/>
              <w:snapToGrid w:val="0"/>
              <w:spacing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567CF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5E35D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38FD729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64B3C4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E9099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10.1</w:t>
            </w:r>
          </w:p>
        </w:tc>
        <w:tc>
          <w:tcPr>
            <w:tcW w:w="1644" w:type="dxa"/>
            <w:vAlign w:val="center"/>
          </w:tcPr>
          <w:p w14:paraId="5D19437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vAlign w:val="center"/>
          </w:tcPr>
          <w:p w14:paraId="5AEA3130">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本项目在</w:t>
            </w:r>
            <w:r>
              <w:rPr>
                <w:rFonts w:ascii="宋体" w:hAnsi="宋体"/>
                <w:color w:val="auto"/>
                <w:kern w:val="0"/>
                <w:szCs w:val="21"/>
                <w:highlight w:val="none"/>
              </w:rPr>
              <w:t>实施过程中</w:t>
            </w:r>
            <w:r>
              <w:rPr>
                <w:rFonts w:hint="eastAsia" w:ascii="宋体" w:hAnsi="宋体"/>
                <w:color w:val="auto"/>
                <w:kern w:val="0"/>
                <w:szCs w:val="21"/>
                <w:highlight w:val="none"/>
              </w:rPr>
              <w:t>，中标人</w:t>
            </w:r>
            <w:r>
              <w:rPr>
                <w:rFonts w:ascii="宋体" w:hAnsi="宋体"/>
                <w:color w:val="auto"/>
                <w:kern w:val="0"/>
                <w:szCs w:val="21"/>
                <w:highlight w:val="none"/>
              </w:rPr>
              <w:t>必须执行</w:t>
            </w:r>
            <w:r>
              <w:rPr>
                <w:rFonts w:hint="eastAsia" w:ascii="宋体" w:hAnsi="宋体"/>
                <w:color w:val="auto"/>
                <w:kern w:val="0"/>
                <w:szCs w:val="21"/>
                <w:highlight w:val="none"/>
                <w:u w:val="single"/>
              </w:rPr>
              <w:t>《保障农民工工资支付条例》（中华人民共和国国务院令第724号）、《交通运输部关于公路水运工程建设领域保障农民工工资支付的意见》（交公路规〔2020〕5号）、《重庆市人民政府办公厅关于全面治理拖欠农民工工资问题的实施意见》（渝府办发〔2016〕101号）</w:t>
            </w:r>
            <w:r>
              <w:rPr>
                <w:rFonts w:hint="eastAsia" w:ascii="宋体" w:hAnsi="宋体"/>
                <w:color w:val="auto"/>
                <w:kern w:val="0"/>
                <w:szCs w:val="21"/>
                <w:highlight w:val="none"/>
              </w:rPr>
              <w:t>。</w:t>
            </w:r>
          </w:p>
          <w:p w14:paraId="1DA7FE28">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中标后，在与发包人签订的合同中，必须明确在重庆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color w:val="auto"/>
                <w:kern w:val="0"/>
                <w:szCs w:val="21"/>
                <w:highlight w:val="none"/>
              </w:rPr>
              <w:t>。</w:t>
            </w:r>
          </w:p>
          <w:p w14:paraId="24185041">
            <w:pPr>
              <w:widowControl/>
              <w:spacing w:line="400" w:lineRule="exact"/>
              <w:ind w:firstLine="420" w:firstLineChars="200"/>
              <w:rPr>
                <w:color w:val="auto"/>
                <w:highlight w:val="none"/>
              </w:rPr>
            </w:pPr>
            <w:r>
              <w:rPr>
                <w:rFonts w:hint="eastAsia"/>
                <w:color w:val="auto"/>
                <w:highlight w:val="none"/>
              </w:rPr>
              <w:t>农民工工资保证金打入业主的账户。</w:t>
            </w:r>
          </w:p>
        </w:tc>
      </w:tr>
      <w:tr w14:paraId="3DFE0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A7F8F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10.2</w:t>
            </w:r>
          </w:p>
        </w:tc>
        <w:tc>
          <w:tcPr>
            <w:tcW w:w="1644" w:type="dxa"/>
            <w:vAlign w:val="center"/>
          </w:tcPr>
          <w:p w14:paraId="104143A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p w14:paraId="73E3B75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（采用经评审的最低投标价法适用）</w:t>
            </w:r>
          </w:p>
        </w:tc>
        <w:tc>
          <w:tcPr>
            <w:tcW w:w="6490" w:type="dxa"/>
            <w:vAlign w:val="center"/>
          </w:tcPr>
          <w:p w14:paraId="58E12452">
            <w:pPr>
              <w:autoSpaceDE w:val="0"/>
              <w:autoSpaceDN w:val="0"/>
              <w:adjustRightInd w:val="0"/>
              <w:snapToGrid w:val="0"/>
              <w:spacing w:line="400" w:lineRule="exact"/>
              <w:ind w:firstLine="420" w:firstLineChars="200"/>
              <w:rPr>
                <w:color w:val="auto"/>
                <w:highlight w:val="none"/>
              </w:rPr>
            </w:pPr>
            <w:r>
              <w:rPr>
                <w:rFonts w:hint="eastAsia" w:ascii="宋体" w:hAnsi="宋体"/>
                <w:color w:val="auto"/>
                <w:kern w:val="0"/>
                <w:szCs w:val="21"/>
                <w:highlight w:val="none"/>
              </w:rPr>
              <w:t>1.低价风险担保：中标价低于最高限价的85%时提供，如不按时足额提供，视为中标人放弃中标，比选人有权不退还其投标保证金，</w:t>
            </w:r>
            <w:r>
              <w:rPr>
                <w:rFonts w:hint="eastAsia"/>
                <w:color w:val="auto"/>
                <w:highlight w:val="none"/>
              </w:rPr>
              <w:t>并报招标投标行政监督部门按照信用管理办法的规定处理，对中标人的不良行为直接记12分，纳入重点关注名单。</w:t>
            </w:r>
          </w:p>
          <w:p w14:paraId="06ABB45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2.中标人提供低价风险担保的形式、金额及期限：</w:t>
            </w:r>
          </w:p>
          <w:p w14:paraId="645572B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w:t>
            </w:r>
            <w:r>
              <w:rPr>
                <w:rFonts w:hint="eastAsia" w:ascii="宋体" w:hAnsi="宋体"/>
                <w:color w:val="auto"/>
                <w:kern w:val="0"/>
                <w:szCs w:val="21"/>
                <w:highlight w:val="none"/>
              </w:rPr>
              <w:t>）低价风险担保的形式：现金或银行保函</w:t>
            </w:r>
            <w:r>
              <w:rPr>
                <w:rFonts w:hint="eastAsia"/>
                <w:color w:val="auto"/>
                <w:highlight w:val="none"/>
              </w:rPr>
              <w:t>或现金+银行保函的组合；采用银行保函形式的，保函必须为不可撤销、不可转让且见索即付的独立保函，保函格式详见第四章合同条款及格式附件，中标人出具保函时，</w:t>
            </w:r>
            <w:r>
              <w:rPr>
                <w:rFonts w:hint="eastAsia" w:ascii="宋体" w:hAnsi="宋体"/>
                <w:color w:val="auto"/>
                <w:szCs w:val="21"/>
                <w:highlight w:val="none"/>
              </w:rPr>
              <w:t>不得修改“低价风险担保保函”名称，也不得对低价风险担保保函示范文本中付款条件等实质性内容进行修改，否则视为不符合竞争性比选文件规定。</w:t>
            </w:r>
          </w:p>
          <w:p w14:paraId="7240877A">
            <w:pPr>
              <w:autoSpaceDE w:val="0"/>
              <w:autoSpaceDN w:val="0"/>
              <w:adjustRightInd w:val="0"/>
              <w:snapToGrid w:val="0"/>
              <w:spacing w:line="400" w:lineRule="exact"/>
              <w:ind w:firstLine="420" w:firstLineChars="200"/>
              <w:rPr>
                <w:rFonts w:ascii="宋体" w:hAnsi="宋体"/>
                <w:i/>
                <w:iCs/>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）低价风险担保的金额：</w:t>
            </w:r>
            <w:r>
              <w:rPr>
                <w:rFonts w:hint="eastAsia"/>
                <w:color w:val="auto"/>
                <w:highlight w:val="none"/>
              </w:rPr>
              <w:t>（最高限价×85%-中标价）×3，</w:t>
            </w:r>
            <w:r>
              <w:rPr>
                <w:rStyle w:val="60"/>
                <w:color w:val="auto"/>
                <w:highlight w:val="none"/>
              </w:rPr>
              <w:t>且最高不超过最高限价的85%</w:t>
            </w:r>
            <w:r>
              <w:rPr>
                <w:rFonts w:hint="eastAsia" w:ascii="宋体" w:hAnsi="宋体"/>
                <w:i/>
                <w:iCs/>
                <w:color w:val="auto"/>
                <w:kern w:val="0"/>
                <w:szCs w:val="21"/>
                <w:highlight w:val="none"/>
              </w:rPr>
              <w:t>。</w:t>
            </w:r>
          </w:p>
          <w:p w14:paraId="0A73F35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）低价风险担保送达比选人的时间：</w:t>
            </w:r>
            <w:r>
              <w:rPr>
                <w:rFonts w:hint="eastAsia"/>
                <w:color w:val="auto"/>
                <w:szCs w:val="21"/>
                <w:highlight w:val="none"/>
              </w:rPr>
              <w:t>从比选人中标通知书送达中标候选人之日起</w:t>
            </w:r>
            <w:r>
              <w:rPr>
                <w:rFonts w:hint="eastAsia"/>
                <w:color w:val="auto"/>
                <w:szCs w:val="21"/>
                <w:highlight w:val="none"/>
                <w:u w:val="single"/>
              </w:rPr>
              <w:t>15</w:t>
            </w:r>
            <w:r>
              <w:rPr>
                <w:rFonts w:hint="eastAsia"/>
                <w:color w:val="auto"/>
                <w:szCs w:val="21"/>
                <w:highlight w:val="none"/>
              </w:rPr>
              <w:t>工作日内</w:t>
            </w:r>
            <w:r>
              <w:rPr>
                <w:rFonts w:hint="eastAsia" w:ascii="宋体" w:hAnsi="宋体"/>
                <w:color w:val="auto"/>
                <w:kern w:val="0"/>
                <w:szCs w:val="21"/>
                <w:highlight w:val="none"/>
              </w:rPr>
              <w:t>。</w:t>
            </w:r>
          </w:p>
          <w:p w14:paraId="479D558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（4）中标人因自身原因未按中标通知书规定的时限与比选人签订合同的，比选人有权扣除其低价风险担保并取消中标资格。</w:t>
            </w:r>
          </w:p>
          <w:p w14:paraId="38E8EB2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（5）低价风险担保的期限：</w:t>
            </w:r>
            <w:r>
              <w:rPr>
                <w:rFonts w:hint="eastAsia" w:ascii="宋体" w:hAnsi="宋体"/>
                <w:color w:val="auto"/>
                <w:kern w:val="0"/>
                <w:szCs w:val="21"/>
                <w:highlight w:val="none"/>
                <w:u w:val="single"/>
              </w:rPr>
              <w:t>自低价风险担保生效之日起至竣工验收合格之日止</w:t>
            </w:r>
            <w:r>
              <w:rPr>
                <w:rFonts w:hint="eastAsia" w:ascii="宋体" w:hAnsi="宋体"/>
                <w:color w:val="auto"/>
                <w:kern w:val="0"/>
                <w:szCs w:val="21"/>
                <w:highlight w:val="none"/>
              </w:rPr>
              <w:t>。</w:t>
            </w:r>
          </w:p>
          <w:p w14:paraId="48203BBA">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3.低价风险担保的退还时间：见专用合同条款。</w:t>
            </w:r>
          </w:p>
          <w:p w14:paraId="4B0174C2">
            <w:pPr>
              <w:widowControl/>
              <w:spacing w:line="400" w:lineRule="exact"/>
              <w:ind w:firstLine="420" w:firstLineChars="200"/>
              <w:rPr>
                <w:rFonts w:ascii="宋体" w:hAnsi="宋体"/>
                <w:color w:val="auto"/>
                <w:highlight w:val="none"/>
              </w:rPr>
            </w:pPr>
            <w:r>
              <w:rPr>
                <w:rFonts w:hint="eastAsia" w:ascii="宋体" w:hAnsi="宋体"/>
                <w:color w:val="auto"/>
                <w:highlight w:val="none"/>
              </w:rPr>
              <w:t>4.采用经评审最低投标价法的项目，拟中标人或者中标人放弃中标项目，无正当理由不与比选人签订合同，在签订合同时向比选人提出附加条件或者更改合同实质性内容，或者拒不按照竞选文件规定提交低价风险担保或履约担保的，取消其中标资格，投标保证金不予退还，给比选人造成的损失超过投标保证金数额的，拟中标人或中标人应对超过部分予以赔偿。</w:t>
            </w:r>
          </w:p>
          <w:p w14:paraId="0E434F65">
            <w:pPr>
              <w:pStyle w:val="3"/>
              <w:widowControl/>
              <w:spacing w:line="400" w:lineRule="exact"/>
              <w:ind w:firstLine="420" w:firstLineChars="200"/>
              <w:rPr>
                <w:rFonts w:ascii="宋体" w:hAnsi="宋体"/>
                <w:color w:val="auto"/>
                <w:highlight w:val="none"/>
              </w:rPr>
            </w:pPr>
            <w:r>
              <w:rPr>
                <w:rFonts w:hint="eastAsia"/>
                <w:color w:val="auto"/>
                <w:highlight w:val="none"/>
              </w:rPr>
              <w:t>备注：当中标人或拟中标人未按时提交低价风险担保，且属于可以延长低价风险担保提交期限的特殊情形时，经比选人同意，可适当延长低价风险担保的提交期限。</w:t>
            </w:r>
          </w:p>
          <w:p w14:paraId="31C69D8D">
            <w:pPr>
              <w:widowControl/>
              <w:spacing w:line="400" w:lineRule="exact"/>
              <w:ind w:firstLine="420" w:firstLineChars="200"/>
              <w:rPr>
                <w:rFonts w:ascii="宋体" w:hAnsi="宋体"/>
                <w:color w:val="auto"/>
                <w:kern w:val="0"/>
                <w:szCs w:val="21"/>
                <w:highlight w:val="none"/>
              </w:rPr>
            </w:pPr>
            <w:r>
              <w:rPr>
                <w:rFonts w:hint="eastAsia" w:ascii="宋体" w:hAnsi="宋体"/>
                <w:color w:val="auto"/>
                <w:highlight w:val="none"/>
              </w:rPr>
              <w:t>5.投标总报价低于最高限价85%的，竞选人应在编制竞选文件时，在投标函部分中递交低价风险担保提交承诺书。承诺书格式详见第八章竞选文件格式。</w:t>
            </w:r>
          </w:p>
        </w:tc>
      </w:tr>
      <w:tr w14:paraId="607BCA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7503E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10.3</w:t>
            </w:r>
          </w:p>
        </w:tc>
        <w:tc>
          <w:tcPr>
            <w:tcW w:w="1644" w:type="dxa"/>
            <w:vAlign w:val="center"/>
          </w:tcPr>
          <w:p w14:paraId="7C73BF9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关于对竞选文件及投标争议的解释</w:t>
            </w:r>
          </w:p>
        </w:tc>
        <w:tc>
          <w:tcPr>
            <w:tcW w:w="6490" w:type="dxa"/>
            <w:vAlign w:val="center"/>
          </w:tcPr>
          <w:p w14:paraId="2D0D1DB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对资格预审文件或者竞选文件的评标标准和方法，以及资格审查和否决投标条款理解有争议的，应当作出不利于比选人的解释，但违背国家利益、社会公共利益的除外。</w:t>
            </w:r>
          </w:p>
          <w:p w14:paraId="4BAE3B2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对竞选文件理解有争议的，应当作出不利于提交该竞选文件的比选人的解释。</w:t>
            </w:r>
          </w:p>
        </w:tc>
      </w:tr>
      <w:tr w14:paraId="52F2B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012B3FE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14:paraId="4ACD0469">
            <w:pPr>
              <w:autoSpaceDE w:val="0"/>
              <w:autoSpaceDN w:val="0"/>
              <w:adjustRightInd w:val="0"/>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工程进度款</w:t>
            </w:r>
          </w:p>
          <w:p w14:paraId="7AC24FEF">
            <w:pPr>
              <w:autoSpaceDE w:val="0"/>
              <w:autoSpaceDN w:val="0"/>
              <w:adjustRightInd w:val="0"/>
              <w:snapToGrid w:val="0"/>
              <w:spacing w:line="400" w:lineRule="exact"/>
              <w:jc w:val="center"/>
              <w:rPr>
                <w:rFonts w:ascii="宋体" w:hAnsi="宋体"/>
                <w:color w:val="auto"/>
                <w:kern w:val="0"/>
                <w:szCs w:val="21"/>
                <w:highlight w:val="none"/>
                <w:u w:val="single"/>
              </w:rPr>
            </w:pPr>
            <w:r>
              <w:rPr>
                <w:rFonts w:hint="eastAsia" w:ascii="宋体" w:hAnsi="宋体"/>
                <w:color w:val="auto"/>
                <w:kern w:val="0"/>
                <w:szCs w:val="21"/>
                <w:highlight w:val="none"/>
              </w:rPr>
              <w:t>支付方式</w:t>
            </w:r>
          </w:p>
        </w:tc>
        <w:tc>
          <w:tcPr>
            <w:tcW w:w="6490" w:type="dxa"/>
            <w:vAlign w:val="center"/>
          </w:tcPr>
          <w:p w14:paraId="23475DF9">
            <w:pPr>
              <w:spacing w:line="390" w:lineRule="exact"/>
              <w:ind w:firstLine="420" w:firstLineChars="200"/>
              <w:jc w:val="left"/>
              <w:rPr>
                <w:rFonts w:ascii="宋体" w:hAnsi="宋体"/>
                <w:color w:val="auto"/>
                <w:highlight w:val="none"/>
              </w:rPr>
            </w:pPr>
            <w:r>
              <w:rPr>
                <w:rFonts w:hint="eastAsia" w:ascii="宋体" w:hAnsi="宋体"/>
                <w:color w:val="auto"/>
                <w:highlight w:val="none"/>
              </w:rPr>
              <w:t>工程款支付方式：不支付工程预付款。</w:t>
            </w:r>
          </w:p>
          <w:p w14:paraId="325AF092">
            <w:pPr>
              <w:rPr>
                <w:rFonts w:ascii="宋体" w:hAnsi="宋体"/>
                <w:color w:val="auto"/>
                <w:kern w:val="0"/>
                <w:szCs w:val="21"/>
                <w:highlight w:val="none"/>
                <w:u w:val="single"/>
              </w:rPr>
            </w:pPr>
            <w:r>
              <w:rPr>
                <w:rFonts w:hint="eastAsia" w:ascii="宋体" w:hAnsi="宋体"/>
                <w:color w:val="auto"/>
                <w:highlight w:val="none"/>
              </w:rPr>
              <w:t>工程竣工验收合格后，甲方聘请有资质的审计单位出具审计报告后，甲方支付至审定金额的</w:t>
            </w:r>
            <w:r>
              <w:rPr>
                <w:rFonts w:hint="eastAsia" w:ascii="宋体" w:hAnsi="宋体"/>
                <w:color w:val="auto"/>
                <w:highlight w:val="none"/>
                <w:lang w:val="en-US" w:eastAsia="zh-CN"/>
              </w:rPr>
              <w:t>97</w:t>
            </w:r>
            <w:r>
              <w:rPr>
                <w:rFonts w:hint="eastAsia" w:ascii="宋体" w:hAnsi="宋体"/>
                <w:color w:val="auto"/>
                <w:highlight w:val="none"/>
              </w:rPr>
              <w:t>%</w:t>
            </w:r>
            <w:r>
              <w:rPr>
                <w:rFonts w:hint="eastAsia" w:ascii="宋体" w:hAnsi="宋体"/>
                <w:color w:val="auto"/>
                <w:highlight w:val="none"/>
                <w:lang w:eastAsia="zh-CN"/>
              </w:rPr>
              <w:t>，</w:t>
            </w:r>
            <w:r>
              <w:rPr>
                <w:rFonts w:hint="eastAsia" w:ascii="宋体" w:hAnsi="宋体"/>
                <w:color w:val="auto"/>
                <w:highlight w:val="none"/>
                <w:lang w:val="en-US" w:eastAsia="zh-CN"/>
              </w:rPr>
              <w:t>剩余3%待缺陷责任期到期后无息支付</w:t>
            </w:r>
            <w:r>
              <w:rPr>
                <w:rFonts w:hint="eastAsia" w:ascii="宋体" w:hAnsi="宋体"/>
                <w:color w:val="auto"/>
                <w:highlight w:val="none"/>
              </w:rPr>
              <w:t>。</w:t>
            </w:r>
          </w:p>
        </w:tc>
      </w:tr>
      <w:tr w14:paraId="184A5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F79E5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10.5</w:t>
            </w:r>
          </w:p>
        </w:tc>
        <w:tc>
          <w:tcPr>
            <w:tcW w:w="1644" w:type="dxa"/>
            <w:vAlign w:val="center"/>
          </w:tcPr>
          <w:p w14:paraId="5B2348A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不允许负数报价</w:t>
            </w:r>
          </w:p>
        </w:tc>
        <w:tc>
          <w:tcPr>
            <w:tcW w:w="6490" w:type="dxa"/>
            <w:vAlign w:val="center"/>
          </w:tcPr>
          <w:p w14:paraId="0EE81878">
            <w:pPr>
              <w:autoSpaceDE w:val="0"/>
              <w:autoSpaceDN w:val="0"/>
              <w:adjustRightInd w:val="0"/>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竞选人</w:t>
            </w:r>
            <w:r>
              <w:rPr>
                <w:rFonts w:ascii="宋体" w:hAnsi="宋体"/>
                <w:color w:val="auto"/>
                <w:kern w:val="0"/>
                <w:szCs w:val="21"/>
                <w:highlight w:val="none"/>
                <w:u w:val="single"/>
              </w:rPr>
              <w:t>的</w:t>
            </w:r>
            <w:r>
              <w:rPr>
                <w:rFonts w:hint="eastAsia" w:ascii="宋体" w:hAnsi="宋体"/>
                <w:color w:val="auto"/>
                <w:kern w:val="0"/>
                <w:szCs w:val="21"/>
                <w:highlight w:val="none"/>
                <w:u w:val="single"/>
              </w:rPr>
              <w:t>各项</w:t>
            </w:r>
            <w:r>
              <w:rPr>
                <w:rFonts w:ascii="宋体" w:hAnsi="宋体"/>
                <w:color w:val="auto"/>
                <w:kern w:val="0"/>
                <w:szCs w:val="21"/>
                <w:highlight w:val="none"/>
                <w:u w:val="single"/>
              </w:rPr>
              <w:t>报价不得</w:t>
            </w:r>
            <w:r>
              <w:rPr>
                <w:rFonts w:hint="eastAsia" w:ascii="宋体" w:hAnsi="宋体"/>
                <w:color w:val="auto"/>
                <w:kern w:val="0"/>
                <w:szCs w:val="21"/>
                <w:highlight w:val="none"/>
                <w:u w:val="single"/>
              </w:rPr>
              <w:t>为负数</w:t>
            </w:r>
            <w:r>
              <w:rPr>
                <w:rFonts w:ascii="宋体" w:hAnsi="宋体"/>
                <w:color w:val="auto"/>
                <w:kern w:val="0"/>
                <w:szCs w:val="21"/>
                <w:highlight w:val="none"/>
                <w:u w:val="single"/>
              </w:rPr>
              <w:t>。</w:t>
            </w:r>
            <w:r>
              <w:rPr>
                <w:rFonts w:hint="eastAsia" w:ascii="宋体" w:hAnsi="宋体"/>
                <w:color w:val="auto"/>
                <w:kern w:val="0"/>
                <w:szCs w:val="21"/>
                <w:highlight w:val="none"/>
                <w:u w:val="single"/>
              </w:rPr>
              <w:t>比选人</w:t>
            </w:r>
            <w:r>
              <w:rPr>
                <w:rFonts w:ascii="宋体" w:hAnsi="宋体"/>
                <w:color w:val="auto"/>
                <w:kern w:val="0"/>
                <w:szCs w:val="21"/>
                <w:highlight w:val="none"/>
                <w:u w:val="single"/>
              </w:rPr>
              <w:t>在发出中标通知书前将对中标人</w:t>
            </w:r>
            <w:r>
              <w:rPr>
                <w:rFonts w:hint="eastAsia" w:ascii="宋体" w:hAnsi="宋体"/>
                <w:color w:val="auto"/>
                <w:kern w:val="0"/>
                <w:szCs w:val="21"/>
                <w:highlight w:val="none"/>
                <w:u w:val="single"/>
              </w:rPr>
              <w:t>的各项报价</w:t>
            </w:r>
            <w:r>
              <w:rPr>
                <w:rFonts w:ascii="宋体" w:hAnsi="宋体"/>
                <w:color w:val="auto"/>
                <w:kern w:val="0"/>
                <w:szCs w:val="21"/>
                <w:highlight w:val="none"/>
                <w:u w:val="single"/>
              </w:rPr>
              <w:t>进行复核，若发现中标人</w:t>
            </w:r>
            <w:r>
              <w:rPr>
                <w:rFonts w:hint="eastAsia" w:ascii="宋体" w:hAnsi="宋体"/>
                <w:color w:val="auto"/>
                <w:kern w:val="0"/>
                <w:szCs w:val="21"/>
                <w:highlight w:val="none"/>
                <w:u w:val="single"/>
              </w:rPr>
              <w:t>各项报价</w:t>
            </w:r>
            <w:r>
              <w:rPr>
                <w:rFonts w:ascii="宋体" w:hAnsi="宋体"/>
                <w:color w:val="auto"/>
                <w:kern w:val="0"/>
                <w:szCs w:val="21"/>
                <w:highlight w:val="none"/>
                <w:u w:val="single"/>
              </w:rPr>
              <w:t>中存在</w:t>
            </w:r>
            <w:r>
              <w:rPr>
                <w:rFonts w:hint="eastAsia" w:ascii="宋体" w:hAnsi="宋体"/>
                <w:color w:val="auto"/>
                <w:kern w:val="0"/>
                <w:szCs w:val="21"/>
                <w:highlight w:val="none"/>
                <w:u w:val="single"/>
              </w:rPr>
              <w:t>负数报价</w:t>
            </w:r>
            <w:r>
              <w:rPr>
                <w:rFonts w:ascii="宋体" w:hAnsi="宋体"/>
                <w:color w:val="auto"/>
                <w:kern w:val="0"/>
                <w:szCs w:val="21"/>
                <w:highlight w:val="none"/>
                <w:u w:val="single"/>
              </w:rPr>
              <w:t>的情形，</w:t>
            </w:r>
            <w:r>
              <w:rPr>
                <w:rFonts w:hint="eastAsia" w:ascii="宋体" w:hAnsi="宋体"/>
                <w:color w:val="auto"/>
                <w:kern w:val="0"/>
                <w:szCs w:val="21"/>
                <w:highlight w:val="none"/>
                <w:u w:val="single"/>
              </w:rPr>
              <w:t>比选人</w:t>
            </w:r>
            <w:r>
              <w:rPr>
                <w:rFonts w:ascii="宋体" w:hAnsi="宋体"/>
                <w:color w:val="auto"/>
                <w:kern w:val="0"/>
                <w:szCs w:val="21"/>
                <w:highlight w:val="none"/>
                <w:u w:val="single"/>
              </w:rPr>
              <w:t>按相关规定取消其中标资格，其投标保证金不予退还，中标人承担因此造成的相关责任并赔偿相应损失。</w:t>
            </w:r>
          </w:p>
        </w:tc>
      </w:tr>
      <w:tr w14:paraId="1CE50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35" w:type="dxa"/>
            <w:vAlign w:val="center"/>
          </w:tcPr>
          <w:p w14:paraId="4588B3A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10.6</w:t>
            </w:r>
          </w:p>
        </w:tc>
        <w:tc>
          <w:tcPr>
            <w:tcW w:w="1644" w:type="dxa"/>
            <w:vAlign w:val="center"/>
          </w:tcPr>
          <w:p w14:paraId="23EFF352">
            <w:pPr>
              <w:snapToGrid w:val="0"/>
              <w:spacing w:line="400" w:lineRule="exact"/>
              <w:jc w:val="center"/>
              <w:rPr>
                <w:rFonts w:ascii="宋体" w:hAnsi="宋体"/>
                <w:color w:val="auto"/>
                <w:kern w:val="0"/>
                <w:szCs w:val="21"/>
                <w:highlight w:val="none"/>
              </w:rPr>
            </w:pPr>
            <w:r>
              <w:rPr>
                <w:rFonts w:hint="eastAsia" w:ascii="宋体" w:hAnsi="宋体" w:cs="宋体"/>
                <w:color w:val="auto"/>
                <w:kern w:val="0"/>
                <w:szCs w:val="21"/>
                <w:highlight w:val="none"/>
              </w:rPr>
              <w:t>比选代理服务费</w:t>
            </w:r>
          </w:p>
        </w:tc>
        <w:tc>
          <w:tcPr>
            <w:tcW w:w="6490" w:type="dxa"/>
            <w:vAlign w:val="center"/>
          </w:tcPr>
          <w:p w14:paraId="55081FD1">
            <w:pPr>
              <w:spacing w:line="400" w:lineRule="exact"/>
              <w:ind w:firstLine="420" w:firstLineChars="200"/>
              <w:rPr>
                <w:rFonts w:ascii="宋体" w:hAnsi="宋体"/>
                <w:color w:val="auto"/>
                <w:highlight w:val="none"/>
              </w:rPr>
            </w:pPr>
            <w:r>
              <w:rPr>
                <w:rFonts w:hint="eastAsia" w:ascii="宋体" w:hAnsi="宋体"/>
                <w:color w:val="auto"/>
                <w:highlight w:val="none"/>
              </w:rPr>
              <w:t>本工程的招标代理服务费由中选人支付。工程招标工作结束后（即中选人在领取中选通知书之前），向招标代理机构一次性支付¥</w:t>
            </w:r>
            <w:r>
              <w:rPr>
                <w:rFonts w:hint="eastAsia" w:ascii="宋体" w:hAnsi="宋体"/>
                <w:color w:val="auto"/>
                <w:highlight w:val="none"/>
                <w:lang w:val="en-US" w:eastAsia="zh-CN"/>
              </w:rPr>
              <w:t>2</w:t>
            </w:r>
            <w:r>
              <w:rPr>
                <w:rFonts w:hint="eastAsia" w:ascii="宋体" w:hAnsi="宋体"/>
                <w:color w:val="auto"/>
                <w:highlight w:val="none"/>
              </w:rPr>
              <w:t>000.00元（大写：</w:t>
            </w:r>
            <w:r>
              <w:rPr>
                <w:rFonts w:hint="eastAsia" w:ascii="宋体" w:hAnsi="宋体"/>
                <w:color w:val="auto"/>
                <w:highlight w:val="none"/>
                <w:lang w:val="en-US" w:eastAsia="zh-CN"/>
              </w:rPr>
              <w:t>贰</w:t>
            </w:r>
            <w:r>
              <w:rPr>
                <w:rFonts w:hint="eastAsia" w:ascii="宋体" w:hAnsi="宋体"/>
                <w:color w:val="auto"/>
                <w:highlight w:val="none"/>
              </w:rPr>
              <w:t>仟元整）的招标代理服务费用。</w:t>
            </w:r>
          </w:p>
          <w:p w14:paraId="7F8E9CC1">
            <w:pPr>
              <w:rPr>
                <w:color w:val="auto"/>
                <w:highlight w:val="none"/>
              </w:rPr>
            </w:pPr>
            <w:r>
              <w:rPr>
                <w:rFonts w:hint="eastAsia" w:ascii="宋体" w:hAnsi="宋体"/>
                <w:color w:val="auto"/>
                <w:highlight w:val="none"/>
              </w:rPr>
              <w:t>在中选通知书发出时，由中选人一次性向比选代理机构支付比选代理服务费，比选人不再支付招标代理费。</w:t>
            </w:r>
          </w:p>
        </w:tc>
      </w:tr>
      <w:tr w14:paraId="52B39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5" w:type="dxa"/>
            <w:vAlign w:val="center"/>
          </w:tcPr>
          <w:p w14:paraId="0D53C00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10.7</w:t>
            </w:r>
          </w:p>
        </w:tc>
        <w:tc>
          <w:tcPr>
            <w:tcW w:w="1644" w:type="dxa"/>
            <w:vAlign w:val="center"/>
          </w:tcPr>
          <w:p w14:paraId="02FB2A81">
            <w:pPr>
              <w:snapToGrid w:val="0"/>
              <w:spacing w:line="400" w:lineRule="exact"/>
              <w:jc w:val="center"/>
              <w:rPr>
                <w:rFonts w:ascii="宋体" w:hAnsi="宋体"/>
                <w:color w:val="auto"/>
                <w:kern w:val="0"/>
                <w:szCs w:val="21"/>
                <w:highlight w:val="none"/>
              </w:rPr>
            </w:pPr>
            <w:r>
              <w:rPr>
                <w:rFonts w:hint="eastAsia" w:ascii="宋体" w:hAnsi="宋体" w:cs="宋体"/>
                <w:color w:val="auto"/>
                <w:kern w:val="0"/>
                <w:szCs w:val="21"/>
                <w:highlight w:val="none"/>
              </w:rPr>
              <w:t>其他</w:t>
            </w:r>
          </w:p>
        </w:tc>
        <w:tc>
          <w:tcPr>
            <w:tcW w:w="6490" w:type="dxa"/>
            <w:vAlign w:val="center"/>
          </w:tcPr>
          <w:p w14:paraId="62E7B170">
            <w:pPr>
              <w:widowControl/>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荣昌区外来荣承接工程的施工单位，当其中选后，应按荣昌区政府相关工作要求执行，即区外企业应在荣昌成立独立核算的全资分公司或独立核算的荣昌项目部，并按相关规定派驻人员对项目实施全过程管理，包括:工程施工质量、安全、进度:农民工工资支付、材料款支付:分包工程的工程款支付；与建设单位办理结算；在荣昌缴纳相关税费(包含所得税)及开具增值税发票等。</w:t>
            </w:r>
          </w:p>
          <w:p w14:paraId="5544EC5F">
            <w:pPr>
              <w:widowControl/>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2.承包人不得拖欠民工工资，如因承包人原因拖欠民工工资或劳务费结算等发生纠纷,应按重庆市有关政策规定承担责任外，发包人有权从承包人应得的任何工程款项中扣出，并直接支付给农民工。</w:t>
            </w:r>
          </w:p>
          <w:p w14:paraId="1E755D11">
            <w:pPr>
              <w:widowControl/>
              <w:spacing w:line="400" w:lineRule="exact"/>
              <w:ind w:firstLine="420" w:firstLineChars="200"/>
              <w:rPr>
                <w:color w:val="auto"/>
                <w:highlight w:val="none"/>
              </w:rPr>
            </w:pPr>
            <w:r>
              <w:rPr>
                <w:rFonts w:hint="eastAsia" w:ascii="宋体" w:hAnsi="宋体" w:cs="宋体"/>
                <w:color w:val="auto"/>
                <w:szCs w:val="21"/>
                <w:highlight w:val="none"/>
              </w:rPr>
              <w:t>3.本工程严禁挂靠、转包及违法分包，承包人必须以本企业建制的项目管理班子和施工力量为承建主体，否则，在履行施工合同阶段，发包人有权终止承包合同，追究承包人相应的法律责任。</w:t>
            </w:r>
          </w:p>
        </w:tc>
      </w:tr>
    </w:tbl>
    <w:p w14:paraId="5A9A12DF">
      <w:pPr>
        <w:pStyle w:val="5"/>
        <w:spacing w:before="0" w:after="0" w:line="20" w:lineRule="exact"/>
        <w:rPr>
          <w:rFonts w:ascii="宋体" w:hAnsi="宋体"/>
          <w:b w:val="0"/>
          <w:snapToGrid w:val="0"/>
          <w:color w:val="auto"/>
          <w:highlight w:val="none"/>
        </w:rPr>
      </w:pPr>
      <w:bookmarkStart w:id="117" w:name="_Toc200513126"/>
      <w:bookmarkStart w:id="118" w:name="_Toc287620685"/>
      <w:bookmarkStart w:id="119" w:name="_Toc224103317"/>
      <w:bookmarkStart w:id="120" w:name="_Toc430530435"/>
      <w:bookmarkStart w:id="121" w:name="_Toc287607746"/>
      <w:bookmarkStart w:id="122" w:name="_Toc277082552"/>
    </w:p>
    <w:p w14:paraId="0DC716F2">
      <w:pPr>
        <w:pStyle w:val="5"/>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bookmarkEnd w:id="117"/>
    <w:bookmarkEnd w:id="118"/>
    <w:bookmarkEnd w:id="119"/>
    <w:bookmarkEnd w:id="120"/>
    <w:bookmarkEnd w:id="121"/>
    <w:bookmarkEnd w:id="122"/>
    <w:p w14:paraId="18FD9AEF">
      <w:pPr>
        <w:pStyle w:val="5"/>
        <w:spacing w:before="0" w:after="0" w:line="360" w:lineRule="auto"/>
        <w:rPr>
          <w:rFonts w:ascii="宋体" w:hAnsi="宋体"/>
          <w:b w:val="0"/>
          <w:snapToGrid w:val="0"/>
          <w:color w:val="auto"/>
          <w:highlight w:val="none"/>
        </w:rPr>
      </w:pPr>
      <w:bookmarkStart w:id="123" w:name="_Toc10739"/>
      <w:bookmarkStart w:id="124" w:name="_Toc840"/>
      <w:bookmarkStart w:id="125" w:name="_Toc6971"/>
      <w:bookmarkStart w:id="126" w:name="_Toc509218710"/>
      <w:r>
        <w:rPr>
          <w:rFonts w:ascii="宋体" w:hAnsi="宋体"/>
          <w:b w:val="0"/>
          <w:snapToGrid w:val="0"/>
          <w:color w:val="auto"/>
          <w:highlight w:val="none"/>
        </w:rPr>
        <w:t>1.  总则</w:t>
      </w:r>
      <w:bookmarkEnd w:id="123"/>
      <w:bookmarkEnd w:id="124"/>
      <w:bookmarkEnd w:id="125"/>
      <w:bookmarkEnd w:id="126"/>
    </w:p>
    <w:p w14:paraId="794A34EB">
      <w:pPr>
        <w:pStyle w:val="6"/>
        <w:snapToGrid w:val="0"/>
        <w:spacing w:before="0" w:after="0" w:line="360" w:lineRule="auto"/>
        <w:rPr>
          <w:rFonts w:ascii="宋体" w:hAnsi="宋体"/>
          <w:b w:val="0"/>
          <w:snapToGrid w:val="0"/>
          <w:color w:val="auto"/>
          <w:sz w:val="24"/>
          <w:szCs w:val="24"/>
          <w:highlight w:val="none"/>
        </w:rPr>
      </w:pPr>
      <w:bookmarkStart w:id="127" w:name="_Toc32232"/>
      <w:bookmarkStart w:id="128" w:name="_Toc30142"/>
      <w:bookmarkStart w:id="129" w:name="_Toc200513127"/>
      <w:bookmarkStart w:id="130" w:name="_Toc277082553"/>
      <w:bookmarkStart w:id="131" w:name="_Toc509218711"/>
      <w:bookmarkStart w:id="132" w:name="_Toc287620686"/>
      <w:bookmarkStart w:id="133" w:name="_Toc24031"/>
      <w:bookmarkStart w:id="134" w:name="_Toc224103318"/>
      <w:bookmarkStart w:id="135" w:name="_Toc430530436"/>
      <w:bookmarkStart w:id="136" w:name="_Toc287607747"/>
      <w:r>
        <w:rPr>
          <w:rFonts w:ascii="宋体" w:hAnsi="宋体"/>
          <w:b w:val="0"/>
          <w:snapToGrid w:val="0"/>
          <w:color w:val="auto"/>
          <w:sz w:val="24"/>
          <w:szCs w:val="24"/>
          <w:highlight w:val="none"/>
        </w:rPr>
        <w:t>1.1  项目概况</w:t>
      </w:r>
      <w:bookmarkEnd w:id="127"/>
      <w:bookmarkEnd w:id="128"/>
      <w:bookmarkEnd w:id="129"/>
      <w:bookmarkEnd w:id="130"/>
      <w:bookmarkEnd w:id="131"/>
      <w:bookmarkEnd w:id="132"/>
      <w:bookmarkEnd w:id="133"/>
      <w:bookmarkEnd w:id="134"/>
      <w:bookmarkEnd w:id="135"/>
      <w:bookmarkEnd w:id="136"/>
    </w:p>
    <w:p w14:paraId="723C3A48">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w:t>
      </w:r>
      <w:r>
        <w:rPr>
          <w:rFonts w:hint="eastAsia" w:ascii="宋体" w:hAnsi="宋体"/>
          <w:snapToGrid w:val="0"/>
          <w:color w:val="auto"/>
          <w:kern w:val="0"/>
          <w:szCs w:val="21"/>
          <w:highlight w:val="none"/>
        </w:rPr>
        <w:t>比选项目</w:t>
      </w:r>
      <w:r>
        <w:rPr>
          <w:rFonts w:ascii="宋体" w:hAnsi="宋体"/>
          <w:snapToGrid w:val="0"/>
          <w:color w:val="auto"/>
          <w:kern w:val="0"/>
          <w:szCs w:val="21"/>
          <w:highlight w:val="none"/>
        </w:rPr>
        <w:t>已具备</w:t>
      </w:r>
      <w:r>
        <w:rPr>
          <w:rFonts w:hint="eastAsia" w:ascii="宋体" w:hAnsi="宋体"/>
          <w:snapToGrid w:val="0"/>
          <w:color w:val="auto"/>
          <w:kern w:val="0"/>
          <w:szCs w:val="21"/>
          <w:highlight w:val="none"/>
        </w:rPr>
        <w:t>比选条件</w:t>
      </w:r>
      <w:r>
        <w:rPr>
          <w:rFonts w:ascii="宋体" w:hAnsi="宋体"/>
          <w:snapToGrid w:val="0"/>
          <w:color w:val="auto"/>
          <w:kern w:val="0"/>
          <w:szCs w:val="21"/>
          <w:highlight w:val="none"/>
        </w:rPr>
        <w:t>。</w:t>
      </w:r>
    </w:p>
    <w:p w14:paraId="2163F2D8">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rPr>
        <w:t>比选项目比选人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A6620B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rPr>
        <w:t>比选项目比选代理机构</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A6E443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rPr>
        <w:t>比选项目</w:t>
      </w:r>
      <w:r>
        <w:rPr>
          <w:rFonts w:ascii="宋体" w:hAnsi="宋体"/>
          <w:snapToGrid w:val="0"/>
          <w:color w:val="auto"/>
          <w:kern w:val="0"/>
          <w:szCs w:val="21"/>
          <w:highlight w:val="none"/>
        </w:rPr>
        <w:t>名称：见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CD76DC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rPr>
        <w:t>比选项目</w:t>
      </w:r>
      <w:r>
        <w:rPr>
          <w:rFonts w:ascii="宋体" w:hAnsi="宋体"/>
          <w:snapToGrid w:val="0"/>
          <w:color w:val="auto"/>
          <w:kern w:val="0"/>
          <w:szCs w:val="21"/>
          <w:highlight w:val="none"/>
        </w:rPr>
        <w:t>建设地点：见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28E7274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w:t>
      </w:r>
      <w:r>
        <w:rPr>
          <w:rFonts w:hint="eastAsia" w:ascii="宋体" w:hAnsi="宋体"/>
          <w:snapToGrid w:val="0"/>
          <w:color w:val="auto"/>
          <w:kern w:val="0"/>
          <w:szCs w:val="21"/>
          <w:highlight w:val="none"/>
        </w:rPr>
        <w:t>比选项目</w:t>
      </w:r>
      <w:r>
        <w:rPr>
          <w:rFonts w:ascii="宋体" w:hAnsi="宋体"/>
          <w:snapToGrid w:val="0"/>
          <w:color w:val="auto"/>
          <w:kern w:val="0"/>
          <w:szCs w:val="21"/>
          <w:highlight w:val="none"/>
        </w:rPr>
        <w:t>建设规模：见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2E1CA8E">
      <w:pPr>
        <w:pStyle w:val="6"/>
        <w:snapToGrid w:val="0"/>
        <w:spacing w:before="0" w:after="0" w:line="360" w:lineRule="auto"/>
        <w:rPr>
          <w:rFonts w:ascii="宋体" w:hAnsi="宋体"/>
          <w:b w:val="0"/>
          <w:snapToGrid w:val="0"/>
          <w:color w:val="auto"/>
          <w:sz w:val="24"/>
          <w:szCs w:val="24"/>
          <w:highlight w:val="none"/>
        </w:rPr>
      </w:pPr>
      <w:bookmarkStart w:id="137" w:name="_Toc200513128"/>
      <w:bookmarkStart w:id="138" w:name="_Toc277082554"/>
      <w:bookmarkStart w:id="139" w:name="_Toc17930"/>
      <w:bookmarkStart w:id="140" w:name="_Toc22419"/>
      <w:bookmarkStart w:id="141" w:name="_Toc21567"/>
      <w:bookmarkStart w:id="142" w:name="_Toc430530437"/>
      <w:bookmarkStart w:id="143" w:name="_Toc287620687"/>
      <w:bookmarkStart w:id="144" w:name="_Toc287607748"/>
      <w:bookmarkStart w:id="145" w:name="_Toc224103319"/>
      <w:bookmarkStart w:id="146" w:name="_Toc509218712"/>
      <w:r>
        <w:rPr>
          <w:rFonts w:ascii="宋体" w:hAnsi="宋体"/>
          <w:b w:val="0"/>
          <w:snapToGrid w:val="0"/>
          <w:color w:val="auto"/>
          <w:sz w:val="24"/>
          <w:szCs w:val="24"/>
          <w:highlight w:val="none"/>
        </w:rPr>
        <w:t>1.2  资金来源和落实情况</w:t>
      </w:r>
      <w:bookmarkEnd w:id="137"/>
      <w:bookmarkEnd w:id="138"/>
      <w:bookmarkEnd w:id="139"/>
      <w:bookmarkEnd w:id="140"/>
      <w:bookmarkEnd w:id="141"/>
      <w:bookmarkEnd w:id="142"/>
      <w:bookmarkEnd w:id="143"/>
      <w:bookmarkEnd w:id="144"/>
      <w:bookmarkEnd w:id="145"/>
      <w:bookmarkEnd w:id="146"/>
    </w:p>
    <w:p w14:paraId="5D54DA4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w:t>
      </w:r>
      <w:r>
        <w:rPr>
          <w:rFonts w:hint="eastAsia" w:ascii="宋体" w:hAnsi="宋体"/>
          <w:snapToGrid w:val="0"/>
          <w:color w:val="auto"/>
          <w:kern w:val="0"/>
          <w:szCs w:val="21"/>
          <w:highlight w:val="none"/>
        </w:rPr>
        <w:t>比选项目</w:t>
      </w:r>
      <w:r>
        <w:rPr>
          <w:rFonts w:ascii="宋体" w:hAnsi="宋体"/>
          <w:snapToGrid w:val="0"/>
          <w:color w:val="auto"/>
          <w:kern w:val="0"/>
          <w:szCs w:val="21"/>
          <w:highlight w:val="none"/>
        </w:rPr>
        <w:t>的资金来源：见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A22F7D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w:t>
      </w:r>
      <w:r>
        <w:rPr>
          <w:rFonts w:hint="eastAsia" w:ascii="宋体" w:hAnsi="宋体"/>
          <w:snapToGrid w:val="0"/>
          <w:color w:val="auto"/>
          <w:kern w:val="0"/>
          <w:szCs w:val="21"/>
          <w:highlight w:val="none"/>
        </w:rPr>
        <w:t>比选项目</w:t>
      </w:r>
      <w:r>
        <w:rPr>
          <w:rFonts w:ascii="宋体" w:hAnsi="宋体"/>
          <w:snapToGrid w:val="0"/>
          <w:color w:val="auto"/>
          <w:kern w:val="0"/>
          <w:szCs w:val="21"/>
          <w:highlight w:val="none"/>
        </w:rPr>
        <w:t>的出资比例：见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3AAB69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w:t>
      </w:r>
      <w:r>
        <w:rPr>
          <w:rFonts w:hint="eastAsia" w:ascii="宋体" w:hAnsi="宋体"/>
          <w:snapToGrid w:val="0"/>
          <w:color w:val="auto"/>
          <w:kern w:val="0"/>
          <w:szCs w:val="21"/>
          <w:highlight w:val="none"/>
        </w:rPr>
        <w:t>比选项目</w:t>
      </w:r>
      <w:r>
        <w:rPr>
          <w:rFonts w:ascii="宋体" w:hAnsi="宋体"/>
          <w:snapToGrid w:val="0"/>
          <w:color w:val="auto"/>
          <w:kern w:val="0"/>
          <w:szCs w:val="21"/>
          <w:highlight w:val="none"/>
        </w:rPr>
        <w:t>的资金落实情况：见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DD17BDC">
      <w:pPr>
        <w:pStyle w:val="6"/>
        <w:snapToGrid w:val="0"/>
        <w:spacing w:before="0" w:after="0" w:line="360" w:lineRule="auto"/>
        <w:rPr>
          <w:rFonts w:ascii="宋体" w:hAnsi="宋体"/>
          <w:b w:val="0"/>
          <w:snapToGrid w:val="0"/>
          <w:color w:val="auto"/>
          <w:sz w:val="24"/>
          <w:szCs w:val="24"/>
          <w:highlight w:val="none"/>
        </w:rPr>
      </w:pPr>
      <w:bookmarkStart w:id="147" w:name="_Toc27189"/>
      <w:bookmarkStart w:id="148" w:name="_Toc224103320"/>
      <w:bookmarkStart w:id="149" w:name="_Toc200513129"/>
      <w:bookmarkStart w:id="150" w:name="_Toc277082555"/>
      <w:bookmarkStart w:id="151" w:name="_Toc287607749"/>
      <w:bookmarkStart w:id="152" w:name="_Toc509218713"/>
      <w:bookmarkStart w:id="153" w:name="_Toc14950"/>
      <w:bookmarkStart w:id="154" w:name="_Toc4104"/>
      <w:bookmarkStart w:id="155" w:name="_Toc430530438"/>
      <w:bookmarkStart w:id="156" w:name="_Toc287620688"/>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rPr>
        <w:t>比选范围</w:t>
      </w:r>
      <w:r>
        <w:rPr>
          <w:rFonts w:ascii="宋体" w:hAnsi="宋体"/>
          <w:b w:val="0"/>
          <w:snapToGrid w:val="0"/>
          <w:color w:val="auto"/>
          <w:sz w:val="24"/>
          <w:szCs w:val="24"/>
          <w:highlight w:val="none"/>
        </w:rPr>
        <w:t>、计划工期和质量要求</w:t>
      </w:r>
      <w:bookmarkEnd w:id="147"/>
      <w:bookmarkEnd w:id="148"/>
      <w:bookmarkEnd w:id="149"/>
      <w:bookmarkEnd w:id="150"/>
      <w:bookmarkEnd w:id="151"/>
      <w:bookmarkEnd w:id="152"/>
      <w:bookmarkEnd w:id="153"/>
      <w:bookmarkEnd w:id="154"/>
      <w:bookmarkEnd w:id="155"/>
      <w:bookmarkEnd w:id="156"/>
    </w:p>
    <w:p w14:paraId="6CFA8FE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rPr>
        <w:t>比选范围</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8068C3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4BC283B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9F47116">
      <w:pPr>
        <w:pStyle w:val="6"/>
        <w:snapToGrid w:val="0"/>
        <w:spacing w:before="0" w:after="0" w:line="360" w:lineRule="auto"/>
        <w:rPr>
          <w:rFonts w:ascii="宋体" w:hAnsi="宋体"/>
          <w:b w:val="0"/>
          <w:snapToGrid w:val="0"/>
          <w:color w:val="auto"/>
          <w:sz w:val="24"/>
          <w:szCs w:val="24"/>
          <w:highlight w:val="none"/>
        </w:rPr>
      </w:pPr>
      <w:bookmarkStart w:id="157" w:name="_Toc200513131"/>
      <w:bookmarkStart w:id="158" w:name="_Toc24799"/>
      <w:bookmarkStart w:id="159" w:name="_Toc224103322"/>
      <w:bookmarkStart w:id="160" w:name="_Toc509218715"/>
      <w:bookmarkStart w:id="161" w:name="_Toc277082557"/>
      <w:bookmarkStart w:id="162" w:name="_Toc287620690"/>
      <w:bookmarkStart w:id="163" w:name="_Toc287607751"/>
      <w:bookmarkStart w:id="164" w:name="_Toc12587"/>
      <w:bookmarkStart w:id="165" w:name="_Toc430530440"/>
      <w:bookmarkStart w:id="166" w:name="_Toc1894"/>
      <w:r>
        <w:rPr>
          <w:rFonts w:ascii="宋体" w:hAnsi="宋体"/>
          <w:b w:val="0"/>
          <w:snapToGrid w:val="0"/>
          <w:color w:val="auto"/>
          <w:sz w:val="24"/>
          <w:szCs w:val="24"/>
          <w:highlight w:val="none"/>
        </w:rPr>
        <w:t xml:space="preserve">1.4  </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资格要求</w:t>
      </w:r>
      <w:bookmarkEnd w:id="157"/>
      <w:bookmarkEnd w:id="158"/>
      <w:bookmarkEnd w:id="159"/>
      <w:bookmarkEnd w:id="160"/>
      <w:bookmarkEnd w:id="161"/>
      <w:bookmarkEnd w:id="162"/>
      <w:bookmarkEnd w:id="163"/>
      <w:bookmarkEnd w:id="164"/>
      <w:bookmarkEnd w:id="165"/>
      <w:bookmarkEnd w:id="166"/>
    </w:p>
    <w:p w14:paraId="50794C2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应具备承担本标段的资质条件、能力和信誉。</w:t>
      </w:r>
    </w:p>
    <w:p w14:paraId="4D6AB6B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BC6472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F959F3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（3）业绩要求：见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49037CE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1F9BEB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41923F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（6）其他要求：见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39ADF8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须知前附表规定接受联合体投标的，除应符合本章第1.4.1项和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须知前附表的要求外，还应遵守以下规定：</w:t>
      </w:r>
    </w:p>
    <w:p w14:paraId="4D62177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提供的格式签订联合体协议书，明确联合体牵头人和各方权利义务；</w:t>
      </w:r>
    </w:p>
    <w:p w14:paraId="4CEC926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w:t>
      </w:r>
      <w:r>
        <w:rPr>
          <w:rFonts w:hint="eastAsia" w:ascii="宋体" w:hAnsi="宋体"/>
          <w:snapToGrid w:val="0"/>
          <w:color w:val="auto"/>
          <w:kern w:val="0"/>
          <w:szCs w:val="21"/>
          <w:highlight w:val="none"/>
        </w:rPr>
        <w:t>比选项目</w:t>
      </w:r>
      <w:r>
        <w:rPr>
          <w:rFonts w:ascii="宋体" w:hAnsi="宋体"/>
          <w:snapToGrid w:val="0"/>
          <w:color w:val="auto"/>
          <w:kern w:val="0"/>
          <w:szCs w:val="21"/>
          <w:highlight w:val="none"/>
        </w:rPr>
        <w:t>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795E860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7F636AE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不得存在下列情形之一：</w:t>
      </w:r>
    </w:p>
    <w:p w14:paraId="16567B9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rPr>
        <w:t>比选人</w:t>
      </w:r>
      <w:r>
        <w:rPr>
          <w:rFonts w:ascii="宋体" w:hAnsi="宋体"/>
          <w:snapToGrid w:val="0"/>
          <w:color w:val="auto"/>
          <w:kern w:val="0"/>
          <w:position w:val="-2"/>
          <w:szCs w:val="21"/>
          <w:highlight w:val="none"/>
        </w:rPr>
        <w:t>存在利害关系可能影响招标公正性的法人、其他组织或者个人；</w:t>
      </w:r>
    </w:p>
    <w:p w14:paraId="3967ED4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565F012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2E1D27BC">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166C7ED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05C7D5E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同为一个法定代表人的；</w:t>
      </w:r>
    </w:p>
    <w:p w14:paraId="258DAB5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rPr>
        <w:t>比选代理机构存在</w:t>
      </w:r>
      <w:r>
        <w:rPr>
          <w:rFonts w:ascii="宋体" w:hAnsi="宋体"/>
          <w:snapToGrid w:val="0"/>
          <w:color w:val="auto"/>
          <w:kern w:val="0"/>
          <w:szCs w:val="21"/>
          <w:highlight w:val="none"/>
        </w:rPr>
        <w:t>控股或参股的；</w:t>
      </w:r>
    </w:p>
    <w:p w14:paraId="31D0FEA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相互任职或工作的；</w:t>
      </w:r>
    </w:p>
    <w:p w14:paraId="6F03114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165AA6C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52D43BA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7901EE5F">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76DAC6A3">
      <w:pPr>
        <w:pStyle w:val="6"/>
        <w:snapToGrid w:val="0"/>
        <w:spacing w:before="0" w:after="0" w:line="360" w:lineRule="auto"/>
        <w:rPr>
          <w:rFonts w:ascii="宋体" w:hAnsi="宋体"/>
          <w:b w:val="0"/>
          <w:snapToGrid w:val="0"/>
          <w:color w:val="auto"/>
          <w:sz w:val="24"/>
          <w:szCs w:val="24"/>
          <w:highlight w:val="none"/>
        </w:rPr>
      </w:pPr>
      <w:bookmarkStart w:id="167" w:name="_Toc224103323"/>
      <w:bookmarkStart w:id="168" w:name="_Toc509218716"/>
      <w:bookmarkStart w:id="169" w:name="_Toc1677"/>
      <w:bookmarkStart w:id="170" w:name="_Toc430530441"/>
      <w:bookmarkStart w:id="171" w:name="_Toc287620691"/>
      <w:bookmarkStart w:id="172" w:name="_Toc277082558"/>
      <w:bookmarkStart w:id="173" w:name="_Toc287607752"/>
      <w:bookmarkStart w:id="174" w:name="_Toc20662"/>
      <w:bookmarkStart w:id="175" w:name="_Toc10193"/>
      <w:bookmarkStart w:id="176" w:name="_Toc200513132"/>
      <w:r>
        <w:rPr>
          <w:rFonts w:ascii="宋体" w:hAnsi="宋体"/>
          <w:b w:val="0"/>
          <w:snapToGrid w:val="0"/>
          <w:color w:val="auto"/>
          <w:sz w:val="24"/>
          <w:szCs w:val="24"/>
          <w:highlight w:val="none"/>
        </w:rPr>
        <w:t>1.5  费用承担</w:t>
      </w:r>
      <w:bookmarkEnd w:id="167"/>
      <w:bookmarkEnd w:id="168"/>
      <w:bookmarkEnd w:id="169"/>
      <w:bookmarkEnd w:id="170"/>
      <w:bookmarkEnd w:id="171"/>
      <w:bookmarkEnd w:id="172"/>
      <w:bookmarkEnd w:id="173"/>
      <w:bookmarkEnd w:id="174"/>
      <w:bookmarkEnd w:id="175"/>
      <w:bookmarkEnd w:id="176"/>
    </w:p>
    <w:p w14:paraId="2B600B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准备和参加投标活动发生的费用自理。</w:t>
      </w:r>
    </w:p>
    <w:p w14:paraId="264F7753">
      <w:pPr>
        <w:pStyle w:val="6"/>
        <w:snapToGrid w:val="0"/>
        <w:spacing w:before="0" w:after="0" w:line="360" w:lineRule="auto"/>
        <w:rPr>
          <w:rFonts w:ascii="宋体" w:hAnsi="宋体"/>
          <w:b w:val="0"/>
          <w:snapToGrid w:val="0"/>
          <w:color w:val="auto"/>
          <w:sz w:val="24"/>
          <w:szCs w:val="24"/>
          <w:highlight w:val="none"/>
        </w:rPr>
      </w:pPr>
      <w:bookmarkStart w:id="177" w:name="_Toc509218717"/>
      <w:bookmarkStart w:id="178" w:name="_Toc287620692"/>
      <w:bookmarkStart w:id="179" w:name="_Toc200513133"/>
      <w:bookmarkStart w:id="180" w:name="_Toc430530442"/>
      <w:bookmarkStart w:id="181" w:name="_Toc26130"/>
      <w:bookmarkStart w:id="182" w:name="_Toc277082559"/>
      <w:bookmarkStart w:id="183" w:name="_Toc287607753"/>
      <w:bookmarkStart w:id="184" w:name="_Toc5336"/>
      <w:bookmarkStart w:id="185" w:name="_Toc224103324"/>
      <w:bookmarkStart w:id="186" w:name="_Toc21248"/>
      <w:r>
        <w:rPr>
          <w:rFonts w:ascii="宋体" w:hAnsi="宋体"/>
          <w:b w:val="0"/>
          <w:snapToGrid w:val="0"/>
          <w:color w:val="auto"/>
          <w:sz w:val="24"/>
          <w:szCs w:val="24"/>
          <w:highlight w:val="none"/>
        </w:rPr>
        <w:t>1.6  保密</w:t>
      </w:r>
      <w:bookmarkEnd w:id="177"/>
      <w:bookmarkEnd w:id="178"/>
      <w:bookmarkEnd w:id="179"/>
      <w:bookmarkEnd w:id="180"/>
      <w:bookmarkEnd w:id="181"/>
      <w:bookmarkEnd w:id="182"/>
      <w:bookmarkEnd w:id="183"/>
      <w:bookmarkEnd w:id="184"/>
      <w:bookmarkEnd w:id="185"/>
      <w:bookmarkEnd w:id="186"/>
    </w:p>
    <w:p w14:paraId="6CFB36C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中的商业和技术等秘密保密，违者应对由此造成的后果承担法律责任。</w:t>
      </w:r>
    </w:p>
    <w:p w14:paraId="22FC5A55">
      <w:pPr>
        <w:pStyle w:val="6"/>
        <w:snapToGrid w:val="0"/>
        <w:spacing w:before="0" w:after="0" w:line="360" w:lineRule="auto"/>
        <w:rPr>
          <w:rFonts w:ascii="宋体" w:hAnsi="宋体"/>
          <w:b w:val="0"/>
          <w:snapToGrid w:val="0"/>
          <w:color w:val="auto"/>
          <w:sz w:val="24"/>
          <w:szCs w:val="24"/>
          <w:highlight w:val="none"/>
        </w:rPr>
      </w:pPr>
      <w:bookmarkStart w:id="187" w:name="_Toc27"/>
      <w:bookmarkStart w:id="188" w:name="_Toc23249"/>
      <w:bookmarkStart w:id="189" w:name="_Toc287607754"/>
      <w:bookmarkStart w:id="190" w:name="_Toc430530443"/>
      <w:bookmarkStart w:id="191" w:name="_Toc277082560"/>
      <w:bookmarkStart w:id="192" w:name="_Toc200513134"/>
      <w:bookmarkStart w:id="193" w:name="_Toc509218718"/>
      <w:bookmarkStart w:id="194" w:name="_Toc1222"/>
      <w:bookmarkStart w:id="195" w:name="_Toc224103325"/>
      <w:bookmarkStart w:id="196" w:name="_Toc287620693"/>
      <w:r>
        <w:rPr>
          <w:rFonts w:ascii="宋体" w:hAnsi="宋体"/>
          <w:b w:val="0"/>
          <w:snapToGrid w:val="0"/>
          <w:color w:val="auto"/>
          <w:sz w:val="24"/>
          <w:szCs w:val="24"/>
          <w:highlight w:val="none"/>
        </w:rPr>
        <w:t>1.7  语言文字</w:t>
      </w:r>
      <w:bookmarkEnd w:id="187"/>
      <w:bookmarkEnd w:id="188"/>
      <w:bookmarkEnd w:id="189"/>
      <w:bookmarkEnd w:id="190"/>
      <w:bookmarkEnd w:id="191"/>
      <w:bookmarkEnd w:id="192"/>
      <w:bookmarkEnd w:id="193"/>
      <w:bookmarkEnd w:id="194"/>
      <w:bookmarkEnd w:id="195"/>
      <w:bookmarkEnd w:id="196"/>
    </w:p>
    <w:p w14:paraId="3213C3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768312FF">
      <w:pPr>
        <w:pStyle w:val="6"/>
        <w:snapToGrid w:val="0"/>
        <w:spacing w:before="0" w:after="0" w:line="360" w:lineRule="auto"/>
        <w:rPr>
          <w:rFonts w:ascii="宋体" w:hAnsi="宋体"/>
          <w:b w:val="0"/>
          <w:snapToGrid w:val="0"/>
          <w:color w:val="auto"/>
          <w:sz w:val="24"/>
          <w:szCs w:val="24"/>
          <w:highlight w:val="none"/>
        </w:rPr>
      </w:pPr>
      <w:bookmarkStart w:id="197" w:name="_Toc509218719"/>
      <w:bookmarkStart w:id="198" w:name="_Toc200513135"/>
      <w:bookmarkStart w:id="199" w:name="_Toc17173"/>
      <w:bookmarkStart w:id="200" w:name="_Toc13374"/>
      <w:bookmarkStart w:id="201" w:name="_Toc224103326"/>
      <w:bookmarkStart w:id="202" w:name="_Toc32634"/>
      <w:bookmarkStart w:id="203" w:name="_Toc277082561"/>
      <w:bookmarkStart w:id="204" w:name="_Toc287607755"/>
      <w:bookmarkStart w:id="205" w:name="_Toc287620694"/>
      <w:bookmarkStart w:id="206" w:name="_Toc430530444"/>
      <w:r>
        <w:rPr>
          <w:rFonts w:ascii="宋体" w:hAnsi="宋体"/>
          <w:b w:val="0"/>
          <w:snapToGrid w:val="0"/>
          <w:color w:val="auto"/>
          <w:sz w:val="24"/>
          <w:szCs w:val="24"/>
          <w:highlight w:val="none"/>
        </w:rPr>
        <w:t>1.8  计量单位</w:t>
      </w:r>
      <w:bookmarkEnd w:id="197"/>
      <w:bookmarkEnd w:id="198"/>
      <w:bookmarkEnd w:id="199"/>
      <w:bookmarkEnd w:id="200"/>
      <w:bookmarkEnd w:id="201"/>
      <w:bookmarkEnd w:id="202"/>
      <w:bookmarkEnd w:id="203"/>
      <w:bookmarkEnd w:id="204"/>
      <w:bookmarkEnd w:id="205"/>
      <w:bookmarkEnd w:id="206"/>
    </w:p>
    <w:p w14:paraId="03AACED6">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5C0DF12F">
      <w:pPr>
        <w:pStyle w:val="6"/>
        <w:snapToGrid w:val="0"/>
        <w:spacing w:before="0" w:after="0" w:line="360" w:lineRule="auto"/>
        <w:rPr>
          <w:rFonts w:ascii="宋体" w:hAnsi="宋体"/>
          <w:b w:val="0"/>
          <w:snapToGrid w:val="0"/>
          <w:color w:val="auto"/>
          <w:sz w:val="24"/>
          <w:szCs w:val="24"/>
          <w:highlight w:val="none"/>
        </w:rPr>
      </w:pPr>
      <w:bookmarkStart w:id="207" w:name="_Toc30039"/>
      <w:bookmarkStart w:id="208" w:name="_Toc509218720"/>
      <w:bookmarkStart w:id="209" w:name="_Toc430530445"/>
      <w:bookmarkStart w:id="210" w:name="_Toc224103327"/>
      <w:bookmarkStart w:id="211" w:name="_Toc30098"/>
      <w:bookmarkStart w:id="212" w:name="_Toc19275"/>
      <w:bookmarkStart w:id="213" w:name="_Toc287620695"/>
      <w:bookmarkStart w:id="214" w:name="_Toc200513136"/>
      <w:bookmarkStart w:id="215" w:name="_Toc277082562"/>
      <w:bookmarkStart w:id="216" w:name="_Toc287607756"/>
      <w:r>
        <w:rPr>
          <w:rFonts w:ascii="宋体" w:hAnsi="宋体"/>
          <w:b w:val="0"/>
          <w:snapToGrid w:val="0"/>
          <w:color w:val="auto"/>
          <w:sz w:val="24"/>
          <w:szCs w:val="24"/>
          <w:highlight w:val="none"/>
        </w:rPr>
        <w:t>1.9  踏勘现场</w:t>
      </w:r>
      <w:bookmarkEnd w:id="207"/>
      <w:bookmarkEnd w:id="208"/>
      <w:bookmarkEnd w:id="209"/>
      <w:bookmarkEnd w:id="210"/>
      <w:bookmarkEnd w:id="211"/>
      <w:bookmarkEnd w:id="212"/>
      <w:bookmarkEnd w:id="213"/>
      <w:bookmarkEnd w:id="214"/>
      <w:bookmarkEnd w:id="215"/>
      <w:bookmarkEnd w:id="216"/>
    </w:p>
    <w:p w14:paraId="3223425B">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踏勘项目现场。</w:t>
      </w:r>
    </w:p>
    <w:p w14:paraId="5B24FBB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踏勘现场发生的费用自理。</w:t>
      </w:r>
    </w:p>
    <w:p w14:paraId="1B5787C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自行负责在踏勘现场中所发生的人员伤亡和财产损失。</w:t>
      </w:r>
    </w:p>
    <w:p w14:paraId="26BD7F2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在踏勘现场中介绍的工程场地和相关的周边环境情况，供</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据此做出的判断和决策负责。</w:t>
      </w:r>
    </w:p>
    <w:p w14:paraId="7AD00431">
      <w:pPr>
        <w:pStyle w:val="6"/>
        <w:snapToGrid w:val="0"/>
        <w:spacing w:before="0" w:after="0" w:line="360" w:lineRule="auto"/>
        <w:rPr>
          <w:rFonts w:ascii="宋体" w:hAnsi="宋体"/>
          <w:b w:val="0"/>
          <w:snapToGrid w:val="0"/>
          <w:color w:val="auto"/>
          <w:sz w:val="24"/>
          <w:szCs w:val="24"/>
          <w:highlight w:val="none"/>
        </w:rPr>
      </w:pPr>
      <w:bookmarkStart w:id="217" w:name="_Toc287607757"/>
      <w:bookmarkStart w:id="218" w:name="_Toc509218721"/>
      <w:bookmarkStart w:id="219" w:name="_Toc32057"/>
      <w:bookmarkStart w:id="220" w:name="_Toc430530446"/>
      <w:bookmarkStart w:id="221" w:name="_Toc7407"/>
      <w:bookmarkStart w:id="222" w:name="_Toc277082563"/>
      <w:bookmarkStart w:id="223" w:name="_Toc287620696"/>
      <w:bookmarkStart w:id="224" w:name="_Toc200513137"/>
      <w:bookmarkStart w:id="225" w:name="_Toc224103328"/>
      <w:bookmarkStart w:id="226" w:name="_Toc20866"/>
      <w:r>
        <w:rPr>
          <w:rFonts w:ascii="宋体" w:hAnsi="宋体"/>
          <w:b w:val="0"/>
          <w:snapToGrid w:val="0"/>
          <w:color w:val="auto"/>
          <w:sz w:val="24"/>
          <w:szCs w:val="24"/>
          <w:highlight w:val="none"/>
        </w:rPr>
        <w:t>1.10  投标预备会</w:t>
      </w:r>
      <w:bookmarkEnd w:id="217"/>
      <w:bookmarkEnd w:id="218"/>
      <w:bookmarkEnd w:id="219"/>
      <w:bookmarkEnd w:id="220"/>
      <w:bookmarkEnd w:id="221"/>
      <w:bookmarkEnd w:id="222"/>
      <w:bookmarkEnd w:id="223"/>
      <w:bookmarkEnd w:id="224"/>
      <w:bookmarkEnd w:id="225"/>
      <w:bookmarkEnd w:id="226"/>
    </w:p>
    <w:p w14:paraId="2355589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须知前附表规定召开投标预备会的，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须知前附表规定的时间和地点召开投标预备会，澄清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提出的问题。</w:t>
      </w:r>
    </w:p>
    <w:p w14:paraId="1ADA540D">
      <w:pPr>
        <w:pStyle w:val="6"/>
        <w:snapToGrid w:val="0"/>
        <w:spacing w:before="0" w:after="0" w:line="360" w:lineRule="auto"/>
        <w:rPr>
          <w:rFonts w:ascii="宋体" w:hAnsi="宋体"/>
          <w:b w:val="0"/>
          <w:snapToGrid w:val="0"/>
          <w:color w:val="auto"/>
          <w:sz w:val="24"/>
          <w:szCs w:val="24"/>
          <w:highlight w:val="none"/>
        </w:rPr>
      </w:pPr>
      <w:bookmarkStart w:id="227" w:name="_Toc10308"/>
      <w:bookmarkStart w:id="228" w:name="_Toc277082564"/>
      <w:bookmarkStart w:id="229" w:name="_Toc287607758"/>
      <w:bookmarkStart w:id="230" w:name="_Toc200513138"/>
      <w:bookmarkStart w:id="231" w:name="_Toc3036"/>
      <w:bookmarkStart w:id="232" w:name="_Toc224103329"/>
      <w:bookmarkStart w:id="233" w:name="_Toc30383"/>
      <w:bookmarkStart w:id="234" w:name="_Toc287620697"/>
      <w:bookmarkStart w:id="235" w:name="_Toc430530447"/>
      <w:bookmarkStart w:id="236" w:name="_Toc509218722"/>
      <w:r>
        <w:rPr>
          <w:rFonts w:ascii="宋体" w:hAnsi="宋体"/>
          <w:b w:val="0"/>
          <w:snapToGrid w:val="0"/>
          <w:color w:val="auto"/>
          <w:sz w:val="24"/>
          <w:szCs w:val="24"/>
          <w:highlight w:val="none"/>
        </w:rPr>
        <w:t xml:space="preserve">1.11  </w:t>
      </w:r>
      <w:bookmarkEnd w:id="227"/>
      <w:bookmarkEnd w:id="228"/>
      <w:bookmarkEnd w:id="229"/>
      <w:bookmarkEnd w:id="230"/>
      <w:bookmarkEnd w:id="231"/>
      <w:bookmarkEnd w:id="232"/>
      <w:bookmarkEnd w:id="233"/>
      <w:bookmarkEnd w:id="234"/>
      <w:bookmarkEnd w:id="235"/>
      <w:bookmarkEnd w:id="236"/>
      <w:bookmarkStart w:id="237" w:name="_Toc277082565"/>
      <w:bookmarkStart w:id="238" w:name="_Toc430530448"/>
      <w:bookmarkStart w:id="239" w:name="_Toc16712"/>
      <w:bookmarkStart w:id="240" w:name="_Toc287620698"/>
      <w:bookmarkStart w:id="241" w:name="_Toc509218723"/>
      <w:bookmarkStart w:id="242" w:name="_Toc224103330"/>
      <w:bookmarkStart w:id="243" w:name="_Toc2098"/>
      <w:bookmarkStart w:id="244" w:name="_Toc5536"/>
      <w:bookmarkStart w:id="245" w:name="_Toc200513139"/>
      <w:bookmarkStart w:id="246" w:name="_Toc287607759"/>
      <w:r>
        <w:rPr>
          <w:rFonts w:ascii="宋体" w:hAnsi="宋体"/>
          <w:b w:val="0"/>
          <w:snapToGrid w:val="0"/>
          <w:color w:val="auto"/>
          <w:sz w:val="24"/>
          <w:szCs w:val="24"/>
          <w:highlight w:val="none"/>
        </w:rPr>
        <w:t>偏离</w:t>
      </w:r>
      <w:bookmarkEnd w:id="237"/>
      <w:bookmarkEnd w:id="238"/>
      <w:bookmarkEnd w:id="239"/>
      <w:bookmarkEnd w:id="240"/>
      <w:bookmarkEnd w:id="241"/>
      <w:bookmarkEnd w:id="242"/>
      <w:bookmarkEnd w:id="243"/>
      <w:bookmarkEnd w:id="244"/>
      <w:bookmarkEnd w:id="245"/>
      <w:bookmarkEnd w:id="246"/>
    </w:p>
    <w:p w14:paraId="44F71B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规定 的偏离范围和幅度。</w:t>
      </w:r>
    </w:p>
    <w:p w14:paraId="3E526DDD">
      <w:pPr>
        <w:pStyle w:val="5"/>
        <w:spacing w:before="0" w:after="0" w:line="360" w:lineRule="auto"/>
        <w:rPr>
          <w:rFonts w:ascii="宋体" w:hAnsi="宋体"/>
          <w:b w:val="0"/>
          <w:snapToGrid w:val="0"/>
          <w:color w:val="auto"/>
          <w:highlight w:val="none"/>
        </w:rPr>
      </w:pPr>
      <w:bookmarkStart w:id="247" w:name="_Toc4115"/>
      <w:bookmarkStart w:id="248" w:name="_Toc11902"/>
      <w:bookmarkStart w:id="249" w:name="_Toc277082566"/>
      <w:bookmarkStart w:id="250" w:name="_Toc509218724"/>
      <w:bookmarkStart w:id="251" w:name="_Toc224103331"/>
      <w:bookmarkStart w:id="252" w:name="_Toc287620699"/>
      <w:bookmarkStart w:id="253" w:name="_Toc430530449"/>
      <w:bookmarkStart w:id="254" w:name="_Toc287607760"/>
      <w:bookmarkStart w:id="255" w:name="_Toc200513140"/>
      <w:bookmarkStart w:id="256" w:name="_Toc15757"/>
      <w:r>
        <w:rPr>
          <w:rFonts w:ascii="宋体" w:hAnsi="宋体"/>
          <w:b w:val="0"/>
          <w:snapToGrid w:val="0"/>
          <w:color w:val="auto"/>
          <w:highlight w:val="none"/>
        </w:rPr>
        <w:t xml:space="preserve">2.  </w:t>
      </w:r>
      <w:bookmarkEnd w:id="247"/>
      <w:bookmarkEnd w:id="248"/>
      <w:bookmarkEnd w:id="249"/>
      <w:bookmarkEnd w:id="250"/>
      <w:bookmarkEnd w:id="251"/>
      <w:bookmarkEnd w:id="252"/>
      <w:bookmarkEnd w:id="253"/>
      <w:bookmarkEnd w:id="254"/>
      <w:bookmarkEnd w:id="255"/>
      <w:bookmarkEnd w:id="256"/>
      <w:r>
        <w:rPr>
          <w:rFonts w:hint="eastAsia" w:ascii="宋体" w:hAnsi="宋体"/>
          <w:b w:val="0"/>
          <w:snapToGrid w:val="0"/>
          <w:color w:val="auto"/>
          <w:highlight w:val="none"/>
        </w:rPr>
        <w:t>竞争性比选文件</w:t>
      </w:r>
    </w:p>
    <w:p w14:paraId="218260F8">
      <w:pPr>
        <w:pStyle w:val="6"/>
        <w:snapToGrid w:val="0"/>
        <w:spacing w:before="0" w:after="0" w:line="360" w:lineRule="auto"/>
        <w:rPr>
          <w:rFonts w:ascii="宋体" w:hAnsi="宋体"/>
          <w:b w:val="0"/>
          <w:snapToGrid w:val="0"/>
          <w:color w:val="auto"/>
          <w:sz w:val="24"/>
          <w:szCs w:val="24"/>
          <w:highlight w:val="none"/>
        </w:rPr>
      </w:pPr>
      <w:bookmarkStart w:id="257" w:name="_Toc14625"/>
      <w:bookmarkStart w:id="258" w:name="_Toc509218725"/>
      <w:bookmarkStart w:id="259" w:name="_Toc277082567"/>
      <w:bookmarkStart w:id="260" w:name="_Toc21821"/>
      <w:bookmarkStart w:id="261" w:name="_Toc200513141"/>
      <w:bookmarkStart w:id="262" w:name="_Toc31696"/>
      <w:bookmarkStart w:id="263" w:name="_Toc287607761"/>
      <w:bookmarkStart w:id="264" w:name="_Toc430530450"/>
      <w:bookmarkStart w:id="265" w:name="_Toc224103332"/>
      <w:bookmarkStart w:id="266" w:name="_Toc287620700"/>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rPr>
        <w:t>竞争性比选文件</w:t>
      </w:r>
      <w:r>
        <w:rPr>
          <w:rFonts w:ascii="宋体" w:hAnsi="宋体"/>
          <w:b w:val="0"/>
          <w:snapToGrid w:val="0"/>
          <w:color w:val="auto"/>
          <w:sz w:val="24"/>
          <w:szCs w:val="24"/>
          <w:highlight w:val="none"/>
        </w:rPr>
        <w:t>的组成</w:t>
      </w:r>
      <w:bookmarkEnd w:id="257"/>
      <w:bookmarkEnd w:id="258"/>
      <w:bookmarkEnd w:id="259"/>
      <w:bookmarkEnd w:id="260"/>
      <w:bookmarkEnd w:id="261"/>
      <w:bookmarkEnd w:id="262"/>
      <w:bookmarkEnd w:id="263"/>
      <w:bookmarkEnd w:id="264"/>
      <w:bookmarkEnd w:id="265"/>
      <w:bookmarkEnd w:id="266"/>
    </w:p>
    <w:p w14:paraId="680A7A7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包括：</w:t>
      </w:r>
    </w:p>
    <w:p w14:paraId="57E55BE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竞争性比选公告</w:t>
      </w:r>
      <w:r>
        <w:rPr>
          <w:rFonts w:ascii="宋体" w:hAnsi="宋体"/>
          <w:snapToGrid w:val="0"/>
          <w:color w:val="auto"/>
          <w:kern w:val="0"/>
          <w:szCs w:val="21"/>
          <w:highlight w:val="none"/>
        </w:rPr>
        <w:t>；</w:t>
      </w:r>
    </w:p>
    <w:p w14:paraId="630C05E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w:t>
      </w:r>
    </w:p>
    <w:p w14:paraId="27B4707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0F89C1D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26ACF68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2861A35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788E700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320A7F0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w:t>
      </w:r>
    </w:p>
    <w:p w14:paraId="74B31A1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须知前附表规定的其他材料。</w:t>
      </w:r>
    </w:p>
    <w:p w14:paraId="0D4930C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的组成部分。</w:t>
      </w:r>
    </w:p>
    <w:p w14:paraId="31456B23">
      <w:pPr>
        <w:pStyle w:val="6"/>
        <w:snapToGrid w:val="0"/>
        <w:spacing w:before="0" w:after="0" w:line="360" w:lineRule="auto"/>
        <w:rPr>
          <w:rFonts w:ascii="宋体" w:hAnsi="宋体"/>
          <w:b w:val="0"/>
          <w:snapToGrid w:val="0"/>
          <w:color w:val="auto"/>
          <w:sz w:val="24"/>
          <w:szCs w:val="24"/>
          <w:highlight w:val="none"/>
        </w:rPr>
      </w:pPr>
      <w:bookmarkStart w:id="267" w:name="_Toc5331"/>
      <w:bookmarkStart w:id="268" w:name="_Toc509218726"/>
      <w:bookmarkStart w:id="269" w:name="_Toc23750"/>
      <w:bookmarkStart w:id="270" w:name="_Toc430530451"/>
      <w:bookmarkStart w:id="271" w:name="_Toc18083"/>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rPr>
        <w:t>竞争性比选文件</w:t>
      </w:r>
      <w:r>
        <w:rPr>
          <w:rFonts w:ascii="宋体" w:hAnsi="宋体"/>
          <w:b w:val="0"/>
          <w:snapToGrid w:val="0"/>
          <w:color w:val="auto"/>
          <w:sz w:val="24"/>
          <w:szCs w:val="24"/>
          <w:highlight w:val="none"/>
        </w:rPr>
        <w:t>的澄清</w:t>
      </w:r>
      <w:bookmarkEnd w:id="267"/>
      <w:bookmarkEnd w:id="268"/>
      <w:bookmarkEnd w:id="269"/>
      <w:bookmarkEnd w:id="270"/>
      <w:bookmarkEnd w:id="271"/>
    </w:p>
    <w:p w14:paraId="0208EA9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提出，以便补齐。如有疑问，应在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须知前附表规定的时间前</w:t>
      </w:r>
      <w:r>
        <w:rPr>
          <w:rFonts w:hint="eastAsia" w:ascii="宋体" w:hAnsi="宋体"/>
          <w:color w:val="auto"/>
          <w:kern w:val="0"/>
          <w:szCs w:val="21"/>
          <w:highlight w:val="none"/>
        </w:rPr>
        <w:t>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予以澄清。</w:t>
      </w:r>
    </w:p>
    <w:p w14:paraId="350B826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的澄清将在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须知前附表规定的投标截止时间前</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w:t>
      </w:r>
    </w:p>
    <w:p w14:paraId="01AC1C8C">
      <w:pPr>
        <w:pStyle w:val="6"/>
        <w:snapToGrid w:val="0"/>
        <w:spacing w:before="0" w:after="0" w:line="360" w:lineRule="auto"/>
        <w:rPr>
          <w:rFonts w:ascii="宋体" w:hAnsi="宋体"/>
          <w:b w:val="0"/>
          <w:snapToGrid w:val="0"/>
          <w:color w:val="auto"/>
          <w:sz w:val="24"/>
          <w:szCs w:val="24"/>
          <w:highlight w:val="none"/>
        </w:rPr>
      </w:pPr>
      <w:bookmarkStart w:id="272" w:name="_Toc277082569"/>
      <w:bookmarkStart w:id="273" w:name="_Toc224103334"/>
      <w:bookmarkStart w:id="274" w:name="_Toc509218727"/>
      <w:bookmarkStart w:id="275" w:name="_Toc27922"/>
      <w:bookmarkStart w:id="276" w:name="_Toc200513143"/>
      <w:bookmarkStart w:id="277" w:name="_Toc287620702"/>
      <w:bookmarkStart w:id="278" w:name="_Toc29276"/>
      <w:bookmarkStart w:id="279" w:name="_Toc287607763"/>
      <w:bookmarkStart w:id="280" w:name="_Toc430530452"/>
      <w:bookmarkStart w:id="281" w:name="_Toc19540"/>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rPr>
        <w:t>竞争性比选文件</w:t>
      </w:r>
      <w:r>
        <w:rPr>
          <w:rFonts w:ascii="宋体" w:hAnsi="宋体"/>
          <w:b w:val="0"/>
          <w:snapToGrid w:val="0"/>
          <w:color w:val="auto"/>
          <w:sz w:val="24"/>
          <w:szCs w:val="24"/>
          <w:highlight w:val="none"/>
        </w:rPr>
        <w:t>的修改</w:t>
      </w:r>
      <w:bookmarkEnd w:id="272"/>
      <w:bookmarkEnd w:id="273"/>
      <w:bookmarkEnd w:id="274"/>
      <w:bookmarkEnd w:id="275"/>
      <w:bookmarkEnd w:id="276"/>
      <w:bookmarkEnd w:id="277"/>
      <w:bookmarkEnd w:id="278"/>
      <w:bookmarkEnd w:id="279"/>
      <w:bookmarkEnd w:id="280"/>
      <w:bookmarkEnd w:id="281"/>
    </w:p>
    <w:p w14:paraId="6D8A437D">
      <w:pPr>
        <w:autoSpaceDE w:val="0"/>
        <w:autoSpaceDN w:val="0"/>
        <w:adjustRightInd w:val="0"/>
        <w:snapToGrid w:val="0"/>
        <w:spacing w:line="360" w:lineRule="auto"/>
        <w:ind w:firstLine="420"/>
        <w:rPr>
          <w:rFonts w:ascii="宋体" w:hAnsi="宋体"/>
          <w:snapToGrid w:val="0"/>
          <w:color w:val="auto"/>
          <w:highlight w:val="none"/>
        </w:rPr>
      </w:pPr>
      <w:bookmarkStart w:id="282" w:name="_Toc200513144"/>
      <w:bookmarkStart w:id="283" w:name="_Toc287607764"/>
      <w:bookmarkStart w:id="284" w:name="_Toc224103335"/>
      <w:bookmarkStart w:id="285" w:name="_Toc277082570"/>
      <w:bookmarkStart w:id="286" w:name="_Toc287620703"/>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款竞争性比选文件</w:t>
      </w:r>
      <w:r>
        <w:rPr>
          <w:rFonts w:ascii="宋体" w:hAnsi="宋体"/>
          <w:snapToGrid w:val="0"/>
          <w:color w:val="auto"/>
          <w:highlight w:val="none"/>
        </w:rPr>
        <w:t>的澄清相关内容及方式执行。</w:t>
      </w:r>
    </w:p>
    <w:p w14:paraId="2AC86C83">
      <w:pPr>
        <w:pStyle w:val="5"/>
        <w:spacing w:before="0" w:after="0" w:line="360" w:lineRule="auto"/>
        <w:rPr>
          <w:rFonts w:ascii="宋体" w:hAnsi="宋体"/>
          <w:b w:val="0"/>
          <w:snapToGrid w:val="0"/>
          <w:color w:val="auto"/>
          <w:highlight w:val="none"/>
        </w:rPr>
      </w:pPr>
      <w:bookmarkStart w:id="287" w:name="_Toc2046"/>
      <w:bookmarkStart w:id="288" w:name="_Toc14543"/>
      <w:bookmarkStart w:id="289" w:name="_Toc509218728"/>
      <w:bookmarkStart w:id="290" w:name="_Toc26713"/>
      <w:bookmarkStart w:id="291" w:name="_Toc430530453"/>
      <w:r>
        <w:rPr>
          <w:rFonts w:ascii="宋体" w:hAnsi="宋体"/>
          <w:b w:val="0"/>
          <w:snapToGrid w:val="0"/>
          <w:color w:val="auto"/>
          <w:highlight w:val="none"/>
        </w:rPr>
        <w:t xml:space="preserve">3. </w:t>
      </w:r>
      <w:bookmarkEnd w:id="282"/>
      <w:bookmarkEnd w:id="283"/>
      <w:bookmarkEnd w:id="284"/>
      <w:bookmarkEnd w:id="285"/>
      <w:bookmarkEnd w:id="286"/>
      <w:bookmarkEnd w:id="287"/>
      <w:bookmarkEnd w:id="288"/>
      <w:bookmarkEnd w:id="289"/>
      <w:bookmarkEnd w:id="290"/>
      <w:bookmarkEnd w:id="291"/>
      <w:r>
        <w:rPr>
          <w:rFonts w:hint="eastAsia" w:ascii="宋体" w:hAnsi="宋体"/>
          <w:b w:val="0"/>
          <w:snapToGrid w:val="0"/>
          <w:color w:val="auto"/>
          <w:highlight w:val="none"/>
        </w:rPr>
        <w:t>竞选文件</w:t>
      </w:r>
    </w:p>
    <w:p w14:paraId="7FCAB3A5">
      <w:pPr>
        <w:pStyle w:val="6"/>
        <w:snapToGrid w:val="0"/>
        <w:spacing w:before="0" w:after="0" w:line="360" w:lineRule="auto"/>
        <w:rPr>
          <w:rFonts w:ascii="宋体" w:hAnsi="宋体"/>
          <w:b w:val="0"/>
          <w:snapToGrid w:val="0"/>
          <w:color w:val="auto"/>
          <w:sz w:val="24"/>
          <w:szCs w:val="24"/>
          <w:highlight w:val="none"/>
        </w:rPr>
      </w:pPr>
      <w:bookmarkStart w:id="292" w:name="_Toc287607765"/>
      <w:bookmarkStart w:id="293" w:name="_Toc224103336"/>
      <w:bookmarkStart w:id="294" w:name="_Toc509218729"/>
      <w:bookmarkStart w:id="295" w:name="_Toc430530454"/>
      <w:bookmarkStart w:id="296" w:name="_Toc8482"/>
      <w:bookmarkStart w:id="297" w:name="_Toc5473"/>
      <w:bookmarkStart w:id="298" w:name="_Toc287620704"/>
      <w:bookmarkStart w:id="299" w:name="_Toc277082571"/>
      <w:bookmarkStart w:id="300" w:name="_Toc200513145"/>
      <w:bookmarkStart w:id="301" w:name="_Toc31050"/>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的组成</w:t>
      </w:r>
      <w:bookmarkEnd w:id="292"/>
      <w:bookmarkEnd w:id="293"/>
      <w:bookmarkEnd w:id="294"/>
      <w:bookmarkEnd w:id="295"/>
      <w:bookmarkEnd w:id="296"/>
      <w:bookmarkEnd w:id="297"/>
      <w:bookmarkEnd w:id="298"/>
      <w:bookmarkEnd w:id="299"/>
      <w:bookmarkEnd w:id="300"/>
      <w:bookmarkEnd w:id="301"/>
    </w:p>
    <w:p w14:paraId="5CF7CFE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snapToGrid w:val="0"/>
          <w:color w:val="auto"/>
          <w:kern w:val="0"/>
          <w:szCs w:val="21"/>
          <w:highlight w:val="none"/>
        </w:rPr>
        <w:t>3.1.1</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应包括下列内容：</w:t>
      </w:r>
    </w:p>
    <w:p w14:paraId="4E7FC0E9">
      <w:pPr>
        <w:spacing w:line="360" w:lineRule="auto"/>
        <w:ind w:firstLine="420" w:firstLineChars="200"/>
        <w:rPr>
          <w:rFonts w:ascii="宋体" w:hAnsi="宋体"/>
          <w:color w:val="auto"/>
          <w:highlight w:val="none"/>
        </w:rPr>
      </w:pPr>
      <w:r>
        <w:rPr>
          <w:rFonts w:hint="eastAsia" w:ascii="宋体" w:hAnsi="宋体"/>
          <w:color w:val="auto"/>
          <w:highlight w:val="none"/>
        </w:rPr>
        <w:t>3.1.1.1投标函部分</w:t>
      </w:r>
    </w:p>
    <w:p w14:paraId="3F70DFC5">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14:paraId="1BBB7C8C">
      <w:pPr>
        <w:spacing w:line="360" w:lineRule="auto"/>
        <w:ind w:firstLine="420" w:firstLineChars="200"/>
        <w:rPr>
          <w:rFonts w:ascii="宋体" w:hAnsi="宋体"/>
          <w:color w:val="auto"/>
          <w:highlight w:val="none"/>
        </w:rPr>
      </w:pPr>
      <w:r>
        <w:rPr>
          <w:rFonts w:hint="eastAsia" w:ascii="宋体" w:hAnsi="宋体"/>
          <w:color w:val="auto"/>
          <w:highlight w:val="none"/>
        </w:rPr>
        <w:t>（2）法定代表人身份证明或附有法定代表人身份证明的授权委托书</w:t>
      </w:r>
    </w:p>
    <w:p w14:paraId="3B568532">
      <w:pPr>
        <w:spacing w:line="360" w:lineRule="auto"/>
        <w:ind w:firstLine="420" w:firstLineChars="200"/>
        <w:rPr>
          <w:rFonts w:ascii="宋体" w:hAnsi="宋体"/>
          <w:color w:val="auto"/>
          <w:highlight w:val="none"/>
        </w:rPr>
      </w:pPr>
      <w:r>
        <w:rPr>
          <w:rFonts w:hint="eastAsia" w:ascii="宋体" w:hAnsi="宋体"/>
          <w:color w:val="auto"/>
          <w:highlight w:val="none"/>
        </w:rPr>
        <w:t>（3）低价风险担保提交承诺书（如有）</w:t>
      </w:r>
    </w:p>
    <w:p w14:paraId="435E6456">
      <w:pPr>
        <w:spacing w:line="360" w:lineRule="auto"/>
        <w:ind w:firstLine="420" w:firstLineChars="200"/>
        <w:rPr>
          <w:rFonts w:ascii="宋体" w:hAnsi="宋体"/>
          <w:color w:val="auto"/>
          <w:highlight w:val="none"/>
        </w:rPr>
      </w:pPr>
      <w:r>
        <w:rPr>
          <w:rFonts w:hint="eastAsia" w:ascii="宋体" w:hAnsi="宋体"/>
          <w:color w:val="auto"/>
          <w:highlight w:val="none"/>
        </w:rPr>
        <w:t>3.1.1.2经济部分</w:t>
      </w:r>
    </w:p>
    <w:p w14:paraId="341C57A1">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4C19E091">
      <w:pPr>
        <w:spacing w:line="360" w:lineRule="auto"/>
        <w:ind w:firstLine="420" w:firstLineChars="200"/>
        <w:rPr>
          <w:rFonts w:ascii="宋体" w:hAnsi="宋体"/>
          <w:color w:val="auto"/>
          <w:highlight w:val="none"/>
        </w:rPr>
      </w:pPr>
      <w:r>
        <w:rPr>
          <w:rFonts w:hint="eastAsia" w:ascii="宋体" w:hAnsi="宋体"/>
          <w:color w:val="auto"/>
          <w:highlight w:val="none"/>
        </w:rPr>
        <w:t>3.1.1.3技术部分</w:t>
      </w:r>
    </w:p>
    <w:p w14:paraId="76D8FD93">
      <w:pPr>
        <w:spacing w:line="360" w:lineRule="auto"/>
        <w:ind w:firstLine="420" w:firstLineChars="200"/>
        <w:rPr>
          <w:rFonts w:ascii="宋体" w:hAnsi="宋体"/>
          <w:color w:val="auto"/>
          <w:highlight w:val="none"/>
        </w:rPr>
      </w:pPr>
      <w:r>
        <w:rPr>
          <w:rFonts w:hint="eastAsia" w:ascii="宋体" w:hAnsi="宋体"/>
          <w:color w:val="auto"/>
          <w:highlight w:val="none"/>
        </w:rPr>
        <w:t>3.1.1.4资格审查部分</w:t>
      </w:r>
    </w:p>
    <w:p w14:paraId="3A81CECE">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31AE29B9">
      <w:pPr>
        <w:spacing w:line="360" w:lineRule="auto"/>
        <w:ind w:firstLine="420" w:firstLineChars="200"/>
        <w:rPr>
          <w:rFonts w:ascii="宋体" w:hAnsi="宋体"/>
          <w:color w:val="auto"/>
          <w:highlight w:val="none"/>
        </w:rPr>
      </w:pPr>
      <w:r>
        <w:rPr>
          <w:rFonts w:hint="eastAsia" w:ascii="宋体" w:hAnsi="宋体"/>
          <w:color w:val="auto"/>
          <w:highlight w:val="none"/>
        </w:rPr>
        <w:t>（2）竞选人基本情况表</w:t>
      </w:r>
    </w:p>
    <w:p w14:paraId="0BFFAEAF">
      <w:pPr>
        <w:spacing w:line="360" w:lineRule="auto"/>
        <w:ind w:firstLine="420" w:firstLineChars="200"/>
        <w:rPr>
          <w:rFonts w:ascii="宋体" w:hAnsi="宋体"/>
          <w:color w:val="auto"/>
          <w:highlight w:val="none"/>
        </w:rPr>
      </w:pPr>
      <w:r>
        <w:rPr>
          <w:rFonts w:hint="eastAsia" w:ascii="宋体" w:hAnsi="宋体"/>
          <w:color w:val="auto"/>
          <w:highlight w:val="none"/>
        </w:rPr>
        <w:t>（3）项目管理机构</w:t>
      </w:r>
    </w:p>
    <w:p w14:paraId="71F542F6">
      <w:pPr>
        <w:spacing w:line="360" w:lineRule="auto"/>
        <w:ind w:firstLine="420" w:firstLineChars="200"/>
        <w:rPr>
          <w:rFonts w:ascii="宋体" w:hAnsi="宋体"/>
          <w:color w:val="auto"/>
          <w:highlight w:val="none"/>
        </w:rPr>
      </w:pPr>
      <w:r>
        <w:rPr>
          <w:rFonts w:hint="eastAsia" w:ascii="宋体" w:hAnsi="宋体"/>
          <w:color w:val="auto"/>
          <w:highlight w:val="none"/>
        </w:rPr>
        <w:t>（4）近年财务状况表</w:t>
      </w:r>
    </w:p>
    <w:p w14:paraId="163C94E1">
      <w:pPr>
        <w:spacing w:line="360" w:lineRule="auto"/>
        <w:ind w:firstLine="420" w:firstLineChars="200"/>
        <w:rPr>
          <w:rFonts w:ascii="宋体" w:hAnsi="宋体"/>
          <w:color w:val="auto"/>
          <w:highlight w:val="none"/>
        </w:rPr>
      </w:pPr>
      <w:r>
        <w:rPr>
          <w:rFonts w:hint="eastAsia" w:ascii="宋体" w:hAnsi="宋体"/>
          <w:color w:val="auto"/>
          <w:highlight w:val="none"/>
        </w:rPr>
        <w:t>（5）其他资料</w:t>
      </w:r>
    </w:p>
    <w:p w14:paraId="444D7C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须知前附表规定不接受联合体投标的，或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没有组成联合体的，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不包括联合体协议书。</w:t>
      </w:r>
    </w:p>
    <w:p w14:paraId="20FB9EF8">
      <w:pPr>
        <w:pStyle w:val="6"/>
        <w:snapToGrid w:val="0"/>
        <w:spacing w:before="0" w:after="0" w:line="360" w:lineRule="auto"/>
        <w:rPr>
          <w:rFonts w:ascii="宋体" w:hAnsi="宋体"/>
          <w:b w:val="0"/>
          <w:snapToGrid w:val="0"/>
          <w:color w:val="auto"/>
          <w:sz w:val="24"/>
          <w:szCs w:val="24"/>
          <w:highlight w:val="none"/>
        </w:rPr>
      </w:pPr>
      <w:bookmarkStart w:id="302" w:name="_Toc509218730"/>
      <w:bookmarkStart w:id="303" w:name="_Toc287620705"/>
      <w:bookmarkStart w:id="304" w:name="_Toc16701"/>
      <w:bookmarkStart w:id="305" w:name="_Toc277082572"/>
      <w:bookmarkStart w:id="306" w:name="_Toc287607766"/>
      <w:bookmarkStart w:id="307" w:name="_Toc430530455"/>
      <w:bookmarkStart w:id="308" w:name="_Toc20908"/>
      <w:bookmarkStart w:id="309" w:name="_Toc11028"/>
      <w:bookmarkStart w:id="310" w:name="_Toc224103337"/>
      <w:bookmarkStart w:id="311" w:name="_Toc200513146"/>
      <w:r>
        <w:rPr>
          <w:rFonts w:ascii="宋体" w:hAnsi="宋体"/>
          <w:b w:val="0"/>
          <w:snapToGrid w:val="0"/>
          <w:color w:val="auto"/>
          <w:sz w:val="24"/>
          <w:szCs w:val="24"/>
          <w:highlight w:val="none"/>
        </w:rPr>
        <w:t>3.2  投标报价</w:t>
      </w:r>
      <w:bookmarkEnd w:id="302"/>
      <w:bookmarkEnd w:id="303"/>
      <w:bookmarkEnd w:id="304"/>
      <w:bookmarkEnd w:id="305"/>
      <w:bookmarkEnd w:id="306"/>
      <w:bookmarkEnd w:id="307"/>
      <w:bookmarkEnd w:id="308"/>
      <w:bookmarkEnd w:id="309"/>
      <w:bookmarkEnd w:id="310"/>
      <w:bookmarkEnd w:id="311"/>
    </w:p>
    <w:p w14:paraId="52495F0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应按第五章“工程量清单”的要求填写相应表格。</w:t>
      </w:r>
    </w:p>
    <w:p w14:paraId="627B6F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竞选人</w:t>
      </w:r>
      <w:r>
        <w:rPr>
          <w:rFonts w:ascii="宋体" w:hAnsi="宋体"/>
          <w:snapToGrid w:val="0"/>
          <w:color w:val="auto"/>
          <w:kern w:val="0"/>
          <w:szCs w:val="21"/>
          <w:highlight w:val="none"/>
        </w:rPr>
        <w:t>在投标截止时间前修改投标函中的投标总报价，应同时修改第五章“工程量清单”中的相应报价。此修改须符合本章第 4.3 款的有关要求。</w:t>
      </w:r>
    </w:p>
    <w:p w14:paraId="34AB02C2">
      <w:pPr>
        <w:pStyle w:val="6"/>
        <w:snapToGrid w:val="0"/>
        <w:spacing w:before="0" w:after="0" w:line="360" w:lineRule="auto"/>
        <w:rPr>
          <w:rFonts w:ascii="宋体" w:hAnsi="宋体"/>
          <w:b w:val="0"/>
          <w:snapToGrid w:val="0"/>
          <w:color w:val="auto"/>
          <w:sz w:val="24"/>
          <w:szCs w:val="24"/>
          <w:highlight w:val="none"/>
        </w:rPr>
      </w:pPr>
      <w:bookmarkStart w:id="312" w:name="_Toc430530456"/>
      <w:bookmarkStart w:id="313" w:name="_Toc200513147"/>
      <w:bookmarkStart w:id="314" w:name="_Toc287607767"/>
      <w:bookmarkStart w:id="315" w:name="_Toc4304"/>
      <w:bookmarkStart w:id="316" w:name="_Toc287620706"/>
      <w:bookmarkStart w:id="317" w:name="_Toc224103338"/>
      <w:bookmarkStart w:id="318" w:name="_Toc277082573"/>
      <w:bookmarkStart w:id="319" w:name="_Toc509218731"/>
      <w:bookmarkStart w:id="320" w:name="_Toc16906"/>
      <w:bookmarkStart w:id="321" w:name="_Toc15122"/>
      <w:r>
        <w:rPr>
          <w:rFonts w:ascii="宋体" w:hAnsi="宋体"/>
          <w:b w:val="0"/>
          <w:snapToGrid w:val="0"/>
          <w:color w:val="auto"/>
          <w:sz w:val="24"/>
          <w:szCs w:val="24"/>
          <w:highlight w:val="none"/>
        </w:rPr>
        <w:t>3.3  投标有效期</w:t>
      </w:r>
      <w:bookmarkEnd w:id="312"/>
      <w:bookmarkEnd w:id="313"/>
      <w:bookmarkEnd w:id="314"/>
      <w:bookmarkEnd w:id="315"/>
      <w:bookmarkEnd w:id="316"/>
      <w:bookmarkEnd w:id="317"/>
      <w:bookmarkEnd w:id="318"/>
      <w:bookmarkEnd w:id="319"/>
      <w:bookmarkEnd w:id="320"/>
      <w:bookmarkEnd w:id="321"/>
    </w:p>
    <w:p w14:paraId="3E95557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须知前附表规定的投标有效期内，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不得要求撤销或修改其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4BB97B8F">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3.3.2  </w:t>
      </w:r>
      <w:r>
        <w:rPr>
          <w:rFonts w:hint="eastAsia" w:ascii="宋体" w:hAnsi="宋体" w:cs="MingLiU"/>
          <w:snapToGrid w:val="0"/>
          <w:color w:val="auto"/>
          <w:kern w:val="0"/>
          <w:szCs w:val="21"/>
          <w:highlight w:val="none"/>
        </w:rPr>
        <w:t>出现特殊情况需要延长投标有效期的，比选人以书面形式通知所有竞选人延长投标有效期。竞选人同意延长的，应相应延长其投标保证金的有效期，但不得要求或被允许修改或撤销其竞选文件；竞选人拒绝延长的，其投标失效，但竞选人有权收回其投标保证金。</w:t>
      </w:r>
    </w:p>
    <w:p w14:paraId="1F650D4C">
      <w:pPr>
        <w:pStyle w:val="6"/>
        <w:keepNext w:val="0"/>
        <w:keepLines w:val="0"/>
        <w:snapToGrid w:val="0"/>
        <w:spacing w:before="0" w:after="0" w:line="360" w:lineRule="auto"/>
        <w:rPr>
          <w:rFonts w:ascii="宋体" w:hAnsi="宋体"/>
          <w:b w:val="0"/>
          <w:snapToGrid w:val="0"/>
          <w:color w:val="auto"/>
          <w:sz w:val="24"/>
          <w:szCs w:val="24"/>
          <w:highlight w:val="none"/>
        </w:rPr>
      </w:pPr>
      <w:bookmarkStart w:id="322" w:name="_Toc430530457"/>
      <w:bookmarkStart w:id="323" w:name="_Toc224103339"/>
      <w:bookmarkStart w:id="324" w:name="_Toc277082574"/>
      <w:bookmarkStart w:id="325" w:name="_Toc509218732"/>
      <w:bookmarkStart w:id="326" w:name="_Toc287620707"/>
      <w:bookmarkStart w:id="327" w:name="_Toc287607768"/>
      <w:bookmarkStart w:id="328" w:name="_Toc200513148"/>
      <w:bookmarkStart w:id="329" w:name="_Toc1366"/>
      <w:bookmarkStart w:id="330" w:name="_Toc10931"/>
      <w:bookmarkStart w:id="331" w:name="_Toc28981"/>
      <w:r>
        <w:rPr>
          <w:rFonts w:ascii="宋体" w:hAnsi="宋体"/>
          <w:b w:val="0"/>
          <w:snapToGrid w:val="0"/>
          <w:color w:val="auto"/>
          <w:sz w:val="24"/>
          <w:szCs w:val="24"/>
          <w:highlight w:val="none"/>
        </w:rPr>
        <w:t xml:space="preserve">3.4  </w:t>
      </w:r>
      <w:bookmarkEnd w:id="322"/>
      <w:bookmarkEnd w:id="323"/>
      <w:bookmarkEnd w:id="324"/>
      <w:bookmarkEnd w:id="325"/>
      <w:bookmarkEnd w:id="326"/>
      <w:bookmarkEnd w:id="327"/>
      <w:bookmarkEnd w:id="328"/>
      <w:r>
        <w:rPr>
          <w:rFonts w:ascii="宋体" w:hAnsi="宋体"/>
          <w:b w:val="0"/>
          <w:snapToGrid w:val="0"/>
          <w:color w:val="auto"/>
          <w:sz w:val="24"/>
          <w:szCs w:val="24"/>
          <w:highlight w:val="none"/>
        </w:rPr>
        <w:t>投标</w:t>
      </w:r>
      <w:bookmarkEnd w:id="329"/>
      <w:r>
        <w:rPr>
          <w:rFonts w:hint="eastAsia" w:ascii="宋体" w:hAnsi="宋体"/>
          <w:b w:val="0"/>
          <w:snapToGrid w:val="0"/>
          <w:color w:val="auto"/>
          <w:sz w:val="24"/>
          <w:szCs w:val="24"/>
          <w:highlight w:val="none"/>
        </w:rPr>
        <w:t>保证金</w:t>
      </w:r>
      <w:bookmarkEnd w:id="330"/>
      <w:bookmarkEnd w:id="331"/>
    </w:p>
    <w:p w14:paraId="7797E82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须知前附表的规定递交投标保证金，并作为其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w:t>
      </w:r>
    </w:p>
    <w:p w14:paraId="1645CE8E">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不按本章第 3.4.1 项要求提交投标保证金的，其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作否决投标处理。</w:t>
      </w:r>
    </w:p>
    <w:p w14:paraId="6C661C5F">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投标保证金退还：见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ascii="宋体" w:hAnsi="宋体"/>
          <w:snapToGrid w:val="0"/>
          <w:color w:val="auto"/>
          <w:kern w:val="0"/>
          <w:position w:val="-2"/>
          <w:szCs w:val="21"/>
          <w:highlight w:val="none"/>
        </w:rPr>
        <w:t>。</w:t>
      </w:r>
    </w:p>
    <w:p w14:paraId="5FF8236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3E3CAC3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在规定的投标有效期内撤销或修改其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5E1B42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中标人在收到中标通知书后，无正当理由不与比选人订立合同，在签订合同时向比选人提出附加条件，或者不按照竞争性比选文件要求提交履约保证金</w:t>
      </w:r>
      <w:r>
        <w:rPr>
          <w:rFonts w:ascii="宋体" w:hAnsi="宋体"/>
          <w:snapToGrid w:val="0"/>
          <w:color w:val="auto"/>
          <w:kern w:val="0"/>
          <w:szCs w:val="21"/>
          <w:highlight w:val="none"/>
        </w:rPr>
        <w:t>；</w:t>
      </w:r>
    </w:p>
    <w:p w14:paraId="0422E3F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olor w:val="auto"/>
          <w:kern w:val="0"/>
          <w:szCs w:val="21"/>
          <w:highlight w:val="none"/>
        </w:rPr>
        <w:t>中标人（或拟中标人）拒不提供或者不按时提供低价风险担保；</w:t>
      </w:r>
    </w:p>
    <w:p w14:paraId="032A473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的纪律要求的；</w:t>
      </w:r>
    </w:p>
    <w:p w14:paraId="209BF0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）法律法规规定的其他情形。</w:t>
      </w:r>
    </w:p>
    <w:p w14:paraId="2BC7F955">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731ABD54">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rPr>
        <w:t>比选人。</w:t>
      </w:r>
    </w:p>
    <w:p w14:paraId="77E66C5E">
      <w:pPr>
        <w:pStyle w:val="6"/>
        <w:keepNext w:val="0"/>
        <w:keepLines w:val="0"/>
        <w:snapToGrid w:val="0"/>
        <w:spacing w:before="0" w:after="0" w:line="360" w:lineRule="auto"/>
        <w:rPr>
          <w:rFonts w:ascii="宋体" w:hAnsi="宋体"/>
          <w:b w:val="0"/>
          <w:snapToGrid w:val="0"/>
          <w:color w:val="auto"/>
          <w:sz w:val="24"/>
          <w:szCs w:val="24"/>
          <w:highlight w:val="none"/>
        </w:rPr>
      </w:pPr>
      <w:bookmarkStart w:id="332" w:name="_Toc277082576"/>
      <w:bookmarkStart w:id="333" w:name="_Toc200513150"/>
      <w:bookmarkStart w:id="334" w:name="_Toc224103341"/>
      <w:bookmarkStart w:id="335" w:name="_Toc16639"/>
      <w:bookmarkStart w:id="336" w:name="_Toc287620709"/>
      <w:bookmarkStart w:id="337" w:name="_Toc430530459"/>
      <w:bookmarkStart w:id="338" w:name="_Toc21234"/>
      <w:bookmarkStart w:id="339" w:name="_Toc287607770"/>
      <w:bookmarkStart w:id="340" w:name="_Toc3595"/>
      <w:bookmarkStart w:id="341" w:name="_Toc509218734"/>
      <w:r>
        <w:rPr>
          <w:rFonts w:ascii="宋体" w:hAnsi="宋体"/>
          <w:b w:val="0"/>
          <w:snapToGrid w:val="0"/>
          <w:color w:val="auto"/>
          <w:sz w:val="24"/>
          <w:szCs w:val="24"/>
          <w:highlight w:val="none"/>
        </w:rPr>
        <w:t>3.5  资格审查资料</w:t>
      </w:r>
      <w:bookmarkEnd w:id="332"/>
      <w:bookmarkEnd w:id="333"/>
      <w:bookmarkEnd w:id="334"/>
      <w:bookmarkEnd w:id="335"/>
      <w:bookmarkEnd w:id="336"/>
      <w:bookmarkEnd w:id="337"/>
      <w:bookmarkEnd w:id="338"/>
      <w:bookmarkEnd w:id="339"/>
      <w:bookmarkEnd w:id="340"/>
      <w:bookmarkEnd w:id="341"/>
    </w:p>
    <w:p w14:paraId="76B91F43">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color w:val="auto"/>
          <w:szCs w:val="21"/>
          <w:highlight w:val="none"/>
        </w:rPr>
        <w:t>竞选人应附</w:t>
      </w:r>
      <w:r>
        <w:rPr>
          <w:rFonts w:hint="eastAsia" w:ascii="宋体" w:hAnsi="宋体"/>
          <w:color w:val="auto"/>
          <w:kern w:val="0"/>
          <w:szCs w:val="21"/>
          <w:highlight w:val="none"/>
        </w:rPr>
        <w:t>竞选人须知前附表第1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338DCAAA">
      <w:pPr>
        <w:pStyle w:val="6"/>
        <w:snapToGrid w:val="0"/>
        <w:spacing w:before="0" w:after="0" w:line="360" w:lineRule="auto"/>
        <w:rPr>
          <w:rFonts w:ascii="宋体" w:hAnsi="宋体"/>
          <w:b w:val="0"/>
          <w:snapToGrid w:val="0"/>
          <w:color w:val="auto"/>
          <w:sz w:val="24"/>
          <w:szCs w:val="24"/>
          <w:highlight w:val="none"/>
        </w:rPr>
      </w:pPr>
      <w:bookmarkStart w:id="342" w:name="_Toc27713"/>
      <w:bookmarkStart w:id="343" w:name="_Toc200513151"/>
      <w:bookmarkStart w:id="344" w:name="_Toc277082577"/>
      <w:bookmarkStart w:id="345" w:name="_Toc24446"/>
      <w:bookmarkStart w:id="346" w:name="_Toc287620710"/>
      <w:bookmarkStart w:id="347" w:name="_Toc5164"/>
      <w:bookmarkStart w:id="348" w:name="_Toc430530460"/>
      <w:bookmarkStart w:id="349" w:name="_Toc509218735"/>
      <w:bookmarkStart w:id="350" w:name="_Toc224103342"/>
      <w:bookmarkStart w:id="351" w:name="_Toc287607771"/>
      <w:r>
        <w:rPr>
          <w:rFonts w:ascii="宋体" w:hAnsi="宋体"/>
          <w:b w:val="0"/>
          <w:snapToGrid w:val="0"/>
          <w:color w:val="auto"/>
          <w:sz w:val="24"/>
          <w:szCs w:val="24"/>
          <w:highlight w:val="none"/>
        </w:rPr>
        <w:t>3.6  备选投标方案</w:t>
      </w:r>
      <w:bookmarkEnd w:id="342"/>
      <w:bookmarkEnd w:id="343"/>
      <w:bookmarkEnd w:id="344"/>
      <w:bookmarkEnd w:id="345"/>
      <w:bookmarkEnd w:id="346"/>
      <w:bookmarkEnd w:id="347"/>
      <w:bookmarkEnd w:id="348"/>
      <w:bookmarkEnd w:id="349"/>
      <w:bookmarkEnd w:id="350"/>
      <w:bookmarkEnd w:id="351"/>
    </w:p>
    <w:p w14:paraId="48D29A8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不得递交备选投标方案。允许</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可以接受该备选投标方案。</w:t>
      </w:r>
    </w:p>
    <w:p w14:paraId="30F93CC7">
      <w:pPr>
        <w:pStyle w:val="6"/>
        <w:snapToGrid w:val="0"/>
        <w:spacing w:before="0" w:after="0" w:line="360" w:lineRule="auto"/>
        <w:rPr>
          <w:rFonts w:ascii="宋体" w:hAnsi="宋体"/>
          <w:b w:val="0"/>
          <w:snapToGrid w:val="0"/>
          <w:color w:val="auto"/>
          <w:sz w:val="24"/>
          <w:szCs w:val="24"/>
          <w:highlight w:val="none"/>
        </w:rPr>
      </w:pPr>
      <w:bookmarkStart w:id="352" w:name="_Toc430530461"/>
      <w:bookmarkStart w:id="353" w:name="_Toc277082578"/>
      <w:bookmarkStart w:id="354" w:name="_Toc16536"/>
      <w:bookmarkStart w:id="355" w:name="_Toc7184"/>
      <w:bookmarkStart w:id="356" w:name="_Toc287607772"/>
      <w:bookmarkStart w:id="357" w:name="_Toc16951"/>
      <w:bookmarkStart w:id="358" w:name="_Toc287620711"/>
      <w:bookmarkStart w:id="359" w:name="_Toc509218736"/>
      <w:bookmarkStart w:id="360" w:name="_Toc200513152"/>
      <w:bookmarkStart w:id="361" w:name="_Toc224103343"/>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的编制</w:t>
      </w:r>
      <w:bookmarkEnd w:id="352"/>
      <w:bookmarkEnd w:id="353"/>
      <w:bookmarkEnd w:id="354"/>
      <w:bookmarkEnd w:id="355"/>
      <w:bookmarkEnd w:id="356"/>
      <w:bookmarkEnd w:id="357"/>
      <w:bookmarkEnd w:id="358"/>
      <w:bookmarkEnd w:id="359"/>
      <w:bookmarkEnd w:id="360"/>
      <w:bookmarkEnd w:id="361"/>
    </w:p>
    <w:p w14:paraId="31A6244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应按第八章“</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w:t>
      </w:r>
    </w:p>
    <w:p w14:paraId="0815EA8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有关工期</w:t>
      </w:r>
      <w:r>
        <w:rPr>
          <w:rFonts w:hint="eastAsia" w:ascii="宋体" w:hAnsi="宋体"/>
          <w:snapToGrid w:val="0"/>
          <w:color w:val="auto"/>
          <w:kern w:val="0"/>
          <w:szCs w:val="21"/>
          <w:highlight w:val="none"/>
        </w:rPr>
        <w:t>、缺陷责任期</w:t>
      </w:r>
      <w:r>
        <w:rPr>
          <w:rFonts w:ascii="宋体" w:hAnsi="宋体"/>
          <w:snapToGrid w:val="0"/>
          <w:color w:val="auto"/>
          <w:kern w:val="0"/>
          <w:szCs w:val="21"/>
          <w:highlight w:val="none"/>
        </w:rPr>
        <w:t>、投标有效期、质量要求、技术标准和要求、</w:t>
      </w:r>
      <w:r>
        <w:rPr>
          <w:rFonts w:hint="eastAsia" w:ascii="宋体" w:hAnsi="宋体"/>
          <w:snapToGrid w:val="0"/>
          <w:color w:val="auto"/>
          <w:kern w:val="0"/>
          <w:szCs w:val="21"/>
          <w:highlight w:val="none"/>
        </w:rPr>
        <w:t>比选范围</w:t>
      </w:r>
      <w:r>
        <w:rPr>
          <w:rFonts w:ascii="宋体" w:hAnsi="宋体"/>
          <w:snapToGrid w:val="0"/>
          <w:color w:val="auto"/>
          <w:kern w:val="0"/>
          <w:szCs w:val="21"/>
          <w:highlight w:val="none"/>
        </w:rPr>
        <w:t>等实质性内容做出响应。</w:t>
      </w:r>
    </w:p>
    <w:p w14:paraId="7A7FD6A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竞选文件的签名盖章要求：按本章竞选人须知前附表第3.7.3项执行。</w:t>
      </w:r>
    </w:p>
    <w:p w14:paraId="0CA87249">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》不分正副本。正本和副本的封面上应清楚地标记“正本”或“副本”的字样，正本和副本封面均须加盖单位法人章。当副本和正本不一致时，以正本为准。</w:t>
      </w:r>
    </w:p>
    <w:p w14:paraId="372FC1B7">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的正本与副本应分别装订成册，并编制目录，具体装订要求见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w:t>
      </w:r>
    </w:p>
    <w:p w14:paraId="6673DFD5">
      <w:pPr>
        <w:pStyle w:val="5"/>
        <w:keepNext w:val="0"/>
        <w:keepLines w:val="0"/>
        <w:spacing w:before="0" w:after="0" w:line="360" w:lineRule="auto"/>
        <w:rPr>
          <w:rFonts w:ascii="宋体" w:hAnsi="宋体"/>
          <w:b w:val="0"/>
          <w:snapToGrid w:val="0"/>
          <w:color w:val="auto"/>
          <w:highlight w:val="none"/>
        </w:rPr>
      </w:pPr>
      <w:bookmarkStart w:id="362" w:name="_Toc200513153"/>
      <w:bookmarkStart w:id="363" w:name="_Toc16568"/>
      <w:bookmarkStart w:id="364" w:name="_Toc287620712"/>
      <w:bookmarkStart w:id="365" w:name="_Toc224103344"/>
      <w:bookmarkStart w:id="366" w:name="_Toc17341"/>
      <w:bookmarkStart w:id="367" w:name="_Toc509218737"/>
      <w:bookmarkStart w:id="368" w:name="_Toc287607773"/>
      <w:bookmarkStart w:id="369" w:name="_Toc277082579"/>
      <w:bookmarkStart w:id="370" w:name="_Toc430530462"/>
      <w:bookmarkStart w:id="371" w:name="_Toc9499"/>
      <w:r>
        <w:rPr>
          <w:rFonts w:ascii="宋体" w:hAnsi="宋体"/>
          <w:b w:val="0"/>
          <w:snapToGrid w:val="0"/>
          <w:color w:val="auto"/>
          <w:highlight w:val="none"/>
        </w:rPr>
        <w:t>4.  投标</w:t>
      </w:r>
      <w:bookmarkEnd w:id="362"/>
      <w:bookmarkEnd w:id="363"/>
      <w:bookmarkEnd w:id="364"/>
      <w:bookmarkEnd w:id="365"/>
      <w:bookmarkEnd w:id="366"/>
      <w:bookmarkEnd w:id="367"/>
      <w:bookmarkEnd w:id="368"/>
      <w:bookmarkEnd w:id="369"/>
      <w:bookmarkEnd w:id="370"/>
      <w:bookmarkEnd w:id="371"/>
    </w:p>
    <w:p w14:paraId="30F57763">
      <w:pPr>
        <w:pStyle w:val="6"/>
        <w:keepNext w:val="0"/>
        <w:keepLines w:val="0"/>
        <w:snapToGrid w:val="0"/>
        <w:spacing w:before="0" w:after="0" w:line="360" w:lineRule="auto"/>
        <w:rPr>
          <w:rFonts w:ascii="宋体" w:hAnsi="宋体"/>
          <w:b w:val="0"/>
          <w:snapToGrid w:val="0"/>
          <w:color w:val="auto"/>
          <w:sz w:val="24"/>
          <w:szCs w:val="24"/>
          <w:highlight w:val="none"/>
        </w:rPr>
      </w:pPr>
      <w:bookmarkStart w:id="372" w:name="_Toc9247"/>
      <w:bookmarkStart w:id="373" w:name="_Toc200513154"/>
      <w:bookmarkStart w:id="374" w:name="_Toc277082580"/>
      <w:bookmarkStart w:id="375" w:name="_Toc287607774"/>
      <w:bookmarkStart w:id="376" w:name="_Toc430530463"/>
      <w:bookmarkStart w:id="377" w:name="_Toc224103345"/>
      <w:bookmarkStart w:id="378" w:name="_Toc287620713"/>
      <w:bookmarkStart w:id="379" w:name="_Toc509218738"/>
      <w:bookmarkStart w:id="380" w:name="_Toc28447"/>
      <w:bookmarkStart w:id="381" w:name="_Toc18995"/>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的密封和标记</w:t>
      </w:r>
      <w:bookmarkEnd w:id="372"/>
      <w:bookmarkEnd w:id="373"/>
      <w:bookmarkEnd w:id="374"/>
      <w:bookmarkEnd w:id="375"/>
      <w:bookmarkEnd w:id="376"/>
      <w:bookmarkEnd w:id="377"/>
      <w:bookmarkEnd w:id="378"/>
      <w:bookmarkEnd w:id="379"/>
      <w:bookmarkEnd w:id="380"/>
      <w:bookmarkEnd w:id="381"/>
    </w:p>
    <w:p w14:paraId="7342B7A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82"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2A7514B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E268E95">
      <w:pPr>
        <w:pStyle w:val="6"/>
        <w:keepNext w:val="0"/>
        <w:keepLines w:val="0"/>
        <w:snapToGrid w:val="0"/>
        <w:spacing w:before="0" w:after="0" w:line="360" w:lineRule="auto"/>
        <w:rPr>
          <w:rFonts w:ascii="宋体" w:hAnsi="宋体"/>
          <w:b w:val="0"/>
          <w:snapToGrid w:val="0"/>
          <w:color w:val="auto"/>
          <w:sz w:val="24"/>
          <w:szCs w:val="24"/>
          <w:highlight w:val="none"/>
        </w:rPr>
      </w:pPr>
      <w:bookmarkStart w:id="383" w:name="_Toc287620714"/>
      <w:bookmarkStart w:id="384" w:name="_Toc430530464"/>
      <w:bookmarkStart w:id="385" w:name="_Toc23237"/>
      <w:bookmarkStart w:id="386" w:name="_Toc25809"/>
      <w:bookmarkStart w:id="387" w:name="_Toc287607775"/>
      <w:bookmarkStart w:id="388" w:name="_Toc18090"/>
      <w:bookmarkStart w:id="389" w:name="_Toc277082581"/>
      <w:bookmarkStart w:id="390" w:name="_Toc224103346"/>
      <w:bookmarkStart w:id="391" w:name="_Toc509218739"/>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的递交</w:t>
      </w:r>
      <w:bookmarkEnd w:id="382"/>
      <w:bookmarkEnd w:id="383"/>
      <w:bookmarkEnd w:id="384"/>
      <w:bookmarkEnd w:id="385"/>
      <w:bookmarkEnd w:id="386"/>
      <w:bookmarkEnd w:id="387"/>
      <w:bookmarkEnd w:id="388"/>
      <w:bookmarkEnd w:id="389"/>
      <w:bookmarkEnd w:id="390"/>
      <w:bookmarkEnd w:id="391"/>
    </w:p>
    <w:p w14:paraId="0799242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项规定的投标截止时间前递交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3828598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26B44A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不予退还。</w:t>
      </w:r>
    </w:p>
    <w:p w14:paraId="41AB3A3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40B5B47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p>
    <w:p w14:paraId="5061E69C">
      <w:pPr>
        <w:pStyle w:val="6"/>
        <w:keepNext w:val="0"/>
        <w:keepLines w:val="0"/>
        <w:snapToGrid w:val="0"/>
        <w:spacing w:before="0" w:after="0" w:line="360" w:lineRule="auto"/>
        <w:rPr>
          <w:rFonts w:ascii="宋体" w:hAnsi="宋体"/>
          <w:b w:val="0"/>
          <w:snapToGrid w:val="0"/>
          <w:color w:val="auto"/>
          <w:sz w:val="24"/>
          <w:szCs w:val="24"/>
          <w:highlight w:val="none"/>
        </w:rPr>
      </w:pPr>
      <w:bookmarkStart w:id="392" w:name="_Toc430530465"/>
      <w:bookmarkStart w:id="393" w:name="_Toc27058"/>
      <w:bookmarkStart w:id="394" w:name="_Toc287607776"/>
      <w:bookmarkStart w:id="395" w:name="_Toc509218740"/>
      <w:bookmarkStart w:id="396" w:name="_Toc200513156"/>
      <w:bookmarkStart w:id="397" w:name="_Toc23986"/>
      <w:bookmarkStart w:id="398" w:name="_Toc287620715"/>
      <w:bookmarkStart w:id="399" w:name="_Toc224103347"/>
      <w:bookmarkStart w:id="400" w:name="_Toc277082582"/>
      <w:bookmarkStart w:id="401" w:name="_Toc30242"/>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的修改与撤回</w:t>
      </w:r>
      <w:bookmarkEnd w:id="392"/>
      <w:bookmarkEnd w:id="393"/>
      <w:bookmarkEnd w:id="394"/>
      <w:bookmarkEnd w:id="395"/>
      <w:bookmarkEnd w:id="396"/>
      <w:bookmarkEnd w:id="397"/>
      <w:bookmarkEnd w:id="398"/>
      <w:bookmarkEnd w:id="399"/>
      <w:bookmarkEnd w:id="400"/>
      <w:bookmarkEnd w:id="401"/>
    </w:p>
    <w:p w14:paraId="0C55EC7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须知前附表第2.2.2项规定的投标截止时间前，</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，但应以书面形式通知</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4E3279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0A0DBE5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应按照本章第3条、第4条规定进行编制、密封、标记和递交，并标明“修改”字样。</w:t>
      </w:r>
    </w:p>
    <w:p w14:paraId="6E95D8CA">
      <w:pPr>
        <w:pStyle w:val="5"/>
        <w:keepNext w:val="0"/>
        <w:keepLines w:val="0"/>
        <w:spacing w:before="0" w:after="0" w:line="360" w:lineRule="auto"/>
        <w:rPr>
          <w:rFonts w:ascii="宋体" w:hAnsi="宋体"/>
          <w:b w:val="0"/>
          <w:snapToGrid w:val="0"/>
          <w:color w:val="auto"/>
          <w:highlight w:val="none"/>
        </w:rPr>
      </w:pPr>
      <w:bookmarkStart w:id="402" w:name="_Toc277082583"/>
      <w:bookmarkStart w:id="403" w:name="_Toc287620716"/>
      <w:bookmarkStart w:id="404" w:name="_Toc25597"/>
      <w:bookmarkStart w:id="405" w:name="_Toc15329"/>
      <w:bookmarkStart w:id="406" w:name="_Toc430530466"/>
      <w:bookmarkStart w:id="407" w:name="_Toc509218741"/>
      <w:bookmarkStart w:id="408" w:name="_Toc224103348"/>
      <w:bookmarkStart w:id="409" w:name="_Toc200513157"/>
      <w:bookmarkStart w:id="410" w:name="_Toc9614"/>
      <w:bookmarkStart w:id="411" w:name="_Toc287607777"/>
      <w:r>
        <w:rPr>
          <w:rFonts w:ascii="宋体" w:hAnsi="宋体"/>
          <w:b w:val="0"/>
          <w:snapToGrid w:val="0"/>
          <w:color w:val="auto"/>
          <w:highlight w:val="none"/>
        </w:rPr>
        <w:t>5.  开标</w:t>
      </w:r>
      <w:bookmarkEnd w:id="402"/>
      <w:bookmarkEnd w:id="403"/>
      <w:bookmarkEnd w:id="404"/>
      <w:bookmarkEnd w:id="405"/>
      <w:bookmarkEnd w:id="406"/>
      <w:bookmarkEnd w:id="407"/>
      <w:bookmarkEnd w:id="408"/>
      <w:bookmarkEnd w:id="409"/>
      <w:bookmarkEnd w:id="410"/>
      <w:bookmarkEnd w:id="411"/>
    </w:p>
    <w:p w14:paraId="5718642B">
      <w:pPr>
        <w:pStyle w:val="6"/>
        <w:keepNext w:val="0"/>
        <w:keepLines w:val="0"/>
        <w:snapToGrid w:val="0"/>
        <w:spacing w:before="0" w:after="0" w:line="360" w:lineRule="auto"/>
        <w:rPr>
          <w:rFonts w:ascii="宋体" w:hAnsi="宋体"/>
          <w:b w:val="0"/>
          <w:snapToGrid w:val="0"/>
          <w:color w:val="auto"/>
          <w:sz w:val="24"/>
          <w:szCs w:val="24"/>
          <w:highlight w:val="none"/>
        </w:rPr>
      </w:pPr>
      <w:bookmarkStart w:id="412" w:name="_Toc20593"/>
      <w:bookmarkStart w:id="413" w:name="_Toc200513158"/>
      <w:bookmarkStart w:id="414" w:name="_Toc27094"/>
      <w:bookmarkStart w:id="415" w:name="_Toc287620717"/>
      <w:bookmarkStart w:id="416" w:name="_Toc509218742"/>
      <w:bookmarkStart w:id="417" w:name="_Toc430530467"/>
      <w:bookmarkStart w:id="418" w:name="_Toc277082584"/>
      <w:bookmarkStart w:id="419" w:name="_Toc287607778"/>
      <w:bookmarkStart w:id="420" w:name="_Toc25049"/>
      <w:bookmarkStart w:id="421" w:name="_Toc224103349"/>
      <w:r>
        <w:rPr>
          <w:rFonts w:ascii="宋体" w:hAnsi="宋体"/>
          <w:b w:val="0"/>
          <w:snapToGrid w:val="0"/>
          <w:color w:val="auto"/>
          <w:sz w:val="24"/>
          <w:szCs w:val="24"/>
          <w:highlight w:val="none"/>
        </w:rPr>
        <w:t>5.1  开标时间和地点</w:t>
      </w:r>
      <w:bookmarkEnd w:id="412"/>
      <w:bookmarkEnd w:id="413"/>
      <w:bookmarkEnd w:id="414"/>
      <w:bookmarkEnd w:id="415"/>
      <w:bookmarkEnd w:id="416"/>
      <w:bookmarkEnd w:id="417"/>
      <w:bookmarkEnd w:id="418"/>
      <w:bookmarkEnd w:id="419"/>
      <w:bookmarkEnd w:id="420"/>
      <w:bookmarkEnd w:id="421"/>
    </w:p>
    <w:p w14:paraId="4DB1ACA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项规定的投标截止时间（开标时间）和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的法定代表人或其委托代理人准时参加。</w:t>
      </w:r>
    </w:p>
    <w:p w14:paraId="6273763F">
      <w:pPr>
        <w:pStyle w:val="6"/>
        <w:keepNext w:val="0"/>
        <w:keepLines w:val="0"/>
        <w:snapToGrid w:val="0"/>
        <w:spacing w:before="0" w:after="0" w:line="360" w:lineRule="auto"/>
        <w:rPr>
          <w:rFonts w:ascii="宋体" w:hAnsi="宋体"/>
          <w:b w:val="0"/>
          <w:snapToGrid w:val="0"/>
          <w:color w:val="auto"/>
          <w:sz w:val="24"/>
          <w:szCs w:val="24"/>
          <w:highlight w:val="none"/>
        </w:rPr>
      </w:pPr>
      <w:bookmarkStart w:id="422" w:name="_Toc200513159"/>
      <w:bookmarkStart w:id="423" w:name="_Toc287607779"/>
      <w:bookmarkStart w:id="424" w:name="_Toc224103350"/>
      <w:bookmarkStart w:id="425" w:name="_Toc31820"/>
      <w:bookmarkStart w:id="426" w:name="_Toc14994"/>
      <w:bookmarkStart w:id="427" w:name="_Toc430530468"/>
      <w:bookmarkStart w:id="428" w:name="_Toc277082585"/>
      <w:bookmarkStart w:id="429" w:name="_Toc28484"/>
      <w:bookmarkStart w:id="430" w:name="_Toc509218743"/>
      <w:bookmarkStart w:id="431" w:name="_Toc287620718"/>
      <w:r>
        <w:rPr>
          <w:rFonts w:ascii="宋体" w:hAnsi="宋体"/>
          <w:b w:val="0"/>
          <w:snapToGrid w:val="0"/>
          <w:color w:val="auto"/>
          <w:sz w:val="24"/>
          <w:szCs w:val="24"/>
          <w:highlight w:val="none"/>
        </w:rPr>
        <w:t>5.2  开标程序</w:t>
      </w:r>
      <w:bookmarkEnd w:id="422"/>
      <w:bookmarkEnd w:id="423"/>
      <w:bookmarkEnd w:id="424"/>
      <w:bookmarkEnd w:id="425"/>
      <w:bookmarkEnd w:id="426"/>
      <w:bookmarkEnd w:id="427"/>
      <w:bookmarkEnd w:id="428"/>
      <w:bookmarkEnd w:id="429"/>
      <w:bookmarkEnd w:id="430"/>
      <w:bookmarkEnd w:id="431"/>
    </w:p>
    <w:p w14:paraId="145DF21A">
      <w:pPr>
        <w:autoSpaceDE w:val="0"/>
        <w:autoSpaceDN w:val="0"/>
        <w:adjustRightInd w:val="0"/>
        <w:snapToGrid w:val="0"/>
        <w:spacing w:line="360" w:lineRule="auto"/>
        <w:ind w:firstLine="420" w:firstLineChars="200"/>
        <w:rPr>
          <w:rFonts w:ascii="宋体" w:hAnsi="宋体"/>
          <w:color w:val="auto"/>
          <w:szCs w:val="21"/>
          <w:highlight w:val="none"/>
        </w:rPr>
      </w:pPr>
      <w:bookmarkStart w:id="432" w:name="_Toc287620719"/>
      <w:bookmarkStart w:id="433" w:name="_Toc277082586"/>
      <w:bookmarkStart w:id="434" w:name="_Toc224103351"/>
      <w:bookmarkStart w:id="435" w:name="_Toc287607780"/>
      <w:bookmarkStart w:id="436" w:name="_Toc200513160"/>
      <w:r>
        <w:rPr>
          <w:rFonts w:ascii="宋体" w:hAnsi="宋体"/>
          <w:color w:val="auto"/>
          <w:szCs w:val="21"/>
          <w:highlight w:val="none"/>
        </w:rPr>
        <w:t>详见</w:t>
      </w:r>
      <w:r>
        <w:rPr>
          <w:rFonts w:hint="eastAsia" w:ascii="宋体" w:hAnsi="宋体"/>
          <w:color w:val="auto"/>
          <w:szCs w:val="21"/>
          <w:highlight w:val="none"/>
        </w:rPr>
        <w:t>竞选人</w:t>
      </w:r>
      <w:r>
        <w:rPr>
          <w:rFonts w:ascii="宋体" w:hAnsi="宋体"/>
          <w:color w:val="auto"/>
          <w:szCs w:val="21"/>
          <w:highlight w:val="none"/>
        </w:rPr>
        <w:t>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01311698">
      <w:pPr>
        <w:pStyle w:val="5"/>
        <w:keepNext w:val="0"/>
        <w:keepLines w:val="0"/>
        <w:spacing w:before="0" w:after="0" w:line="360" w:lineRule="auto"/>
        <w:rPr>
          <w:rFonts w:ascii="宋体" w:hAnsi="宋体"/>
          <w:b w:val="0"/>
          <w:snapToGrid w:val="0"/>
          <w:color w:val="auto"/>
          <w:highlight w:val="none"/>
        </w:rPr>
      </w:pPr>
      <w:bookmarkStart w:id="437" w:name="_Toc430530469"/>
      <w:bookmarkStart w:id="438" w:name="_Toc509218744"/>
      <w:bookmarkStart w:id="439" w:name="_Toc31629"/>
      <w:bookmarkStart w:id="440" w:name="_Toc9533"/>
      <w:bookmarkStart w:id="441" w:name="_Toc27679"/>
      <w:r>
        <w:rPr>
          <w:rFonts w:ascii="宋体" w:hAnsi="宋体"/>
          <w:b w:val="0"/>
          <w:snapToGrid w:val="0"/>
          <w:color w:val="auto"/>
          <w:highlight w:val="none"/>
        </w:rPr>
        <w:t>6.  评标</w:t>
      </w:r>
      <w:bookmarkEnd w:id="432"/>
      <w:bookmarkEnd w:id="433"/>
      <w:bookmarkEnd w:id="434"/>
      <w:bookmarkEnd w:id="435"/>
      <w:bookmarkEnd w:id="436"/>
      <w:bookmarkEnd w:id="437"/>
      <w:bookmarkEnd w:id="438"/>
      <w:bookmarkEnd w:id="439"/>
      <w:bookmarkEnd w:id="440"/>
      <w:bookmarkEnd w:id="441"/>
    </w:p>
    <w:p w14:paraId="6F0DD3E2">
      <w:pPr>
        <w:pStyle w:val="6"/>
        <w:keepNext w:val="0"/>
        <w:keepLines w:val="0"/>
        <w:snapToGrid w:val="0"/>
        <w:spacing w:before="0" w:after="0" w:line="360" w:lineRule="auto"/>
        <w:rPr>
          <w:rFonts w:ascii="宋体" w:hAnsi="宋体"/>
          <w:b w:val="0"/>
          <w:snapToGrid w:val="0"/>
          <w:color w:val="auto"/>
          <w:sz w:val="24"/>
          <w:szCs w:val="24"/>
          <w:highlight w:val="none"/>
        </w:rPr>
      </w:pPr>
      <w:bookmarkStart w:id="442" w:name="_Toc287607781"/>
      <w:bookmarkStart w:id="443" w:name="_Toc17103"/>
      <w:bookmarkStart w:id="444" w:name="_Toc277082587"/>
      <w:bookmarkStart w:id="445" w:name="_Toc28100"/>
      <w:bookmarkStart w:id="446" w:name="_Toc430530470"/>
      <w:bookmarkStart w:id="447" w:name="_Toc200513161"/>
      <w:bookmarkStart w:id="448" w:name="_Toc22734"/>
      <w:bookmarkStart w:id="449" w:name="_Toc224103352"/>
      <w:bookmarkStart w:id="450" w:name="_Toc509218745"/>
      <w:bookmarkStart w:id="451" w:name="_Toc287620720"/>
      <w:r>
        <w:rPr>
          <w:rFonts w:ascii="宋体" w:hAnsi="宋体"/>
          <w:b w:val="0"/>
          <w:snapToGrid w:val="0"/>
          <w:color w:val="auto"/>
          <w:sz w:val="24"/>
          <w:szCs w:val="24"/>
          <w:highlight w:val="none"/>
        </w:rPr>
        <w:t>6.1  评标委员会</w:t>
      </w:r>
      <w:bookmarkEnd w:id="442"/>
      <w:bookmarkEnd w:id="443"/>
      <w:bookmarkEnd w:id="444"/>
      <w:bookmarkEnd w:id="445"/>
      <w:bookmarkEnd w:id="446"/>
      <w:bookmarkEnd w:id="447"/>
      <w:bookmarkEnd w:id="448"/>
      <w:bookmarkEnd w:id="449"/>
      <w:bookmarkEnd w:id="450"/>
      <w:bookmarkEnd w:id="451"/>
    </w:p>
    <w:p w14:paraId="021742AD">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依据法律法规和相关规范性文件组建的评标委员会负责。</w:t>
      </w:r>
    </w:p>
    <w:p w14:paraId="7397445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13BB002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的主要负责人的近亲属；</w:t>
      </w:r>
    </w:p>
    <w:p w14:paraId="4B0935B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633EC06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有利害关系，可能影响对投标公正评审的；</w:t>
      </w:r>
    </w:p>
    <w:p w14:paraId="5701574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21515CA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169E401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280FF1CB">
      <w:pPr>
        <w:pStyle w:val="6"/>
        <w:snapToGrid w:val="0"/>
        <w:spacing w:before="0" w:after="0" w:line="360" w:lineRule="auto"/>
        <w:rPr>
          <w:rFonts w:ascii="宋体" w:hAnsi="宋体"/>
          <w:b w:val="0"/>
          <w:snapToGrid w:val="0"/>
          <w:color w:val="auto"/>
          <w:sz w:val="24"/>
          <w:szCs w:val="24"/>
          <w:highlight w:val="none"/>
        </w:rPr>
      </w:pPr>
      <w:bookmarkStart w:id="452" w:name="_Toc224103353"/>
      <w:bookmarkStart w:id="453" w:name="_Toc5546"/>
      <w:bookmarkStart w:id="454" w:name="_Toc430530471"/>
      <w:bookmarkStart w:id="455" w:name="_Toc277082588"/>
      <w:bookmarkStart w:id="456" w:name="_Toc12166"/>
      <w:bookmarkStart w:id="457" w:name="_Toc287607782"/>
      <w:bookmarkStart w:id="458" w:name="_Toc200513162"/>
      <w:bookmarkStart w:id="459" w:name="_Toc509218746"/>
      <w:bookmarkStart w:id="460" w:name="_Toc7071"/>
      <w:bookmarkStart w:id="461" w:name="_Toc287620721"/>
      <w:r>
        <w:rPr>
          <w:rFonts w:ascii="宋体" w:hAnsi="宋体"/>
          <w:b w:val="0"/>
          <w:snapToGrid w:val="0"/>
          <w:color w:val="auto"/>
          <w:sz w:val="24"/>
          <w:szCs w:val="24"/>
          <w:highlight w:val="none"/>
        </w:rPr>
        <w:t>6.2  评标原则</w:t>
      </w:r>
      <w:bookmarkEnd w:id="452"/>
      <w:bookmarkEnd w:id="453"/>
      <w:bookmarkEnd w:id="454"/>
      <w:bookmarkEnd w:id="455"/>
      <w:bookmarkEnd w:id="456"/>
      <w:bookmarkEnd w:id="457"/>
      <w:bookmarkEnd w:id="458"/>
      <w:bookmarkEnd w:id="459"/>
      <w:bookmarkEnd w:id="460"/>
      <w:bookmarkEnd w:id="461"/>
    </w:p>
    <w:p w14:paraId="1E5E8C6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11215359">
      <w:pPr>
        <w:pStyle w:val="6"/>
        <w:snapToGrid w:val="0"/>
        <w:spacing w:before="0" w:after="0" w:line="360" w:lineRule="auto"/>
        <w:rPr>
          <w:rFonts w:ascii="宋体" w:hAnsi="宋体"/>
          <w:b w:val="0"/>
          <w:snapToGrid w:val="0"/>
          <w:color w:val="auto"/>
          <w:sz w:val="24"/>
          <w:szCs w:val="24"/>
          <w:highlight w:val="none"/>
        </w:rPr>
      </w:pPr>
      <w:bookmarkStart w:id="462" w:name="_Toc509218747"/>
      <w:bookmarkStart w:id="463" w:name="_Toc14701"/>
      <w:bookmarkStart w:id="464" w:name="_Toc430530472"/>
      <w:bookmarkStart w:id="465" w:name="_Toc287607783"/>
      <w:bookmarkStart w:id="466" w:name="_Toc200513163"/>
      <w:bookmarkStart w:id="467" w:name="_Toc10433"/>
      <w:bookmarkStart w:id="468" w:name="_Toc224103354"/>
      <w:bookmarkStart w:id="469" w:name="_Toc287620722"/>
      <w:bookmarkStart w:id="470" w:name="_Toc20390"/>
      <w:bookmarkStart w:id="471" w:name="_Toc277082589"/>
      <w:r>
        <w:rPr>
          <w:rFonts w:ascii="宋体" w:hAnsi="宋体"/>
          <w:b w:val="0"/>
          <w:snapToGrid w:val="0"/>
          <w:color w:val="auto"/>
          <w:sz w:val="24"/>
          <w:szCs w:val="24"/>
          <w:highlight w:val="none"/>
        </w:rPr>
        <w:t>6.3  评标</w:t>
      </w:r>
      <w:bookmarkEnd w:id="462"/>
      <w:bookmarkEnd w:id="463"/>
      <w:bookmarkEnd w:id="464"/>
      <w:bookmarkEnd w:id="465"/>
      <w:bookmarkEnd w:id="466"/>
      <w:bookmarkEnd w:id="467"/>
      <w:bookmarkEnd w:id="468"/>
      <w:bookmarkEnd w:id="469"/>
      <w:bookmarkEnd w:id="470"/>
      <w:bookmarkEnd w:id="471"/>
    </w:p>
    <w:p w14:paraId="1253CF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进行评审。第三章“评标办法”没有规定的方法、评审因素和标准，不得作为评标依据。</w:t>
      </w:r>
    </w:p>
    <w:p w14:paraId="3CB9ECBD">
      <w:pPr>
        <w:pStyle w:val="5"/>
        <w:spacing w:before="0" w:after="0" w:line="360" w:lineRule="auto"/>
        <w:rPr>
          <w:rFonts w:ascii="宋体" w:hAnsi="宋体"/>
          <w:b w:val="0"/>
          <w:snapToGrid w:val="0"/>
          <w:color w:val="auto"/>
          <w:highlight w:val="none"/>
        </w:rPr>
      </w:pPr>
      <w:bookmarkStart w:id="472" w:name="_Toc509218748"/>
      <w:bookmarkStart w:id="473" w:name="_Toc28682"/>
      <w:bookmarkStart w:id="474" w:name="_Toc224103355"/>
      <w:bookmarkStart w:id="475" w:name="_Toc287607784"/>
      <w:bookmarkStart w:id="476" w:name="_Toc2723"/>
      <w:bookmarkStart w:id="477" w:name="_Toc277082590"/>
      <w:bookmarkStart w:id="478" w:name="_Toc17589"/>
      <w:bookmarkStart w:id="479" w:name="_Toc430530473"/>
      <w:bookmarkStart w:id="480" w:name="_Toc287620723"/>
      <w:bookmarkStart w:id="481" w:name="_Toc200513164"/>
      <w:r>
        <w:rPr>
          <w:rFonts w:ascii="宋体" w:hAnsi="宋体"/>
          <w:b w:val="0"/>
          <w:snapToGrid w:val="0"/>
          <w:color w:val="auto"/>
          <w:highlight w:val="none"/>
        </w:rPr>
        <w:t>7.  合同授予</w:t>
      </w:r>
      <w:bookmarkEnd w:id="472"/>
      <w:bookmarkEnd w:id="473"/>
      <w:bookmarkEnd w:id="474"/>
      <w:bookmarkEnd w:id="475"/>
      <w:bookmarkEnd w:id="476"/>
      <w:bookmarkEnd w:id="477"/>
      <w:bookmarkEnd w:id="478"/>
      <w:bookmarkEnd w:id="479"/>
      <w:bookmarkEnd w:id="480"/>
      <w:bookmarkEnd w:id="481"/>
    </w:p>
    <w:p w14:paraId="0BF245FD">
      <w:pPr>
        <w:pStyle w:val="6"/>
        <w:snapToGrid w:val="0"/>
        <w:spacing w:before="0" w:after="0" w:line="360" w:lineRule="auto"/>
        <w:rPr>
          <w:rFonts w:ascii="宋体" w:hAnsi="宋体"/>
          <w:b w:val="0"/>
          <w:snapToGrid w:val="0"/>
          <w:color w:val="auto"/>
          <w:sz w:val="24"/>
          <w:szCs w:val="24"/>
          <w:highlight w:val="none"/>
        </w:rPr>
      </w:pPr>
      <w:bookmarkStart w:id="482" w:name="_Toc430530474"/>
      <w:bookmarkStart w:id="483" w:name="_Toc3182"/>
      <w:bookmarkStart w:id="484" w:name="_Toc509218749"/>
      <w:bookmarkStart w:id="485" w:name="_Toc200513165"/>
      <w:bookmarkStart w:id="486" w:name="_Toc277082591"/>
      <w:bookmarkStart w:id="487" w:name="_Toc224103356"/>
      <w:bookmarkStart w:id="488" w:name="_Toc16335"/>
      <w:bookmarkStart w:id="489" w:name="_Toc287620724"/>
      <w:bookmarkStart w:id="490" w:name="_Toc29937"/>
      <w:bookmarkStart w:id="491" w:name="_Toc287607785"/>
      <w:r>
        <w:rPr>
          <w:rFonts w:ascii="宋体" w:hAnsi="宋体"/>
          <w:b w:val="0"/>
          <w:snapToGrid w:val="0"/>
          <w:color w:val="auto"/>
          <w:sz w:val="24"/>
          <w:szCs w:val="24"/>
          <w:highlight w:val="none"/>
        </w:rPr>
        <w:t>7.1  定标方式</w:t>
      </w:r>
      <w:bookmarkEnd w:id="482"/>
      <w:bookmarkEnd w:id="483"/>
      <w:bookmarkEnd w:id="484"/>
      <w:bookmarkEnd w:id="485"/>
      <w:bookmarkEnd w:id="486"/>
      <w:bookmarkEnd w:id="487"/>
      <w:bookmarkEnd w:id="488"/>
      <w:bookmarkEnd w:id="489"/>
      <w:bookmarkEnd w:id="490"/>
      <w:bookmarkEnd w:id="491"/>
    </w:p>
    <w:p w14:paraId="0AEAE6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比选人</w:t>
      </w:r>
      <w:r>
        <w:rPr>
          <w:rFonts w:ascii="宋体" w:hAnsi="宋体"/>
          <w:color w:val="auto"/>
          <w:szCs w:val="21"/>
          <w:highlight w:val="none"/>
        </w:rPr>
        <w:t>应当确定排名第一的中标候选人为中标人。排名第一的中标候选人放弃中标、因不可抗力不能履行合同、不按照</w:t>
      </w:r>
      <w:r>
        <w:rPr>
          <w:rFonts w:hint="eastAsia" w:ascii="宋体" w:hAnsi="宋体"/>
          <w:color w:val="auto"/>
          <w:szCs w:val="21"/>
          <w:highlight w:val="none"/>
        </w:rPr>
        <w:t>竞争性比选文件</w:t>
      </w:r>
      <w:r>
        <w:rPr>
          <w:rFonts w:ascii="宋体" w:hAnsi="宋体"/>
          <w:color w:val="auto"/>
          <w:szCs w:val="21"/>
          <w:highlight w:val="none"/>
        </w:rPr>
        <w:t>要求提交履约保证金，或者被查实存在影响中标结果的违法行为等情形，不符合中标条件的，</w:t>
      </w:r>
      <w:r>
        <w:rPr>
          <w:rFonts w:hint="eastAsia" w:ascii="宋体" w:hAnsi="宋体"/>
          <w:color w:val="auto"/>
          <w:szCs w:val="21"/>
          <w:highlight w:val="none"/>
        </w:rPr>
        <w:t>比选人</w:t>
      </w:r>
      <w:r>
        <w:rPr>
          <w:rFonts w:ascii="宋体" w:hAnsi="宋体"/>
          <w:color w:val="auto"/>
          <w:szCs w:val="21"/>
          <w:highlight w:val="none"/>
        </w:rPr>
        <w:t>可以按照评标委员会提出的中标候选人名单排序依次确定其他中标候选人为中标人，也可以重新招标。</w:t>
      </w:r>
    </w:p>
    <w:p w14:paraId="7A2A79E2">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2689E15">
      <w:pPr>
        <w:pStyle w:val="6"/>
        <w:snapToGrid w:val="0"/>
        <w:spacing w:before="0" w:after="0" w:line="360" w:lineRule="auto"/>
        <w:rPr>
          <w:rFonts w:ascii="宋体" w:hAnsi="宋体"/>
          <w:b w:val="0"/>
          <w:snapToGrid w:val="0"/>
          <w:color w:val="auto"/>
          <w:sz w:val="24"/>
          <w:szCs w:val="24"/>
          <w:highlight w:val="none"/>
        </w:rPr>
      </w:pPr>
      <w:bookmarkStart w:id="492" w:name="_Toc20672"/>
      <w:bookmarkStart w:id="493" w:name="_Toc19095"/>
      <w:bookmarkStart w:id="494" w:name="_Toc509218750"/>
      <w:bookmarkStart w:id="495" w:name="_Toc23594"/>
      <w:bookmarkStart w:id="496" w:name="_Toc430530475"/>
      <w:r>
        <w:rPr>
          <w:rFonts w:ascii="宋体" w:hAnsi="宋体"/>
          <w:b w:val="0"/>
          <w:snapToGrid w:val="0"/>
          <w:color w:val="auto"/>
          <w:sz w:val="24"/>
          <w:szCs w:val="24"/>
          <w:highlight w:val="none"/>
        </w:rPr>
        <w:t>7.2  中标公示及中标通知</w:t>
      </w:r>
      <w:bookmarkEnd w:id="492"/>
      <w:bookmarkEnd w:id="493"/>
      <w:bookmarkEnd w:id="494"/>
      <w:bookmarkEnd w:id="495"/>
      <w:bookmarkEnd w:id="496"/>
    </w:p>
    <w:p w14:paraId="63D90C95">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在收到评标报告之日起3日内公示中标候选人，公示期不得少于3</w:t>
      </w:r>
      <w:r>
        <w:rPr>
          <w:rFonts w:hint="eastAsia" w:ascii="宋体" w:hAnsi="宋体"/>
          <w:snapToGrid w:val="0"/>
          <w:color w:val="auto"/>
          <w:kern w:val="0"/>
          <w:szCs w:val="21"/>
          <w:highlight w:val="none"/>
        </w:rPr>
        <w:t>个工作日</w:t>
      </w:r>
      <w:r>
        <w:rPr>
          <w:rFonts w:hint="eastAsia" w:ascii="宋体" w:hAnsi="宋体"/>
          <w:color w:val="auto"/>
          <w:szCs w:val="21"/>
          <w:highlight w:val="none"/>
        </w:rPr>
        <w:t>。</w:t>
      </w:r>
    </w:p>
    <w:p w14:paraId="2A91300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以书面形式向中标人发出</w:t>
      </w:r>
      <w:r>
        <w:rPr>
          <w:rFonts w:hint="eastAsia" w:ascii="宋体" w:hAnsi="宋体"/>
          <w:snapToGrid w:val="0"/>
          <w:color w:val="auto"/>
          <w:kern w:val="0"/>
          <w:szCs w:val="21"/>
          <w:highlight w:val="none"/>
        </w:rPr>
        <w:t>中标通知书</w:t>
      </w:r>
      <w:r>
        <w:rPr>
          <w:rFonts w:ascii="宋体" w:hAnsi="宋体"/>
          <w:snapToGrid w:val="0"/>
          <w:color w:val="auto"/>
          <w:kern w:val="0"/>
          <w:szCs w:val="21"/>
          <w:highlight w:val="none"/>
        </w:rPr>
        <w:t>。</w:t>
      </w:r>
    </w:p>
    <w:p w14:paraId="49A19750">
      <w:pPr>
        <w:pStyle w:val="6"/>
        <w:snapToGrid w:val="0"/>
        <w:spacing w:before="0" w:after="0" w:line="360" w:lineRule="auto"/>
        <w:rPr>
          <w:rFonts w:ascii="宋体" w:hAnsi="宋体"/>
          <w:b w:val="0"/>
          <w:snapToGrid w:val="0"/>
          <w:color w:val="auto"/>
          <w:sz w:val="24"/>
          <w:szCs w:val="24"/>
          <w:highlight w:val="none"/>
        </w:rPr>
      </w:pPr>
      <w:bookmarkStart w:id="497" w:name="_Toc277082593"/>
      <w:bookmarkStart w:id="498" w:name="_Toc287607787"/>
      <w:bookmarkStart w:id="499" w:name="_Toc224103358"/>
      <w:bookmarkStart w:id="500" w:name="_Toc200513167"/>
      <w:bookmarkStart w:id="501" w:name="_Toc287620726"/>
      <w:bookmarkStart w:id="502" w:name="_Toc13383"/>
      <w:bookmarkStart w:id="503" w:name="_Toc430530476"/>
      <w:bookmarkStart w:id="504" w:name="_Toc509218751"/>
      <w:bookmarkStart w:id="505" w:name="_Toc16580"/>
      <w:bookmarkStart w:id="506" w:name="_Toc15148"/>
      <w:r>
        <w:rPr>
          <w:rFonts w:ascii="宋体" w:hAnsi="宋体"/>
          <w:b w:val="0"/>
          <w:snapToGrid w:val="0"/>
          <w:color w:val="auto"/>
          <w:sz w:val="24"/>
          <w:szCs w:val="24"/>
          <w:highlight w:val="none"/>
        </w:rPr>
        <w:t>7.3  履约担保</w:t>
      </w:r>
      <w:bookmarkEnd w:id="497"/>
      <w:bookmarkEnd w:id="498"/>
      <w:bookmarkEnd w:id="499"/>
      <w:bookmarkEnd w:id="500"/>
      <w:bookmarkEnd w:id="501"/>
      <w:bookmarkEnd w:id="502"/>
      <w:bookmarkEnd w:id="503"/>
      <w:bookmarkEnd w:id="504"/>
      <w:bookmarkEnd w:id="505"/>
      <w:bookmarkEnd w:id="506"/>
    </w:p>
    <w:p w14:paraId="7A3BFDE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提交履约担保。</w:t>
      </w:r>
    </w:p>
    <w:p w14:paraId="5BADB32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造成的损失超过投标保证金数额的，中标人还应当对超过部分予以赔偿。</w:t>
      </w:r>
    </w:p>
    <w:p w14:paraId="0E247FB3">
      <w:pPr>
        <w:pStyle w:val="6"/>
        <w:snapToGrid w:val="0"/>
        <w:spacing w:before="0" w:after="0" w:line="360" w:lineRule="auto"/>
        <w:rPr>
          <w:rFonts w:ascii="宋体" w:hAnsi="宋体"/>
          <w:b w:val="0"/>
          <w:snapToGrid w:val="0"/>
          <w:color w:val="auto"/>
          <w:sz w:val="24"/>
          <w:szCs w:val="24"/>
          <w:highlight w:val="none"/>
        </w:rPr>
      </w:pPr>
      <w:bookmarkStart w:id="507" w:name="_Toc287620727"/>
      <w:bookmarkStart w:id="508" w:name="_Toc509218752"/>
      <w:bookmarkStart w:id="509" w:name="_Toc16900"/>
      <w:bookmarkStart w:id="510" w:name="_Toc277082594"/>
      <w:bookmarkStart w:id="511" w:name="_Toc19327"/>
      <w:bookmarkStart w:id="512" w:name="_Toc287607788"/>
      <w:bookmarkStart w:id="513" w:name="_Toc224103359"/>
      <w:bookmarkStart w:id="514" w:name="_Toc430530477"/>
      <w:bookmarkStart w:id="515" w:name="_Toc200513168"/>
      <w:bookmarkStart w:id="516" w:name="_Toc30995"/>
      <w:r>
        <w:rPr>
          <w:rFonts w:ascii="宋体" w:hAnsi="宋体"/>
          <w:b w:val="0"/>
          <w:snapToGrid w:val="0"/>
          <w:color w:val="auto"/>
          <w:sz w:val="24"/>
          <w:szCs w:val="24"/>
          <w:highlight w:val="none"/>
        </w:rPr>
        <w:t>7.4  签订合同</w:t>
      </w:r>
      <w:bookmarkEnd w:id="507"/>
      <w:bookmarkEnd w:id="508"/>
      <w:bookmarkEnd w:id="509"/>
      <w:bookmarkEnd w:id="510"/>
      <w:bookmarkEnd w:id="511"/>
      <w:bookmarkEnd w:id="512"/>
      <w:bookmarkEnd w:id="513"/>
      <w:bookmarkEnd w:id="514"/>
      <w:bookmarkEnd w:id="515"/>
      <w:bookmarkEnd w:id="516"/>
    </w:p>
    <w:p w14:paraId="104F6CD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和中标人应当自</w:t>
      </w:r>
      <w:r>
        <w:rPr>
          <w:rFonts w:hint="eastAsia" w:ascii="宋体" w:hAnsi="宋体"/>
          <w:snapToGrid w:val="0"/>
          <w:color w:val="auto"/>
          <w:kern w:val="0"/>
          <w:szCs w:val="21"/>
          <w:highlight w:val="none"/>
        </w:rPr>
        <w:t>中标通知书</w:t>
      </w:r>
      <w:r>
        <w:rPr>
          <w:rFonts w:ascii="宋体" w:hAnsi="宋体"/>
          <w:snapToGrid w:val="0"/>
          <w:color w:val="auto"/>
          <w:kern w:val="0"/>
          <w:szCs w:val="21"/>
          <w:highlight w:val="none"/>
        </w:rPr>
        <w:t>发出之日起30天内，根据</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和中标人的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在签订合同时向比选人提出附加条件或者更改合同实质性内容的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或不按照竞争性比选文件要求提交低价风险担保或履约保证金的，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造成的损失超过投标保证金数额的，中标人还应当对超过部分予以赔偿。</w:t>
      </w:r>
    </w:p>
    <w:p w14:paraId="0851884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w:t>
      </w:r>
      <w:r>
        <w:rPr>
          <w:rFonts w:hint="eastAsia" w:ascii="宋体" w:hAnsi="宋体"/>
          <w:snapToGrid w:val="0"/>
          <w:color w:val="auto"/>
          <w:kern w:val="0"/>
          <w:szCs w:val="21"/>
          <w:highlight w:val="none"/>
        </w:rPr>
        <w:t>中标通知书</w:t>
      </w:r>
      <w:r>
        <w:rPr>
          <w:rFonts w:ascii="宋体" w:hAnsi="宋体"/>
          <w:snapToGrid w:val="0"/>
          <w:color w:val="auto"/>
          <w:kern w:val="0"/>
          <w:szCs w:val="21"/>
          <w:highlight w:val="none"/>
        </w:rPr>
        <w:t>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向中标人退还投标保证金；给中标人造成损失的，还应当赔偿损失。</w:t>
      </w:r>
    </w:p>
    <w:p w14:paraId="7574E325">
      <w:pPr>
        <w:pStyle w:val="5"/>
        <w:spacing w:before="0" w:after="0" w:line="360" w:lineRule="auto"/>
        <w:rPr>
          <w:rFonts w:ascii="宋体" w:hAnsi="宋体"/>
          <w:b w:val="0"/>
          <w:snapToGrid w:val="0"/>
          <w:color w:val="auto"/>
          <w:highlight w:val="none"/>
        </w:rPr>
      </w:pPr>
      <w:bookmarkStart w:id="517" w:name="_Toc22591"/>
      <w:bookmarkStart w:id="518" w:name="_Toc2330"/>
      <w:bookmarkStart w:id="519" w:name="_Toc9708"/>
      <w:bookmarkStart w:id="520" w:name="_Toc509218753"/>
      <w:bookmarkStart w:id="521" w:name="_Toc287607789"/>
      <w:bookmarkStart w:id="522" w:name="_Toc224103360"/>
      <w:bookmarkStart w:id="523" w:name="_Toc277082595"/>
      <w:bookmarkStart w:id="524" w:name="_Toc200513169"/>
      <w:bookmarkStart w:id="525" w:name="_Toc287620728"/>
      <w:bookmarkStart w:id="526" w:name="_Toc430530478"/>
      <w:r>
        <w:rPr>
          <w:rFonts w:ascii="宋体" w:hAnsi="宋体"/>
          <w:b w:val="0"/>
          <w:snapToGrid w:val="0"/>
          <w:color w:val="auto"/>
          <w:highlight w:val="none"/>
        </w:rPr>
        <w:t>8.  重新招标和不再招标</w:t>
      </w:r>
      <w:bookmarkEnd w:id="517"/>
      <w:bookmarkEnd w:id="518"/>
      <w:bookmarkEnd w:id="519"/>
      <w:bookmarkEnd w:id="520"/>
      <w:bookmarkEnd w:id="521"/>
      <w:bookmarkEnd w:id="522"/>
      <w:bookmarkEnd w:id="523"/>
      <w:bookmarkEnd w:id="524"/>
      <w:bookmarkEnd w:id="525"/>
      <w:bookmarkEnd w:id="526"/>
    </w:p>
    <w:p w14:paraId="3E07123E">
      <w:pPr>
        <w:pStyle w:val="6"/>
        <w:snapToGrid w:val="0"/>
        <w:spacing w:before="0" w:after="0" w:line="360" w:lineRule="auto"/>
        <w:rPr>
          <w:rFonts w:ascii="宋体" w:hAnsi="宋体"/>
          <w:b w:val="0"/>
          <w:snapToGrid w:val="0"/>
          <w:color w:val="auto"/>
          <w:sz w:val="24"/>
          <w:szCs w:val="24"/>
          <w:highlight w:val="none"/>
        </w:rPr>
      </w:pPr>
      <w:bookmarkStart w:id="527" w:name="_Toc277082596"/>
      <w:bookmarkStart w:id="528" w:name="_Toc287607790"/>
      <w:bookmarkStart w:id="529" w:name="_Toc430530479"/>
      <w:bookmarkStart w:id="530" w:name="_Toc4647"/>
      <w:bookmarkStart w:id="531" w:name="_Toc509218754"/>
      <w:bookmarkStart w:id="532" w:name="_Toc200513170"/>
      <w:bookmarkStart w:id="533" w:name="_Toc287620729"/>
      <w:bookmarkStart w:id="534" w:name="_Toc224103361"/>
      <w:bookmarkStart w:id="535" w:name="_Toc20928"/>
      <w:bookmarkStart w:id="536" w:name="_Toc17915"/>
      <w:r>
        <w:rPr>
          <w:rFonts w:ascii="宋体" w:hAnsi="宋体"/>
          <w:b w:val="0"/>
          <w:snapToGrid w:val="0"/>
          <w:color w:val="auto"/>
          <w:sz w:val="24"/>
          <w:szCs w:val="24"/>
          <w:highlight w:val="none"/>
        </w:rPr>
        <w:t>8.1  重新招标</w:t>
      </w:r>
      <w:bookmarkEnd w:id="527"/>
      <w:bookmarkEnd w:id="528"/>
      <w:bookmarkEnd w:id="529"/>
      <w:bookmarkEnd w:id="530"/>
      <w:bookmarkEnd w:id="531"/>
      <w:bookmarkEnd w:id="532"/>
      <w:bookmarkEnd w:id="533"/>
      <w:bookmarkEnd w:id="534"/>
      <w:r>
        <w:rPr>
          <w:rFonts w:hint="eastAsia" w:ascii="宋体" w:hAnsi="宋体"/>
          <w:b w:val="0"/>
          <w:snapToGrid w:val="0"/>
          <w:color w:val="auto"/>
          <w:sz w:val="24"/>
          <w:szCs w:val="24"/>
          <w:highlight w:val="none"/>
        </w:rPr>
        <w:t>的情形</w:t>
      </w:r>
      <w:bookmarkEnd w:id="535"/>
      <w:bookmarkEnd w:id="536"/>
    </w:p>
    <w:p w14:paraId="15D4793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将重新招标：</w:t>
      </w:r>
    </w:p>
    <w:p w14:paraId="339613F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少于 3 个的；</w:t>
      </w:r>
    </w:p>
    <w:p w14:paraId="4E48000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6EAD1D1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竞选人不足三个的，评标委员会应当否决所有投标。但是有效竞选人的经济、技术等指标仍然具有市场竞争力，能够满足竞争性比选文件要求的，评标委员会可以继续评标并确定中标候选人；</w:t>
      </w:r>
    </w:p>
    <w:p w14:paraId="46780D8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7AF649B3">
      <w:pPr>
        <w:pStyle w:val="6"/>
        <w:snapToGrid w:val="0"/>
        <w:spacing w:before="0" w:after="0" w:line="360" w:lineRule="auto"/>
        <w:rPr>
          <w:rFonts w:ascii="宋体" w:hAnsi="宋体"/>
          <w:b w:val="0"/>
          <w:snapToGrid w:val="0"/>
          <w:color w:val="auto"/>
          <w:sz w:val="24"/>
          <w:szCs w:val="24"/>
          <w:highlight w:val="none"/>
        </w:rPr>
      </w:pPr>
      <w:bookmarkStart w:id="537" w:name="_Toc19407"/>
      <w:bookmarkStart w:id="538" w:name="_Toc277082597"/>
      <w:bookmarkStart w:id="539" w:name="_Toc200513171"/>
      <w:bookmarkStart w:id="540" w:name="_Toc430530480"/>
      <w:bookmarkStart w:id="541" w:name="_Toc287620730"/>
      <w:bookmarkStart w:id="542" w:name="_Toc32210"/>
      <w:bookmarkStart w:id="543" w:name="_Toc224103362"/>
      <w:bookmarkStart w:id="544" w:name="_Toc287607791"/>
      <w:bookmarkStart w:id="545" w:name="_Toc509218755"/>
      <w:bookmarkStart w:id="546" w:name="_Toc14907"/>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537"/>
      <w:bookmarkEnd w:id="538"/>
      <w:bookmarkEnd w:id="539"/>
      <w:bookmarkEnd w:id="540"/>
      <w:bookmarkEnd w:id="541"/>
      <w:bookmarkEnd w:id="542"/>
      <w:bookmarkEnd w:id="543"/>
      <w:bookmarkEnd w:id="544"/>
      <w:bookmarkEnd w:id="545"/>
      <w:bookmarkEnd w:id="546"/>
    </w:p>
    <w:p w14:paraId="349A784B">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149670DD">
      <w:pPr>
        <w:pStyle w:val="5"/>
        <w:spacing w:before="0" w:after="0" w:line="360" w:lineRule="auto"/>
        <w:rPr>
          <w:rFonts w:ascii="宋体" w:hAnsi="宋体"/>
          <w:b w:val="0"/>
          <w:snapToGrid w:val="0"/>
          <w:color w:val="auto"/>
          <w:highlight w:val="none"/>
        </w:rPr>
      </w:pPr>
      <w:bookmarkStart w:id="547" w:name="_Toc285"/>
      <w:bookmarkStart w:id="548" w:name="_Toc287607792"/>
      <w:bookmarkStart w:id="549" w:name="_Toc509218756"/>
      <w:bookmarkStart w:id="550" w:name="_Toc200513172"/>
      <w:bookmarkStart w:id="551" w:name="_Toc287620731"/>
      <w:bookmarkStart w:id="552" w:name="_Toc30945"/>
      <w:bookmarkStart w:id="553" w:name="_Toc277082598"/>
      <w:bookmarkStart w:id="554" w:name="_Toc26378"/>
      <w:bookmarkStart w:id="555" w:name="_Toc430530481"/>
      <w:bookmarkStart w:id="556" w:name="_Toc224103363"/>
      <w:r>
        <w:rPr>
          <w:rFonts w:ascii="宋体" w:hAnsi="宋体"/>
          <w:b w:val="0"/>
          <w:snapToGrid w:val="0"/>
          <w:color w:val="auto"/>
          <w:highlight w:val="none"/>
        </w:rPr>
        <w:t>9.  纪律和监督</w:t>
      </w:r>
      <w:bookmarkEnd w:id="547"/>
      <w:bookmarkEnd w:id="548"/>
      <w:bookmarkEnd w:id="549"/>
      <w:bookmarkEnd w:id="550"/>
      <w:bookmarkEnd w:id="551"/>
      <w:bookmarkEnd w:id="552"/>
      <w:bookmarkEnd w:id="553"/>
      <w:bookmarkEnd w:id="554"/>
      <w:bookmarkEnd w:id="555"/>
      <w:bookmarkEnd w:id="556"/>
    </w:p>
    <w:p w14:paraId="245B1AD5">
      <w:pPr>
        <w:pStyle w:val="6"/>
        <w:snapToGrid w:val="0"/>
        <w:spacing w:before="0" w:after="0" w:line="360" w:lineRule="auto"/>
        <w:rPr>
          <w:rFonts w:ascii="宋体" w:hAnsi="宋体"/>
          <w:b w:val="0"/>
          <w:snapToGrid w:val="0"/>
          <w:color w:val="auto"/>
          <w:sz w:val="24"/>
          <w:szCs w:val="24"/>
          <w:highlight w:val="none"/>
        </w:rPr>
      </w:pPr>
      <w:bookmarkStart w:id="557" w:name="_Toc10448"/>
      <w:bookmarkStart w:id="558" w:name="_Toc277082599"/>
      <w:bookmarkStart w:id="559" w:name="_Toc11532"/>
      <w:bookmarkStart w:id="560" w:name="_Toc509218757"/>
      <w:bookmarkStart w:id="561" w:name="_Toc287607793"/>
      <w:bookmarkStart w:id="562" w:name="_Toc224103364"/>
      <w:bookmarkStart w:id="563" w:name="_Toc24754"/>
      <w:bookmarkStart w:id="564" w:name="_Toc430530482"/>
      <w:bookmarkStart w:id="565" w:name="_Toc287620732"/>
      <w:bookmarkStart w:id="566" w:name="_Toc200513173"/>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rPr>
        <w:t>比选人</w:t>
      </w:r>
      <w:r>
        <w:rPr>
          <w:rFonts w:ascii="宋体" w:hAnsi="宋体"/>
          <w:b w:val="0"/>
          <w:snapToGrid w:val="0"/>
          <w:color w:val="auto"/>
          <w:sz w:val="24"/>
          <w:szCs w:val="24"/>
          <w:highlight w:val="none"/>
        </w:rPr>
        <w:t>的纪律要求</w:t>
      </w:r>
      <w:bookmarkEnd w:id="557"/>
      <w:bookmarkEnd w:id="558"/>
      <w:bookmarkEnd w:id="559"/>
      <w:bookmarkEnd w:id="560"/>
      <w:bookmarkEnd w:id="561"/>
      <w:bookmarkEnd w:id="562"/>
      <w:bookmarkEnd w:id="563"/>
      <w:bookmarkEnd w:id="564"/>
      <w:bookmarkEnd w:id="565"/>
      <w:bookmarkEnd w:id="566"/>
    </w:p>
    <w:p w14:paraId="5ED2742C">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不得泄漏招标投标活动中应当保密的情况和资料，不得与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串通损害国家利 益、社会公共利益或者他人合法权益，</w:t>
      </w:r>
      <w:r>
        <w:rPr>
          <w:rFonts w:ascii="宋体" w:hAnsi="宋体"/>
          <w:color w:val="auto"/>
          <w:highlight w:val="none"/>
        </w:rPr>
        <w:t>禁止</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7E67CB0B">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53DFBE2C">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rPr>
        <w:t>比选人</w:t>
      </w:r>
      <w:r>
        <w:rPr>
          <w:rFonts w:ascii="宋体" w:hAnsi="宋体"/>
          <w:color w:val="auto"/>
          <w:highlight w:val="none"/>
        </w:rPr>
        <w:t>在开标前开启</w:t>
      </w:r>
      <w:r>
        <w:rPr>
          <w:rFonts w:hint="eastAsia" w:ascii="宋体" w:hAnsi="宋体"/>
          <w:color w:val="auto"/>
          <w:highlight w:val="none"/>
        </w:rPr>
        <w:t>竞选文件</w:t>
      </w:r>
      <w:r>
        <w:rPr>
          <w:rFonts w:ascii="宋体" w:hAnsi="宋体"/>
          <w:color w:val="auto"/>
          <w:highlight w:val="none"/>
        </w:rPr>
        <w:t>并将有关信息泄露给其他</w:t>
      </w:r>
      <w:r>
        <w:rPr>
          <w:rFonts w:hint="eastAsia" w:ascii="宋体" w:hAnsi="宋体"/>
          <w:color w:val="auto"/>
          <w:highlight w:val="none"/>
        </w:rPr>
        <w:t>竞选人；</w:t>
      </w:r>
    </w:p>
    <w:p w14:paraId="01DBBD2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rPr>
        <w:t>比选人</w:t>
      </w:r>
      <w:r>
        <w:rPr>
          <w:rFonts w:ascii="宋体" w:hAnsi="宋体"/>
          <w:color w:val="auto"/>
          <w:highlight w:val="none"/>
        </w:rPr>
        <w:t>直接或者间接向</w:t>
      </w:r>
      <w:r>
        <w:rPr>
          <w:rFonts w:hint="eastAsia" w:ascii="宋体" w:hAnsi="宋体"/>
          <w:color w:val="auto"/>
          <w:highlight w:val="none"/>
        </w:rPr>
        <w:t>竞选人</w:t>
      </w:r>
      <w:r>
        <w:rPr>
          <w:rFonts w:ascii="宋体" w:hAnsi="宋体"/>
          <w:color w:val="auto"/>
          <w:highlight w:val="none"/>
        </w:rPr>
        <w:t>泄露标底、评标委员会成员等信息；</w:t>
      </w:r>
    </w:p>
    <w:p w14:paraId="57108BB9">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压低或者抬高投标报价；</w:t>
      </w:r>
    </w:p>
    <w:p w14:paraId="6500DA5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rPr>
        <w:t>比选人</w:t>
      </w:r>
      <w:r>
        <w:rPr>
          <w:rFonts w:ascii="宋体" w:hAnsi="宋体"/>
          <w:color w:val="auto"/>
          <w:highlight w:val="none"/>
        </w:rPr>
        <w:t>授意</w:t>
      </w:r>
      <w:r>
        <w:rPr>
          <w:rFonts w:hint="eastAsia" w:ascii="宋体" w:hAnsi="宋体"/>
          <w:color w:val="auto"/>
          <w:highlight w:val="none"/>
        </w:rPr>
        <w:t>竞选人</w:t>
      </w:r>
      <w:r>
        <w:rPr>
          <w:rFonts w:ascii="宋体" w:hAnsi="宋体"/>
          <w:color w:val="auto"/>
          <w:highlight w:val="none"/>
        </w:rPr>
        <w:t>撤换、修改</w:t>
      </w:r>
      <w:r>
        <w:rPr>
          <w:rFonts w:hint="eastAsia" w:ascii="宋体" w:hAnsi="宋体"/>
          <w:color w:val="auto"/>
          <w:highlight w:val="none"/>
        </w:rPr>
        <w:t>竞选文件</w:t>
      </w:r>
      <w:r>
        <w:rPr>
          <w:rFonts w:ascii="宋体" w:hAnsi="宋体"/>
          <w:color w:val="auto"/>
          <w:highlight w:val="none"/>
        </w:rPr>
        <w:t>；</w:t>
      </w:r>
    </w:p>
    <w:p w14:paraId="475BCF6F">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为特定</w:t>
      </w:r>
      <w:r>
        <w:rPr>
          <w:rFonts w:hint="eastAsia" w:ascii="宋体" w:hAnsi="宋体"/>
          <w:color w:val="auto"/>
          <w:highlight w:val="none"/>
        </w:rPr>
        <w:t>竞选人</w:t>
      </w:r>
      <w:r>
        <w:rPr>
          <w:rFonts w:ascii="宋体" w:hAnsi="宋体"/>
          <w:color w:val="auto"/>
          <w:highlight w:val="none"/>
        </w:rPr>
        <w:t>中标提供方便；</w:t>
      </w:r>
    </w:p>
    <w:p w14:paraId="14C5B71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为谋求特定</w:t>
      </w:r>
      <w:r>
        <w:rPr>
          <w:rFonts w:hint="eastAsia" w:ascii="宋体" w:hAnsi="宋体"/>
          <w:color w:val="auto"/>
          <w:highlight w:val="none"/>
        </w:rPr>
        <w:t>竞选人</w:t>
      </w:r>
      <w:r>
        <w:rPr>
          <w:rFonts w:ascii="宋体" w:hAnsi="宋体"/>
          <w:color w:val="auto"/>
          <w:highlight w:val="none"/>
        </w:rPr>
        <w:t>中标而采取的其他串通行为。</w:t>
      </w:r>
    </w:p>
    <w:p w14:paraId="35E75DE9">
      <w:pPr>
        <w:pStyle w:val="6"/>
        <w:snapToGrid w:val="0"/>
        <w:spacing w:before="0" w:after="0" w:line="360" w:lineRule="auto"/>
        <w:rPr>
          <w:rFonts w:ascii="宋体" w:hAnsi="宋体"/>
          <w:b w:val="0"/>
          <w:snapToGrid w:val="0"/>
          <w:color w:val="auto"/>
          <w:sz w:val="24"/>
          <w:szCs w:val="24"/>
          <w:highlight w:val="none"/>
        </w:rPr>
      </w:pPr>
      <w:bookmarkStart w:id="567" w:name="_Toc277082600"/>
      <w:bookmarkStart w:id="568" w:name="_Toc430530483"/>
      <w:bookmarkStart w:id="569" w:name="_Toc23048"/>
      <w:bookmarkStart w:id="570" w:name="_Toc287620733"/>
      <w:bookmarkStart w:id="571" w:name="_Toc287607794"/>
      <w:bookmarkStart w:id="572" w:name="_Toc11710"/>
      <w:bookmarkStart w:id="573" w:name="_Toc200513174"/>
      <w:bookmarkStart w:id="574" w:name="_Toc7209"/>
      <w:bookmarkStart w:id="575" w:name="_Toc224103365"/>
      <w:bookmarkStart w:id="576" w:name="_Toc509218758"/>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的纪律要求</w:t>
      </w:r>
      <w:bookmarkEnd w:id="567"/>
      <w:bookmarkEnd w:id="568"/>
      <w:bookmarkEnd w:id="569"/>
      <w:bookmarkEnd w:id="570"/>
      <w:bookmarkEnd w:id="571"/>
      <w:bookmarkEnd w:id="572"/>
      <w:bookmarkEnd w:id="573"/>
      <w:bookmarkEnd w:id="574"/>
      <w:bookmarkEnd w:id="575"/>
      <w:bookmarkEnd w:id="576"/>
    </w:p>
    <w:p w14:paraId="4E7D54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不得相互串通投标或者与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或者评标委员会成员行贿谋取中标，不得以他人名义投标或者以其他方式弄虚作假骗取中标；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不得以任何方式干扰、影响评标工作</w:t>
      </w:r>
      <w:r>
        <w:rPr>
          <w:rFonts w:hint="eastAsia" w:ascii="宋体" w:hAnsi="宋体"/>
          <w:snapToGrid w:val="0"/>
          <w:color w:val="auto"/>
          <w:kern w:val="0"/>
          <w:szCs w:val="21"/>
          <w:highlight w:val="none"/>
        </w:rPr>
        <w:t>。</w:t>
      </w:r>
    </w:p>
    <w:p w14:paraId="10B5A65D">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w:t>
      </w:r>
      <w:r>
        <w:rPr>
          <w:rFonts w:hint="eastAsia" w:ascii="宋体" w:hAnsi="宋体"/>
          <w:color w:val="auto"/>
          <w:highlight w:val="none"/>
        </w:rPr>
        <w:t>竞选人</w:t>
      </w:r>
      <w:r>
        <w:rPr>
          <w:rFonts w:ascii="宋体" w:hAnsi="宋体"/>
          <w:color w:val="auto"/>
          <w:highlight w:val="none"/>
        </w:rPr>
        <w:t>相互串通投标：</w:t>
      </w:r>
    </w:p>
    <w:p w14:paraId="3AD49FB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竞选人</w:t>
      </w:r>
      <w:r>
        <w:rPr>
          <w:rFonts w:ascii="宋体" w:hAnsi="宋体"/>
          <w:color w:val="auto"/>
          <w:highlight w:val="none"/>
        </w:rPr>
        <w:t>之间协商投标报价等</w:t>
      </w:r>
      <w:r>
        <w:rPr>
          <w:rFonts w:hint="eastAsia" w:ascii="宋体" w:hAnsi="宋体"/>
          <w:color w:val="auto"/>
          <w:highlight w:val="none"/>
        </w:rPr>
        <w:t>竞选文件</w:t>
      </w:r>
      <w:r>
        <w:rPr>
          <w:rFonts w:ascii="宋体" w:hAnsi="宋体"/>
          <w:color w:val="auto"/>
          <w:highlight w:val="none"/>
        </w:rPr>
        <w:t>的实质性内容；</w:t>
      </w:r>
    </w:p>
    <w:p w14:paraId="3AF4B76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竞选人</w:t>
      </w:r>
      <w:r>
        <w:rPr>
          <w:rFonts w:ascii="宋体" w:hAnsi="宋体"/>
          <w:color w:val="auto"/>
          <w:highlight w:val="none"/>
        </w:rPr>
        <w:t>之间约定中标人；</w:t>
      </w:r>
    </w:p>
    <w:p w14:paraId="7CF5035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竞选人</w:t>
      </w:r>
      <w:r>
        <w:rPr>
          <w:rFonts w:ascii="宋体" w:hAnsi="宋体"/>
          <w:color w:val="auto"/>
          <w:highlight w:val="none"/>
        </w:rPr>
        <w:t>之间约定部分</w:t>
      </w:r>
      <w:r>
        <w:rPr>
          <w:rFonts w:hint="eastAsia" w:ascii="宋体" w:hAnsi="宋体"/>
          <w:color w:val="auto"/>
          <w:highlight w:val="none"/>
        </w:rPr>
        <w:t>竞选人</w:t>
      </w:r>
      <w:r>
        <w:rPr>
          <w:rFonts w:ascii="宋体" w:hAnsi="宋体"/>
          <w:color w:val="auto"/>
          <w:highlight w:val="none"/>
        </w:rPr>
        <w:t>放弃投标或者中标；</w:t>
      </w:r>
    </w:p>
    <w:p w14:paraId="20BFF49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rPr>
        <w:t>竞选人</w:t>
      </w:r>
      <w:r>
        <w:rPr>
          <w:rFonts w:ascii="宋体" w:hAnsi="宋体"/>
          <w:color w:val="auto"/>
          <w:highlight w:val="none"/>
        </w:rPr>
        <w:t>按照该组织要求协同投标；</w:t>
      </w:r>
    </w:p>
    <w:p w14:paraId="1C719E4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rPr>
        <w:t>竞选人</w:t>
      </w:r>
      <w:r>
        <w:rPr>
          <w:rFonts w:ascii="宋体" w:hAnsi="宋体"/>
          <w:color w:val="auto"/>
          <w:highlight w:val="none"/>
        </w:rPr>
        <w:t>之间为谋取中标或者排斥特定</w:t>
      </w:r>
      <w:r>
        <w:rPr>
          <w:rFonts w:hint="eastAsia" w:ascii="宋体" w:hAnsi="宋体"/>
          <w:color w:val="auto"/>
          <w:highlight w:val="none"/>
        </w:rPr>
        <w:t>竞选人</w:t>
      </w:r>
      <w:r>
        <w:rPr>
          <w:rFonts w:ascii="宋体" w:hAnsi="宋体"/>
          <w:color w:val="auto"/>
          <w:highlight w:val="none"/>
        </w:rPr>
        <w:t>而采取的其他联合行动。</w:t>
      </w:r>
    </w:p>
    <w:p w14:paraId="77EF9C8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rPr>
        <w:t>竞选人</w:t>
      </w:r>
      <w:r>
        <w:rPr>
          <w:rFonts w:ascii="宋体" w:hAnsi="宋体"/>
          <w:color w:val="auto"/>
          <w:highlight w:val="none"/>
        </w:rPr>
        <w:t>相互串通投标：</w:t>
      </w:r>
    </w:p>
    <w:p w14:paraId="077F0C9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由同一单位或者个人编制；</w:t>
      </w:r>
    </w:p>
    <w:p w14:paraId="595D84A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rPr>
        <w:t>竞选人</w:t>
      </w:r>
      <w:r>
        <w:rPr>
          <w:rFonts w:ascii="宋体" w:hAnsi="宋体"/>
          <w:color w:val="auto"/>
          <w:highlight w:val="none"/>
        </w:rPr>
        <w:t>委托同一单位或者个人办理投标事宜；</w:t>
      </w:r>
    </w:p>
    <w:p w14:paraId="7FBD375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载明的项目管理成员为同一人；</w:t>
      </w:r>
    </w:p>
    <w:p w14:paraId="0B438EB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异常一致或者投标报价呈规律性差异；</w:t>
      </w:r>
    </w:p>
    <w:p w14:paraId="5F70B41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相互混装；</w:t>
      </w:r>
    </w:p>
    <w:p w14:paraId="29E8515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rPr>
        <w:t>竞选人</w:t>
      </w:r>
      <w:r>
        <w:rPr>
          <w:rFonts w:ascii="宋体" w:hAnsi="宋体"/>
          <w:color w:val="auto"/>
          <w:highlight w:val="none"/>
        </w:rPr>
        <w:t>的投标保证金从同一单位或者个人的账户转出。</w:t>
      </w:r>
    </w:p>
    <w:p w14:paraId="0C0ADC44">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5C174E8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9.2.4  竞选人</w:t>
      </w:r>
      <w:r>
        <w:rPr>
          <w:rFonts w:ascii="宋体" w:hAnsi="宋体"/>
          <w:color w:val="auto"/>
          <w:highlight w:val="none"/>
        </w:rPr>
        <w:t>有下列情形之一的，属于以其他方式弄虚作假的行为：</w:t>
      </w:r>
    </w:p>
    <w:p w14:paraId="2D1C791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3132615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082B0E4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2C844EB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4B30FF9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2C7E5A58">
      <w:pPr>
        <w:pStyle w:val="6"/>
        <w:snapToGrid w:val="0"/>
        <w:spacing w:before="0" w:after="0" w:line="360" w:lineRule="auto"/>
        <w:rPr>
          <w:rFonts w:ascii="宋体" w:hAnsi="宋体"/>
          <w:b w:val="0"/>
          <w:snapToGrid w:val="0"/>
          <w:color w:val="auto"/>
          <w:sz w:val="24"/>
          <w:szCs w:val="24"/>
          <w:highlight w:val="none"/>
        </w:rPr>
      </w:pPr>
      <w:bookmarkStart w:id="577" w:name="_Toc224103366"/>
      <w:bookmarkStart w:id="578" w:name="_Toc287607795"/>
      <w:bookmarkStart w:id="579" w:name="_Toc200513175"/>
      <w:bookmarkStart w:id="580" w:name="_Toc509218759"/>
      <w:bookmarkStart w:id="581" w:name="_Toc277082601"/>
      <w:bookmarkStart w:id="582" w:name="_Toc4085"/>
      <w:bookmarkStart w:id="583" w:name="_Toc430530484"/>
      <w:bookmarkStart w:id="584" w:name="_Toc287620734"/>
      <w:bookmarkStart w:id="585" w:name="_Toc27742"/>
      <w:bookmarkStart w:id="586" w:name="_Toc13939"/>
      <w:r>
        <w:rPr>
          <w:rFonts w:ascii="宋体" w:hAnsi="宋体"/>
          <w:b w:val="0"/>
          <w:snapToGrid w:val="0"/>
          <w:color w:val="auto"/>
          <w:sz w:val="24"/>
          <w:szCs w:val="24"/>
          <w:highlight w:val="none"/>
        </w:rPr>
        <w:t>9.3  对评标委员会成员的纪律要求</w:t>
      </w:r>
      <w:bookmarkEnd w:id="577"/>
      <w:bookmarkEnd w:id="578"/>
      <w:bookmarkEnd w:id="579"/>
      <w:bookmarkEnd w:id="580"/>
      <w:bookmarkEnd w:id="581"/>
      <w:bookmarkEnd w:id="582"/>
      <w:bookmarkEnd w:id="583"/>
      <w:bookmarkEnd w:id="584"/>
      <w:bookmarkEnd w:id="585"/>
      <w:bookmarkEnd w:id="586"/>
    </w:p>
    <w:p w14:paraId="2E3B54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的评审和比较、中标候选人的推荐情况以及评标有关的其他情况。在评标活动中，评标委员会成员不得擅离职守，影响评标程序正常进行。</w:t>
      </w:r>
    </w:p>
    <w:p w14:paraId="398A2604">
      <w:pPr>
        <w:pStyle w:val="6"/>
        <w:snapToGrid w:val="0"/>
        <w:spacing w:before="0" w:after="0" w:line="360" w:lineRule="auto"/>
        <w:rPr>
          <w:rFonts w:ascii="宋体" w:hAnsi="宋体"/>
          <w:b w:val="0"/>
          <w:snapToGrid w:val="0"/>
          <w:color w:val="auto"/>
          <w:sz w:val="24"/>
          <w:szCs w:val="24"/>
          <w:highlight w:val="none"/>
        </w:rPr>
      </w:pPr>
      <w:bookmarkStart w:id="587" w:name="_Toc18914"/>
      <w:bookmarkStart w:id="588" w:name="_Toc287620735"/>
      <w:bookmarkStart w:id="589" w:name="_Toc224103367"/>
      <w:bookmarkStart w:id="590" w:name="_Toc509218760"/>
      <w:bookmarkStart w:id="591" w:name="_Toc20787"/>
      <w:bookmarkStart w:id="592" w:name="_Toc17353"/>
      <w:bookmarkStart w:id="593" w:name="_Toc287607796"/>
      <w:bookmarkStart w:id="594" w:name="_Toc200513176"/>
      <w:bookmarkStart w:id="595" w:name="_Toc430530485"/>
      <w:bookmarkStart w:id="596" w:name="_Toc277082602"/>
      <w:r>
        <w:rPr>
          <w:rFonts w:ascii="宋体" w:hAnsi="宋体"/>
          <w:b w:val="0"/>
          <w:snapToGrid w:val="0"/>
          <w:color w:val="auto"/>
          <w:sz w:val="24"/>
          <w:szCs w:val="24"/>
          <w:highlight w:val="none"/>
        </w:rPr>
        <w:t>9.4  对与评标活动有关的工作人员的纪律要求</w:t>
      </w:r>
      <w:bookmarkEnd w:id="587"/>
      <w:bookmarkEnd w:id="588"/>
      <w:bookmarkEnd w:id="589"/>
      <w:bookmarkEnd w:id="590"/>
      <w:bookmarkEnd w:id="591"/>
      <w:bookmarkEnd w:id="592"/>
      <w:bookmarkEnd w:id="593"/>
      <w:bookmarkEnd w:id="594"/>
      <w:bookmarkEnd w:id="595"/>
      <w:bookmarkEnd w:id="596"/>
    </w:p>
    <w:p w14:paraId="73B3E08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的评审和比较、中标候选人的推荐情况以及与评标有关的其他情况。在评标活动中，与评标活动有关的工作人员不得擅离职守，影响评标程序正常进行。</w:t>
      </w:r>
    </w:p>
    <w:p w14:paraId="79681B60">
      <w:pPr>
        <w:pStyle w:val="6"/>
        <w:snapToGrid w:val="0"/>
        <w:spacing w:before="0" w:after="0" w:line="360" w:lineRule="auto"/>
        <w:rPr>
          <w:rFonts w:ascii="宋体" w:hAnsi="宋体"/>
          <w:b w:val="0"/>
          <w:snapToGrid w:val="0"/>
          <w:color w:val="auto"/>
          <w:sz w:val="24"/>
          <w:szCs w:val="24"/>
          <w:highlight w:val="none"/>
        </w:rPr>
      </w:pPr>
      <w:bookmarkStart w:id="597" w:name="_Toc8106"/>
      <w:bookmarkStart w:id="598" w:name="_Toc200513177"/>
      <w:bookmarkStart w:id="599" w:name="_Toc224103368"/>
      <w:bookmarkStart w:id="600" w:name="_Toc287620736"/>
      <w:bookmarkStart w:id="601" w:name="_Toc287607797"/>
      <w:bookmarkStart w:id="602" w:name="_Toc430530486"/>
      <w:bookmarkStart w:id="603" w:name="_Toc277082603"/>
      <w:bookmarkStart w:id="604" w:name="_Toc5381"/>
      <w:bookmarkStart w:id="605" w:name="_Toc509218761"/>
      <w:bookmarkStart w:id="606" w:name="_Toc17234"/>
      <w:r>
        <w:rPr>
          <w:rFonts w:ascii="宋体" w:hAnsi="宋体"/>
          <w:b w:val="0"/>
          <w:snapToGrid w:val="0"/>
          <w:color w:val="auto"/>
          <w:sz w:val="24"/>
          <w:szCs w:val="24"/>
          <w:highlight w:val="none"/>
        </w:rPr>
        <w:t>9.5  投诉</w:t>
      </w:r>
      <w:bookmarkEnd w:id="597"/>
      <w:bookmarkEnd w:id="598"/>
      <w:bookmarkEnd w:id="599"/>
      <w:bookmarkEnd w:id="600"/>
      <w:bookmarkEnd w:id="601"/>
      <w:bookmarkEnd w:id="602"/>
      <w:bookmarkEnd w:id="603"/>
      <w:bookmarkEnd w:id="604"/>
      <w:bookmarkEnd w:id="605"/>
      <w:bookmarkEnd w:id="606"/>
    </w:p>
    <w:p w14:paraId="2B14B0E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和其他利害关系人认为</w:t>
      </w:r>
      <w:r>
        <w:rPr>
          <w:rFonts w:hint="eastAsia" w:ascii="宋体" w:hAnsi="宋体"/>
          <w:snapToGrid w:val="0"/>
          <w:color w:val="auto"/>
          <w:kern w:val="0"/>
          <w:szCs w:val="21"/>
          <w:highlight w:val="none"/>
        </w:rPr>
        <w:t>本次比选</w:t>
      </w:r>
      <w:r>
        <w:rPr>
          <w:rFonts w:ascii="宋体" w:hAnsi="宋体"/>
          <w:snapToGrid w:val="0"/>
          <w:color w:val="auto"/>
          <w:kern w:val="0"/>
          <w:szCs w:val="21"/>
          <w:highlight w:val="none"/>
        </w:rPr>
        <w:t>活动违反法律、法规和规章规定的，有权向有关行政监督部门投诉。</w:t>
      </w:r>
    </w:p>
    <w:p w14:paraId="340900D1">
      <w:pPr>
        <w:pStyle w:val="5"/>
        <w:spacing w:before="0" w:after="0" w:line="360" w:lineRule="auto"/>
        <w:rPr>
          <w:rFonts w:ascii="宋体" w:hAnsi="宋体"/>
          <w:b w:val="0"/>
          <w:snapToGrid w:val="0"/>
          <w:color w:val="auto"/>
          <w:highlight w:val="none"/>
        </w:rPr>
      </w:pPr>
      <w:bookmarkStart w:id="607" w:name="_Toc277082604"/>
      <w:bookmarkStart w:id="608" w:name="_Toc13382"/>
      <w:bookmarkStart w:id="609" w:name="_Toc287620737"/>
      <w:bookmarkStart w:id="610" w:name="_Toc3991"/>
      <w:bookmarkStart w:id="611" w:name="_Toc224103369"/>
      <w:bookmarkStart w:id="612" w:name="_Toc23179"/>
      <w:bookmarkStart w:id="613" w:name="_Toc430530487"/>
      <w:bookmarkStart w:id="614" w:name="_Toc509218762"/>
      <w:bookmarkStart w:id="615" w:name="_Toc287607798"/>
      <w:bookmarkStart w:id="616" w:name="_Toc200513178"/>
      <w:r>
        <w:rPr>
          <w:rFonts w:ascii="宋体" w:hAnsi="宋体"/>
          <w:b w:val="0"/>
          <w:snapToGrid w:val="0"/>
          <w:color w:val="auto"/>
          <w:highlight w:val="none"/>
        </w:rPr>
        <w:t>10. 需要补充的其他内容</w:t>
      </w:r>
      <w:bookmarkEnd w:id="607"/>
      <w:bookmarkEnd w:id="608"/>
      <w:bookmarkEnd w:id="609"/>
      <w:bookmarkEnd w:id="610"/>
      <w:bookmarkEnd w:id="611"/>
      <w:bookmarkEnd w:id="612"/>
      <w:bookmarkEnd w:id="613"/>
      <w:bookmarkEnd w:id="614"/>
      <w:bookmarkEnd w:id="615"/>
      <w:bookmarkEnd w:id="616"/>
    </w:p>
    <w:p w14:paraId="00E70BAB">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9C314E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b/>
          <w:bCs/>
          <w:snapToGrid w:val="0"/>
          <w:color w:val="auto"/>
          <w:kern w:val="0"/>
          <w:sz w:val="44"/>
          <w:szCs w:val="44"/>
          <w:highlight w:val="none"/>
        </w:rPr>
      </w:pPr>
      <w:bookmarkStart w:id="617" w:name="_Toc57905906"/>
      <w:bookmarkStart w:id="618" w:name="_Toc509218785"/>
      <w:bookmarkStart w:id="619" w:name="_Toc8427"/>
      <w:bookmarkStart w:id="620" w:name="_Toc430530509"/>
      <w:r>
        <w:rPr>
          <w:rFonts w:ascii="宋体" w:hAnsi="宋体"/>
          <w:b/>
          <w:bCs/>
          <w:snapToGrid w:val="0"/>
          <w:color w:val="auto"/>
          <w:kern w:val="0"/>
          <w:sz w:val="44"/>
          <w:szCs w:val="44"/>
          <w:highlight w:val="none"/>
        </w:rPr>
        <w:t>第三章  评审办法（综合评估法）</w:t>
      </w:r>
    </w:p>
    <w:p w14:paraId="290FFAD8">
      <w:pPr>
        <w:ind w:firstLine="420" w:firstLineChars="200"/>
        <w:rPr>
          <w:rFonts w:hint="eastAsia" w:ascii="宋体" w:hAnsi="宋体"/>
          <w:color w:val="auto"/>
          <w:highlight w:val="none"/>
        </w:rPr>
      </w:pPr>
      <w:r>
        <w:rPr>
          <w:rFonts w:hint="eastAsia" w:ascii="宋体" w:hAnsi="宋体"/>
          <w:color w:val="auto"/>
          <w:highlight w:val="none"/>
        </w:rPr>
        <w:t>评审办法前附表</w:t>
      </w:r>
    </w:p>
    <w:tbl>
      <w:tblPr>
        <w:tblStyle w:val="46"/>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15"/>
        <w:gridCol w:w="960"/>
        <w:gridCol w:w="16"/>
        <w:gridCol w:w="1253"/>
        <w:gridCol w:w="1270"/>
        <w:gridCol w:w="4680"/>
      </w:tblGrid>
      <w:tr w14:paraId="2301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920" w:type="dxa"/>
            <w:gridSpan w:val="3"/>
            <w:tcBorders>
              <w:top w:val="single" w:color="auto" w:sz="4" w:space="0"/>
              <w:left w:val="single" w:color="auto" w:sz="4" w:space="0"/>
              <w:bottom w:val="single" w:color="auto" w:sz="4" w:space="0"/>
              <w:right w:val="single" w:color="auto" w:sz="4" w:space="0"/>
            </w:tcBorders>
            <w:vAlign w:val="center"/>
          </w:tcPr>
          <w:p w14:paraId="4EF9FE65">
            <w:pPr>
              <w:ind w:firstLine="420" w:firstLineChars="200"/>
              <w:rPr>
                <w:rFonts w:ascii="宋体" w:hAnsi="宋体"/>
                <w:color w:val="auto"/>
                <w:sz w:val="24"/>
                <w:highlight w:val="none"/>
              </w:rPr>
            </w:pPr>
            <w:r>
              <w:rPr>
                <w:rFonts w:hint="eastAsia" w:ascii="宋体" w:hAnsi="宋体"/>
                <w:color w:val="auto"/>
                <w:highlight w:val="none"/>
              </w:rPr>
              <w:t>条款号</w:t>
            </w: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193F30A3">
            <w:pPr>
              <w:ind w:firstLine="420" w:firstLineChars="200"/>
              <w:rPr>
                <w:rFonts w:ascii="宋体" w:hAnsi="宋体"/>
                <w:color w:val="auto"/>
                <w:sz w:val="24"/>
                <w:highlight w:val="none"/>
              </w:rPr>
            </w:pPr>
            <w:r>
              <w:rPr>
                <w:rFonts w:hint="eastAsia" w:ascii="宋体" w:hAnsi="宋体"/>
                <w:color w:val="auto"/>
                <w:highlight w:val="none"/>
              </w:rPr>
              <w:t>评审因素</w:t>
            </w:r>
          </w:p>
        </w:tc>
        <w:tc>
          <w:tcPr>
            <w:tcW w:w="4680" w:type="dxa"/>
            <w:tcBorders>
              <w:top w:val="single" w:color="auto" w:sz="4" w:space="0"/>
              <w:left w:val="single" w:color="auto" w:sz="4" w:space="0"/>
              <w:bottom w:val="single" w:color="auto" w:sz="4" w:space="0"/>
              <w:right w:val="single" w:color="auto" w:sz="4" w:space="0"/>
            </w:tcBorders>
            <w:vAlign w:val="center"/>
          </w:tcPr>
          <w:p w14:paraId="6100A84A">
            <w:pPr>
              <w:jc w:val="center"/>
              <w:rPr>
                <w:rFonts w:ascii="宋体" w:hAnsi="宋体"/>
                <w:color w:val="auto"/>
                <w:sz w:val="24"/>
                <w:highlight w:val="none"/>
              </w:rPr>
            </w:pPr>
            <w:r>
              <w:rPr>
                <w:rFonts w:hint="eastAsia" w:ascii="宋体" w:hAnsi="宋体"/>
                <w:color w:val="auto"/>
                <w:highlight w:val="none"/>
              </w:rPr>
              <w:t>评审标准</w:t>
            </w:r>
          </w:p>
        </w:tc>
      </w:tr>
      <w:tr w14:paraId="7B91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5" w:type="dxa"/>
            <w:vMerge w:val="restart"/>
            <w:tcBorders>
              <w:top w:val="single" w:color="auto" w:sz="4" w:space="0"/>
              <w:left w:val="single" w:color="auto" w:sz="4" w:space="0"/>
              <w:right w:val="single" w:color="auto" w:sz="4" w:space="0"/>
            </w:tcBorders>
            <w:vAlign w:val="center"/>
          </w:tcPr>
          <w:p w14:paraId="3A3C3CA3">
            <w:pPr>
              <w:ind w:firstLine="210" w:firstLineChars="100"/>
              <w:rPr>
                <w:rFonts w:hint="default" w:ascii="宋体" w:hAnsi="宋体" w:eastAsia="宋体"/>
                <w:color w:val="auto"/>
                <w:highlight w:val="none"/>
                <w:lang w:val="en-US" w:eastAsia="zh-CN"/>
              </w:rPr>
            </w:pPr>
            <w:r>
              <w:rPr>
                <w:rFonts w:hint="eastAsia" w:ascii="宋体" w:hAnsi="宋体"/>
                <w:color w:val="auto"/>
                <w:highlight w:val="none"/>
                <w:lang w:val="en-US" w:eastAsia="zh-CN"/>
              </w:rPr>
              <w:t>1.0</w:t>
            </w:r>
          </w:p>
        </w:tc>
        <w:tc>
          <w:tcPr>
            <w:tcW w:w="1075" w:type="dxa"/>
            <w:gridSpan w:val="2"/>
            <w:vMerge w:val="restart"/>
            <w:tcBorders>
              <w:top w:val="single" w:color="auto" w:sz="4" w:space="0"/>
              <w:left w:val="single" w:color="auto" w:sz="4" w:space="0"/>
              <w:right w:val="single" w:color="auto" w:sz="4" w:space="0"/>
            </w:tcBorders>
            <w:vAlign w:val="center"/>
          </w:tcPr>
          <w:p w14:paraId="6706FE2C">
            <w:pPr>
              <w:rPr>
                <w:rFonts w:hint="default" w:ascii="宋体" w:hAnsi="宋体" w:eastAsia="宋体"/>
                <w:color w:val="auto"/>
                <w:highlight w:val="none"/>
                <w:lang w:val="en-US" w:eastAsia="zh-CN"/>
              </w:rPr>
            </w:pPr>
            <w:r>
              <w:rPr>
                <w:rFonts w:hint="eastAsia" w:ascii="宋体" w:hAnsi="宋体"/>
                <w:color w:val="auto"/>
                <w:highlight w:val="none"/>
                <w:lang w:val="en-US" w:eastAsia="zh-CN"/>
              </w:rPr>
              <w:t>资格评审标准</w:t>
            </w: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3530770C">
            <w:pPr>
              <w:wordWrap w:val="0"/>
              <w:snapToGrid w:val="0"/>
              <w:spacing w:line="400" w:lineRule="exact"/>
              <w:jc w:val="center"/>
              <w:rPr>
                <w:rFonts w:hint="eastAsia" w:ascii="宋体" w:hAnsi="宋体"/>
                <w:color w:val="auto"/>
                <w:highlight w:val="none"/>
              </w:rPr>
            </w:pPr>
            <w:r>
              <w:rPr>
                <w:rFonts w:hint="eastAsia" w:ascii="宋体" w:hAnsi="宋体" w:cs="宋体"/>
                <w:color w:val="auto"/>
                <w:kern w:val="0"/>
                <w:highlight w:val="none"/>
              </w:rPr>
              <w:t>资质条件</w:t>
            </w:r>
          </w:p>
        </w:tc>
        <w:tc>
          <w:tcPr>
            <w:tcW w:w="4680" w:type="dxa"/>
            <w:tcBorders>
              <w:top w:val="single" w:color="auto" w:sz="4" w:space="0"/>
              <w:left w:val="single" w:color="auto" w:sz="4" w:space="0"/>
              <w:bottom w:val="single" w:color="auto" w:sz="4" w:space="0"/>
              <w:right w:val="single" w:color="auto" w:sz="4" w:space="0"/>
            </w:tcBorders>
            <w:vAlign w:val="center"/>
          </w:tcPr>
          <w:p w14:paraId="774184DE">
            <w:pPr>
              <w:snapToGrid w:val="0"/>
              <w:spacing w:line="400" w:lineRule="exact"/>
              <w:rPr>
                <w:rFonts w:hint="eastAsia" w:ascii="宋体" w:hAnsi="宋体"/>
                <w:color w:val="auto"/>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14:paraId="5851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45" w:type="dxa"/>
            <w:vMerge w:val="continue"/>
            <w:tcBorders>
              <w:left w:val="single" w:color="auto" w:sz="4" w:space="0"/>
              <w:right w:val="single" w:color="auto" w:sz="4" w:space="0"/>
            </w:tcBorders>
            <w:vAlign w:val="center"/>
          </w:tcPr>
          <w:p w14:paraId="6A256E0C">
            <w:pPr>
              <w:ind w:firstLine="420" w:firstLineChars="200"/>
              <w:rPr>
                <w:rFonts w:hint="eastAsia" w:ascii="宋体" w:hAnsi="宋体"/>
                <w:color w:val="auto"/>
                <w:highlight w:val="none"/>
              </w:rPr>
            </w:pPr>
          </w:p>
        </w:tc>
        <w:tc>
          <w:tcPr>
            <w:tcW w:w="1075" w:type="dxa"/>
            <w:gridSpan w:val="2"/>
            <w:vMerge w:val="continue"/>
            <w:tcBorders>
              <w:left w:val="single" w:color="auto" w:sz="4" w:space="0"/>
              <w:right w:val="single" w:color="auto" w:sz="4" w:space="0"/>
            </w:tcBorders>
            <w:vAlign w:val="center"/>
          </w:tcPr>
          <w:p w14:paraId="42338297">
            <w:pPr>
              <w:ind w:firstLine="420" w:firstLineChars="200"/>
              <w:rPr>
                <w:rFonts w:hint="eastAsia" w:ascii="宋体" w:hAnsi="宋体"/>
                <w:color w:val="auto"/>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04BC5656">
            <w:pPr>
              <w:wordWrap w:val="0"/>
              <w:snapToGrid w:val="0"/>
              <w:spacing w:line="400" w:lineRule="exact"/>
              <w:jc w:val="center"/>
              <w:rPr>
                <w:rFonts w:hint="eastAsia" w:ascii="宋体" w:hAnsi="宋体"/>
                <w:color w:val="auto"/>
                <w:highlight w:val="none"/>
              </w:rPr>
            </w:pPr>
            <w:r>
              <w:rPr>
                <w:rFonts w:hint="eastAsia" w:ascii="宋体" w:hAnsi="宋体" w:cs="宋体"/>
                <w:color w:val="auto"/>
                <w:kern w:val="0"/>
                <w:highlight w:val="none"/>
              </w:rPr>
              <w:t>营业执照</w:t>
            </w:r>
          </w:p>
        </w:tc>
        <w:tc>
          <w:tcPr>
            <w:tcW w:w="4680" w:type="dxa"/>
            <w:tcBorders>
              <w:top w:val="single" w:color="auto" w:sz="4" w:space="0"/>
              <w:left w:val="single" w:color="auto" w:sz="4" w:space="0"/>
              <w:bottom w:val="single" w:color="auto" w:sz="4" w:space="0"/>
              <w:right w:val="single" w:color="auto" w:sz="4" w:space="0"/>
            </w:tcBorders>
            <w:vAlign w:val="center"/>
          </w:tcPr>
          <w:p w14:paraId="101FFB7E">
            <w:pPr>
              <w:snapToGrid w:val="0"/>
              <w:spacing w:line="400" w:lineRule="exact"/>
              <w:rPr>
                <w:rFonts w:hint="eastAsia" w:ascii="宋体" w:hAnsi="宋体"/>
                <w:color w:val="auto"/>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14:paraId="5F83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45" w:type="dxa"/>
            <w:vMerge w:val="continue"/>
            <w:tcBorders>
              <w:left w:val="single" w:color="auto" w:sz="4" w:space="0"/>
              <w:right w:val="single" w:color="auto" w:sz="4" w:space="0"/>
            </w:tcBorders>
            <w:vAlign w:val="center"/>
          </w:tcPr>
          <w:p w14:paraId="5FD44929">
            <w:pPr>
              <w:ind w:firstLine="420" w:firstLineChars="200"/>
              <w:rPr>
                <w:rFonts w:hint="eastAsia" w:ascii="宋体" w:hAnsi="宋体"/>
                <w:color w:val="auto"/>
                <w:highlight w:val="none"/>
              </w:rPr>
            </w:pPr>
          </w:p>
        </w:tc>
        <w:tc>
          <w:tcPr>
            <w:tcW w:w="1075" w:type="dxa"/>
            <w:gridSpan w:val="2"/>
            <w:vMerge w:val="continue"/>
            <w:tcBorders>
              <w:left w:val="single" w:color="auto" w:sz="4" w:space="0"/>
              <w:right w:val="single" w:color="auto" w:sz="4" w:space="0"/>
            </w:tcBorders>
            <w:vAlign w:val="center"/>
          </w:tcPr>
          <w:p w14:paraId="57762D16">
            <w:pPr>
              <w:ind w:firstLine="420" w:firstLineChars="200"/>
              <w:rPr>
                <w:rFonts w:hint="eastAsia" w:ascii="宋体" w:hAnsi="宋体"/>
                <w:color w:val="auto"/>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68311B8A">
            <w:pPr>
              <w:wordWrap w:val="0"/>
              <w:snapToGrid w:val="0"/>
              <w:spacing w:line="400" w:lineRule="exact"/>
              <w:jc w:val="center"/>
              <w:rPr>
                <w:rFonts w:hint="eastAsia" w:ascii="宋体" w:hAnsi="宋体"/>
                <w:color w:val="auto"/>
                <w:highlight w:val="none"/>
              </w:rPr>
            </w:pPr>
            <w:r>
              <w:rPr>
                <w:rFonts w:hint="eastAsia" w:ascii="宋体" w:hAnsi="宋体" w:cs="宋体"/>
                <w:color w:val="auto"/>
                <w:kern w:val="0"/>
                <w:highlight w:val="none"/>
              </w:rPr>
              <w:t>安全生产条件</w:t>
            </w:r>
          </w:p>
        </w:tc>
        <w:tc>
          <w:tcPr>
            <w:tcW w:w="4680" w:type="dxa"/>
            <w:tcBorders>
              <w:top w:val="single" w:color="auto" w:sz="4" w:space="0"/>
              <w:left w:val="single" w:color="auto" w:sz="4" w:space="0"/>
              <w:bottom w:val="single" w:color="auto" w:sz="4" w:space="0"/>
              <w:right w:val="single" w:color="auto" w:sz="4" w:space="0"/>
            </w:tcBorders>
            <w:vAlign w:val="center"/>
          </w:tcPr>
          <w:p w14:paraId="1F5F8AEB">
            <w:pPr>
              <w:snapToGrid w:val="0"/>
              <w:spacing w:line="400" w:lineRule="exact"/>
              <w:rPr>
                <w:rFonts w:hint="eastAsia" w:ascii="宋体" w:hAnsi="宋体"/>
                <w:color w:val="auto"/>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14:paraId="7D5D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45" w:type="dxa"/>
            <w:vMerge w:val="continue"/>
            <w:tcBorders>
              <w:left w:val="single" w:color="auto" w:sz="4" w:space="0"/>
              <w:right w:val="single" w:color="auto" w:sz="4" w:space="0"/>
            </w:tcBorders>
            <w:vAlign w:val="center"/>
          </w:tcPr>
          <w:p w14:paraId="39D3E1D6">
            <w:pPr>
              <w:ind w:firstLine="420" w:firstLineChars="200"/>
              <w:rPr>
                <w:rFonts w:hint="eastAsia" w:ascii="宋体" w:hAnsi="宋体"/>
                <w:color w:val="auto"/>
                <w:highlight w:val="none"/>
              </w:rPr>
            </w:pPr>
          </w:p>
        </w:tc>
        <w:tc>
          <w:tcPr>
            <w:tcW w:w="1075" w:type="dxa"/>
            <w:gridSpan w:val="2"/>
            <w:vMerge w:val="continue"/>
            <w:tcBorders>
              <w:left w:val="single" w:color="auto" w:sz="4" w:space="0"/>
              <w:right w:val="single" w:color="auto" w:sz="4" w:space="0"/>
            </w:tcBorders>
            <w:vAlign w:val="center"/>
          </w:tcPr>
          <w:p w14:paraId="136B7F26">
            <w:pPr>
              <w:ind w:firstLine="420" w:firstLineChars="200"/>
              <w:rPr>
                <w:rFonts w:hint="eastAsia" w:ascii="宋体" w:hAnsi="宋体"/>
                <w:color w:val="auto"/>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2A89EF0A">
            <w:pPr>
              <w:snapToGrid w:val="0"/>
              <w:spacing w:after="78" w:afterLines="25" w:line="400" w:lineRule="exact"/>
              <w:jc w:val="center"/>
              <w:rPr>
                <w:rFonts w:hint="eastAsia" w:ascii="宋体" w:hAnsi="宋体"/>
                <w:color w:val="auto"/>
                <w:highlight w:val="none"/>
              </w:rPr>
            </w:pPr>
            <w:r>
              <w:rPr>
                <w:rFonts w:hint="eastAsia" w:ascii="宋体" w:hAnsi="宋体" w:cs="宋体"/>
                <w:color w:val="auto"/>
                <w:szCs w:val="21"/>
                <w:highlight w:val="none"/>
                <w:lang w:val="en-US" w:eastAsia="zh-CN"/>
              </w:rPr>
              <w:t>项目经理资格</w:t>
            </w:r>
          </w:p>
        </w:tc>
        <w:tc>
          <w:tcPr>
            <w:tcW w:w="4680" w:type="dxa"/>
            <w:tcBorders>
              <w:top w:val="single" w:color="auto" w:sz="4" w:space="0"/>
              <w:left w:val="single" w:color="auto" w:sz="4" w:space="0"/>
              <w:bottom w:val="single" w:color="auto" w:sz="4" w:space="0"/>
              <w:right w:val="single" w:color="auto" w:sz="4" w:space="0"/>
            </w:tcBorders>
            <w:vAlign w:val="center"/>
          </w:tcPr>
          <w:p w14:paraId="51E9EDE3">
            <w:pPr>
              <w:snapToGrid w:val="0"/>
              <w:spacing w:line="400" w:lineRule="exact"/>
              <w:rPr>
                <w:rFonts w:hint="eastAsia" w:ascii="宋体" w:hAnsi="宋体"/>
                <w:color w:val="auto"/>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14:paraId="5D25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45" w:type="dxa"/>
            <w:vMerge w:val="continue"/>
            <w:tcBorders>
              <w:left w:val="single" w:color="auto" w:sz="4" w:space="0"/>
              <w:right w:val="single" w:color="auto" w:sz="4" w:space="0"/>
            </w:tcBorders>
            <w:vAlign w:val="center"/>
          </w:tcPr>
          <w:p w14:paraId="4143BA1A">
            <w:pPr>
              <w:ind w:firstLine="420" w:firstLineChars="200"/>
              <w:rPr>
                <w:rFonts w:hint="eastAsia" w:ascii="宋体" w:hAnsi="宋体"/>
                <w:color w:val="auto"/>
                <w:highlight w:val="none"/>
              </w:rPr>
            </w:pPr>
          </w:p>
        </w:tc>
        <w:tc>
          <w:tcPr>
            <w:tcW w:w="1075" w:type="dxa"/>
            <w:gridSpan w:val="2"/>
            <w:vMerge w:val="continue"/>
            <w:tcBorders>
              <w:left w:val="single" w:color="auto" w:sz="4" w:space="0"/>
              <w:right w:val="single" w:color="auto" w:sz="4" w:space="0"/>
            </w:tcBorders>
            <w:vAlign w:val="center"/>
          </w:tcPr>
          <w:p w14:paraId="1024C211">
            <w:pPr>
              <w:ind w:firstLine="420" w:firstLineChars="200"/>
              <w:rPr>
                <w:rFonts w:hint="eastAsia" w:ascii="宋体" w:hAnsi="宋体"/>
                <w:color w:val="auto"/>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3CC88528">
            <w:pPr>
              <w:snapToGrid w:val="0"/>
              <w:spacing w:after="78" w:afterLines="25"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截止日</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资格情况</w:t>
            </w:r>
          </w:p>
        </w:tc>
        <w:tc>
          <w:tcPr>
            <w:tcW w:w="4680" w:type="dxa"/>
            <w:tcBorders>
              <w:top w:val="single" w:color="auto" w:sz="4" w:space="0"/>
              <w:left w:val="single" w:color="auto" w:sz="4" w:space="0"/>
              <w:bottom w:val="single" w:color="auto" w:sz="4" w:space="0"/>
              <w:right w:val="single" w:color="auto" w:sz="4" w:space="0"/>
            </w:tcBorders>
            <w:vAlign w:val="center"/>
          </w:tcPr>
          <w:p w14:paraId="22707DA7">
            <w:pPr>
              <w:snapToGrid w:val="0"/>
              <w:spacing w:line="400" w:lineRule="exact"/>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14:paraId="261D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5" w:type="dxa"/>
            <w:vMerge w:val="continue"/>
            <w:tcBorders>
              <w:left w:val="single" w:color="auto" w:sz="4" w:space="0"/>
              <w:right w:val="single" w:color="auto" w:sz="4" w:space="0"/>
            </w:tcBorders>
            <w:vAlign w:val="center"/>
          </w:tcPr>
          <w:p w14:paraId="088EAF58">
            <w:pPr>
              <w:ind w:firstLine="420" w:firstLineChars="200"/>
              <w:rPr>
                <w:rFonts w:hint="eastAsia" w:ascii="宋体" w:hAnsi="宋体"/>
                <w:color w:val="auto"/>
                <w:highlight w:val="none"/>
              </w:rPr>
            </w:pPr>
          </w:p>
        </w:tc>
        <w:tc>
          <w:tcPr>
            <w:tcW w:w="1075" w:type="dxa"/>
            <w:gridSpan w:val="2"/>
            <w:vMerge w:val="continue"/>
            <w:tcBorders>
              <w:left w:val="single" w:color="auto" w:sz="4" w:space="0"/>
              <w:right w:val="single" w:color="auto" w:sz="4" w:space="0"/>
            </w:tcBorders>
            <w:vAlign w:val="center"/>
          </w:tcPr>
          <w:p w14:paraId="7D15A34F">
            <w:pPr>
              <w:ind w:firstLine="420" w:firstLineChars="200"/>
              <w:rPr>
                <w:rFonts w:hint="eastAsia" w:ascii="宋体" w:hAnsi="宋体"/>
                <w:color w:val="auto"/>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43A761C3">
            <w:pPr>
              <w:snapToGrid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kern w:val="0"/>
                <w:highlight w:val="none"/>
              </w:rPr>
              <w:t>其他要求</w:t>
            </w:r>
          </w:p>
        </w:tc>
        <w:tc>
          <w:tcPr>
            <w:tcW w:w="4680" w:type="dxa"/>
            <w:tcBorders>
              <w:top w:val="single" w:color="auto" w:sz="4" w:space="0"/>
              <w:left w:val="single" w:color="auto" w:sz="4" w:space="0"/>
              <w:bottom w:val="single" w:color="auto" w:sz="4" w:space="0"/>
              <w:right w:val="single" w:color="auto" w:sz="4" w:space="0"/>
            </w:tcBorders>
            <w:vAlign w:val="center"/>
          </w:tcPr>
          <w:p w14:paraId="7F405915">
            <w:pPr>
              <w:snapToGrid w:val="0"/>
              <w:spacing w:line="400" w:lineRule="exact"/>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14:paraId="677C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45" w:type="dxa"/>
            <w:vMerge w:val="restart"/>
            <w:tcBorders>
              <w:top w:val="nil"/>
              <w:left w:val="single" w:color="auto" w:sz="4" w:space="0"/>
              <w:bottom w:val="single" w:color="auto" w:sz="4" w:space="0"/>
              <w:right w:val="single" w:color="auto" w:sz="4" w:space="0"/>
            </w:tcBorders>
            <w:vAlign w:val="center"/>
          </w:tcPr>
          <w:p w14:paraId="7139DD20">
            <w:pPr>
              <w:jc w:val="center"/>
              <w:rPr>
                <w:rFonts w:ascii="宋体" w:hAnsi="宋体"/>
                <w:color w:val="auto"/>
                <w:sz w:val="24"/>
                <w:highlight w:val="none"/>
              </w:rPr>
            </w:pPr>
            <w:r>
              <w:rPr>
                <w:rFonts w:hint="eastAsia" w:ascii="宋体" w:hAnsi="宋体"/>
                <w:color w:val="auto"/>
                <w:highlight w:val="none"/>
              </w:rPr>
              <w:t>1.1</w:t>
            </w:r>
          </w:p>
        </w:tc>
        <w:tc>
          <w:tcPr>
            <w:tcW w:w="1075" w:type="dxa"/>
            <w:gridSpan w:val="2"/>
            <w:vMerge w:val="restart"/>
            <w:tcBorders>
              <w:top w:val="nil"/>
              <w:left w:val="single" w:color="auto" w:sz="4" w:space="0"/>
              <w:bottom w:val="single" w:color="auto" w:sz="4" w:space="0"/>
              <w:right w:val="single" w:color="auto" w:sz="4" w:space="0"/>
            </w:tcBorders>
            <w:vAlign w:val="center"/>
          </w:tcPr>
          <w:p w14:paraId="0A3D9763">
            <w:pPr>
              <w:rPr>
                <w:rFonts w:ascii="宋体" w:hAnsi="宋体"/>
                <w:color w:val="auto"/>
                <w:sz w:val="24"/>
                <w:highlight w:val="none"/>
              </w:rPr>
            </w:pPr>
            <w:r>
              <w:rPr>
                <w:rFonts w:hint="eastAsia" w:ascii="宋体" w:hAnsi="宋体"/>
                <w:color w:val="auto"/>
                <w:highlight w:val="none"/>
              </w:rPr>
              <w:t>形式评审标准</w:t>
            </w: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6B9CDBC0">
            <w:pPr>
              <w:jc w:val="center"/>
              <w:rPr>
                <w:rFonts w:ascii="宋体" w:hAnsi="宋体"/>
                <w:color w:val="auto"/>
                <w:sz w:val="24"/>
                <w:highlight w:val="none"/>
              </w:rPr>
            </w:pPr>
            <w:r>
              <w:rPr>
                <w:rFonts w:hint="eastAsia" w:ascii="宋体" w:hAnsi="宋体"/>
                <w:color w:val="auto"/>
                <w:highlight w:val="none"/>
                <w:lang w:eastAsia="zh-CN"/>
              </w:rPr>
              <w:t>竞选人</w:t>
            </w:r>
            <w:r>
              <w:rPr>
                <w:rFonts w:hint="eastAsia" w:ascii="宋体" w:hAnsi="宋体"/>
                <w:color w:val="auto"/>
                <w:highlight w:val="none"/>
              </w:rPr>
              <w:t>名称</w:t>
            </w:r>
          </w:p>
        </w:tc>
        <w:tc>
          <w:tcPr>
            <w:tcW w:w="4680" w:type="dxa"/>
            <w:tcBorders>
              <w:top w:val="single" w:color="auto" w:sz="4" w:space="0"/>
              <w:left w:val="single" w:color="auto" w:sz="4" w:space="0"/>
              <w:bottom w:val="single" w:color="auto" w:sz="4" w:space="0"/>
              <w:right w:val="single" w:color="auto" w:sz="4" w:space="0"/>
            </w:tcBorders>
            <w:vAlign w:val="center"/>
          </w:tcPr>
          <w:p w14:paraId="5A5BE622">
            <w:pPr>
              <w:rPr>
                <w:rFonts w:ascii="宋体" w:hAnsi="宋体"/>
                <w:color w:val="auto"/>
                <w:sz w:val="24"/>
                <w:highlight w:val="none"/>
              </w:rPr>
            </w:pPr>
            <w:r>
              <w:rPr>
                <w:rFonts w:hint="eastAsia" w:ascii="宋体" w:hAnsi="宋体"/>
                <w:color w:val="auto"/>
                <w:highlight w:val="none"/>
              </w:rPr>
              <w:t>与营业执照一致。</w:t>
            </w:r>
          </w:p>
        </w:tc>
      </w:tr>
      <w:tr w14:paraId="0D87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5ABCDF12">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360E9A2C">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5B959081">
            <w:pPr>
              <w:jc w:val="center"/>
              <w:rPr>
                <w:rFonts w:ascii="宋体" w:hAnsi="宋体"/>
                <w:color w:val="auto"/>
                <w:sz w:val="24"/>
                <w:highlight w:val="none"/>
              </w:rPr>
            </w:pPr>
            <w:r>
              <w:rPr>
                <w:rFonts w:hint="eastAsia" w:ascii="宋体" w:hAnsi="宋体"/>
                <w:color w:val="auto"/>
                <w:highlight w:val="none"/>
              </w:rPr>
              <w:t>投标函签字盖章</w:t>
            </w:r>
          </w:p>
        </w:tc>
        <w:tc>
          <w:tcPr>
            <w:tcW w:w="4680" w:type="dxa"/>
            <w:tcBorders>
              <w:top w:val="single" w:color="auto" w:sz="4" w:space="0"/>
              <w:left w:val="single" w:color="auto" w:sz="4" w:space="0"/>
              <w:bottom w:val="single" w:color="auto" w:sz="4" w:space="0"/>
              <w:right w:val="single" w:color="auto" w:sz="4" w:space="0"/>
            </w:tcBorders>
            <w:vAlign w:val="center"/>
          </w:tcPr>
          <w:p w14:paraId="08844174">
            <w:pPr>
              <w:rPr>
                <w:rFonts w:ascii="宋体" w:hAnsi="宋体"/>
                <w:color w:val="auto"/>
                <w:sz w:val="24"/>
                <w:highlight w:val="none"/>
              </w:rPr>
            </w:pPr>
            <w:r>
              <w:rPr>
                <w:rFonts w:hint="eastAsia" w:ascii="宋体" w:hAnsi="宋体"/>
                <w:color w:val="auto"/>
                <w:highlight w:val="none"/>
              </w:rPr>
              <w:t>有法定代表人或其委托代理人签字或盖章、加盖单位公章。</w:t>
            </w:r>
          </w:p>
        </w:tc>
      </w:tr>
      <w:tr w14:paraId="2DAD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4"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273FB3D7">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15316AB1">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76E8764B">
            <w:pPr>
              <w:jc w:val="center"/>
              <w:rPr>
                <w:rFonts w:ascii="宋体" w:hAnsi="宋体"/>
                <w:color w:val="auto"/>
                <w:sz w:val="24"/>
                <w:highlight w:val="none"/>
              </w:rPr>
            </w:pPr>
            <w:r>
              <w:rPr>
                <w:rFonts w:hint="eastAsia" w:ascii="宋体" w:hAnsi="宋体"/>
                <w:color w:val="auto"/>
                <w:highlight w:val="none"/>
              </w:rPr>
              <w:t>投标文件格式</w:t>
            </w:r>
          </w:p>
        </w:tc>
        <w:tc>
          <w:tcPr>
            <w:tcW w:w="4680" w:type="dxa"/>
            <w:tcBorders>
              <w:top w:val="single" w:color="auto" w:sz="4" w:space="0"/>
              <w:left w:val="single" w:color="auto" w:sz="4" w:space="0"/>
              <w:bottom w:val="single" w:color="auto" w:sz="4" w:space="0"/>
              <w:right w:val="single" w:color="auto" w:sz="4" w:space="0"/>
            </w:tcBorders>
            <w:vAlign w:val="center"/>
          </w:tcPr>
          <w:p w14:paraId="4D54A8B2">
            <w:pPr>
              <w:rPr>
                <w:rFonts w:ascii="宋体" w:hAnsi="宋体"/>
                <w:color w:val="auto"/>
                <w:sz w:val="24"/>
                <w:highlight w:val="none"/>
              </w:rPr>
            </w:pPr>
            <w:r>
              <w:rPr>
                <w:rFonts w:hint="eastAsia" w:ascii="宋体" w:hAnsi="宋体"/>
                <w:color w:val="auto"/>
                <w:highlight w:val="none"/>
              </w:rPr>
              <w:t>符合第六章“投标文件格式”的要求，字迹清晰可辨。</w:t>
            </w:r>
          </w:p>
          <w:p w14:paraId="61A69B0B">
            <w:pPr>
              <w:rPr>
                <w:rFonts w:hint="eastAsia" w:ascii="宋体" w:hAnsi="宋体"/>
                <w:color w:val="auto"/>
                <w:highlight w:val="none"/>
              </w:rPr>
            </w:pPr>
            <w:r>
              <w:rPr>
                <w:rFonts w:hint="eastAsia" w:ascii="宋体" w:hAnsi="宋体"/>
                <w:color w:val="auto"/>
                <w:highlight w:val="none"/>
              </w:rPr>
              <w:t>1.投标函的所有数据均符合</w:t>
            </w:r>
            <w:r>
              <w:rPr>
                <w:rFonts w:hint="eastAsia" w:ascii="宋体" w:hAnsi="宋体"/>
                <w:color w:val="auto"/>
                <w:highlight w:val="none"/>
                <w:lang w:eastAsia="zh-CN"/>
              </w:rPr>
              <w:t>比选文件</w:t>
            </w:r>
            <w:r>
              <w:rPr>
                <w:rFonts w:hint="eastAsia" w:ascii="宋体" w:hAnsi="宋体"/>
                <w:color w:val="auto"/>
                <w:highlight w:val="none"/>
              </w:rPr>
              <w:t>的规定；</w:t>
            </w:r>
          </w:p>
          <w:p w14:paraId="58A8BF0B">
            <w:pPr>
              <w:rPr>
                <w:rFonts w:hint="eastAsia" w:ascii="宋体" w:hAnsi="宋体"/>
                <w:color w:val="auto"/>
                <w:highlight w:val="none"/>
              </w:rPr>
            </w:pPr>
            <w:r>
              <w:rPr>
                <w:rFonts w:hint="eastAsia" w:ascii="宋体" w:hAnsi="宋体"/>
                <w:color w:val="auto"/>
                <w:highlight w:val="none"/>
              </w:rPr>
              <w:t>2.投标文件附表齐全完整，内容均按规定填写；</w:t>
            </w:r>
          </w:p>
          <w:p w14:paraId="478C1F00">
            <w:pPr>
              <w:rPr>
                <w:rFonts w:ascii="宋体" w:hAnsi="宋体"/>
                <w:color w:val="auto"/>
                <w:sz w:val="24"/>
                <w:highlight w:val="none"/>
              </w:rPr>
            </w:pPr>
            <w:r>
              <w:rPr>
                <w:rFonts w:hint="eastAsia" w:ascii="宋体" w:hAnsi="宋体"/>
                <w:color w:val="auto"/>
                <w:highlight w:val="none"/>
              </w:rPr>
              <w:t>3.投标文件的编制符合第二章3.7.1、3.7.2、3.7.3、3.7.4款的规定。</w:t>
            </w:r>
          </w:p>
        </w:tc>
      </w:tr>
      <w:tr w14:paraId="7225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3F8F3021">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76911828">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6276B6FD">
            <w:pPr>
              <w:jc w:val="center"/>
              <w:rPr>
                <w:rFonts w:ascii="宋体" w:hAnsi="宋体"/>
                <w:color w:val="auto"/>
                <w:sz w:val="24"/>
                <w:highlight w:val="none"/>
              </w:rPr>
            </w:pPr>
            <w:r>
              <w:rPr>
                <w:rFonts w:hint="eastAsia" w:ascii="宋体" w:hAnsi="宋体"/>
                <w:color w:val="auto"/>
                <w:highlight w:val="none"/>
              </w:rPr>
              <w:t>报价唯一</w:t>
            </w:r>
          </w:p>
        </w:tc>
        <w:tc>
          <w:tcPr>
            <w:tcW w:w="4680" w:type="dxa"/>
            <w:tcBorders>
              <w:top w:val="single" w:color="auto" w:sz="4" w:space="0"/>
              <w:left w:val="single" w:color="auto" w:sz="4" w:space="0"/>
              <w:bottom w:val="single" w:color="auto" w:sz="4" w:space="0"/>
              <w:right w:val="single" w:color="auto" w:sz="4" w:space="0"/>
            </w:tcBorders>
            <w:vAlign w:val="center"/>
          </w:tcPr>
          <w:p w14:paraId="7A85342B">
            <w:pPr>
              <w:rPr>
                <w:rFonts w:ascii="宋体" w:hAnsi="宋体"/>
                <w:color w:val="auto"/>
                <w:sz w:val="24"/>
                <w:highlight w:val="none"/>
              </w:rPr>
            </w:pPr>
            <w:r>
              <w:rPr>
                <w:rFonts w:hint="eastAsia" w:ascii="宋体" w:hAnsi="宋体"/>
                <w:color w:val="auto"/>
                <w:highlight w:val="none"/>
              </w:rPr>
              <w:t>只能有一个有效报价。</w:t>
            </w:r>
          </w:p>
        </w:tc>
      </w:tr>
      <w:tr w14:paraId="6C42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00B0DD08">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2A661CB5">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65908A9B">
            <w:pPr>
              <w:jc w:val="center"/>
              <w:rPr>
                <w:rFonts w:ascii="宋体" w:hAnsi="宋体"/>
                <w:color w:val="auto"/>
                <w:sz w:val="24"/>
                <w:highlight w:val="none"/>
              </w:rPr>
            </w:pPr>
            <w:r>
              <w:rPr>
                <w:rFonts w:hint="eastAsia" w:ascii="宋体" w:hAnsi="宋体"/>
                <w:color w:val="auto"/>
                <w:highlight w:val="none"/>
              </w:rPr>
              <w:t>投标文件的签署</w:t>
            </w:r>
          </w:p>
        </w:tc>
        <w:tc>
          <w:tcPr>
            <w:tcW w:w="4680" w:type="dxa"/>
            <w:tcBorders>
              <w:top w:val="single" w:color="auto" w:sz="4" w:space="0"/>
              <w:left w:val="single" w:color="auto" w:sz="4" w:space="0"/>
              <w:bottom w:val="single" w:color="auto" w:sz="4" w:space="0"/>
              <w:right w:val="single" w:color="auto" w:sz="4" w:space="0"/>
            </w:tcBorders>
            <w:vAlign w:val="center"/>
          </w:tcPr>
          <w:p w14:paraId="0E4CF02E">
            <w:pPr>
              <w:rPr>
                <w:rFonts w:ascii="宋体" w:hAnsi="宋体"/>
                <w:color w:val="auto"/>
                <w:sz w:val="24"/>
                <w:highlight w:val="none"/>
              </w:rPr>
            </w:pPr>
            <w:r>
              <w:rPr>
                <w:rFonts w:hint="eastAsia" w:ascii="宋体" w:hAnsi="宋体"/>
                <w:color w:val="auto"/>
                <w:highlight w:val="none"/>
              </w:rPr>
              <w:t>投标文件上法定代表人或其授权代理人的签字齐全。</w:t>
            </w:r>
          </w:p>
        </w:tc>
      </w:tr>
      <w:tr w14:paraId="4985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3C992CC2">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758620BB">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56079BDD">
            <w:pPr>
              <w:ind w:firstLine="420" w:firstLineChars="200"/>
              <w:rPr>
                <w:rFonts w:ascii="宋体" w:hAnsi="宋体"/>
                <w:color w:val="auto"/>
                <w:sz w:val="24"/>
                <w:highlight w:val="none"/>
              </w:rPr>
            </w:pPr>
            <w:r>
              <w:rPr>
                <w:rFonts w:hint="eastAsia" w:ascii="宋体" w:hAnsi="宋体"/>
                <w:color w:val="auto"/>
                <w:highlight w:val="none"/>
              </w:rPr>
              <w:t>委托代理人</w:t>
            </w:r>
          </w:p>
        </w:tc>
        <w:tc>
          <w:tcPr>
            <w:tcW w:w="4680" w:type="dxa"/>
            <w:tcBorders>
              <w:top w:val="single" w:color="auto" w:sz="4" w:space="0"/>
              <w:left w:val="single" w:color="auto" w:sz="4" w:space="0"/>
              <w:bottom w:val="single" w:color="auto" w:sz="4" w:space="0"/>
              <w:right w:val="single" w:color="auto" w:sz="4" w:space="0"/>
            </w:tcBorders>
            <w:vAlign w:val="center"/>
          </w:tcPr>
          <w:p w14:paraId="6001260D">
            <w:pPr>
              <w:rPr>
                <w:rFonts w:ascii="宋体" w:hAnsi="宋体"/>
                <w:color w:val="auto"/>
                <w:sz w:val="24"/>
                <w:highlight w:val="none"/>
              </w:rPr>
            </w:pPr>
            <w:r>
              <w:rPr>
                <w:rFonts w:hint="eastAsia" w:ascii="宋体" w:hAnsi="宋体"/>
                <w:color w:val="auto"/>
                <w:highlight w:val="none"/>
                <w:lang w:eastAsia="zh-CN"/>
              </w:rPr>
              <w:t>竞选人</w:t>
            </w:r>
            <w:r>
              <w:rPr>
                <w:rFonts w:hint="eastAsia" w:ascii="宋体" w:hAnsi="宋体"/>
                <w:color w:val="auto"/>
                <w:highlight w:val="none"/>
              </w:rPr>
              <w:t>法定代表人的委托代理人有法定代表人签署的授权委托书和养老保险参保证明，且其授权委托书符合</w:t>
            </w:r>
            <w:r>
              <w:rPr>
                <w:rFonts w:hint="eastAsia" w:ascii="宋体" w:hAnsi="宋体"/>
                <w:color w:val="auto"/>
                <w:highlight w:val="none"/>
                <w:lang w:eastAsia="zh-CN"/>
              </w:rPr>
              <w:t>比选文件</w:t>
            </w:r>
            <w:r>
              <w:rPr>
                <w:rFonts w:hint="eastAsia" w:ascii="宋体" w:hAnsi="宋体"/>
                <w:color w:val="auto"/>
                <w:highlight w:val="none"/>
              </w:rPr>
              <w:t>规定的格式。</w:t>
            </w:r>
          </w:p>
        </w:tc>
      </w:tr>
      <w:tr w14:paraId="00D9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845" w:type="dxa"/>
            <w:vMerge w:val="restart"/>
            <w:tcBorders>
              <w:top w:val="nil"/>
              <w:left w:val="single" w:color="auto" w:sz="4" w:space="0"/>
              <w:bottom w:val="single" w:color="auto" w:sz="4" w:space="0"/>
              <w:right w:val="single" w:color="auto" w:sz="4" w:space="0"/>
            </w:tcBorders>
            <w:vAlign w:val="center"/>
          </w:tcPr>
          <w:p w14:paraId="6E6DFA48">
            <w:pPr>
              <w:jc w:val="center"/>
              <w:rPr>
                <w:rFonts w:ascii="宋体" w:hAnsi="宋体"/>
                <w:color w:val="auto"/>
                <w:sz w:val="24"/>
                <w:highlight w:val="none"/>
              </w:rPr>
            </w:pPr>
            <w:r>
              <w:rPr>
                <w:rFonts w:hint="eastAsia" w:ascii="宋体" w:hAnsi="宋体"/>
                <w:color w:val="auto"/>
                <w:highlight w:val="none"/>
              </w:rPr>
              <w:t>1.2</w:t>
            </w:r>
          </w:p>
        </w:tc>
        <w:tc>
          <w:tcPr>
            <w:tcW w:w="1075" w:type="dxa"/>
            <w:gridSpan w:val="2"/>
            <w:vMerge w:val="restart"/>
            <w:tcBorders>
              <w:top w:val="nil"/>
              <w:left w:val="single" w:color="auto" w:sz="4" w:space="0"/>
              <w:bottom w:val="single" w:color="auto" w:sz="4" w:space="0"/>
              <w:right w:val="single" w:color="auto" w:sz="4" w:space="0"/>
            </w:tcBorders>
            <w:vAlign w:val="center"/>
          </w:tcPr>
          <w:p w14:paraId="082957A0">
            <w:pPr>
              <w:rPr>
                <w:rFonts w:ascii="宋体" w:hAnsi="宋体"/>
                <w:color w:val="auto"/>
                <w:sz w:val="24"/>
                <w:highlight w:val="none"/>
              </w:rPr>
            </w:pPr>
            <w:r>
              <w:rPr>
                <w:rFonts w:hint="eastAsia" w:ascii="宋体" w:hAnsi="宋体"/>
                <w:color w:val="auto"/>
                <w:highlight w:val="none"/>
              </w:rPr>
              <w:t>响应性评审标准</w:t>
            </w: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5D6E715C">
            <w:pPr>
              <w:rPr>
                <w:rFonts w:ascii="宋体" w:hAnsi="宋体"/>
                <w:color w:val="auto"/>
                <w:sz w:val="24"/>
                <w:highlight w:val="none"/>
              </w:rPr>
            </w:pPr>
            <w:r>
              <w:rPr>
                <w:rFonts w:hint="eastAsia" w:ascii="宋体" w:hAnsi="宋体"/>
                <w:color w:val="auto"/>
                <w:highlight w:val="none"/>
              </w:rPr>
              <w:t>投标总报价</w:t>
            </w:r>
          </w:p>
        </w:tc>
        <w:tc>
          <w:tcPr>
            <w:tcW w:w="4680" w:type="dxa"/>
            <w:tcBorders>
              <w:top w:val="single" w:color="auto" w:sz="4" w:space="0"/>
              <w:left w:val="single" w:color="auto" w:sz="4" w:space="0"/>
              <w:bottom w:val="single" w:color="auto" w:sz="4" w:space="0"/>
              <w:right w:val="single" w:color="auto" w:sz="4" w:space="0"/>
            </w:tcBorders>
            <w:vAlign w:val="center"/>
          </w:tcPr>
          <w:p w14:paraId="39E4DDDD">
            <w:pPr>
              <w:rPr>
                <w:rFonts w:ascii="宋体" w:hAnsi="宋体"/>
                <w:color w:val="auto"/>
                <w:sz w:val="24"/>
                <w:highlight w:val="none"/>
              </w:rPr>
            </w:pPr>
            <w:r>
              <w:rPr>
                <w:rFonts w:hint="eastAsia" w:ascii="宋体" w:hAnsi="宋体"/>
                <w:color w:val="auto"/>
                <w:highlight w:val="none"/>
              </w:rPr>
              <w:t>1.投标总报价必须与已标价工程量清单总报价一致。</w:t>
            </w:r>
          </w:p>
          <w:p w14:paraId="216F2842">
            <w:pPr>
              <w:rPr>
                <w:rFonts w:hint="eastAsia" w:ascii="宋体" w:hAnsi="宋体"/>
                <w:color w:val="auto"/>
                <w:highlight w:val="none"/>
              </w:rPr>
            </w:pPr>
            <w:r>
              <w:rPr>
                <w:rFonts w:hint="eastAsia" w:ascii="宋体" w:hAnsi="宋体"/>
                <w:color w:val="auto"/>
                <w:highlight w:val="none"/>
              </w:rPr>
              <w:t>2.投标总报价不得高于招标人公布的投标总报价最高限价。</w:t>
            </w:r>
          </w:p>
          <w:p w14:paraId="375361CA">
            <w:pPr>
              <w:rPr>
                <w:rFonts w:ascii="宋体" w:hAnsi="宋体"/>
                <w:color w:val="auto"/>
                <w:sz w:val="24"/>
                <w:highlight w:val="none"/>
              </w:rPr>
            </w:pPr>
            <w:r>
              <w:rPr>
                <w:rFonts w:hint="eastAsia" w:ascii="宋体" w:hAnsi="宋体"/>
                <w:color w:val="auto"/>
                <w:highlight w:val="none"/>
              </w:rPr>
              <w:t>3.投标总报价低于最高限价85%的，</w:t>
            </w:r>
            <w:r>
              <w:rPr>
                <w:rFonts w:hint="eastAsia" w:ascii="宋体" w:hAnsi="宋体"/>
                <w:color w:val="auto"/>
                <w:highlight w:val="none"/>
                <w:lang w:eastAsia="zh-CN"/>
              </w:rPr>
              <w:t>竞选人</w:t>
            </w:r>
            <w:r>
              <w:rPr>
                <w:rFonts w:hint="eastAsia" w:ascii="宋体" w:hAnsi="宋体"/>
                <w:color w:val="auto"/>
                <w:highlight w:val="none"/>
              </w:rPr>
              <w:t>应在编制投标文件时，在投标函部分中递交低价风险担保提交承诺书。承诺书格式详见第六章投标文件格式。</w:t>
            </w:r>
          </w:p>
        </w:tc>
      </w:tr>
      <w:tr w14:paraId="4998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1C472769">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286CA8AB">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6AF8CDD4">
            <w:pPr>
              <w:rPr>
                <w:rFonts w:ascii="宋体" w:hAnsi="宋体"/>
                <w:color w:val="auto"/>
                <w:sz w:val="24"/>
                <w:highlight w:val="none"/>
              </w:rPr>
            </w:pPr>
            <w:r>
              <w:rPr>
                <w:rFonts w:hint="eastAsia" w:ascii="宋体" w:hAnsi="宋体"/>
                <w:color w:val="auto"/>
                <w:highlight w:val="none"/>
              </w:rPr>
              <w:t>暂定金额</w:t>
            </w:r>
          </w:p>
        </w:tc>
        <w:tc>
          <w:tcPr>
            <w:tcW w:w="4680" w:type="dxa"/>
            <w:tcBorders>
              <w:top w:val="single" w:color="auto" w:sz="4" w:space="0"/>
              <w:left w:val="single" w:color="auto" w:sz="4" w:space="0"/>
              <w:bottom w:val="single" w:color="auto" w:sz="4" w:space="0"/>
              <w:right w:val="single" w:color="auto" w:sz="4" w:space="0"/>
            </w:tcBorders>
            <w:vAlign w:val="center"/>
          </w:tcPr>
          <w:p w14:paraId="2A4393AE">
            <w:pPr>
              <w:rPr>
                <w:rFonts w:ascii="宋体" w:hAnsi="宋体"/>
                <w:color w:val="auto"/>
                <w:sz w:val="24"/>
                <w:highlight w:val="none"/>
              </w:rPr>
            </w:pPr>
            <w:r>
              <w:rPr>
                <w:rFonts w:hint="eastAsia" w:ascii="宋体" w:hAnsi="宋体"/>
                <w:color w:val="auto"/>
                <w:highlight w:val="none"/>
              </w:rPr>
              <w:t>暂列金额、暂估价、安全文明施工费等暂定金额必须按照招标文件给定的金额填报。</w:t>
            </w:r>
          </w:p>
        </w:tc>
      </w:tr>
      <w:tr w14:paraId="5EFB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50C8A335">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74BEF860">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6953194B">
            <w:pPr>
              <w:rPr>
                <w:rFonts w:ascii="宋体" w:hAnsi="宋体"/>
                <w:color w:val="auto"/>
                <w:sz w:val="24"/>
                <w:highlight w:val="none"/>
              </w:rPr>
            </w:pPr>
            <w:r>
              <w:rPr>
                <w:rFonts w:hint="eastAsia" w:ascii="宋体" w:hAnsi="宋体"/>
                <w:color w:val="auto"/>
                <w:highlight w:val="none"/>
              </w:rPr>
              <w:t>工期</w:t>
            </w:r>
          </w:p>
        </w:tc>
        <w:tc>
          <w:tcPr>
            <w:tcW w:w="4680" w:type="dxa"/>
            <w:tcBorders>
              <w:top w:val="single" w:color="auto" w:sz="4" w:space="0"/>
              <w:left w:val="single" w:color="auto" w:sz="4" w:space="0"/>
              <w:bottom w:val="single" w:color="auto" w:sz="4" w:space="0"/>
              <w:right w:val="single" w:color="auto" w:sz="4" w:space="0"/>
            </w:tcBorders>
            <w:vAlign w:val="center"/>
          </w:tcPr>
          <w:p w14:paraId="3CEC9801">
            <w:pPr>
              <w:rPr>
                <w:rFonts w:ascii="宋体" w:hAnsi="宋体"/>
                <w:color w:val="auto"/>
                <w:sz w:val="24"/>
                <w:highlight w:val="none"/>
              </w:rPr>
            </w:pPr>
            <w:r>
              <w:rPr>
                <w:rFonts w:hint="eastAsia" w:ascii="宋体" w:hAnsi="宋体"/>
                <w:color w:val="auto"/>
                <w:highlight w:val="none"/>
              </w:rPr>
              <w:t>符合第二章“</w:t>
            </w:r>
            <w:r>
              <w:rPr>
                <w:rFonts w:hint="eastAsia" w:ascii="宋体" w:hAnsi="宋体"/>
                <w:color w:val="auto"/>
                <w:highlight w:val="none"/>
                <w:lang w:eastAsia="zh-CN"/>
              </w:rPr>
              <w:t>竞选人</w:t>
            </w:r>
            <w:r>
              <w:rPr>
                <w:rFonts w:hint="eastAsia" w:ascii="宋体" w:hAnsi="宋体"/>
                <w:color w:val="auto"/>
                <w:highlight w:val="none"/>
              </w:rPr>
              <w:t>须知”第1.3.2项规定</w:t>
            </w:r>
          </w:p>
        </w:tc>
      </w:tr>
      <w:tr w14:paraId="2710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29F3D77C">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71751588">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320F6610">
            <w:pPr>
              <w:rPr>
                <w:rFonts w:ascii="宋体" w:hAnsi="宋体"/>
                <w:color w:val="auto"/>
                <w:sz w:val="24"/>
                <w:highlight w:val="none"/>
              </w:rPr>
            </w:pPr>
            <w:r>
              <w:rPr>
                <w:rFonts w:hint="eastAsia" w:ascii="宋体" w:hAnsi="宋体"/>
                <w:color w:val="auto"/>
                <w:highlight w:val="none"/>
              </w:rPr>
              <w:t>工程质量</w:t>
            </w:r>
          </w:p>
        </w:tc>
        <w:tc>
          <w:tcPr>
            <w:tcW w:w="4680" w:type="dxa"/>
            <w:tcBorders>
              <w:top w:val="single" w:color="auto" w:sz="4" w:space="0"/>
              <w:left w:val="single" w:color="auto" w:sz="4" w:space="0"/>
              <w:bottom w:val="single" w:color="auto" w:sz="4" w:space="0"/>
              <w:right w:val="single" w:color="auto" w:sz="4" w:space="0"/>
            </w:tcBorders>
            <w:vAlign w:val="center"/>
          </w:tcPr>
          <w:p w14:paraId="60061E6D">
            <w:pPr>
              <w:rPr>
                <w:rFonts w:ascii="宋体" w:hAnsi="宋体"/>
                <w:color w:val="auto"/>
                <w:sz w:val="24"/>
                <w:highlight w:val="none"/>
              </w:rPr>
            </w:pPr>
            <w:r>
              <w:rPr>
                <w:rFonts w:hint="eastAsia" w:ascii="宋体" w:hAnsi="宋体"/>
                <w:color w:val="auto"/>
                <w:highlight w:val="none"/>
              </w:rPr>
              <w:t>符合第二章“</w:t>
            </w:r>
            <w:r>
              <w:rPr>
                <w:rFonts w:hint="eastAsia" w:ascii="宋体" w:hAnsi="宋体"/>
                <w:color w:val="auto"/>
                <w:highlight w:val="none"/>
                <w:lang w:eastAsia="zh-CN"/>
              </w:rPr>
              <w:t>竞选人</w:t>
            </w:r>
            <w:r>
              <w:rPr>
                <w:rFonts w:hint="eastAsia" w:ascii="宋体" w:hAnsi="宋体"/>
                <w:color w:val="auto"/>
                <w:highlight w:val="none"/>
              </w:rPr>
              <w:t>须知”第1.3.3项规定</w:t>
            </w:r>
          </w:p>
        </w:tc>
      </w:tr>
      <w:tr w14:paraId="7650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6A798253">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2576DE4D">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2A47EAA9">
            <w:pPr>
              <w:rPr>
                <w:rFonts w:ascii="宋体" w:hAnsi="宋体"/>
                <w:color w:val="auto"/>
                <w:sz w:val="24"/>
                <w:highlight w:val="none"/>
              </w:rPr>
            </w:pPr>
            <w:r>
              <w:rPr>
                <w:rFonts w:hint="eastAsia" w:ascii="宋体" w:hAnsi="宋体"/>
                <w:color w:val="auto"/>
                <w:highlight w:val="none"/>
              </w:rPr>
              <w:t>投标有效期</w:t>
            </w:r>
          </w:p>
        </w:tc>
        <w:tc>
          <w:tcPr>
            <w:tcW w:w="4680" w:type="dxa"/>
            <w:tcBorders>
              <w:top w:val="single" w:color="auto" w:sz="4" w:space="0"/>
              <w:left w:val="single" w:color="auto" w:sz="4" w:space="0"/>
              <w:bottom w:val="single" w:color="auto" w:sz="4" w:space="0"/>
              <w:right w:val="single" w:color="auto" w:sz="4" w:space="0"/>
            </w:tcBorders>
            <w:vAlign w:val="center"/>
          </w:tcPr>
          <w:p w14:paraId="5E8017A8">
            <w:pPr>
              <w:rPr>
                <w:rFonts w:ascii="宋体" w:hAnsi="宋体"/>
                <w:color w:val="auto"/>
                <w:sz w:val="24"/>
                <w:highlight w:val="none"/>
              </w:rPr>
            </w:pPr>
            <w:r>
              <w:rPr>
                <w:rFonts w:hint="eastAsia" w:ascii="宋体" w:hAnsi="宋体"/>
                <w:color w:val="auto"/>
                <w:highlight w:val="none"/>
              </w:rPr>
              <w:t>符合第二章“</w:t>
            </w:r>
            <w:r>
              <w:rPr>
                <w:rFonts w:hint="eastAsia" w:ascii="宋体" w:hAnsi="宋体"/>
                <w:color w:val="auto"/>
                <w:highlight w:val="none"/>
                <w:lang w:eastAsia="zh-CN"/>
              </w:rPr>
              <w:t>竞选人</w:t>
            </w:r>
            <w:r>
              <w:rPr>
                <w:rFonts w:hint="eastAsia" w:ascii="宋体" w:hAnsi="宋体"/>
                <w:color w:val="auto"/>
                <w:highlight w:val="none"/>
              </w:rPr>
              <w:t>须知”第3.3.1项规定</w:t>
            </w:r>
          </w:p>
        </w:tc>
      </w:tr>
      <w:tr w14:paraId="24D5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7D4A10EE">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3173D116">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29F29C13">
            <w:pPr>
              <w:rPr>
                <w:rFonts w:ascii="宋体" w:hAnsi="宋体"/>
                <w:color w:val="auto"/>
                <w:sz w:val="24"/>
                <w:highlight w:val="none"/>
              </w:rPr>
            </w:pPr>
            <w:r>
              <w:rPr>
                <w:rFonts w:hint="eastAsia" w:ascii="宋体" w:hAnsi="宋体"/>
                <w:color w:val="auto"/>
                <w:highlight w:val="none"/>
              </w:rPr>
              <w:t>投标保证金</w:t>
            </w:r>
          </w:p>
        </w:tc>
        <w:tc>
          <w:tcPr>
            <w:tcW w:w="4680" w:type="dxa"/>
            <w:tcBorders>
              <w:top w:val="single" w:color="auto" w:sz="4" w:space="0"/>
              <w:left w:val="single" w:color="auto" w:sz="4" w:space="0"/>
              <w:bottom w:val="single" w:color="auto" w:sz="4" w:space="0"/>
              <w:right w:val="single" w:color="auto" w:sz="4" w:space="0"/>
            </w:tcBorders>
            <w:vAlign w:val="center"/>
          </w:tcPr>
          <w:p w14:paraId="094D30C8">
            <w:pPr>
              <w:rPr>
                <w:rFonts w:ascii="宋体" w:hAnsi="宋体"/>
                <w:color w:val="auto"/>
                <w:sz w:val="24"/>
                <w:highlight w:val="none"/>
              </w:rPr>
            </w:pPr>
            <w:r>
              <w:rPr>
                <w:rFonts w:hint="eastAsia" w:ascii="宋体" w:hAnsi="宋体"/>
                <w:color w:val="auto"/>
                <w:highlight w:val="none"/>
              </w:rPr>
              <w:t>符合第二章“</w:t>
            </w:r>
            <w:r>
              <w:rPr>
                <w:rFonts w:hint="eastAsia" w:ascii="宋体" w:hAnsi="宋体"/>
                <w:color w:val="auto"/>
                <w:highlight w:val="none"/>
                <w:lang w:eastAsia="zh-CN"/>
              </w:rPr>
              <w:t>竞选人</w:t>
            </w:r>
            <w:r>
              <w:rPr>
                <w:rFonts w:hint="eastAsia" w:ascii="宋体" w:hAnsi="宋体"/>
                <w:color w:val="auto"/>
                <w:highlight w:val="none"/>
              </w:rPr>
              <w:t>须知前附表”第3.4.项规定。</w:t>
            </w:r>
          </w:p>
        </w:tc>
      </w:tr>
      <w:tr w14:paraId="35E8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34711E0D">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27839080">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4F967395">
            <w:pPr>
              <w:rPr>
                <w:rFonts w:ascii="宋体" w:hAnsi="宋体"/>
                <w:color w:val="auto"/>
                <w:sz w:val="24"/>
                <w:highlight w:val="none"/>
              </w:rPr>
            </w:pPr>
            <w:r>
              <w:rPr>
                <w:rFonts w:hint="eastAsia" w:ascii="宋体" w:hAnsi="宋体"/>
                <w:color w:val="auto"/>
                <w:highlight w:val="none"/>
              </w:rPr>
              <w:t>已标价工程量清单</w:t>
            </w:r>
          </w:p>
        </w:tc>
        <w:tc>
          <w:tcPr>
            <w:tcW w:w="4680" w:type="dxa"/>
            <w:tcBorders>
              <w:top w:val="single" w:color="auto" w:sz="4" w:space="0"/>
              <w:left w:val="single" w:color="auto" w:sz="4" w:space="0"/>
              <w:bottom w:val="single" w:color="auto" w:sz="4" w:space="0"/>
              <w:right w:val="single" w:color="auto" w:sz="4" w:space="0"/>
            </w:tcBorders>
            <w:vAlign w:val="center"/>
          </w:tcPr>
          <w:p w14:paraId="17FD1505">
            <w:pPr>
              <w:rPr>
                <w:rFonts w:ascii="宋体" w:hAnsi="宋体"/>
                <w:color w:val="auto"/>
                <w:sz w:val="24"/>
                <w:highlight w:val="none"/>
              </w:rPr>
            </w:pPr>
            <w:r>
              <w:rPr>
                <w:rFonts w:hint="eastAsia" w:ascii="宋体" w:hAnsi="宋体"/>
                <w:color w:val="auto"/>
                <w:highlight w:val="none"/>
                <w:lang w:eastAsia="zh-CN"/>
              </w:rPr>
              <w:t>竞选人</w:t>
            </w:r>
            <w:r>
              <w:rPr>
                <w:rFonts w:hint="eastAsia" w:ascii="宋体" w:hAnsi="宋体"/>
                <w:color w:val="auto"/>
                <w:highlight w:val="none"/>
              </w:rPr>
              <w:t>承诺满足以下内容：</w:t>
            </w:r>
          </w:p>
          <w:p w14:paraId="6D2BDD3C">
            <w:pPr>
              <w:rPr>
                <w:rFonts w:hint="eastAsia" w:ascii="宋体" w:hAnsi="宋体"/>
                <w:color w:val="auto"/>
                <w:highlight w:val="none"/>
              </w:rPr>
            </w:pPr>
            <w:r>
              <w:rPr>
                <w:rFonts w:hint="eastAsia" w:ascii="宋体" w:hAnsi="宋体"/>
                <w:color w:val="auto"/>
                <w:highlight w:val="none"/>
              </w:rPr>
              <w:t>1.符合第五章“工程量清单”给出的范围及数量。</w:t>
            </w:r>
          </w:p>
          <w:p w14:paraId="0AE772EF">
            <w:pPr>
              <w:rPr>
                <w:rFonts w:hint="eastAsia" w:ascii="宋体" w:hAnsi="宋体"/>
                <w:color w:val="auto"/>
                <w:highlight w:val="none"/>
              </w:rPr>
            </w:pPr>
            <w:r>
              <w:rPr>
                <w:rFonts w:hint="eastAsia" w:ascii="宋体" w:hAnsi="宋体"/>
                <w:color w:val="auto"/>
                <w:highlight w:val="none"/>
              </w:rPr>
              <w:t>2.招标文件中规定工程量清单不允许修改的内容不得修改。</w:t>
            </w:r>
          </w:p>
          <w:p w14:paraId="2B8D0A3C">
            <w:pPr>
              <w:rPr>
                <w:rFonts w:ascii="宋体" w:hAnsi="宋体"/>
                <w:color w:val="auto"/>
                <w:sz w:val="24"/>
                <w:highlight w:val="none"/>
              </w:rPr>
            </w:pPr>
            <w:r>
              <w:rPr>
                <w:rFonts w:hint="eastAsia" w:ascii="宋体" w:hAnsi="宋体"/>
                <w:color w:val="auto"/>
                <w:highlight w:val="none"/>
              </w:rPr>
              <w:t>3.每项工程量清单综合单价报价不得高于对应工程量清单综合单价最高限价。</w:t>
            </w:r>
          </w:p>
        </w:tc>
      </w:tr>
      <w:tr w14:paraId="6B32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12E5246E">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32E40362">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59DAA96B">
            <w:pPr>
              <w:rPr>
                <w:rFonts w:ascii="宋体" w:hAnsi="宋体"/>
                <w:color w:val="auto"/>
                <w:sz w:val="24"/>
                <w:highlight w:val="none"/>
              </w:rPr>
            </w:pPr>
            <w:r>
              <w:rPr>
                <w:rFonts w:hint="eastAsia" w:ascii="宋体" w:hAnsi="宋体"/>
                <w:color w:val="auto"/>
                <w:highlight w:val="none"/>
              </w:rPr>
              <w:t>实质性要求</w:t>
            </w:r>
          </w:p>
        </w:tc>
        <w:tc>
          <w:tcPr>
            <w:tcW w:w="4680" w:type="dxa"/>
            <w:tcBorders>
              <w:top w:val="single" w:color="auto" w:sz="4" w:space="0"/>
              <w:left w:val="single" w:color="auto" w:sz="4" w:space="0"/>
              <w:bottom w:val="single" w:color="auto" w:sz="4" w:space="0"/>
              <w:right w:val="single" w:color="auto" w:sz="4" w:space="0"/>
            </w:tcBorders>
            <w:vAlign w:val="center"/>
          </w:tcPr>
          <w:p w14:paraId="7BA6FE4A">
            <w:pPr>
              <w:rPr>
                <w:rFonts w:ascii="宋体" w:hAnsi="宋体"/>
                <w:color w:val="auto"/>
                <w:sz w:val="24"/>
                <w:highlight w:val="none"/>
              </w:rPr>
            </w:pPr>
            <w:r>
              <w:rPr>
                <w:rFonts w:hint="eastAsia" w:ascii="宋体" w:hAnsi="宋体"/>
                <w:color w:val="auto"/>
                <w:highlight w:val="none"/>
              </w:rPr>
              <w:t>符合第二章“</w:t>
            </w:r>
            <w:r>
              <w:rPr>
                <w:rFonts w:hint="eastAsia" w:ascii="宋体" w:hAnsi="宋体"/>
                <w:color w:val="auto"/>
                <w:highlight w:val="none"/>
                <w:lang w:eastAsia="zh-CN"/>
              </w:rPr>
              <w:t>竞选人</w:t>
            </w:r>
            <w:r>
              <w:rPr>
                <w:rFonts w:hint="eastAsia" w:ascii="宋体" w:hAnsi="宋体"/>
                <w:color w:val="auto"/>
                <w:highlight w:val="none"/>
              </w:rPr>
              <w:t>须知”规定。</w:t>
            </w:r>
          </w:p>
          <w:p w14:paraId="3ADBC37C">
            <w:pPr>
              <w:rPr>
                <w:rFonts w:hint="eastAsia" w:ascii="宋体" w:hAnsi="宋体"/>
                <w:color w:val="auto"/>
                <w:highlight w:val="none"/>
              </w:rPr>
            </w:pPr>
            <w:r>
              <w:rPr>
                <w:rFonts w:hint="eastAsia" w:ascii="宋体" w:hAnsi="宋体"/>
                <w:color w:val="auto"/>
                <w:highlight w:val="none"/>
              </w:rPr>
              <w:t>本次投标不得有串通投标、弄虚作假等其他违反招投标相关法律、法规行为。</w:t>
            </w:r>
          </w:p>
          <w:p w14:paraId="15387AEF">
            <w:pPr>
              <w:rPr>
                <w:rFonts w:ascii="宋体" w:hAnsi="宋体"/>
                <w:color w:val="auto"/>
                <w:sz w:val="24"/>
                <w:highlight w:val="none"/>
              </w:rPr>
            </w:pPr>
            <w:r>
              <w:rPr>
                <w:rFonts w:hint="eastAsia" w:ascii="宋体" w:hAnsi="宋体"/>
                <w:color w:val="auto"/>
                <w:highlight w:val="none"/>
              </w:rPr>
              <w:t>按评标委员会要求澄清、说明或补正。</w:t>
            </w:r>
          </w:p>
        </w:tc>
      </w:tr>
      <w:tr w14:paraId="39D3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1920" w:type="dxa"/>
            <w:gridSpan w:val="3"/>
            <w:tcBorders>
              <w:top w:val="single" w:color="auto" w:sz="4" w:space="0"/>
              <w:left w:val="single" w:color="auto" w:sz="4" w:space="0"/>
              <w:bottom w:val="single" w:color="auto" w:sz="4" w:space="0"/>
              <w:right w:val="single" w:color="auto" w:sz="4" w:space="0"/>
            </w:tcBorders>
          </w:tcPr>
          <w:p w14:paraId="53AEBD1A">
            <w:pPr>
              <w:rPr>
                <w:rFonts w:ascii="宋体" w:hAnsi="宋体"/>
                <w:color w:val="auto"/>
                <w:sz w:val="24"/>
                <w:highlight w:val="none"/>
              </w:rPr>
            </w:pPr>
          </w:p>
          <w:p w14:paraId="48007C18">
            <w:pPr>
              <w:rPr>
                <w:rFonts w:hint="eastAsia" w:ascii="宋体" w:hAnsi="宋体"/>
                <w:color w:val="auto"/>
                <w:highlight w:val="none"/>
              </w:rPr>
            </w:pPr>
          </w:p>
          <w:p w14:paraId="2A74E4D3">
            <w:pPr>
              <w:rPr>
                <w:rFonts w:ascii="宋体" w:hAnsi="宋体"/>
                <w:color w:val="auto"/>
                <w:sz w:val="24"/>
                <w:highlight w:val="none"/>
              </w:rPr>
            </w:pPr>
            <w:r>
              <w:rPr>
                <w:rFonts w:hint="eastAsia" w:ascii="宋体" w:hAnsi="宋体"/>
                <w:color w:val="auto"/>
                <w:highlight w:val="none"/>
              </w:rPr>
              <w:t>2.1.1</w:t>
            </w: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2EF8EC76">
            <w:pPr>
              <w:rPr>
                <w:rFonts w:ascii="宋体" w:hAnsi="宋体"/>
                <w:color w:val="auto"/>
                <w:sz w:val="24"/>
                <w:highlight w:val="none"/>
              </w:rPr>
            </w:pPr>
            <w:r>
              <w:rPr>
                <w:rFonts w:hint="eastAsia" w:ascii="宋体" w:hAnsi="宋体"/>
                <w:color w:val="auto"/>
                <w:highlight w:val="none"/>
              </w:rPr>
              <w:t>分值构成 （总分100分）</w:t>
            </w:r>
          </w:p>
        </w:tc>
        <w:tc>
          <w:tcPr>
            <w:tcW w:w="4680" w:type="dxa"/>
            <w:tcBorders>
              <w:top w:val="single" w:color="auto" w:sz="4" w:space="0"/>
              <w:left w:val="single" w:color="auto" w:sz="4" w:space="0"/>
              <w:bottom w:val="single" w:color="auto" w:sz="4" w:space="0"/>
              <w:right w:val="single" w:color="auto" w:sz="4" w:space="0"/>
            </w:tcBorders>
            <w:vAlign w:val="center"/>
          </w:tcPr>
          <w:p w14:paraId="68B25E89">
            <w:pPr>
              <w:rPr>
                <w:rFonts w:ascii="宋体" w:hAnsi="宋体"/>
                <w:color w:val="auto"/>
                <w:sz w:val="24"/>
                <w:highlight w:val="none"/>
              </w:rPr>
            </w:pPr>
            <w:r>
              <w:rPr>
                <w:rFonts w:hint="eastAsia" w:ascii="宋体" w:hAnsi="宋体"/>
                <w:color w:val="auto"/>
                <w:highlight w:val="none"/>
              </w:rPr>
              <w:t xml:space="preserve">1.技术部分 </w:t>
            </w:r>
            <w:r>
              <w:rPr>
                <w:rFonts w:hint="eastAsia" w:ascii="宋体" w:hAnsi="宋体"/>
                <w:color w:val="auto"/>
                <w:highlight w:val="none"/>
                <w:u w:val="single"/>
              </w:rPr>
              <w:t>　 30 　</w:t>
            </w:r>
            <w:r>
              <w:rPr>
                <w:rFonts w:hint="eastAsia" w:ascii="宋体" w:hAnsi="宋体"/>
                <w:color w:val="auto"/>
                <w:highlight w:val="none"/>
              </w:rPr>
              <w:t>分；</w:t>
            </w:r>
          </w:p>
          <w:p w14:paraId="4917B6AA">
            <w:pPr>
              <w:rPr>
                <w:rFonts w:ascii="宋体" w:hAnsi="宋体"/>
                <w:color w:val="auto"/>
                <w:sz w:val="24"/>
                <w:highlight w:val="none"/>
              </w:rPr>
            </w:pPr>
            <w:r>
              <w:rPr>
                <w:rFonts w:hint="eastAsia" w:ascii="宋体" w:hAnsi="宋体"/>
                <w:color w:val="auto"/>
                <w:highlight w:val="none"/>
              </w:rPr>
              <w:t>2.投标总报价</w:t>
            </w:r>
            <w:r>
              <w:rPr>
                <w:rFonts w:hint="eastAsia" w:ascii="宋体" w:hAnsi="宋体"/>
                <w:color w:val="auto"/>
                <w:highlight w:val="none"/>
                <w:u w:val="single"/>
              </w:rPr>
              <w:t xml:space="preserve">  70   </w:t>
            </w:r>
            <w:r>
              <w:rPr>
                <w:rFonts w:hint="eastAsia" w:ascii="宋体" w:hAnsi="宋体"/>
                <w:color w:val="auto"/>
                <w:highlight w:val="none"/>
              </w:rPr>
              <w:t>分。</w:t>
            </w:r>
          </w:p>
        </w:tc>
      </w:tr>
      <w:tr w14:paraId="652D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960" w:type="dxa"/>
            <w:gridSpan w:val="2"/>
            <w:vMerge w:val="restart"/>
            <w:tcBorders>
              <w:top w:val="nil"/>
              <w:left w:val="single" w:color="auto" w:sz="4" w:space="0"/>
              <w:bottom w:val="single" w:color="auto" w:sz="4" w:space="0"/>
              <w:right w:val="single" w:color="auto" w:sz="4" w:space="0"/>
            </w:tcBorders>
          </w:tcPr>
          <w:p w14:paraId="74734720">
            <w:pPr>
              <w:rPr>
                <w:rFonts w:ascii="宋体" w:hAnsi="宋体"/>
                <w:color w:val="auto"/>
                <w:sz w:val="24"/>
                <w:highlight w:val="none"/>
              </w:rPr>
            </w:pP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t>2.1.2</w:t>
            </w:r>
          </w:p>
        </w:tc>
        <w:tc>
          <w:tcPr>
            <w:tcW w:w="960" w:type="dxa"/>
            <w:vMerge w:val="restart"/>
            <w:tcBorders>
              <w:top w:val="nil"/>
              <w:left w:val="single" w:color="auto" w:sz="4" w:space="0"/>
              <w:bottom w:val="single" w:color="auto" w:sz="4" w:space="0"/>
              <w:right w:val="single" w:color="auto" w:sz="4" w:space="0"/>
            </w:tcBorders>
          </w:tcPr>
          <w:p w14:paraId="7C3E7174">
            <w:pPr>
              <w:rPr>
                <w:rFonts w:ascii="宋体" w:hAnsi="宋体"/>
                <w:color w:val="auto"/>
                <w:sz w:val="24"/>
                <w:highlight w:val="none"/>
              </w:rPr>
            </w:pPr>
          </w:p>
          <w:p w14:paraId="67C56C1B">
            <w:pPr>
              <w:rPr>
                <w:rFonts w:hint="eastAsia" w:ascii="宋体" w:hAnsi="宋体"/>
                <w:color w:val="auto"/>
                <w:highlight w:val="none"/>
              </w:rPr>
            </w:pPr>
          </w:p>
          <w:p w14:paraId="4F703324">
            <w:pPr>
              <w:rPr>
                <w:rFonts w:hint="eastAsia" w:ascii="宋体" w:hAnsi="宋体"/>
                <w:color w:val="auto"/>
                <w:highlight w:val="none"/>
              </w:rPr>
            </w:pPr>
          </w:p>
          <w:p w14:paraId="5F593F97">
            <w:pPr>
              <w:rPr>
                <w:rFonts w:hint="eastAsia" w:ascii="宋体" w:hAnsi="宋体"/>
                <w:color w:val="auto"/>
                <w:highlight w:val="none"/>
              </w:rPr>
            </w:pP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p>
          <w:p w14:paraId="460A3AE6">
            <w:pPr>
              <w:rPr>
                <w:rFonts w:hint="eastAsia" w:ascii="宋体" w:hAnsi="宋体"/>
                <w:color w:val="auto"/>
                <w:highlight w:val="none"/>
              </w:rPr>
            </w:pP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t>技</w:t>
            </w:r>
            <w:r>
              <w:rPr>
                <w:rFonts w:hint="eastAsia" w:ascii="宋体" w:hAnsi="宋体"/>
                <w:color w:val="auto"/>
                <w:highlight w:val="none"/>
              </w:rPr>
              <w:br w:type="textWrapping"/>
            </w:r>
            <w:r>
              <w:rPr>
                <w:rFonts w:hint="eastAsia" w:ascii="宋体" w:hAnsi="宋体"/>
                <w:color w:val="auto"/>
                <w:highlight w:val="none"/>
              </w:rPr>
              <w:t>术</w:t>
            </w:r>
            <w:r>
              <w:rPr>
                <w:rFonts w:hint="eastAsia" w:ascii="宋体" w:hAnsi="宋体"/>
                <w:color w:val="auto"/>
                <w:highlight w:val="none"/>
              </w:rPr>
              <w:br w:type="textWrapping"/>
            </w:r>
            <w:r>
              <w:rPr>
                <w:rFonts w:hint="eastAsia" w:ascii="宋体" w:hAnsi="宋体"/>
                <w:color w:val="auto"/>
                <w:highlight w:val="none"/>
              </w:rPr>
              <w:t>部</w:t>
            </w:r>
            <w:r>
              <w:rPr>
                <w:rFonts w:hint="eastAsia" w:ascii="宋体" w:hAnsi="宋体"/>
                <w:color w:val="auto"/>
                <w:highlight w:val="none"/>
              </w:rPr>
              <w:br w:type="textWrapping"/>
            </w:r>
            <w:r>
              <w:rPr>
                <w:rFonts w:hint="eastAsia" w:ascii="宋体" w:hAnsi="宋体"/>
                <w:color w:val="auto"/>
                <w:highlight w:val="none"/>
              </w:rPr>
              <w:t>分</w:t>
            </w:r>
            <w:r>
              <w:rPr>
                <w:rFonts w:hint="eastAsia" w:ascii="宋体" w:hAnsi="宋体"/>
                <w:color w:val="auto"/>
                <w:highlight w:val="none"/>
              </w:rPr>
              <w:br w:type="textWrapping"/>
            </w:r>
            <w:r>
              <w:rPr>
                <w:rFonts w:hint="eastAsia" w:ascii="宋体" w:hAnsi="宋体"/>
                <w:color w:val="auto"/>
                <w:highlight w:val="none"/>
              </w:rPr>
              <w:t>评</w:t>
            </w:r>
          </w:p>
          <w:p w14:paraId="316C444F">
            <w:pPr>
              <w:rPr>
                <w:rFonts w:hint="eastAsia" w:ascii="宋体" w:hAnsi="宋体"/>
                <w:color w:val="auto"/>
                <w:highlight w:val="none"/>
              </w:rPr>
            </w:pPr>
            <w:r>
              <w:rPr>
                <w:rFonts w:hint="eastAsia" w:ascii="宋体" w:hAnsi="宋体"/>
                <w:color w:val="auto"/>
                <w:highlight w:val="none"/>
              </w:rPr>
              <w:t>分</w:t>
            </w:r>
            <w:r>
              <w:rPr>
                <w:rFonts w:hint="eastAsia" w:ascii="宋体" w:hAnsi="宋体"/>
                <w:color w:val="auto"/>
                <w:highlight w:val="none"/>
              </w:rPr>
              <w:br w:type="textWrapping"/>
            </w:r>
            <w:r>
              <w:rPr>
                <w:rFonts w:hint="eastAsia" w:ascii="宋体" w:hAnsi="宋体"/>
                <w:color w:val="auto"/>
                <w:highlight w:val="none"/>
              </w:rPr>
              <w:t>标</w:t>
            </w:r>
          </w:p>
          <w:p w14:paraId="78301544">
            <w:pPr>
              <w:rPr>
                <w:rFonts w:ascii="宋体" w:hAnsi="宋体"/>
                <w:color w:val="auto"/>
                <w:sz w:val="24"/>
                <w:highlight w:val="none"/>
              </w:rPr>
            </w:pPr>
            <w:r>
              <w:rPr>
                <w:rFonts w:hint="eastAsia" w:ascii="宋体" w:hAnsi="宋体"/>
                <w:color w:val="auto"/>
                <w:highlight w:val="none"/>
              </w:rPr>
              <w:t>准</w:t>
            </w:r>
          </w:p>
        </w:tc>
        <w:tc>
          <w:tcPr>
            <w:tcW w:w="1269" w:type="dxa"/>
            <w:gridSpan w:val="2"/>
            <w:vMerge w:val="restart"/>
            <w:tcBorders>
              <w:top w:val="nil"/>
              <w:left w:val="single" w:color="auto" w:sz="4" w:space="0"/>
              <w:bottom w:val="single" w:color="auto" w:sz="4" w:space="0"/>
              <w:right w:val="single" w:color="auto" w:sz="4" w:space="0"/>
            </w:tcBorders>
            <w:vAlign w:val="center"/>
          </w:tcPr>
          <w:p w14:paraId="72888ADD">
            <w:pPr>
              <w:rPr>
                <w:rFonts w:ascii="宋体" w:hAnsi="宋体"/>
                <w:color w:val="auto"/>
                <w:sz w:val="24"/>
                <w:highlight w:val="none"/>
              </w:rPr>
            </w:pP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br w:type="textWrapping"/>
            </w:r>
            <w:r>
              <w:rPr>
                <w:rFonts w:hint="eastAsia" w:ascii="宋体" w:hAnsi="宋体"/>
                <w:color w:val="auto"/>
                <w:highlight w:val="none"/>
              </w:rPr>
              <w:t>技</w:t>
            </w:r>
          </w:p>
          <w:p w14:paraId="0BD1510C">
            <w:pPr>
              <w:rPr>
                <w:rFonts w:hint="eastAsia" w:ascii="宋体" w:hAnsi="宋体"/>
                <w:color w:val="auto"/>
                <w:highlight w:val="none"/>
              </w:rPr>
            </w:pPr>
            <w:r>
              <w:rPr>
                <w:rFonts w:hint="eastAsia" w:ascii="宋体" w:hAnsi="宋体"/>
                <w:color w:val="auto"/>
                <w:highlight w:val="none"/>
              </w:rPr>
              <w:t>术</w:t>
            </w:r>
          </w:p>
          <w:p w14:paraId="4849FFC7">
            <w:pPr>
              <w:rPr>
                <w:rFonts w:hint="eastAsia" w:ascii="宋体" w:hAnsi="宋体"/>
                <w:color w:val="auto"/>
                <w:highlight w:val="none"/>
              </w:rPr>
            </w:pPr>
            <w:r>
              <w:rPr>
                <w:rFonts w:hint="eastAsia" w:ascii="宋体" w:hAnsi="宋体"/>
                <w:color w:val="auto"/>
                <w:highlight w:val="none"/>
              </w:rPr>
              <w:t>方</w:t>
            </w:r>
          </w:p>
          <w:p w14:paraId="37099AD1">
            <w:pPr>
              <w:rPr>
                <w:rFonts w:hint="eastAsia" w:ascii="宋体" w:hAnsi="宋体"/>
                <w:color w:val="auto"/>
                <w:highlight w:val="none"/>
              </w:rPr>
            </w:pPr>
            <w:r>
              <w:rPr>
                <w:rFonts w:hint="eastAsia" w:ascii="宋体" w:hAnsi="宋体"/>
                <w:color w:val="auto"/>
                <w:highlight w:val="none"/>
              </w:rPr>
              <w:t>案</w:t>
            </w:r>
          </w:p>
          <w:p w14:paraId="7F5A5ACD">
            <w:pPr>
              <w:rPr>
                <w:rFonts w:hint="eastAsia" w:ascii="宋体" w:hAnsi="宋体"/>
                <w:color w:val="auto"/>
                <w:highlight w:val="none"/>
              </w:rPr>
            </w:pPr>
            <w:r>
              <w:rPr>
                <w:rFonts w:hint="eastAsia" w:ascii="宋体" w:hAnsi="宋体"/>
                <w:color w:val="auto"/>
                <w:highlight w:val="none"/>
              </w:rPr>
              <w:t>评</w:t>
            </w:r>
          </w:p>
          <w:p w14:paraId="3AAE6BC4">
            <w:pPr>
              <w:rPr>
                <w:rFonts w:ascii="宋体" w:hAnsi="宋体"/>
                <w:color w:val="auto"/>
                <w:sz w:val="24"/>
                <w:highlight w:val="none"/>
              </w:rPr>
            </w:pPr>
            <w:r>
              <w:rPr>
                <w:rFonts w:hint="eastAsia" w:ascii="宋体" w:hAnsi="宋体"/>
                <w:color w:val="auto"/>
                <w:highlight w:val="none"/>
              </w:rPr>
              <w:t>审</w:t>
            </w:r>
          </w:p>
        </w:tc>
        <w:tc>
          <w:tcPr>
            <w:tcW w:w="1270" w:type="dxa"/>
            <w:tcBorders>
              <w:top w:val="single" w:color="auto" w:sz="4" w:space="0"/>
              <w:left w:val="single" w:color="auto" w:sz="4" w:space="0"/>
              <w:bottom w:val="single" w:color="auto" w:sz="4" w:space="0"/>
              <w:right w:val="single" w:color="auto" w:sz="4" w:space="0"/>
            </w:tcBorders>
            <w:vAlign w:val="center"/>
          </w:tcPr>
          <w:p w14:paraId="4B98537B">
            <w:pPr>
              <w:rPr>
                <w:rFonts w:ascii="宋体" w:hAnsi="宋体"/>
                <w:color w:val="auto"/>
                <w:sz w:val="24"/>
                <w:highlight w:val="none"/>
              </w:rPr>
            </w:pPr>
            <w:r>
              <w:rPr>
                <w:rFonts w:hint="eastAsia" w:ascii="宋体" w:hAnsi="宋体"/>
                <w:color w:val="auto"/>
                <w:highlight w:val="none"/>
              </w:rPr>
              <w:t>技术方案部分形式要求</w:t>
            </w:r>
          </w:p>
        </w:tc>
        <w:tc>
          <w:tcPr>
            <w:tcW w:w="4680" w:type="dxa"/>
            <w:tcBorders>
              <w:top w:val="single" w:color="auto" w:sz="4" w:space="0"/>
              <w:left w:val="single" w:color="auto" w:sz="4" w:space="0"/>
              <w:bottom w:val="single" w:color="auto" w:sz="4" w:space="0"/>
              <w:right w:val="single" w:color="auto" w:sz="4" w:space="0"/>
            </w:tcBorders>
            <w:vAlign w:val="center"/>
          </w:tcPr>
          <w:p w14:paraId="6555AB57">
            <w:pPr>
              <w:rPr>
                <w:rFonts w:ascii="宋体" w:hAnsi="宋体"/>
                <w:color w:val="auto"/>
                <w:sz w:val="24"/>
                <w:highlight w:val="none"/>
              </w:rPr>
            </w:pPr>
            <w:r>
              <w:rPr>
                <w:rFonts w:hint="eastAsia" w:ascii="宋体" w:hAnsi="宋体"/>
                <w:color w:val="auto"/>
                <w:highlight w:val="none"/>
              </w:rPr>
              <w:t>须符合第二章</w:t>
            </w:r>
            <w:r>
              <w:rPr>
                <w:rFonts w:hint="eastAsia" w:ascii="宋体" w:hAnsi="宋体"/>
                <w:color w:val="auto"/>
                <w:highlight w:val="none"/>
                <w:lang w:eastAsia="zh-CN"/>
              </w:rPr>
              <w:t>竞选人</w:t>
            </w:r>
            <w:r>
              <w:rPr>
                <w:rFonts w:hint="eastAsia" w:ascii="宋体" w:hAnsi="宋体"/>
                <w:color w:val="auto"/>
                <w:highlight w:val="none"/>
              </w:rPr>
              <w:t>须知前附表第3.6.3项技术部分的装订要求，否则其技术方案为0分，不再对技术方案的其他评分标准进行评审。</w:t>
            </w:r>
          </w:p>
        </w:tc>
      </w:tr>
      <w:tr w14:paraId="258C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7" w:hRule="atLeast"/>
          <w:jc w:val="center"/>
        </w:trPr>
        <w:tc>
          <w:tcPr>
            <w:tcW w:w="960" w:type="dxa"/>
            <w:gridSpan w:val="2"/>
            <w:vMerge w:val="continue"/>
            <w:tcBorders>
              <w:top w:val="nil"/>
              <w:left w:val="single" w:color="auto" w:sz="4" w:space="0"/>
              <w:bottom w:val="single" w:color="auto" w:sz="4" w:space="0"/>
              <w:right w:val="single" w:color="auto" w:sz="4" w:space="0"/>
            </w:tcBorders>
            <w:vAlign w:val="center"/>
          </w:tcPr>
          <w:p w14:paraId="312BB562">
            <w:pPr>
              <w:widowControl/>
              <w:jc w:val="left"/>
              <w:rPr>
                <w:rFonts w:ascii="宋体" w:hAnsi="宋体"/>
                <w:color w:val="auto"/>
                <w:sz w:val="24"/>
                <w:highlight w:val="none"/>
              </w:rPr>
            </w:pPr>
          </w:p>
        </w:tc>
        <w:tc>
          <w:tcPr>
            <w:tcW w:w="960" w:type="dxa"/>
            <w:vMerge w:val="continue"/>
            <w:tcBorders>
              <w:top w:val="nil"/>
              <w:left w:val="single" w:color="auto" w:sz="4" w:space="0"/>
              <w:bottom w:val="single" w:color="auto" w:sz="4" w:space="0"/>
              <w:right w:val="single" w:color="auto" w:sz="4" w:space="0"/>
            </w:tcBorders>
            <w:vAlign w:val="center"/>
          </w:tcPr>
          <w:p w14:paraId="743A70D8">
            <w:pPr>
              <w:widowControl/>
              <w:jc w:val="left"/>
              <w:rPr>
                <w:rFonts w:ascii="宋体" w:hAnsi="宋体"/>
                <w:color w:val="auto"/>
                <w:sz w:val="24"/>
                <w:highlight w:val="none"/>
              </w:rPr>
            </w:pPr>
          </w:p>
        </w:tc>
        <w:tc>
          <w:tcPr>
            <w:tcW w:w="1269" w:type="dxa"/>
            <w:gridSpan w:val="2"/>
            <w:vMerge w:val="continue"/>
            <w:tcBorders>
              <w:top w:val="nil"/>
              <w:left w:val="single" w:color="auto" w:sz="4" w:space="0"/>
              <w:bottom w:val="single" w:color="auto" w:sz="4" w:space="0"/>
              <w:right w:val="single" w:color="auto" w:sz="4" w:space="0"/>
            </w:tcBorders>
            <w:vAlign w:val="center"/>
          </w:tcPr>
          <w:p w14:paraId="14D01882">
            <w:pPr>
              <w:widowControl/>
              <w:jc w:val="left"/>
              <w:rPr>
                <w:rFonts w:ascii="宋体" w:hAnsi="宋体"/>
                <w:color w:val="auto"/>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3B320C4D">
            <w:pPr>
              <w:rPr>
                <w:rFonts w:ascii="宋体" w:hAnsi="宋体"/>
                <w:color w:val="auto"/>
                <w:sz w:val="24"/>
                <w:highlight w:val="none"/>
              </w:rPr>
            </w:pPr>
            <w:r>
              <w:rPr>
                <w:rFonts w:hint="eastAsia" w:ascii="宋体" w:hAnsi="宋体" w:cs="宋体"/>
                <w:color w:val="auto"/>
                <w:kern w:val="0"/>
                <w:highlight w:val="none"/>
              </w:rPr>
              <w:t>对工程施工重点、技术关键点的理解和认识</w:t>
            </w:r>
            <w:r>
              <w:rPr>
                <w:rFonts w:hint="eastAsia" w:ascii="宋体" w:hAnsi="宋体"/>
                <w:color w:val="auto"/>
                <w:highlight w:val="none"/>
              </w:rPr>
              <w:t>（5分）</w:t>
            </w:r>
          </w:p>
        </w:tc>
        <w:tc>
          <w:tcPr>
            <w:tcW w:w="4680" w:type="dxa"/>
            <w:tcBorders>
              <w:top w:val="single" w:color="auto" w:sz="4" w:space="0"/>
              <w:left w:val="single" w:color="auto" w:sz="4" w:space="0"/>
              <w:bottom w:val="single" w:color="auto" w:sz="4" w:space="0"/>
              <w:right w:val="single" w:color="auto" w:sz="4" w:space="0"/>
            </w:tcBorders>
            <w:vAlign w:val="center"/>
          </w:tcPr>
          <w:p w14:paraId="47B2CAE6">
            <w:pPr>
              <w:rPr>
                <w:rFonts w:ascii="宋体" w:hAnsi="宋体"/>
                <w:color w:val="auto"/>
                <w:sz w:val="24"/>
                <w:highlight w:val="none"/>
              </w:rPr>
            </w:pPr>
            <w:r>
              <w:rPr>
                <w:rFonts w:hint="eastAsia" w:ascii="宋体" w:hAnsi="宋体" w:cs="宋体"/>
                <w:color w:val="auto"/>
                <w:kern w:val="0"/>
                <w:highlight w:val="none"/>
              </w:rPr>
              <w:t>对本项目施工的重点、难点、关键点及解决方案是否合理</w:t>
            </w:r>
            <w:r>
              <w:rPr>
                <w:rFonts w:hint="eastAsia" w:ascii="宋体" w:hAnsi="宋体"/>
                <w:color w:val="auto"/>
                <w:highlight w:val="none"/>
              </w:rPr>
              <w:t>，</w:t>
            </w:r>
            <w:r>
              <w:rPr>
                <w:rFonts w:hint="eastAsia" w:ascii="宋体" w:hAnsi="宋体"/>
                <w:color w:val="auto"/>
                <w:highlight w:val="none"/>
                <w:lang w:val="en-US" w:eastAsia="zh-CN"/>
              </w:rPr>
              <w:t>评审</w:t>
            </w:r>
            <w:r>
              <w:rPr>
                <w:rFonts w:hint="eastAsia" w:ascii="宋体" w:hAnsi="宋体"/>
                <w:color w:val="auto"/>
                <w:highlight w:val="none"/>
              </w:rPr>
              <w:t>标准如下：</w:t>
            </w:r>
          </w:p>
          <w:p w14:paraId="71FCB51E">
            <w:pPr>
              <w:rPr>
                <w:rFonts w:hint="eastAsia" w:ascii="宋体" w:hAnsi="宋体"/>
                <w:color w:val="auto"/>
                <w:highlight w:val="none"/>
              </w:rPr>
            </w:pPr>
            <w:r>
              <w:rPr>
                <w:rFonts w:hint="eastAsia" w:ascii="宋体" w:hAnsi="宋体"/>
                <w:color w:val="auto"/>
                <w:highlight w:val="none"/>
              </w:rPr>
              <w:t>（1）内容完整详细、科学、合理，适用性、针对性程度高，完全满足招标人实际需求得5分；</w:t>
            </w:r>
          </w:p>
          <w:p w14:paraId="31B71935">
            <w:pPr>
              <w:rPr>
                <w:rFonts w:hint="eastAsia" w:ascii="宋体" w:hAnsi="宋体"/>
                <w:color w:val="auto"/>
                <w:highlight w:val="none"/>
              </w:rPr>
            </w:pPr>
            <w:r>
              <w:rPr>
                <w:rFonts w:hint="eastAsia" w:ascii="宋体" w:hAnsi="宋体"/>
                <w:color w:val="auto"/>
                <w:highlight w:val="none"/>
              </w:rPr>
              <w:t>（2）内容完整详细、合理，适用性、针对性程度较高，满足招标人实际需求得分3分；</w:t>
            </w:r>
          </w:p>
          <w:p w14:paraId="18F7F15D">
            <w:pPr>
              <w:rPr>
                <w:rFonts w:hint="eastAsia" w:ascii="宋体" w:hAnsi="宋体"/>
                <w:color w:val="auto"/>
                <w:highlight w:val="none"/>
              </w:rPr>
            </w:pPr>
            <w:r>
              <w:rPr>
                <w:rFonts w:hint="eastAsia" w:ascii="宋体" w:hAnsi="宋体"/>
                <w:color w:val="auto"/>
                <w:highlight w:val="none"/>
              </w:rPr>
              <w:t>（3）内容较完整、科学，适用性、针对性程度一般，并基本满足招标人需求得1分；</w:t>
            </w:r>
          </w:p>
          <w:p w14:paraId="0CF72554">
            <w:pPr>
              <w:rPr>
                <w:rFonts w:ascii="宋体" w:hAnsi="宋体"/>
                <w:color w:val="auto"/>
                <w:sz w:val="24"/>
                <w:highlight w:val="none"/>
              </w:rPr>
            </w:pPr>
            <w:r>
              <w:rPr>
                <w:rFonts w:hint="eastAsia" w:ascii="宋体" w:hAnsi="宋体"/>
                <w:color w:val="auto"/>
                <w:highlight w:val="none"/>
              </w:rPr>
              <w:t>（4）未提供、无针对性或基本不满足得0分。</w:t>
            </w:r>
          </w:p>
        </w:tc>
      </w:tr>
      <w:tr w14:paraId="1654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6" w:hRule="atLeast"/>
          <w:jc w:val="center"/>
        </w:trPr>
        <w:tc>
          <w:tcPr>
            <w:tcW w:w="960" w:type="dxa"/>
            <w:gridSpan w:val="2"/>
            <w:vMerge w:val="continue"/>
            <w:tcBorders>
              <w:top w:val="nil"/>
              <w:left w:val="single" w:color="auto" w:sz="4" w:space="0"/>
              <w:bottom w:val="single" w:color="auto" w:sz="4" w:space="0"/>
              <w:right w:val="single" w:color="auto" w:sz="4" w:space="0"/>
            </w:tcBorders>
            <w:vAlign w:val="center"/>
          </w:tcPr>
          <w:p w14:paraId="63D02021">
            <w:pPr>
              <w:widowControl/>
              <w:jc w:val="left"/>
              <w:rPr>
                <w:rFonts w:ascii="宋体" w:hAnsi="宋体"/>
                <w:color w:val="auto"/>
                <w:sz w:val="24"/>
                <w:highlight w:val="none"/>
              </w:rPr>
            </w:pPr>
          </w:p>
        </w:tc>
        <w:tc>
          <w:tcPr>
            <w:tcW w:w="960" w:type="dxa"/>
            <w:vMerge w:val="continue"/>
            <w:tcBorders>
              <w:top w:val="nil"/>
              <w:left w:val="single" w:color="auto" w:sz="4" w:space="0"/>
              <w:bottom w:val="single" w:color="auto" w:sz="4" w:space="0"/>
              <w:right w:val="single" w:color="auto" w:sz="4" w:space="0"/>
            </w:tcBorders>
            <w:vAlign w:val="center"/>
          </w:tcPr>
          <w:p w14:paraId="1BE2C70C">
            <w:pPr>
              <w:widowControl/>
              <w:jc w:val="left"/>
              <w:rPr>
                <w:rFonts w:ascii="宋体" w:hAnsi="宋体"/>
                <w:color w:val="auto"/>
                <w:sz w:val="24"/>
                <w:highlight w:val="none"/>
              </w:rPr>
            </w:pPr>
          </w:p>
        </w:tc>
        <w:tc>
          <w:tcPr>
            <w:tcW w:w="1269" w:type="dxa"/>
            <w:gridSpan w:val="2"/>
            <w:vMerge w:val="continue"/>
            <w:tcBorders>
              <w:top w:val="nil"/>
              <w:left w:val="single" w:color="auto" w:sz="4" w:space="0"/>
              <w:bottom w:val="single" w:color="auto" w:sz="4" w:space="0"/>
              <w:right w:val="single" w:color="auto" w:sz="4" w:space="0"/>
            </w:tcBorders>
            <w:vAlign w:val="center"/>
          </w:tcPr>
          <w:p w14:paraId="62B3FF0C">
            <w:pPr>
              <w:widowControl/>
              <w:jc w:val="left"/>
              <w:rPr>
                <w:rFonts w:ascii="宋体" w:hAnsi="宋体"/>
                <w:color w:val="auto"/>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7C855D88">
            <w:pPr>
              <w:rPr>
                <w:rFonts w:ascii="宋体" w:hAnsi="宋体"/>
                <w:color w:val="auto"/>
                <w:sz w:val="24"/>
                <w:highlight w:val="none"/>
              </w:rPr>
            </w:pPr>
            <w:r>
              <w:rPr>
                <w:rFonts w:hint="eastAsia" w:ascii="宋体" w:hAnsi="宋体"/>
                <w:color w:val="auto"/>
                <w:highlight w:val="none"/>
              </w:rPr>
              <w:t>施工方案与技术措施（5分）</w:t>
            </w:r>
          </w:p>
        </w:tc>
        <w:tc>
          <w:tcPr>
            <w:tcW w:w="4680" w:type="dxa"/>
            <w:tcBorders>
              <w:top w:val="single" w:color="auto" w:sz="4" w:space="0"/>
              <w:left w:val="single" w:color="auto" w:sz="4" w:space="0"/>
              <w:bottom w:val="single" w:color="auto" w:sz="4" w:space="0"/>
              <w:right w:val="single" w:color="auto" w:sz="4" w:space="0"/>
            </w:tcBorders>
            <w:vAlign w:val="center"/>
          </w:tcPr>
          <w:p w14:paraId="52CBE2F5">
            <w:pPr>
              <w:jc w:val="left"/>
              <w:rPr>
                <w:rFonts w:ascii="宋体" w:hAnsi="宋体"/>
                <w:color w:val="auto"/>
                <w:sz w:val="24"/>
                <w:highlight w:val="none"/>
              </w:rPr>
            </w:pPr>
            <w:r>
              <w:rPr>
                <w:rFonts w:hint="eastAsia" w:ascii="宋体" w:hAnsi="宋体"/>
                <w:color w:val="auto"/>
                <w:highlight w:val="none"/>
              </w:rPr>
              <w:t>根据本项目的实际情况，提供施工方案与技术措施，包含不限于施工方法、施工顺序、施工器具、施工技术、清除地表植物及其他杂草治理、对植物栽种及养护措施、对施工现场周围环境污染的保护措施等。</w:t>
            </w:r>
          </w:p>
          <w:p w14:paraId="357E8082">
            <w:pPr>
              <w:jc w:val="left"/>
              <w:rPr>
                <w:rFonts w:hint="eastAsia" w:ascii="宋体" w:hAnsi="宋体"/>
                <w:color w:val="auto"/>
                <w:highlight w:val="none"/>
              </w:rPr>
            </w:pPr>
            <w:r>
              <w:rPr>
                <w:rFonts w:hint="eastAsia" w:ascii="宋体" w:hAnsi="宋体"/>
                <w:color w:val="auto"/>
                <w:highlight w:val="none"/>
              </w:rPr>
              <w:t>方案完整详细、科学、合理，适用性、针对性程度高，完全满足招标人实际需求进行评审，</w:t>
            </w:r>
            <w:r>
              <w:rPr>
                <w:rFonts w:hint="eastAsia" w:ascii="宋体" w:hAnsi="宋体"/>
                <w:color w:val="auto"/>
                <w:highlight w:val="none"/>
                <w:lang w:val="en-US" w:eastAsia="zh-CN"/>
              </w:rPr>
              <w:t>评审</w:t>
            </w:r>
            <w:r>
              <w:rPr>
                <w:rFonts w:hint="eastAsia" w:ascii="宋体" w:hAnsi="宋体"/>
                <w:color w:val="auto"/>
                <w:highlight w:val="none"/>
              </w:rPr>
              <w:t>标准如下：</w:t>
            </w:r>
          </w:p>
          <w:p w14:paraId="07683261">
            <w:pPr>
              <w:jc w:val="left"/>
              <w:rPr>
                <w:rFonts w:hint="eastAsia" w:ascii="宋体" w:hAnsi="宋体"/>
                <w:color w:val="auto"/>
                <w:highlight w:val="none"/>
              </w:rPr>
            </w:pPr>
            <w:r>
              <w:rPr>
                <w:rFonts w:hint="eastAsia" w:ascii="宋体" w:hAnsi="宋体"/>
                <w:color w:val="auto"/>
                <w:highlight w:val="none"/>
              </w:rPr>
              <w:t>（1）内容完整详细、科学、合理，适用性、针对性程度高，完全满足招标人实际需求得5分；</w:t>
            </w:r>
          </w:p>
          <w:p w14:paraId="686BA481">
            <w:pPr>
              <w:jc w:val="left"/>
              <w:rPr>
                <w:rFonts w:hint="eastAsia" w:ascii="宋体" w:hAnsi="宋体"/>
                <w:color w:val="auto"/>
                <w:highlight w:val="none"/>
              </w:rPr>
            </w:pPr>
            <w:r>
              <w:rPr>
                <w:rFonts w:hint="eastAsia" w:ascii="宋体" w:hAnsi="宋体"/>
                <w:color w:val="auto"/>
                <w:highlight w:val="none"/>
              </w:rPr>
              <w:t>（2）内容完整详细、合理，适用性、针对性程度较高，满足招标人实际需求得分3分；</w:t>
            </w:r>
          </w:p>
          <w:p w14:paraId="734F8FF9">
            <w:pPr>
              <w:jc w:val="left"/>
              <w:rPr>
                <w:rFonts w:hint="eastAsia" w:ascii="宋体" w:hAnsi="宋体"/>
                <w:color w:val="auto"/>
                <w:highlight w:val="none"/>
              </w:rPr>
            </w:pPr>
            <w:r>
              <w:rPr>
                <w:rFonts w:hint="eastAsia" w:ascii="宋体" w:hAnsi="宋体"/>
                <w:color w:val="auto"/>
                <w:highlight w:val="none"/>
              </w:rPr>
              <w:t>（3）内容较完整、科学，适用性、针对性程度一般，并基本满足招标人需求得1分；</w:t>
            </w:r>
          </w:p>
          <w:p w14:paraId="2D778DF4">
            <w:pPr>
              <w:pStyle w:val="32"/>
              <w:rPr>
                <w:rFonts w:ascii="微软雅黑" w:hAnsi="微软雅黑"/>
                <w:color w:val="auto"/>
                <w:highlight w:val="none"/>
              </w:rPr>
            </w:pPr>
            <w:r>
              <w:rPr>
                <w:rFonts w:hint="eastAsia" w:ascii="宋体" w:hAnsi="宋体" w:eastAsia="宋体" w:cs="Times New Roman"/>
                <w:b w:val="0"/>
                <w:bCs w:val="0"/>
                <w:caps w:val="0"/>
                <w:color w:val="auto"/>
                <w:kern w:val="2"/>
                <w:sz w:val="21"/>
                <w:szCs w:val="24"/>
                <w:highlight w:val="none"/>
                <w:lang w:val="en-US" w:eastAsia="zh-CN" w:bidi="ar-SA"/>
              </w:rPr>
              <w:t>（4）未提供、无针对性或基本不满足得0分。</w:t>
            </w:r>
          </w:p>
        </w:tc>
      </w:tr>
      <w:tr w14:paraId="0527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5" w:hRule="atLeast"/>
          <w:jc w:val="center"/>
        </w:trPr>
        <w:tc>
          <w:tcPr>
            <w:tcW w:w="960" w:type="dxa"/>
            <w:gridSpan w:val="2"/>
            <w:vMerge w:val="continue"/>
            <w:tcBorders>
              <w:top w:val="nil"/>
              <w:left w:val="single" w:color="auto" w:sz="4" w:space="0"/>
              <w:bottom w:val="single" w:color="auto" w:sz="4" w:space="0"/>
              <w:right w:val="single" w:color="auto" w:sz="4" w:space="0"/>
            </w:tcBorders>
            <w:vAlign w:val="center"/>
          </w:tcPr>
          <w:p w14:paraId="46E25D30">
            <w:pPr>
              <w:widowControl/>
              <w:jc w:val="left"/>
              <w:rPr>
                <w:rFonts w:ascii="宋体" w:hAnsi="宋体"/>
                <w:color w:val="auto"/>
                <w:sz w:val="24"/>
                <w:highlight w:val="none"/>
              </w:rPr>
            </w:pPr>
          </w:p>
        </w:tc>
        <w:tc>
          <w:tcPr>
            <w:tcW w:w="960" w:type="dxa"/>
            <w:vMerge w:val="continue"/>
            <w:tcBorders>
              <w:top w:val="nil"/>
              <w:left w:val="single" w:color="auto" w:sz="4" w:space="0"/>
              <w:bottom w:val="single" w:color="auto" w:sz="4" w:space="0"/>
              <w:right w:val="single" w:color="auto" w:sz="4" w:space="0"/>
            </w:tcBorders>
            <w:vAlign w:val="center"/>
          </w:tcPr>
          <w:p w14:paraId="7C142528">
            <w:pPr>
              <w:widowControl/>
              <w:jc w:val="left"/>
              <w:rPr>
                <w:rFonts w:ascii="宋体" w:hAnsi="宋体"/>
                <w:color w:val="auto"/>
                <w:sz w:val="24"/>
                <w:highlight w:val="none"/>
              </w:rPr>
            </w:pPr>
          </w:p>
        </w:tc>
        <w:tc>
          <w:tcPr>
            <w:tcW w:w="1269" w:type="dxa"/>
            <w:gridSpan w:val="2"/>
            <w:vMerge w:val="continue"/>
            <w:tcBorders>
              <w:top w:val="nil"/>
              <w:left w:val="single" w:color="auto" w:sz="4" w:space="0"/>
              <w:bottom w:val="single" w:color="auto" w:sz="4" w:space="0"/>
              <w:right w:val="single" w:color="auto" w:sz="4" w:space="0"/>
            </w:tcBorders>
            <w:vAlign w:val="center"/>
          </w:tcPr>
          <w:p w14:paraId="23BF5E70">
            <w:pPr>
              <w:widowControl/>
              <w:jc w:val="left"/>
              <w:rPr>
                <w:rFonts w:ascii="宋体" w:hAnsi="宋体"/>
                <w:color w:val="auto"/>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326D045C">
            <w:pPr>
              <w:rPr>
                <w:rFonts w:ascii="宋体" w:hAnsi="宋体"/>
                <w:color w:val="auto"/>
                <w:sz w:val="24"/>
                <w:highlight w:val="none"/>
              </w:rPr>
            </w:pPr>
            <w:r>
              <w:rPr>
                <w:rFonts w:hint="eastAsia" w:ascii="宋体" w:hAnsi="宋体" w:cs="宋体"/>
                <w:color w:val="auto"/>
                <w:kern w:val="0"/>
                <w:highlight w:val="none"/>
              </w:rPr>
              <w:t>质量管理体系与措施</w:t>
            </w:r>
            <w:r>
              <w:rPr>
                <w:rFonts w:hint="eastAsia" w:ascii="宋体" w:hAnsi="宋体"/>
                <w:color w:val="auto"/>
                <w:highlight w:val="none"/>
              </w:rPr>
              <w:t>（5分）</w:t>
            </w:r>
          </w:p>
        </w:tc>
        <w:tc>
          <w:tcPr>
            <w:tcW w:w="4680" w:type="dxa"/>
            <w:tcBorders>
              <w:top w:val="single" w:color="auto" w:sz="4" w:space="0"/>
              <w:left w:val="single" w:color="auto" w:sz="4" w:space="0"/>
              <w:bottom w:val="single" w:color="auto" w:sz="4" w:space="0"/>
              <w:right w:val="single" w:color="auto" w:sz="4" w:space="0"/>
            </w:tcBorders>
            <w:vAlign w:val="center"/>
          </w:tcPr>
          <w:p w14:paraId="5971F7D1">
            <w:pPr>
              <w:rPr>
                <w:rFonts w:hint="eastAsia" w:ascii="宋体" w:hAnsi="宋体"/>
                <w:color w:val="auto"/>
                <w:highlight w:val="none"/>
              </w:rPr>
            </w:pPr>
            <w:r>
              <w:rPr>
                <w:rFonts w:hint="eastAsia" w:ascii="宋体" w:hAnsi="宋体" w:cs="宋体"/>
                <w:color w:val="auto"/>
                <w:kern w:val="0"/>
                <w:highlight w:val="none"/>
              </w:rPr>
              <w:t>明确具体可行的质量管理制度；施工质量保证体系和质量检查监督机构健全，并有有效的控制措施和手段；对抓好工程的原材料、半成品、成品质量有严格的质量监督控制措施包括但不限于：公告栏(立柱）、泡沫塑料字、指引标识牌、沟道盖板、不锈钢栏杆</w:t>
            </w:r>
            <w:r>
              <w:rPr>
                <w:rFonts w:hint="eastAsia" w:ascii="宋体" w:hAnsi="宋体" w:cs="宋体"/>
                <w:color w:val="auto"/>
                <w:kern w:val="0"/>
                <w:highlight w:val="none"/>
                <w:lang w:val="en-US" w:eastAsia="zh-CN"/>
              </w:rPr>
              <w:t>等</w:t>
            </w:r>
            <w:r>
              <w:rPr>
                <w:rFonts w:hint="eastAsia" w:ascii="宋体" w:hAnsi="宋体" w:cs="宋体"/>
                <w:color w:val="auto"/>
                <w:kern w:val="0"/>
                <w:highlight w:val="none"/>
              </w:rPr>
              <w:t>；评标委员会对技术方案中质量保证体系的方案、措施先进、合理、可靠性等情况进行综合评审</w:t>
            </w:r>
            <w:r>
              <w:rPr>
                <w:rFonts w:hint="eastAsia" w:ascii="宋体" w:hAnsi="宋体" w:cs="宋体"/>
                <w:color w:val="auto"/>
                <w:kern w:val="0"/>
                <w:highlight w:val="none"/>
                <w:lang w:eastAsia="zh-CN"/>
              </w:rPr>
              <w:t>，</w:t>
            </w:r>
            <w:r>
              <w:rPr>
                <w:rFonts w:hint="eastAsia" w:ascii="宋体" w:hAnsi="宋体"/>
                <w:color w:val="auto"/>
                <w:highlight w:val="none"/>
                <w:lang w:val="en-US" w:eastAsia="zh-CN"/>
              </w:rPr>
              <w:t>评审标准如下：</w:t>
            </w:r>
            <w:r>
              <w:rPr>
                <w:rFonts w:hint="eastAsia" w:ascii="宋体" w:hAnsi="宋体" w:cs="宋体"/>
                <w:color w:val="auto"/>
                <w:kern w:val="0"/>
                <w:highlight w:val="none"/>
              </w:rPr>
              <w:br w:type="textWrapping"/>
            </w:r>
            <w:r>
              <w:rPr>
                <w:rFonts w:hint="eastAsia" w:ascii="宋体" w:hAnsi="宋体"/>
                <w:color w:val="auto"/>
                <w:highlight w:val="none"/>
              </w:rPr>
              <w:t>（1）内容完整详细、</w:t>
            </w:r>
            <w:r>
              <w:rPr>
                <w:rFonts w:hint="eastAsia" w:ascii="宋体" w:hAnsi="宋体" w:cs="宋体"/>
                <w:color w:val="auto"/>
                <w:kern w:val="0"/>
                <w:highlight w:val="none"/>
              </w:rPr>
              <w:t>先进、合理、可靠性</w:t>
            </w:r>
            <w:r>
              <w:rPr>
                <w:rFonts w:hint="eastAsia" w:ascii="宋体" w:hAnsi="宋体"/>
                <w:color w:val="auto"/>
                <w:highlight w:val="none"/>
              </w:rPr>
              <w:t>高，完全满足招标人实际需求得5分；</w:t>
            </w:r>
          </w:p>
          <w:p w14:paraId="7E3414A6">
            <w:pPr>
              <w:rPr>
                <w:rFonts w:hint="eastAsia" w:ascii="宋体" w:hAnsi="宋体"/>
                <w:color w:val="auto"/>
                <w:highlight w:val="none"/>
              </w:rPr>
            </w:pPr>
            <w:r>
              <w:rPr>
                <w:rFonts w:hint="eastAsia" w:ascii="宋体" w:hAnsi="宋体"/>
                <w:color w:val="auto"/>
                <w:highlight w:val="none"/>
              </w:rPr>
              <w:t>（2）内容完整详细、</w:t>
            </w:r>
            <w:r>
              <w:rPr>
                <w:rFonts w:hint="eastAsia" w:ascii="宋体" w:hAnsi="宋体" w:cs="宋体"/>
                <w:color w:val="auto"/>
                <w:kern w:val="0"/>
                <w:highlight w:val="none"/>
              </w:rPr>
              <w:t>先进、合理、可靠性</w:t>
            </w:r>
            <w:r>
              <w:rPr>
                <w:rFonts w:hint="eastAsia" w:ascii="宋体" w:hAnsi="宋体"/>
                <w:color w:val="auto"/>
                <w:highlight w:val="none"/>
              </w:rPr>
              <w:t>较高，满足招标人实际需求得分3分；</w:t>
            </w:r>
          </w:p>
          <w:p w14:paraId="2C84BAEE">
            <w:pPr>
              <w:rPr>
                <w:rFonts w:hint="eastAsia" w:ascii="宋体" w:hAnsi="宋体"/>
                <w:color w:val="auto"/>
                <w:highlight w:val="none"/>
              </w:rPr>
            </w:pPr>
            <w:r>
              <w:rPr>
                <w:rFonts w:hint="eastAsia" w:ascii="宋体" w:hAnsi="宋体"/>
                <w:color w:val="auto"/>
                <w:highlight w:val="none"/>
              </w:rPr>
              <w:t>（3）内容完整详细、</w:t>
            </w:r>
            <w:r>
              <w:rPr>
                <w:rFonts w:hint="eastAsia" w:ascii="宋体" w:hAnsi="宋体" w:cs="宋体"/>
                <w:color w:val="auto"/>
                <w:kern w:val="0"/>
                <w:highlight w:val="none"/>
              </w:rPr>
              <w:t>先进、合理、可靠性</w:t>
            </w:r>
            <w:r>
              <w:rPr>
                <w:rFonts w:hint="eastAsia" w:ascii="宋体" w:hAnsi="宋体"/>
                <w:color w:val="auto"/>
                <w:highlight w:val="none"/>
              </w:rPr>
              <w:t>一般，并基本满足招标人需求得1分；</w:t>
            </w:r>
          </w:p>
          <w:p w14:paraId="7F3F1340">
            <w:pPr>
              <w:rPr>
                <w:rFonts w:ascii="宋体" w:hAnsi="宋体"/>
                <w:color w:val="auto"/>
                <w:sz w:val="24"/>
                <w:highlight w:val="none"/>
              </w:rPr>
            </w:pPr>
            <w:r>
              <w:rPr>
                <w:rFonts w:hint="eastAsia" w:ascii="宋体" w:hAnsi="宋体"/>
                <w:color w:val="auto"/>
                <w:highlight w:val="none"/>
              </w:rPr>
              <w:t>（4）未提供、无针对性或基本不满足得0分。</w:t>
            </w:r>
          </w:p>
        </w:tc>
      </w:tr>
      <w:tr w14:paraId="2E64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1" w:hRule="atLeast"/>
          <w:jc w:val="center"/>
        </w:trPr>
        <w:tc>
          <w:tcPr>
            <w:tcW w:w="960" w:type="dxa"/>
            <w:gridSpan w:val="2"/>
            <w:vMerge w:val="continue"/>
            <w:tcBorders>
              <w:top w:val="nil"/>
              <w:left w:val="single" w:color="auto" w:sz="4" w:space="0"/>
              <w:bottom w:val="single" w:color="auto" w:sz="4" w:space="0"/>
              <w:right w:val="single" w:color="auto" w:sz="4" w:space="0"/>
            </w:tcBorders>
            <w:vAlign w:val="center"/>
          </w:tcPr>
          <w:p w14:paraId="381D7488">
            <w:pPr>
              <w:widowControl/>
              <w:jc w:val="left"/>
              <w:rPr>
                <w:rFonts w:ascii="宋体" w:hAnsi="宋体"/>
                <w:color w:val="auto"/>
                <w:sz w:val="24"/>
                <w:highlight w:val="none"/>
              </w:rPr>
            </w:pPr>
          </w:p>
        </w:tc>
        <w:tc>
          <w:tcPr>
            <w:tcW w:w="960" w:type="dxa"/>
            <w:vMerge w:val="continue"/>
            <w:tcBorders>
              <w:top w:val="nil"/>
              <w:left w:val="single" w:color="auto" w:sz="4" w:space="0"/>
              <w:bottom w:val="single" w:color="auto" w:sz="4" w:space="0"/>
              <w:right w:val="single" w:color="auto" w:sz="4" w:space="0"/>
            </w:tcBorders>
            <w:vAlign w:val="center"/>
          </w:tcPr>
          <w:p w14:paraId="4F47D16B">
            <w:pPr>
              <w:widowControl/>
              <w:jc w:val="left"/>
              <w:rPr>
                <w:rFonts w:ascii="宋体" w:hAnsi="宋体"/>
                <w:color w:val="auto"/>
                <w:sz w:val="24"/>
                <w:highlight w:val="none"/>
              </w:rPr>
            </w:pPr>
          </w:p>
        </w:tc>
        <w:tc>
          <w:tcPr>
            <w:tcW w:w="1269" w:type="dxa"/>
            <w:gridSpan w:val="2"/>
            <w:vMerge w:val="continue"/>
            <w:tcBorders>
              <w:top w:val="nil"/>
              <w:left w:val="single" w:color="auto" w:sz="4" w:space="0"/>
              <w:bottom w:val="single" w:color="auto" w:sz="4" w:space="0"/>
              <w:right w:val="single" w:color="auto" w:sz="4" w:space="0"/>
            </w:tcBorders>
            <w:vAlign w:val="center"/>
          </w:tcPr>
          <w:p w14:paraId="7EACAE59">
            <w:pPr>
              <w:widowControl/>
              <w:jc w:val="left"/>
              <w:rPr>
                <w:rFonts w:ascii="宋体" w:hAnsi="宋体"/>
                <w:color w:val="auto"/>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37AF5F1C">
            <w:pPr>
              <w:rPr>
                <w:rFonts w:ascii="宋体" w:hAnsi="宋体"/>
                <w:color w:val="auto"/>
                <w:sz w:val="24"/>
                <w:highlight w:val="none"/>
              </w:rPr>
            </w:pPr>
            <w:r>
              <w:rPr>
                <w:rFonts w:hint="eastAsia" w:ascii="宋体" w:hAnsi="宋体"/>
                <w:color w:val="auto"/>
                <w:highlight w:val="none"/>
              </w:rPr>
              <w:t>安全管理体系与措施（5分）</w:t>
            </w:r>
          </w:p>
        </w:tc>
        <w:tc>
          <w:tcPr>
            <w:tcW w:w="4680" w:type="dxa"/>
            <w:tcBorders>
              <w:top w:val="single" w:color="auto" w:sz="4" w:space="0"/>
              <w:left w:val="single" w:color="auto" w:sz="4" w:space="0"/>
              <w:bottom w:val="single" w:color="auto" w:sz="4" w:space="0"/>
              <w:right w:val="single" w:color="auto" w:sz="4" w:space="0"/>
            </w:tcBorders>
            <w:vAlign w:val="center"/>
          </w:tcPr>
          <w:p w14:paraId="6F92A58C">
            <w:pPr>
              <w:rPr>
                <w:rFonts w:ascii="宋体" w:hAnsi="宋体"/>
                <w:color w:val="auto"/>
                <w:sz w:val="24"/>
                <w:highlight w:val="none"/>
              </w:rPr>
            </w:pPr>
            <w:r>
              <w:rPr>
                <w:rFonts w:hint="eastAsia" w:ascii="宋体" w:hAnsi="宋体"/>
                <w:color w:val="auto"/>
                <w:highlight w:val="none"/>
              </w:rPr>
              <w:t>安全管理体系健全有效，施工安全专项方案及安全管理保证措施具有针对性、文明施工和防止扰民措施是否得当等。</w:t>
            </w:r>
          </w:p>
          <w:p w14:paraId="02DA7ABF">
            <w:pPr>
              <w:rPr>
                <w:rFonts w:hint="eastAsia" w:ascii="宋体" w:hAnsi="宋体"/>
                <w:color w:val="auto"/>
                <w:highlight w:val="none"/>
              </w:rPr>
            </w:pPr>
            <w:r>
              <w:rPr>
                <w:rFonts w:hint="eastAsia" w:ascii="宋体" w:hAnsi="宋体"/>
                <w:color w:val="auto"/>
                <w:highlight w:val="none"/>
              </w:rPr>
              <w:t>方案完整详细、科学、合理，适用性、针对性程度高，完全满足招标人实际需求进行评审，</w:t>
            </w:r>
            <w:r>
              <w:rPr>
                <w:rFonts w:hint="eastAsia" w:ascii="宋体" w:hAnsi="宋体"/>
                <w:color w:val="auto"/>
                <w:highlight w:val="none"/>
                <w:lang w:val="en-US" w:eastAsia="zh-CN"/>
              </w:rPr>
              <w:t>评审</w:t>
            </w:r>
            <w:r>
              <w:rPr>
                <w:rFonts w:hint="eastAsia" w:ascii="宋体" w:hAnsi="宋体"/>
                <w:color w:val="auto"/>
                <w:highlight w:val="none"/>
              </w:rPr>
              <w:t>标准如下：</w:t>
            </w:r>
          </w:p>
          <w:p w14:paraId="2DF97911">
            <w:pPr>
              <w:rPr>
                <w:rFonts w:hint="eastAsia" w:ascii="宋体" w:hAnsi="宋体"/>
                <w:color w:val="auto"/>
                <w:highlight w:val="none"/>
              </w:rPr>
            </w:pPr>
            <w:r>
              <w:rPr>
                <w:rFonts w:hint="eastAsia" w:ascii="宋体" w:hAnsi="宋体"/>
                <w:color w:val="auto"/>
                <w:highlight w:val="none"/>
              </w:rPr>
              <w:t>（1）内容完整详细、科学、合理，适用性、针对性程度高，完全满足招标人实际需求得5分；</w:t>
            </w:r>
          </w:p>
          <w:p w14:paraId="7733FB8A">
            <w:pPr>
              <w:rPr>
                <w:rFonts w:hint="eastAsia" w:ascii="宋体" w:hAnsi="宋体"/>
                <w:color w:val="auto"/>
                <w:highlight w:val="none"/>
              </w:rPr>
            </w:pPr>
            <w:r>
              <w:rPr>
                <w:rFonts w:hint="eastAsia" w:ascii="宋体" w:hAnsi="宋体"/>
                <w:color w:val="auto"/>
                <w:highlight w:val="none"/>
              </w:rPr>
              <w:t>（2）内容完整详细、合理，适用性、针对性程度较高，满足招标人实际需求得分3分；</w:t>
            </w:r>
          </w:p>
          <w:p w14:paraId="10D4886B">
            <w:pPr>
              <w:rPr>
                <w:rFonts w:hint="eastAsia" w:ascii="宋体" w:hAnsi="宋体"/>
                <w:color w:val="auto"/>
                <w:highlight w:val="none"/>
              </w:rPr>
            </w:pPr>
            <w:r>
              <w:rPr>
                <w:rFonts w:hint="eastAsia" w:ascii="宋体" w:hAnsi="宋体"/>
                <w:color w:val="auto"/>
                <w:highlight w:val="none"/>
              </w:rPr>
              <w:t>（3）内容较完整、科学，适用性、针对性程度一般，并基本满足招标人需求得1分；</w:t>
            </w:r>
          </w:p>
          <w:p w14:paraId="263D033B">
            <w:pPr>
              <w:rPr>
                <w:rFonts w:ascii="宋体" w:hAnsi="宋体"/>
                <w:color w:val="auto"/>
                <w:sz w:val="24"/>
                <w:highlight w:val="none"/>
              </w:rPr>
            </w:pPr>
            <w:r>
              <w:rPr>
                <w:rFonts w:hint="eastAsia" w:ascii="宋体" w:hAnsi="宋体"/>
                <w:color w:val="auto"/>
                <w:highlight w:val="none"/>
              </w:rPr>
              <w:t>（4）未提供、无针对性或基本不满足得0分。</w:t>
            </w:r>
          </w:p>
        </w:tc>
      </w:tr>
      <w:tr w14:paraId="5D45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7" w:hRule="atLeast"/>
          <w:jc w:val="center"/>
        </w:trPr>
        <w:tc>
          <w:tcPr>
            <w:tcW w:w="960" w:type="dxa"/>
            <w:gridSpan w:val="2"/>
            <w:vMerge w:val="continue"/>
            <w:tcBorders>
              <w:top w:val="nil"/>
              <w:left w:val="single" w:color="auto" w:sz="4" w:space="0"/>
              <w:bottom w:val="single" w:color="auto" w:sz="4" w:space="0"/>
              <w:right w:val="single" w:color="auto" w:sz="4" w:space="0"/>
            </w:tcBorders>
            <w:vAlign w:val="center"/>
          </w:tcPr>
          <w:p w14:paraId="51838996">
            <w:pPr>
              <w:widowControl/>
              <w:jc w:val="left"/>
              <w:rPr>
                <w:rFonts w:ascii="宋体" w:hAnsi="宋体"/>
                <w:color w:val="auto"/>
                <w:sz w:val="24"/>
                <w:highlight w:val="none"/>
              </w:rPr>
            </w:pPr>
          </w:p>
        </w:tc>
        <w:tc>
          <w:tcPr>
            <w:tcW w:w="960" w:type="dxa"/>
            <w:vMerge w:val="continue"/>
            <w:tcBorders>
              <w:top w:val="nil"/>
              <w:left w:val="single" w:color="auto" w:sz="4" w:space="0"/>
              <w:bottom w:val="single" w:color="auto" w:sz="4" w:space="0"/>
              <w:right w:val="single" w:color="auto" w:sz="4" w:space="0"/>
            </w:tcBorders>
            <w:vAlign w:val="center"/>
          </w:tcPr>
          <w:p w14:paraId="5DC07D2B">
            <w:pPr>
              <w:widowControl/>
              <w:jc w:val="left"/>
              <w:rPr>
                <w:rFonts w:ascii="宋体" w:hAnsi="宋体"/>
                <w:color w:val="auto"/>
                <w:sz w:val="24"/>
                <w:highlight w:val="none"/>
              </w:rPr>
            </w:pPr>
          </w:p>
        </w:tc>
        <w:tc>
          <w:tcPr>
            <w:tcW w:w="1269" w:type="dxa"/>
            <w:gridSpan w:val="2"/>
            <w:vMerge w:val="continue"/>
            <w:tcBorders>
              <w:top w:val="nil"/>
              <w:left w:val="single" w:color="auto" w:sz="4" w:space="0"/>
              <w:bottom w:val="single" w:color="auto" w:sz="4" w:space="0"/>
              <w:right w:val="single" w:color="auto" w:sz="4" w:space="0"/>
            </w:tcBorders>
            <w:vAlign w:val="center"/>
          </w:tcPr>
          <w:p w14:paraId="287E7027">
            <w:pPr>
              <w:widowControl/>
              <w:jc w:val="left"/>
              <w:rPr>
                <w:rFonts w:ascii="宋体" w:hAnsi="宋体"/>
                <w:color w:val="auto"/>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73B4378">
            <w:pPr>
              <w:rPr>
                <w:rFonts w:ascii="宋体" w:hAnsi="宋体"/>
                <w:color w:val="auto"/>
                <w:sz w:val="24"/>
                <w:highlight w:val="none"/>
              </w:rPr>
            </w:pPr>
            <w:r>
              <w:rPr>
                <w:rFonts w:hint="eastAsia" w:ascii="宋体" w:hAnsi="宋体"/>
                <w:color w:val="auto"/>
                <w:highlight w:val="none"/>
              </w:rPr>
              <w:t>环境保护管理体系措施（3分）</w:t>
            </w:r>
          </w:p>
        </w:tc>
        <w:tc>
          <w:tcPr>
            <w:tcW w:w="4680" w:type="dxa"/>
            <w:tcBorders>
              <w:top w:val="single" w:color="auto" w:sz="4" w:space="0"/>
              <w:left w:val="single" w:color="auto" w:sz="4" w:space="0"/>
              <w:bottom w:val="single" w:color="auto" w:sz="4" w:space="0"/>
              <w:right w:val="single" w:color="auto" w:sz="4" w:space="0"/>
            </w:tcBorders>
            <w:vAlign w:val="center"/>
          </w:tcPr>
          <w:p w14:paraId="2534B6E8">
            <w:pPr>
              <w:rPr>
                <w:rFonts w:ascii="宋体" w:hAnsi="宋体"/>
                <w:color w:val="auto"/>
                <w:sz w:val="24"/>
                <w:highlight w:val="none"/>
              </w:rPr>
            </w:pPr>
            <w:r>
              <w:rPr>
                <w:rFonts w:hint="eastAsia" w:ascii="宋体" w:hAnsi="宋体"/>
                <w:color w:val="auto"/>
                <w:highlight w:val="none"/>
              </w:rPr>
              <w:t>环境保护措施的科学性、可靠性。</w:t>
            </w:r>
          </w:p>
          <w:p w14:paraId="371210DE">
            <w:pPr>
              <w:rPr>
                <w:rFonts w:hint="eastAsia" w:ascii="宋体" w:hAnsi="宋体"/>
                <w:color w:val="auto"/>
                <w:highlight w:val="none"/>
              </w:rPr>
            </w:pPr>
            <w:r>
              <w:rPr>
                <w:rFonts w:hint="eastAsia" w:ascii="宋体" w:hAnsi="宋体"/>
                <w:color w:val="auto"/>
                <w:highlight w:val="none"/>
              </w:rPr>
              <w:t xml:space="preserve"> 方案完整详细、科学、合理，适用性、针对性程度高，完全满足招标人实际需求进行评审，</w:t>
            </w:r>
            <w:r>
              <w:rPr>
                <w:rFonts w:hint="eastAsia" w:ascii="宋体" w:hAnsi="宋体"/>
                <w:color w:val="auto"/>
                <w:highlight w:val="none"/>
                <w:lang w:val="en-US" w:eastAsia="zh-CN"/>
              </w:rPr>
              <w:t>评审</w:t>
            </w:r>
            <w:r>
              <w:rPr>
                <w:rFonts w:hint="eastAsia" w:ascii="宋体" w:hAnsi="宋体"/>
                <w:color w:val="auto"/>
                <w:highlight w:val="none"/>
              </w:rPr>
              <w:t>标准如下：</w:t>
            </w:r>
          </w:p>
          <w:p w14:paraId="2D2E608A">
            <w:pPr>
              <w:rPr>
                <w:rFonts w:hint="eastAsia" w:ascii="宋体" w:hAnsi="宋体"/>
                <w:color w:val="auto"/>
                <w:highlight w:val="none"/>
              </w:rPr>
            </w:pPr>
            <w:r>
              <w:rPr>
                <w:rFonts w:hint="eastAsia" w:ascii="宋体" w:hAnsi="宋体"/>
                <w:color w:val="auto"/>
                <w:highlight w:val="none"/>
              </w:rPr>
              <w:t xml:space="preserve"> （1）内容完整详细、科学、合理，适用性、针对性程度高，完全满足招标人实际需求得3分；</w:t>
            </w:r>
          </w:p>
          <w:p w14:paraId="020DC2AB">
            <w:pPr>
              <w:rPr>
                <w:rFonts w:hint="eastAsia" w:ascii="宋体" w:hAnsi="宋体"/>
                <w:color w:val="auto"/>
                <w:highlight w:val="none"/>
              </w:rPr>
            </w:pPr>
            <w:r>
              <w:rPr>
                <w:rFonts w:hint="eastAsia" w:ascii="宋体" w:hAnsi="宋体"/>
                <w:color w:val="auto"/>
                <w:highlight w:val="none"/>
              </w:rPr>
              <w:t>（2）内容完整详细、合理，适用性、针对性程度较高，满足招标人实际需求得分2分；</w:t>
            </w:r>
          </w:p>
          <w:p w14:paraId="4227971C">
            <w:pPr>
              <w:rPr>
                <w:rFonts w:hint="eastAsia" w:ascii="宋体" w:hAnsi="宋体"/>
                <w:color w:val="auto"/>
                <w:highlight w:val="none"/>
              </w:rPr>
            </w:pPr>
            <w:r>
              <w:rPr>
                <w:rFonts w:hint="eastAsia" w:ascii="宋体" w:hAnsi="宋体"/>
                <w:color w:val="auto"/>
                <w:highlight w:val="none"/>
              </w:rPr>
              <w:t>（3）内容较完整、科学，适用性、针对性程度一般，并基本满足招标人需求得1分；</w:t>
            </w:r>
          </w:p>
          <w:p w14:paraId="1541B8BF">
            <w:pPr>
              <w:rPr>
                <w:rFonts w:ascii="宋体" w:hAnsi="宋体"/>
                <w:color w:val="auto"/>
                <w:sz w:val="24"/>
                <w:highlight w:val="none"/>
              </w:rPr>
            </w:pPr>
            <w:r>
              <w:rPr>
                <w:rFonts w:hint="eastAsia" w:ascii="宋体" w:hAnsi="宋体"/>
                <w:color w:val="auto"/>
                <w:highlight w:val="none"/>
              </w:rPr>
              <w:t>（4）未提供、无针对性或基本不满足得0分。</w:t>
            </w:r>
          </w:p>
        </w:tc>
      </w:tr>
      <w:tr w14:paraId="3CBB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7" w:hRule="atLeast"/>
          <w:jc w:val="center"/>
        </w:trPr>
        <w:tc>
          <w:tcPr>
            <w:tcW w:w="960" w:type="dxa"/>
            <w:gridSpan w:val="2"/>
            <w:vMerge w:val="continue"/>
            <w:tcBorders>
              <w:top w:val="nil"/>
              <w:left w:val="single" w:color="auto" w:sz="4" w:space="0"/>
              <w:bottom w:val="single" w:color="auto" w:sz="4" w:space="0"/>
              <w:right w:val="single" w:color="auto" w:sz="4" w:space="0"/>
            </w:tcBorders>
            <w:vAlign w:val="center"/>
          </w:tcPr>
          <w:p w14:paraId="3039FC3D">
            <w:pPr>
              <w:widowControl/>
              <w:jc w:val="left"/>
              <w:rPr>
                <w:rFonts w:ascii="宋体" w:hAnsi="宋体"/>
                <w:color w:val="auto"/>
                <w:sz w:val="24"/>
                <w:highlight w:val="none"/>
              </w:rPr>
            </w:pPr>
          </w:p>
        </w:tc>
        <w:tc>
          <w:tcPr>
            <w:tcW w:w="960" w:type="dxa"/>
            <w:vMerge w:val="continue"/>
            <w:tcBorders>
              <w:top w:val="nil"/>
              <w:left w:val="single" w:color="auto" w:sz="4" w:space="0"/>
              <w:bottom w:val="single" w:color="auto" w:sz="4" w:space="0"/>
              <w:right w:val="single" w:color="auto" w:sz="4" w:space="0"/>
            </w:tcBorders>
            <w:vAlign w:val="center"/>
          </w:tcPr>
          <w:p w14:paraId="35245E93">
            <w:pPr>
              <w:widowControl/>
              <w:jc w:val="left"/>
              <w:rPr>
                <w:rFonts w:ascii="宋体" w:hAnsi="宋体"/>
                <w:color w:val="auto"/>
                <w:sz w:val="24"/>
                <w:highlight w:val="none"/>
              </w:rPr>
            </w:pPr>
          </w:p>
        </w:tc>
        <w:tc>
          <w:tcPr>
            <w:tcW w:w="1269" w:type="dxa"/>
            <w:gridSpan w:val="2"/>
            <w:vMerge w:val="continue"/>
            <w:tcBorders>
              <w:top w:val="nil"/>
              <w:left w:val="single" w:color="auto" w:sz="4" w:space="0"/>
              <w:bottom w:val="single" w:color="auto" w:sz="4" w:space="0"/>
              <w:right w:val="single" w:color="auto" w:sz="4" w:space="0"/>
            </w:tcBorders>
            <w:vAlign w:val="center"/>
          </w:tcPr>
          <w:p w14:paraId="7C1F5D31">
            <w:pPr>
              <w:widowControl/>
              <w:jc w:val="left"/>
              <w:rPr>
                <w:rFonts w:ascii="宋体" w:hAnsi="宋体"/>
                <w:color w:val="auto"/>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00624A0A">
            <w:pPr>
              <w:rPr>
                <w:rFonts w:ascii="宋体" w:hAnsi="宋体"/>
                <w:color w:val="auto"/>
                <w:sz w:val="24"/>
                <w:highlight w:val="none"/>
              </w:rPr>
            </w:pPr>
            <w:r>
              <w:rPr>
                <w:rFonts w:hint="eastAsia" w:ascii="宋体" w:hAnsi="宋体" w:cs="宋体"/>
                <w:color w:val="auto"/>
                <w:kern w:val="0"/>
                <w:highlight w:val="none"/>
              </w:rPr>
              <w:t>工程进度计划与措施</w:t>
            </w:r>
            <w:r>
              <w:rPr>
                <w:rFonts w:hint="eastAsia" w:ascii="宋体" w:hAnsi="宋体"/>
                <w:color w:val="auto"/>
                <w:highlight w:val="none"/>
              </w:rPr>
              <w:t>（2分）</w:t>
            </w:r>
          </w:p>
        </w:tc>
        <w:tc>
          <w:tcPr>
            <w:tcW w:w="4680" w:type="dxa"/>
            <w:tcBorders>
              <w:top w:val="single" w:color="auto" w:sz="4" w:space="0"/>
              <w:left w:val="single" w:color="auto" w:sz="4" w:space="0"/>
              <w:bottom w:val="single" w:color="auto" w:sz="4" w:space="0"/>
              <w:right w:val="single" w:color="auto" w:sz="4" w:space="0"/>
            </w:tcBorders>
            <w:vAlign w:val="center"/>
          </w:tcPr>
          <w:p w14:paraId="07D28D36">
            <w:pPr>
              <w:ind w:firstLine="420" w:firstLineChars="200"/>
              <w:rPr>
                <w:rFonts w:ascii="宋体" w:hAnsi="宋体"/>
                <w:color w:val="auto"/>
                <w:sz w:val="24"/>
                <w:highlight w:val="none"/>
              </w:rPr>
            </w:pPr>
            <w:r>
              <w:rPr>
                <w:rFonts w:hint="eastAsia" w:ascii="宋体" w:hAnsi="宋体" w:cs="宋体"/>
                <w:color w:val="auto"/>
                <w:kern w:val="0"/>
                <w:szCs w:val="21"/>
                <w:highlight w:val="none"/>
                <w:lang w:bidi="ar"/>
              </w:rPr>
              <w:t>以</w:t>
            </w:r>
            <w:r>
              <w:rPr>
                <w:rFonts w:hint="eastAsia" w:ascii="宋体" w:hAnsi="宋体" w:eastAsia="宋体" w:cs="宋体"/>
                <w:color w:val="auto"/>
                <w:kern w:val="0"/>
                <w:sz w:val="21"/>
                <w:szCs w:val="21"/>
                <w:highlight w:val="none"/>
                <w:lang w:val="en-US" w:eastAsia="zh-CN" w:bidi="ar"/>
              </w:rPr>
              <w:t>网络图</w:t>
            </w:r>
            <w:r>
              <w:rPr>
                <w:rFonts w:hint="eastAsia" w:ascii="宋体" w:hAnsi="宋体" w:cs="宋体"/>
                <w:color w:val="auto"/>
                <w:kern w:val="0"/>
                <w:sz w:val="21"/>
                <w:szCs w:val="21"/>
                <w:highlight w:val="none"/>
                <w:lang w:val="en-US" w:eastAsia="zh-CN" w:bidi="ar"/>
              </w:rPr>
              <w:t>、横道图</w:t>
            </w:r>
            <w:r>
              <w:rPr>
                <w:rFonts w:hint="eastAsia" w:ascii="宋体" w:hAnsi="宋体" w:cs="宋体"/>
                <w:color w:val="auto"/>
                <w:kern w:val="0"/>
                <w:szCs w:val="21"/>
                <w:highlight w:val="none"/>
                <w:lang w:bidi="ar"/>
              </w:rPr>
              <w:t>的方式表示进度计划，有明确的计划开、</w:t>
            </w:r>
            <w:r>
              <w:rPr>
                <w:rFonts w:hint="eastAsia" w:ascii="宋体" w:hAnsi="宋体" w:cs="宋体"/>
                <w:color w:val="auto"/>
                <w:kern w:val="0"/>
                <w:szCs w:val="21"/>
                <w:highlight w:val="none"/>
                <w:lang w:val="en-US" w:eastAsia="zh-CN" w:bidi="ar"/>
              </w:rPr>
              <w:t>竣工</w:t>
            </w:r>
            <w:r>
              <w:rPr>
                <w:rFonts w:hint="eastAsia" w:ascii="宋体" w:hAnsi="宋体" w:cs="宋体"/>
                <w:color w:val="auto"/>
                <w:kern w:val="0"/>
                <w:szCs w:val="21"/>
                <w:highlight w:val="none"/>
                <w:lang w:bidi="ar"/>
              </w:rPr>
              <w:t>日期，总进度计划是否满足本工程要求，各关键线路及节点须清晰、准确、完整、可操作性强、工期保证措施可靠、控制措施得力进行综合评审</w:t>
            </w:r>
            <w:r>
              <w:rPr>
                <w:rFonts w:hint="eastAsia" w:ascii="宋体" w:hAnsi="宋体"/>
                <w:color w:val="auto"/>
                <w:highlight w:val="none"/>
              </w:rPr>
              <w:t>，</w:t>
            </w:r>
            <w:r>
              <w:rPr>
                <w:rFonts w:hint="eastAsia" w:ascii="宋体" w:hAnsi="宋体"/>
                <w:color w:val="auto"/>
                <w:highlight w:val="none"/>
                <w:lang w:val="en-US" w:eastAsia="zh-CN"/>
              </w:rPr>
              <w:t>评审</w:t>
            </w:r>
            <w:r>
              <w:rPr>
                <w:rFonts w:hint="eastAsia" w:ascii="宋体" w:hAnsi="宋体"/>
                <w:color w:val="auto"/>
                <w:highlight w:val="none"/>
              </w:rPr>
              <w:t>标准如下：</w:t>
            </w:r>
          </w:p>
          <w:p w14:paraId="60E3A170">
            <w:pPr>
              <w:rPr>
                <w:rFonts w:hint="eastAsia" w:ascii="宋体" w:hAnsi="宋体"/>
                <w:color w:val="auto"/>
                <w:highlight w:val="none"/>
              </w:rPr>
            </w:pPr>
            <w:r>
              <w:rPr>
                <w:rFonts w:hint="eastAsia" w:ascii="宋体" w:hAnsi="宋体"/>
                <w:color w:val="auto"/>
                <w:highlight w:val="none"/>
              </w:rPr>
              <w:t>（1）内容完整详细、科学、合理，适用性、针对性程度高，完全满足招标人实际需求得2分；</w:t>
            </w:r>
          </w:p>
          <w:p w14:paraId="4B1144FF">
            <w:pPr>
              <w:rPr>
                <w:rFonts w:hint="eastAsia" w:ascii="宋体" w:hAnsi="宋体"/>
                <w:color w:val="auto"/>
                <w:highlight w:val="none"/>
              </w:rPr>
            </w:pPr>
            <w:r>
              <w:rPr>
                <w:rFonts w:hint="eastAsia" w:ascii="宋体" w:hAnsi="宋体"/>
                <w:color w:val="auto"/>
                <w:highlight w:val="none"/>
              </w:rPr>
              <w:t>（2）内容完整详细、合理，适用性、针对性程度较高，满足招标人实际需求得分1分；</w:t>
            </w:r>
          </w:p>
          <w:p w14:paraId="1D34C68D">
            <w:pPr>
              <w:rPr>
                <w:rFonts w:hint="eastAsia" w:ascii="宋体" w:hAnsi="宋体"/>
                <w:color w:val="auto"/>
                <w:highlight w:val="none"/>
              </w:rPr>
            </w:pPr>
            <w:r>
              <w:rPr>
                <w:rFonts w:hint="eastAsia" w:ascii="宋体" w:hAnsi="宋体"/>
                <w:color w:val="auto"/>
                <w:highlight w:val="none"/>
              </w:rPr>
              <w:t>（3）内容较完整、科学，适用性、针对性程度一般，并基本满足招标人需求得0.5分；</w:t>
            </w:r>
          </w:p>
          <w:p w14:paraId="566DB2C2">
            <w:pPr>
              <w:rPr>
                <w:rFonts w:hint="eastAsia" w:ascii="宋体" w:hAnsi="宋体"/>
                <w:color w:val="auto"/>
                <w:highlight w:val="none"/>
              </w:rPr>
            </w:pPr>
            <w:r>
              <w:rPr>
                <w:rFonts w:hint="eastAsia" w:ascii="宋体" w:hAnsi="宋体"/>
                <w:color w:val="auto"/>
                <w:highlight w:val="none"/>
              </w:rPr>
              <w:t>（4）未提供、无针对性或基本不满足得0分。</w:t>
            </w:r>
          </w:p>
          <w:p w14:paraId="19CAF557">
            <w:pPr>
              <w:rPr>
                <w:rFonts w:ascii="宋体" w:hAnsi="宋体"/>
                <w:color w:val="auto"/>
                <w:sz w:val="24"/>
                <w:highlight w:val="none"/>
              </w:rPr>
            </w:pPr>
          </w:p>
        </w:tc>
      </w:tr>
      <w:tr w14:paraId="0F2B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7" w:hRule="atLeast"/>
          <w:jc w:val="center"/>
        </w:trPr>
        <w:tc>
          <w:tcPr>
            <w:tcW w:w="960" w:type="dxa"/>
            <w:gridSpan w:val="2"/>
            <w:vMerge w:val="continue"/>
            <w:tcBorders>
              <w:top w:val="nil"/>
              <w:left w:val="single" w:color="auto" w:sz="4" w:space="0"/>
              <w:bottom w:val="single" w:color="auto" w:sz="4" w:space="0"/>
              <w:right w:val="single" w:color="auto" w:sz="4" w:space="0"/>
            </w:tcBorders>
            <w:vAlign w:val="center"/>
          </w:tcPr>
          <w:p w14:paraId="410E0092">
            <w:pPr>
              <w:widowControl/>
              <w:jc w:val="left"/>
              <w:rPr>
                <w:rFonts w:ascii="宋体" w:hAnsi="宋体"/>
                <w:color w:val="auto"/>
                <w:sz w:val="24"/>
                <w:highlight w:val="none"/>
              </w:rPr>
            </w:pPr>
          </w:p>
        </w:tc>
        <w:tc>
          <w:tcPr>
            <w:tcW w:w="960" w:type="dxa"/>
            <w:vMerge w:val="continue"/>
            <w:tcBorders>
              <w:top w:val="nil"/>
              <w:left w:val="single" w:color="auto" w:sz="4" w:space="0"/>
              <w:bottom w:val="single" w:color="auto" w:sz="4" w:space="0"/>
              <w:right w:val="single" w:color="auto" w:sz="4" w:space="0"/>
            </w:tcBorders>
            <w:vAlign w:val="center"/>
          </w:tcPr>
          <w:p w14:paraId="19D74D9E">
            <w:pPr>
              <w:widowControl/>
              <w:jc w:val="left"/>
              <w:rPr>
                <w:rFonts w:ascii="宋体" w:hAnsi="宋体"/>
                <w:color w:val="auto"/>
                <w:sz w:val="24"/>
                <w:highlight w:val="none"/>
              </w:rPr>
            </w:pPr>
          </w:p>
        </w:tc>
        <w:tc>
          <w:tcPr>
            <w:tcW w:w="1269" w:type="dxa"/>
            <w:gridSpan w:val="2"/>
            <w:vMerge w:val="continue"/>
            <w:tcBorders>
              <w:top w:val="nil"/>
              <w:left w:val="single" w:color="auto" w:sz="4" w:space="0"/>
              <w:bottom w:val="single" w:color="auto" w:sz="4" w:space="0"/>
              <w:right w:val="single" w:color="auto" w:sz="4" w:space="0"/>
            </w:tcBorders>
            <w:vAlign w:val="center"/>
          </w:tcPr>
          <w:p w14:paraId="35AC9593">
            <w:pPr>
              <w:widowControl/>
              <w:jc w:val="left"/>
              <w:rPr>
                <w:rFonts w:ascii="宋体" w:hAnsi="宋体"/>
                <w:color w:val="auto"/>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63803A21">
            <w:pPr>
              <w:rPr>
                <w:rFonts w:ascii="宋体" w:hAnsi="宋体"/>
                <w:color w:val="auto"/>
                <w:sz w:val="24"/>
                <w:highlight w:val="none"/>
              </w:rPr>
            </w:pPr>
            <w:r>
              <w:rPr>
                <w:rFonts w:hint="eastAsia" w:ascii="宋体" w:hAnsi="宋体" w:cs="宋体"/>
                <w:color w:val="auto"/>
                <w:kern w:val="0"/>
                <w:highlight w:val="none"/>
              </w:rPr>
              <w:t>资源配备计划</w:t>
            </w:r>
            <w:r>
              <w:rPr>
                <w:rFonts w:hint="eastAsia" w:ascii="宋体" w:hAnsi="宋体"/>
                <w:color w:val="auto"/>
                <w:highlight w:val="none"/>
              </w:rPr>
              <w:t>（3分）</w:t>
            </w:r>
          </w:p>
        </w:tc>
        <w:tc>
          <w:tcPr>
            <w:tcW w:w="4680" w:type="dxa"/>
            <w:tcBorders>
              <w:top w:val="single" w:color="auto" w:sz="4" w:space="0"/>
              <w:left w:val="single" w:color="auto" w:sz="4" w:space="0"/>
              <w:bottom w:val="single" w:color="auto" w:sz="4" w:space="0"/>
              <w:right w:val="single" w:color="auto" w:sz="4" w:space="0"/>
            </w:tcBorders>
            <w:vAlign w:val="center"/>
          </w:tcPr>
          <w:p w14:paraId="7F899986">
            <w:pPr>
              <w:rPr>
                <w:rFonts w:hint="eastAsia" w:ascii="宋体" w:hAnsi="宋体"/>
                <w:color w:val="auto"/>
                <w:highlight w:val="none"/>
              </w:rPr>
            </w:pPr>
            <w:r>
              <w:rPr>
                <w:rFonts w:hint="eastAsia"/>
                <w:color w:val="auto"/>
                <w:highlight w:val="none"/>
              </w:rPr>
              <w:t>技术方案中拟投入本工程施工的机具和设备、劳动力计划（以图表形式明确），材料和资金保证措施等是否满足施工需要；投入本工程施工的机具、设备和货物</w:t>
            </w:r>
            <w:r>
              <w:rPr>
                <w:rFonts w:hint="eastAsia" w:ascii="宋体" w:hAnsi="宋体" w:cs="宋体"/>
                <w:color w:val="auto"/>
                <w:kern w:val="0"/>
                <w:szCs w:val="21"/>
                <w:highlight w:val="none"/>
              </w:rPr>
              <w:t>包括但不</w:t>
            </w:r>
            <w:r>
              <w:rPr>
                <w:rFonts w:hint="eastAsia" w:ascii="Times New Roman" w:hAnsi="Times New Roman" w:eastAsia="宋体" w:cs="Times New Roman"/>
                <w:color w:val="auto"/>
                <w:highlight w:val="none"/>
              </w:rPr>
              <w:t>限于挖掘机</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打桩机</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搅拌机</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塔吊</w:t>
            </w:r>
            <w:r>
              <w:rPr>
                <w:rFonts w:hint="eastAsia" w:ascii="Times New Roman" w:hAnsi="Times New Roman" w:eastAsia="宋体" w:cs="Times New Roman"/>
                <w:color w:val="auto"/>
                <w:highlight w:val="none"/>
                <w:lang w:val="en-US" w:eastAsia="zh-CN"/>
              </w:rPr>
              <w:t>等</w:t>
            </w:r>
            <w:r>
              <w:rPr>
                <w:rFonts w:hint="eastAsia" w:ascii="Times New Roman" w:hAnsi="Times New Roman" w:eastAsia="宋体" w:cs="Times New Roman"/>
                <w:color w:val="auto"/>
                <w:highlight w:val="none"/>
              </w:rPr>
              <w:t>，在</w:t>
            </w:r>
            <w:r>
              <w:rPr>
                <w:rFonts w:hint="eastAsia"/>
                <w:color w:val="auto"/>
                <w:highlight w:val="none"/>
              </w:rPr>
              <w:t>类型、型号、数量、年限方面能否满足施工需要，</w:t>
            </w:r>
            <w:r>
              <w:rPr>
                <w:rFonts w:hint="eastAsia" w:ascii="宋体" w:hAnsi="宋体" w:eastAsia="宋体" w:cs="宋体"/>
                <w:color w:val="auto"/>
                <w:kern w:val="0"/>
                <w:sz w:val="21"/>
                <w:szCs w:val="21"/>
                <w:highlight w:val="none"/>
                <w:lang w:val="en-US" w:eastAsia="zh-CN" w:bidi="ar"/>
              </w:rPr>
              <w:t>明确自有或租赁的支</w:t>
            </w:r>
            <w:r>
              <w:rPr>
                <w:rFonts w:hint="eastAsia" w:ascii="宋体" w:hAnsi="宋体" w:cs="宋体"/>
                <w:color w:val="auto"/>
                <w:kern w:val="0"/>
                <w:szCs w:val="21"/>
                <w:highlight w:val="none"/>
              </w:rPr>
              <w:t>撑资料</w:t>
            </w:r>
            <w:r>
              <w:rPr>
                <w:rFonts w:hint="eastAsia" w:ascii="宋体" w:hAnsi="宋体" w:cs="宋体"/>
                <w:color w:val="auto"/>
                <w:kern w:val="0"/>
                <w:szCs w:val="21"/>
                <w:highlight w:val="none"/>
                <w:lang w:val="en-US" w:eastAsia="zh-CN"/>
              </w:rPr>
              <w:t>提供合同和发票</w:t>
            </w:r>
            <w:r>
              <w:rPr>
                <w:rFonts w:hint="eastAsia"/>
                <w:color w:val="auto"/>
                <w:highlight w:val="none"/>
              </w:rPr>
              <w:t>，并提供</w:t>
            </w:r>
            <w:r>
              <w:rPr>
                <w:rFonts w:hint="eastAsia" w:ascii="宋体" w:hAnsi="宋体" w:eastAsia="宋体" w:cs="宋体"/>
                <w:color w:val="auto"/>
                <w:kern w:val="0"/>
                <w:szCs w:val="21"/>
                <w:highlight w:val="none"/>
              </w:rPr>
              <w:t>相对应的</w:t>
            </w:r>
            <w:r>
              <w:rPr>
                <w:rFonts w:hint="eastAsia"/>
                <w:color w:val="auto"/>
                <w:highlight w:val="none"/>
              </w:rPr>
              <w:t>实物照片进行综合评审</w:t>
            </w:r>
            <w:r>
              <w:rPr>
                <w:rFonts w:hint="eastAsia" w:ascii="宋体" w:hAnsi="宋体"/>
                <w:color w:val="auto"/>
                <w:highlight w:val="none"/>
              </w:rPr>
              <w:t>，</w:t>
            </w:r>
            <w:r>
              <w:rPr>
                <w:rFonts w:hint="eastAsia" w:ascii="宋体" w:hAnsi="宋体"/>
                <w:color w:val="auto"/>
                <w:highlight w:val="none"/>
                <w:lang w:val="en-US" w:eastAsia="zh-CN"/>
              </w:rPr>
              <w:t>评审</w:t>
            </w:r>
            <w:r>
              <w:rPr>
                <w:rFonts w:hint="eastAsia" w:ascii="宋体" w:hAnsi="宋体"/>
                <w:color w:val="auto"/>
                <w:highlight w:val="none"/>
              </w:rPr>
              <w:t>标准如下：</w:t>
            </w:r>
          </w:p>
          <w:p w14:paraId="11A1B86D">
            <w:pPr>
              <w:rPr>
                <w:rFonts w:hint="eastAsia" w:ascii="宋体" w:hAnsi="宋体"/>
                <w:color w:val="auto"/>
                <w:highlight w:val="none"/>
              </w:rPr>
            </w:pPr>
            <w:r>
              <w:rPr>
                <w:rFonts w:hint="eastAsia" w:ascii="宋体" w:hAnsi="宋体"/>
                <w:color w:val="auto"/>
                <w:highlight w:val="none"/>
              </w:rPr>
              <w:t>（1）内容完整详细、科学、合理，适用性、针对性程度高，完全满足招标人实际需求得3分；</w:t>
            </w:r>
          </w:p>
          <w:p w14:paraId="5E71D7A7">
            <w:pPr>
              <w:rPr>
                <w:rFonts w:hint="eastAsia" w:ascii="宋体" w:hAnsi="宋体"/>
                <w:color w:val="auto"/>
                <w:highlight w:val="none"/>
              </w:rPr>
            </w:pPr>
            <w:r>
              <w:rPr>
                <w:rFonts w:hint="eastAsia" w:ascii="宋体" w:hAnsi="宋体"/>
                <w:color w:val="auto"/>
                <w:highlight w:val="none"/>
              </w:rPr>
              <w:t>（2）内容完整详细、合理，适用性、针对性程度较高，满足招标人实际需求得分2分；</w:t>
            </w:r>
          </w:p>
          <w:p w14:paraId="0674F37B">
            <w:pPr>
              <w:rPr>
                <w:rFonts w:hint="eastAsia" w:ascii="宋体" w:hAnsi="宋体"/>
                <w:color w:val="auto"/>
                <w:highlight w:val="none"/>
              </w:rPr>
            </w:pPr>
            <w:r>
              <w:rPr>
                <w:rFonts w:hint="eastAsia" w:ascii="宋体" w:hAnsi="宋体"/>
                <w:color w:val="auto"/>
                <w:highlight w:val="none"/>
              </w:rPr>
              <w:t>（3）内容较完整、科学，适用性、针对性程度一般，并基本满足招标人需求得1分；</w:t>
            </w:r>
          </w:p>
          <w:p w14:paraId="048A981D">
            <w:pPr>
              <w:rPr>
                <w:rFonts w:ascii="宋体" w:hAnsi="宋体"/>
                <w:color w:val="auto"/>
                <w:sz w:val="24"/>
                <w:highlight w:val="none"/>
              </w:rPr>
            </w:pPr>
            <w:r>
              <w:rPr>
                <w:rFonts w:hint="eastAsia" w:ascii="宋体" w:hAnsi="宋体"/>
                <w:color w:val="auto"/>
                <w:highlight w:val="none"/>
              </w:rPr>
              <w:t>（4）未提供、无针对性或基本不满足得0分。</w:t>
            </w:r>
          </w:p>
        </w:tc>
      </w:tr>
      <w:tr w14:paraId="1DA7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5" w:hRule="atLeast"/>
          <w:jc w:val="center"/>
        </w:trPr>
        <w:tc>
          <w:tcPr>
            <w:tcW w:w="960" w:type="dxa"/>
            <w:gridSpan w:val="2"/>
            <w:vMerge w:val="continue"/>
            <w:tcBorders>
              <w:top w:val="nil"/>
              <w:left w:val="single" w:color="auto" w:sz="4" w:space="0"/>
              <w:bottom w:val="single" w:color="auto" w:sz="4" w:space="0"/>
              <w:right w:val="single" w:color="auto" w:sz="4" w:space="0"/>
            </w:tcBorders>
            <w:vAlign w:val="center"/>
          </w:tcPr>
          <w:p w14:paraId="5AD64521">
            <w:pPr>
              <w:widowControl/>
              <w:jc w:val="left"/>
              <w:rPr>
                <w:rFonts w:ascii="宋体" w:hAnsi="宋体"/>
                <w:color w:val="auto"/>
                <w:sz w:val="24"/>
                <w:highlight w:val="none"/>
              </w:rPr>
            </w:pPr>
          </w:p>
        </w:tc>
        <w:tc>
          <w:tcPr>
            <w:tcW w:w="960" w:type="dxa"/>
            <w:vMerge w:val="continue"/>
            <w:tcBorders>
              <w:top w:val="nil"/>
              <w:left w:val="single" w:color="auto" w:sz="4" w:space="0"/>
              <w:bottom w:val="single" w:color="auto" w:sz="4" w:space="0"/>
              <w:right w:val="single" w:color="auto" w:sz="4" w:space="0"/>
            </w:tcBorders>
            <w:vAlign w:val="center"/>
          </w:tcPr>
          <w:p w14:paraId="7310051D">
            <w:pPr>
              <w:widowControl/>
              <w:jc w:val="left"/>
              <w:rPr>
                <w:rFonts w:ascii="宋体" w:hAnsi="宋体"/>
                <w:color w:val="auto"/>
                <w:sz w:val="24"/>
                <w:highlight w:val="none"/>
              </w:rPr>
            </w:pPr>
          </w:p>
        </w:tc>
        <w:tc>
          <w:tcPr>
            <w:tcW w:w="1269" w:type="dxa"/>
            <w:gridSpan w:val="2"/>
            <w:vMerge w:val="continue"/>
            <w:tcBorders>
              <w:top w:val="nil"/>
              <w:left w:val="single" w:color="auto" w:sz="4" w:space="0"/>
              <w:bottom w:val="single" w:color="auto" w:sz="4" w:space="0"/>
              <w:right w:val="single" w:color="auto" w:sz="4" w:space="0"/>
            </w:tcBorders>
            <w:vAlign w:val="center"/>
          </w:tcPr>
          <w:p w14:paraId="210ACCC6">
            <w:pPr>
              <w:widowControl/>
              <w:jc w:val="left"/>
              <w:rPr>
                <w:rFonts w:ascii="宋体" w:hAnsi="宋体"/>
                <w:color w:val="auto"/>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6C4B048A">
            <w:pPr>
              <w:rPr>
                <w:rFonts w:ascii="宋体" w:hAnsi="宋体"/>
                <w:color w:val="auto"/>
                <w:sz w:val="24"/>
                <w:highlight w:val="none"/>
              </w:rPr>
            </w:pPr>
            <w:r>
              <w:rPr>
                <w:rFonts w:hint="eastAsia" w:ascii="宋体" w:hAnsi="宋体" w:cs="宋体"/>
                <w:color w:val="auto"/>
                <w:kern w:val="0"/>
                <w:highlight w:val="none"/>
              </w:rPr>
              <w:t>施工现场环境</w:t>
            </w:r>
            <w:r>
              <w:rPr>
                <w:rFonts w:hint="eastAsia" w:ascii="宋体" w:hAnsi="宋体"/>
                <w:color w:val="auto"/>
                <w:highlight w:val="none"/>
              </w:rPr>
              <w:t xml:space="preserve"> </w:t>
            </w:r>
          </w:p>
          <w:p w14:paraId="5CBC35F9">
            <w:pPr>
              <w:rPr>
                <w:rFonts w:ascii="宋体" w:hAnsi="宋体"/>
                <w:color w:val="auto"/>
                <w:sz w:val="24"/>
                <w:highlight w:val="none"/>
              </w:rPr>
            </w:pPr>
            <w:r>
              <w:rPr>
                <w:rFonts w:hint="eastAsia" w:ascii="宋体" w:hAnsi="宋体"/>
                <w:color w:val="auto"/>
                <w:highlight w:val="none"/>
              </w:rPr>
              <w:t>（2分）</w:t>
            </w:r>
          </w:p>
        </w:tc>
        <w:tc>
          <w:tcPr>
            <w:tcW w:w="4680" w:type="dxa"/>
            <w:tcBorders>
              <w:top w:val="single" w:color="auto" w:sz="4" w:space="0"/>
              <w:left w:val="single" w:color="auto" w:sz="4" w:space="0"/>
              <w:bottom w:val="single" w:color="auto" w:sz="4" w:space="0"/>
              <w:right w:val="single" w:color="auto" w:sz="4" w:space="0"/>
            </w:tcBorders>
            <w:vAlign w:val="center"/>
          </w:tcPr>
          <w:p w14:paraId="1DF285DA">
            <w:pPr>
              <w:rPr>
                <w:rFonts w:hint="eastAsia" w:ascii="宋体" w:hAnsi="宋体"/>
                <w:color w:val="auto"/>
                <w:highlight w:val="none"/>
              </w:rPr>
            </w:pPr>
            <w:r>
              <w:rPr>
                <w:rFonts w:hint="eastAsia"/>
                <w:color w:val="auto"/>
                <w:highlight w:val="none"/>
              </w:rPr>
              <w:t>针对项目使用功能和位置，提供现场踏勘相关信息，对施工现场环境和材料堆放场地、交通情况等有充分的了解，识别评价环境影响因素，制定相应安全预防控制措施，切合实际。根据项目特征明确至少</w:t>
            </w:r>
            <w:r>
              <w:rPr>
                <w:rFonts w:hint="eastAsia" w:ascii="宋体" w:hAnsi="宋体" w:cs="宋体"/>
                <w:color w:val="auto"/>
                <w:kern w:val="0"/>
                <w:highlight w:val="none"/>
              </w:rPr>
              <w:t>3</w:t>
            </w:r>
            <w:r>
              <w:rPr>
                <w:rFonts w:hint="eastAsia"/>
                <w:color w:val="auto"/>
                <w:highlight w:val="none"/>
              </w:rPr>
              <w:t>处材料堆放位置，提供现场照片，结合照片提出合理说明</w:t>
            </w:r>
            <w:r>
              <w:rPr>
                <w:rFonts w:hint="eastAsia" w:ascii="宋体" w:hAnsi="宋体" w:eastAsia="宋体" w:cs="宋体"/>
                <w:color w:val="auto"/>
                <w:kern w:val="0"/>
                <w:szCs w:val="21"/>
                <w:highlight w:val="none"/>
              </w:rPr>
              <w:t>（照片应与实际现场相符）</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说明中须包含如何保证材料安全及</w:t>
            </w:r>
            <w:r>
              <w:rPr>
                <w:rFonts w:hint="eastAsia" w:ascii="宋体" w:hAnsi="宋体" w:eastAsia="宋体" w:cs="宋体"/>
                <w:color w:val="auto"/>
                <w:kern w:val="0"/>
                <w:sz w:val="21"/>
                <w:szCs w:val="21"/>
                <w:highlight w:val="none"/>
                <w:lang w:val="en-US" w:eastAsia="zh-CN" w:bidi="ar"/>
              </w:rPr>
              <w:t>交通安全</w:t>
            </w:r>
            <w:r>
              <w:rPr>
                <w:rFonts w:hint="eastAsia"/>
                <w:color w:val="auto"/>
                <w:highlight w:val="none"/>
              </w:rPr>
              <w:t>。</w:t>
            </w:r>
            <w:r>
              <w:rPr>
                <w:rFonts w:hint="eastAsia" w:ascii="宋体" w:hAnsi="宋体"/>
                <w:color w:val="auto"/>
                <w:highlight w:val="none"/>
              </w:rPr>
              <w:t xml:space="preserve"> </w:t>
            </w:r>
            <w:r>
              <w:rPr>
                <w:rFonts w:hint="eastAsia" w:ascii="宋体" w:hAnsi="宋体"/>
                <w:color w:val="auto"/>
                <w:highlight w:val="none"/>
                <w:lang w:val="en-US" w:eastAsia="zh-CN"/>
              </w:rPr>
              <w:t>评审</w:t>
            </w:r>
            <w:r>
              <w:rPr>
                <w:rFonts w:hint="eastAsia" w:ascii="宋体" w:hAnsi="宋体"/>
                <w:color w:val="auto"/>
                <w:highlight w:val="none"/>
              </w:rPr>
              <w:t>标准如下：</w:t>
            </w:r>
          </w:p>
          <w:p w14:paraId="0435E99E">
            <w:pPr>
              <w:rPr>
                <w:rFonts w:hint="eastAsia" w:ascii="宋体" w:hAnsi="宋体"/>
                <w:color w:val="auto"/>
                <w:highlight w:val="none"/>
              </w:rPr>
            </w:pPr>
            <w:r>
              <w:rPr>
                <w:rFonts w:hint="eastAsia" w:ascii="宋体" w:hAnsi="宋体"/>
                <w:color w:val="auto"/>
                <w:highlight w:val="none"/>
              </w:rPr>
              <w:t>（1）内容完整详细、科学、合理，适用性、针对性程度高，完全满足招标人实际需求得2分；</w:t>
            </w:r>
          </w:p>
          <w:p w14:paraId="7BD5C586">
            <w:pPr>
              <w:rPr>
                <w:rFonts w:hint="eastAsia" w:ascii="宋体" w:hAnsi="宋体"/>
                <w:color w:val="auto"/>
                <w:highlight w:val="none"/>
              </w:rPr>
            </w:pPr>
            <w:r>
              <w:rPr>
                <w:rFonts w:hint="eastAsia" w:ascii="宋体" w:hAnsi="宋体"/>
                <w:color w:val="auto"/>
                <w:highlight w:val="none"/>
              </w:rPr>
              <w:t>（2）内容完整详细、合理，适用性、针对性程度较高，满足招标人实际需求得分1分；</w:t>
            </w:r>
          </w:p>
          <w:p w14:paraId="3976080A">
            <w:pPr>
              <w:rPr>
                <w:rFonts w:hint="eastAsia" w:ascii="宋体" w:hAnsi="宋体"/>
                <w:color w:val="auto"/>
                <w:highlight w:val="none"/>
              </w:rPr>
            </w:pPr>
            <w:r>
              <w:rPr>
                <w:rFonts w:hint="eastAsia" w:ascii="宋体" w:hAnsi="宋体"/>
                <w:color w:val="auto"/>
                <w:highlight w:val="none"/>
              </w:rPr>
              <w:t>（3）内容较完整、科学，适用性、针对性程度一般，并基本满足招标人需求得0.5分；</w:t>
            </w:r>
          </w:p>
          <w:p w14:paraId="2F006458">
            <w:pPr>
              <w:rPr>
                <w:rFonts w:ascii="宋体" w:hAnsi="宋体"/>
                <w:color w:val="auto"/>
                <w:sz w:val="24"/>
                <w:highlight w:val="none"/>
              </w:rPr>
            </w:pPr>
            <w:r>
              <w:rPr>
                <w:rFonts w:hint="eastAsia" w:ascii="宋体" w:hAnsi="宋体"/>
                <w:color w:val="auto"/>
                <w:highlight w:val="none"/>
              </w:rPr>
              <w:t xml:space="preserve">（4）未提供、无针对性或基本不满足得0分。 </w:t>
            </w:r>
          </w:p>
        </w:tc>
      </w:tr>
      <w:tr w14:paraId="31F6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6"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68DCA473">
            <w:pPr>
              <w:jc w:val="center"/>
              <w:rPr>
                <w:rFonts w:ascii="宋体" w:hAnsi="宋体"/>
                <w:color w:val="auto"/>
                <w:sz w:val="24"/>
                <w:highlight w:val="none"/>
              </w:rPr>
            </w:pPr>
            <w:r>
              <w:rPr>
                <w:rFonts w:hint="eastAsia" w:ascii="宋体" w:hAnsi="宋体"/>
                <w:color w:val="auto"/>
                <w:highlight w:val="none"/>
              </w:rPr>
              <w:t>2.1.3</w:t>
            </w:r>
          </w:p>
        </w:tc>
        <w:tc>
          <w:tcPr>
            <w:tcW w:w="2344" w:type="dxa"/>
            <w:gridSpan w:val="4"/>
            <w:tcBorders>
              <w:top w:val="single" w:color="auto" w:sz="4" w:space="0"/>
              <w:left w:val="single" w:color="auto" w:sz="4" w:space="0"/>
              <w:bottom w:val="single" w:color="auto" w:sz="4" w:space="0"/>
              <w:right w:val="single" w:color="auto" w:sz="4" w:space="0"/>
            </w:tcBorders>
            <w:vAlign w:val="center"/>
          </w:tcPr>
          <w:p w14:paraId="7A72A880">
            <w:pPr>
              <w:rPr>
                <w:rFonts w:ascii="宋体" w:hAnsi="宋体"/>
                <w:color w:val="auto"/>
                <w:sz w:val="24"/>
                <w:highlight w:val="none"/>
              </w:rPr>
            </w:pPr>
            <w:r>
              <w:rPr>
                <w:rFonts w:hint="eastAsia" w:ascii="宋体" w:hAnsi="宋体"/>
                <w:color w:val="auto"/>
                <w:highlight w:val="none"/>
              </w:rPr>
              <w:t>评标基准价计算方法</w:t>
            </w:r>
          </w:p>
        </w:tc>
        <w:tc>
          <w:tcPr>
            <w:tcW w:w="1270" w:type="dxa"/>
            <w:tcBorders>
              <w:top w:val="single" w:color="auto" w:sz="4" w:space="0"/>
              <w:left w:val="single" w:color="auto" w:sz="4" w:space="0"/>
              <w:bottom w:val="single" w:color="auto" w:sz="4" w:space="0"/>
              <w:right w:val="single" w:color="auto" w:sz="4" w:space="0"/>
            </w:tcBorders>
            <w:vAlign w:val="center"/>
          </w:tcPr>
          <w:p w14:paraId="4797D7F3">
            <w:pPr>
              <w:rPr>
                <w:rFonts w:ascii="宋体" w:hAnsi="宋体"/>
                <w:color w:val="auto"/>
                <w:sz w:val="24"/>
                <w:highlight w:val="none"/>
              </w:rPr>
            </w:pPr>
            <w:r>
              <w:rPr>
                <w:rFonts w:hint="eastAsia" w:ascii="宋体" w:hAnsi="宋体"/>
                <w:color w:val="auto"/>
                <w:highlight w:val="none"/>
              </w:rPr>
              <w:t>投标总报价</w:t>
            </w:r>
          </w:p>
        </w:tc>
        <w:tc>
          <w:tcPr>
            <w:tcW w:w="4680" w:type="dxa"/>
            <w:tcBorders>
              <w:top w:val="single" w:color="auto" w:sz="4" w:space="0"/>
              <w:left w:val="single" w:color="auto" w:sz="4" w:space="0"/>
              <w:bottom w:val="single" w:color="auto" w:sz="4" w:space="0"/>
              <w:right w:val="single" w:color="auto" w:sz="4" w:space="0"/>
            </w:tcBorders>
          </w:tcPr>
          <w:p w14:paraId="1C350527">
            <w:pPr>
              <w:ind w:firstLine="420" w:firstLineChars="200"/>
              <w:rPr>
                <w:rFonts w:ascii="宋体" w:hAnsi="宋体"/>
                <w:color w:val="auto"/>
                <w:sz w:val="24"/>
                <w:highlight w:val="none"/>
              </w:rPr>
            </w:pPr>
            <w:r>
              <w:rPr>
                <w:rFonts w:hint="eastAsia" w:ascii="宋体" w:hAnsi="宋体"/>
                <w:color w:val="auto"/>
                <w:highlight w:val="none"/>
              </w:rPr>
              <w:t>所有通过初步评审合格的</w:t>
            </w:r>
            <w:r>
              <w:rPr>
                <w:rFonts w:hint="eastAsia" w:ascii="宋体" w:hAnsi="宋体"/>
                <w:color w:val="auto"/>
                <w:highlight w:val="none"/>
                <w:lang w:eastAsia="zh-CN"/>
              </w:rPr>
              <w:t>竞选人</w:t>
            </w:r>
            <w:r>
              <w:rPr>
                <w:rFonts w:hint="eastAsia" w:ascii="宋体" w:hAnsi="宋体"/>
                <w:color w:val="auto"/>
                <w:highlight w:val="none"/>
              </w:rPr>
              <w:t>的投标总报价中去掉六分之一（不能整除的按小数点前整数取整，不足六家报价则不去掉）的最低价和相同家数的最高价后的算术平均值与本项目最高限价加权平均后的算术平均值，即为本项目的投标总报价的评标基准价。</w:t>
            </w:r>
          </w:p>
          <w:p w14:paraId="5DB19DF2">
            <w:pPr>
              <w:ind w:firstLine="420" w:firstLineChars="200"/>
              <w:rPr>
                <w:rFonts w:hint="eastAsia" w:ascii="宋体" w:hAnsi="宋体"/>
                <w:color w:val="auto"/>
                <w:highlight w:val="none"/>
              </w:rPr>
            </w:pPr>
            <w:r>
              <w:rPr>
                <w:rFonts w:hint="eastAsia" w:ascii="宋体" w:hAnsi="宋体"/>
                <w:color w:val="auto"/>
                <w:highlight w:val="none"/>
              </w:rPr>
              <w:t>评标基准价计算的最终结果取小数点后两位，第三位四舍五入。</w:t>
            </w:r>
          </w:p>
          <w:p w14:paraId="24845AA9">
            <w:pPr>
              <w:ind w:firstLine="420" w:firstLineChars="200"/>
              <w:rPr>
                <w:rFonts w:ascii="宋体" w:hAnsi="宋体"/>
                <w:color w:val="auto"/>
                <w:sz w:val="24"/>
                <w:highlight w:val="none"/>
              </w:rPr>
            </w:pPr>
            <w:r>
              <w:rPr>
                <w:rFonts w:hint="eastAsia" w:ascii="宋体" w:hAnsi="宋体"/>
                <w:color w:val="auto"/>
                <w:highlight w:val="none"/>
              </w:rPr>
              <w:t>在评标基准价计算完成后（除计算错误外），在后续的评审中不得再对其做出调整。</w:t>
            </w:r>
          </w:p>
        </w:tc>
      </w:tr>
      <w:tr w14:paraId="1225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2AEF71E6">
            <w:pPr>
              <w:ind w:firstLine="420" w:firstLineChars="200"/>
              <w:rPr>
                <w:rFonts w:ascii="宋体" w:hAnsi="宋体"/>
                <w:color w:val="auto"/>
                <w:sz w:val="24"/>
                <w:highlight w:val="none"/>
              </w:rPr>
            </w:pPr>
            <w:r>
              <w:rPr>
                <w:rFonts w:hint="eastAsia" w:ascii="宋体" w:hAnsi="宋体"/>
                <w:color w:val="auto"/>
                <w:highlight w:val="none"/>
              </w:rPr>
              <w:t>2.1.4</w:t>
            </w:r>
          </w:p>
        </w:tc>
        <w:tc>
          <w:tcPr>
            <w:tcW w:w="3614" w:type="dxa"/>
            <w:gridSpan w:val="5"/>
            <w:tcBorders>
              <w:top w:val="single" w:color="auto" w:sz="4" w:space="0"/>
              <w:left w:val="single" w:color="auto" w:sz="4" w:space="0"/>
              <w:bottom w:val="single" w:color="auto" w:sz="4" w:space="0"/>
              <w:right w:val="single" w:color="auto" w:sz="4" w:space="0"/>
            </w:tcBorders>
            <w:vAlign w:val="center"/>
          </w:tcPr>
          <w:p w14:paraId="2E55994D">
            <w:pPr>
              <w:rPr>
                <w:rFonts w:ascii="宋体" w:hAnsi="宋体"/>
                <w:color w:val="auto"/>
                <w:sz w:val="24"/>
                <w:highlight w:val="none"/>
              </w:rPr>
            </w:pPr>
            <w:r>
              <w:rPr>
                <w:rFonts w:hint="eastAsia" w:ascii="宋体" w:hAnsi="宋体"/>
                <w:color w:val="auto"/>
                <w:highlight w:val="none"/>
              </w:rPr>
              <w:t>允许偏差率</w:t>
            </w:r>
          </w:p>
        </w:tc>
        <w:tc>
          <w:tcPr>
            <w:tcW w:w="4680" w:type="dxa"/>
            <w:tcBorders>
              <w:top w:val="single" w:color="auto" w:sz="4" w:space="0"/>
              <w:left w:val="single" w:color="auto" w:sz="4" w:space="0"/>
              <w:bottom w:val="single" w:color="auto" w:sz="4" w:space="0"/>
              <w:right w:val="single" w:color="auto" w:sz="4" w:space="0"/>
            </w:tcBorders>
          </w:tcPr>
          <w:p w14:paraId="1D9721AE">
            <w:pPr>
              <w:ind w:firstLine="420" w:firstLineChars="200"/>
              <w:rPr>
                <w:rFonts w:ascii="宋体" w:hAnsi="宋体"/>
                <w:color w:val="auto"/>
                <w:sz w:val="24"/>
                <w:highlight w:val="none"/>
              </w:rPr>
            </w:pPr>
            <w:r>
              <w:rPr>
                <w:rFonts w:hint="eastAsia" w:ascii="宋体" w:hAnsi="宋体"/>
                <w:color w:val="auto"/>
                <w:highlight w:val="none"/>
              </w:rPr>
              <w:t>投标总报价的偏差率计算公式</w:t>
            </w:r>
          </w:p>
          <w:p w14:paraId="5B31A91B">
            <w:pPr>
              <w:ind w:firstLine="420" w:firstLineChars="200"/>
              <w:rPr>
                <w:rFonts w:ascii="宋体" w:hAnsi="宋体"/>
                <w:color w:val="auto"/>
                <w:sz w:val="24"/>
                <w:highlight w:val="none"/>
              </w:rPr>
            </w:pPr>
            <w:r>
              <w:rPr>
                <w:rFonts w:hint="eastAsia" w:ascii="宋体" w:hAnsi="宋体"/>
                <w:color w:val="auto"/>
                <w:highlight w:val="none"/>
              </w:rPr>
              <w:t>偏差率=100％×（</w:t>
            </w:r>
            <w:r>
              <w:rPr>
                <w:rFonts w:hint="eastAsia" w:ascii="宋体" w:hAnsi="宋体"/>
                <w:color w:val="auto"/>
                <w:highlight w:val="none"/>
                <w:lang w:eastAsia="zh-CN"/>
              </w:rPr>
              <w:t>竞选人</w:t>
            </w:r>
            <w:r>
              <w:rPr>
                <w:rFonts w:hint="eastAsia" w:ascii="宋体" w:hAnsi="宋体"/>
                <w:color w:val="auto"/>
                <w:highlight w:val="none"/>
              </w:rPr>
              <w:t>报价一评标基准价）／评标基准价偏差率计算的最终结果取小数点后两位，小数点后第三位“四舍五入”。</w:t>
            </w:r>
          </w:p>
        </w:tc>
      </w:tr>
      <w:tr w14:paraId="58B7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atLeast"/>
          <w:jc w:val="center"/>
        </w:trPr>
        <w:tc>
          <w:tcPr>
            <w:tcW w:w="960" w:type="dxa"/>
            <w:gridSpan w:val="2"/>
            <w:tcBorders>
              <w:top w:val="single" w:color="auto" w:sz="4" w:space="0"/>
              <w:left w:val="single" w:color="auto" w:sz="4" w:space="0"/>
              <w:bottom w:val="single" w:color="auto" w:sz="4" w:space="0"/>
              <w:right w:val="single" w:color="auto" w:sz="4" w:space="0"/>
            </w:tcBorders>
            <w:vAlign w:val="center"/>
          </w:tcPr>
          <w:p w14:paraId="162A3D74">
            <w:pPr>
              <w:ind w:firstLine="210" w:firstLineChars="100"/>
              <w:rPr>
                <w:rFonts w:ascii="宋体" w:hAnsi="宋体"/>
                <w:color w:val="auto"/>
                <w:sz w:val="24"/>
                <w:highlight w:val="none"/>
              </w:rPr>
            </w:pPr>
            <w:r>
              <w:rPr>
                <w:rFonts w:hint="eastAsia" w:ascii="宋体" w:hAnsi="宋体"/>
                <w:color w:val="auto"/>
                <w:highlight w:val="none"/>
              </w:rPr>
              <w:t>3</w:t>
            </w:r>
          </w:p>
        </w:tc>
        <w:tc>
          <w:tcPr>
            <w:tcW w:w="976" w:type="dxa"/>
            <w:gridSpan w:val="2"/>
            <w:tcBorders>
              <w:top w:val="single" w:color="auto" w:sz="4" w:space="0"/>
              <w:left w:val="single" w:color="auto" w:sz="4" w:space="0"/>
              <w:bottom w:val="single" w:color="auto" w:sz="4" w:space="0"/>
              <w:right w:val="single" w:color="auto" w:sz="4" w:space="0"/>
            </w:tcBorders>
            <w:vAlign w:val="center"/>
          </w:tcPr>
          <w:p w14:paraId="0DB66871">
            <w:pPr>
              <w:rPr>
                <w:rFonts w:ascii="宋体" w:hAnsi="宋体"/>
                <w:color w:val="auto"/>
                <w:sz w:val="24"/>
                <w:highlight w:val="none"/>
              </w:rPr>
            </w:pPr>
            <w:r>
              <w:rPr>
                <w:rFonts w:hint="eastAsia" w:ascii="宋体" w:hAnsi="宋体"/>
                <w:color w:val="auto"/>
                <w:highlight w:val="none"/>
              </w:rPr>
              <w:t>邀标评标标准</w:t>
            </w:r>
          </w:p>
        </w:tc>
        <w:tc>
          <w:tcPr>
            <w:tcW w:w="7203" w:type="dxa"/>
            <w:gridSpan w:val="3"/>
            <w:tcBorders>
              <w:top w:val="single" w:color="auto" w:sz="4" w:space="0"/>
              <w:left w:val="single" w:color="auto" w:sz="4" w:space="0"/>
              <w:bottom w:val="single" w:color="auto" w:sz="4" w:space="0"/>
              <w:right w:val="single" w:color="auto" w:sz="4" w:space="0"/>
            </w:tcBorders>
            <w:vAlign w:val="center"/>
          </w:tcPr>
          <w:p w14:paraId="323450B6">
            <w:pPr>
              <w:rPr>
                <w:rFonts w:ascii="宋体" w:hAnsi="宋体"/>
                <w:color w:val="auto"/>
                <w:sz w:val="24"/>
                <w:highlight w:val="none"/>
              </w:rPr>
            </w:pPr>
            <w:r>
              <w:rPr>
                <w:rFonts w:hint="eastAsia" w:ascii="宋体" w:hAnsi="宋体"/>
                <w:color w:val="auto"/>
                <w:highlight w:val="none"/>
              </w:rPr>
              <w:t>本次评标采用综合评估法。投标文件在全部满足</w:t>
            </w:r>
            <w:r>
              <w:rPr>
                <w:rFonts w:hint="eastAsia" w:ascii="宋体" w:hAnsi="宋体"/>
                <w:color w:val="auto"/>
                <w:highlight w:val="none"/>
                <w:lang w:eastAsia="zh-CN"/>
              </w:rPr>
              <w:t>比选文件</w:t>
            </w:r>
            <w:r>
              <w:rPr>
                <w:rFonts w:hint="eastAsia" w:ascii="宋体" w:hAnsi="宋体"/>
                <w:color w:val="auto"/>
                <w:highlight w:val="none"/>
              </w:rPr>
              <w:t>实质性要求前提下，评标委员会按照本章第 2.1 款规定的评分标准进行评分，按得分由高到低顺序推荐中标候选人。综合评分相等时，以投标报价低的优先；</w:t>
            </w:r>
            <w:r>
              <w:rPr>
                <w:rFonts w:hint="eastAsia" w:ascii="宋体" w:hAnsi="宋体"/>
                <w:color w:val="auto"/>
                <w:highlight w:val="none"/>
              </w:rPr>
              <w:br w:type="textWrapping"/>
            </w:r>
          </w:p>
          <w:p w14:paraId="70BB29BD">
            <w:pPr>
              <w:rPr>
                <w:rFonts w:ascii="宋体" w:hAnsi="宋体"/>
                <w:color w:val="auto"/>
                <w:sz w:val="24"/>
                <w:highlight w:val="none"/>
              </w:rPr>
            </w:pPr>
          </w:p>
        </w:tc>
      </w:tr>
      <w:tr w14:paraId="155E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7" w:hRule="atLeast"/>
          <w:jc w:val="center"/>
        </w:trPr>
        <w:tc>
          <w:tcPr>
            <w:tcW w:w="960" w:type="dxa"/>
            <w:gridSpan w:val="2"/>
            <w:tcBorders>
              <w:top w:val="single" w:color="auto" w:sz="4" w:space="0"/>
              <w:left w:val="single" w:color="auto" w:sz="4" w:space="0"/>
              <w:bottom w:val="single" w:color="auto" w:sz="4" w:space="0"/>
              <w:right w:val="single" w:color="auto" w:sz="4" w:space="0"/>
            </w:tcBorders>
            <w:vAlign w:val="center"/>
          </w:tcPr>
          <w:p w14:paraId="177CBC9D">
            <w:pPr>
              <w:ind w:firstLine="210" w:firstLineChars="100"/>
              <w:rPr>
                <w:rFonts w:ascii="宋体" w:hAnsi="宋体"/>
                <w:color w:val="auto"/>
                <w:sz w:val="24"/>
                <w:highlight w:val="none"/>
              </w:rPr>
            </w:pPr>
            <w:bookmarkStart w:id="621" w:name="_Toc430206016"/>
            <w:r>
              <w:rPr>
                <w:rFonts w:hint="eastAsia" w:ascii="宋体" w:hAnsi="宋体"/>
                <w:color w:val="auto"/>
                <w:highlight w:val="none"/>
              </w:rPr>
              <w:t>4</w:t>
            </w:r>
            <w:bookmarkEnd w:id="621"/>
          </w:p>
        </w:tc>
        <w:tc>
          <w:tcPr>
            <w:tcW w:w="976" w:type="dxa"/>
            <w:gridSpan w:val="2"/>
            <w:tcBorders>
              <w:top w:val="single" w:color="auto" w:sz="4" w:space="0"/>
              <w:left w:val="single" w:color="auto" w:sz="4" w:space="0"/>
              <w:bottom w:val="single" w:color="auto" w:sz="4" w:space="0"/>
              <w:right w:val="single" w:color="auto" w:sz="4" w:space="0"/>
            </w:tcBorders>
            <w:vAlign w:val="center"/>
          </w:tcPr>
          <w:p w14:paraId="7152B7E4">
            <w:pPr>
              <w:rPr>
                <w:rFonts w:ascii="宋体" w:hAnsi="宋体"/>
                <w:color w:val="auto"/>
                <w:sz w:val="24"/>
                <w:highlight w:val="none"/>
              </w:rPr>
            </w:pPr>
            <w:r>
              <w:rPr>
                <w:rFonts w:hint="eastAsia" w:ascii="宋体" w:hAnsi="宋体"/>
                <w:color w:val="auto"/>
                <w:highlight w:val="none"/>
              </w:rPr>
              <w:t>评标程序</w:t>
            </w:r>
          </w:p>
        </w:tc>
        <w:tc>
          <w:tcPr>
            <w:tcW w:w="7203" w:type="dxa"/>
            <w:gridSpan w:val="3"/>
            <w:tcBorders>
              <w:top w:val="single" w:color="auto" w:sz="4" w:space="0"/>
              <w:left w:val="single" w:color="auto" w:sz="4" w:space="0"/>
              <w:bottom w:val="single" w:color="auto" w:sz="4" w:space="0"/>
              <w:right w:val="single" w:color="auto" w:sz="4" w:space="0"/>
            </w:tcBorders>
          </w:tcPr>
          <w:p w14:paraId="27AB1CD1">
            <w:pPr>
              <w:ind w:firstLine="420" w:firstLineChars="200"/>
              <w:rPr>
                <w:rFonts w:ascii="宋体" w:hAnsi="宋体"/>
                <w:color w:val="auto"/>
                <w:sz w:val="24"/>
                <w:highlight w:val="none"/>
              </w:rPr>
            </w:pPr>
            <w:r>
              <w:rPr>
                <w:rFonts w:hint="eastAsia" w:ascii="宋体" w:hAnsi="宋体"/>
                <w:color w:val="auto"/>
                <w:highlight w:val="none"/>
              </w:rPr>
              <w:t>1.按本章评标办法第1.1款和1.2进行初步评审。未通过初步评审或评标委员会认定为无效的投标文件的不再进行后续评审。</w:t>
            </w:r>
          </w:p>
          <w:p w14:paraId="0B6B4990">
            <w:pPr>
              <w:ind w:firstLine="420" w:firstLineChars="200"/>
              <w:rPr>
                <w:rFonts w:hint="eastAsia" w:ascii="宋体" w:hAnsi="宋体"/>
                <w:color w:val="auto"/>
                <w:highlight w:val="none"/>
              </w:rPr>
            </w:pPr>
            <w:r>
              <w:rPr>
                <w:rFonts w:hint="eastAsia" w:ascii="宋体" w:hAnsi="宋体"/>
                <w:color w:val="auto"/>
                <w:highlight w:val="none"/>
              </w:rPr>
              <w:t>2.按本章评标办法前附表第2.1.2项及第4.1.1（1）目的规定对技术部分进行评审。</w:t>
            </w:r>
          </w:p>
          <w:p w14:paraId="7C3B6475">
            <w:pPr>
              <w:ind w:firstLine="420" w:firstLineChars="200"/>
              <w:rPr>
                <w:rFonts w:hint="eastAsia" w:ascii="宋体" w:hAnsi="宋体"/>
                <w:color w:val="auto"/>
                <w:highlight w:val="none"/>
              </w:rPr>
            </w:pPr>
            <w:r>
              <w:rPr>
                <w:rFonts w:hint="eastAsia" w:ascii="宋体" w:hAnsi="宋体"/>
                <w:color w:val="auto"/>
                <w:highlight w:val="none"/>
              </w:rPr>
              <w:t>3.因评标委员会作否决投标处理导致有效</w:t>
            </w:r>
            <w:r>
              <w:rPr>
                <w:rFonts w:hint="eastAsia" w:ascii="宋体" w:hAnsi="宋体"/>
                <w:color w:val="auto"/>
                <w:highlight w:val="none"/>
                <w:lang w:eastAsia="zh-CN"/>
              </w:rPr>
              <w:t>竞选人</w:t>
            </w:r>
            <w:r>
              <w:rPr>
                <w:rFonts w:hint="eastAsia" w:ascii="宋体" w:hAnsi="宋体"/>
                <w:color w:val="auto"/>
                <w:highlight w:val="none"/>
              </w:rPr>
              <w:t>不足三个的，评标委员会应当否决所有投标。但是有效</w:t>
            </w:r>
            <w:r>
              <w:rPr>
                <w:rFonts w:hint="eastAsia" w:ascii="宋体" w:hAnsi="宋体"/>
                <w:color w:val="auto"/>
                <w:highlight w:val="none"/>
                <w:lang w:eastAsia="zh-CN"/>
              </w:rPr>
              <w:t>竞选人</w:t>
            </w:r>
            <w:r>
              <w:rPr>
                <w:rFonts w:hint="eastAsia" w:ascii="宋体" w:hAnsi="宋体"/>
                <w:color w:val="auto"/>
                <w:highlight w:val="none"/>
              </w:rPr>
              <w:t>的经济、技术等指标仍然具有市场竞争力，能够满足</w:t>
            </w:r>
            <w:r>
              <w:rPr>
                <w:rFonts w:hint="eastAsia" w:ascii="宋体" w:hAnsi="宋体"/>
                <w:color w:val="auto"/>
                <w:highlight w:val="none"/>
                <w:lang w:eastAsia="zh-CN"/>
              </w:rPr>
              <w:t>比选文件</w:t>
            </w:r>
            <w:r>
              <w:rPr>
                <w:rFonts w:hint="eastAsia" w:ascii="宋体" w:hAnsi="宋体"/>
                <w:color w:val="auto"/>
                <w:highlight w:val="none"/>
              </w:rPr>
              <w:t>要求的，评标委员会可以继续评标并确定中标候选人。</w:t>
            </w:r>
          </w:p>
          <w:p w14:paraId="0B313415">
            <w:pPr>
              <w:ind w:firstLine="420" w:firstLineChars="200"/>
              <w:rPr>
                <w:rFonts w:hint="eastAsia" w:ascii="宋体" w:hAnsi="宋体"/>
                <w:color w:val="auto"/>
                <w:highlight w:val="none"/>
              </w:rPr>
            </w:pPr>
            <w:r>
              <w:rPr>
                <w:rFonts w:hint="eastAsia" w:ascii="宋体" w:hAnsi="宋体"/>
                <w:color w:val="auto"/>
                <w:highlight w:val="none"/>
              </w:rPr>
              <w:t>4.对初步评审合格的</w:t>
            </w:r>
            <w:r>
              <w:rPr>
                <w:rFonts w:hint="eastAsia" w:ascii="宋体" w:hAnsi="宋体"/>
                <w:color w:val="auto"/>
                <w:highlight w:val="none"/>
                <w:lang w:eastAsia="zh-CN"/>
              </w:rPr>
              <w:t>竞选人</w:t>
            </w:r>
            <w:r>
              <w:rPr>
                <w:rFonts w:hint="eastAsia" w:ascii="宋体" w:hAnsi="宋体"/>
                <w:color w:val="auto"/>
                <w:highlight w:val="none"/>
              </w:rPr>
              <w:t>按照本章第2.1.3项计算方法计算评标基准价，并按本附表第4.1.1（2）目规定的评分方法对投标总报价进行评分。</w:t>
            </w:r>
          </w:p>
          <w:p w14:paraId="64E3FE3B">
            <w:pPr>
              <w:ind w:firstLine="420" w:firstLineChars="200"/>
              <w:rPr>
                <w:rFonts w:ascii="宋体" w:hAnsi="宋体"/>
                <w:color w:val="auto"/>
                <w:sz w:val="24"/>
                <w:highlight w:val="none"/>
              </w:rPr>
            </w:pPr>
            <w:r>
              <w:rPr>
                <w:rFonts w:hint="eastAsia" w:ascii="宋体" w:hAnsi="宋体"/>
                <w:color w:val="auto"/>
                <w:highlight w:val="none"/>
              </w:rPr>
              <w:t>5.对技术部分、投标总报价得分进行汇总，确定得分由高至低前三名</w:t>
            </w:r>
            <w:r>
              <w:rPr>
                <w:rFonts w:hint="eastAsia" w:ascii="宋体" w:hAnsi="宋体"/>
                <w:color w:val="auto"/>
                <w:highlight w:val="none"/>
                <w:lang w:eastAsia="zh-CN"/>
              </w:rPr>
              <w:t>竞选人</w:t>
            </w:r>
            <w:r>
              <w:rPr>
                <w:rFonts w:hint="eastAsia" w:ascii="宋体" w:hAnsi="宋体"/>
                <w:color w:val="auto"/>
                <w:highlight w:val="none"/>
              </w:rPr>
              <w:t>为中标候选人。</w:t>
            </w:r>
          </w:p>
        </w:tc>
      </w:tr>
      <w:tr w14:paraId="1746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45" w:type="dxa"/>
            <w:vMerge w:val="restart"/>
            <w:tcBorders>
              <w:top w:val="nil"/>
              <w:left w:val="single" w:color="auto" w:sz="4" w:space="0"/>
              <w:bottom w:val="single" w:color="auto" w:sz="4" w:space="0"/>
              <w:right w:val="single" w:color="auto" w:sz="4" w:space="0"/>
            </w:tcBorders>
            <w:vAlign w:val="center"/>
          </w:tcPr>
          <w:p w14:paraId="477134F8">
            <w:pPr>
              <w:rPr>
                <w:rFonts w:ascii="宋体" w:hAnsi="宋体"/>
                <w:color w:val="auto"/>
                <w:sz w:val="24"/>
                <w:highlight w:val="none"/>
              </w:rPr>
            </w:pPr>
            <w:r>
              <w:rPr>
                <w:rFonts w:hint="eastAsia" w:ascii="宋体" w:hAnsi="宋体"/>
                <w:color w:val="auto"/>
                <w:highlight w:val="none"/>
              </w:rPr>
              <w:t>4.1.1（1）</w:t>
            </w:r>
          </w:p>
        </w:tc>
        <w:tc>
          <w:tcPr>
            <w:tcW w:w="1075" w:type="dxa"/>
            <w:gridSpan w:val="2"/>
            <w:vMerge w:val="restart"/>
            <w:tcBorders>
              <w:top w:val="nil"/>
              <w:left w:val="single" w:color="auto" w:sz="4" w:space="0"/>
              <w:bottom w:val="single" w:color="auto" w:sz="4" w:space="0"/>
              <w:right w:val="single" w:color="auto" w:sz="4" w:space="0"/>
            </w:tcBorders>
            <w:vAlign w:val="center"/>
          </w:tcPr>
          <w:p w14:paraId="48723409">
            <w:pPr>
              <w:rPr>
                <w:rFonts w:ascii="宋体" w:hAnsi="宋体"/>
                <w:color w:val="auto"/>
                <w:sz w:val="24"/>
                <w:highlight w:val="none"/>
              </w:rPr>
            </w:pPr>
            <w:r>
              <w:rPr>
                <w:rFonts w:hint="eastAsia" w:ascii="宋体" w:hAnsi="宋体"/>
                <w:color w:val="auto"/>
                <w:highlight w:val="none"/>
              </w:rPr>
              <w:t>技术部分得分（A）</w:t>
            </w: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413FA646">
            <w:pPr>
              <w:snapToGrid w:val="0"/>
              <w:spacing w:line="400" w:lineRule="exact"/>
              <w:jc w:val="center"/>
              <w:rPr>
                <w:rFonts w:ascii="宋体" w:hAnsi="宋体"/>
                <w:color w:val="auto"/>
                <w:sz w:val="24"/>
                <w:highlight w:val="none"/>
              </w:rPr>
            </w:pPr>
            <w:r>
              <w:rPr>
                <w:rFonts w:hint="eastAsia" w:ascii="宋体" w:hAnsi="宋体" w:cs="宋体"/>
                <w:color w:val="auto"/>
                <w:kern w:val="0"/>
                <w:highlight w:val="none"/>
              </w:rPr>
              <w:t>对工程施工重点、技术关键点的理解和认识</w:t>
            </w:r>
          </w:p>
        </w:tc>
        <w:tc>
          <w:tcPr>
            <w:tcW w:w="4680" w:type="dxa"/>
            <w:vMerge w:val="restart"/>
            <w:tcBorders>
              <w:top w:val="single" w:color="auto" w:sz="4" w:space="0"/>
              <w:left w:val="single" w:color="auto" w:sz="4" w:space="0"/>
              <w:bottom w:val="single" w:color="auto" w:sz="4" w:space="0"/>
              <w:right w:val="single" w:color="auto" w:sz="4" w:space="0"/>
            </w:tcBorders>
          </w:tcPr>
          <w:p w14:paraId="77661B36">
            <w:pPr>
              <w:rPr>
                <w:rFonts w:ascii="宋体" w:hAnsi="宋体"/>
                <w:color w:val="auto"/>
                <w:sz w:val="24"/>
                <w:highlight w:val="none"/>
              </w:rPr>
            </w:pPr>
          </w:p>
          <w:p w14:paraId="7BE4AEAC">
            <w:pPr>
              <w:rPr>
                <w:rFonts w:hint="eastAsia" w:ascii="宋体" w:hAnsi="宋体"/>
                <w:color w:val="auto"/>
                <w:highlight w:val="none"/>
              </w:rPr>
            </w:pPr>
          </w:p>
          <w:p w14:paraId="49546B62">
            <w:pPr>
              <w:ind w:firstLine="420" w:firstLineChars="200"/>
              <w:rPr>
                <w:rFonts w:hint="eastAsia" w:ascii="宋体" w:hAnsi="宋体"/>
                <w:color w:val="auto"/>
                <w:highlight w:val="none"/>
              </w:rPr>
            </w:pPr>
            <w:r>
              <w:rPr>
                <w:rFonts w:hint="eastAsia" w:ascii="宋体" w:hAnsi="宋体"/>
                <w:color w:val="auto"/>
                <w:highlight w:val="none"/>
              </w:rPr>
              <w:t>评标委员会按第2.1.2项各评审因素设定的分值评分。</w:t>
            </w:r>
          </w:p>
          <w:p w14:paraId="21FDD17C">
            <w:pPr>
              <w:ind w:firstLine="420" w:firstLineChars="200"/>
              <w:rPr>
                <w:rFonts w:hint="eastAsia" w:ascii="宋体" w:hAnsi="宋体"/>
                <w:color w:val="auto"/>
                <w:highlight w:val="none"/>
              </w:rPr>
            </w:pPr>
            <w:r>
              <w:rPr>
                <w:rFonts w:hint="eastAsia" w:ascii="宋体" w:hAnsi="宋体"/>
                <w:color w:val="auto"/>
                <w:highlight w:val="none"/>
              </w:rPr>
              <w:t>评标委员会成员为5人及以上时，所有评委评分中去掉一个最高和一个最低分，余下评委评分取算术平均值为该</w:t>
            </w:r>
            <w:r>
              <w:rPr>
                <w:rFonts w:hint="eastAsia" w:ascii="宋体" w:hAnsi="宋体"/>
                <w:color w:val="auto"/>
                <w:highlight w:val="none"/>
                <w:lang w:eastAsia="zh-CN"/>
              </w:rPr>
              <w:t>竞选人</w:t>
            </w:r>
            <w:r>
              <w:rPr>
                <w:rFonts w:hint="eastAsia" w:ascii="宋体" w:hAnsi="宋体"/>
                <w:color w:val="auto"/>
                <w:highlight w:val="none"/>
              </w:rPr>
              <w:t>技术方案得分。</w:t>
            </w:r>
          </w:p>
          <w:p w14:paraId="23DFCBAF">
            <w:pPr>
              <w:ind w:firstLine="420" w:firstLineChars="200"/>
              <w:rPr>
                <w:rFonts w:ascii="宋体" w:hAnsi="宋体"/>
                <w:color w:val="auto"/>
                <w:sz w:val="24"/>
                <w:highlight w:val="none"/>
              </w:rPr>
            </w:pPr>
            <w:r>
              <w:rPr>
                <w:rFonts w:hint="eastAsia" w:ascii="宋体" w:hAnsi="宋体"/>
                <w:color w:val="auto"/>
                <w:highlight w:val="none"/>
              </w:rPr>
              <w:t>技术方案得分的最终结果取小数点后两位，第三位四舍五入。</w:t>
            </w:r>
          </w:p>
        </w:tc>
      </w:tr>
      <w:tr w14:paraId="4EBB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0C6F69E1">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4F54A16B">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35D932F8">
            <w:pPr>
              <w:snapToGrid w:val="0"/>
              <w:spacing w:line="400" w:lineRule="exact"/>
              <w:jc w:val="center"/>
              <w:rPr>
                <w:rFonts w:ascii="宋体" w:hAnsi="宋体"/>
                <w:color w:val="auto"/>
                <w:sz w:val="24"/>
                <w:highlight w:val="none"/>
              </w:rPr>
            </w:pPr>
            <w:r>
              <w:rPr>
                <w:rFonts w:hint="eastAsia" w:ascii="宋体" w:hAnsi="宋体" w:cs="宋体"/>
                <w:color w:val="auto"/>
                <w:kern w:val="0"/>
                <w:highlight w:val="none"/>
              </w:rPr>
              <w:t>施工方案与技术措施</w:t>
            </w:r>
          </w:p>
        </w:tc>
        <w:tc>
          <w:tcPr>
            <w:tcW w:w="4680" w:type="dxa"/>
            <w:vMerge w:val="continue"/>
            <w:tcBorders>
              <w:top w:val="single" w:color="auto" w:sz="4" w:space="0"/>
              <w:left w:val="single" w:color="auto" w:sz="4" w:space="0"/>
              <w:bottom w:val="single" w:color="auto" w:sz="4" w:space="0"/>
              <w:right w:val="single" w:color="auto" w:sz="4" w:space="0"/>
            </w:tcBorders>
            <w:vAlign w:val="center"/>
          </w:tcPr>
          <w:p w14:paraId="4ED0B1C2">
            <w:pPr>
              <w:widowControl/>
              <w:jc w:val="left"/>
              <w:rPr>
                <w:rFonts w:ascii="宋体" w:hAnsi="宋体"/>
                <w:color w:val="auto"/>
                <w:sz w:val="24"/>
                <w:highlight w:val="none"/>
              </w:rPr>
            </w:pPr>
          </w:p>
        </w:tc>
      </w:tr>
      <w:tr w14:paraId="2579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5DAECCA2">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05EF671C">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7C27EF59">
            <w:pPr>
              <w:snapToGrid w:val="0"/>
              <w:spacing w:line="400" w:lineRule="exact"/>
              <w:jc w:val="center"/>
              <w:rPr>
                <w:rFonts w:ascii="宋体" w:hAnsi="宋体"/>
                <w:color w:val="auto"/>
                <w:sz w:val="24"/>
                <w:highlight w:val="none"/>
              </w:rPr>
            </w:pPr>
            <w:r>
              <w:rPr>
                <w:rFonts w:hint="eastAsia" w:ascii="宋体" w:hAnsi="宋体" w:cs="宋体"/>
                <w:color w:val="auto"/>
                <w:kern w:val="0"/>
                <w:highlight w:val="none"/>
              </w:rPr>
              <w:t>质量管理体系与措施</w:t>
            </w:r>
          </w:p>
        </w:tc>
        <w:tc>
          <w:tcPr>
            <w:tcW w:w="4680" w:type="dxa"/>
            <w:vMerge w:val="continue"/>
            <w:tcBorders>
              <w:top w:val="single" w:color="auto" w:sz="4" w:space="0"/>
              <w:left w:val="single" w:color="auto" w:sz="4" w:space="0"/>
              <w:bottom w:val="single" w:color="auto" w:sz="4" w:space="0"/>
              <w:right w:val="single" w:color="auto" w:sz="4" w:space="0"/>
            </w:tcBorders>
            <w:vAlign w:val="center"/>
          </w:tcPr>
          <w:p w14:paraId="016F2C6F">
            <w:pPr>
              <w:widowControl/>
              <w:jc w:val="left"/>
              <w:rPr>
                <w:rFonts w:ascii="宋体" w:hAnsi="宋体"/>
                <w:color w:val="auto"/>
                <w:sz w:val="24"/>
                <w:highlight w:val="none"/>
              </w:rPr>
            </w:pPr>
          </w:p>
        </w:tc>
      </w:tr>
      <w:tr w14:paraId="5112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19E374FD">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2D8ED0F6">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10452B97">
            <w:pPr>
              <w:snapToGrid w:val="0"/>
              <w:spacing w:line="400" w:lineRule="exact"/>
              <w:jc w:val="center"/>
              <w:rPr>
                <w:rFonts w:ascii="宋体" w:hAnsi="宋体"/>
                <w:color w:val="auto"/>
                <w:sz w:val="24"/>
                <w:highlight w:val="none"/>
              </w:rPr>
            </w:pPr>
            <w:r>
              <w:rPr>
                <w:rFonts w:hint="eastAsia" w:ascii="宋体" w:hAnsi="宋体" w:cs="宋体"/>
                <w:color w:val="auto"/>
                <w:kern w:val="0"/>
                <w:highlight w:val="none"/>
              </w:rPr>
              <w:t>安全管理体系与措施</w:t>
            </w:r>
          </w:p>
        </w:tc>
        <w:tc>
          <w:tcPr>
            <w:tcW w:w="4680" w:type="dxa"/>
            <w:vMerge w:val="continue"/>
            <w:tcBorders>
              <w:top w:val="single" w:color="auto" w:sz="4" w:space="0"/>
              <w:left w:val="single" w:color="auto" w:sz="4" w:space="0"/>
              <w:bottom w:val="single" w:color="auto" w:sz="4" w:space="0"/>
              <w:right w:val="single" w:color="auto" w:sz="4" w:space="0"/>
            </w:tcBorders>
            <w:vAlign w:val="center"/>
          </w:tcPr>
          <w:p w14:paraId="5EF5770D">
            <w:pPr>
              <w:widowControl/>
              <w:jc w:val="left"/>
              <w:rPr>
                <w:rFonts w:ascii="宋体" w:hAnsi="宋体"/>
                <w:color w:val="auto"/>
                <w:sz w:val="24"/>
                <w:highlight w:val="none"/>
              </w:rPr>
            </w:pPr>
          </w:p>
        </w:tc>
      </w:tr>
      <w:tr w14:paraId="3C54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591D4A1A">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1CCE43F6">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0D0E47FF">
            <w:pPr>
              <w:snapToGrid w:val="0"/>
              <w:spacing w:line="400" w:lineRule="exact"/>
              <w:jc w:val="center"/>
              <w:rPr>
                <w:rFonts w:ascii="宋体" w:hAnsi="宋体"/>
                <w:color w:val="auto"/>
                <w:sz w:val="24"/>
                <w:highlight w:val="none"/>
              </w:rPr>
            </w:pPr>
            <w:r>
              <w:rPr>
                <w:rFonts w:hint="eastAsia" w:ascii="宋体" w:hAnsi="宋体" w:cs="宋体"/>
                <w:color w:val="auto"/>
                <w:kern w:val="0"/>
                <w:highlight w:val="none"/>
              </w:rPr>
              <w:t>环境保护管理体系措施</w:t>
            </w:r>
          </w:p>
        </w:tc>
        <w:tc>
          <w:tcPr>
            <w:tcW w:w="4680" w:type="dxa"/>
            <w:vMerge w:val="continue"/>
            <w:tcBorders>
              <w:top w:val="single" w:color="auto" w:sz="4" w:space="0"/>
              <w:left w:val="single" w:color="auto" w:sz="4" w:space="0"/>
              <w:bottom w:val="single" w:color="auto" w:sz="4" w:space="0"/>
              <w:right w:val="single" w:color="auto" w:sz="4" w:space="0"/>
            </w:tcBorders>
            <w:vAlign w:val="center"/>
          </w:tcPr>
          <w:p w14:paraId="68A47C33">
            <w:pPr>
              <w:widowControl/>
              <w:jc w:val="left"/>
              <w:rPr>
                <w:rFonts w:ascii="宋体" w:hAnsi="宋体"/>
                <w:color w:val="auto"/>
                <w:sz w:val="24"/>
                <w:highlight w:val="none"/>
              </w:rPr>
            </w:pPr>
          </w:p>
        </w:tc>
      </w:tr>
      <w:tr w14:paraId="145D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1012553D">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41F4D465">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4931C5ED">
            <w:pPr>
              <w:snapToGrid w:val="0"/>
              <w:spacing w:line="400" w:lineRule="exact"/>
              <w:jc w:val="center"/>
              <w:rPr>
                <w:rFonts w:ascii="宋体" w:hAnsi="宋体"/>
                <w:color w:val="auto"/>
                <w:sz w:val="24"/>
                <w:highlight w:val="none"/>
              </w:rPr>
            </w:pPr>
            <w:r>
              <w:rPr>
                <w:rFonts w:hint="eastAsia" w:ascii="宋体" w:hAnsi="宋体" w:cs="宋体"/>
                <w:color w:val="auto"/>
                <w:kern w:val="0"/>
                <w:highlight w:val="none"/>
              </w:rPr>
              <w:t>工程进度计划与措施</w:t>
            </w:r>
          </w:p>
        </w:tc>
        <w:tc>
          <w:tcPr>
            <w:tcW w:w="4680" w:type="dxa"/>
            <w:vMerge w:val="continue"/>
            <w:tcBorders>
              <w:top w:val="single" w:color="auto" w:sz="4" w:space="0"/>
              <w:left w:val="single" w:color="auto" w:sz="4" w:space="0"/>
              <w:bottom w:val="single" w:color="auto" w:sz="4" w:space="0"/>
              <w:right w:val="single" w:color="auto" w:sz="4" w:space="0"/>
            </w:tcBorders>
            <w:vAlign w:val="center"/>
          </w:tcPr>
          <w:p w14:paraId="451EF758">
            <w:pPr>
              <w:widowControl/>
              <w:jc w:val="left"/>
              <w:rPr>
                <w:rFonts w:ascii="宋体" w:hAnsi="宋体"/>
                <w:color w:val="auto"/>
                <w:sz w:val="24"/>
                <w:highlight w:val="none"/>
              </w:rPr>
            </w:pPr>
          </w:p>
        </w:tc>
      </w:tr>
      <w:tr w14:paraId="5433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6D767A22">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40B09AA4">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1446DC65">
            <w:pPr>
              <w:snapToGrid w:val="0"/>
              <w:spacing w:line="400" w:lineRule="exact"/>
              <w:jc w:val="center"/>
              <w:rPr>
                <w:rFonts w:ascii="宋体" w:hAnsi="宋体"/>
                <w:color w:val="auto"/>
                <w:sz w:val="24"/>
                <w:highlight w:val="none"/>
              </w:rPr>
            </w:pPr>
            <w:r>
              <w:rPr>
                <w:rFonts w:hint="eastAsia" w:ascii="宋体" w:hAnsi="宋体" w:cs="宋体"/>
                <w:color w:val="auto"/>
                <w:kern w:val="0"/>
                <w:highlight w:val="none"/>
              </w:rPr>
              <w:t>资源配备计划</w:t>
            </w:r>
          </w:p>
        </w:tc>
        <w:tc>
          <w:tcPr>
            <w:tcW w:w="4680" w:type="dxa"/>
            <w:vMerge w:val="continue"/>
            <w:tcBorders>
              <w:top w:val="single" w:color="auto" w:sz="4" w:space="0"/>
              <w:left w:val="single" w:color="auto" w:sz="4" w:space="0"/>
              <w:bottom w:val="single" w:color="auto" w:sz="4" w:space="0"/>
              <w:right w:val="single" w:color="auto" w:sz="4" w:space="0"/>
            </w:tcBorders>
            <w:vAlign w:val="center"/>
          </w:tcPr>
          <w:p w14:paraId="386850B3">
            <w:pPr>
              <w:widowControl/>
              <w:jc w:val="left"/>
              <w:rPr>
                <w:rFonts w:ascii="宋体" w:hAnsi="宋体"/>
                <w:color w:val="auto"/>
                <w:sz w:val="24"/>
                <w:highlight w:val="none"/>
              </w:rPr>
            </w:pPr>
          </w:p>
        </w:tc>
      </w:tr>
      <w:tr w14:paraId="5925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45" w:type="dxa"/>
            <w:vMerge w:val="continue"/>
            <w:tcBorders>
              <w:top w:val="nil"/>
              <w:left w:val="single" w:color="auto" w:sz="4" w:space="0"/>
              <w:bottom w:val="single" w:color="auto" w:sz="4" w:space="0"/>
              <w:right w:val="single" w:color="auto" w:sz="4" w:space="0"/>
            </w:tcBorders>
            <w:vAlign w:val="center"/>
          </w:tcPr>
          <w:p w14:paraId="10851D57">
            <w:pPr>
              <w:widowControl/>
              <w:jc w:val="left"/>
              <w:rPr>
                <w:rFonts w:ascii="宋体" w:hAnsi="宋体"/>
                <w:color w:val="auto"/>
                <w:sz w:val="24"/>
                <w:highlight w:val="none"/>
              </w:rPr>
            </w:pPr>
          </w:p>
        </w:tc>
        <w:tc>
          <w:tcPr>
            <w:tcW w:w="1075" w:type="dxa"/>
            <w:gridSpan w:val="2"/>
            <w:vMerge w:val="continue"/>
            <w:tcBorders>
              <w:top w:val="nil"/>
              <w:left w:val="single" w:color="auto" w:sz="4" w:space="0"/>
              <w:bottom w:val="single" w:color="auto" w:sz="4" w:space="0"/>
              <w:right w:val="single" w:color="auto" w:sz="4" w:space="0"/>
            </w:tcBorders>
            <w:vAlign w:val="center"/>
          </w:tcPr>
          <w:p w14:paraId="5D8D7F61">
            <w:pPr>
              <w:widowControl/>
              <w:jc w:val="left"/>
              <w:rPr>
                <w:rFonts w:ascii="宋体" w:hAnsi="宋体"/>
                <w:color w:val="auto"/>
                <w:sz w:val="24"/>
                <w:highlight w:val="none"/>
              </w:rPr>
            </w:pP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454919C0">
            <w:pPr>
              <w:snapToGrid w:val="0"/>
              <w:spacing w:line="400" w:lineRule="exact"/>
              <w:jc w:val="center"/>
              <w:rPr>
                <w:rFonts w:ascii="宋体" w:hAnsi="宋体"/>
                <w:color w:val="auto"/>
                <w:sz w:val="24"/>
                <w:highlight w:val="none"/>
              </w:rPr>
            </w:pPr>
            <w:r>
              <w:rPr>
                <w:rFonts w:hint="eastAsia" w:ascii="宋体" w:hAnsi="宋体" w:cs="宋体"/>
                <w:color w:val="auto"/>
                <w:kern w:val="0"/>
                <w:highlight w:val="none"/>
              </w:rPr>
              <w:t>施工现场环境</w:t>
            </w:r>
          </w:p>
        </w:tc>
        <w:tc>
          <w:tcPr>
            <w:tcW w:w="4680" w:type="dxa"/>
            <w:vMerge w:val="continue"/>
            <w:tcBorders>
              <w:top w:val="single" w:color="auto" w:sz="4" w:space="0"/>
              <w:left w:val="single" w:color="auto" w:sz="4" w:space="0"/>
              <w:bottom w:val="single" w:color="auto" w:sz="4" w:space="0"/>
              <w:right w:val="single" w:color="auto" w:sz="4" w:space="0"/>
            </w:tcBorders>
            <w:vAlign w:val="center"/>
          </w:tcPr>
          <w:p w14:paraId="550F7628">
            <w:pPr>
              <w:widowControl/>
              <w:jc w:val="left"/>
              <w:rPr>
                <w:rFonts w:ascii="宋体" w:hAnsi="宋体"/>
                <w:color w:val="auto"/>
                <w:sz w:val="24"/>
                <w:highlight w:val="none"/>
              </w:rPr>
            </w:pPr>
          </w:p>
        </w:tc>
      </w:tr>
      <w:tr w14:paraId="56FC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9"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7DE9D2EE">
            <w:pPr>
              <w:rPr>
                <w:rFonts w:ascii="宋体" w:hAnsi="宋体"/>
                <w:color w:val="auto"/>
                <w:sz w:val="24"/>
                <w:highlight w:val="none"/>
              </w:rPr>
            </w:pPr>
            <w:r>
              <w:rPr>
                <w:rFonts w:hint="eastAsia" w:ascii="宋体" w:hAnsi="宋体"/>
                <w:color w:val="auto"/>
                <w:highlight w:val="none"/>
              </w:rPr>
              <w:t>4.1.1（2）</w:t>
            </w:r>
          </w:p>
        </w:tc>
        <w:tc>
          <w:tcPr>
            <w:tcW w:w="1075" w:type="dxa"/>
            <w:gridSpan w:val="2"/>
            <w:tcBorders>
              <w:top w:val="single" w:color="auto" w:sz="4" w:space="0"/>
              <w:left w:val="single" w:color="auto" w:sz="4" w:space="0"/>
              <w:bottom w:val="single" w:color="auto" w:sz="4" w:space="0"/>
              <w:right w:val="single" w:color="auto" w:sz="4" w:space="0"/>
            </w:tcBorders>
            <w:vAlign w:val="center"/>
          </w:tcPr>
          <w:p w14:paraId="53C035AE">
            <w:pPr>
              <w:rPr>
                <w:rFonts w:ascii="宋体" w:hAnsi="宋体"/>
                <w:color w:val="auto"/>
                <w:sz w:val="24"/>
                <w:highlight w:val="none"/>
              </w:rPr>
            </w:pPr>
            <w:r>
              <w:rPr>
                <w:rFonts w:hint="eastAsia" w:ascii="宋体" w:hAnsi="宋体"/>
                <w:color w:val="auto"/>
                <w:highlight w:val="none"/>
              </w:rPr>
              <w:t>投标报价得分（B）</w:t>
            </w:r>
          </w:p>
        </w:tc>
        <w:tc>
          <w:tcPr>
            <w:tcW w:w="2539" w:type="dxa"/>
            <w:gridSpan w:val="3"/>
            <w:tcBorders>
              <w:top w:val="single" w:color="auto" w:sz="4" w:space="0"/>
              <w:left w:val="single" w:color="auto" w:sz="4" w:space="0"/>
              <w:bottom w:val="single" w:color="auto" w:sz="4" w:space="0"/>
              <w:right w:val="single" w:color="auto" w:sz="4" w:space="0"/>
            </w:tcBorders>
            <w:vAlign w:val="center"/>
          </w:tcPr>
          <w:p w14:paraId="30093B72">
            <w:pPr>
              <w:rPr>
                <w:rFonts w:ascii="宋体" w:hAnsi="宋体"/>
                <w:color w:val="auto"/>
                <w:sz w:val="24"/>
                <w:highlight w:val="none"/>
              </w:rPr>
            </w:pPr>
            <w:r>
              <w:rPr>
                <w:rFonts w:hint="eastAsia" w:ascii="宋体" w:hAnsi="宋体"/>
                <w:color w:val="auto"/>
                <w:highlight w:val="none"/>
              </w:rPr>
              <w:t>投标总报价</w:t>
            </w:r>
          </w:p>
        </w:tc>
        <w:tc>
          <w:tcPr>
            <w:tcW w:w="4680" w:type="dxa"/>
            <w:tcBorders>
              <w:top w:val="single" w:color="auto" w:sz="4" w:space="0"/>
              <w:left w:val="single" w:color="auto" w:sz="4" w:space="0"/>
              <w:bottom w:val="single" w:color="auto" w:sz="4" w:space="0"/>
              <w:right w:val="single" w:color="auto" w:sz="4" w:space="0"/>
            </w:tcBorders>
            <w:vAlign w:val="center"/>
          </w:tcPr>
          <w:p w14:paraId="3CCEBB56">
            <w:pPr>
              <w:ind w:firstLine="420" w:firstLineChars="200"/>
              <w:rPr>
                <w:rFonts w:ascii="微软雅黑" w:hAnsi="微软雅黑" w:eastAsia="微软雅黑"/>
                <w:color w:val="auto"/>
                <w:sz w:val="24"/>
                <w:highlight w:val="none"/>
              </w:rPr>
            </w:pPr>
            <w:r>
              <w:rPr>
                <w:rFonts w:hint="eastAsia" w:ascii="宋体" w:hAnsi="宋体"/>
                <w:color w:val="auto"/>
                <w:highlight w:val="none"/>
              </w:rPr>
              <w:t>在本附表第2.2.1项规定分值的满分70 分。在此基础上，投标总报价与评标基准价相比，每增加1%扣</w:t>
            </w:r>
            <w:r>
              <w:rPr>
                <w:rFonts w:hint="eastAsia" w:ascii="宋体" w:hAnsi="宋体"/>
                <w:color w:val="auto"/>
                <w:highlight w:val="none"/>
                <w:u w:val="single"/>
              </w:rPr>
              <w:t xml:space="preserve"> 0.2 </w:t>
            </w:r>
            <w:r>
              <w:rPr>
                <w:rFonts w:hint="eastAsia" w:ascii="宋体" w:hAnsi="宋体"/>
                <w:color w:val="auto"/>
                <w:highlight w:val="none"/>
              </w:rPr>
              <w:t>分，每减少1%扣</w:t>
            </w:r>
            <w:r>
              <w:rPr>
                <w:rFonts w:hint="eastAsia" w:ascii="宋体" w:hAnsi="宋体"/>
                <w:color w:val="auto"/>
                <w:highlight w:val="none"/>
                <w:u w:val="single"/>
              </w:rPr>
              <w:t xml:space="preserve"> 0.1</w:t>
            </w:r>
            <w:r>
              <w:rPr>
                <w:rFonts w:hint="eastAsia" w:ascii="宋体" w:hAnsi="宋体"/>
                <w:color w:val="auto"/>
                <w:highlight w:val="none"/>
              </w:rPr>
              <w:t>分，扣完为止。</w:t>
            </w:r>
          </w:p>
          <w:p w14:paraId="68FD9B27">
            <w:pPr>
              <w:ind w:firstLine="420" w:firstLineChars="200"/>
              <w:rPr>
                <w:rFonts w:hint="eastAsia" w:ascii="宋体" w:hAnsi="宋体"/>
                <w:color w:val="auto"/>
                <w:highlight w:val="none"/>
              </w:rPr>
            </w:pPr>
            <w:r>
              <w:rPr>
                <w:rFonts w:hint="eastAsia" w:ascii="宋体" w:hAnsi="宋体"/>
                <w:color w:val="auto"/>
                <w:highlight w:val="none"/>
              </w:rPr>
              <w:t>按插入法计算得分。</w:t>
            </w:r>
          </w:p>
          <w:p w14:paraId="043C24F2">
            <w:pPr>
              <w:ind w:firstLine="420" w:firstLineChars="200"/>
              <w:rPr>
                <w:rFonts w:ascii="宋体" w:hAnsi="宋体"/>
                <w:color w:val="auto"/>
                <w:sz w:val="24"/>
                <w:highlight w:val="none"/>
              </w:rPr>
            </w:pPr>
            <w:r>
              <w:rPr>
                <w:rFonts w:hint="eastAsia" w:ascii="宋体" w:hAnsi="宋体"/>
                <w:color w:val="auto"/>
                <w:highlight w:val="none"/>
              </w:rPr>
              <w:t>投标总报价得分最终结果取小数点后两位，第三位四舍五入。</w:t>
            </w:r>
          </w:p>
        </w:tc>
      </w:tr>
      <w:tr w14:paraId="30BF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45343975">
            <w:pPr>
              <w:rPr>
                <w:rFonts w:ascii="宋体" w:hAnsi="宋体"/>
                <w:color w:val="auto"/>
                <w:sz w:val="24"/>
                <w:highlight w:val="none"/>
              </w:rPr>
            </w:pPr>
            <w:r>
              <w:rPr>
                <w:rFonts w:hint="eastAsia" w:ascii="宋体" w:hAnsi="宋体"/>
                <w:color w:val="auto"/>
                <w:highlight w:val="none"/>
              </w:rPr>
              <w:t>4.1.2</w:t>
            </w:r>
          </w:p>
        </w:tc>
        <w:tc>
          <w:tcPr>
            <w:tcW w:w="3614" w:type="dxa"/>
            <w:gridSpan w:val="5"/>
            <w:tcBorders>
              <w:top w:val="single" w:color="auto" w:sz="4" w:space="0"/>
              <w:left w:val="single" w:color="auto" w:sz="4" w:space="0"/>
              <w:bottom w:val="single" w:color="auto" w:sz="4" w:space="0"/>
              <w:right w:val="single" w:color="auto" w:sz="4" w:space="0"/>
            </w:tcBorders>
            <w:vAlign w:val="center"/>
          </w:tcPr>
          <w:p w14:paraId="63160C21">
            <w:pPr>
              <w:rPr>
                <w:rFonts w:ascii="宋体" w:hAnsi="宋体"/>
                <w:color w:val="auto"/>
                <w:sz w:val="24"/>
                <w:highlight w:val="none"/>
              </w:rPr>
            </w:pPr>
            <w:r>
              <w:rPr>
                <w:rFonts w:hint="eastAsia" w:ascii="宋体" w:hAnsi="宋体"/>
                <w:color w:val="auto"/>
                <w:highlight w:val="none"/>
                <w:lang w:eastAsia="zh-CN"/>
              </w:rPr>
              <w:t>竞选人</w:t>
            </w:r>
            <w:r>
              <w:rPr>
                <w:rFonts w:hint="eastAsia" w:ascii="宋体" w:hAnsi="宋体"/>
                <w:color w:val="auto"/>
                <w:highlight w:val="none"/>
              </w:rPr>
              <w:t>得分</w:t>
            </w:r>
          </w:p>
        </w:tc>
        <w:tc>
          <w:tcPr>
            <w:tcW w:w="4680" w:type="dxa"/>
            <w:tcBorders>
              <w:top w:val="single" w:color="auto" w:sz="4" w:space="0"/>
              <w:left w:val="single" w:color="auto" w:sz="4" w:space="0"/>
              <w:bottom w:val="single" w:color="auto" w:sz="4" w:space="0"/>
              <w:right w:val="single" w:color="auto" w:sz="4" w:space="0"/>
            </w:tcBorders>
            <w:vAlign w:val="center"/>
          </w:tcPr>
          <w:p w14:paraId="3AC1ABE5">
            <w:pPr>
              <w:rPr>
                <w:rFonts w:ascii="宋体" w:hAnsi="宋体"/>
                <w:color w:val="auto"/>
                <w:sz w:val="24"/>
                <w:highlight w:val="none"/>
              </w:rPr>
            </w:pPr>
            <w:r>
              <w:rPr>
                <w:rFonts w:hint="eastAsia" w:ascii="宋体" w:hAnsi="宋体"/>
                <w:color w:val="auto"/>
                <w:highlight w:val="none"/>
                <w:lang w:eastAsia="zh-CN"/>
              </w:rPr>
              <w:t>竞选人</w:t>
            </w:r>
            <w:r>
              <w:rPr>
                <w:rFonts w:hint="eastAsia" w:ascii="宋体" w:hAnsi="宋体"/>
                <w:color w:val="auto"/>
                <w:highlight w:val="none"/>
              </w:rPr>
              <w:t>得分=A+B</w:t>
            </w:r>
          </w:p>
        </w:tc>
      </w:tr>
    </w:tbl>
    <w:p w14:paraId="0EEB82C9">
      <w:pPr>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1.  评审方法</w:t>
      </w:r>
    </w:p>
    <w:p w14:paraId="6EB42A0F">
      <w:pPr>
        <w:ind w:firstLine="420" w:firstLineChars="200"/>
        <w:rPr>
          <w:rFonts w:hint="eastAsia" w:ascii="宋体" w:hAnsi="宋体"/>
          <w:color w:val="auto"/>
          <w:highlight w:val="none"/>
        </w:rPr>
      </w:pPr>
      <w:r>
        <w:rPr>
          <w:rFonts w:hint="eastAsia" w:ascii="宋体" w:hAnsi="宋体"/>
          <w:color w:val="auto"/>
          <w:highlight w:val="none"/>
        </w:rPr>
        <w:t>本次评标采用综合评估法。投标文件在全部满足</w:t>
      </w:r>
      <w:r>
        <w:rPr>
          <w:rFonts w:hint="eastAsia" w:ascii="宋体" w:hAnsi="宋体"/>
          <w:color w:val="auto"/>
          <w:highlight w:val="none"/>
          <w:lang w:eastAsia="zh-CN"/>
        </w:rPr>
        <w:t>比选文件</w:t>
      </w:r>
      <w:r>
        <w:rPr>
          <w:rFonts w:hint="eastAsia" w:ascii="宋体" w:hAnsi="宋体"/>
          <w:color w:val="auto"/>
          <w:highlight w:val="none"/>
        </w:rPr>
        <w:t>实质性要求前提下，评标委员会按照本章第 2.1 款规定的评分标准进行评分，按得分由高到低顺序推荐中标候选人。综合评分相等时，以投标报价低的优先；</w:t>
      </w:r>
    </w:p>
    <w:p w14:paraId="49D46636">
      <w:pPr>
        <w:ind w:firstLine="420" w:firstLineChars="200"/>
        <w:outlineLvl w:val="1"/>
        <w:rPr>
          <w:rFonts w:hint="eastAsia" w:ascii="宋体" w:hAnsi="宋体"/>
          <w:color w:val="auto"/>
          <w:highlight w:val="none"/>
        </w:rPr>
      </w:pPr>
      <w:r>
        <w:rPr>
          <w:rFonts w:hint="eastAsia" w:ascii="宋体" w:hAnsi="宋体"/>
          <w:color w:val="auto"/>
          <w:highlight w:val="none"/>
        </w:rPr>
        <w:t>2.  评审标准</w:t>
      </w:r>
    </w:p>
    <w:p w14:paraId="175D760E">
      <w:pPr>
        <w:ind w:firstLine="420" w:firstLineChars="200"/>
        <w:rPr>
          <w:rFonts w:hint="eastAsia" w:ascii="宋体" w:hAnsi="宋体"/>
          <w:color w:val="auto"/>
          <w:highlight w:val="none"/>
        </w:rPr>
      </w:pPr>
      <w:r>
        <w:rPr>
          <w:rFonts w:hint="eastAsia" w:ascii="宋体" w:hAnsi="宋体"/>
          <w:color w:val="auto"/>
          <w:highlight w:val="none"/>
        </w:rPr>
        <w:t>2.1  初步评审标准</w:t>
      </w:r>
    </w:p>
    <w:p w14:paraId="61D09002">
      <w:pPr>
        <w:ind w:firstLine="420" w:firstLineChars="200"/>
        <w:rPr>
          <w:rFonts w:hint="eastAsia" w:ascii="宋体" w:hAnsi="宋体"/>
          <w:color w:val="auto"/>
          <w:highlight w:val="none"/>
        </w:rPr>
      </w:pPr>
      <w:r>
        <w:rPr>
          <w:rFonts w:hint="eastAsia" w:ascii="宋体" w:hAnsi="宋体"/>
          <w:color w:val="auto"/>
          <w:highlight w:val="none"/>
        </w:rPr>
        <w:t>2.1.1  形式评审标准：见评审办法前附表。</w:t>
      </w:r>
    </w:p>
    <w:p w14:paraId="030D41FD">
      <w:pPr>
        <w:ind w:firstLine="420" w:firstLineChars="200"/>
        <w:rPr>
          <w:rFonts w:hint="eastAsia" w:ascii="宋体" w:hAnsi="宋体"/>
          <w:color w:val="auto"/>
          <w:highlight w:val="none"/>
        </w:rPr>
      </w:pPr>
      <w:r>
        <w:rPr>
          <w:rFonts w:hint="eastAsia" w:ascii="宋体" w:hAnsi="宋体"/>
          <w:color w:val="auto"/>
          <w:highlight w:val="none"/>
        </w:rPr>
        <w:t>2.1.2  资格评审标准：见评审办法前附表。</w:t>
      </w:r>
    </w:p>
    <w:p w14:paraId="2616C730">
      <w:pPr>
        <w:ind w:firstLine="420" w:firstLineChars="200"/>
        <w:rPr>
          <w:rFonts w:hint="eastAsia" w:ascii="宋体" w:hAnsi="宋体"/>
          <w:color w:val="auto"/>
          <w:highlight w:val="none"/>
        </w:rPr>
      </w:pPr>
      <w:r>
        <w:rPr>
          <w:rFonts w:hint="eastAsia" w:ascii="宋体" w:hAnsi="宋体"/>
          <w:color w:val="auto"/>
          <w:highlight w:val="none"/>
        </w:rPr>
        <w:t>2.1.3  响应性评审标准：见评审办法前附表。</w:t>
      </w:r>
    </w:p>
    <w:p w14:paraId="2D80961A">
      <w:pPr>
        <w:ind w:firstLine="420" w:firstLineChars="200"/>
        <w:rPr>
          <w:rFonts w:hint="eastAsia" w:ascii="宋体" w:hAnsi="宋体"/>
          <w:color w:val="auto"/>
          <w:highlight w:val="none"/>
        </w:rPr>
      </w:pPr>
      <w:r>
        <w:rPr>
          <w:rFonts w:hint="eastAsia" w:ascii="宋体" w:hAnsi="宋体"/>
          <w:color w:val="auto"/>
          <w:highlight w:val="none"/>
        </w:rPr>
        <w:t>2.2  分值构成与评分标准</w:t>
      </w:r>
    </w:p>
    <w:p w14:paraId="48964E6E">
      <w:pPr>
        <w:ind w:firstLine="420" w:firstLineChars="200"/>
        <w:rPr>
          <w:rFonts w:hint="eastAsia" w:ascii="宋体" w:hAnsi="宋体"/>
          <w:color w:val="auto"/>
          <w:highlight w:val="none"/>
        </w:rPr>
      </w:pPr>
      <w:r>
        <w:rPr>
          <w:rFonts w:hint="eastAsia" w:ascii="宋体" w:hAnsi="宋体"/>
          <w:color w:val="auto"/>
          <w:highlight w:val="none"/>
        </w:rPr>
        <w:t>2.2.1  分值构成</w:t>
      </w:r>
    </w:p>
    <w:p w14:paraId="5F7CD11E">
      <w:pPr>
        <w:ind w:firstLine="420" w:firstLineChars="200"/>
        <w:rPr>
          <w:rFonts w:hint="eastAsia" w:ascii="宋体" w:hAnsi="宋体"/>
          <w:color w:val="auto"/>
          <w:highlight w:val="none"/>
        </w:rPr>
      </w:pPr>
      <w:r>
        <w:rPr>
          <w:rFonts w:hint="eastAsia" w:ascii="宋体" w:hAnsi="宋体"/>
          <w:color w:val="auto"/>
          <w:highlight w:val="none"/>
        </w:rPr>
        <w:t>（1）技术部分：见评标办法前附表；</w:t>
      </w:r>
    </w:p>
    <w:p w14:paraId="38265C62">
      <w:pPr>
        <w:ind w:firstLine="420" w:firstLineChars="200"/>
        <w:rPr>
          <w:rFonts w:hint="eastAsia" w:ascii="宋体" w:hAnsi="宋体"/>
          <w:color w:val="auto"/>
          <w:highlight w:val="none"/>
        </w:rPr>
      </w:pPr>
      <w:r>
        <w:rPr>
          <w:rFonts w:hint="eastAsia" w:ascii="宋体" w:hAnsi="宋体"/>
          <w:color w:val="auto"/>
          <w:highlight w:val="none"/>
        </w:rPr>
        <w:t>（2）投标总报价：见评标办法前附表。</w:t>
      </w:r>
    </w:p>
    <w:p w14:paraId="0B1AAE52">
      <w:pPr>
        <w:ind w:firstLine="420" w:firstLineChars="200"/>
        <w:rPr>
          <w:rFonts w:hint="eastAsia" w:ascii="宋体" w:hAnsi="宋体"/>
          <w:color w:val="auto"/>
          <w:highlight w:val="none"/>
        </w:rPr>
      </w:pPr>
      <w:r>
        <w:rPr>
          <w:rFonts w:hint="eastAsia" w:ascii="宋体" w:hAnsi="宋体"/>
          <w:color w:val="auto"/>
          <w:highlight w:val="none"/>
        </w:rPr>
        <w:t>2.2.2  评审基准价计算</w:t>
      </w:r>
    </w:p>
    <w:p w14:paraId="2E87F653">
      <w:pPr>
        <w:ind w:firstLine="420" w:firstLineChars="200"/>
        <w:rPr>
          <w:rFonts w:hint="eastAsia" w:ascii="宋体" w:hAnsi="宋体"/>
          <w:color w:val="auto"/>
          <w:highlight w:val="none"/>
        </w:rPr>
      </w:pPr>
      <w:r>
        <w:rPr>
          <w:rFonts w:hint="eastAsia" w:ascii="宋体" w:hAnsi="宋体"/>
          <w:color w:val="auto"/>
          <w:highlight w:val="none"/>
        </w:rPr>
        <w:t>评审基准价计算方法：见评审办法前附表。</w:t>
      </w:r>
    </w:p>
    <w:p w14:paraId="1DE89217">
      <w:pPr>
        <w:ind w:firstLine="420" w:firstLineChars="200"/>
        <w:rPr>
          <w:rFonts w:hint="eastAsia" w:ascii="宋体" w:hAnsi="宋体"/>
          <w:color w:val="auto"/>
          <w:highlight w:val="none"/>
        </w:rPr>
      </w:pPr>
      <w:r>
        <w:rPr>
          <w:rFonts w:hint="eastAsia" w:ascii="宋体" w:hAnsi="宋体"/>
          <w:color w:val="auto"/>
          <w:highlight w:val="none"/>
        </w:rPr>
        <w:t>2.2.3  评分标准</w:t>
      </w:r>
    </w:p>
    <w:p w14:paraId="4349AF3D">
      <w:pPr>
        <w:ind w:firstLine="420" w:firstLineChars="200"/>
        <w:rPr>
          <w:rFonts w:hint="eastAsia" w:ascii="宋体" w:hAnsi="宋体"/>
          <w:color w:val="auto"/>
          <w:highlight w:val="none"/>
        </w:rPr>
      </w:pPr>
      <w:r>
        <w:rPr>
          <w:rFonts w:hint="eastAsia" w:ascii="宋体" w:hAnsi="宋体"/>
          <w:color w:val="auto"/>
          <w:highlight w:val="none"/>
        </w:rPr>
        <w:t>投标报价评分标准：见评审办法前附表。</w:t>
      </w:r>
    </w:p>
    <w:p w14:paraId="7A72D9E5">
      <w:pPr>
        <w:ind w:firstLine="420" w:firstLineChars="200"/>
        <w:outlineLvl w:val="1"/>
        <w:rPr>
          <w:rFonts w:hint="eastAsia" w:ascii="宋体" w:hAnsi="宋体"/>
          <w:color w:val="auto"/>
          <w:highlight w:val="none"/>
        </w:rPr>
      </w:pPr>
      <w:r>
        <w:rPr>
          <w:rFonts w:hint="eastAsia" w:ascii="宋体" w:hAnsi="宋体"/>
          <w:color w:val="auto"/>
          <w:highlight w:val="none"/>
        </w:rPr>
        <w:t>3.  评审程序</w:t>
      </w:r>
    </w:p>
    <w:p w14:paraId="0F095C42">
      <w:pPr>
        <w:ind w:firstLine="420" w:firstLineChars="200"/>
        <w:rPr>
          <w:rFonts w:hint="eastAsia" w:ascii="宋体" w:hAnsi="宋体"/>
          <w:color w:val="auto"/>
          <w:highlight w:val="none"/>
        </w:rPr>
      </w:pPr>
      <w:r>
        <w:rPr>
          <w:rFonts w:hint="eastAsia" w:ascii="宋体" w:hAnsi="宋体"/>
          <w:color w:val="auto"/>
          <w:highlight w:val="none"/>
        </w:rPr>
        <w:t>3.1  初步评审</w:t>
      </w:r>
    </w:p>
    <w:p w14:paraId="3155DD82">
      <w:pPr>
        <w:ind w:firstLine="420" w:firstLineChars="200"/>
        <w:rPr>
          <w:rFonts w:hint="eastAsia" w:ascii="宋体" w:hAnsi="宋体"/>
          <w:color w:val="auto"/>
          <w:highlight w:val="none"/>
        </w:rPr>
      </w:pPr>
      <w:r>
        <w:rPr>
          <w:rFonts w:hint="eastAsia" w:ascii="宋体" w:hAnsi="宋体"/>
          <w:color w:val="auto"/>
          <w:highlight w:val="none"/>
        </w:rPr>
        <w:t>3.1.1  评审委员会要求</w:t>
      </w:r>
      <w:r>
        <w:rPr>
          <w:rFonts w:hint="eastAsia" w:ascii="宋体" w:hAnsi="宋体"/>
          <w:color w:val="auto"/>
          <w:highlight w:val="none"/>
          <w:lang w:eastAsia="zh-CN"/>
        </w:rPr>
        <w:t>竞选人</w:t>
      </w:r>
      <w:r>
        <w:rPr>
          <w:rFonts w:hint="eastAsia" w:ascii="宋体" w:hAnsi="宋体"/>
          <w:color w:val="auto"/>
          <w:highlight w:val="none"/>
        </w:rPr>
        <w:t>必须提交第二章“</w:t>
      </w:r>
      <w:r>
        <w:rPr>
          <w:rFonts w:hint="eastAsia" w:ascii="宋体" w:hAnsi="宋体"/>
          <w:color w:val="auto"/>
          <w:highlight w:val="none"/>
          <w:lang w:eastAsia="zh-CN"/>
        </w:rPr>
        <w:t>竞选人</w:t>
      </w:r>
      <w:r>
        <w:rPr>
          <w:rFonts w:hint="eastAsia" w:ascii="宋体" w:hAnsi="宋体"/>
          <w:color w:val="auto"/>
          <w:highlight w:val="none"/>
        </w:rPr>
        <w:t>须知”第1.4.1项规定的有关证明或证件的原件，以便核验。评审委员会依据本章第 1.1、1.2款规定的标准对投标文件进行初步评审。有一项不符合评审标准的，作废标处理。</w:t>
      </w:r>
    </w:p>
    <w:p w14:paraId="4ADE4B3E">
      <w:pPr>
        <w:ind w:firstLine="420" w:firstLineChars="200"/>
        <w:rPr>
          <w:rFonts w:hint="eastAsia" w:ascii="宋体" w:hAnsi="宋体"/>
          <w:color w:val="auto"/>
          <w:highlight w:val="none"/>
        </w:rPr>
      </w:pPr>
      <w:r>
        <w:rPr>
          <w:rFonts w:hint="eastAsia" w:ascii="宋体" w:hAnsi="宋体"/>
          <w:color w:val="auto"/>
          <w:highlight w:val="none"/>
        </w:rPr>
        <w:t xml:space="preserve">3.1.2  </w:t>
      </w:r>
      <w:r>
        <w:rPr>
          <w:rFonts w:hint="eastAsia" w:ascii="宋体" w:hAnsi="宋体"/>
          <w:color w:val="auto"/>
          <w:highlight w:val="none"/>
          <w:lang w:eastAsia="zh-CN"/>
        </w:rPr>
        <w:t>竞选人</w:t>
      </w:r>
      <w:r>
        <w:rPr>
          <w:rFonts w:hint="eastAsia" w:ascii="宋体" w:hAnsi="宋体"/>
          <w:color w:val="auto"/>
          <w:highlight w:val="none"/>
        </w:rPr>
        <w:t>有以下情形之一的，其投标作废标处理：</w:t>
      </w:r>
    </w:p>
    <w:p w14:paraId="2B180C27">
      <w:pPr>
        <w:ind w:firstLine="420" w:firstLineChars="200"/>
        <w:rPr>
          <w:rFonts w:hint="eastAsia" w:ascii="宋体" w:hAnsi="宋体"/>
          <w:color w:val="auto"/>
          <w:highlight w:val="none"/>
        </w:rPr>
      </w:pPr>
      <w:r>
        <w:rPr>
          <w:rFonts w:hint="eastAsia" w:ascii="宋体" w:hAnsi="宋体"/>
          <w:color w:val="auto"/>
          <w:highlight w:val="none"/>
        </w:rPr>
        <w:t>3.1.2.1第二章“</w:t>
      </w:r>
      <w:r>
        <w:rPr>
          <w:rFonts w:hint="eastAsia" w:ascii="宋体" w:hAnsi="宋体"/>
          <w:color w:val="auto"/>
          <w:highlight w:val="none"/>
          <w:lang w:eastAsia="zh-CN"/>
        </w:rPr>
        <w:t>竞选人</w:t>
      </w:r>
      <w:r>
        <w:rPr>
          <w:rFonts w:hint="eastAsia" w:ascii="宋体" w:hAnsi="宋体"/>
          <w:color w:val="auto"/>
          <w:highlight w:val="none"/>
        </w:rPr>
        <w:t>须知”规定的任何一种情形的；</w:t>
      </w:r>
    </w:p>
    <w:p w14:paraId="5A6239CE">
      <w:pPr>
        <w:ind w:firstLine="420" w:firstLineChars="200"/>
        <w:rPr>
          <w:rFonts w:hint="eastAsia" w:ascii="宋体" w:hAnsi="宋体"/>
          <w:color w:val="auto"/>
          <w:highlight w:val="none"/>
        </w:rPr>
      </w:pPr>
      <w:r>
        <w:rPr>
          <w:rFonts w:hint="eastAsia" w:ascii="宋体" w:hAnsi="宋体"/>
          <w:color w:val="auto"/>
          <w:highlight w:val="none"/>
        </w:rPr>
        <w:t>3.1.2.2串通投标或弄虚作假或有其他违法行为的；</w:t>
      </w:r>
    </w:p>
    <w:p w14:paraId="4C11896C">
      <w:pPr>
        <w:ind w:firstLine="420" w:firstLineChars="200"/>
        <w:rPr>
          <w:rFonts w:hint="eastAsia" w:ascii="宋体" w:hAnsi="宋体"/>
          <w:color w:val="auto"/>
          <w:highlight w:val="none"/>
        </w:rPr>
      </w:pPr>
      <w:r>
        <w:rPr>
          <w:rFonts w:hint="eastAsia" w:ascii="宋体" w:hAnsi="宋体"/>
          <w:color w:val="auto"/>
          <w:highlight w:val="none"/>
        </w:rPr>
        <w:t>3.1.2.3不按评审委员会要求澄清、说明或补正的。</w:t>
      </w:r>
    </w:p>
    <w:p w14:paraId="45F68256">
      <w:pPr>
        <w:ind w:firstLine="420" w:firstLineChars="200"/>
        <w:rPr>
          <w:rFonts w:hint="eastAsia" w:ascii="宋体" w:hAnsi="宋体"/>
          <w:color w:val="auto"/>
          <w:highlight w:val="none"/>
        </w:rPr>
      </w:pPr>
      <w:r>
        <w:rPr>
          <w:rFonts w:hint="eastAsia" w:ascii="宋体" w:hAnsi="宋体"/>
          <w:color w:val="auto"/>
          <w:highlight w:val="none"/>
        </w:rPr>
        <w:t>3.1.2.4法律法规及本</w:t>
      </w:r>
      <w:r>
        <w:rPr>
          <w:rFonts w:hint="eastAsia" w:ascii="宋体" w:hAnsi="宋体"/>
          <w:color w:val="auto"/>
          <w:highlight w:val="none"/>
          <w:lang w:eastAsia="zh-CN"/>
        </w:rPr>
        <w:t>比选文件</w:t>
      </w:r>
      <w:r>
        <w:rPr>
          <w:rFonts w:hint="eastAsia" w:ascii="宋体" w:hAnsi="宋体"/>
          <w:color w:val="auto"/>
          <w:highlight w:val="none"/>
        </w:rPr>
        <w:t>约定的其他情形。</w:t>
      </w:r>
    </w:p>
    <w:p w14:paraId="7F7AAA94">
      <w:pPr>
        <w:ind w:firstLine="420" w:firstLineChars="200"/>
        <w:rPr>
          <w:rFonts w:hint="eastAsia" w:ascii="宋体" w:hAnsi="宋体"/>
          <w:color w:val="auto"/>
          <w:highlight w:val="none"/>
        </w:rPr>
      </w:pPr>
      <w:r>
        <w:rPr>
          <w:rFonts w:hint="eastAsia" w:ascii="宋体" w:hAnsi="宋体"/>
          <w:color w:val="auto"/>
          <w:highlight w:val="none"/>
        </w:rPr>
        <w:t>3.1.3  投标报价有算术错误的，评审委员会按以下原则对投标报价进行修正，修正的价格经</w:t>
      </w:r>
      <w:r>
        <w:rPr>
          <w:rFonts w:hint="eastAsia" w:ascii="宋体" w:hAnsi="宋体"/>
          <w:color w:val="auto"/>
          <w:highlight w:val="none"/>
          <w:lang w:eastAsia="zh-CN"/>
        </w:rPr>
        <w:t>竞选人</w:t>
      </w:r>
      <w:r>
        <w:rPr>
          <w:rFonts w:hint="eastAsia" w:ascii="宋体" w:hAnsi="宋体"/>
          <w:color w:val="auto"/>
          <w:highlight w:val="none"/>
        </w:rPr>
        <w:t>书面确认后具有约束力。</w:t>
      </w:r>
      <w:r>
        <w:rPr>
          <w:rFonts w:hint="eastAsia" w:ascii="宋体" w:hAnsi="宋体"/>
          <w:color w:val="auto"/>
          <w:highlight w:val="none"/>
          <w:lang w:eastAsia="zh-CN"/>
        </w:rPr>
        <w:t>竞选人</w:t>
      </w:r>
      <w:r>
        <w:rPr>
          <w:rFonts w:hint="eastAsia" w:ascii="宋体" w:hAnsi="宋体"/>
          <w:color w:val="auto"/>
          <w:highlight w:val="none"/>
        </w:rPr>
        <w:t>不接受修正价格的，其投标作废标处理。</w:t>
      </w:r>
    </w:p>
    <w:p w14:paraId="478FE229">
      <w:pPr>
        <w:ind w:firstLine="420" w:firstLineChars="200"/>
        <w:rPr>
          <w:rFonts w:hint="eastAsia" w:ascii="宋体" w:hAnsi="宋体"/>
          <w:color w:val="auto"/>
          <w:highlight w:val="none"/>
        </w:rPr>
      </w:pPr>
      <w:r>
        <w:rPr>
          <w:rFonts w:hint="eastAsia" w:ascii="宋体" w:hAnsi="宋体"/>
          <w:color w:val="auto"/>
          <w:highlight w:val="none"/>
        </w:rPr>
        <w:t>3.1.3.1投标文件中的大写金额与小写金额不一致的，以大写金额为准；</w:t>
      </w:r>
    </w:p>
    <w:p w14:paraId="153747DE">
      <w:pPr>
        <w:ind w:firstLine="420" w:firstLineChars="200"/>
        <w:rPr>
          <w:rFonts w:hint="eastAsia" w:ascii="宋体" w:hAnsi="宋体"/>
          <w:color w:val="auto"/>
          <w:highlight w:val="none"/>
        </w:rPr>
      </w:pPr>
      <w:r>
        <w:rPr>
          <w:rFonts w:hint="eastAsia" w:ascii="宋体" w:hAnsi="宋体"/>
          <w:color w:val="auto"/>
          <w:highlight w:val="none"/>
        </w:rPr>
        <w:t>3.1.3.2总价金额与依据单价计算出的结果不一致的，以单价金额为准修正总价，但单价金额小数点有明显错误的除外。</w:t>
      </w:r>
    </w:p>
    <w:p w14:paraId="3E0DB25D">
      <w:pPr>
        <w:ind w:firstLine="420" w:firstLineChars="200"/>
        <w:rPr>
          <w:rFonts w:hint="eastAsia" w:ascii="宋体" w:hAnsi="宋体"/>
          <w:color w:val="auto"/>
          <w:highlight w:val="none"/>
        </w:rPr>
      </w:pPr>
      <w:r>
        <w:rPr>
          <w:rFonts w:hint="eastAsia" w:ascii="宋体" w:hAnsi="宋体"/>
          <w:color w:val="auto"/>
          <w:highlight w:val="none"/>
        </w:rPr>
        <w:t>3.2  详细评审</w:t>
      </w:r>
    </w:p>
    <w:p w14:paraId="67F0A823">
      <w:pPr>
        <w:ind w:firstLine="420" w:firstLineChars="200"/>
        <w:rPr>
          <w:rFonts w:hint="eastAsia" w:ascii="宋体" w:hAnsi="宋体"/>
          <w:color w:val="auto"/>
          <w:highlight w:val="none"/>
        </w:rPr>
      </w:pPr>
      <w:r>
        <w:rPr>
          <w:rFonts w:hint="eastAsia" w:ascii="宋体" w:hAnsi="宋体"/>
          <w:color w:val="auto"/>
          <w:highlight w:val="none"/>
        </w:rPr>
        <w:t>3.2.1  评标委员会按本章第2.1款规定的量化因素和分值进行评分，并计算出综合评估得分。</w:t>
      </w:r>
    </w:p>
    <w:p w14:paraId="24DE148C">
      <w:pPr>
        <w:ind w:firstLine="420" w:firstLineChars="200"/>
        <w:rPr>
          <w:rFonts w:hint="eastAsia" w:ascii="宋体" w:hAnsi="宋体"/>
          <w:color w:val="auto"/>
          <w:highlight w:val="none"/>
        </w:rPr>
      </w:pPr>
      <w:r>
        <w:rPr>
          <w:rFonts w:hint="eastAsia" w:ascii="宋体" w:hAnsi="宋体"/>
          <w:color w:val="auto"/>
          <w:highlight w:val="none"/>
        </w:rPr>
        <w:t>（1）按本章第4.1.1（1）目规定的评审因素和分值对技术方案计算出得分A(取所有评委评分的算术平均值为该</w:t>
      </w:r>
      <w:r>
        <w:rPr>
          <w:rFonts w:hint="eastAsia" w:ascii="宋体" w:hAnsi="宋体"/>
          <w:color w:val="auto"/>
          <w:highlight w:val="none"/>
          <w:lang w:eastAsia="zh-CN"/>
        </w:rPr>
        <w:t>竞选人</w:t>
      </w:r>
      <w:r>
        <w:rPr>
          <w:rFonts w:hint="eastAsia" w:ascii="宋体" w:hAnsi="宋体"/>
          <w:color w:val="auto"/>
          <w:highlight w:val="none"/>
        </w:rPr>
        <w:t>技术方案得分。）</w:t>
      </w:r>
    </w:p>
    <w:p w14:paraId="3964E8AB">
      <w:pPr>
        <w:ind w:firstLine="420" w:firstLineChars="200"/>
        <w:rPr>
          <w:rFonts w:hint="eastAsia" w:ascii="宋体" w:hAnsi="宋体"/>
          <w:color w:val="auto"/>
          <w:highlight w:val="none"/>
        </w:rPr>
      </w:pPr>
      <w:r>
        <w:rPr>
          <w:rFonts w:hint="eastAsia" w:ascii="宋体" w:hAnsi="宋体"/>
          <w:color w:val="auto"/>
          <w:highlight w:val="none"/>
        </w:rPr>
        <w:t>（2）按本章第4.1.1（2）目规定的评审因素和分值对投标总报价计算出得分B。</w:t>
      </w:r>
    </w:p>
    <w:p w14:paraId="4684D294">
      <w:pPr>
        <w:ind w:firstLine="420" w:firstLineChars="200"/>
        <w:rPr>
          <w:rFonts w:hint="eastAsia" w:ascii="宋体" w:hAnsi="宋体"/>
          <w:color w:val="auto"/>
          <w:highlight w:val="none"/>
        </w:rPr>
      </w:pPr>
      <w:r>
        <w:rPr>
          <w:rFonts w:hint="eastAsia" w:ascii="宋体" w:hAnsi="宋体"/>
          <w:color w:val="auto"/>
          <w:highlight w:val="none"/>
        </w:rPr>
        <w:t>3.2.2  各类评分分值的最终计算结果保留小数点后两位，小数点后第三位“四舍五入”。</w:t>
      </w:r>
    </w:p>
    <w:p w14:paraId="23A99011">
      <w:pPr>
        <w:ind w:firstLine="420" w:firstLineChars="200"/>
        <w:rPr>
          <w:rFonts w:hint="eastAsia" w:ascii="宋体" w:hAnsi="宋体"/>
          <w:color w:val="auto"/>
          <w:highlight w:val="none"/>
        </w:rPr>
      </w:pPr>
      <w:r>
        <w:rPr>
          <w:rFonts w:hint="eastAsia" w:ascii="宋体" w:hAnsi="宋体"/>
          <w:color w:val="auto"/>
          <w:highlight w:val="none"/>
        </w:rPr>
        <w:t xml:space="preserve">3.2.3  </w:t>
      </w:r>
      <w:r>
        <w:rPr>
          <w:rFonts w:hint="eastAsia" w:ascii="宋体" w:hAnsi="宋体"/>
          <w:color w:val="auto"/>
          <w:highlight w:val="none"/>
          <w:lang w:eastAsia="zh-CN"/>
        </w:rPr>
        <w:t>竞选人</w:t>
      </w:r>
      <w:r>
        <w:rPr>
          <w:rFonts w:hint="eastAsia" w:ascii="宋体" w:hAnsi="宋体"/>
          <w:color w:val="auto"/>
          <w:highlight w:val="none"/>
        </w:rPr>
        <w:t>得分=A+B。</w:t>
      </w:r>
    </w:p>
    <w:p w14:paraId="432473FE">
      <w:pPr>
        <w:ind w:firstLine="420" w:firstLineChars="200"/>
        <w:rPr>
          <w:rFonts w:hint="eastAsia" w:ascii="宋体" w:hAnsi="宋体"/>
          <w:color w:val="auto"/>
          <w:highlight w:val="none"/>
        </w:rPr>
      </w:pPr>
      <w:r>
        <w:rPr>
          <w:rFonts w:hint="eastAsia" w:ascii="宋体" w:hAnsi="宋体"/>
          <w:color w:val="auto"/>
          <w:highlight w:val="none"/>
        </w:rPr>
        <w:t>3.3  投标文件的澄清和补正</w:t>
      </w:r>
    </w:p>
    <w:p w14:paraId="14EFEEE8">
      <w:pPr>
        <w:ind w:firstLine="420" w:firstLineChars="200"/>
        <w:rPr>
          <w:rFonts w:hint="eastAsia" w:ascii="宋体" w:hAnsi="宋体"/>
          <w:color w:val="auto"/>
          <w:highlight w:val="none"/>
        </w:rPr>
      </w:pPr>
      <w:r>
        <w:rPr>
          <w:rFonts w:hint="eastAsia" w:ascii="宋体" w:hAnsi="宋体"/>
          <w:color w:val="auto"/>
          <w:highlight w:val="none"/>
        </w:rPr>
        <w:t>3.3.1  在评审过程中，评审委员会可以书面形式要求</w:t>
      </w:r>
      <w:r>
        <w:rPr>
          <w:rFonts w:hint="eastAsia" w:ascii="宋体" w:hAnsi="宋体"/>
          <w:color w:val="auto"/>
          <w:highlight w:val="none"/>
          <w:lang w:eastAsia="zh-CN"/>
        </w:rPr>
        <w:t>竞选人</w:t>
      </w:r>
      <w:r>
        <w:rPr>
          <w:rFonts w:hint="eastAsia" w:ascii="宋体" w:hAnsi="宋体"/>
          <w:color w:val="auto"/>
          <w:highlight w:val="none"/>
        </w:rPr>
        <w:t>对所提交投标文件中不明确的内容进行书面澄清或说明，或者对细微偏差进行补正。评审委员会不接受</w:t>
      </w:r>
      <w:r>
        <w:rPr>
          <w:rFonts w:hint="eastAsia" w:ascii="宋体" w:hAnsi="宋体"/>
          <w:color w:val="auto"/>
          <w:highlight w:val="none"/>
          <w:lang w:eastAsia="zh-CN"/>
        </w:rPr>
        <w:t>竞选人</w:t>
      </w:r>
      <w:r>
        <w:rPr>
          <w:rFonts w:hint="eastAsia" w:ascii="宋体" w:hAnsi="宋体"/>
          <w:color w:val="auto"/>
          <w:highlight w:val="none"/>
        </w:rPr>
        <w:t>主动提出的澄清、说明或补正。</w:t>
      </w:r>
    </w:p>
    <w:p w14:paraId="447CC26F">
      <w:pPr>
        <w:ind w:firstLine="420" w:firstLineChars="200"/>
        <w:rPr>
          <w:rFonts w:hint="eastAsia" w:ascii="宋体" w:hAnsi="宋体"/>
          <w:color w:val="auto"/>
          <w:highlight w:val="none"/>
        </w:rPr>
      </w:pPr>
      <w:r>
        <w:rPr>
          <w:rFonts w:hint="eastAsia" w:ascii="宋体" w:hAnsi="宋体"/>
          <w:color w:val="auto"/>
          <w:highlight w:val="none"/>
        </w:rPr>
        <w:t>3.3.2  澄清、说明和补正不得改变投标文件的实质性内容（算术性错误修正的除外）。</w:t>
      </w:r>
      <w:r>
        <w:rPr>
          <w:rFonts w:hint="eastAsia" w:ascii="宋体" w:hAnsi="宋体"/>
          <w:color w:val="auto"/>
          <w:highlight w:val="none"/>
          <w:lang w:eastAsia="zh-CN"/>
        </w:rPr>
        <w:t>竞选人</w:t>
      </w:r>
      <w:r>
        <w:rPr>
          <w:rFonts w:hint="eastAsia" w:ascii="宋体" w:hAnsi="宋体"/>
          <w:color w:val="auto"/>
          <w:highlight w:val="none"/>
        </w:rPr>
        <w:t>的书面澄清、说明和补正属于投标文件的组成部分。</w:t>
      </w:r>
    </w:p>
    <w:p w14:paraId="0CFDEF84">
      <w:pPr>
        <w:ind w:firstLine="420" w:firstLineChars="200"/>
        <w:rPr>
          <w:rFonts w:hint="eastAsia" w:ascii="宋体" w:hAnsi="宋体"/>
          <w:color w:val="auto"/>
          <w:highlight w:val="none"/>
        </w:rPr>
      </w:pPr>
      <w:r>
        <w:rPr>
          <w:rFonts w:hint="eastAsia" w:ascii="宋体" w:hAnsi="宋体"/>
          <w:color w:val="auto"/>
          <w:highlight w:val="none"/>
        </w:rPr>
        <w:t>3.3.3  评审委员会对</w:t>
      </w:r>
      <w:r>
        <w:rPr>
          <w:rFonts w:hint="eastAsia" w:ascii="宋体" w:hAnsi="宋体"/>
          <w:color w:val="auto"/>
          <w:highlight w:val="none"/>
          <w:lang w:eastAsia="zh-CN"/>
        </w:rPr>
        <w:t>竞选人</w:t>
      </w:r>
      <w:r>
        <w:rPr>
          <w:rFonts w:hint="eastAsia" w:ascii="宋体" w:hAnsi="宋体"/>
          <w:color w:val="auto"/>
          <w:highlight w:val="none"/>
        </w:rPr>
        <w:t>提交的澄清、说明或补正有疑问的，可以要求</w:t>
      </w:r>
      <w:r>
        <w:rPr>
          <w:rFonts w:hint="eastAsia" w:ascii="宋体" w:hAnsi="宋体"/>
          <w:color w:val="auto"/>
          <w:highlight w:val="none"/>
          <w:lang w:eastAsia="zh-CN"/>
        </w:rPr>
        <w:t>竞选人</w:t>
      </w:r>
      <w:r>
        <w:rPr>
          <w:rFonts w:hint="eastAsia" w:ascii="宋体" w:hAnsi="宋体"/>
          <w:color w:val="auto"/>
          <w:highlight w:val="none"/>
        </w:rPr>
        <w:t>进一步澄清、说明或补正，直至满足评审委员会的要求。</w:t>
      </w:r>
    </w:p>
    <w:p w14:paraId="7BC4478F">
      <w:pPr>
        <w:ind w:firstLine="420" w:firstLineChars="200"/>
        <w:rPr>
          <w:rFonts w:hint="eastAsia" w:ascii="宋体" w:hAnsi="宋体"/>
          <w:color w:val="auto"/>
          <w:highlight w:val="none"/>
        </w:rPr>
      </w:pPr>
      <w:r>
        <w:rPr>
          <w:rFonts w:hint="eastAsia" w:ascii="宋体" w:hAnsi="宋体"/>
          <w:color w:val="auto"/>
          <w:highlight w:val="none"/>
        </w:rPr>
        <w:t>3.4  评审结果</w:t>
      </w:r>
    </w:p>
    <w:p w14:paraId="6C84C52F">
      <w:pPr>
        <w:ind w:firstLine="420" w:firstLineChars="200"/>
        <w:rPr>
          <w:rFonts w:hint="eastAsia" w:ascii="宋体" w:hAnsi="宋体"/>
          <w:color w:val="auto"/>
          <w:highlight w:val="none"/>
        </w:rPr>
      </w:pPr>
      <w:r>
        <w:rPr>
          <w:rFonts w:hint="eastAsia" w:ascii="宋体" w:hAnsi="宋体"/>
          <w:color w:val="auto"/>
          <w:highlight w:val="none"/>
        </w:rPr>
        <w:t>3.4.1  除第二章“</w:t>
      </w:r>
      <w:r>
        <w:rPr>
          <w:rFonts w:hint="eastAsia" w:ascii="宋体" w:hAnsi="宋体"/>
          <w:color w:val="auto"/>
          <w:highlight w:val="none"/>
          <w:lang w:eastAsia="zh-CN"/>
        </w:rPr>
        <w:t>竞选人</w:t>
      </w:r>
      <w:r>
        <w:rPr>
          <w:rFonts w:hint="eastAsia" w:ascii="宋体" w:hAnsi="宋体"/>
          <w:color w:val="auto"/>
          <w:highlight w:val="none"/>
        </w:rPr>
        <w:t>须知”前附表授权直接确定中标人外，评审委员会报价由低到高顺序推荐中标候选人。</w:t>
      </w:r>
    </w:p>
    <w:p w14:paraId="05CCC024">
      <w:pPr>
        <w:ind w:firstLine="420" w:firstLineChars="200"/>
        <w:rPr>
          <w:rFonts w:hint="eastAsia" w:ascii="宋体" w:hAnsi="宋体"/>
          <w:color w:val="auto"/>
          <w:highlight w:val="none"/>
        </w:rPr>
      </w:pPr>
      <w:r>
        <w:rPr>
          <w:rFonts w:hint="eastAsia" w:ascii="宋体" w:hAnsi="宋体"/>
          <w:color w:val="auto"/>
          <w:highlight w:val="none"/>
        </w:rPr>
        <w:t>3.4.2  评审委员会完成评审后，应当向招标人提交书面评审报告。</w:t>
      </w:r>
    </w:p>
    <w:p w14:paraId="3D50B618">
      <w:pPr>
        <w:ind w:firstLine="420" w:firstLineChars="200"/>
        <w:rPr>
          <w:rFonts w:hint="eastAsia" w:ascii="宋体" w:hAnsi="宋体"/>
          <w:color w:val="auto"/>
          <w:highlight w:val="none"/>
        </w:rPr>
      </w:pPr>
      <w:r>
        <w:rPr>
          <w:rFonts w:hint="eastAsia" w:ascii="宋体" w:hAnsi="宋体"/>
          <w:color w:val="auto"/>
          <w:highlight w:val="none"/>
        </w:rPr>
        <w:t xml:space="preserve"> </w:t>
      </w:r>
    </w:p>
    <w:p w14:paraId="31918D9E">
      <w:pPr>
        <w:ind w:firstLine="420" w:firstLineChars="200"/>
        <w:rPr>
          <w:rFonts w:hint="eastAsia" w:ascii="宋体" w:hAnsi="宋体"/>
          <w:color w:val="auto"/>
          <w:highlight w:val="none"/>
        </w:rPr>
      </w:pPr>
      <w:r>
        <w:rPr>
          <w:rFonts w:hint="eastAsia" w:ascii="宋体" w:hAnsi="宋体"/>
          <w:color w:val="auto"/>
          <w:highlight w:val="none"/>
        </w:rPr>
        <w:t xml:space="preserve"> </w:t>
      </w:r>
    </w:p>
    <w:p w14:paraId="63C334D3">
      <w:pPr>
        <w:ind w:firstLine="420" w:firstLineChars="200"/>
        <w:rPr>
          <w:rFonts w:hint="eastAsia" w:ascii="宋体" w:hAnsi="宋体"/>
          <w:color w:val="auto"/>
          <w:highlight w:val="none"/>
        </w:rPr>
      </w:pPr>
      <w:r>
        <w:rPr>
          <w:rFonts w:hint="eastAsia" w:ascii="宋体" w:hAnsi="宋体"/>
          <w:color w:val="auto"/>
          <w:highlight w:val="none"/>
        </w:rPr>
        <w:t xml:space="preserve"> </w:t>
      </w:r>
    </w:p>
    <w:p w14:paraId="536DBA81">
      <w:pPr>
        <w:ind w:firstLine="420" w:firstLineChars="200"/>
        <w:rPr>
          <w:rFonts w:hint="eastAsia" w:ascii="宋体" w:hAnsi="宋体"/>
          <w:color w:val="auto"/>
          <w:highlight w:val="none"/>
        </w:rPr>
      </w:pPr>
      <w:r>
        <w:rPr>
          <w:rFonts w:hint="eastAsia" w:ascii="宋体" w:hAnsi="宋体"/>
          <w:color w:val="auto"/>
          <w:highlight w:val="none"/>
        </w:rPr>
        <w:t xml:space="preserve"> </w:t>
      </w:r>
    </w:p>
    <w:p w14:paraId="24251667">
      <w:pPr>
        <w:ind w:firstLine="420" w:firstLineChars="200"/>
        <w:rPr>
          <w:rFonts w:hint="eastAsia" w:ascii="宋体" w:hAnsi="宋体"/>
          <w:color w:val="auto"/>
          <w:highlight w:val="none"/>
        </w:rPr>
      </w:pPr>
      <w:r>
        <w:rPr>
          <w:rFonts w:hint="eastAsia" w:ascii="宋体" w:hAnsi="宋体"/>
          <w:color w:val="auto"/>
          <w:highlight w:val="none"/>
        </w:rPr>
        <w:t xml:space="preserve"> </w:t>
      </w:r>
    </w:p>
    <w:p w14:paraId="193F2842">
      <w:pPr>
        <w:pStyle w:val="34"/>
        <w:spacing w:line="360" w:lineRule="auto"/>
        <w:rPr>
          <w:rFonts w:hint="eastAsia" w:ascii="宋体" w:hAnsi="宋体"/>
          <w:b/>
          <w:color w:val="auto"/>
          <w:sz w:val="28"/>
          <w:szCs w:val="28"/>
          <w:highlight w:val="none"/>
          <w:lang w:eastAsia="zh-CN"/>
        </w:rPr>
      </w:pPr>
      <w:r>
        <w:rPr>
          <w:rFonts w:hint="eastAsia" w:ascii="宋体" w:hAnsi="宋体"/>
          <w:color w:val="auto"/>
          <w:highlight w:val="none"/>
          <w:lang w:eastAsia="zh-CN"/>
        </w:rPr>
        <w:br w:type="page"/>
      </w:r>
      <w:r>
        <w:rPr>
          <w:rFonts w:hint="eastAsia" w:ascii="宋体" w:hAnsi="宋体"/>
          <w:b/>
          <w:color w:val="auto"/>
          <w:sz w:val="28"/>
          <w:szCs w:val="28"/>
          <w:highlight w:val="none"/>
          <w:lang w:eastAsia="zh-CN"/>
        </w:rPr>
        <w:t>附件A：综合评估法否决投标情况一览表</w:t>
      </w:r>
    </w:p>
    <w:p w14:paraId="268FEEDB">
      <w:pPr>
        <w:pStyle w:val="34"/>
        <w:spacing w:line="360" w:lineRule="auto"/>
        <w:ind w:firstLine="420" w:firstLineChars="200"/>
        <w:jc w:val="both"/>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投标文件存在本一览表下列情形之一的，投标文件视为重大偏差并作否决投标处理，否则，评标委员会不得视为重大偏差而否决竞选人的投标文件。</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3EFCCE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tcBorders>
              <w:top w:val="single" w:color="000000" w:sz="8" w:space="0"/>
              <w:left w:val="single" w:color="000000" w:sz="8" w:space="0"/>
              <w:bottom w:val="single" w:color="000000" w:sz="4" w:space="0"/>
              <w:right w:val="single" w:color="000000" w:sz="4" w:space="0"/>
            </w:tcBorders>
            <w:vAlign w:val="center"/>
          </w:tcPr>
          <w:p w14:paraId="3AC3145B">
            <w:pPr>
              <w:spacing w:line="400" w:lineRule="exact"/>
              <w:jc w:val="center"/>
              <w:rPr>
                <w:rFonts w:ascii="宋体" w:hAnsi="宋体" w:eastAsia="微软雅黑"/>
                <w:b/>
                <w:color w:val="auto"/>
                <w:sz w:val="24"/>
                <w:highlight w:val="none"/>
              </w:rPr>
            </w:pPr>
            <w:r>
              <w:rPr>
                <w:rFonts w:hint="eastAsia" w:ascii="微软雅黑" w:hAnsi="微软雅黑"/>
                <w:b/>
                <w:color w:val="auto"/>
                <w:highlight w:val="none"/>
              </w:rPr>
              <w:t>章节号</w:t>
            </w:r>
          </w:p>
        </w:tc>
        <w:tc>
          <w:tcPr>
            <w:tcW w:w="1899" w:type="dxa"/>
            <w:tcBorders>
              <w:top w:val="single" w:color="000000" w:sz="8" w:space="0"/>
              <w:left w:val="single" w:color="000000" w:sz="4" w:space="0"/>
              <w:bottom w:val="single" w:color="000000" w:sz="4" w:space="0"/>
              <w:right w:val="single" w:color="000000" w:sz="4" w:space="0"/>
            </w:tcBorders>
            <w:vAlign w:val="center"/>
          </w:tcPr>
          <w:p w14:paraId="30764FBE">
            <w:pPr>
              <w:spacing w:line="400" w:lineRule="exact"/>
              <w:jc w:val="center"/>
              <w:rPr>
                <w:rFonts w:ascii="宋体" w:hAnsi="宋体" w:eastAsia="微软雅黑"/>
                <w:b/>
                <w:color w:val="auto"/>
                <w:sz w:val="24"/>
                <w:highlight w:val="none"/>
              </w:rPr>
            </w:pPr>
            <w:r>
              <w:rPr>
                <w:rFonts w:hint="eastAsia" w:ascii="微软雅黑" w:hAnsi="微软雅黑"/>
                <w:b/>
                <w:color w:val="auto"/>
                <w:highlight w:val="none"/>
              </w:rPr>
              <w:t>条款名称</w:t>
            </w:r>
          </w:p>
        </w:tc>
        <w:tc>
          <w:tcPr>
            <w:tcW w:w="6333" w:type="dxa"/>
            <w:tcBorders>
              <w:top w:val="single" w:color="000000" w:sz="8" w:space="0"/>
              <w:left w:val="single" w:color="000000" w:sz="4" w:space="0"/>
              <w:bottom w:val="single" w:color="000000" w:sz="4" w:space="0"/>
              <w:right w:val="single" w:color="000000" w:sz="8" w:space="0"/>
            </w:tcBorders>
            <w:vAlign w:val="center"/>
          </w:tcPr>
          <w:p w14:paraId="050BA9F6">
            <w:pPr>
              <w:spacing w:line="400" w:lineRule="exact"/>
              <w:jc w:val="center"/>
              <w:rPr>
                <w:rFonts w:ascii="宋体" w:hAnsi="宋体" w:eastAsia="微软雅黑"/>
                <w:b/>
                <w:color w:val="auto"/>
                <w:sz w:val="24"/>
                <w:highlight w:val="none"/>
              </w:rPr>
            </w:pPr>
            <w:r>
              <w:rPr>
                <w:rFonts w:hint="eastAsia" w:ascii="微软雅黑" w:hAnsi="微软雅黑"/>
                <w:b/>
                <w:color w:val="auto"/>
                <w:highlight w:val="none"/>
              </w:rPr>
              <w:t>否决投标条件</w:t>
            </w:r>
          </w:p>
        </w:tc>
      </w:tr>
      <w:tr w14:paraId="0EC0B4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restart"/>
            <w:tcBorders>
              <w:top w:val="single" w:color="000000" w:sz="8" w:space="0"/>
              <w:left w:val="single" w:color="000000" w:sz="8" w:space="0"/>
              <w:right w:val="single" w:color="000000" w:sz="4" w:space="0"/>
            </w:tcBorders>
            <w:vAlign w:val="center"/>
          </w:tcPr>
          <w:p w14:paraId="4BA689AF">
            <w:pPr>
              <w:spacing w:line="400" w:lineRule="exact"/>
              <w:jc w:val="center"/>
              <w:rPr>
                <w:rFonts w:hint="eastAsia" w:ascii="微软雅黑" w:hAnsi="微软雅黑"/>
                <w:b/>
                <w:color w:val="auto"/>
                <w:highlight w:val="none"/>
              </w:rPr>
            </w:pPr>
          </w:p>
        </w:tc>
        <w:tc>
          <w:tcPr>
            <w:tcW w:w="1899" w:type="dxa"/>
            <w:vMerge w:val="restart"/>
            <w:tcBorders>
              <w:top w:val="single" w:color="000000" w:sz="8" w:space="0"/>
              <w:left w:val="single" w:color="000000" w:sz="4" w:space="0"/>
              <w:right w:val="single" w:color="000000" w:sz="4" w:space="0"/>
            </w:tcBorders>
            <w:vAlign w:val="center"/>
          </w:tcPr>
          <w:p w14:paraId="6708C28F">
            <w:pPr>
              <w:spacing w:line="400" w:lineRule="exact"/>
              <w:jc w:val="center"/>
              <w:rPr>
                <w:rFonts w:hint="eastAsia" w:ascii="微软雅黑" w:hAnsi="微软雅黑"/>
                <w:b/>
                <w:color w:val="auto"/>
                <w:highlight w:val="none"/>
              </w:rPr>
            </w:pPr>
            <w:r>
              <w:rPr>
                <w:rFonts w:hint="eastAsia" w:ascii="宋体" w:hAnsi="宋体"/>
                <w:color w:val="auto"/>
                <w:szCs w:val="21"/>
                <w:highlight w:val="none"/>
              </w:rPr>
              <w:t>资格评审</w:t>
            </w:r>
          </w:p>
        </w:tc>
        <w:tc>
          <w:tcPr>
            <w:tcW w:w="6333" w:type="dxa"/>
            <w:tcBorders>
              <w:top w:val="single" w:color="000000" w:sz="8" w:space="0"/>
              <w:left w:val="single" w:color="000000" w:sz="4" w:space="0"/>
              <w:bottom w:val="single" w:color="000000" w:sz="4" w:space="0"/>
              <w:right w:val="single" w:color="000000" w:sz="8" w:space="0"/>
            </w:tcBorders>
            <w:vAlign w:val="center"/>
          </w:tcPr>
          <w:p w14:paraId="06028893">
            <w:pPr>
              <w:spacing w:line="400" w:lineRule="exact"/>
              <w:ind w:firstLine="420" w:firstLineChars="200"/>
              <w:rPr>
                <w:rFonts w:hint="eastAsia" w:ascii="微软雅黑" w:hAnsi="微软雅黑"/>
                <w:b/>
                <w:color w:val="auto"/>
                <w:highlight w:val="none"/>
              </w:rPr>
            </w:pPr>
            <w:r>
              <w:rPr>
                <w:rFonts w:hint="eastAsia" w:ascii="宋体" w:hAnsi="宋体"/>
                <w:color w:val="auto"/>
                <w:szCs w:val="21"/>
                <w:highlight w:val="none"/>
              </w:rPr>
              <w:t>A-1</w:t>
            </w:r>
            <w:r>
              <w:rPr>
                <w:rFonts w:hint="eastAsia" w:ascii="宋体" w:hAnsi="宋体"/>
                <w:color w:val="auto"/>
                <w:szCs w:val="21"/>
                <w:highlight w:val="none"/>
                <w:lang w:eastAsia="zh-CN"/>
              </w:rPr>
              <w:t>竞选人</w:t>
            </w:r>
            <w:r>
              <w:rPr>
                <w:rFonts w:hint="eastAsia" w:ascii="宋体" w:hAnsi="宋体"/>
                <w:color w:val="auto"/>
                <w:szCs w:val="21"/>
                <w:highlight w:val="none"/>
              </w:rPr>
              <w:t>的资质条件、营业执照及安全生产条件须满足</w:t>
            </w:r>
            <w:r>
              <w:rPr>
                <w:rFonts w:hint="eastAsia" w:ascii="宋体" w:hAnsi="宋体"/>
                <w:color w:val="auto"/>
                <w:szCs w:val="21"/>
                <w:highlight w:val="none"/>
                <w:lang w:eastAsia="zh-CN"/>
              </w:rPr>
              <w:t>竞选人须知</w:t>
            </w:r>
            <w:r>
              <w:rPr>
                <w:rFonts w:hint="eastAsia" w:ascii="宋体" w:hAnsi="宋体"/>
                <w:color w:val="auto"/>
                <w:szCs w:val="21"/>
                <w:highlight w:val="none"/>
              </w:rPr>
              <w:t>前附表第1.4.1项第1条的要求，否则由评标委员会作否决投标处理。</w:t>
            </w:r>
          </w:p>
        </w:tc>
      </w:tr>
      <w:tr w14:paraId="1D69D9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left w:val="single" w:color="000000" w:sz="8" w:space="0"/>
              <w:right w:val="single" w:color="000000" w:sz="4" w:space="0"/>
            </w:tcBorders>
            <w:vAlign w:val="center"/>
          </w:tcPr>
          <w:p w14:paraId="210D6110">
            <w:pPr>
              <w:spacing w:line="400" w:lineRule="exact"/>
              <w:jc w:val="center"/>
              <w:rPr>
                <w:rFonts w:hint="eastAsia" w:ascii="微软雅黑" w:hAnsi="微软雅黑"/>
                <w:b/>
                <w:color w:val="auto"/>
                <w:highlight w:val="none"/>
              </w:rPr>
            </w:pPr>
          </w:p>
        </w:tc>
        <w:tc>
          <w:tcPr>
            <w:tcW w:w="1899" w:type="dxa"/>
            <w:vMerge w:val="continue"/>
            <w:tcBorders>
              <w:left w:val="single" w:color="000000" w:sz="4" w:space="0"/>
              <w:right w:val="single" w:color="000000" w:sz="4" w:space="0"/>
            </w:tcBorders>
            <w:vAlign w:val="center"/>
          </w:tcPr>
          <w:p w14:paraId="0CB65EAE">
            <w:pPr>
              <w:spacing w:line="400" w:lineRule="exact"/>
              <w:jc w:val="center"/>
              <w:rPr>
                <w:rFonts w:hint="eastAsia" w:ascii="宋体" w:hAnsi="宋体"/>
                <w:color w:val="auto"/>
                <w:szCs w:val="21"/>
                <w:highlight w:val="none"/>
              </w:rPr>
            </w:pPr>
          </w:p>
        </w:tc>
        <w:tc>
          <w:tcPr>
            <w:tcW w:w="6333" w:type="dxa"/>
            <w:tcBorders>
              <w:top w:val="single" w:color="000000" w:sz="8" w:space="0"/>
              <w:left w:val="single" w:color="000000" w:sz="4" w:space="0"/>
              <w:bottom w:val="single" w:color="000000" w:sz="4" w:space="0"/>
              <w:right w:val="single" w:color="000000" w:sz="8" w:space="0"/>
            </w:tcBorders>
            <w:vAlign w:val="center"/>
          </w:tcPr>
          <w:p w14:paraId="36C0B3B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竞选人</w:t>
            </w:r>
            <w:r>
              <w:rPr>
                <w:rFonts w:hint="eastAsia" w:ascii="宋体" w:hAnsi="宋体"/>
                <w:color w:val="auto"/>
                <w:szCs w:val="21"/>
                <w:highlight w:val="none"/>
              </w:rPr>
              <w:t>的</w:t>
            </w:r>
            <w:r>
              <w:rPr>
                <w:rFonts w:hint="eastAsia" w:ascii="宋体" w:hAnsi="宋体"/>
                <w:color w:val="auto"/>
                <w:szCs w:val="21"/>
                <w:highlight w:val="none"/>
                <w:lang w:val="en-US" w:eastAsia="zh-CN"/>
              </w:rPr>
              <w:t>竞选</w:t>
            </w:r>
            <w:r>
              <w:rPr>
                <w:rFonts w:hint="eastAsia" w:ascii="宋体" w:hAnsi="宋体"/>
                <w:color w:val="auto"/>
                <w:szCs w:val="21"/>
                <w:highlight w:val="none"/>
              </w:rPr>
              <w:t>截止日投标资格情况须满足</w:t>
            </w:r>
            <w:r>
              <w:rPr>
                <w:rFonts w:hint="eastAsia" w:ascii="宋体" w:hAnsi="宋体"/>
                <w:color w:val="auto"/>
                <w:szCs w:val="21"/>
                <w:highlight w:val="none"/>
                <w:lang w:eastAsia="zh-CN"/>
              </w:rPr>
              <w:t>竞选人须知</w:t>
            </w:r>
            <w:r>
              <w:rPr>
                <w:rFonts w:hint="eastAsia" w:ascii="宋体" w:hAnsi="宋体"/>
                <w:color w:val="auto"/>
                <w:szCs w:val="21"/>
                <w:highlight w:val="none"/>
              </w:rPr>
              <w:t>前附表1.4.1项第</w:t>
            </w:r>
            <w:r>
              <w:rPr>
                <w:rFonts w:hint="eastAsia" w:ascii="宋体" w:hAnsi="宋体"/>
                <w:color w:val="auto"/>
                <w:szCs w:val="21"/>
                <w:highlight w:val="none"/>
                <w:lang w:val="en-US" w:eastAsia="zh-CN"/>
              </w:rPr>
              <w:t>2</w:t>
            </w:r>
            <w:r>
              <w:rPr>
                <w:rFonts w:hint="eastAsia" w:ascii="宋体" w:hAnsi="宋体"/>
                <w:color w:val="auto"/>
                <w:szCs w:val="21"/>
                <w:highlight w:val="none"/>
              </w:rPr>
              <w:t>条的要求，否则由评标委员会作否决投标处理。</w:t>
            </w:r>
          </w:p>
        </w:tc>
      </w:tr>
      <w:tr w14:paraId="2023B6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left w:val="single" w:color="000000" w:sz="8" w:space="0"/>
              <w:right w:val="single" w:color="000000" w:sz="4" w:space="0"/>
            </w:tcBorders>
            <w:vAlign w:val="center"/>
          </w:tcPr>
          <w:p w14:paraId="2C79AF08">
            <w:pPr>
              <w:spacing w:line="400" w:lineRule="exact"/>
              <w:jc w:val="center"/>
              <w:rPr>
                <w:rFonts w:hint="eastAsia" w:ascii="微软雅黑" w:hAnsi="微软雅黑"/>
                <w:b/>
                <w:color w:val="auto"/>
                <w:highlight w:val="none"/>
              </w:rPr>
            </w:pPr>
          </w:p>
        </w:tc>
        <w:tc>
          <w:tcPr>
            <w:tcW w:w="1899" w:type="dxa"/>
            <w:vMerge w:val="continue"/>
            <w:tcBorders>
              <w:left w:val="single" w:color="000000" w:sz="4" w:space="0"/>
              <w:right w:val="single" w:color="000000" w:sz="4" w:space="0"/>
            </w:tcBorders>
            <w:vAlign w:val="center"/>
          </w:tcPr>
          <w:p w14:paraId="588A0825">
            <w:pPr>
              <w:spacing w:line="400" w:lineRule="exact"/>
              <w:jc w:val="center"/>
              <w:rPr>
                <w:rFonts w:hint="eastAsia" w:ascii="宋体" w:hAnsi="宋体"/>
                <w:color w:val="auto"/>
                <w:szCs w:val="21"/>
                <w:highlight w:val="none"/>
              </w:rPr>
            </w:pPr>
          </w:p>
        </w:tc>
        <w:tc>
          <w:tcPr>
            <w:tcW w:w="6333" w:type="dxa"/>
            <w:tcBorders>
              <w:top w:val="single" w:color="000000" w:sz="8" w:space="0"/>
              <w:left w:val="single" w:color="000000" w:sz="4" w:space="0"/>
              <w:bottom w:val="single" w:color="000000" w:sz="4" w:space="0"/>
              <w:right w:val="single" w:color="000000" w:sz="8" w:space="0"/>
            </w:tcBorders>
            <w:vAlign w:val="center"/>
          </w:tcPr>
          <w:p w14:paraId="51A5E40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竞选人</w:t>
            </w:r>
            <w:r>
              <w:rPr>
                <w:rFonts w:hint="eastAsia" w:ascii="宋体" w:hAnsi="宋体"/>
                <w:color w:val="auto"/>
                <w:szCs w:val="21"/>
                <w:highlight w:val="none"/>
              </w:rPr>
              <w:t>的项目经理资格须满足</w:t>
            </w:r>
            <w:r>
              <w:rPr>
                <w:rFonts w:hint="eastAsia" w:ascii="宋体" w:hAnsi="宋体"/>
                <w:color w:val="auto"/>
                <w:szCs w:val="21"/>
                <w:highlight w:val="none"/>
                <w:lang w:eastAsia="zh-CN"/>
              </w:rPr>
              <w:t>竞选人须知</w:t>
            </w:r>
            <w:r>
              <w:rPr>
                <w:rFonts w:hint="eastAsia" w:ascii="宋体" w:hAnsi="宋体"/>
                <w:color w:val="auto"/>
                <w:szCs w:val="21"/>
                <w:highlight w:val="none"/>
              </w:rPr>
              <w:t>前附表第1.4.1项第</w:t>
            </w:r>
            <w:r>
              <w:rPr>
                <w:rFonts w:hint="eastAsia" w:ascii="宋体" w:hAnsi="宋体"/>
                <w:color w:val="auto"/>
                <w:szCs w:val="21"/>
                <w:highlight w:val="none"/>
                <w:lang w:val="en-US" w:eastAsia="zh-CN"/>
              </w:rPr>
              <w:t>3</w:t>
            </w:r>
            <w:r>
              <w:rPr>
                <w:rFonts w:hint="eastAsia" w:ascii="宋体" w:hAnsi="宋体"/>
                <w:color w:val="auto"/>
                <w:szCs w:val="21"/>
                <w:highlight w:val="none"/>
              </w:rPr>
              <w:t>条的要求，否则由评标委员会作否决投标处理。</w:t>
            </w:r>
          </w:p>
        </w:tc>
      </w:tr>
      <w:tr w14:paraId="4F17CB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left w:val="single" w:color="000000" w:sz="8" w:space="0"/>
              <w:bottom w:val="single" w:color="000000" w:sz="4" w:space="0"/>
              <w:right w:val="single" w:color="000000" w:sz="4" w:space="0"/>
            </w:tcBorders>
            <w:vAlign w:val="center"/>
          </w:tcPr>
          <w:p w14:paraId="428560A0">
            <w:pPr>
              <w:spacing w:line="400" w:lineRule="exact"/>
              <w:jc w:val="center"/>
              <w:rPr>
                <w:rFonts w:hint="eastAsia" w:ascii="微软雅黑" w:hAnsi="微软雅黑"/>
                <w:b/>
                <w:color w:val="auto"/>
                <w:highlight w:val="none"/>
              </w:rPr>
            </w:pPr>
          </w:p>
        </w:tc>
        <w:tc>
          <w:tcPr>
            <w:tcW w:w="1899" w:type="dxa"/>
            <w:vMerge w:val="continue"/>
            <w:tcBorders>
              <w:left w:val="single" w:color="000000" w:sz="4" w:space="0"/>
              <w:bottom w:val="single" w:color="000000" w:sz="4" w:space="0"/>
              <w:right w:val="single" w:color="000000" w:sz="4" w:space="0"/>
            </w:tcBorders>
            <w:vAlign w:val="center"/>
          </w:tcPr>
          <w:p w14:paraId="77C19D7F">
            <w:pPr>
              <w:spacing w:line="400" w:lineRule="exact"/>
              <w:jc w:val="center"/>
              <w:rPr>
                <w:rFonts w:hint="eastAsia" w:ascii="宋体" w:hAnsi="宋体"/>
                <w:color w:val="auto"/>
                <w:szCs w:val="21"/>
                <w:highlight w:val="none"/>
              </w:rPr>
            </w:pPr>
          </w:p>
        </w:tc>
        <w:tc>
          <w:tcPr>
            <w:tcW w:w="6333" w:type="dxa"/>
            <w:tcBorders>
              <w:top w:val="single" w:color="000000" w:sz="8" w:space="0"/>
              <w:left w:val="single" w:color="000000" w:sz="4" w:space="0"/>
              <w:bottom w:val="single" w:color="000000" w:sz="4" w:space="0"/>
              <w:right w:val="single" w:color="000000" w:sz="8" w:space="0"/>
            </w:tcBorders>
            <w:vAlign w:val="center"/>
          </w:tcPr>
          <w:p w14:paraId="497DB8F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竞选人</w:t>
            </w:r>
            <w:r>
              <w:rPr>
                <w:rFonts w:hint="eastAsia" w:ascii="宋体" w:hAnsi="宋体"/>
                <w:color w:val="auto"/>
                <w:szCs w:val="21"/>
                <w:highlight w:val="none"/>
              </w:rPr>
              <w:t>的其他要求须满足</w:t>
            </w:r>
            <w:r>
              <w:rPr>
                <w:rFonts w:hint="eastAsia" w:ascii="宋体" w:hAnsi="宋体"/>
                <w:color w:val="auto"/>
                <w:szCs w:val="21"/>
                <w:highlight w:val="none"/>
                <w:lang w:eastAsia="zh-CN"/>
              </w:rPr>
              <w:t>竞选人须知</w:t>
            </w:r>
            <w:r>
              <w:rPr>
                <w:rFonts w:hint="eastAsia" w:ascii="宋体" w:hAnsi="宋体"/>
                <w:color w:val="auto"/>
                <w:szCs w:val="21"/>
                <w:highlight w:val="none"/>
              </w:rPr>
              <w:t>前附表第1.4.1项第</w:t>
            </w:r>
            <w:r>
              <w:rPr>
                <w:rFonts w:hint="eastAsia" w:ascii="宋体" w:hAnsi="宋体"/>
                <w:color w:val="auto"/>
                <w:szCs w:val="21"/>
                <w:highlight w:val="none"/>
                <w:lang w:val="en-US" w:eastAsia="zh-CN"/>
              </w:rPr>
              <w:t>4</w:t>
            </w:r>
            <w:r>
              <w:rPr>
                <w:rFonts w:hint="eastAsia" w:ascii="宋体" w:hAnsi="宋体"/>
                <w:color w:val="auto"/>
                <w:szCs w:val="21"/>
                <w:highlight w:val="none"/>
              </w:rPr>
              <w:t>条的要求，否则由评标委员会作否决投标处理。</w:t>
            </w:r>
          </w:p>
        </w:tc>
      </w:tr>
      <w:tr w14:paraId="2C97A7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restart"/>
            <w:tcBorders>
              <w:top w:val="single" w:color="000000" w:sz="4" w:space="0"/>
              <w:left w:val="single" w:color="000000" w:sz="8" w:space="0"/>
              <w:bottom w:val="single" w:color="000000" w:sz="4" w:space="0"/>
              <w:right w:val="single" w:color="000000" w:sz="4" w:space="0"/>
            </w:tcBorders>
            <w:vAlign w:val="center"/>
          </w:tcPr>
          <w:p w14:paraId="2CCF3D6D">
            <w:pPr>
              <w:spacing w:line="400" w:lineRule="exact"/>
              <w:jc w:val="center"/>
              <w:rPr>
                <w:rFonts w:ascii="宋体" w:hAnsi="宋体" w:eastAsia="微软雅黑"/>
                <w:color w:val="auto"/>
                <w:sz w:val="24"/>
                <w:highlight w:val="none"/>
              </w:rPr>
            </w:pPr>
          </w:p>
        </w:tc>
        <w:tc>
          <w:tcPr>
            <w:tcW w:w="1899" w:type="dxa"/>
            <w:vMerge w:val="restart"/>
            <w:tcBorders>
              <w:top w:val="single" w:color="000000" w:sz="4" w:space="0"/>
              <w:left w:val="single" w:color="000000" w:sz="4" w:space="0"/>
              <w:bottom w:val="single" w:color="000000" w:sz="4" w:space="0"/>
              <w:right w:val="single" w:color="000000" w:sz="4" w:space="0"/>
            </w:tcBorders>
            <w:vAlign w:val="center"/>
          </w:tcPr>
          <w:p w14:paraId="35983963">
            <w:pPr>
              <w:spacing w:line="400" w:lineRule="exact"/>
              <w:jc w:val="center"/>
              <w:rPr>
                <w:rFonts w:ascii="宋体" w:hAnsi="宋体" w:eastAsia="微软雅黑"/>
                <w:color w:val="auto"/>
                <w:sz w:val="24"/>
                <w:highlight w:val="none"/>
              </w:rPr>
            </w:pPr>
            <w:r>
              <w:rPr>
                <w:rFonts w:hint="eastAsia" w:ascii="微软雅黑" w:hAnsi="微软雅黑"/>
                <w:color w:val="auto"/>
                <w:highlight w:val="none"/>
              </w:rPr>
              <w:t>形式评审</w:t>
            </w:r>
          </w:p>
        </w:tc>
        <w:tc>
          <w:tcPr>
            <w:tcW w:w="6333" w:type="dxa"/>
            <w:tcBorders>
              <w:top w:val="single" w:color="000000" w:sz="4" w:space="0"/>
              <w:left w:val="single" w:color="000000" w:sz="4" w:space="0"/>
              <w:bottom w:val="single" w:color="000000" w:sz="4" w:space="0"/>
              <w:right w:val="single" w:color="000000" w:sz="8" w:space="0"/>
            </w:tcBorders>
          </w:tcPr>
          <w:p w14:paraId="4A6F86F9">
            <w:pPr>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5</w:t>
            </w:r>
            <w:r>
              <w:rPr>
                <w:rFonts w:hint="eastAsia" w:ascii="宋体" w:hAnsi="宋体"/>
                <w:color w:val="auto"/>
                <w:highlight w:val="none"/>
                <w:lang w:eastAsia="zh-CN"/>
              </w:rPr>
              <w:t>竞选人</w:t>
            </w:r>
            <w:r>
              <w:rPr>
                <w:rFonts w:hint="eastAsia" w:ascii="宋体" w:hAnsi="宋体"/>
                <w:color w:val="auto"/>
                <w:highlight w:val="none"/>
              </w:rPr>
              <w:t>名称必须与营业执照一致，依法变更名称的应提交相应证明材料，否则由评标委员会作否决投标处理。</w:t>
            </w:r>
          </w:p>
        </w:tc>
      </w:tr>
      <w:tr w14:paraId="325671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32BB0EBF">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1F57CF4D">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tcPr>
          <w:p w14:paraId="11A8042E">
            <w:pPr>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6</w:t>
            </w:r>
            <w:r>
              <w:rPr>
                <w:rFonts w:hint="eastAsia" w:ascii="宋体" w:hAnsi="宋体"/>
                <w:color w:val="auto"/>
                <w:highlight w:val="none"/>
              </w:rPr>
              <w:t>投标函格式规定签名、盖章的位置有法定代表人或其委托代理人签名（或盖章）、加盖单位法人章，否则由评标委员会作否决投标处理。</w:t>
            </w:r>
          </w:p>
        </w:tc>
      </w:tr>
      <w:tr w14:paraId="0E3676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6412F0FC">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7300B493">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tcPr>
          <w:p w14:paraId="2D3844BD">
            <w:pPr>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7</w:t>
            </w:r>
            <w:r>
              <w:rPr>
                <w:rFonts w:hint="eastAsia" w:ascii="宋体" w:hAnsi="宋体"/>
                <w:color w:val="auto"/>
                <w:highlight w:val="none"/>
              </w:rPr>
              <w:t>投标文件格式符合第二章“</w:t>
            </w:r>
            <w:r>
              <w:rPr>
                <w:rFonts w:hint="eastAsia" w:ascii="宋体" w:hAnsi="宋体"/>
                <w:color w:val="auto"/>
                <w:highlight w:val="none"/>
                <w:lang w:eastAsia="zh-CN"/>
              </w:rPr>
              <w:t>竞选人</w:t>
            </w:r>
            <w:r>
              <w:rPr>
                <w:rFonts w:hint="eastAsia" w:ascii="宋体" w:hAnsi="宋体"/>
                <w:color w:val="auto"/>
                <w:highlight w:val="none"/>
              </w:rPr>
              <w:t>须知”第3.7.1款的要求，否则由评标委员会作否决投标处理。</w:t>
            </w:r>
          </w:p>
          <w:p w14:paraId="59CA9166">
            <w:pPr>
              <w:spacing w:line="400" w:lineRule="exact"/>
              <w:ind w:firstLine="420" w:firstLineChars="200"/>
              <w:rPr>
                <w:rFonts w:ascii="宋体" w:hAnsi="宋体"/>
                <w:color w:val="auto"/>
                <w:sz w:val="24"/>
                <w:highlight w:val="none"/>
              </w:rPr>
            </w:pPr>
            <w:r>
              <w:rPr>
                <w:rFonts w:hint="eastAsia" w:ascii="宋体" w:hAnsi="宋体"/>
                <w:color w:val="auto"/>
                <w:kern w:val="0"/>
                <w:highlight w:val="none"/>
              </w:rPr>
              <w:t>编制投标文件时不得对第六章“投标文件格式”的相应要素作实质性修改，否则由评标委员会作否决投标处理。</w:t>
            </w:r>
          </w:p>
        </w:tc>
      </w:tr>
      <w:tr w14:paraId="733828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6E0C7503">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6C951B59">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tcPr>
          <w:p w14:paraId="35242787">
            <w:pPr>
              <w:autoSpaceDE w:val="0"/>
              <w:autoSpaceDN w:val="0"/>
              <w:adjustRightInd w:val="0"/>
              <w:snapToGrid w:val="0"/>
              <w:spacing w:line="400" w:lineRule="exact"/>
              <w:ind w:firstLine="420" w:firstLineChars="200"/>
              <w:rPr>
                <w:rFonts w:ascii="宋体" w:hAnsi="宋体"/>
                <w:i/>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8</w:t>
            </w:r>
            <w:r>
              <w:rPr>
                <w:rFonts w:hint="eastAsia" w:ascii="宋体" w:hAnsi="宋体"/>
                <w:color w:val="auto"/>
                <w:highlight w:val="none"/>
              </w:rPr>
              <w:t>投标文件份数符合第二章“</w:t>
            </w:r>
            <w:r>
              <w:rPr>
                <w:rFonts w:hint="eastAsia" w:ascii="宋体" w:hAnsi="宋体"/>
                <w:color w:val="auto"/>
                <w:highlight w:val="none"/>
                <w:lang w:eastAsia="zh-CN"/>
              </w:rPr>
              <w:t>竞选人</w:t>
            </w:r>
            <w:r>
              <w:rPr>
                <w:rFonts w:hint="eastAsia" w:ascii="宋体" w:hAnsi="宋体"/>
                <w:color w:val="auto"/>
                <w:highlight w:val="none"/>
              </w:rPr>
              <w:t>须知”第3.7.4项的规定，</w:t>
            </w:r>
            <w:r>
              <w:rPr>
                <w:rFonts w:hint="eastAsia" w:ascii="宋体" w:hAnsi="宋体"/>
                <w:color w:val="auto"/>
                <w:kern w:val="0"/>
                <w:highlight w:val="none"/>
              </w:rPr>
              <w:t>否则由评标委员会作否决投标处理。</w:t>
            </w:r>
          </w:p>
        </w:tc>
      </w:tr>
      <w:tr w14:paraId="56FD4E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6FE394D4">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1B499C15">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tcPr>
          <w:p w14:paraId="6BF11032">
            <w:pPr>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9</w:t>
            </w:r>
            <w:r>
              <w:rPr>
                <w:rFonts w:hint="eastAsia" w:ascii="宋体" w:hAnsi="宋体"/>
                <w:color w:val="auto"/>
                <w:highlight w:val="none"/>
              </w:rPr>
              <w:t>只能有一个有效报价。在</w:t>
            </w:r>
            <w:r>
              <w:rPr>
                <w:rFonts w:hint="eastAsia" w:ascii="宋体" w:hAnsi="宋体"/>
                <w:color w:val="auto"/>
                <w:highlight w:val="none"/>
                <w:lang w:eastAsia="zh-CN"/>
              </w:rPr>
              <w:t>比选文件</w:t>
            </w:r>
            <w:r>
              <w:rPr>
                <w:rFonts w:hint="eastAsia" w:ascii="宋体" w:hAnsi="宋体"/>
                <w:color w:val="auto"/>
                <w:highlight w:val="none"/>
              </w:rPr>
              <w:t>没有规定的情况下，不得提交选择性报价，否则由评标委员会作否决投标处理。</w:t>
            </w:r>
          </w:p>
        </w:tc>
      </w:tr>
      <w:tr w14:paraId="164E62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3999CCDA">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6F6DF004">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tcPr>
          <w:p w14:paraId="2055ECD9">
            <w:pPr>
              <w:autoSpaceDE w:val="0"/>
              <w:autoSpaceDN w:val="0"/>
              <w:adjustRightInd w:val="0"/>
              <w:snapToGrid w:val="0"/>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10</w:t>
            </w:r>
            <w:r>
              <w:rPr>
                <w:rFonts w:hint="eastAsia" w:ascii="宋体" w:hAnsi="宋体"/>
                <w:color w:val="auto"/>
                <w:kern w:val="0"/>
                <w:highlight w:val="none"/>
              </w:rPr>
              <w:t>第六章 投标文件格式要求法定代表人或其委托代理人签名（或盖章）的须齐全。</w:t>
            </w:r>
            <w:r>
              <w:rPr>
                <w:rFonts w:hint="eastAsia" w:ascii="宋体" w:hAnsi="宋体"/>
                <w:color w:val="auto"/>
                <w:highlight w:val="none"/>
              </w:rPr>
              <w:t>否则由评标委员会作否决投标处理。</w:t>
            </w:r>
          </w:p>
        </w:tc>
      </w:tr>
      <w:tr w14:paraId="6CB6DE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54B59E7B">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44CE8F29">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tcPr>
          <w:p w14:paraId="6F83BD95">
            <w:pPr>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11</w:t>
            </w:r>
            <w:r>
              <w:rPr>
                <w:rFonts w:hint="eastAsia" w:ascii="宋体" w:hAnsi="宋体"/>
                <w:color w:val="auto"/>
                <w:highlight w:val="none"/>
                <w:lang w:eastAsia="zh-CN"/>
              </w:rPr>
              <w:t>竞选人</w:t>
            </w:r>
            <w:r>
              <w:rPr>
                <w:rFonts w:hint="eastAsia" w:ascii="宋体" w:hAnsi="宋体"/>
                <w:color w:val="auto"/>
                <w:highlight w:val="none"/>
              </w:rPr>
              <w:t>法定代表人的委托代理人有法定代表人签署的授权委托书和</w:t>
            </w:r>
            <w:r>
              <w:rPr>
                <w:rFonts w:hint="eastAsia" w:ascii="宋体" w:hAnsi="宋体"/>
                <w:color w:val="auto"/>
                <w:highlight w:val="none"/>
                <w:lang w:eastAsia="zh-CN"/>
              </w:rPr>
              <w:t>竞选人</w:t>
            </w:r>
            <w:r>
              <w:rPr>
                <w:rFonts w:hint="eastAsia" w:ascii="宋体" w:hAnsi="宋体"/>
                <w:color w:val="auto"/>
                <w:highlight w:val="none"/>
              </w:rPr>
              <w:t>为其缴纳的养老保险证明材料，否则由评标委员会作否决投标处理。</w:t>
            </w:r>
          </w:p>
        </w:tc>
      </w:tr>
      <w:tr w14:paraId="67D26E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79CBD495">
            <w:pPr>
              <w:widowControl/>
              <w:jc w:val="left"/>
              <w:rPr>
                <w:rFonts w:ascii="宋体" w:hAnsi="宋体" w:eastAsia="微软雅黑"/>
                <w:color w:val="auto"/>
                <w:sz w:val="24"/>
                <w:highlight w:val="none"/>
              </w:rPr>
            </w:pPr>
          </w:p>
        </w:tc>
        <w:tc>
          <w:tcPr>
            <w:tcW w:w="1899" w:type="dxa"/>
            <w:vMerge w:val="restart"/>
            <w:tcBorders>
              <w:top w:val="single" w:color="000000" w:sz="4" w:space="0"/>
              <w:left w:val="single" w:color="000000" w:sz="4" w:space="0"/>
              <w:bottom w:val="single" w:color="000000" w:sz="4" w:space="0"/>
              <w:right w:val="single" w:color="000000" w:sz="4" w:space="0"/>
            </w:tcBorders>
            <w:vAlign w:val="center"/>
          </w:tcPr>
          <w:p w14:paraId="406E7524">
            <w:pPr>
              <w:spacing w:line="400" w:lineRule="exact"/>
              <w:jc w:val="center"/>
              <w:rPr>
                <w:rFonts w:ascii="宋体" w:hAnsi="宋体" w:eastAsia="微软雅黑"/>
                <w:color w:val="auto"/>
                <w:sz w:val="24"/>
                <w:highlight w:val="none"/>
              </w:rPr>
            </w:pPr>
            <w:r>
              <w:rPr>
                <w:rFonts w:hint="eastAsia" w:ascii="微软雅黑" w:hAnsi="微软雅黑"/>
                <w:color w:val="auto"/>
                <w:highlight w:val="none"/>
              </w:rPr>
              <w:t>响应性评审</w:t>
            </w:r>
          </w:p>
        </w:tc>
        <w:tc>
          <w:tcPr>
            <w:tcW w:w="6333" w:type="dxa"/>
            <w:tcBorders>
              <w:top w:val="single" w:color="000000" w:sz="4" w:space="0"/>
              <w:left w:val="single" w:color="000000" w:sz="4" w:space="0"/>
              <w:bottom w:val="single" w:color="000000" w:sz="4" w:space="0"/>
              <w:right w:val="single" w:color="000000" w:sz="8" w:space="0"/>
            </w:tcBorders>
            <w:vAlign w:val="center"/>
          </w:tcPr>
          <w:p w14:paraId="5B301A6F">
            <w:pPr>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12</w:t>
            </w:r>
            <w:r>
              <w:rPr>
                <w:rFonts w:hint="eastAsia" w:ascii="宋体" w:hAnsi="宋体"/>
                <w:color w:val="auto"/>
                <w:highlight w:val="none"/>
              </w:rPr>
              <w:t>投标总报价必须与已标价工程量清单总报价一致，否则由评标委员会作否决投标处理。</w:t>
            </w:r>
          </w:p>
        </w:tc>
      </w:tr>
      <w:tr w14:paraId="6EAB59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1EA72D44">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40842D05">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844433A">
            <w:pPr>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13</w:t>
            </w:r>
            <w:r>
              <w:rPr>
                <w:rFonts w:hint="eastAsia" w:ascii="宋体" w:hAnsi="宋体"/>
                <w:color w:val="auto"/>
                <w:highlight w:val="none"/>
              </w:rPr>
              <w:t>投标总报价不得高于比选人公布的投标总报价最高限价，否则由评标委员会作否决投标处理。</w:t>
            </w:r>
          </w:p>
        </w:tc>
      </w:tr>
      <w:tr w14:paraId="302FE9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60620E61">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37C672C5">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11ECEFAC">
            <w:pPr>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14</w:t>
            </w:r>
            <w:r>
              <w:rPr>
                <w:rFonts w:hint="eastAsia" w:ascii="宋体" w:hAnsi="宋体"/>
                <w:color w:val="auto"/>
                <w:highlight w:val="none"/>
              </w:rPr>
              <w:t>暂列金额、暂估价等暂定金额必须按照</w:t>
            </w:r>
            <w:r>
              <w:rPr>
                <w:rFonts w:hint="eastAsia" w:ascii="宋体" w:hAnsi="宋体"/>
                <w:color w:val="auto"/>
                <w:highlight w:val="none"/>
                <w:lang w:eastAsia="zh-CN"/>
              </w:rPr>
              <w:t>比选文件</w:t>
            </w:r>
            <w:r>
              <w:rPr>
                <w:rFonts w:hint="eastAsia" w:ascii="宋体" w:hAnsi="宋体"/>
                <w:color w:val="auto"/>
                <w:highlight w:val="none"/>
              </w:rPr>
              <w:t>给定的金额填报，否则由评标委员会作否决投标处理。</w:t>
            </w:r>
          </w:p>
        </w:tc>
      </w:tr>
      <w:tr w14:paraId="10D409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565E6E58">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2E1718C1">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1CCF4D3F">
            <w:pPr>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15</w:t>
            </w:r>
            <w:r>
              <w:rPr>
                <w:rFonts w:hint="eastAsia" w:ascii="宋体" w:hAnsi="宋体"/>
                <w:color w:val="auto"/>
                <w:highlight w:val="none"/>
              </w:rPr>
              <w:t>工期符合第二章“</w:t>
            </w:r>
            <w:r>
              <w:rPr>
                <w:rFonts w:hint="eastAsia" w:ascii="宋体" w:hAnsi="宋体"/>
                <w:color w:val="auto"/>
                <w:highlight w:val="none"/>
                <w:lang w:eastAsia="zh-CN"/>
              </w:rPr>
              <w:t>竞选人</w:t>
            </w:r>
            <w:r>
              <w:rPr>
                <w:rFonts w:hint="eastAsia" w:ascii="宋体" w:hAnsi="宋体"/>
                <w:color w:val="auto"/>
                <w:highlight w:val="none"/>
              </w:rPr>
              <w:t>须知”第1.3.1项规定，否则由评标委员会作否决投标处理。</w:t>
            </w:r>
          </w:p>
        </w:tc>
      </w:tr>
      <w:tr w14:paraId="1EE31D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0423C59E">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691123EB">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47791EB5">
            <w:pPr>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16</w:t>
            </w:r>
            <w:r>
              <w:rPr>
                <w:rFonts w:hint="eastAsia" w:ascii="宋体" w:hAnsi="宋体"/>
                <w:color w:val="auto"/>
                <w:highlight w:val="none"/>
              </w:rPr>
              <w:t>工程质量符合第二章“</w:t>
            </w:r>
            <w:r>
              <w:rPr>
                <w:rFonts w:hint="eastAsia" w:ascii="宋体" w:hAnsi="宋体"/>
                <w:color w:val="auto"/>
                <w:highlight w:val="none"/>
                <w:lang w:eastAsia="zh-CN"/>
              </w:rPr>
              <w:t>竞选人</w:t>
            </w:r>
            <w:r>
              <w:rPr>
                <w:rFonts w:hint="eastAsia" w:ascii="宋体" w:hAnsi="宋体"/>
                <w:color w:val="auto"/>
                <w:highlight w:val="none"/>
              </w:rPr>
              <w:t>须知”第1.3.3项规定，否则由评标委员会作否决投标处理。</w:t>
            </w:r>
          </w:p>
        </w:tc>
      </w:tr>
      <w:tr w14:paraId="57BA21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4B12B0A1">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2D31EE9A">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151ED2E7">
            <w:pPr>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17</w:t>
            </w:r>
            <w:r>
              <w:rPr>
                <w:rFonts w:hint="eastAsia" w:ascii="宋体" w:hAnsi="宋体"/>
                <w:color w:val="auto"/>
                <w:highlight w:val="none"/>
              </w:rPr>
              <w:t>投标有效期符合第二章“</w:t>
            </w:r>
            <w:r>
              <w:rPr>
                <w:rFonts w:hint="eastAsia" w:ascii="宋体" w:hAnsi="宋体"/>
                <w:color w:val="auto"/>
                <w:highlight w:val="none"/>
                <w:lang w:eastAsia="zh-CN"/>
              </w:rPr>
              <w:t>竞选人</w:t>
            </w:r>
            <w:r>
              <w:rPr>
                <w:rFonts w:hint="eastAsia" w:ascii="宋体" w:hAnsi="宋体"/>
                <w:color w:val="auto"/>
                <w:highlight w:val="none"/>
              </w:rPr>
              <w:t>须知”第3.3.1项规定，否则由评标委员会作否决投标处理。</w:t>
            </w:r>
          </w:p>
        </w:tc>
      </w:tr>
      <w:tr w14:paraId="5DA7F5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7D56DC14">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053DAD2F">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28069D05">
            <w:pPr>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18</w:t>
            </w:r>
            <w:r>
              <w:rPr>
                <w:rFonts w:hint="eastAsia" w:ascii="宋体" w:hAnsi="宋体"/>
                <w:color w:val="auto"/>
                <w:highlight w:val="none"/>
                <w:lang w:eastAsia="zh-CN"/>
              </w:rPr>
              <w:t>竞选人</w:t>
            </w:r>
            <w:r>
              <w:rPr>
                <w:rFonts w:hint="eastAsia" w:ascii="宋体" w:hAnsi="宋体"/>
                <w:color w:val="auto"/>
                <w:highlight w:val="none"/>
              </w:rPr>
              <w:t>应按</w:t>
            </w:r>
            <w:r>
              <w:rPr>
                <w:rFonts w:hint="eastAsia" w:ascii="宋体" w:hAnsi="宋体"/>
                <w:color w:val="auto"/>
                <w:highlight w:val="none"/>
                <w:lang w:eastAsia="zh-CN"/>
              </w:rPr>
              <w:t>竞选人</w:t>
            </w:r>
            <w:r>
              <w:rPr>
                <w:rFonts w:hint="eastAsia" w:ascii="宋体" w:hAnsi="宋体"/>
                <w:color w:val="auto"/>
                <w:highlight w:val="none"/>
              </w:rPr>
              <w:t>须知前附表第3.41款的规定递交投标保证金，并作为其投标文件的组成部分，否则由评标委员会作否决投标处理。</w:t>
            </w:r>
          </w:p>
        </w:tc>
      </w:tr>
      <w:tr w14:paraId="2E29E2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5BE10F38">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28690332">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3CDCEF13">
            <w:pPr>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19</w:t>
            </w:r>
            <w:r>
              <w:rPr>
                <w:rFonts w:hint="eastAsia" w:ascii="宋体" w:hAnsi="宋体"/>
                <w:color w:val="auto"/>
                <w:highlight w:val="none"/>
              </w:rPr>
              <w:t>符合第四章“合同条款及格式”规定，投标文件不应附有比选人不能接受的条件，否则由评标委员会作否决投标处理。</w:t>
            </w:r>
          </w:p>
        </w:tc>
      </w:tr>
      <w:tr w14:paraId="1C0A1E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1E45A64F">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32312D35">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A597BED">
            <w:pPr>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20</w:t>
            </w:r>
            <w:r>
              <w:rPr>
                <w:rFonts w:hint="eastAsia" w:ascii="宋体" w:hAnsi="宋体"/>
                <w:color w:val="auto"/>
                <w:highlight w:val="none"/>
              </w:rPr>
              <w:t>符合第七章“技术标准和要求”规定。否则由评标委员会作否决投标处理（如有）。</w:t>
            </w:r>
          </w:p>
        </w:tc>
      </w:tr>
      <w:tr w14:paraId="6BBAF7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2CEB3E53">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4D5ED43B">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6096047F">
            <w:pPr>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21</w:t>
            </w:r>
            <w:r>
              <w:rPr>
                <w:rFonts w:hint="eastAsia" w:ascii="宋体" w:hAnsi="宋体"/>
                <w:color w:val="auto"/>
                <w:highlight w:val="none"/>
                <w:lang w:eastAsia="zh-CN"/>
              </w:rPr>
              <w:t>竞选人</w:t>
            </w:r>
            <w:r>
              <w:rPr>
                <w:rFonts w:hint="eastAsia" w:ascii="宋体" w:hAnsi="宋体"/>
                <w:color w:val="auto"/>
                <w:highlight w:val="none"/>
              </w:rPr>
              <w:t>提供的关于已标价工程量清单的承诺符合</w:t>
            </w:r>
            <w:r>
              <w:rPr>
                <w:rFonts w:hint="eastAsia" w:ascii="宋体" w:hAnsi="宋体"/>
                <w:color w:val="auto"/>
                <w:highlight w:val="none"/>
                <w:lang w:eastAsia="zh-CN"/>
              </w:rPr>
              <w:t>比选文件</w:t>
            </w:r>
            <w:r>
              <w:rPr>
                <w:rFonts w:hint="eastAsia" w:ascii="宋体" w:hAnsi="宋体"/>
                <w:color w:val="auto"/>
                <w:highlight w:val="none"/>
              </w:rPr>
              <w:t>的要求，否则由评标委员会作否决投标处理。</w:t>
            </w:r>
          </w:p>
        </w:tc>
      </w:tr>
      <w:tr w14:paraId="367CA0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1843AFB5">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5085C5D9">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54D15F3">
            <w:pPr>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22</w:t>
            </w:r>
            <w:r>
              <w:rPr>
                <w:rFonts w:hint="eastAsia" w:ascii="宋体" w:hAnsi="宋体"/>
                <w:color w:val="auto"/>
                <w:highlight w:val="none"/>
              </w:rPr>
              <w:t>投标报价有算术错误的，按照第三章“评标办法”第3.1.3项规定执行，否则由评标委员会作否决投标处理。</w:t>
            </w:r>
          </w:p>
        </w:tc>
      </w:tr>
      <w:tr w14:paraId="73FD5E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tcBorders>
              <w:top w:val="single" w:color="000000" w:sz="4" w:space="0"/>
              <w:left w:val="single" w:color="000000" w:sz="8" w:space="0"/>
              <w:bottom w:val="single" w:color="000000" w:sz="4" w:space="0"/>
              <w:right w:val="single" w:color="000000" w:sz="4" w:space="0"/>
            </w:tcBorders>
            <w:vAlign w:val="center"/>
          </w:tcPr>
          <w:p w14:paraId="11943DD3">
            <w:pPr>
              <w:widowControl/>
              <w:jc w:val="left"/>
              <w:rPr>
                <w:rFonts w:ascii="宋体" w:hAnsi="宋体" w:eastAsia="微软雅黑"/>
                <w:color w:val="auto"/>
                <w:sz w:val="24"/>
                <w:highlight w:val="none"/>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3CFE6A58">
            <w:pPr>
              <w:widowControl/>
              <w:jc w:val="left"/>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FB1E76A">
            <w:pPr>
              <w:spacing w:line="400" w:lineRule="exact"/>
              <w:ind w:firstLine="420" w:firstLineChars="200"/>
              <w:rPr>
                <w:rFonts w:ascii="宋体" w:hAnsi="宋体"/>
                <w:color w:val="auto"/>
                <w:sz w:val="24"/>
                <w:highlight w:val="none"/>
              </w:rPr>
            </w:pPr>
            <w:r>
              <w:rPr>
                <w:rFonts w:hint="eastAsia" w:ascii="宋体" w:hAnsi="宋体"/>
                <w:color w:val="auto"/>
                <w:highlight w:val="none"/>
              </w:rPr>
              <w:t>A-</w:t>
            </w:r>
            <w:r>
              <w:rPr>
                <w:rFonts w:hint="eastAsia" w:ascii="宋体" w:hAnsi="宋体"/>
                <w:color w:val="auto"/>
                <w:highlight w:val="none"/>
                <w:lang w:val="en-US" w:eastAsia="zh-CN"/>
              </w:rPr>
              <w:t>23</w:t>
            </w:r>
            <w:r>
              <w:rPr>
                <w:rFonts w:hint="eastAsia" w:ascii="宋体" w:hAnsi="宋体"/>
                <w:color w:val="auto"/>
                <w:highlight w:val="none"/>
                <w:lang w:eastAsia="zh-CN"/>
              </w:rPr>
              <w:t>竞选人</w:t>
            </w:r>
            <w:r>
              <w:rPr>
                <w:rFonts w:hint="eastAsia" w:ascii="宋体" w:hAnsi="宋体"/>
                <w:color w:val="auto"/>
                <w:highlight w:val="none"/>
              </w:rPr>
              <w:t>有以下情形之一的，其投标文件由评标委员会作否决投标处理：</w:t>
            </w:r>
          </w:p>
          <w:p w14:paraId="338D0E29">
            <w:pPr>
              <w:spacing w:line="400" w:lineRule="exact"/>
              <w:ind w:firstLine="420" w:firstLineChars="200"/>
              <w:rPr>
                <w:rFonts w:hint="eastAsia" w:ascii="宋体" w:hAnsi="宋体"/>
                <w:color w:val="auto"/>
                <w:highlight w:val="none"/>
              </w:rPr>
            </w:pPr>
            <w:r>
              <w:rPr>
                <w:rFonts w:hint="eastAsia" w:ascii="宋体" w:hAnsi="宋体"/>
                <w:color w:val="auto"/>
                <w:highlight w:val="none"/>
              </w:rPr>
              <w:t>1.第二章“</w:t>
            </w:r>
            <w:r>
              <w:rPr>
                <w:rFonts w:hint="eastAsia" w:ascii="宋体" w:hAnsi="宋体"/>
                <w:color w:val="auto"/>
                <w:highlight w:val="none"/>
                <w:lang w:eastAsia="zh-CN"/>
              </w:rPr>
              <w:t>竞选人</w:t>
            </w:r>
            <w:r>
              <w:rPr>
                <w:rFonts w:hint="eastAsia" w:ascii="宋体" w:hAnsi="宋体"/>
                <w:color w:val="auto"/>
                <w:highlight w:val="none"/>
              </w:rPr>
              <w:t>须知”规定的任何一种情形的不满足的；</w:t>
            </w:r>
          </w:p>
          <w:p w14:paraId="3D1536D3">
            <w:pPr>
              <w:spacing w:line="400" w:lineRule="exact"/>
              <w:ind w:firstLine="420" w:firstLineChars="200"/>
              <w:rPr>
                <w:rFonts w:hint="eastAsia" w:ascii="宋体" w:hAnsi="宋体"/>
                <w:color w:val="auto"/>
                <w:highlight w:val="none"/>
              </w:rPr>
            </w:pPr>
            <w:r>
              <w:rPr>
                <w:rFonts w:hint="eastAsia" w:ascii="宋体" w:hAnsi="宋体"/>
                <w:color w:val="auto"/>
                <w:highlight w:val="none"/>
              </w:rPr>
              <w:t>2.本次投标有串通投标、弄虚作假等违反招投标相关法律、法规的行为的；</w:t>
            </w:r>
          </w:p>
          <w:p w14:paraId="790E2D20">
            <w:pPr>
              <w:spacing w:line="400" w:lineRule="exact"/>
              <w:ind w:firstLine="420" w:firstLineChars="200"/>
              <w:rPr>
                <w:rFonts w:ascii="宋体" w:hAnsi="宋体"/>
                <w:color w:val="auto"/>
                <w:sz w:val="24"/>
                <w:highlight w:val="none"/>
              </w:rPr>
            </w:pPr>
            <w:r>
              <w:rPr>
                <w:rFonts w:hint="eastAsia" w:ascii="宋体" w:hAnsi="宋体"/>
                <w:color w:val="auto"/>
                <w:highlight w:val="none"/>
              </w:rPr>
              <w:t>3.拒绝按评标委员会要求澄清、说明或补正的。</w:t>
            </w:r>
          </w:p>
        </w:tc>
      </w:tr>
      <w:tr w14:paraId="35128E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tcBorders>
              <w:top w:val="single" w:color="000000" w:sz="4" w:space="0"/>
              <w:left w:val="single" w:color="000000" w:sz="8" w:space="0"/>
              <w:bottom w:val="single" w:color="000000" w:sz="8" w:space="0"/>
              <w:right w:val="single" w:color="000000" w:sz="4" w:space="0"/>
            </w:tcBorders>
            <w:vAlign w:val="center"/>
          </w:tcPr>
          <w:p w14:paraId="2D8BF7E2">
            <w:pPr>
              <w:spacing w:line="400" w:lineRule="exact"/>
              <w:jc w:val="center"/>
              <w:rPr>
                <w:rFonts w:ascii="宋体" w:hAnsi="宋体" w:eastAsia="微软雅黑"/>
                <w:color w:val="auto"/>
                <w:sz w:val="24"/>
                <w:highlight w:val="none"/>
              </w:rPr>
            </w:pPr>
            <w:r>
              <w:rPr>
                <w:rFonts w:hint="eastAsia" w:ascii="微软雅黑" w:hAnsi="微软雅黑"/>
                <w:color w:val="auto"/>
                <w:highlight w:val="none"/>
              </w:rPr>
              <w:t>其他</w:t>
            </w:r>
          </w:p>
        </w:tc>
        <w:tc>
          <w:tcPr>
            <w:tcW w:w="1899" w:type="dxa"/>
            <w:tcBorders>
              <w:top w:val="single" w:color="000000" w:sz="4" w:space="0"/>
              <w:left w:val="single" w:color="000000" w:sz="4" w:space="0"/>
              <w:bottom w:val="single" w:color="000000" w:sz="8" w:space="0"/>
              <w:right w:val="single" w:color="000000" w:sz="4" w:space="0"/>
            </w:tcBorders>
            <w:vAlign w:val="center"/>
          </w:tcPr>
          <w:p w14:paraId="296C3C90">
            <w:pPr>
              <w:spacing w:line="400" w:lineRule="exact"/>
              <w:jc w:val="center"/>
              <w:rPr>
                <w:rFonts w:ascii="宋体" w:hAnsi="宋体" w:eastAsia="微软雅黑"/>
                <w:color w:val="auto"/>
                <w:sz w:val="24"/>
                <w:highlight w:val="none"/>
              </w:rPr>
            </w:pPr>
          </w:p>
        </w:tc>
        <w:tc>
          <w:tcPr>
            <w:tcW w:w="6333" w:type="dxa"/>
            <w:tcBorders>
              <w:top w:val="single" w:color="000000" w:sz="4" w:space="0"/>
              <w:left w:val="single" w:color="000000" w:sz="4" w:space="0"/>
              <w:bottom w:val="single" w:color="000000" w:sz="8" w:space="0"/>
              <w:right w:val="single" w:color="000000" w:sz="8" w:space="0"/>
            </w:tcBorders>
          </w:tcPr>
          <w:p w14:paraId="1374A14A">
            <w:pPr>
              <w:spacing w:line="400" w:lineRule="exact"/>
              <w:ind w:firstLine="420" w:firstLineChars="200"/>
              <w:rPr>
                <w:rFonts w:ascii="宋体" w:hAnsi="宋体"/>
                <w:i/>
                <w:color w:val="auto"/>
                <w:sz w:val="24"/>
                <w:highlight w:val="none"/>
              </w:rPr>
            </w:pPr>
            <w:r>
              <w:rPr>
                <w:rFonts w:hint="eastAsia" w:ascii="宋体" w:hAnsi="宋体"/>
                <w:i/>
                <w:color w:val="auto"/>
                <w:highlight w:val="none"/>
              </w:rPr>
              <w:t>/</w:t>
            </w:r>
          </w:p>
        </w:tc>
      </w:tr>
    </w:tbl>
    <w:p w14:paraId="2B9C9B54">
      <w:pPr>
        <w:autoSpaceDE w:val="0"/>
        <w:autoSpaceDN w:val="0"/>
        <w:adjustRightInd w:val="0"/>
        <w:snapToGrid w:val="0"/>
        <w:spacing w:line="360" w:lineRule="auto"/>
        <w:jc w:val="left"/>
        <w:rPr>
          <w:rFonts w:hint="eastAsia" w:ascii="宋体" w:hAnsi="宋体" w:eastAsia="微软雅黑"/>
          <w:b/>
          <w:color w:val="auto"/>
          <w:kern w:val="0"/>
          <w:sz w:val="20"/>
          <w:szCs w:val="20"/>
          <w:highlight w:val="none"/>
        </w:rPr>
      </w:pPr>
      <w:r>
        <w:rPr>
          <w:rFonts w:hint="eastAsia" w:ascii="宋体" w:hAnsi="宋体"/>
          <w:b/>
          <w:color w:val="auto"/>
          <w:kern w:val="0"/>
          <w:sz w:val="20"/>
          <w:szCs w:val="20"/>
          <w:highlight w:val="none"/>
        </w:rPr>
        <w:t xml:space="preserve"> </w:t>
      </w:r>
    </w:p>
    <w:p w14:paraId="44156048">
      <w:pPr>
        <w:rPr>
          <w:rFonts w:hint="eastAsia"/>
          <w:color w:val="auto"/>
          <w:sz w:val="24"/>
          <w:highlight w:val="none"/>
        </w:rPr>
      </w:pPr>
      <w:r>
        <w:rPr>
          <w:color w:val="auto"/>
          <w:highlight w:val="none"/>
        </w:rPr>
        <w:t xml:space="preserve"> </w:t>
      </w:r>
    </w:p>
    <w:p w14:paraId="5EA21EB2">
      <w:pPr>
        <w:outlineLvl w:val="0"/>
        <w:rPr>
          <w:rStyle w:val="328"/>
          <w:rFonts w:eastAsia="宋体"/>
          <w:color w:val="auto"/>
          <w:highlight w:val="none"/>
        </w:rPr>
      </w:pPr>
      <w:r>
        <w:rPr>
          <w:rStyle w:val="328"/>
          <w:color w:val="auto"/>
          <w:highlight w:val="none"/>
        </w:rPr>
        <w:t xml:space="preserve"> </w:t>
      </w:r>
    </w:p>
    <w:p w14:paraId="22C86F74">
      <w:pPr>
        <w:outlineLvl w:val="0"/>
        <w:rPr>
          <w:rStyle w:val="328"/>
          <w:color w:val="auto"/>
          <w:highlight w:val="none"/>
        </w:rPr>
      </w:pPr>
      <w:r>
        <w:rPr>
          <w:rStyle w:val="328"/>
          <w:color w:val="auto"/>
          <w:highlight w:val="none"/>
        </w:rPr>
        <w:t xml:space="preserve"> </w:t>
      </w:r>
    </w:p>
    <w:p w14:paraId="6D32C56C">
      <w:pPr>
        <w:outlineLvl w:val="0"/>
        <w:rPr>
          <w:rStyle w:val="328"/>
          <w:color w:val="auto"/>
          <w:highlight w:val="none"/>
        </w:rPr>
      </w:pPr>
      <w:r>
        <w:rPr>
          <w:rStyle w:val="328"/>
          <w:color w:val="auto"/>
          <w:highlight w:val="none"/>
        </w:rPr>
        <w:t xml:space="preserve"> </w:t>
      </w:r>
    </w:p>
    <w:p w14:paraId="617335C7">
      <w:pPr>
        <w:rPr>
          <w:rFonts w:hint="eastAsia"/>
          <w:color w:val="auto"/>
          <w:sz w:val="24"/>
          <w:highlight w:val="none"/>
        </w:rPr>
      </w:pPr>
      <w:r>
        <w:rPr>
          <w:color w:val="auto"/>
          <w:highlight w:val="none"/>
        </w:rPr>
        <w:t xml:space="preserve"> </w:t>
      </w:r>
    </w:p>
    <w:p w14:paraId="0AA67296">
      <w:pPr>
        <w:outlineLvl w:val="0"/>
        <w:rPr>
          <w:rStyle w:val="328"/>
          <w:rFonts w:eastAsia="宋体"/>
          <w:color w:val="auto"/>
          <w:highlight w:val="none"/>
        </w:rPr>
      </w:pPr>
      <w:r>
        <w:rPr>
          <w:rStyle w:val="328"/>
          <w:color w:val="auto"/>
          <w:highlight w:val="none"/>
        </w:rPr>
        <w:t xml:space="preserve"> </w:t>
      </w:r>
    </w:p>
    <w:p w14:paraId="7BCBABF3">
      <w:pPr>
        <w:outlineLvl w:val="0"/>
        <w:rPr>
          <w:rStyle w:val="328"/>
          <w:color w:val="auto"/>
          <w:highlight w:val="none"/>
        </w:rPr>
      </w:pPr>
      <w:r>
        <w:rPr>
          <w:rStyle w:val="328"/>
          <w:color w:val="auto"/>
          <w:highlight w:val="none"/>
        </w:rPr>
        <w:t xml:space="preserve"> </w:t>
      </w:r>
    </w:p>
    <w:p w14:paraId="625E5043">
      <w:pPr>
        <w:outlineLvl w:val="0"/>
        <w:rPr>
          <w:rStyle w:val="328"/>
          <w:color w:val="auto"/>
          <w:highlight w:val="none"/>
        </w:rPr>
      </w:pPr>
      <w:r>
        <w:rPr>
          <w:rStyle w:val="328"/>
          <w:color w:val="auto"/>
          <w:highlight w:val="none"/>
        </w:rPr>
        <w:t xml:space="preserve"> </w:t>
      </w:r>
    </w:p>
    <w:p w14:paraId="4E7E9A8A">
      <w:pPr>
        <w:spacing w:after="240"/>
        <w:rPr>
          <w:rFonts w:eastAsia="微软雅黑"/>
          <w:color w:val="auto"/>
          <w:sz w:val="24"/>
          <w:highlight w:val="none"/>
        </w:rPr>
      </w:pPr>
      <w:r>
        <w:rPr>
          <w:rFonts w:hint="eastAsia" w:ascii="宋体" w:hAnsi="宋体"/>
          <w:b/>
          <w:color w:val="auto"/>
          <w:sz w:val="32"/>
          <w:szCs w:val="32"/>
          <w:highlight w:val="none"/>
        </w:rPr>
        <w:br w:type="textWrapping"/>
      </w:r>
    </w:p>
    <w:p w14:paraId="3CD707F0">
      <w:pPr>
        <w:pStyle w:val="4"/>
        <w:spacing w:line="360" w:lineRule="auto"/>
        <w:jc w:val="center"/>
        <w:rPr>
          <w:rFonts w:ascii="宋体" w:hAnsi="宋体"/>
          <w:color w:val="auto"/>
          <w:kern w:val="0"/>
          <w:highlight w:val="none"/>
        </w:rPr>
      </w:pPr>
      <w:r>
        <w:rPr>
          <w:rFonts w:ascii="宋体" w:hAnsi="宋体"/>
          <w:color w:val="auto"/>
          <w:kern w:val="0"/>
          <w:highlight w:val="none"/>
        </w:rPr>
        <w:br w:type="textWrapping"/>
      </w:r>
      <w:r>
        <w:rPr>
          <w:rFonts w:ascii="宋体" w:hAnsi="宋体"/>
          <w:color w:val="auto"/>
          <w:kern w:val="0"/>
          <w:highlight w:val="none"/>
        </w:rPr>
        <w:br w:type="textWrapping"/>
      </w:r>
      <w:r>
        <w:rPr>
          <w:rFonts w:ascii="宋体" w:hAnsi="宋体"/>
          <w:color w:val="auto"/>
          <w:kern w:val="0"/>
          <w:highlight w:val="none"/>
        </w:rPr>
        <w:br w:type="textWrapping"/>
      </w:r>
      <w:r>
        <w:rPr>
          <w:rFonts w:ascii="宋体" w:hAnsi="宋体"/>
          <w:color w:val="auto"/>
          <w:kern w:val="0"/>
          <w:highlight w:val="none"/>
        </w:rPr>
        <w:br w:type="textWrapping"/>
      </w:r>
      <w:r>
        <w:rPr>
          <w:rFonts w:hint="eastAsia" w:ascii="宋体" w:hAnsi="宋体"/>
          <w:color w:val="auto"/>
          <w:kern w:val="0"/>
          <w:highlight w:val="none"/>
        </w:rPr>
        <w:t>第四章  合同条款及格式</w:t>
      </w:r>
      <w:bookmarkEnd w:id="617"/>
      <w:bookmarkEnd w:id="618"/>
      <w:bookmarkEnd w:id="619"/>
      <w:bookmarkEnd w:id="620"/>
    </w:p>
    <w:p w14:paraId="6F59C0A5">
      <w:pPr>
        <w:rPr>
          <w:rFonts w:ascii="宋体" w:hAnsi="宋体"/>
          <w:color w:val="auto"/>
          <w:sz w:val="44"/>
          <w:szCs w:val="44"/>
          <w:highlight w:val="none"/>
        </w:rPr>
      </w:pPr>
      <w:r>
        <w:rPr>
          <w:rFonts w:ascii="宋体" w:hAnsi="宋体"/>
          <w:color w:val="auto"/>
          <w:highlight w:val="none"/>
        </w:rPr>
        <w:br w:type="page"/>
      </w:r>
      <w:bookmarkStart w:id="622" w:name="_Toc296503025"/>
      <w:bookmarkStart w:id="623" w:name="_Toc296890982"/>
      <w:bookmarkStart w:id="624" w:name="_Toc351203480"/>
    </w:p>
    <w:p w14:paraId="020B25E3">
      <w:pPr>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第一部分 合同协议书</w:t>
      </w:r>
    </w:p>
    <w:p w14:paraId="567B3D34">
      <w:pPr>
        <w:pStyle w:val="148"/>
        <w:snapToGrid w:val="0"/>
        <w:spacing w:before="0" w:line="360" w:lineRule="auto"/>
        <w:ind w:firstLine="562" w:firstLineChars="200"/>
        <w:rPr>
          <w:rFonts w:ascii="宋体" w:hAnsi="宋体"/>
          <w:color w:val="auto"/>
          <w:highlight w:val="none"/>
        </w:rPr>
      </w:pPr>
    </w:p>
    <w:p w14:paraId="78F7D519">
      <w:pPr>
        <w:pStyle w:val="148"/>
        <w:snapToGrid w:val="0"/>
        <w:spacing w:before="0" w:line="360" w:lineRule="auto"/>
        <w:ind w:firstLine="480" w:firstLineChars="200"/>
        <w:rPr>
          <w:rFonts w:ascii="宋体" w:hAnsi="宋体"/>
          <w:b w:val="0"/>
          <w:i/>
          <w:color w:val="auto"/>
          <w:sz w:val="24"/>
          <w:szCs w:val="24"/>
          <w:highlight w:val="none"/>
        </w:rPr>
      </w:pPr>
      <w:bookmarkStart w:id="625" w:name="_Toc28182"/>
      <w:bookmarkStart w:id="626" w:name="_Toc9255"/>
      <w:r>
        <w:rPr>
          <w:rFonts w:ascii="宋体" w:hAnsi="宋体"/>
          <w:b w:val="0"/>
          <w:i/>
          <w:color w:val="auto"/>
          <w:sz w:val="24"/>
          <w:szCs w:val="24"/>
          <w:highlight w:val="none"/>
        </w:rPr>
        <w:t>[提示</w:t>
      </w:r>
      <w:r>
        <w:rPr>
          <w:rFonts w:hint="eastAsia" w:ascii="宋体" w:hAnsi="宋体"/>
          <w:b w:val="0"/>
          <w:i/>
          <w:color w:val="auto"/>
          <w:sz w:val="24"/>
          <w:szCs w:val="24"/>
          <w:highlight w:val="none"/>
        </w:rPr>
        <w:t>：</w:t>
      </w:r>
      <w:r>
        <w:rPr>
          <w:rFonts w:ascii="宋体" w:hAnsi="宋体"/>
          <w:b w:val="0"/>
          <w:i/>
          <w:color w:val="auto"/>
          <w:sz w:val="21"/>
          <w:szCs w:val="21"/>
          <w:highlight w:val="none"/>
        </w:rPr>
        <w:t>合同协议书为示范性内容，</w:t>
      </w:r>
      <w:r>
        <w:rPr>
          <w:rFonts w:hint="eastAsia" w:ascii="宋体" w:hAnsi="宋体"/>
          <w:b w:val="0"/>
          <w:i/>
          <w:color w:val="auto"/>
          <w:sz w:val="21"/>
          <w:szCs w:val="21"/>
          <w:highlight w:val="none"/>
        </w:rPr>
        <w:t>比选人</w:t>
      </w:r>
      <w:r>
        <w:rPr>
          <w:rFonts w:ascii="宋体" w:hAnsi="宋体"/>
          <w:b w:val="0"/>
          <w:i/>
          <w:color w:val="auto"/>
          <w:sz w:val="21"/>
          <w:szCs w:val="21"/>
          <w:highlight w:val="none"/>
        </w:rPr>
        <w:t>在编制</w:t>
      </w:r>
      <w:r>
        <w:rPr>
          <w:rFonts w:hint="eastAsia" w:ascii="宋体" w:hAnsi="宋体"/>
          <w:b w:val="0"/>
          <w:i/>
          <w:color w:val="auto"/>
          <w:sz w:val="21"/>
          <w:szCs w:val="21"/>
          <w:highlight w:val="none"/>
        </w:rPr>
        <w:t>竞选文件</w:t>
      </w:r>
      <w:r>
        <w:rPr>
          <w:rFonts w:ascii="宋体" w:hAnsi="宋体"/>
          <w:b w:val="0"/>
          <w:i/>
          <w:color w:val="auto"/>
          <w:sz w:val="21"/>
          <w:szCs w:val="21"/>
          <w:highlight w:val="none"/>
        </w:rPr>
        <w:t>时不必填写，供中标后签订合同时填写。</w:t>
      </w:r>
      <w:bookmarkEnd w:id="625"/>
      <w:bookmarkEnd w:id="626"/>
      <w:r>
        <w:rPr>
          <w:rFonts w:ascii="宋体" w:hAnsi="宋体"/>
          <w:b w:val="0"/>
          <w:i/>
          <w:color w:val="auto"/>
          <w:sz w:val="24"/>
          <w:szCs w:val="24"/>
          <w:highlight w:val="none"/>
        </w:rPr>
        <w:t>]</w:t>
      </w:r>
    </w:p>
    <w:p w14:paraId="45FFA1AB">
      <w:pPr>
        <w:rPr>
          <w:rFonts w:ascii="宋体" w:hAnsi="宋体"/>
          <w:b/>
          <w:color w:val="auto"/>
          <w:highlight w:val="none"/>
        </w:rPr>
      </w:pPr>
      <w:r>
        <w:rPr>
          <w:rFonts w:ascii="宋体" w:hAnsi="宋体"/>
          <w:color w:val="auto"/>
          <w:highlight w:val="none"/>
        </w:rPr>
        <w:br w:type="page"/>
      </w:r>
    </w:p>
    <w:p w14:paraId="1B244D66">
      <w:pPr>
        <w:pStyle w:val="6"/>
        <w:jc w:val="center"/>
        <w:rPr>
          <w:rFonts w:ascii="宋体" w:hAnsi="宋体"/>
          <w:b w:val="0"/>
          <w:color w:val="auto"/>
          <w:sz w:val="44"/>
          <w:szCs w:val="44"/>
          <w:highlight w:val="none"/>
        </w:rPr>
      </w:pPr>
      <w:bookmarkStart w:id="627" w:name="_Toc509218786"/>
      <w:bookmarkStart w:id="628" w:name="_Toc534185765"/>
      <w:bookmarkStart w:id="629" w:name="_Toc12845"/>
      <w:bookmarkStart w:id="630" w:name="_Toc57905907"/>
      <w:bookmarkStart w:id="631" w:name="_Toc351203494"/>
      <w:r>
        <w:rPr>
          <w:rFonts w:ascii="宋体" w:hAnsi="宋体"/>
          <w:color w:val="auto"/>
          <w:sz w:val="44"/>
          <w:szCs w:val="44"/>
          <w:highlight w:val="none"/>
        </w:rPr>
        <w:t>第一部分 合同协议书</w:t>
      </w:r>
      <w:bookmarkEnd w:id="627"/>
      <w:bookmarkEnd w:id="628"/>
      <w:bookmarkEnd w:id="629"/>
      <w:bookmarkEnd w:id="630"/>
    </w:p>
    <w:bookmarkEnd w:id="631"/>
    <w:p w14:paraId="4878BF6A">
      <w:pPr>
        <w:snapToGrid w:val="0"/>
        <w:spacing w:line="600" w:lineRule="exact"/>
        <w:ind w:firstLine="480" w:firstLineChars="200"/>
        <w:rPr>
          <w:rFonts w:ascii="宋体" w:hAnsi="宋体"/>
          <w:color w:val="auto"/>
          <w:sz w:val="24"/>
          <w:highlight w:val="none"/>
        </w:rPr>
      </w:pPr>
      <w:bookmarkStart w:id="632" w:name="_Toc351203632"/>
    </w:p>
    <w:p w14:paraId="608AB802">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2E2329AF">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4666E2F5">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根据《中华人民共和国民法典》、《中华人民共和国建筑法》及有关法律、法规规定，遵循平等、自愿、公平和诚实信用的原则，双方就</w:t>
      </w:r>
      <w:r>
        <w:rPr>
          <w:rFonts w:hint="eastAsia" w:ascii="宋体" w:hAnsi="宋体"/>
          <w:color w:val="auto"/>
          <w:szCs w:val="21"/>
          <w:highlight w:val="none"/>
          <w:u w:val="single"/>
        </w:rPr>
        <w:t xml:space="preserve">                           </w:t>
      </w:r>
      <w:r>
        <w:rPr>
          <w:rFonts w:hint="eastAsia" w:ascii="宋体" w:hAnsi="宋体"/>
          <w:color w:val="auto"/>
          <w:szCs w:val="21"/>
          <w:highlight w:val="none"/>
        </w:rPr>
        <w:t>工程施工及有关事项协商一致，共同达成如下协议：</w:t>
      </w:r>
    </w:p>
    <w:p w14:paraId="31C713DC">
      <w:pPr>
        <w:pStyle w:val="7"/>
        <w:keepNext/>
        <w:keepLines/>
        <w:spacing w:before="120" w:after="120" w:line="360" w:lineRule="auto"/>
        <w:ind w:firstLine="422" w:firstLineChars="200"/>
        <w:jc w:val="both"/>
        <w:rPr>
          <w:color w:val="auto"/>
          <w:kern w:val="2"/>
          <w:sz w:val="21"/>
          <w:szCs w:val="21"/>
          <w:highlight w:val="none"/>
        </w:rPr>
      </w:pPr>
      <w:bookmarkStart w:id="633" w:name="_Toc532375573"/>
      <w:bookmarkStart w:id="634" w:name="_Toc351203481"/>
      <w:bookmarkStart w:id="635" w:name="_Toc532377166"/>
      <w:r>
        <w:rPr>
          <w:rFonts w:hint="eastAsia"/>
          <w:color w:val="auto"/>
          <w:kern w:val="2"/>
          <w:sz w:val="21"/>
          <w:szCs w:val="21"/>
          <w:highlight w:val="none"/>
        </w:rPr>
        <w:t>一、工程概况</w:t>
      </w:r>
      <w:bookmarkEnd w:id="633"/>
      <w:bookmarkEnd w:id="634"/>
      <w:bookmarkEnd w:id="635"/>
    </w:p>
    <w:p w14:paraId="41258117">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42B4231">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A09C53D">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125318F0">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44B3448">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97AEFD7">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88FE95E">
      <w:pPr>
        <w:pStyle w:val="7"/>
        <w:keepNext/>
        <w:keepLines/>
        <w:spacing w:before="120" w:after="120" w:line="360" w:lineRule="auto"/>
        <w:ind w:firstLine="422" w:firstLineChars="200"/>
        <w:jc w:val="both"/>
        <w:rPr>
          <w:color w:val="auto"/>
          <w:kern w:val="2"/>
          <w:sz w:val="21"/>
          <w:szCs w:val="21"/>
          <w:highlight w:val="none"/>
        </w:rPr>
      </w:pPr>
      <w:bookmarkStart w:id="636" w:name="_Toc532377167"/>
      <w:bookmarkStart w:id="637" w:name="_Toc351203482"/>
      <w:bookmarkStart w:id="638" w:name="_Toc532375574"/>
      <w:r>
        <w:rPr>
          <w:rFonts w:hint="eastAsia"/>
          <w:color w:val="auto"/>
          <w:kern w:val="2"/>
          <w:sz w:val="21"/>
          <w:szCs w:val="21"/>
          <w:highlight w:val="none"/>
        </w:rPr>
        <w:t>二、合同工期</w:t>
      </w:r>
      <w:bookmarkEnd w:id="636"/>
      <w:bookmarkEnd w:id="637"/>
      <w:bookmarkEnd w:id="638"/>
    </w:p>
    <w:p w14:paraId="0318BD8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承包人投标函中承诺的工期：</w:t>
      </w:r>
      <w:r>
        <w:rPr>
          <w:rFonts w:hint="eastAsia" w:ascii="宋体" w:hAnsi="宋体"/>
          <w:bCs/>
          <w:color w:val="auto"/>
          <w:szCs w:val="21"/>
          <w:highlight w:val="none"/>
          <w:u w:val="single"/>
        </w:rPr>
        <w:t>日历天</w:t>
      </w:r>
      <w:r>
        <w:rPr>
          <w:rFonts w:hint="eastAsia" w:ascii="宋体" w:hAnsi="宋体"/>
          <w:bCs/>
          <w:color w:val="auto"/>
          <w:szCs w:val="21"/>
          <w:highlight w:val="none"/>
        </w:rPr>
        <w:t>。</w:t>
      </w:r>
    </w:p>
    <w:p w14:paraId="2D1B337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14:paraId="76A8657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计划竣工日期：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日，实际竣工日期以工程竣工验收合格之日为准。</w:t>
      </w:r>
    </w:p>
    <w:p w14:paraId="7316DAF3">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w:t>
      </w:r>
      <w:r>
        <w:rPr>
          <w:rFonts w:hint="eastAsia" w:ascii="宋体" w:hAnsi="宋体"/>
          <w:bCs/>
          <w:color w:val="auto"/>
          <w:szCs w:val="21"/>
          <w:highlight w:val="none"/>
        </w:rPr>
        <w:t>天。工期总日历天数与根据前述计划开竣工日期计算的工期天数不一</w:t>
      </w:r>
      <w:r>
        <w:rPr>
          <w:rFonts w:hint="eastAsia" w:ascii="宋体" w:hAnsi="宋体"/>
          <w:color w:val="auto"/>
          <w:szCs w:val="21"/>
          <w:highlight w:val="none"/>
        </w:rPr>
        <w:t>致的，以工期总日历天数为准。</w:t>
      </w:r>
    </w:p>
    <w:p w14:paraId="7D9034E6">
      <w:pPr>
        <w:pStyle w:val="7"/>
        <w:keepNext/>
        <w:keepLines/>
        <w:spacing w:before="120" w:after="120" w:line="360" w:lineRule="auto"/>
        <w:ind w:firstLine="422" w:firstLineChars="200"/>
        <w:jc w:val="both"/>
        <w:rPr>
          <w:color w:val="auto"/>
          <w:kern w:val="2"/>
          <w:sz w:val="21"/>
          <w:szCs w:val="21"/>
          <w:highlight w:val="none"/>
        </w:rPr>
      </w:pPr>
      <w:bookmarkStart w:id="639" w:name="_Toc532375575"/>
      <w:bookmarkStart w:id="640" w:name="_Toc351203483"/>
      <w:bookmarkStart w:id="641" w:name="_Toc532377168"/>
      <w:r>
        <w:rPr>
          <w:rFonts w:hint="eastAsia"/>
          <w:color w:val="auto"/>
          <w:kern w:val="2"/>
          <w:sz w:val="21"/>
          <w:szCs w:val="21"/>
          <w:highlight w:val="none"/>
        </w:rPr>
        <w:t>三、质量标准</w:t>
      </w:r>
      <w:bookmarkEnd w:id="639"/>
      <w:bookmarkEnd w:id="640"/>
      <w:bookmarkEnd w:id="641"/>
    </w:p>
    <w:p w14:paraId="08B166E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符合国家和重庆市现行有关施工质量验收规范和标准要求，并达到合格</w:t>
      </w:r>
      <w:r>
        <w:rPr>
          <w:rFonts w:hint="eastAsia" w:ascii="宋体" w:hAnsi="宋体"/>
          <w:color w:val="auto"/>
          <w:szCs w:val="21"/>
          <w:highlight w:val="none"/>
        </w:rPr>
        <w:t>标准。</w:t>
      </w:r>
    </w:p>
    <w:p w14:paraId="24F2CCC0">
      <w:pPr>
        <w:pStyle w:val="7"/>
        <w:keepNext/>
        <w:keepLines/>
        <w:spacing w:before="120" w:after="120" w:line="360" w:lineRule="auto"/>
        <w:ind w:firstLine="422" w:firstLineChars="200"/>
        <w:jc w:val="both"/>
        <w:rPr>
          <w:color w:val="auto"/>
          <w:kern w:val="2"/>
          <w:sz w:val="21"/>
          <w:szCs w:val="21"/>
          <w:highlight w:val="none"/>
        </w:rPr>
      </w:pPr>
      <w:bookmarkStart w:id="642" w:name="_Toc532377169"/>
      <w:bookmarkStart w:id="643" w:name="_Toc532375576"/>
      <w:bookmarkStart w:id="644" w:name="_Toc351203484"/>
      <w:r>
        <w:rPr>
          <w:rFonts w:hint="eastAsia"/>
          <w:color w:val="auto"/>
          <w:kern w:val="2"/>
          <w:sz w:val="21"/>
          <w:szCs w:val="21"/>
          <w:highlight w:val="none"/>
        </w:rPr>
        <w:t>四、签约合同价与合同价格形式</w:t>
      </w:r>
      <w:bookmarkEnd w:id="642"/>
      <w:bookmarkEnd w:id="643"/>
      <w:bookmarkEnd w:id="644"/>
      <w:r>
        <w:rPr>
          <w:rFonts w:hint="eastAsia"/>
          <w:color w:val="auto"/>
          <w:kern w:val="2"/>
          <w:sz w:val="21"/>
          <w:szCs w:val="21"/>
          <w:highlight w:val="none"/>
        </w:rPr>
        <w:tab/>
      </w:r>
    </w:p>
    <w:p w14:paraId="5B0FD45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1.承包人投标函中承诺的中标价为：</w:t>
      </w:r>
    </w:p>
    <w:p w14:paraId="4C0B75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人民币（大写）（¥元）；</w:t>
      </w:r>
    </w:p>
    <w:p w14:paraId="6104DF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2.签约合同价为：</w:t>
      </w:r>
    </w:p>
    <w:p w14:paraId="6BE6ABB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rPr>
        <w:t>（¥元）</w:t>
      </w:r>
      <w:r>
        <w:rPr>
          <w:rFonts w:hint="eastAsia" w:ascii="宋体" w:hAnsi="宋体"/>
          <w:color w:val="auto"/>
          <w:szCs w:val="21"/>
          <w:highlight w:val="none"/>
        </w:rPr>
        <w:t>；</w:t>
      </w:r>
    </w:p>
    <w:p w14:paraId="4D1A949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14:paraId="3E016B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（1）安全文明施工费：</w:t>
      </w:r>
    </w:p>
    <w:p w14:paraId="62D6AA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rPr>
        <w:t>（¥元）</w:t>
      </w:r>
      <w:r>
        <w:rPr>
          <w:rFonts w:hint="eastAsia" w:ascii="宋体" w:hAnsi="宋体"/>
          <w:color w:val="auto"/>
          <w:szCs w:val="21"/>
          <w:highlight w:val="none"/>
        </w:rPr>
        <w:t>；</w:t>
      </w:r>
    </w:p>
    <w:p w14:paraId="0C0C53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（2）材料和工程设备暂估价金额：</w:t>
      </w:r>
    </w:p>
    <w:p w14:paraId="12BAD6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rPr>
        <w:t>（¥元）</w:t>
      </w:r>
      <w:r>
        <w:rPr>
          <w:rFonts w:hint="eastAsia" w:ascii="宋体" w:hAnsi="宋体"/>
          <w:color w:val="auto"/>
          <w:szCs w:val="21"/>
          <w:highlight w:val="none"/>
        </w:rPr>
        <w:t>；</w:t>
      </w:r>
    </w:p>
    <w:p w14:paraId="2C52C1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（3）专业工程暂估价金额：</w:t>
      </w:r>
    </w:p>
    <w:p w14:paraId="1810A7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rPr>
        <w:t>（¥元）</w:t>
      </w:r>
      <w:r>
        <w:rPr>
          <w:rFonts w:hint="eastAsia" w:ascii="宋体" w:hAnsi="宋体"/>
          <w:color w:val="auto"/>
          <w:szCs w:val="21"/>
          <w:highlight w:val="none"/>
        </w:rPr>
        <w:t>；</w:t>
      </w:r>
    </w:p>
    <w:p w14:paraId="2542DA7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（4）暂列金额：</w:t>
      </w:r>
    </w:p>
    <w:p w14:paraId="545A7F4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rPr>
        <w:t>（¥元）</w:t>
      </w:r>
      <w:r>
        <w:rPr>
          <w:rFonts w:hint="eastAsia" w:ascii="宋体" w:hAnsi="宋体"/>
          <w:color w:val="auto"/>
          <w:szCs w:val="21"/>
          <w:highlight w:val="none"/>
        </w:rPr>
        <w:t>。</w:t>
      </w:r>
    </w:p>
    <w:p w14:paraId="51D239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（5）人工费（工资款）</w:t>
      </w:r>
    </w:p>
    <w:p w14:paraId="4A2028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该项目实行人工费（工资款）与其他工程款分账管理，发包人将应付工程款中的人工费（工资款），以不低于已完成合同价款的</w:t>
      </w:r>
      <w:r>
        <w:rPr>
          <w:rFonts w:ascii="宋体" w:hAnsi="宋体"/>
          <w:color w:val="auto"/>
          <w:szCs w:val="21"/>
          <w:highlight w:val="none"/>
          <w:u w:val="single"/>
        </w:rPr>
        <w:t>%</w:t>
      </w:r>
      <w:r>
        <w:rPr>
          <w:rFonts w:hint="eastAsia" w:ascii="宋体" w:hAnsi="宋体"/>
          <w:color w:val="auto"/>
          <w:szCs w:val="21"/>
          <w:highlight w:val="none"/>
        </w:rPr>
        <w:t>，农民工工资单独支付至承包人设立的农民工工资专用账户。</w:t>
      </w:r>
    </w:p>
    <w:p w14:paraId="1172E3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3.合同价格形式：。</w:t>
      </w:r>
    </w:p>
    <w:p w14:paraId="725BD2D0">
      <w:pPr>
        <w:pStyle w:val="7"/>
        <w:keepNext/>
        <w:keepLines/>
        <w:spacing w:before="120" w:after="120" w:line="360" w:lineRule="auto"/>
        <w:ind w:firstLine="422" w:firstLineChars="200"/>
        <w:jc w:val="both"/>
        <w:rPr>
          <w:color w:val="auto"/>
          <w:kern w:val="2"/>
          <w:sz w:val="21"/>
          <w:szCs w:val="21"/>
          <w:highlight w:val="none"/>
        </w:rPr>
      </w:pPr>
      <w:bookmarkStart w:id="645" w:name="_Toc351203485"/>
      <w:bookmarkStart w:id="646" w:name="_Toc532375577"/>
      <w:bookmarkStart w:id="647" w:name="_Toc532377170"/>
      <w:r>
        <w:rPr>
          <w:rFonts w:hint="eastAsia"/>
          <w:color w:val="auto"/>
          <w:kern w:val="2"/>
          <w:sz w:val="21"/>
          <w:szCs w:val="21"/>
          <w:highlight w:val="none"/>
        </w:rPr>
        <w:t>五、</w:t>
      </w:r>
      <w:bookmarkEnd w:id="645"/>
      <w:r>
        <w:rPr>
          <w:rFonts w:hint="eastAsia"/>
          <w:color w:val="auto"/>
          <w:kern w:val="2"/>
          <w:sz w:val="21"/>
          <w:szCs w:val="21"/>
          <w:highlight w:val="none"/>
        </w:rPr>
        <w:t>项目经理</w:t>
      </w:r>
      <w:bookmarkEnd w:id="646"/>
      <w:bookmarkEnd w:id="647"/>
    </w:p>
    <w:p w14:paraId="631B6B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承包人竞选文件中承诺的项目经理：</w:t>
      </w:r>
    </w:p>
    <w:p w14:paraId="61DC02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p>
    <w:p w14:paraId="24B056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p>
    <w:p w14:paraId="499DBD0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p>
    <w:p w14:paraId="62479422">
      <w:pPr>
        <w:pStyle w:val="7"/>
        <w:keepNext/>
        <w:keepLines/>
        <w:spacing w:before="120" w:after="120" w:line="360" w:lineRule="auto"/>
        <w:ind w:firstLine="422" w:firstLineChars="200"/>
        <w:jc w:val="both"/>
        <w:rPr>
          <w:color w:val="auto"/>
          <w:kern w:val="2"/>
          <w:sz w:val="21"/>
          <w:szCs w:val="21"/>
          <w:highlight w:val="none"/>
        </w:rPr>
      </w:pPr>
      <w:bookmarkStart w:id="648" w:name="_Toc532377171"/>
      <w:bookmarkStart w:id="649" w:name="_Toc351203486"/>
      <w:bookmarkStart w:id="650" w:name="_Toc532375578"/>
      <w:r>
        <w:rPr>
          <w:rFonts w:hint="eastAsia"/>
          <w:color w:val="auto"/>
          <w:kern w:val="2"/>
          <w:sz w:val="21"/>
          <w:szCs w:val="21"/>
          <w:highlight w:val="none"/>
        </w:rPr>
        <w:t>六、合同文件构成</w:t>
      </w:r>
      <w:bookmarkEnd w:id="648"/>
      <w:bookmarkEnd w:id="649"/>
      <w:bookmarkEnd w:id="650"/>
    </w:p>
    <w:p w14:paraId="5A95CA2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14:paraId="22EC0D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14:paraId="43DC53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14:paraId="325CE0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（3）投标函及投标函附录；</w:t>
      </w:r>
    </w:p>
    <w:p w14:paraId="52C789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14:paraId="16B8F0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14:paraId="5876A51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（6）竞选文件（投标函及投标函附录除外）；</w:t>
      </w:r>
    </w:p>
    <w:p w14:paraId="2B80BD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（7）竞选文件及修改文件；</w:t>
      </w:r>
    </w:p>
    <w:p w14:paraId="09E0C7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14:paraId="63CEB7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14:paraId="121DC4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14:paraId="5D5AB3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14:paraId="6343E2A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14:paraId="08F98C8E">
      <w:pPr>
        <w:pStyle w:val="7"/>
        <w:keepNext/>
        <w:keepLines/>
        <w:spacing w:before="120" w:after="120" w:line="360" w:lineRule="auto"/>
        <w:ind w:firstLine="422" w:firstLineChars="200"/>
        <w:jc w:val="both"/>
        <w:rPr>
          <w:color w:val="auto"/>
          <w:kern w:val="2"/>
          <w:sz w:val="21"/>
          <w:szCs w:val="21"/>
          <w:highlight w:val="none"/>
        </w:rPr>
      </w:pPr>
      <w:bookmarkStart w:id="651" w:name="_Toc351203487"/>
      <w:bookmarkStart w:id="652" w:name="_Toc532377172"/>
      <w:bookmarkStart w:id="653" w:name="_Toc532375579"/>
      <w:r>
        <w:rPr>
          <w:rFonts w:hint="eastAsia"/>
          <w:color w:val="auto"/>
          <w:kern w:val="2"/>
          <w:sz w:val="21"/>
          <w:szCs w:val="21"/>
          <w:highlight w:val="none"/>
        </w:rPr>
        <w:t>七、承诺</w:t>
      </w:r>
      <w:bookmarkEnd w:id="651"/>
      <w:bookmarkEnd w:id="652"/>
      <w:bookmarkEnd w:id="653"/>
    </w:p>
    <w:p w14:paraId="6A2B17B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14:paraId="6DA6AAF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14:paraId="4D6505E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14:paraId="7DF57117">
      <w:pPr>
        <w:pStyle w:val="7"/>
        <w:keepNext/>
        <w:keepLines/>
        <w:spacing w:before="120" w:after="120" w:line="360" w:lineRule="auto"/>
        <w:ind w:firstLine="422" w:firstLineChars="200"/>
        <w:jc w:val="both"/>
        <w:rPr>
          <w:color w:val="auto"/>
          <w:kern w:val="2"/>
          <w:sz w:val="21"/>
          <w:szCs w:val="21"/>
          <w:highlight w:val="none"/>
        </w:rPr>
      </w:pPr>
      <w:bookmarkStart w:id="654" w:name="_Toc532375580"/>
      <w:bookmarkStart w:id="655" w:name="_Toc351203488"/>
      <w:bookmarkStart w:id="656" w:name="_Toc532377173"/>
      <w:r>
        <w:rPr>
          <w:rFonts w:hint="eastAsia"/>
          <w:color w:val="auto"/>
          <w:kern w:val="2"/>
          <w:sz w:val="21"/>
          <w:szCs w:val="21"/>
          <w:highlight w:val="none"/>
        </w:rPr>
        <w:t>八、词语含义</w:t>
      </w:r>
      <w:bookmarkEnd w:id="654"/>
      <w:bookmarkEnd w:id="655"/>
      <w:bookmarkEnd w:id="656"/>
    </w:p>
    <w:p w14:paraId="745963D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14:paraId="5F9C5AF7">
      <w:pPr>
        <w:pStyle w:val="7"/>
        <w:keepNext/>
        <w:keepLines/>
        <w:spacing w:before="120" w:after="120" w:line="360" w:lineRule="auto"/>
        <w:ind w:firstLine="422" w:firstLineChars="200"/>
        <w:jc w:val="both"/>
        <w:rPr>
          <w:color w:val="auto"/>
          <w:kern w:val="2"/>
          <w:sz w:val="21"/>
          <w:szCs w:val="21"/>
          <w:highlight w:val="none"/>
        </w:rPr>
      </w:pPr>
      <w:bookmarkStart w:id="657" w:name="_Toc532377174"/>
      <w:bookmarkStart w:id="658" w:name="_Toc532375581"/>
      <w:r>
        <w:rPr>
          <w:rFonts w:hint="eastAsia"/>
          <w:color w:val="auto"/>
          <w:kern w:val="2"/>
          <w:sz w:val="21"/>
          <w:szCs w:val="21"/>
          <w:highlight w:val="none"/>
        </w:rPr>
        <w:t>九、签订时间</w:t>
      </w:r>
      <w:bookmarkEnd w:id="657"/>
      <w:bookmarkEnd w:id="658"/>
    </w:p>
    <w:p w14:paraId="150DC061">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合同于年月日签订</w:t>
      </w:r>
    </w:p>
    <w:p w14:paraId="18E30BF3">
      <w:pPr>
        <w:pStyle w:val="7"/>
        <w:keepNext/>
        <w:keepLines/>
        <w:spacing w:before="120" w:after="120" w:line="360" w:lineRule="auto"/>
        <w:ind w:firstLine="422" w:firstLineChars="200"/>
        <w:jc w:val="both"/>
        <w:rPr>
          <w:color w:val="auto"/>
          <w:kern w:val="2"/>
          <w:sz w:val="21"/>
          <w:szCs w:val="21"/>
          <w:highlight w:val="none"/>
        </w:rPr>
      </w:pPr>
      <w:bookmarkStart w:id="659" w:name="_Toc351203489"/>
      <w:bookmarkStart w:id="660" w:name="_Toc532377175"/>
      <w:bookmarkStart w:id="661" w:name="_Toc532375582"/>
      <w:r>
        <w:rPr>
          <w:rFonts w:hint="eastAsia"/>
          <w:color w:val="auto"/>
          <w:kern w:val="2"/>
          <w:sz w:val="21"/>
          <w:szCs w:val="21"/>
          <w:highlight w:val="none"/>
        </w:rPr>
        <w:t>十、</w:t>
      </w:r>
      <w:bookmarkEnd w:id="659"/>
      <w:bookmarkStart w:id="662" w:name="_Toc351203490"/>
      <w:r>
        <w:rPr>
          <w:rFonts w:hint="eastAsia"/>
          <w:color w:val="auto"/>
          <w:kern w:val="2"/>
          <w:sz w:val="21"/>
          <w:szCs w:val="21"/>
          <w:highlight w:val="none"/>
        </w:rPr>
        <w:t>签订地点</w:t>
      </w:r>
      <w:bookmarkEnd w:id="660"/>
      <w:bookmarkEnd w:id="661"/>
      <w:bookmarkEnd w:id="662"/>
    </w:p>
    <w:p w14:paraId="0EDBC20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合同在签订。</w:t>
      </w:r>
    </w:p>
    <w:p w14:paraId="23F820D8">
      <w:pPr>
        <w:pStyle w:val="7"/>
        <w:keepNext/>
        <w:keepLines/>
        <w:spacing w:before="120" w:after="120" w:line="360" w:lineRule="auto"/>
        <w:ind w:firstLine="422" w:firstLineChars="200"/>
        <w:jc w:val="both"/>
        <w:rPr>
          <w:color w:val="auto"/>
          <w:kern w:val="2"/>
          <w:sz w:val="21"/>
          <w:szCs w:val="21"/>
          <w:highlight w:val="none"/>
        </w:rPr>
      </w:pPr>
      <w:bookmarkStart w:id="663" w:name="_Toc532377176"/>
      <w:bookmarkStart w:id="664" w:name="_Toc351203491"/>
      <w:bookmarkStart w:id="665" w:name="_Toc532375583"/>
      <w:r>
        <w:rPr>
          <w:rFonts w:hint="eastAsia"/>
          <w:color w:val="auto"/>
          <w:kern w:val="2"/>
          <w:sz w:val="21"/>
          <w:szCs w:val="21"/>
          <w:highlight w:val="none"/>
        </w:rPr>
        <w:t>十一、补充协议</w:t>
      </w:r>
      <w:bookmarkEnd w:id="663"/>
      <w:bookmarkEnd w:id="664"/>
      <w:bookmarkEnd w:id="665"/>
    </w:p>
    <w:p w14:paraId="16C4E44B">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14:paraId="007C50BD">
      <w:pPr>
        <w:pStyle w:val="7"/>
        <w:keepNext/>
        <w:keepLines/>
        <w:spacing w:before="120" w:after="120" w:line="360" w:lineRule="auto"/>
        <w:ind w:firstLine="422" w:firstLineChars="200"/>
        <w:jc w:val="both"/>
        <w:rPr>
          <w:color w:val="auto"/>
          <w:kern w:val="2"/>
          <w:sz w:val="21"/>
          <w:szCs w:val="21"/>
          <w:highlight w:val="none"/>
        </w:rPr>
      </w:pPr>
      <w:bookmarkStart w:id="666" w:name="_Toc532375584"/>
      <w:bookmarkStart w:id="667" w:name="_Toc532377177"/>
      <w:bookmarkStart w:id="668" w:name="_Toc351203492"/>
      <w:r>
        <w:rPr>
          <w:rFonts w:hint="eastAsia"/>
          <w:color w:val="auto"/>
          <w:kern w:val="2"/>
          <w:sz w:val="21"/>
          <w:szCs w:val="21"/>
          <w:highlight w:val="none"/>
        </w:rPr>
        <w:t>十二、合同生效</w:t>
      </w:r>
      <w:bookmarkEnd w:id="666"/>
      <w:bookmarkEnd w:id="667"/>
      <w:bookmarkEnd w:id="668"/>
    </w:p>
    <w:p w14:paraId="5DE48E2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14:paraId="718228CA">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经双方法定代表人或其委托代理人签名并加盖单位</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14:paraId="2EF606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14:paraId="00E5848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rPr>
        <w:t>。</w:t>
      </w:r>
    </w:p>
    <w:p w14:paraId="4EC79FA5">
      <w:pPr>
        <w:pStyle w:val="7"/>
        <w:keepNext/>
        <w:keepLines/>
        <w:spacing w:before="120" w:after="120" w:line="360" w:lineRule="auto"/>
        <w:ind w:firstLine="422" w:firstLineChars="200"/>
        <w:jc w:val="both"/>
        <w:rPr>
          <w:color w:val="auto"/>
          <w:kern w:val="2"/>
          <w:sz w:val="21"/>
          <w:szCs w:val="21"/>
          <w:highlight w:val="none"/>
        </w:rPr>
      </w:pPr>
      <w:bookmarkStart w:id="669" w:name="_Toc532377178"/>
      <w:bookmarkStart w:id="670" w:name="_Toc351203493"/>
      <w:bookmarkStart w:id="671" w:name="_Toc532375585"/>
      <w:r>
        <w:rPr>
          <w:rFonts w:hint="eastAsia"/>
          <w:color w:val="auto"/>
          <w:kern w:val="2"/>
          <w:sz w:val="21"/>
          <w:szCs w:val="21"/>
          <w:highlight w:val="none"/>
        </w:rPr>
        <w:t>十三、合同份数</w:t>
      </w:r>
      <w:bookmarkEnd w:id="669"/>
      <w:bookmarkEnd w:id="670"/>
      <w:bookmarkEnd w:id="671"/>
    </w:p>
    <w:p w14:paraId="605629FB">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合同一式份，其中正本份，双方各持份，副本份，双方各执份。副本与正本不一致时，以正本为准</w:t>
      </w:r>
      <w:r>
        <w:rPr>
          <w:rFonts w:hint="eastAsia" w:ascii="宋体" w:hAnsi="宋体"/>
          <w:bCs/>
          <w:color w:val="auto"/>
          <w:szCs w:val="21"/>
          <w:highlight w:val="none"/>
        </w:rPr>
        <w:t>。</w:t>
      </w:r>
    </w:p>
    <w:p w14:paraId="2F9C92AE">
      <w:pPr>
        <w:spacing w:line="360" w:lineRule="auto"/>
        <w:ind w:firstLine="420" w:firstLineChars="200"/>
        <w:rPr>
          <w:rFonts w:ascii="宋体" w:hAnsi="宋体"/>
          <w:bCs/>
          <w:color w:val="auto"/>
          <w:szCs w:val="21"/>
          <w:highlight w:val="none"/>
        </w:rPr>
      </w:pPr>
    </w:p>
    <w:p w14:paraId="4254AC8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（以下为签名盖章页）。</w:t>
      </w:r>
    </w:p>
    <w:p w14:paraId="1CE79FC0">
      <w:pPr>
        <w:pStyle w:val="3"/>
        <w:spacing w:line="360" w:lineRule="auto"/>
        <w:ind w:firstLine="420" w:firstLineChars="200"/>
        <w:rPr>
          <w:rFonts w:ascii="宋体" w:hAnsi="宋体"/>
          <w:color w:val="auto"/>
          <w:szCs w:val="21"/>
          <w:highlight w:val="none"/>
        </w:rPr>
      </w:pPr>
    </w:p>
    <w:p w14:paraId="464A05D9">
      <w:pPr>
        <w:pStyle w:val="3"/>
        <w:spacing w:line="360" w:lineRule="auto"/>
        <w:ind w:firstLine="420" w:firstLineChars="200"/>
        <w:rPr>
          <w:rFonts w:ascii="宋体" w:hAnsi="宋体"/>
          <w:color w:val="auto"/>
          <w:szCs w:val="21"/>
          <w:highlight w:val="none"/>
        </w:rPr>
      </w:pPr>
    </w:p>
    <w:p w14:paraId="03657C79">
      <w:pPr>
        <w:adjustRightInd w:val="0"/>
        <w:spacing w:line="360" w:lineRule="auto"/>
        <w:ind w:firstLine="420" w:firstLineChars="200"/>
        <w:rPr>
          <w:rFonts w:ascii="宋体" w:hAnsi="宋体"/>
          <w:snapToGrid w:val="0"/>
          <w:color w:val="auto"/>
          <w:kern w:val="0"/>
          <w:szCs w:val="21"/>
          <w:highlight w:val="none"/>
        </w:rPr>
      </w:pPr>
      <w:bookmarkStart w:id="672" w:name="_Toc467689623"/>
      <w:r>
        <w:rPr>
          <w:rFonts w:ascii="宋体" w:hAnsi="宋体"/>
          <w:snapToGrid w:val="0"/>
          <w:color w:val="auto"/>
          <w:kern w:val="0"/>
          <w:szCs w:val="21"/>
          <w:highlight w:val="none"/>
        </w:rPr>
        <w:t>发包人：（</w:t>
      </w:r>
      <w:r>
        <w:rPr>
          <w:rFonts w:hint="eastAsia" w:ascii="宋体" w:hAnsi="宋体"/>
          <w:snapToGrid w:val="0"/>
          <w:color w:val="auto"/>
          <w:kern w:val="0"/>
          <w:szCs w:val="21"/>
          <w:highlight w:val="none"/>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01A605B1">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6656E272">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p>
    <w:p w14:paraId="020C2D64">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p>
    <w:p w14:paraId="5F603A9E">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p>
    <w:p w14:paraId="43B17593">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p>
    <w:p w14:paraId="35084109">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p>
    <w:p w14:paraId="5D668F29">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账    号：</w:t>
      </w:r>
    </w:p>
    <w:p w14:paraId="06BBAC03">
      <w:pPr>
        <w:spacing w:line="360" w:lineRule="auto"/>
        <w:rPr>
          <w:rFonts w:ascii="宋体" w:hAnsi="宋体"/>
          <w:snapToGrid w:val="0"/>
          <w:color w:val="auto"/>
          <w:kern w:val="0"/>
          <w:szCs w:val="21"/>
          <w:highlight w:val="none"/>
        </w:rPr>
      </w:pPr>
    </w:p>
    <w:p w14:paraId="7BA686DF">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hint="eastAsia" w:ascii="宋体" w:hAnsi="宋体"/>
          <w:snapToGrid w:val="0"/>
          <w:color w:val="auto"/>
          <w:kern w:val="0"/>
          <w:szCs w:val="21"/>
          <w:highlight w:val="none"/>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3DEB781F">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429A0A8F">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p>
    <w:p w14:paraId="3AE4D6C4">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p>
    <w:p w14:paraId="33DE19C6">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p>
    <w:p w14:paraId="77B1EA43">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p>
    <w:p w14:paraId="4A151ECF">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p>
    <w:p w14:paraId="0C28CA0A">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p>
    <w:p w14:paraId="3B715A3B">
      <w:pPr>
        <w:pStyle w:val="3"/>
        <w:spacing w:line="360" w:lineRule="auto"/>
        <w:rPr>
          <w:rFonts w:ascii="宋体" w:hAnsi="宋体"/>
          <w:color w:val="auto"/>
          <w:szCs w:val="21"/>
          <w:highlight w:val="none"/>
        </w:rPr>
      </w:pPr>
    </w:p>
    <w:p w14:paraId="3DF6FC3C">
      <w:pPr>
        <w:spacing w:line="360" w:lineRule="auto"/>
        <w:jc w:val="right"/>
        <w:rPr>
          <w:rFonts w:ascii="宋体" w:hAnsi="宋体"/>
          <w:snapToGrid w:val="0"/>
          <w:color w:val="auto"/>
          <w:kern w:val="0"/>
          <w:szCs w:val="21"/>
          <w:highlight w:val="none"/>
        </w:rPr>
      </w:pPr>
    </w:p>
    <w:p w14:paraId="3230270E">
      <w:pPr>
        <w:spacing w:line="360" w:lineRule="auto"/>
        <w:jc w:val="right"/>
        <w:rPr>
          <w:rFonts w:ascii="宋体" w:hAnsi="宋体"/>
          <w:snapToGrid w:val="0"/>
          <w:color w:val="auto"/>
          <w:kern w:val="0"/>
          <w:szCs w:val="21"/>
          <w:highlight w:val="none"/>
        </w:rPr>
      </w:pPr>
    </w:p>
    <w:p w14:paraId="38410459">
      <w:pPr>
        <w:spacing w:line="360" w:lineRule="auto"/>
        <w:jc w:val="right"/>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签约时间：年月日</w:t>
      </w:r>
      <w:bookmarkEnd w:id="672"/>
    </w:p>
    <w:p w14:paraId="343DA9CA">
      <w:pPr>
        <w:pStyle w:val="6"/>
        <w:jc w:val="center"/>
        <w:rPr>
          <w:rFonts w:ascii="宋体" w:hAnsi="宋体"/>
          <w:color w:val="auto"/>
          <w:szCs w:val="20"/>
          <w:highlight w:val="none"/>
        </w:rPr>
      </w:pPr>
      <w:r>
        <w:rPr>
          <w:rFonts w:hint="eastAsia" w:ascii="宋体" w:hAnsi="宋体"/>
          <w:b w:val="0"/>
          <w:snapToGrid w:val="0"/>
          <w:color w:val="auto"/>
          <w:sz w:val="21"/>
          <w:szCs w:val="21"/>
          <w:highlight w:val="none"/>
          <w:lang w:val="zh-CN"/>
        </w:rPr>
        <w:br w:type="page"/>
      </w:r>
      <w:bookmarkEnd w:id="632"/>
      <w:bookmarkStart w:id="673" w:name="招标文件05章工程量清单"/>
      <w:bookmarkEnd w:id="673"/>
    </w:p>
    <w:p w14:paraId="66498D8A">
      <w:pPr>
        <w:pStyle w:val="6"/>
        <w:jc w:val="center"/>
        <w:rPr>
          <w:rFonts w:ascii="宋体" w:hAnsi="宋体"/>
          <w:color w:val="auto"/>
          <w:sz w:val="44"/>
          <w:szCs w:val="44"/>
          <w:highlight w:val="none"/>
        </w:rPr>
      </w:pPr>
      <w:bookmarkStart w:id="674" w:name="_Toc534185822"/>
      <w:bookmarkStart w:id="675" w:name="_Toc287607855"/>
      <w:bookmarkStart w:id="676" w:name="_Toc57905910"/>
      <w:bookmarkStart w:id="677" w:name="_Toc509218843"/>
      <w:bookmarkStart w:id="678" w:name="_Toc287620797"/>
      <w:bookmarkStart w:id="679" w:name="_Toc430530513"/>
      <w:bookmarkStart w:id="680" w:name="_Toc16194"/>
      <w:r>
        <w:rPr>
          <w:rFonts w:hint="eastAsia" w:ascii="宋体" w:hAnsi="宋体"/>
          <w:color w:val="auto"/>
          <w:sz w:val="44"/>
          <w:szCs w:val="44"/>
          <w:highlight w:val="none"/>
        </w:rPr>
        <w:t>第三部分 专用合同条款</w:t>
      </w:r>
    </w:p>
    <w:p w14:paraId="2334687C">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 一般约定</w:t>
      </w:r>
    </w:p>
    <w:p w14:paraId="5AA8206D">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1.1词语定义与解释</w:t>
      </w:r>
    </w:p>
    <w:p w14:paraId="0B2094D2">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highlight w:val="none"/>
        </w:rPr>
        <w:t>1.1.1 合同</w:t>
      </w:r>
    </w:p>
    <w:p w14:paraId="4F0C6EEF">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1.1.1.6技术标准和要求：</w:t>
      </w:r>
      <w:r>
        <w:rPr>
          <w:rFonts w:hint="eastAsia" w:ascii="宋体" w:hAnsi="宋体"/>
          <w:color w:val="auto"/>
          <w:kern w:val="0"/>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highlight w:val="none"/>
        </w:rPr>
        <w:t>。</w:t>
      </w:r>
    </w:p>
    <w:p w14:paraId="5D791E15">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1.1.1.8 已标价工程量清单：</w:t>
      </w:r>
      <w:r>
        <w:rPr>
          <w:rFonts w:hint="eastAsia" w:ascii="宋体" w:hAnsi="宋体"/>
          <w:color w:val="auto"/>
          <w:kern w:val="0"/>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highlight w:val="none"/>
        </w:rPr>
        <w:t>。</w:t>
      </w:r>
    </w:p>
    <w:p w14:paraId="0FDD3A17">
      <w:pPr>
        <w:spacing w:line="360" w:lineRule="auto"/>
        <w:ind w:firstLine="420" w:firstLineChars="200"/>
        <w:jc w:val="left"/>
        <w:rPr>
          <w:rFonts w:hint="eastAsia" w:ascii="宋体" w:hAnsi="宋体"/>
          <w:color w:val="auto"/>
          <w:highlight w:val="none"/>
        </w:rPr>
      </w:pPr>
      <w:r>
        <w:rPr>
          <w:rFonts w:hint="eastAsia" w:ascii="宋体" w:hAnsi="宋体"/>
          <w:color w:val="auto"/>
          <w:kern w:val="0"/>
          <w:highlight w:val="none"/>
        </w:rPr>
        <w:t>1.1.1.10 其他合同文件包括：</w:t>
      </w:r>
      <w:r>
        <w:rPr>
          <w:rFonts w:hint="eastAsia" w:ascii="宋体" w:hAnsi="宋体"/>
          <w:color w:val="auto"/>
          <w:highlight w:val="none"/>
          <w:u w:val="single"/>
        </w:rPr>
        <w:t>按照合同协议书</w:t>
      </w:r>
      <w:r>
        <w:rPr>
          <w:rFonts w:hint="eastAsia" w:ascii="宋体" w:hAnsi="宋体"/>
          <w:bCs/>
          <w:color w:val="auto"/>
          <w:highlight w:val="none"/>
          <w:u w:val="single"/>
        </w:rPr>
        <w:t>〔</w:t>
      </w:r>
      <w:r>
        <w:rPr>
          <w:rFonts w:hint="eastAsia" w:ascii="宋体" w:hAnsi="宋体"/>
          <w:color w:val="auto"/>
          <w:highlight w:val="none"/>
          <w:u w:val="single"/>
        </w:rPr>
        <w:t>第六条</w:t>
      </w:r>
      <w:r>
        <w:rPr>
          <w:rFonts w:hint="eastAsia" w:ascii="宋体" w:hAnsi="宋体"/>
          <w:bCs/>
          <w:color w:val="auto"/>
          <w:highlight w:val="none"/>
          <w:u w:val="single"/>
        </w:rPr>
        <w:t>〕</w:t>
      </w:r>
      <w:r>
        <w:rPr>
          <w:rFonts w:hint="eastAsia" w:ascii="宋体" w:hAnsi="宋体"/>
          <w:color w:val="auto"/>
          <w:highlight w:val="none"/>
          <w:u w:val="single"/>
        </w:rPr>
        <w:t>约定执行</w:t>
      </w:r>
      <w:r>
        <w:rPr>
          <w:rFonts w:hint="eastAsia" w:ascii="宋体" w:hAnsi="宋体"/>
          <w:color w:val="auto"/>
          <w:highlight w:val="none"/>
        </w:rPr>
        <w:t>。</w:t>
      </w:r>
    </w:p>
    <w:p w14:paraId="42915DD3">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本项补充1.1.1.11～1.1.1.16目：</w:t>
      </w:r>
    </w:p>
    <w:p w14:paraId="13130FEB">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1.1.1.11竞选文件：</w:t>
      </w:r>
      <w:r>
        <w:rPr>
          <w:rFonts w:hint="eastAsia" w:ascii="宋体" w:hAnsi="宋体"/>
          <w:color w:val="auto"/>
          <w:kern w:val="0"/>
          <w:highlight w:val="none"/>
          <w:u w:val="single"/>
        </w:rPr>
        <w:t>指本工程的竞选文件、图纸、其他技术资料及比选人发出的对竞选文件所作的澄清、修改等资料</w:t>
      </w:r>
      <w:r>
        <w:rPr>
          <w:rFonts w:hint="eastAsia" w:ascii="宋体" w:hAnsi="宋体"/>
          <w:color w:val="auto"/>
          <w:kern w:val="0"/>
          <w:highlight w:val="none"/>
        </w:rPr>
        <w:t>。</w:t>
      </w:r>
    </w:p>
    <w:p w14:paraId="1A999A57">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1.1.1.12 工作：</w:t>
      </w:r>
      <w:r>
        <w:rPr>
          <w:rFonts w:hint="eastAsia" w:ascii="宋体" w:hAnsi="宋体"/>
          <w:color w:val="auto"/>
          <w:kern w:val="0"/>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highlight w:val="none"/>
        </w:rPr>
        <w:t>。</w:t>
      </w:r>
    </w:p>
    <w:p w14:paraId="14957FB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1.1.1.13 重大设计变更：按照规定需要重新报建设行政主管部门批准的设计变更。</w:t>
      </w:r>
    </w:p>
    <w:p w14:paraId="538CF0C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1.1.1.14 公章：专指法定单位名称章。</w:t>
      </w:r>
    </w:p>
    <w:p w14:paraId="2E27E4B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1.1.1.15 到岗：指承包人按照到岗履职承诺安排满足办理施工许可手续相关要求的项目主要管理人员实际到施工现场就职履约的行为。</w:t>
      </w:r>
    </w:p>
    <w:p w14:paraId="416115D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1.1.1.16 项目法人：指具有民事权利能力和民事行为能力，依法独立享有民事权利和承担民事义务，以建设项目为目的，从事项目管理的机构、单位或组织。</w:t>
      </w:r>
    </w:p>
    <w:p w14:paraId="18A10D6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1.1.2 合同当事人及其他相关方。……</w:t>
      </w:r>
    </w:p>
    <w:p w14:paraId="66C342C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1.1.2.4 监理人：</w:t>
      </w:r>
    </w:p>
    <w:p w14:paraId="6419168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名    称：</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6AC7B0A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资质类别和等级：</w:t>
      </w:r>
      <w:r>
        <w:rPr>
          <w:rFonts w:hint="eastAsia" w:ascii="宋体" w:hAnsi="宋体" w:cs="宋体"/>
          <w:color w:val="auto"/>
          <w:highlight w:val="none"/>
          <w:u w:val="single"/>
        </w:rPr>
        <w:t></w:t>
      </w:r>
      <w:r>
        <w:rPr>
          <w:rFonts w:hint="eastAsia" w:ascii="宋体" w:hAnsi="宋体"/>
          <w:color w:val="auto"/>
          <w:highlight w:val="none"/>
        </w:rPr>
        <w:t>；</w:t>
      </w:r>
    </w:p>
    <w:p w14:paraId="1D8B108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联系方式：</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52B4620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1.1.2.5 设计人：</w:t>
      </w:r>
    </w:p>
    <w:p w14:paraId="371FB1A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名    称：</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44875A6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资质类别和等级：</w:t>
      </w:r>
      <w:r>
        <w:rPr>
          <w:rFonts w:hint="eastAsia" w:ascii="宋体" w:hAnsi="宋体" w:cs="宋体"/>
          <w:color w:val="auto"/>
          <w:highlight w:val="none"/>
          <w:u w:val="single"/>
        </w:rPr>
        <w:t></w:t>
      </w:r>
      <w:r>
        <w:rPr>
          <w:rFonts w:hint="eastAsia" w:ascii="宋体" w:hAnsi="宋体"/>
          <w:color w:val="auto"/>
          <w:highlight w:val="none"/>
        </w:rPr>
        <w:t>；</w:t>
      </w:r>
    </w:p>
    <w:p w14:paraId="72936C7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联系方式：</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07CF11A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1.1.3 工程和设备</w:t>
      </w:r>
    </w:p>
    <w:p w14:paraId="0E497DFE">
      <w:pPr>
        <w:spacing w:line="360" w:lineRule="auto"/>
        <w:ind w:firstLine="420" w:firstLineChars="200"/>
        <w:jc w:val="left"/>
        <w:rPr>
          <w:rFonts w:hint="eastAsia" w:ascii="宋体" w:hAnsi="宋体"/>
          <w:color w:val="auto"/>
          <w:highlight w:val="none"/>
        </w:rPr>
      </w:pPr>
      <w:r>
        <w:rPr>
          <w:rFonts w:hint="eastAsia" w:ascii="宋体" w:hAnsi="宋体"/>
          <w:color w:val="auto"/>
          <w:kern w:val="0"/>
          <w:highlight w:val="none"/>
        </w:rPr>
        <w:t>1.1.3.7 作为施工现场组成部分的其他场所包括：</w:t>
      </w:r>
      <w:r>
        <w:rPr>
          <w:rFonts w:hint="eastAsia" w:ascii="宋体" w:hAnsi="宋体"/>
          <w:color w:val="auto"/>
          <w:kern w:val="0"/>
          <w:highlight w:val="none"/>
          <w:u w:val="single"/>
        </w:rPr>
        <w:t>永久占地、临时占地以及为修建临时工程而租用、占用的土地</w:t>
      </w:r>
      <w:r>
        <w:rPr>
          <w:rFonts w:hint="eastAsia" w:ascii="宋体" w:hAnsi="宋体"/>
          <w:color w:val="auto"/>
          <w:highlight w:val="none"/>
        </w:rPr>
        <w:t>。</w:t>
      </w:r>
    </w:p>
    <w:p w14:paraId="1BBEA698">
      <w:pPr>
        <w:spacing w:line="360" w:lineRule="auto"/>
        <w:ind w:firstLine="420" w:firstLineChars="200"/>
        <w:jc w:val="left"/>
        <w:rPr>
          <w:rFonts w:hint="eastAsia" w:ascii="宋体" w:hAnsi="宋体"/>
          <w:color w:val="auto"/>
          <w:highlight w:val="none"/>
        </w:rPr>
      </w:pPr>
      <w:r>
        <w:rPr>
          <w:rFonts w:hint="eastAsia" w:ascii="宋体" w:hAnsi="宋体"/>
          <w:color w:val="auto"/>
          <w:kern w:val="0"/>
          <w:highlight w:val="none"/>
        </w:rPr>
        <w:t>1.1.3.9 永久占地包括：</w:t>
      </w:r>
      <w:r>
        <w:rPr>
          <w:rFonts w:hint="eastAsia" w:ascii="宋体" w:hAnsi="宋体"/>
          <w:color w:val="auto"/>
          <w:kern w:val="0"/>
          <w:highlight w:val="none"/>
          <w:u w:val="single"/>
        </w:rPr>
        <w:t>为实施合同工程而需要的一切永久占用的土地，即合同工程</w:t>
      </w:r>
      <w:r>
        <w:rPr>
          <w:rFonts w:hint="eastAsia" w:ascii="宋体" w:hAnsi="宋体"/>
          <w:color w:val="auto"/>
          <w:highlight w:val="none"/>
          <w:u w:val="single"/>
        </w:rPr>
        <w:t>用地红线范围内的土地</w:t>
      </w:r>
      <w:r>
        <w:rPr>
          <w:rFonts w:hint="eastAsia" w:ascii="宋体" w:hAnsi="宋体"/>
          <w:color w:val="auto"/>
          <w:highlight w:val="none"/>
        </w:rPr>
        <w:t>。</w:t>
      </w:r>
    </w:p>
    <w:p w14:paraId="4F0DFA7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1.1.3.10 临时占地包括：</w:t>
      </w:r>
      <w:r>
        <w:rPr>
          <w:rFonts w:hint="eastAsia" w:ascii="宋体" w:hAnsi="宋体"/>
          <w:color w:val="auto"/>
          <w:highlight w:val="none"/>
          <w:u w:val="single"/>
        </w:rPr>
        <w:t>为实施合同工程而需要</w:t>
      </w:r>
      <w:r>
        <w:rPr>
          <w:rFonts w:hint="eastAsia" w:ascii="宋体" w:hAnsi="宋体"/>
          <w:color w:val="auto"/>
          <w:kern w:val="0"/>
          <w:highlight w:val="none"/>
          <w:u w:val="single"/>
        </w:rPr>
        <w:t>的一切</w:t>
      </w:r>
      <w:r>
        <w:rPr>
          <w:rFonts w:hint="eastAsia" w:ascii="宋体" w:hAnsi="宋体"/>
          <w:color w:val="auto"/>
          <w:highlight w:val="none"/>
          <w:u w:val="single"/>
        </w:rPr>
        <w:t>临时占用的土地，包括施工所用的临时便道等的临时出入道，以及生产（办公）、生活等临时设施用地</w:t>
      </w:r>
      <w:r>
        <w:rPr>
          <w:rFonts w:hint="eastAsia" w:ascii="宋体" w:hAnsi="宋体"/>
          <w:color w:val="auto"/>
          <w:highlight w:val="none"/>
        </w:rPr>
        <w:t>。</w:t>
      </w:r>
    </w:p>
    <w:p w14:paraId="0B9797C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1.1.6 其他</w:t>
      </w:r>
    </w:p>
    <w:p w14:paraId="044B247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本项补充1.1.6.2～1.1.6.3目：</w:t>
      </w:r>
    </w:p>
    <w:p w14:paraId="70888F5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highlight w:val="none"/>
        </w:rPr>
        <w:t>违法行为</w:t>
      </w:r>
      <w:r>
        <w:rPr>
          <w:rFonts w:hint="eastAsia" w:ascii="宋体" w:hAnsi="宋体"/>
          <w:color w:val="auto"/>
          <w:highlight w:val="none"/>
        </w:rPr>
        <w:t>。</w:t>
      </w:r>
    </w:p>
    <w:p w14:paraId="231E48C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29D29F9B">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1.4 标准和规范</w:t>
      </w:r>
    </w:p>
    <w:p w14:paraId="5EEDF8A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1.4.1 适用于工程的标准规范包括：</w:t>
      </w:r>
    </w:p>
    <w:p w14:paraId="25AE56F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（1）施工图所涉及的技术标准、规范、规程、图集等；</w:t>
      </w:r>
    </w:p>
    <w:p w14:paraId="3A16A2AD">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（2）国家、行业或重庆市与本工程有关的标准，以及相应的规范、规程等，当这些标准、规范、规程不一致时，以标准、规范、规程要求最高的为准。</w:t>
      </w:r>
    </w:p>
    <w:p w14:paraId="3D6A7108">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（3）</w:t>
      </w:r>
      <w:r>
        <w:rPr>
          <w:rFonts w:hint="eastAsia" w:ascii="宋体" w:hAnsi="宋体"/>
          <w:color w:val="auto"/>
          <w:highlight w:val="none"/>
          <w:u w:val="single"/>
        </w:rPr>
        <w:t xml:space="preserve">        </w:t>
      </w:r>
      <w:r>
        <w:rPr>
          <w:rFonts w:hint="eastAsia" w:ascii="宋体" w:hAnsi="宋体"/>
          <w:color w:val="auto"/>
          <w:highlight w:val="none"/>
        </w:rPr>
        <w:t>。</w:t>
      </w:r>
    </w:p>
    <w:p w14:paraId="1E4EC906">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1.4.2 发包人提供国外标准、规范的名称：</w:t>
      </w:r>
      <w:r>
        <w:rPr>
          <w:rFonts w:hint="eastAsia" w:ascii="宋体" w:hAnsi="宋体"/>
          <w:color w:val="auto"/>
          <w:kern w:val="0"/>
          <w:highlight w:val="none"/>
          <w:u w:val="single"/>
        </w:rPr>
        <w:t xml:space="preserve"> / </w:t>
      </w:r>
      <w:r>
        <w:rPr>
          <w:rFonts w:hint="eastAsia" w:ascii="宋体" w:hAnsi="宋体"/>
          <w:color w:val="auto"/>
          <w:kern w:val="0"/>
          <w:highlight w:val="none"/>
        </w:rPr>
        <w:t>；</w:t>
      </w:r>
    </w:p>
    <w:p w14:paraId="2C9D37B7">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发包人提供国外标准、规范的份数：</w:t>
      </w:r>
      <w:r>
        <w:rPr>
          <w:rFonts w:hint="eastAsia" w:ascii="宋体" w:hAnsi="宋体"/>
          <w:color w:val="auto"/>
          <w:kern w:val="0"/>
          <w:highlight w:val="none"/>
          <w:u w:val="single"/>
        </w:rPr>
        <w:t xml:space="preserve"> / </w:t>
      </w:r>
      <w:r>
        <w:rPr>
          <w:rFonts w:hint="eastAsia" w:ascii="宋体" w:hAnsi="宋体"/>
          <w:color w:val="auto"/>
          <w:kern w:val="0"/>
          <w:highlight w:val="none"/>
        </w:rPr>
        <w:t>；</w:t>
      </w:r>
    </w:p>
    <w:p w14:paraId="29ECAC2C">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发包人提供国外标准、规范的名称：</w:t>
      </w:r>
      <w:r>
        <w:rPr>
          <w:rFonts w:hint="eastAsia" w:ascii="宋体" w:hAnsi="宋体"/>
          <w:color w:val="auto"/>
          <w:kern w:val="0"/>
          <w:highlight w:val="none"/>
          <w:u w:val="single"/>
        </w:rPr>
        <w:t xml:space="preserve"> / </w:t>
      </w:r>
      <w:r>
        <w:rPr>
          <w:rFonts w:hint="eastAsia" w:ascii="宋体" w:hAnsi="宋体"/>
          <w:color w:val="auto"/>
          <w:kern w:val="0"/>
          <w:highlight w:val="none"/>
        </w:rPr>
        <w:t>。</w:t>
      </w:r>
    </w:p>
    <w:p w14:paraId="12A37CE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1.4.3 发包人对工程的技术标准和功能要求的特殊要求：</w:t>
      </w:r>
      <w:r>
        <w:rPr>
          <w:rFonts w:hint="eastAsia" w:ascii="宋体" w:hAnsi="宋体"/>
          <w:color w:val="auto"/>
          <w:kern w:val="0"/>
          <w:highlight w:val="none"/>
          <w:u w:val="single"/>
        </w:rPr>
        <w:t xml:space="preserve">/ </w:t>
      </w:r>
      <w:r>
        <w:rPr>
          <w:rFonts w:hint="eastAsia" w:ascii="宋体" w:hAnsi="宋体"/>
          <w:color w:val="auto"/>
          <w:highlight w:val="none"/>
        </w:rPr>
        <w:t>。</w:t>
      </w:r>
    </w:p>
    <w:p w14:paraId="00C15395">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1.5 合同文件的优先顺序</w:t>
      </w:r>
    </w:p>
    <w:p w14:paraId="62DB4119">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合同文件组成及优先顺序为：</w:t>
      </w:r>
      <w:r>
        <w:rPr>
          <w:rFonts w:hint="eastAsia" w:ascii="宋体" w:hAnsi="宋体"/>
          <w:color w:val="auto"/>
          <w:highlight w:val="none"/>
          <w:u w:val="single"/>
        </w:rPr>
        <w:t>按照合同协议书</w:t>
      </w:r>
      <w:r>
        <w:rPr>
          <w:rFonts w:hint="eastAsia" w:ascii="宋体" w:hAnsi="宋体"/>
          <w:bCs/>
          <w:color w:val="auto"/>
          <w:highlight w:val="none"/>
          <w:u w:val="single"/>
        </w:rPr>
        <w:t>〔</w:t>
      </w:r>
      <w:r>
        <w:rPr>
          <w:rFonts w:hint="eastAsia" w:ascii="宋体" w:hAnsi="宋体"/>
          <w:color w:val="auto"/>
          <w:highlight w:val="none"/>
          <w:u w:val="single"/>
        </w:rPr>
        <w:t>第六条</w:t>
      </w:r>
      <w:r>
        <w:rPr>
          <w:rFonts w:hint="eastAsia" w:ascii="宋体" w:hAnsi="宋体"/>
          <w:bCs/>
          <w:color w:val="auto"/>
          <w:highlight w:val="none"/>
          <w:u w:val="single"/>
        </w:rPr>
        <w:t>〕</w:t>
      </w:r>
      <w:r>
        <w:rPr>
          <w:rFonts w:hint="eastAsia" w:ascii="宋体" w:hAnsi="宋体"/>
          <w:color w:val="auto"/>
          <w:highlight w:val="none"/>
          <w:u w:val="single"/>
        </w:rPr>
        <w:t>约定执行</w:t>
      </w:r>
      <w:r>
        <w:rPr>
          <w:rFonts w:hint="eastAsia" w:ascii="宋体" w:hAnsi="宋体"/>
          <w:color w:val="auto"/>
          <w:highlight w:val="none"/>
        </w:rPr>
        <w:t>。</w:t>
      </w:r>
    </w:p>
    <w:p w14:paraId="70B7A909">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1.6 图纸和承包人文件</w:t>
      </w:r>
    </w:p>
    <w:p w14:paraId="3F3DA05B">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1.6.1 图纸的提供和交底</w:t>
      </w:r>
    </w:p>
    <w:p w14:paraId="2813FC1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发包人向承包人提供图纸的期限：</w:t>
      </w:r>
      <w:r>
        <w:rPr>
          <w:rFonts w:hint="eastAsia" w:ascii="宋体" w:hAnsi="宋体"/>
          <w:color w:val="auto"/>
          <w:highlight w:val="none"/>
          <w:u w:val="single"/>
        </w:rPr>
        <w:t>通用合同条款第7.3.2款</w:t>
      </w:r>
      <w:r>
        <w:rPr>
          <w:rFonts w:hint="eastAsia" w:ascii="宋体" w:hAnsi="宋体"/>
          <w:bCs/>
          <w:color w:val="auto"/>
          <w:highlight w:val="none"/>
          <w:u w:val="single"/>
        </w:rPr>
        <w:t>〔</w:t>
      </w:r>
      <w:r>
        <w:rPr>
          <w:rFonts w:hint="eastAsia" w:ascii="宋体" w:hAnsi="宋体"/>
          <w:color w:val="auto"/>
          <w:highlight w:val="none"/>
          <w:u w:val="single"/>
        </w:rPr>
        <w:t>开工通知</w:t>
      </w:r>
      <w:r>
        <w:rPr>
          <w:rFonts w:hint="eastAsia" w:ascii="宋体" w:hAnsi="宋体"/>
          <w:bCs/>
          <w:color w:val="auto"/>
          <w:highlight w:val="none"/>
          <w:u w:val="single"/>
        </w:rPr>
        <w:t>〕</w:t>
      </w:r>
      <w:r>
        <w:rPr>
          <w:rFonts w:hint="eastAsia" w:ascii="宋体" w:hAnsi="宋体"/>
          <w:color w:val="auto"/>
          <w:highlight w:val="none"/>
          <w:u w:val="single"/>
        </w:rPr>
        <w:t>载明的开工日期前14天</w:t>
      </w:r>
      <w:r>
        <w:rPr>
          <w:rFonts w:hint="eastAsia" w:ascii="宋体" w:hAnsi="宋体"/>
          <w:color w:val="auto"/>
          <w:highlight w:val="none"/>
        </w:rPr>
        <w:t>；</w:t>
      </w:r>
    </w:p>
    <w:p w14:paraId="264530E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发包人向承包人提供图纸的数量：</w:t>
      </w:r>
      <w:r>
        <w:rPr>
          <w:rFonts w:hint="eastAsia" w:ascii="宋体" w:hAnsi="宋体"/>
          <w:color w:val="auto"/>
          <w:highlight w:val="none"/>
          <w:u w:val="single"/>
        </w:rPr>
        <w:t>3套</w:t>
      </w:r>
      <w:r>
        <w:rPr>
          <w:rFonts w:hint="eastAsia" w:ascii="宋体" w:hAnsi="宋体"/>
          <w:color w:val="auto"/>
          <w:highlight w:val="none"/>
        </w:rPr>
        <w:t xml:space="preserve">； </w:t>
      </w:r>
    </w:p>
    <w:p w14:paraId="7CEF050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发包人向承包人提供图纸的内容：</w:t>
      </w:r>
      <w:r>
        <w:rPr>
          <w:rFonts w:hint="eastAsia" w:ascii="宋体" w:hAnsi="宋体"/>
          <w:color w:val="auto"/>
          <w:highlight w:val="none"/>
          <w:u w:val="single"/>
        </w:rPr>
        <w:t>工程承包范围内工程的施工图设计文件</w:t>
      </w:r>
      <w:r>
        <w:rPr>
          <w:rFonts w:hint="eastAsia" w:ascii="宋体" w:hAnsi="宋体"/>
          <w:color w:val="auto"/>
          <w:highlight w:val="none"/>
        </w:rPr>
        <w:t>；</w:t>
      </w:r>
    </w:p>
    <w:p w14:paraId="0DFFA87B">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发包人组织承包人、监理人和设计人进行图纸会审和设计交底的时间：</w:t>
      </w:r>
      <w:r>
        <w:rPr>
          <w:rFonts w:hint="eastAsia" w:ascii="宋体" w:hAnsi="宋体"/>
          <w:color w:val="auto"/>
          <w:highlight w:val="none"/>
          <w:u w:val="single"/>
        </w:rPr>
        <w:t>提供施工图后7天内</w:t>
      </w:r>
      <w:r>
        <w:rPr>
          <w:rFonts w:hint="eastAsia" w:ascii="宋体" w:hAnsi="宋体"/>
          <w:color w:val="auto"/>
          <w:highlight w:val="none"/>
        </w:rPr>
        <w:t>。</w:t>
      </w:r>
    </w:p>
    <w:p w14:paraId="79929D5C">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承包人可以书面方式通过监理人向发包人申请进行紧急的设计交底，发包人认为确有必要且条件许可时，应尽快组织实施承包人申请的设计交底。</w:t>
      </w:r>
    </w:p>
    <w:p w14:paraId="0D76A9D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1.6.2 图纸的错误</w:t>
      </w:r>
    </w:p>
    <w:p w14:paraId="5C2714C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5745FE5A">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承包人不得利用图纸的差错、遗漏或缺陷，从中获得不正当的利益。</w:t>
      </w:r>
    </w:p>
    <w:p w14:paraId="12D531C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1.6.4 承包人文件</w:t>
      </w:r>
    </w:p>
    <w:p w14:paraId="6225B0E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需要由承包人提供的书面文件，包括：</w:t>
      </w:r>
      <w:r>
        <w:rPr>
          <w:rFonts w:hint="eastAsia" w:ascii="宋体" w:hAnsi="宋体"/>
          <w:color w:val="auto"/>
          <w:highlight w:val="none"/>
          <w:u w:val="single"/>
        </w:rPr>
        <w:t>施工组织设计、专项施工方案、危险性较大分部分项工程施工方案（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highlight w:val="none"/>
        </w:rPr>
        <w:t>。</w:t>
      </w:r>
    </w:p>
    <w:p w14:paraId="44A00E7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承包人提供文件的期限、数量：</w:t>
      </w:r>
    </w:p>
    <w:p w14:paraId="612EFA5D">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（1）</w:t>
      </w:r>
      <w:r>
        <w:rPr>
          <w:rFonts w:hint="eastAsia" w:ascii="宋体" w:hAnsi="宋体"/>
          <w:color w:val="auto"/>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highlight w:val="none"/>
        </w:rPr>
        <w:t>。</w:t>
      </w:r>
    </w:p>
    <w:p w14:paraId="28DD7EB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u w:val="single"/>
        </w:rPr>
        <w:t>每月25日前报送月工程进度完成报表</w:t>
      </w:r>
      <w:r>
        <w:rPr>
          <w:rFonts w:hint="eastAsia" w:ascii="宋体" w:hAnsi="宋体"/>
          <w:color w:val="auto"/>
          <w:highlight w:val="none"/>
        </w:rPr>
        <w:t>。</w:t>
      </w:r>
    </w:p>
    <w:p w14:paraId="298FC366">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（3）合同另有约定的，按照其约定。</w:t>
      </w:r>
    </w:p>
    <w:p w14:paraId="69BB4583">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承包人提供的文件的形式：□采用电子招标的，竞选文件以电子文档为准，其他文件以书面文件为准；□采用纸质招标的，当书面文件与电子文档不一致的，以书面文件为准。监理人审批承包人文件的期限：</w:t>
      </w:r>
      <w:r>
        <w:rPr>
          <w:rFonts w:hint="eastAsia" w:ascii="宋体" w:hAnsi="宋体"/>
          <w:color w:val="auto"/>
          <w:highlight w:val="none"/>
          <w:u w:val="single"/>
        </w:rPr>
        <w:t>收到施工组织设计和工程总体进度计划及当年年度施工进度计划后7天内；合同另有约定的，从其约定</w:t>
      </w:r>
      <w:r>
        <w:rPr>
          <w:rFonts w:hint="eastAsia" w:ascii="宋体" w:hAnsi="宋体"/>
          <w:color w:val="auto"/>
          <w:highlight w:val="none"/>
        </w:rPr>
        <w:t>。</w:t>
      </w:r>
    </w:p>
    <w:p w14:paraId="0AF5873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承包人提供的文件的费用：</w:t>
      </w:r>
      <w:r>
        <w:rPr>
          <w:rFonts w:hint="eastAsia" w:ascii="宋体" w:hAnsi="宋体"/>
          <w:color w:val="auto"/>
          <w:highlight w:val="none"/>
          <w:u w:val="single"/>
        </w:rPr>
        <w:t>由承包人承担</w:t>
      </w:r>
      <w:r>
        <w:rPr>
          <w:rFonts w:hint="eastAsia" w:ascii="宋体" w:hAnsi="宋体"/>
          <w:color w:val="auto"/>
          <w:highlight w:val="none"/>
        </w:rPr>
        <w:t>。</w:t>
      </w:r>
    </w:p>
    <w:p w14:paraId="3698B4D5">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发包人审批承包人文件的期限：</w:t>
      </w:r>
      <w:r>
        <w:rPr>
          <w:rFonts w:hint="eastAsia" w:ascii="宋体" w:hAnsi="宋体"/>
          <w:color w:val="auto"/>
          <w:highlight w:val="none"/>
          <w:u w:val="single"/>
        </w:rPr>
        <w:t>收到后14天内；合同另有约定的，从其约定</w:t>
      </w:r>
      <w:r>
        <w:rPr>
          <w:rFonts w:hint="eastAsia" w:ascii="宋体" w:hAnsi="宋体"/>
          <w:color w:val="auto"/>
          <w:highlight w:val="none"/>
        </w:rPr>
        <w:t>。</w:t>
      </w:r>
    </w:p>
    <w:p w14:paraId="676C70B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监理人、发包人的修改意见和审批，不免除或减轻承包人对该工作、工程、材料、工程设备等应承担的责任和义务</w:t>
      </w:r>
      <w:r>
        <w:rPr>
          <w:rFonts w:hint="eastAsia" w:ascii="宋体" w:hAnsi="宋体"/>
          <w:color w:val="auto"/>
          <w:highlight w:val="none"/>
        </w:rPr>
        <w:t>。</w:t>
      </w:r>
    </w:p>
    <w:p w14:paraId="1B882BB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1.7 联络</w:t>
      </w:r>
    </w:p>
    <w:p w14:paraId="5A8BF7DA">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highlight w:val="none"/>
        </w:rPr>
        <w:t>1.7.1 发包人和承包人应当在</w:t>
      </w:r>
      <w:r>
        <w:rPr>
          <w:rFonts w:hint="eastAsia" w:ascii="宋体" w:hAnsi="宋体"/>
          <w:color w:val="auto"/>
          <w:highlight w:val="none"/>
          <w:u w:val="single"/>
        </w:rPr>
        <w:t xml:space="preserve"> 1 </w:t>
      </w:r>
      <w:r>
        <w:rPr>
          <w:rFonts w:hint="eastAsia" w:ascii="宋体" w:hAnsi="宋体"/>
          <w:color w:val="auto"/>
          <w:kern w:val="0"/>
          <w:highlight w:val="none"/>
        </w:rPr>
        <w:t>天内将与合同有关的通知、批准、证明、证书、指示、指令、要求、请求、同意、意见、确定和决定等书面函件送达对方当事人，并办理书面签收手续。</w:t>
      </w:r>
    </w:p>
    <w:p w14:paraId="4D4D925D">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1.7.2 发包人接收文件地点：</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1F159431">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发包人指定的接收人：</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63E0EB38">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承包人接收文件地点：</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5E6E47ED">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承包人指定的接收人：</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22376B74">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监理人接收文件地点：</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44E17D8C">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监理人指定的接收人：</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310BE662">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1.8 严禁贿赂</w:t>
      </w:r>
    </w:p>
    <w:p w14:paraId="73845A11">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highlight w:val="none"/>
        </w:rPr>
        <w:t>本款补充以下内容：</w:t>
      </w:r>
    </w:p>
    <w:p w14:paraId="29060696">
      <w:pPr>
        <w:spacing w:line="360" w:lineRule="auto"/>
        <w:ind w:firstLine="420" w:firstLineChars="200"/>
        <w:jc w:val="left"/>
        <w:rPr>
          <w:rFonts w:hint="eastAsia" w:ascii="宋体" w:hAnsi="宋体"/>
          <w:color w:val="auto"/>
          <w:kern w:val="0"/>
          <w:highlight w:val="none"/>
          <w:u w:val="single"/>
        </w:rPr>
      </w:pPr>
      <w:r>
        <w:rPr>
          <w:rFonts w:hint="eastAsia" w:ascii="宋体" w:hAnsi="宋体"/>
          <w:color w:val="auto"/>
          <w:kern w:val="0"/>
          <w:highlight w:val="none"/>
        </w:rPr>
        <w:t>在合同执行过程中，合同当事人应严格履行附件8《廉洁从业协议》。</w:t>
      </w:r>
    </w:p>
    <w:p w14:paraId="4BED5B8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1.10 交通运输</w:t>
      </w:r>
    </w:p>
    <w:p w14:paraId="77B9A077">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1.10.1 出入现场的权利</w:t>
      </w:r>
    </w:p>
    <w:p w14:paraId="00CAAF9B">
      <w:pPr>
        <w:spacing w:line="360" w:lineRule="auto"/>
        <w:ind w:firstLine="420" w:firstLineChars="200"/>
        <w:jc w:val="left"/>
        <w:rPr>
          <w:rFonts w:hint="eastAsia" w:ascii="宋体" w:hAnsi="宋体"/>
          <w:color w:val="auto"/>
          <w:kern w:val="0"/>
          <w:highlight w:val="none"/>
        </w:rPr>
      </w:pPr>
      <w:r>
        <w:rPr>
          <w:rFonts w:hint="eastAsia" w:ascii="宋体" w:hAnsi="宋体"/>
          <w:color w:val="auto"/>
          <w:highlight w:val="none"/>
        </w:rPr>
        <w:t>关于出入现场的权利的约定：</w:t>
      </w:r>
      <w:r>
        <w:rPr>
          <w:rFonts w:hint="eastAsia" w:ascii="宋体" w:hAnsi="宋体"/>
          <w:color w:val="auto"/>
          <w:highlight w:val="none"/>
          <w:u w:val="single"/>
        </w:rPr>
        <w:t xml:space="preserve">        </w:t>
      </w:r>
      <w:r>
        <w:rPr>
          <w:rFonts w:hint="eastAsia" w:ascii="宋体" w:hAnsi="宋体"/>
          <w:color w:val="auto"/>
          <w:highlight w:val="none"/>
        </w:rPr>
        <w:t>。</w:t>
      </w:r>
    </w:p>
    <w:p w14:paraId="4DF58E9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1.10.2 场外交通</w:t>
      </w:r>
    </w:p>
    <w:p w14:paraId="61957A7A">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承包人应遵守有关交通法规，执行有关道路限速、限行、禁止超载的规定，并配合交通管理部门的监督和检查。场外交通以施工场地移交时的现状为准。</w:t>
      </w:r>
    </w:p>
    <w:p w14:paraId="1EB2D21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1.10.3 场内交通</w:t>
      </w:r>
    </w:p>
    <w:p w14:paraId="0D518E30">
      <w:pPr>
        <w:spacing w:line="360" w:lineRule="auto"/>
        <w:ind w:firstLine="420" w:firstLineChars="200"/>
        <w:jc w:val="left"/>
        <w:rPr>
          <w:rFonts w:hint="eastAsia" w:ascii="宋体" w:hAnsi="宋体"/>
          <w:color w:val="auto"/>
          <w:highlight w:val="none"/>
          <w:u w:val="single"/>
        </w:rPr>
      </w:pPr>
      <w:r>
        <w:rPr>
          <w:rFonts w:hint="eastAsia" w:ascii="宋体" w:hAnsi="宋体"/>
          <w:color w:val="auto"/>
          <w:kern w:val="0"/>
          <w:highlight w:val="none"/>
        </w:rPr>
        <w:t>关于场外交通和场内交通的边界的约定：</w:t>
      </w:r>
      <w:r>
        <w:rPr>
          <w:rFonts w:hint="eastAsia" w:ascii="宋体" w:hAnsi="宋体"/>
          <w:color w:val="auto"/>
          <w:highlight w:val="none"/>
          <w:u w:val="single"/>
        </w:rPr>
        <w:t>以合同工程用地红线为界，用地红线外为场外交通，用地红线范围内为场内交通（场外道路穿越场内的除外）</w:t>
      </w:r>
      <w:r>
        <w:rPr>
          <w:rFonts w:hint="eastAsia" w:ascii="宋体" w:hAnsi="宋体"/>
          <w:color w:val="auto"/>
          <w:highlight w:val="none"/>
        </w:rPr>
        <w:t>。</w:t>
      </w:r>
    </w:p>
    <w:p w14:paraId="3D210B52">
      <w:pPr>
        <w:spacing w:line="360" w:lineRule="auto"/>
        <w:ind w:firstLine="420" w:firstLineChars="200"/>
        <w:jc w:val="left"/>
        <w:rPr>
          <w:rFonts w:hint="eastAsia" w:ascii="宋体" w:hAnsi="宋体"/>
          <w:color w:val="auto"/>
          <w:highlight w:val="none"/>
        </w:rPr>
      </w:pPr>
      <w:r>
        <w:rPr>
          <w:rFonts w:hint="eastAsia" w:ascii="宋体" w:hAnsi="宋体"/>
          <w:color w:val="auto"/>
          <w:kern w:val="0"/>
          <w:highlight w:val="none"/>
        </w:rPr>
        <w:t>关于发包人向承包人免费提供满足工程施工需要的场内道路和交通设施的约定：</w:t>
      </w:r>
      <w:r>
        <w:rPr>
          <w:rFonts w:hint="eastAsia" w:ascii="宋体" w:hAnsi="宋体"/>
          <w:color w:val="auto"/>
          <w:kern w:val="0"/>
          <w:highlight w:val="none"/>
          <w:u w:val="single"/>
        </w:rPr>
        <w:t>以施工场地移交时的现状为准</w:t>
      </w:r>
      <w:r>
        <w:rPr>
          <w:rFonts w:hint="eastAsia" w:ascii="宋体" w:hAnsi="宋体"/>
          <w:color w:val="auto"/>
          <w:highlight w:val="none"/>
        </w:rPr>
        <w:t>。</w:t>
      </w:r>
    </w:p>
    <w:p w14:paraId="044DD40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1.10.4 超大件和超重件的运输</w:t>
      </w:r>
    </w:p>
    <w:p w14:paraId="1B5E49E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运输超大件或超重件所需的道路和桥梁临时加固改造费用和其他有关费用由</w:t>
      </w:r>
      <w:r>
        <w:rPr>
          <w:rFonts w:hint="eastAsia" w:ascii="宋体" w:hAnsi="宋体"/>
          <w:color w:val="auto"/>
          <w:highlight w:val="none"/>
          <w:u w:val="single"/>
        </w:rPr>
        <w:t>承包人</w:t>
      </w:r>
      <w:r>
        <w:rPr>
          <w:rFonts w:hint="eastAsia" w:ascii="宋体" w:hAnsi="宋体"/>
          <w:color w:val="auto"/>
          <w:highlight w:val="none"/>
        </w:rPr>
        <w:t>承担。</w:t>
      </w:r>
    </w:p>
    <w:p w14:paraId="5274F88F">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1.11 知识产权</w:t>
      </w:r>
    </w:p>
    <w:p w14:paraId="07A80DB4">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highlight w:val="none"/>
          <w:u w:val="single"/>
        </w:rPr>
        <w:t>属于发包人</w:t>
      </w:r>
      <w:r>
        <w:rPr>
          <w:rFonts w:hint="eastAsia" w:ascii="宋体" w:hAnsi="宋体"/>
          <w:color w:val="auto"/>
          <w:highlight w:val="none"/>
        </w:rPr>
        <w:t>。</w:t>
      </w:r>
    </w:p>
    <w:p w14:paraId="1881F6C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关于发包人提供的上述文件的使用限制的要求：</w:t>
      </w:r>
      <w:r>
        <w:rPr>
          <w:rFonts w:hint="eastAsia" w:ascii="宋体" w:hAnsi="宋体"/>
          <w:color w:val="auto"/>
          <w:highlight w:val="none"/>
          <w:u w:val="single"/>
        </w:rPr>
        <w:t>按通用合同条款执行</w:t>
      </w:r>
      <w:r>
        <w:rPr>
          <w:rFonts w:hint="eastAsia" w:ascii="宋体" w:hAnsi="宋体"/>
          <w:color w:val="auto"/>
          <w:highlight w:val="none"/>
        </w:rPr>
        <w:t>。</w:t>
      </w:r>
    </w:p>
    <w:p w14:paraId="5241DA1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1.11.4 承包人在施工过程中所采用的专利、专有技术、技术秘密的使用费的承担方式：</w:t>
      </w:r>
      <w:r>
        <w:rPr>
          <w:rFonts w:hint="eastAsia" w:ascii="宋体" w:hAnsi="宋体"/>
          <w:color w:val="auto"/>
          <w:highlight w:val="none"/>
          <w:u w:val="single"/>
        </w:rPr>
        <w:t xml:space="preserve">        </w:t>
      </w:r>
      <w:r>
        <w:rPr>
          <w:rFonts w:hint="eastAsia" w:ascii="宋体" w:hAnsi="宋体"/>
          <w:color w:val="auto"/>
          <w:highlight w:val="none"/>
        </w:rPr>
        <w:t>。</w:t>
      </w:r>
    </w:p>
    <w:p w14:paraId="1BF13F8E">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1.13工程量清单错误的修正</w:t>
      </w:r>
    </w:p>
    <w:p w14:paraId="51C74D9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出现工程量清单错误时，责任和权利划分：</w:t>
      </w:r>
      <w:r>
        <w:rPr>
          <w:rFonts w:hint="eastAsia" w:ascii="宋体" w:hAnsi="宋体"/>
          <w:color w:val="auto"/>
          <w:highlight w:val="none"/>
          <w:u w:val="single"/>
        </w:rPr>
        <w:t xml:space="preserve">        </w:t>
      </w:r>
      <w:r>
        <w:rPr>
          <w:rFonts w:hint="eastAsia" w:ascii="宋体" w:hAnsi="宋体"/>
          <w:color w:val="auto"/>
          <w:highlight w:val="none"/>
        </w:rPr>
        <w:t>。</w:t>
      </w:r>
    </w:p>
    <w:p w14:paraId="62C795C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出现工程量清单错误时，是否调整合同价格：</w:t>
      </w:r>
      <w:r>
        <w:rPr>
          <w:rFonts w:hint="eastAsia" w:ascii="宋体" w:hAnsi="宋体"/>
          <w:color w:val="auto"/>
          <w:highlight w:val="none"/>
          <w:u w:val="single"/>
        </w:rPr>
        <w:t xml:space="preserve">        </w:t>
      </w:r>
      <w:r>
        <w:rPr>
          <w:rFonts w:hint="eastAsia" w:ascii="宋体" w:hAnsi="宋体"/>
          <w:color w:val="auto"/>
          <w:kern w:val="0"/>
          <w:highlight w:val="none"/>
        </w:rPr>
        <w:t>。</w:t>
      </w:r>
    </w:p>
    <w:p w14:paraId="44AFB17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允许调整合同价格的工程量偏差范围：</w:t>
      </w:r>
      <w:r>
        <w:rPr>
          <w:rFonts w:hint="eastAsia" w:ascii="宋体" w:hAnsi="宋体"/>
          <w:color w:val="auto"/>
          <w:highlight w:val="none"/>
          <w:u w:val="single"/>
        </w:rPr>
        <w:t xml:space="preserve">        </w:t>
      </w:r>
      <w:r>
        <w:rPr>
          <w:rFonts w:hint="eastAsia" w:ascii="宋体" w:hAnsi="宋体"/>
          <w:color w:val="auto"/>
          <w:highlight w:val="none"/>
        </w:rPr>
        <w:t>。</w:t>
      </w:r>
    </w:p>
    <w:p w14:paraId="11FDF711">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2. 发包人</w:t>
      </w:r>
    </w:p>
    <w:p w14:paraId="760D6DC5">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2.2.1 发包人代表</w:t>
      </w:r>
    </w:p>
    <w:p w14:paraId="6BA17B6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发包人代表：</w:t>
      </w:r>
    </w:p>
    <w:p w14:paraId="4CBFC6C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姓    名：</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181714C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身份证号：</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07DE37A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职    务：</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7F36DF9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联系方式：</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7703B16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邮    编：</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5ACA084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发包人对发包人代表的授权范围如下：</w:t>
      </w:r>
      <w:r>
        <w:rPr>
          <w:rFonts w:hint="eastAsia" w:ascii="宋体" w:hAnsi="宋体"/>
          <w:color w:val="auto"/>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highlight w:val="none"/>
        </w:rPr>
        <w:t>。</w:t>
      </w:r>
    </w:p>
    <w:p w14:paraId="23E1BE0C">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2.4 施工现场、施工条件和基础资料的提供</w:t>
      </w:r>
    </w:p>
    <w:p w14:paraId="73F4493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2.4.1 提供施工现场</w:t>
      </w:r>
    </w:p>
    <w:p w14:paraId="46F7949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2.4.1.1 提供场地：</w:t>
      </w:r>
    </w:p>
    <w:p w14:paraId="200B45A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施工场地的提供采用以下第</w:t>
      </w:r>
      <w:r>
        <w:rPr>
          <w:rFonts w:hint="eastAsia" w:ascii="宋体" w:hAnsi="宋体"/>
          <w:color w:val="auto"/>
          <w:highlight w:val="none"/>
          <w:u w:val="single"/>
        </w:rPr>
        <w:t xml:space="preserve">    </w:t>
      </w:r>
      <w:r>
        <w:rPr>
          <w:rFonts w:hint="eastAsia" w:ascii="宋体" w:hAnsi="宋体"/>
          <w:color w:val="auto"/>
          <w:highlight w:val="none"/>
        </w:rPr>
        <w:t>种方式：</w:t>
      </w:r>
    </w:p>
    <w:p w14:paraId="6949C3E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（1）一次提供全部施工场地：发包人于</w:t>
      </w:r>
      <w:r>
        <w:rPr>
          <w:rFonts w:hint="eastAsia" w:ascii="宋体" w:hAnsi="宋体"/>
          <w:color w:val="auto"/>
          <w:highlight w:val="none"/>
          <w:u w:val="single"/>
        </w:rPr>
        <w:t>开工</w:t>
      </w:r>
      <w:r>
        <w:rPr>
          <w:rFonts w:hint="eastAsia" w:ascii="宋体" w:hAnsi="宋体"/>
          <w:color w:val="auto"/>
          <w:highlight w:val="none"/>
        </w:rPr>
        <w:t>前向承包人提供合同工程用地红线范围内的施工场地。</w:t>
      </w:r>
    </w:p>
    <w:p w14:paraId="32B93DE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（2）分次提供全部施工场地：</w:t>
      </w:r>
      <w:r>
        <w:rPr>
          <w:rFonts w:hint="eastAsia" w:ascii="宋体" w:hAnsi="宋体"/>
          <w:color w:val="auto"/>
          <w:highlight w:val="none"/>
          <w:u w:val="single"/>
        </w:rPr>
        <w:t>发包人按约定的时间分次向承包人提供合同工程用地红线范围内的施工场地</w:t>
      </w:r>
      <w:r>
        <w:rPr>
          <w:rFonts w:hint="eastAsia" w:ascii="宋体" w:hAnsi="宋体"/>
          <w:color w:val="auto"/>
          <w:highlight w:val="none"/>
        </w:rPr>
        <w:t>。</w:t>
      </w:r>
    </w:p>
    <w:p w14:paraId="69B3E3F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承包人编制的施工组织计划已充分考虑了施工场地提供的因素</w:t>
      </w:r>
      <w:r>
        <w:rPr>
          <w:rFonts w:hint="eastAsia" w:ascii="宋体" w:hAnsi="宋体"/>
          <w:color w:val="auto"/>
          <w:highlight w:val="none"/>
        </w:rPr>
        <w:t>。</w:t>
      </w:r>
    </w:p>
    <w:p w14:paraId="619EC65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highlight w:val="none"/>
        </w:rPr>
        <w:t>。</w:t>
      </w:r>
    </w:p>
    <w:p w14:paraId="7CC3E30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2.4.2 提供施工条件</w:t>
      </w:r>
    </w:p>
    <w:p w14:paraId="7FC5D4E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关于发包人应负责提供施工所需要的条件：</w:t>
      </w:r>
      <w:r>
        <w:rPr>
          <w:rFonts w:hint="eastAsia" w:ascii="宋体" w:hAnsi="宋体"/>
          <w:color w:val="auto"/>
          <w:highlight w:val="none"/>
          <w:u w:val="single"/>
        </w:rPr>
        <w:t xml:space="preserve">        </w:t>
      </w:r>
      <w:r>
        <w:rPr>
          <w:rFonts w:hint="eastAsia" w:ascii="宋体" w:hAnsi="宋体"/>
          <w:color w:val="auto"/>
          <w:highlight w:val="none"/>
        </w:rPr>
        <w:t>。</w:t>
      </w:r>
    </w:p>
    <w:p w14:paraId="0C1A21F4">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2.5 资金来源证明及支付担保</w:t>
      </w:r>
    </w:p>
    <w:p w14:paraId="1C016019">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发包人提供资金来源证明的期限要求：</w:t>
      </w:r>
      <w:r>
        <w:rPr>
          <w:rFonts w:hint="eastAsia" w:ascii="宋体" w:hAnsi="宋体"/>
          <w:color w:val="auto"/>
          <w:highlight w:val="none"/>
          <w:u w:val="single"/>
        </w:rPr>
        <w:t>不采用</w:t>
      </w:r>
      <w:r>
        <w:rPr>
          <w:rFonts w:hint="eastAsia" w:ascii="宋体" w:hAnsi="宋体"/>
          <w:color w:val="auto"/>
          <w:highlight w:val="none"/>
        </w:rPr>
        <w:t>。</w:t>
      </w:r>
    </w:p>
    <w:p w14:paraId="575320F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发包人是否提供支付担保：</w:t>
      </w:r>
      <w:r>
        <w:rPr>
          <w:rFonts w:hint="eastAsia" w:ascii="宋体" w:hAnsi="宋体"/>
          <w:color w:val="auto"/>
          <w:highlight w:val="none"/>
          <w:u w:val="single"/>
        </w:rPr>
        <w:t>不提供</w:t>
      </w:r>
      <w:r>
        <w:rPr>
          <w:rFonts w:hint="eastAsia" w:ascii="宋体" w:hAnsi="宋体"/>
          <w:color w:val="auto"/>
          <w:highlight w:val="none"/>
        </w:rPr>
        <w:t>。</w:t>
      </w:r>
    </w:p>
    <w:p w14:paraId="651BEFF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支付担保的形式：</w:t>
      </w:r>
      <w:r>
        <w:rPr>
          <w:rFonts w:hint="eastAsia" w:ascii="宋体" w:hAnsi="宋体"/>
          <w:color w:val="auto"/>
          <w:highlight w:val="none"/>
          <w:u w:val="single"/>
        </w:rPr>
        <w:t xml:space="preserve">  无  </w:t>
      </w:r>
      <w:r>
        <w:rPr>
          <w:rFonts w:hint="eastAsia" w:ascii="宋体" w:hAnsi="宋体"/>
          <w:color w:val="auto"/>
          <w:highlight w:val="none"/>
        </w:rPr>
        <w:t>。</w:t>
      </w:r>
    </w:p>
    <w:p w14:paraId="6167417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支付担保的金额：</w:t>
      </w:r>
      <w:r>
        <w:rPr>
          <w:rFonts w:hint="eastAsia" w:ascii="宋体" w:hAnsi="宋体"/>
          <w:color w:val="auto"/>
          <w:highlight w:val="none"/>
          <w:u w:val="single"/>
        </w:rPr>
        <w:t xml:space="preserve">  无  </w:t>
      </w:r>
      <w:r>
        <w:rPr>
          <w:rFonts w:hint="eastAsia" w:ascii="宋体" w:hAnsi="宋体"/>
          <w:color w:val="auto"/>
          <w:highlight w:val="none"/>
        </w:rPr>
        <w:t>。</w:t>
      </w:r>
    </w:p>
    <w:p w14:paraId="24EC28F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支付担保的时间：</w:t>
      </w:r>
      <w:r>
        <w:rPr>
          <w:rFonts w:hint="eastAsia" w:ascii="宋体" w:hAnsi="宋体"/>
          <w:color w:val="auto"/>
          <w:highlight w:val="none"/>
          <w:u w:val="single"/>
        </w:rPr>
        <w:t xml:space="preserve">  无  </w:t>
      </w:r>
      <w:r>
        <w:rPr>
          <w:rFonts w:hint="eastAsia" w:ascii="宋体" w:hAnsi="宋体"/>
          <w:color w:val="auto"/>
          <w:highlight w:val="none"/>
        </w:rPr>
        <w:t>。</w:t>
      </w:r>
    </w:p>
    <w:p w14:paraId="07F0F7B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支付担保的期限：</w:t>
      </w:r>
      <w:r>
        <w:rPr>
          <w:rFonts w:hint="eastAsia" w:ascii="宋体" w:hAnsi="宋体"/>
          <w:color w:val="auto"/>
          <w:highlight w:val="none"/>
          <w:u w:val="single"/>
        </w:rPr>
        <w:t xml:space="preserve">  无  </w:t>
      </w:r>
      <w:r>
        <w:rPr>
          <w:rFonts w:hint="eastAsia" w:ascii="宋体" w:hAnsi="宋体"/>
          <w:color w:val="auto"/>
          <w:highlight w:val="none"/>
        </w:rPr>
        <w:t>。</w:t>
      </w:r>
    </w:p>
    <w:p w14:paraId="79D615D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支付担保的退还时间：</w:t>
      </w:r>
      <w:r>
        <w:rPr>
          <w:rFonts w:hint="eastAsia" w:ascii="宋体" w:hAnsi="宋体"/>
          <w:color w:val="auto"/>
          <w:highlight w:val="none"/>
          <w:u w:val="single"/>
        </w:rPr>
        <w:t xml:space="preserve">  无  </w:t>
      </w:r>
      <w:r>
        <w:rPr>
          <w:rFonts w:hint="eastAsia" w:ascii="宋体" w:hAnsi="宋体"/>
          <w:color w:val="auto"/>
          <w:highlight w:val="none"/>
        </w:rPr>
        <w:t>。</w:t>
      </w:r>
    </w:p>
    <w:p w14:paraId="3A58DEEB">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3. 承包人</w:t>
      </w:r>
    </w:p>
    <w:p w14:paraId="7F63DF51">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3.1 承包人的一般义务</w:t>
      </w:r>
    </w:p>
    <w:p w14:paraId="5E9E771E">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本款细化为3.1.1～3.1.10项：</w:t>
      </w:r>
    </w:p>
    <w:p w14:paraId="0D3F5F7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3.1.1办理法律规定和合同约定应由承包人办理的许可和批准，并将办理结果书面报送发包人留存；协助发包人办理施工所需的工程质量监督、安全监督、施工许可证等相关证件及手续。</w:t>
      </w:r>
    </w:p>
    <w:p w14:paraId="3D02244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27DC6E2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164E14C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07DC4B8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E3875C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3.1.6按照第6.3款〔环境保护〕约定负责施工场地及其周边环境与生态的保护工作。</w:t>
      </w:r>
    </w:p>
    <w:p w14:paraId="0CE91E1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3.1.7按照第6.1款〔安全文明施工〕约定采取施工安全措施，确保工程及其人员、材料、设备和设施的安全，防止因工程施工造成的人身伤害和财产损失。</w:t>
      </w:r>
    </w:p>
    <w:p w14:paraId="5443BB83">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3.1.8将发包人按合同约定支付的各项价款专用于合同工程，且应及时支付其雇用人员工资，并及时向分包人支付合同价款。</w:t>
      </w:r>
    </w:p>
    <w:p w14:paraId="6BD872CD">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3.1.9承包人提交的竣工资料的内容：</w:t>
      </w:r>
      <w:r>
        <w:rPr>
          <w:rFonts w:hint="eastAsia" w:ascii="宋体" w:hAnsi="宋体"/>
          <w:color w:val="auto"/>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highlight w:val="none"/>
        </w:rPr>
        <w:t>。</w:t>
      </w:r>
    </w:p>
    <w:p w14:paraId="09933742">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承包人需要提交的竣工资料套数：完整竣工资料一式3套（含电子文档）。</w:t>
      </w:r>
    </w:p>
    <w:p w14:paraId="106C0E9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承包人提交的竣工资料的费用承担：</w:t>
      </w:r>
      <w:r>
        <w:rPr>
          <w:rFonts w:hint="eastAsia" w:ascii="宋体" w:hAnsi="宋体"/>
          <w:color w:val="auto"/>
          <w:highlight w:val="none"/>
          <w:u w:val="single"/>
        </w:rPr>
        <w:t>由承包人承担</w:t>
      </w:r>
      <w:r>
        <w:rPr>
          <w:rFonts w:hint="eastAsia" w:ascii="宋体" w:hAnsi="宋体"/>
          <w:color w:val="auto"/>
          <w:highlight w:val="none"/>
        </w:rPr>
        <w:t>。</w:t>
      </w:r>
    </w:p>
    <w:p w14:paraId="3D6C3F3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承包人提交的竣工资料移交时间：</w:t>
      </w:r>
      <w:r>
        <w:rPr>
          <w:rFonts w:hint="eastAsia" w:ascii="宋体" w:hAnsi="宋体"/>
          <w:color w:val="auto"/>
          <w:highlight w:val="none"/>
          <w:u w:val="single"/>
        </w:rPr>
        <w:t>工程竣工验收合格后1个月内移交给发包人</w:t>
      </w:r>
      <w:r>
        <w:rPr>
          <w:rFonts w:hint="eastAsia" w:ascii="宋体" w:hAnsi="宋体"/>
          <w:color w:val="auto"/>
          <w:highlight w:val="none"/>
        </w:rPr>
        <w:t>。</w:t>
      </w:r>
    </w:p>
    <w:p w14:paraId="209CE42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承包人提交的竣工资料形式要求：</w:t>
      </w:r>
      <w:r>
        <w:rPr>
          <w:rFonts w:hint="eastAsia" w:ascii="宋体" w:hAnsi="宋体"/>
          <w:color w:val="auto"/>
          <w:highlight w:val="none"/>
          <w:u w:val="single"/>
        </w:rPr>
        <w:t>完整的书面文件及电子文档</w:t>
      </w:r>
      <w:r>
        <w:rPr>
          <w:rFonts w:hint="eastAsia" w:ascii="宋体" w:hAnsi="宋体"/>
          <w:color w:val="auto"/>
          <w:highlight w:val="none"/>
        </w:rPr>
        <w:t>。</w:t>
      </w:r>
    </w:p>
    <w:p w14:paraId="6F64A71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3.1.10承包人应履行的其他义务：</w:t>
      </w:r>
    </w:p>
    <w:p w14:paraId="0BA305A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3.1.10.1在开始施工之前，承包人应核查、复测本工程的各种基准标志。承包人应及时将上述基准标志中存在的错误、不完整或其他缺陷通知发包人，以便发包人核实后重新确认。</w:t>
      </w:r>
    </w:p>
    <w:p w14:paraId="077DD62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652FADB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58C2C3F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3.1.10.4承包人应服从发包人要求的管理模式、工作方式和工作要求，同时接受监理人的管理和全程监督，配合项目结、决算的办理。</w:t>
      </w:r>
    </w:p>
    <w:p w14:paraId="4D04C50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3.1.10.5</w:t>
      </w:r>
      <w:r>
        <w:rPr>
          <w:rFonts w:hint="eastAsia" w:ascii="宋体" w:hAnsi="宋体"/>
          <w:color w:val="auto"/>
          <w:highlight w:val="none"/>
          <w:u w:val="single"/>
        </w:rPr>
        <w:t>承包人应为本工程开立专用账户，接受发包人的监管</w:t>
      </w:r>
      <w:r>
        <w:rPr>
          <w:rFonts w:hint="eastAsia" w:ascii="宋体" w:hAnsi="宋体"/>
          <w:color w:val="auto"/>
          <w:highlight w:val="none"/>
        </w:rPr>
        <w:t>。</w:t>
      </w:r>
    </w:p>
    <w:p w14:paraId="45A4203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3.1.10.6</w:t>
      </w:r>
      <w:r>
        <w:rPr>
          <w:rFonts w:hint="eastAsia" w:ascii="宋体" w:hAnsi="宋体"/>
          <w:color w:val="auto"/>
          <w:highlight w:val="none"/>
          <w:u w:val="single"/>
        </w:rPr>
        <w:t xml:space="preserve">        </w:t>
      </w:r>
      <w:r>
        <w:rPr>
          <w:rFonts w:hint="eastAsia" w:ascii="宋体" w:hAnsi="宋体"/>
          <w:color w:val="auto"/>
          <w:highlight w:val="none"/>
        </w:rPr>
        <w:t>。</w:t>
      </w:r>
    </w:p>
    <w:p w14:paraId="7A4406F9">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3.2 项目经理</w:t>
      </w:r>
    </w:p>
    <w:p w14:paraId="544392E1">
      <w:pPr>
        <w:spacing w:line="360" w:lineRule="auto"/>
        <w:ind w:firstLine="420" w:firstLineChars="200"/>
        <w:jc w:val="left"/>
        <w:rPr>
          <w:rFonts w:hint="eastAsia" w:ascii="宋体" w:hAnsi="宋体"/>
          <w:color w:val="auto"/>
          <w:szCs w:val="21"/>
          <w:highlight w:val="none"/>
        </w:rPr>
      </w:pPr>
      <w:r>
        <w:rPr>
          <w:rFonts w:hint="eastAsia" w:ascii="宋体" w:hAnsi="宋体"/>
          <w:color w:val="auto"/>
          <w:kern w:val="0"/>
          <w:highlight w:val="none"/>
        </w:rPr>
        <w:t xml:space="preserve">3.2.1 </w:t>
      </w:r>
      <w:r>
        <w:rPr>
          <w:rFonts w:hint="eastAsia" w:ascii="宋体" w:hAnsi="宋体"/>
          <w:color w:val="auto"/>
          <w:highlight w:val="none"/>
        </w:rPr>
        <w:t>项目经理：</w:t>
      </w:r>
    </w:p>
    <w:p w14:paraId="5ED3909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05DB1B1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身份证号：</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6C08145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建造师执业资格等级：</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659CA11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建造师注册证书号：</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775D33C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建造师执业印章号：</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68352FF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安全生产考核合格证书号：</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3B68325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联系方式：</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48E5B99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承包人对项目经理的授权范围如下：</w:t>
      </w:r>
      <w:r>
        <w:rPr>
          <w:rFonts w:hint="eastAsia" w:ascii="宋体" w:hAnsi="宋体"/>
          <w:color w:val="auto"/>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highlight w:val="none"/>
        </w:rPr>
        <w:t>。</w:t>
      </w:r>
    </w:p>
    <w:p w14:paraId="52577E8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关于项目经理每月在施工现场的时间要求：</w:t>
      </w:r>
      <w:r>
        <w:rPr>
          <w:rFonts w:hint="eastAsia" w:ascii="宋体" w:hAnsi="宋体"/>
          <w:color w:val="auto"/>
          <w:highlight w:val="none"/>
          <w:u w:val="single"/>
        </w:rPr>
        <w:t>不少于26天，由监理人负责项目经理的考勤</w:t>
      </w:r>
      <w:r>
        <w:rPr>
          <w:rFonts w:hint="eastAsia" w:ascii="宋体" w:hAnsi="宋体"/>
          <w:color w:val="auto"/>
          <w:highlight w:val="none"/>
        </w:rPr>
        <w:t>。</w:t>
      </w:r>
    </w:p>
    <w:p w14:paraId="210AD33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中标人进场施工后，竞选文件填报的主要管理人员在3日内到比选人处登记，承包人未在限期内提交的，项目经理无权履行职责，发包人有权要求更换项目经理。承包人不得更换项目经理，如随意更换处罚承包人10万元人民币。</w:t>
      </w:r>
    </w:p>
    <w:p w14:paraId="3FAD62B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3.2.2 技术负责人</w:t>
      </w:r>
    </w:p>
    <w:p w14:paraId="2786B07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103EB12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身份证号：</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0CBE3D6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联系方式：</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49BF0AA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专     业：</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0B1CE2A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证书名称及号码：</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1E058D8E">
      <w:pPr>
        <w:pStyle w:val="3"/>
        <w:spacing w:after="0" w:line="360" w:lineRule="auto"/>
        <w:rPr>
          <w:rFonts w:hint="eastAsia" w:ascii="宋体" w:hAnsi="宋体"/>
          <w:color w:val="auto"/>
          <w:highlight w:val="none"/>
        </w:rPr>
      </w:pPr>
      <w:r>
        <w:rPr>
          <w:rFonts w:hint="eastAsia" w:ascii="宋体" w:hAnsi="宋体"/>
          <w:color w:val="auto"/>
          <w:highlight w:val="none"/>
        </w:rPr>
        <w:t xml:space="preserve">    联系方式：</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067C1774">
      <w:pPr>
        <w:spacing w:line="360" w:lineRule="auto"/>
        <w:ind w:firstLine="420" w:firstLineChars="200"/>
        <w:jc w:val="left"/>
        <w:rPr>
          <w:rFonts w:hint="eastAsia" w:ascii="宋体" w:hAnsi="宋体"/>
          <w:color w:val="auto"/>
          <w:highlight w:val="none"/>
        </w:rPr>
      </w:pPr>
      <w:r>
        <w:rPr>
          <w:rFonts w:hint="eastAsia" w:ascii="宋体" w:hAnsi="宋体"/>
          <w:color w:val="auto"/>
          <w:kern w:val="0"/>
          <w:highlight w:val="none"/>
        </w:rPr>
        <w:t>关于技</w:t>
      </w:r>
      <w:r>
        <w:rPr>
          <w:rFonts w:hint="eastAsia" w:ascii="宋体" w:hAnsi="宋体"/>
          <w:color w:val="auto"/>
          <w:highlight w:val="none"/>
        </w:rPr>
        <w:t>术负责人每月在施工现场的时间要求：</w:t>
      </w:r>
      <w:r>
        <w:rPr>
          <w:rFonts w:hint="eastAsia" w:ascii="宋体" w:hAnsi="宋体"/>
          <w:color w:val="auto"/>
          <w:highlight w:val="none"/>
          <w:u w:val="single"/>
        </w:rPr>
        <w:t>不少于26天，由监理人负责技术负责人的考勤</w:t>
      </w:r>
      <w:r>
        <w:rPr>
          <w:rFonts w:hint="eastAsia" w:ascii="宋体" w:hAnsi="宋体"/>
          <w:color w:val="auto"/>
          <w:highlight w:val="none"/>
        </w:rPr>
        <w:t>。</w:t>
      </w:r>
    </w:p>
    <w:p w14:paraId="4E95595C">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中标人进场施工后，竞选文件填报的主要管理人员在3日内到比选人处登记，承包人未在限期内提交的，技术负责人无权履行职责，发包人有权要求更换技术负责人</w:t>
      </w:r>
      <w:r>
        <w:rPr>
          <w:rFonts w:hint="eastAsia" w:ascii="宋体" w:hAnsi="宋体"/>
          <w:color w:val="auto"/>
          <w:highlight w:val="none"/>
        </w:rPr>
        <w:t>。</w:t>
      </w:r>
      <w:r>
        <w:rPr>
          <w:rFonts w:hint="eastAsia" w:ascii="宋体" w:hAnsi="宋体"/>
          <w:color w:val="auto"/>
          <w:kern w:val="0"/>
          <w:highlight w:val="none"/>
          <w:u w:val="single"/>
        </w:rPr>
        <w:t>承包人不得更换技术负责人员，如随意更换处罚承包人7万元人民币。</w:t>
      </w:r>
    </w:p>
    <w:p w14:paraId="0211C12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p>
    <w:p w14:paraId="4F37947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6DBB7A1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1、死亡；</w:t>
      </w:r>
    </w:p>
    <w:p w14:paraId="075122F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2、非承包人原因导致工期延长，而致使项目经理和技术负责人达到法定退休年龄且确需退休；</w:t>
      </w:r>
    </w:p>
    <w:p w14:paraId="3E33C87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3、按《职工非因工伤残或因病丧失劳动能力程度鉴定标准（试行）》规定鉴定为完全丧失劳动能力和大部分丧失劳动能力；</w:t>
      </w:r>
    </w:p>
    <w:p w14:paraId="1896BAE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4、非承包人原因导致中标3个月不能开工；</w:t>
      </w:r>
    </w:p>
    <w:p w14:paraId="2B30168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5、被公安或者司法机关限制人身自由；</w:t>
      </w:r>
    </w:p>
    <w:p w14:paraId="19A194C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6、被取消职称或者执业资格，不满足项目管理要求；</w:t>
      </w:r>
    </w:p>
    <w:p w14:paraId="3D56A8D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7、非承包人原因导致确需变更的其它情形。</w:t>
      </w:r>
    </w:p>
    <w:p w14:paraId="73C9C31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本款补充3.2.6项</w:t>
      </w:r>
    </w:p>
    <w:p w14:paraId="33C67FA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3.2.6 国有资金投资项目其他主要人员变更参照《重庆市政府投资项目合同变更管理暂行办法》的规定。</w:t>
      </w:r>
    </w:p>
    <w:p w14:paraId="5C5ADC68">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3.3 承包人人员</w:t>
      </w:r>
    </w:p>
    <w:p w14:paraId="4E629BDA">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3.3.1 承包人应按建设行政主管部门现行规定配备现场施工从业人员，具体要求如下：</w:t>
      </w:r>
      <w:r>
        <w:rPr>
          <w:rFonts w:hint="eastAsia" w:ascii="宋体" w:hAnsi="宋体"/>
          <w:color w:val="auto"/>
          <w:highlight w:val="none"/>
          <w:u w:val="single"/>
        </w:rPr>
        <w:t xml:space="preserve">        </w:t>
      </w:r>
    </w:p>
    <w:p w14:paraId="3FC0B9B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36573C7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0581305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3.3.4 承包人主要施工管理人员离开施工现场，指定的临时人员需满足：</w:t>
      </w:r>
      <w:r>
        <w:rPr>
          <w:rFonts w:hint="eastAsia" w:ascii="宋体" w:hAnsi="宋体"/>
          <w:color w:val="auto"/>
          <w:highlight w:val="none"/>
          <w:u w:val="single"/>
        </w:rPr>
        <w:t>《重庆市房屋建筑与市政基础设施工程现场施工从业人员配备标准》（DBJ50-157-2013）的相应要求</w:t>
      </w:r>
      <w:r>
        <w:rPr>
          <w:rFonts w:hint="eastAsia" w:ascii="宋体" w:hAnsi="宋体"/>
          <w:color w:val="auto"/>
          <w:highlight w:val="none"/>
        </w:rPr>
        <w:t>。</w:t>
      </w:r>
    </w:p>
    <w:p w14:paraId="68221705">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3.5 分包</w:t>
      </w:r>
    </w:p>
    <w:p w14:paraId="5203CE7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3.5.1 分包的一般约定</w:t>
      </w:r>
    </w:p>
    <w:p w14:paraId="5ED4BB89">
      <w:pPr>
        <w:pStyle w:val="3"/>
        <w:rPr>
          <w:rFonts w:hint="eastAsia"/>
          <w:color w:val="auto"/>
          <w:highlight w:val="none"/>
        </w:rPr>
      </w:pPr>
      <w:r>
        <w:rPr>
          <w:rFonts w:hint="eastAsia" w:ascii="宋体" w:hAnsi="宋体"/>
          <w:color w:val="auto"/>
          <w:highlight w:val="none"/>
        </w:rPr>
        <w:t xml:space="preserve">    不允许分包。</w:t>
      </w:r>
    </w:p>
    <w:p w14:paraId="4A669F8B">
      <w:pPr>
        <w:spacing w:line="360" w:lineRule="auto"/>
        <w:ind w:firstLine="420" w:firstLineChars="200"/>
        <w:jc w:val="left"/>
        <w:rPr>
          <w:rFonts w:ascii="宋体" w:hAnsi="宋体"/>
          <w:color w:val="auto"/>
          <w:highlight w:val="none"/>
        </w:rPr>
      </w:pPr>
      <w:r>
        <w:rPr>
          <w:rFonts w:hint="eastAsia" w:ascii="宋体" w:hAnsi="宋体"/>
          <w:color w:val="auto"/>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70E1FB0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本款补充3.5.2项：</w:t>
      </w:r>
    </w:p>
    <w:p w14:paraId="1B1E560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3.5.2严禁违法分包</w:t>
      </w:r>
    </w:p>
    <w:p w14:paraId="432DB49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69D473AB">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3.7 履约担保</w:t>
      </w:r>
    </w:p>
    <w:p w14:paraId="6D0268BE">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3.7.1承包人是否提供履约担保：</w:t>
      </w:r>
      <w:r>
        <w:rPr>
          <w:rFonts w:hint="eastAsia" w:ascii="宋体" w:hAnsi="宋体"/>
          <w:color w:val="auto"/>
          <w:highlight w:val="none"/>
          <w:u w:val="single"/>
        </w:rPr>
        <w:t>提供</w:t>
      </w:r>
      <w:r>
        <w:rPr>
          <w:rFonts w:hint="eastAsia" w:ascii="宋体" w:hAnsi="宋体"/>
          <w:color w:val="auto"/>
          <w:highlight w:val="none"/>
        </w:rPr>
        <w:t>。</w:t>
      </w:r>
    </w:p>
    <w:p w14:paraId="313023B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3.7.2承包人提供履约担保的形式、金额及期限：</w:t>
      </w:r>
    </w:p>
    <w:p w14:paraId="64A41265">
      <w:pPr>
        <w:widowControl/>
        <w:spacing w:line="400" w:lineRule="exact"/>
        <w:ind w:firstLine="420" w:firstLineChars="200"/>
        <w:rPr>
          <w:rFonts w:hint="eastAsia" w:ascii="宋体" w:hAnsi="宋体"/>
          <w:color w:val="auto"/>
          <w:kern w:val="44"/>
          <w:highlight w:val="none"/>
        </w:rPr>
      </w:pPr>
      <w:r>
        <w:rPr>
          <w:rFonts w:hint="eastAsia" w:ascii="宋体" w:hAnsi="宋体"/>
          <w:color w:val="auto"/>
          <w:kern w:val="44"/>
          <w:highlight w:val="none"/>
        </w:rPr>
        <w:t>（1）履约担保的形式：现金或履约保函或现金+履约保函的组合，履约保函包括银行保函、保证保险和担保保函，其示范文本详见第四章合同条款及格式附件。保函必须为不可撤销、不可转让的见索即付保函。</w:t>
      </w:r>
    </w:p>
    <w:p w14:paraId="538CFC42">
      <w:pPr>
        <w:widowControl/>
        <w:spacing w:line="400" w:lineRule="exact"/>
        <w:ind w:firstLine="420" w:firstLineChars="200"/>
        <w:rPr>
          <w:rFonts w:hint="eastAsia" w:ascii="宋体" w:hAnsi="宋体"/>
          <w:color w:val="auto"/>
          <w:kern w:val="44"/>
          <w:highlight w:val="none"/>
        </w:rPr>
      </w:pPr>
      <w:r>
        <w:rPr>
          <w:rFonts w:hint="eastAsia" w:ascii="宋体" w:hAnsi="宋体"/>
          <w:color w:val="auto"/>
          <w:kern w:val="44"/>
          <w:highlight w:val="none"/>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竞争性比选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76D694E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（3）履约担保的金额：</w:t>
      </w:r>
      <w:r>
        <w:rPr>
          <w:rFonts w:hint="eastAsia" w:ascii="宋体" w:hAnsi="宋体"/>
          <w:color w:val="auto"/>
          <w:highlight w:val="none"/>
          <w:u w:val="single"/>
        </w:rPr>
        <w:t>中标合同金额的</w:t>
      </w:r>
      <w:r>
        <w:rPr>
          <w:rFonts w:hint="eastAsia"/>
          <w:color w:val="auto"/>
          <w:highlight w:val="none"/>
          <w:u w:val="single"/>
        </w:rPr>
        <w:t xml:space="preserve"> 10% </w:t>
      </w:r>
      <w:r>
        <w:rPr>
          <w:rFonts w:hint="eastAsia" w:ascii="宋体" w:hAnsi="宋体"/>
          <w:color w:val="auto"/>
          <w:highlight w:val="none"/>
        </w:rPr>
        <w:t>；</w:t>
      </w:r>
    </w:p>
    <w:p w14:paraId="2BF8D8B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（4）履约担保的提交时间：</w:t>
      </w:r>
      <w:r>
        <w:rPr>
          <w:rFonts w:hint="eastAsia" w:ascii="宋体" w:hAnsi="宋体"/>
          <w:color w:val="auto"/>
          <w:highlight w:val="none"/>
          <w:u w:val="single"/>
        </w:rPr>
        <w:t>在合同签订前，承包人按担保金额向发包人提交履约担保</w:t>
      </w:r>
      <w:r>
        <w:rPr>
          <w:rFonts w:hint="eastAsia" w:ascii="宋体" w:hAnsi="宋体"/>
          <w:color w:val="auto"/>
          <w:highlight w:val="none"/>
        </w:rPr>
        <w:t>。</w:t>
      </w:r>
    </w:p>
    <w:p w14:paraId="1B6829B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（5）履约担保的期限：自提交履约担保之日起至竣工验收合格之日止。</w:t>
      </w:r>
    </w:p>
    <w:p w14:paraId="057ED4E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（6）履约担保的退还时间：工程竣工验收合格后14天内无息退还或解保。</w:t>
      </w:r>
    </w:p>
    <w:p w14:paraId="74520799">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4. 监理人</w:t>
      </w:r>
    </w:p>
    <w:p w14:paraId="358003D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4.1 监理人的一般规定</w:t>
      </w:r>
    </w:p>
    <w:p w14:paraId="5B2B4BF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关于监理人的监理内容：</w:t>
      </w:r>
      <w:r>
        <w:rPr>
          <w:rFonts w:hint="eastAsia" w:ascii="宋体" w:hAnsi="宋体"/>
          <w:color w:val="auto"/>
          <w:highlight w:val="none"/>
          <w:u w:val="single"/>
        </w:rPr>
        <w:t>见发包人与监理人就本工程签订的监理合同</w:t>
      </w:r>
      <w:r>
        <w:rPr>
          <w:rFonts w:hint="eastAsia" w:ascii="宋体" w:hAnsi="宋体"/>
          <w:color w:val="auto"/>
          <w:highlight w:val="none"/>
        </w:rPr>
        <w:t>。</w:t>
      </w:r>
    </w:p>
    <w:p w14:paraId="088E2D6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关于监理人的监理权限：</w:t>
      </w:r>
      <w:r>
        <w:rPr>
          <w:rFonts w:hint="eastAsia" w:ascii="宋体" w:hAnsi="宋体"/>
          <w:color w:val="auto"/>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highlight w:val="none"/>
        </w:rPr>
        <w:t>。</w:t>
      </w:r>
    </w:p>
    <w:p w14:paraId="572E822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关于监理人在施工现场的办公场所、生活场所的提供和费用承担的约定：</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12888E7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4.2 监理人员</w:t>
      </w:r>
    </w:p>
    <w:p w14:paraId="11DE5341">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总监理工程师：</w:t>
      </w:r>
    </w:p>
    <w:p w14:paraId="018F6B4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78A785C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职    务：</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32A9A00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监理工程师执业资格证书号：</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olor w:val="auto"/>
          <w:highlight w:val="none"/>
        </w:rPr>
        <w:t>；</w:t>
      </w:r>
    </w:p>
    <w:p w14:paraId="564E4EC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联系方式：</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00DB149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关于监理人的其他约定：</w:t>
      </w:r>
      <w:r>
        <w:rPr>
          <w:rFonts w:hint="eastAsia" w:ascii="宋体" w:hAnsi="宋体"/>
          <w:color w:val="auto"/>
          <w:highlight w:val="none"/>
          <w:u w:val="single"/>
        </w:rPr>
        <w:t>见发包人与监理人就本工程签订的监理合同</w:t>
      </w:r>
      <w:r>
        <w:rPr>
          <w:rFonts w:hint="eastAsia" w:ascii="宋体" w:hAnsi="宋体"/>
          <w:color w:val="auto"/>
          <w:highlight w:val="none"/>
        </w:rPr>
        <w:t>。</w:t>
      </w:r>
    </w:p>
    <w:p w14:paraId="0E3C752F">
      <w:pPr>
        <w:pStyle w:val="8"/>
        <w:spacing w:before="0" w:beforeAutospacing="0" w:after="0" w:afterAutospacing="0" w:line="360" w:lineRule="auto"/>
        <w:ind w:firstLine="420" w:firstLineChars="200"/>
        <w:rPr>
          <w:rFonts w:hint="eastAsia"/>
          <w:b w:val="0"/>
          <w:color w:val="auto"/>
          <w:sz w:val="21"/>
          <w:szCs w:val="21"/>
          <w:highlight w:val="none"/>
        </w:rPr>
      </w:pPr>
      <w:r>
        <w:rPr>
          <w:rFonts w:hint="eastAsia"/>
          <w:b w:val="0"/>
          <w:color w:val="auto"/>
          <w:sz w:val="21"/>
          <w:szCs w:val="21"/>
          <w:highlight w:val="none"/>
        </w:rPr>
        <w:t>4.4 商定或确定</w:t>
      </w:r>
    </w:p>
    <w:p w14:paraId="66A43875">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在发包人和承包人不能通过协商达成一致意见时，发包人授权监理人对以下事项进行确定：</w:t>
      </w:r>
    </w:p>
    <w:p w14:paraId="2CE865D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rPr>
        <w:t>。</w:t>
      </w:r>
    </w:p>
    <w:p w14:paraId="45A7C0B7">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5. 工程质量</w:t>
      </w:r>
    </w:p>
    <w:p w14:paraId="7EBA6AB5">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5.1 质量要求</w:t>
      </w:r>
    </w:p>
    <w:p w14:paraId="2DE84272">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u w:val="single"/>
        </w:rPr>
        <w:t>工程质量符合强制性质量标准，符合国家和重庆市现行有关施工质量验收规范要求，并达到合格标准</w:t>
      </w:r>
      <w:r>
        <w:rPr>
          <w:rFonts w:hint="eastAsia" w:ascii="宋体" w:hAnsi="宋体"/>
          <w:color w:val="auto"/>
          <w:highlight w:val="none"/>
        </w:rPr>
        <w:t>。强制性安全质量标准有（包括但不限于）：</w:t>
      </w:r>
      <w:r>
        <w:rPr>
          <w:rFonts w:hint="eastAsia" w:ascii="宋体" w:hAnsi="宋体"/>
          <w:color w:val="auto"/>
          <w:highlight w:val="none"/>
          <w:u w:val="single"/>
        </w:rPr>
        <w:t xml:space="preserve">            </w:t>
      </w:r>
      <w:r>
        <w:rPr>
          <w:rFonts w:hint="eastAsia" w:ascii="宋体" w:hAnsi="宋体"/>
          <w:color w:val="auto"/>
          <w:highlight w:val="none"/>
        </w:rPr>
        <w:t>。</w:t>
      </w:r>
    </w:p>
    <w:p w14:paraId="5A6EA7FB">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5.2 质量保证措施</w:t>
      </w:r>
    </w:p>
    <w:p w14:paraId="0B041E1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本款补充5.2.4项：</w:t>
      </w:r>
    </w:p>
    <w:p w14:paraId="393A6B1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5.2.4 在工程建设中，参建各方应严格执行以下规定（包括但不限于）：</w:t>
      </w:r>
    </w:p>
    <w:p w14:paraId="5B33912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u w:val="single"/>
        </w:rPr>
        <w:t>《建筑工程施工质量验收统一标准》（GB50300-2013）</w:t>
      </w:r>
      <w:r>
        <w:rPr>
          <w:rFonts w:hint="eastAsia" w:ascii="宋体" w:hAnsi="宋体"/>
          <w:color w:val="auto"/>
          <w:highlight w:val="none"/>
        </w:rPr>
        <w:t>；</w:t>
      </w:r>
    </w:p>
    <w:p w14:paraId="3462667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u w:val="single"/>
        </w:rPr>
        <w:t>《住房城乡建设部关于印发工程质量安全提升行动方案的通知》（建质〔2017〕57号）</w:t>
      </w:r>
      <w:r>
        <w:rPr>
          <w:rFonts w:hint="eastAsia" w:ascii="宋体" w:hAnsi="宋体"/>
          <w:color w:val="auto"/>
          <w:highlight w:val="none"/>
        </w:rPr>
        <w:t>；</w:t>
      </w:r>
    </w:p>
    <w:p w14:paraId="66340C6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u w:val="single"/>
        </w:rPr>
        <w:t>《房屋建筑和市政基础设施工程竣工验收规定》（建质〔2013〕171号）</w:t>
      </w:r>
      <w:r>
        <w:rPr>
          <w:rFonts w:hint="eastAsia" w:ascii="宋体" w:hAnsi="宋体"/>
          <w:color w:val="auto"/>
          <w:highlight w:val="none"/>
        </w:rPr>
        <w:t>；</w:t>
      </w:r>
    </w:p>
    <w:p w14:paraId="35BD46A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w:t>
      </w:r>
      <w:r>
        <w:rPr>
          <w:rFonts w:hint="eastAsia" w:ascii="宋体" w:hAnsi="宋体"/>
          <w:color w:val="auto"/>
          <w:highlight w:val="none"/>
          <w:u w:val="single"/>
        </w:rPr>
        <w:t>《建设部关于贯彻执行建筑工程勘察设计及施工质量验收规范若干问题的通知》（建标〔2002〕212号）</w:t>
      </w:r>
      <w:r>
        <w:rPr>
          <w:rFonts w:hint="eastAsia" w:ascii="宋体" w:hAnsi="宋体"/>
          <w:color w:val="auto"/>
          <w:highlight w:val="none"/>
        </w:rPr>
        <w:t>；</w:t>
      </w:r>
    </w:p>
    <w:p w14:paraId="520AFD0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w:t>
      </w:r>
      <w:r>
        <w:rPr>
          <w:rFonts w:hint="eastAsia" w:ascii="宋体" w:hAnsi="宋体"/>
          <w:color w:val="auto"/>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highlight w:val="none"/>
        </w:rPr>
        <w:t>；</w:t>
      </w:r>
    </w:p>
    <w:p w14:paraId="39CC46E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w:t>
      </w:r>
      <w:r>
        <w:rPr>
          <w:rFonts w:hint="eastAsia" w:ascii="宋体" w:hAnsi="宋体"/>
          <w:color w:val="auto"/>
          <w:highlight w:val="none"/>
          <w:u w:val="single"/>
        </w:rPr>
        <w:t>《关于印发&lt;重庆市房屋建筑和市政基础设施工程预拌商品砂浆应用推进工作方案&gt;的通知》（渝建〔2018〕375号）</w:t>
      </w:r>
      <w:r>
        <w:rPr>
          <w:rFonts w:hint="eastAsia" w:ascii="宋体" w:hAnsi="宋体"/>
          <w:color w:val="auto"/>
          <w:highlight w:val="none"/>
        </w:rPr>
        <w:t>；</w:t>
      </w:r>
    </w:p>
    <w:p w14:paraId="6F4D9F6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w:t>
      </w:r>
      <w:r>
        <w:rPr>
          <w:rFonts w:hint="eastAsia" w:ascii="宋体" w:hAnsi="宋体"/>
          <w:color w:val="auto"/>
          <w:highlight w:val="none"/>
          <w:u w:val="single"/>
        </w:rPr>
        <w:t>《重庆市城乡建设委员会关于印发2018年房屋建筑和市政基础设施工程质量要点的通知》（渝建〔2018〕94号）</w:t>
      </w:r>
      <w:r>
        <w:rPr>
          <w:rFonts w:hint="eastAsia" w:ascii="宋体" w:hAnsi="宋体"/>
          <w:color w:val="auto"/>
          <w:highlight w:val="none"/>
        </w:rPr>
        <w:t>；</w:t>
      </w:r>
    </w:p>
    <w:p w14:paraId="4FC738D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u w:val="single"/>
        </w:rPr>
        <w:t>《重庆市城乡建设委员会关于进一步推广应用预拌商品砂浆的通知》（渝建〔2016〕318号）</w:t>
      </w:r>
      <w:r>
        <w:rPr>
          <w:rFonts w:hint="eastAsia" w:ascii="宋体" w:hAnsi="宋体"/>
          <w:color w:val="auto"/>
          <w:highlight w:val="none"/>
        </w:rPr>
        <w:t>；</w:t>
      </w:r>
    </w:p>
    <w:p w14:paraId="2434327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（9）</w:t>
      </w:r>
      <w:r>
        <w:rPr>
          <w:rFonts w:hint="eastAsia" w:ascii="宋体" w:hAnsi="宋体"/>
          <w:color w:val="auto"/>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highlight w:val="none"/>
        </w:rPr>
        <w:t>；</w:t>
      </w:r>
    </w:p>
    <w:p w14:paraId="45D9247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w:t>
      </w:r>
      <w:r>
        <w:rPr>
          <w:rFonts w:hint="eastAsia" w:ascii="宋体" w:hAnsi="宋体"/>
          <w:color w:val="auto"/>
          <w:highlight w:val="none"/>
          <w:u w:val="single"/>
        </w:rPr>
        <w:t>国家和本市现行有关建设工程质量验收标准、规范和要求</w:t>
      </w:r>
      <w:r>
        <w:rPr>
          <w:rFonts w:hint="eastAsia" w:ascii="宋体" w:hAnsi="宋体"/>
          <w:color w:val="auto"/>
          <w:highlight w:val="none"/>
        </w:rPr>
        <w:t>；</w:t>
      </w:r>
    </w:p>
    <w:p w14:paraId="704E6BB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w:t>
      </w:r>
      <w:r>
        <w:rPr>
          <w:rFonts w:hint="eastAsia" w:ascii="宋体" w:hAnsi="宋体"/>
          <w:color w:val="auto"/>
          <w:highlight w:val="none"/>
          <w:u w:val="single"/>
        </w:rPr>
        <w:t xml:space="preserve">        </w:t>
      </w:r>
      <w:r>
        <w:rPr>
          <w:rFonts w:hint="eastAsia" w:ascii="宋体" w:hAnsi="宋体"/>
          <w:color w:val="auto"/>
          <w:highlight w:val="none"/>
        </w:rPr>
        <w:t>。</w:t>
      </w:r>
    </w:p>
    <w:p w14:paraId="6422609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承包人、监理人和发包人在工程建设中，应严格执行国家及重庆市现行标准，如上述标准及规范要求有出入则以较严格者为准。</w:t>
      </w:r>
    </w:p>
    <w:p w14:paraId="11F6605E">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5.3隐蔽工程检查</w:t>
      </w:r>
    </w:p>
    <w:p w14:paraId="15AD88A2">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5.3.2检查程序</w:t>
      </w:r>
    </w:p>
    <w:p w14:paraId="2CBA4B7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工程隐蔽部位经承包人自检确认具备覆盖条件的，承包人应在共同检查前</w:t>
      </w:r>
      <w:r>
        <w:rPr>
          <w:rFonts w:hint="eastAsia" w:ascii="宋体" w:hAnsi="宋体"/>
          <w:color w:val="auto"/>
          <w:highlight w:val="none"/>
          <w:u w:val="single"/>
        </w:rPr>
        <w:t xml:space="preserve">    </w:t>
      </w:r>
      <w:r>
        <w:rPr>
          <w:rFonts w:hint="eastAsia" w:ascii="宋体" w:hAnsi="宋体"/>
          <w:color w:val="auto"/>
          <w:highlight w:val="none"/>
        </w:rPr>
        <w:t>小时书面通知监理人检查，通知中应载明隐蔽检查的内容、时间和地点，并应附有自检记录和必要的检查资料。</w:t>
      </w:r>
    </w:p>
    <w:p w14:paraId="7DDFA9FF">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5.4 不合格工程的处理</w:t>
      </w:r>
    </w:p>
    <w:p w14:paraId="3E3D28E6">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本款补充5.4.3项：</w:t>
      </w:r>
    </w:p>
    <w:p w14:paraId="51CA58F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5.4.3 承包人在收到监理人发出的《不合格分项报告》或监理通知单后，必须在监理人规定时间内按要求完成整改，未能在限定时间内完成整改的，须承担相应违约责任。</w:t>
      </w:r>
    </w:p>
    <w:p w14:paraId="29408CD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本条补充5.6款：</w:t>
      </w:r>
    </w:p>
    <w:p w14:paraId="7742BBBD">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5.6 质量事故的处理</w:t>
      </w:r>
    </w:p>
    <w:p w14:paraId="5947E44E">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5.6.1 合同履行过程中，发生工程质量事故的调查处理按照国家及重庆市现行规定处理。</w:t>
      </w:r>
    </w:p>
    <w:p w14:paraId="04060C8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66322019">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6. 安全文明施工与环境保护</w:t>
      </w:r>
    </w:p>
    <w:p w14:paraId="42C91721">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6.1 安全文明施工</w:t>
      </w:r>
    </w:p>
    <w:p w14:paraId="4008028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14:paraId="33F5BF7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79D7E809">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6.1.1 项目安全生产的达标目标及相应事项的约定：</w:t>
      </w:r>
      <w:r>
        <w:rPr>
          <w:rFonts w:hint="eastAsia" w:ascii="宋体" w:hAnsi="宋体"/>
          <w:color w:val="auto"/>
          <w:highlight w:val="none"/>
          <w:u w:val="single"/>
        </w:rPr>
        <w:t>达到《建筑施工安全检查标准》（JGJ59-2011）的要求</w:t>
      </w:r>
      <w:r>
        <w:rPr>
          <w:rFonts w:hint="eastAsia" w:ascii="宋体" w:hAnsi="宋体"/>
          <w:color w:val="auto"/>
          <w:highlight w:val="none"/>
        </w:rPr>
        <w:t>。</w:t>
      </w:r>
    </w:p>
    <w:p w14:paraId="53B4B35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（1）按现行安全文明施工费计取及使用管理的政策文件规定及发包人制订的安全管理制度执行</w:t>
      </w:r>
      <w:r>
        <w:rPr>
          <w:rFonts w:hint="eastAsia" w:ascii="宋体" w:hAnsi="宋体"/>
          <w:color w:val="auto"/>
          <w:highlight w:val="none"/>
        </w:rPr>
        <w:t>。</w:t>
      </w:r>
    </w:p>
    <w:p w14:paraId="2A1CD2E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（2）承包人的原因造成事故，由此产生的法律责任和事故责任及费用由承包人全部承担</w:t>
      </w:r>
      <w:r>
        <w:rPr>
          <w:rFonts w:hint="eastAsia" w:ascii="宋体" w:hAnsi="宋体"/>
          <w:color w:val="auto"/>
          <w:highlight w:val="none"/>
        </w:rPr>
        <w:t>。</w:t>
      </w:r>
    </w:p>
    <w:p w14:paraId="7600CF6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（3）承包人向发包人做出安全承诺，并签订《安全生产目标责任书》和《安全承诺书》</w:t>
      </w:r>
      <w:r>
        <w:rPr>
          <w:rFonts w:hint="eastAsia" w:ascii="宋体" w:hAnsi="宋体"/>
          <w:color w:val="auto"/>
          <w:highlight w:val="none"/>
        </w:rPr>
        <w:t>。</w:t>
      </w:r>
    </w:p>
    <w:p w14:paraId="03E7E70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（4）承包人在施工过程中，必须严格执行安全生产法的相关规定，制定切实可靠的安全技术措施</w:t>
      </w:r>
      <w:r>
        <w:rPr>
          <w:rFonts w:hint="eastAsia" w:ascii="宋体" w:hAnsi="宋体"/>
          <w:color w:val="auto"/>
          <w:highlight w:val="none"/>
        </w:rPr>
        <w:t>。</w:t>
      </w:r>
    </w:p>
    <w:p w14:paraId="62995B69">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（5）接受发包人安全监督和管理，在施工中违反安全管理规定和操作规程、违章作业的，承担违约责任</w:t>
      </w:r>
      <w:r>
        <w:rPr>
          <w:rFonts w:hint="eastAsia" w:ascii="宋体" w:hAnsi="宋体"/>
          <w:color w:val="auto"/>
          <w:highlight w:val="none"/>
        </w:rPr>
        <w:t>。</w:t>
      </w:r>
    </w:p>
    <w:p w14:paraId="67BB895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6.1.4 关于治安保卫的特别约定：</w:t>
      </w:r>
      <w:r>
        <w:rPr>
          <w:rFonts w:hint="eastAsia" w:ascii="宋体" w:hAnsi="宋体"/>
          <w:color w:val="auto"/>
          <w:highlight w:val="none"/>
          <w:u w:val="single"/>
        </w:rPr>
        <w:t>承包人负责组建施工现场治安管理机构或联防组织；承包人负责编制施工场地治安管理计划和突发治安事件紧急预案</w:t>
      </w:r>
      <w:r>
        <w:rPr>
          <w:rFonts w:hint="eastAsia" w:ascii="宋体" w:hAnsi="宋体"/>
          <w:color w:val="auto"/>
          <w:highlight w:val="none"/>
        </w:rPr>
        <w:t>。</w:t>
      </w:r>
    </w:p>
    <w:p w14:paraId="513F9350">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关于编制施工场地治安管理计划的约定：</w:t>
      </w:r>
      <w:r>
        <w:rPr>
          <w:rFonts w:hint="eastAsia" w:ascii="宋体" w:hAnsi="宋体"/>
          <w:color w:val="auto"/>
          <w:highlight w:val="none"/>
          <w:u w:val="single"/>
        </w:rPr>
        <w:t>由承包人负责</w:t>
      </w:r>
      <w:r>
        <w:rPr>
          <w:rFonts w:hint="eastAsia" w:ascii="宋体" w:hAnsi="宋体"/>
          <w:color w:val="auto"/>
          <w:highlight w:val="none"/>
        </w:rPr>
        <w:t>。</w:t>
      </w:r>
    </w:p>
    <w:p w14:paraId="4FEE49B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6.1.5 文明施工</w:t>
      </w:r>
    </w:p>
    <w:p w14:paraId="0390BCA8">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合同当事人对文明施工的要求：</w:t>
      </w:r>
      <w:r>
        <w:rPr>
          <w:rFonts w:hint="eastAsia" w:ascii="宋体" w:hAnsi="宋体"/>
          <w:color w:val="auto"/>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highlight w:val="none"/>
        </w:rPr>
        <w:t>。</w:t>
      </w:r>
    </w:p>
    <w:p w14:paraId="334A0EC3">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highlight w:val="none"/>
        </w:rPr>
        <w:t>。</w:t>
      </w:r>
    </w:p>
    <w:p w14:paraId="62332510">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6.1.6 关于安全文明施工费支付比例和支付期限的约定：按照行业主管部门相关规定</w:t>
      </w:r>
      <w:r>
        <w:rPr>
          <w:rFonts w:hint="eastAsia" w:ascii="宋体" w:hAnsi="宋体"/>
          <w:color w:val="auto"/>
          <w:highlight w:val="none"/>
          <w:u w:val="single"/>
        </w:rPr>
        <w:t xml:space="preserve">                 </w:t>
      </w:r>
      <w:r>
        <w:rPr>
          <w:rFonts w:hint="eastAsia" w:ascii="宋体" w:hAnsi="宋体"/>
          <w:color w:val="auto"/>
          <w:highlight w:val="none"/>
        </w:rPr>
        <w:t>执行。</w:t>
      </w:r>
    </w:p>
    <w:p w14:paraId="3B6E4FD9">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安全文明施工费的要求与内容、提取支付方法以及违反约定造成损失的赔偿等条款，按照现行规范要求执行，做到专款专用</w:t>
      </w:r>
      <w:r>
        <w:rPr>
          <w:rFonts w:hint="eastAsia" w:ascii="宋体" w:hAnsi="宋体"/>
          <w:color w:val="auto"/>
          <w:highlight w:val="none"/>
        </w:rPr>
        <w:t>。</w:t>
      </w:r>
    </w:p>
    <w:p w14:paraId="7A74C25D">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6.3 环境保护</w:t>
      </w:r>
    </w:p>
    <w:p w14:paraId="439FDBDB">
      <w:pPr>
        <w:spacing w:line="360" w:lineRule="auto"/>
        <w:ind w:firstLine="420" w:firstLineChars="200"/>
        <w:jc w:val="left"/>
        <w:textAlignment w:val="baseline"/>
        <w:rPr>
          <w:rFonts w:hint="eastAsia" w:ascii="宋体" w:hAnsi="宋体"/>
          <w:color w:val="auto"/>
          <w:szCs w:val="21"/>
          <w:highlight w:val="none"/>
        </w:rPr>
      </w:pPr>
      <w:r>
        <w:rPr>
          <w:rFonts w:hint="eastAsia" w:ascii="宋体" w:hAnsi="宋体"/>
          <w:color w:val="auto"/>
          <w:highlight w:val="none"/>
        </w:rPr>
        <w:t>本款补充6.3.1～6.3.8项：</w:t>
      </w:r>
    </w:p>
    <w:p w14:paraId="06082B4F">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5C91E39A">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4D22338F">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6.3.3 承包人应加强生态环境保护工作。施工期间，采取边坡防护，挡渣坝、排水沟、沉淀池、表土剥离和绿化恢复等水土保持措施减少水土流失量，绿化恢复宜采用适于当地生长的植物。</w:t>
      </w:r>
    </w:p>
    <w:p w14:paraId="1C0D1E1A">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026BFC2C">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6.3.5 承包人应重视大气污染物污染防治措施。施工期间，严格执行市政府“蓝天行动”方案等有关规定，通过洒水防尘，严格控制施工场地扬尘和运输扬尘污染。</w:t>
      </w:r>
    </w:p>
    <w:p w14:paraId="21C12AB4">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6.3.6 承包人应落实固体废物污染防治措施。施工期间，项目产生的弃方不可合理利用的，应运往指定的弃渣场内堆存；建筑垃圾运至指定的建筑垃圾消纳场处置；生活垃圾由当地环卫部门统一处置。</w:t>
      </w:r>
    </w:p>
    <w:p w14:paraId="13248E97">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6.3.7 承包人应认真落实噪声污染防治措施。施工期间，优选低噪声设备，合理安排施工时间，严格控制夜间施工，昼、夜施工场界需满足《建筑施工场界环境噪声排放标准》（GB12523-2011）。</w:t>
      </w:r>
    </w:p>
    <w:p w14:paraId="204110D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6.3.8 承包人自行负责办理有关施工场地交通、环卫和施工噪音管理等手续，并应按要求结合自身实际和重庆市相关规定，考虑不低于以上标准的此类工作。</w:t>
      </w:r>
    </w:p>
    <w:p w14:paraId="4231B05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6.3.9 </w:t>
      </w:r>
      <w:r>
        <w:rPr>
          <w:rFonts w:hint="eastAsia" w:ascii="宋体" w:hAnsi="宋体"/>
          <w:color w:val="auto"/>
          <w:highlight w:val="none"/>
          <w:u w:val="single"/>
        </w:rPr>
        <w:t xml:space="preserve">        </w:t>
      </w:r>
      <w:r>
        <w:rPr>
          <w:rFonts w:hint="eastAsia" w:ascii="宋体" w:hAnsi="宋体"/>
          <w:color w:val="auto"/>
          <w:highlight w:val="none"/>
        </w:rPr>
        <w:t>。</w:t>
      </w:r>
    </w:p>
    <w:p w14:paraId="43D7C11C">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7. 工期和进度</w:t>
      </w:r>
    </w:p>
    <w:p w14:paraId="6CFDFD43">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7.1 施工组织设计</w:t>
      </w:r>
    </w:p>
    <w:p w14:paraId="49841CEE">
      <w:pPr>
        <w:autoSpaceDE w:val="0"/>
        <w:autoSpaceDN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highlight w:val="none"/>
        </w:rPr>
        <w:t>7.1.1 合同当事人约定的施工组织设计应包括的其他内容：</w:t>
      </w:r>
      <w:r>
        <w:rPr>
          <w:rFonts w:hint="eastAsia" w:ascii="宋体" w:hAnsi="宋体"/>
          <w:color w:val="auto"/>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highlight w:val="none"/>
        </w:rPr>
        <w:t>。</w:t>
      </w:r>
    </w:p>
    <w:p w14:paraId="799BDFC6">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7.1.2 施工组织设计的提交和修改</w:t>
      </w:r>
    </w:p>
    <w:p w14:paraId="4EDB636A">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承包人提交详细施工组织设计的期限的约定：</w:t>
      </w:r>
      <w:r>
        <w:rPr>
          <w:rFonts w:hint="eastAsia" w:ascii="宋体" w:hAnsi="宋体"/>
          <w:color w:val="auto"/>
          <w:highlight w:val="none"/>
          <w:u w:val="single"/>
        </w:rPr>
        <w:t>合同签订后3天内，但最迟不得晚于开工通知载明的开工日期前7天</w:t>
      </w:r>
      <w:r>
        <w:rPr>
          <w:rFonts w:hint="eastAsia" w:ascii="宋体" w:hAnsi="宋体"/>
          <w:color w:val="auto"/>
          <w:highlight w:val="none"/>
        </w:rPr>
        <w:t>。</w:t>
      </w:r>
    </w:p>
    <w:p w14:paraId="26B23DD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发包人和监理人在收到详细的施工组织设计后确认或提出修改意见的期限：</w:t>
      </w:r>
      <w:r>
        <w:rPr>
          <w:rFonts w:hint="eastAsia" w:ascii="宋体" w:hAnsi="宋体"/>
          <w:color w:val="auto"/>
          <w:highlight w:val="none"/>
          <w:u w:val="single"/>
        </w:rPr>
        <w:t>收到施工组织设计后  天内</w:t>
      </w:r>
      <w:r>
        <w:rPr>
          <w:rFonts w:hint="eastAsia" w:ascii="宋体" w:hAnsi="宋体"/>
          <w:color w:val="auto"/>
          <w:highlight w:val="none"/>
        </w:rPr>
        <w:t>。</w:t>
      </w:r>
    </w:p>
    <w:p w14:paraId="40F5A83F">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7.2 施工进度计划</w:t>
      </w:r>
    </w:p>
    <w:p w14:paraId="7FBFE97C">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7.2.2 施工进度计划的修订</w:t>
      </w:r>
    </w:p>
    <w:p w14:paraId="2389546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发包人和监理人在收到修订的施工进度计划后确认或提出修改意见的期限：</w:t>
      </w:r>
      <w:r>
        <w:rPr>
          <w:rFonts w:hint="eastAsia" w:ascii="宋体" w:hAnsi="宋体"/>
          <w:color w:val="auto"/>
          <w:highlight w:val="none"/>
          <w:u w:val="single"/>
        </w:rPr>
        <w:t>收到修订的施工进度计划后  天内</w:t>
      </w:r>
      <w:r>
        <w:rPr>
          <w:rFonts w:hint="eastAsia" w:ascii="宋体" w:hAnsi="宋体"/>
          <w:color w:val="auto"/>
          <w:highlight w:val="none"/>
        </w:rPr>
        <w:t>。</w:t>
      </w:r>
    </w:p>
    <w:p w14:paraId="1E71A70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7.3 开工</w:t>
      </w:r>
    </w:p>
    <w:p w14:paraId="44DCAF72">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7.3.1 开工准备</w:t>
      </w:r>
    </w:p>
    <w:p w14:paraId="740152A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关于承包人提交工程开工报审表的期限：</w:t>
      </w:r>
      <w:r>
        <w:rPr>
          <w:rFonts w:hint="eastAsia" w:ascii="宋体" w:hAnsi="宋体"/>
          <w:color w:val="auto"/>
          <w:highlight w:val="none"/>
          <w:u w:val="single"/>
        </w:rPr>
        <w:t>不晚于开工前2天</w:t>
      </w:r>
      <w:r>
        <w:rPr>
          <w:rFonts w:hint="eastAsia" w:ascii="宋体" w:hAnsi="宋体"/>
          <w:color w:val="auto"/>
          <w:highlight w:val="none"/>
        </w:rPr>
        <w:t>。</w:t>
      </w:r>
    </w:p>
    <w:p w14:paraId="3879AEE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关于发包人应完成的其他开工准备工作及期限：</w:t>
      </w:r>
      <w:r>
        <w:rPr>
          <w:rFonts w:hint="eastAsia" w:ascii="宋体" w:hAnsi="宋体"/>
          <w:color w:val="auto"/>
          <w:highlight w:val="none"/>
          <w:u w:val="single"/>
        </w:rPr>
        <w:t>不晚于开工前2天</w:t>
      </w:r>
      <w:r>
        <w:rPr>
          <w:rFonts w:hint="eastAsia" w:ascii="宋体" w:hAnsi="宋体"/>
          <w:color w:val="auto"/>
          <w:highlight w:val="none"/>
        </w:rPr>
        <w:t>。</w:t>
      </w:r>
    </w:p>
    <w:p w14:paraId="783AA0C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关于承包人应完成的其他开工准备工作及期限：</w:t>
      </w:r>
      <w:r>
        <w:rPr>
          <w:rFonts w:hint="eastAsia" w:ascii="宋体" w:hAnsi="宋体"/>
          <w:color w:val="auto"/>
          <w:highlight w:val="none"/>
          <w:u w:val="single"/>
        </w:rPr>
        <w:t>不晚于开工前2天</w:t>
      </w:r>
      <w:r>
        <w:rPr>
          <w:rFonts w:hint="eastAsia" w:ascii="宋体" w:hAnsi="宋体"/>
          <w:color w:val="auto"/>
          <w:highlight w:val="none"/>
        </w:rPr>
        <w:t>。</w:t>
      </w:r>
    </w:p>
    <w:p w14:paraId="1E9C655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7.4 测量放线</w:t>
      </w:r>
    </w:p>
    <w:p w14:paraId="3B0F5FFC">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7.4.1 发包人通过监理人向承包人提供测量基准点、基准线和水准点及其书面资料的期限：</w:t>
      </w:r>
      <w:r>
        <w:rPr>
          <w:rFonts w:hint="eastAsia" w:ascii="宋体" w:hAnsi="宋体"/>
          <w:color w:val="auto"/>
          <w:highlight w:val="none"/>
          <w:u w:val="single"/>
        </w:rPr>
        <w:t>不晚于开工前5天</w:t>
      </w:r>
      <w:r>
        <w:rPr>
          <w:rFonts w:hint="eastAsia" w:ascii="宋体" w:hAnsi="宋体"/>
          <w:color w:val="auto"/>
          <w:highlight w:val="none"/>
        </w:rPr>
        <w:t>。</w:t>
      </w:r>
    </w:p>
    <w:p w14:paraId="12FA8E4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承包人报监理人审批施工控制网资料的期限：</w:t>
      </w:r>
      <w:r>
        <w:rPr>
          <w:rFonts w:hint="eastAsia" w:ascii="宋体" w:hAnsi="宋体"/>
          <w:color w:val="auto"/>
          <w:highlight w:val="none"/>
          <w:u w:val="single"/>
        </w:rPr>
        <w:t>发出开工通知后5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highlight w:val="none"/>
        </w:rPr>
        <w:t>。</w:t>
      </w:r>
    </w:p>
    <w:p w14:paraId="11078F9D">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7.5 工期延误</w:t>
      </w:r>
    </w:p>
    <w:p w14:paraId="5713F649">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7.5.1 因发包人原因导致工期延误：</w:t>
      </w:r>
    </w:p>
    <w:p w14:paraId="0D1F3F0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在合同履行过程中，除通用条款约定外，因下列情况导致工期延误和（或）费用增加的，由发包人承担由此延误的工期和（或）增加的费用：</w:t>
      </w:r>
    </w:p>
    <w:p w14:paraId="0A96246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（1）发包人未能按合同约定提供施工场地，且该未提供开工条件直接影响项目关键线路的；</w:t>
      </w:r>
    </w:p>
    <w:p w14:paraId="60A348A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（2）发包人提供的测量基准点、基准线和水准点及其书面资料存在错误或疏漏，且该错误或疏漏直接影响项目关键线路的；</w:t>
      </w:r>
    </w:p>
    <w:p w14:paraId="3EC8858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（3）监理人未按合同约定发出指示、批准等文件，且该未按合同约定发出指示、批准直接影响项目关键线路的；</w:t>
      </w:r>
    </w:p>
    <w:p w14:paraId="63C86DA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（4）变更未及时审批，直接影响项目关键线路的；</w:t>
      </w:r>
    </w:p>
    <w:p w14:paraId="28DB0F6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（5）实施变更直接影响项目关键线路的；</w:t>
      </w:r>
    </w:p>
    <w:p w14:paraId="5D1B3BC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（6）因发包人原因导致工程暂停施工、停建、缓建的；</w:t>
      </w:r>
    </w:p>
    <w:p w14:paraId="0FB9C34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（7）因征地拆迁、当地群众阻工等情形的；</w:t>
      </w:r>
    </w:p>
    <w:p w14:paraId="7041270E">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（8）</w:t>
      </w:r>
      <w:r>
        <w:rPr>
          <w:rFonts w:hint="eastAsia" w:ascii="宋体" w:hAnsi="宋体"/>
          <w:color w:val="auto"/>
          <w:highlight w:val="none"/>
          <w:u w:val="single"/>
        </w:rPr>
        <w:t>合同约定的其他情形</w:t>
      </w:r>
      <w:r>
        <w:rPr>
          <w:rFonts w:hint="eastAsia" w:ascii="宋体" w:hAnsi="宋体"/>
          <w:color w:val="auto"/>
          <w:highlight w:val="none"/>
        </w:rPr>
        <w:t>。</w:t>
      </w:r>
    </w:p>
    <w:p w14:paraId="32B8604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highlight w:val="none"/>
        </w:rPr>
        <w:t>。</w:t>
      </w:r>
    </w:p>
    <w:p w14:paraId="2A38BDB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7.5.2 因承包人原因导致工期延误</w:t>
      </w:r>
    </w:p>
    <w:p w14:paraId="552C27C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因承包人原因造成工期延误，逾期竣工按16.2.2（6）目执行。</w:t>
      </w:r>
    </w:p>
    <w:p w14:paraId="1C49A29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7.6 不利物质条件</w:t>
      </w:r>
    </w:p>
    <w:p w14:paraId="43FAD7FB">
      <w:pPr>
        <w:spacing w:line="360" w:lineRule="auto"/>
        <w:ind w:firstLine="420" w:firstLineChars="200"/>
        <w:jc w:val="left"/>
        <w:rPr>
          <w:rFonts w:hint="eastAsia" w:ascii="宋体" w:hAnsi="宋体"/>
          <w:bCs/>
          <w:color w:val="auto"/>
          <w:szCs w:val="21"/>
          <w:highlight w:val="none"/>
        </w:rPr>
      </w:pPr>
      <w:r>
        <w:rPr>
          <w:rFonts w:hint="eastAsia" w:ascii="宋体" w:hAnsi="宋体"/>
          <w:color w:val="auto"/>
          <w:highlight w:val="none"/>
        </w:rPr>
        <w:t>不利物质条件的其他情形和有关约定：</w:t>
      </w:r>
      <w:r>
        <w:rPr>
          <w:rFonts w:hint="eastAsia" w:ascii="宋体" w:hAnsi="宋体"/>
          <w:color w:val="auto"/>
          <w:highlight w:val="none"/>
          <w:u w:val="single"/>
        </w:rPr>
        <w:t xml:space="preserve">  /  </w:t>
      </w:r>
      <w:r>
        <w:rPr>
          <w:rFonts w:hint="eastAsia" w:ascii="宋体" w:hAnsi="宋体"/>
          <w:color w:val="auto"/>
          <w:highlight w:val="none"/>
        </w:rPr>
        <w:t>。</w:t>
      </w:r>
    </w:p>
    <w:p w14:paraId="10C1AD5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7.7异常恶劣的气候条件</w:t>
      </w:r>
    </w:p>
    <w:p w14:paraId="526FB151">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highlight w:val="none"/>
        </w:rPr>
        <w:t>发包人和承包人同意以下情形视为异常恶劣的气候条件：</w:t>
      </w:r>
      <w:r>
        <w:rPr>
          <w:rFonts w:hint="eastAsia" w:ascii="宋体" w:hAnsi="宋体"/>
          <w:color w:val="auto"/>
          <w:highlight w:val="none"/>
          <w:u w:val="single"/>
        </w:rPr>
        <w:t xml:space="preserve">    （异常气候是指项目所在地50年以上一遇的罕见气候现象）</w:t>
      </w:r>
      <w:r>
        <w:rPr>
          <w:rFonts w:hint="eastAsia" w:ascii="宋体" w:hAnsi="宋体"/>
          <w:color w:val="auto"/>
          <w:highlight w:val="none"/>
        </w:rPr>
        <w:t>。</w:t>
      </w:r>
    </w:p>
    <w:p w14:paraId="127D6607">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7.9 提前竣工</w:t>
      </w:r>
    </w:p>
    <w:p w14:paraId="48831A8C">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7.9.1项细化为：</w:t>
      </w:r>
    </w:p>
    <w:p w14:paraId="44B4D78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28CD49F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（2）发包人不得随意要求承包人提前竣工，承包人也不得随意提出提前竣工的建议。如遇特殊情况，确需将工期提前的，发包人和承包人必须采取有效措施，确保工程质量。</w:t>
      </w:r>
    </w:p>
    <w:p w14:paraId="3E3B1E5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（3）如果承包人提前竣工，发包人支付奖金的计算方法在合同条款中约定，时间自竣工验收证书中写明的实际竣工日期起至预定的竣工日期止，按天计算。但奖金最高限额不超过项目7.9.2项的限额。</w:t>
      </w:r>
    </w:p>
    <w:p w14:paraId="47484ED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7.9.2 提前竣工的奖励：</w:t>
      </w:r>
      <w:r>
        <w:rPr>
          <w:rFonts w:hint="eastAsia" w:ascii="宋体" w:hAnsi="宋体"/>
          <w:color w:val="auto"/>
          <w:highlight w:val="none"/>
          <w:u w:val="single"/>
        </w:rPr>
        <w:t xml:space="preserve">    无</w:t>
      </w:r>
      <w:r>
        <w:rPr>
          <w:rFonts w:hint="eastAsia" w:ascii="宋体" w:hAnsi="宋体"/>
          <w:color w:val="auto"/>
          <w:highlight w:val="none"/>
        </w:rPr>
        <w:t>。</w:t>
      </w:r>
    </w:p>
    <w:p w14:paraId="750422A0">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8. 材料与设备</w:t>
      </w:r>
    </w:p>
    <w:p w14:paraId="49ADEC23">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8.1发包人供应材料与工程设备</w:t>
      </w:r>
    </w:p>
    <w:p w14:paraId="2D93370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材料的名称、规格、数量和价格：</w:t>
      </w:r>
      <w:r>
        <w:rPr>
          <w:rFonts w:hint="eastAsia" w:ascii="宋体" w:hAnsi="宋体"/>
          <w:color w:val="auto"/>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highlight w:val="none"/>
        </w:rPr>
        <w:t>。</w:t>
      </w:r>
    </w:p>
    <w:p w14:paraId="0C6DD4A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highlight w:val="none"/>
        </w:rPr>
        <w:t>。</w:t>
      </w:r>
    </w:p>
    <w:p w14:paraId="3888099C">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8.2 承包人采购材料与工程设备</w:t>
      </w:r>
    </w:p>
    <w:p w14:paraId="1ED51EE4">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8.2.1承包人负责采购、运输和保管的材料、工程设备：</w:t>
      </w:r>
      <w:r>
        <w:rPr>
          <w:rFonts w:hint="eastAsia" w:ascii="宋体" w:hAnsi="宋体"/>
          <w:color w:val="auto"/>
          <w:highlight w:val="none"/>
          <w:u w:val="single"/>
        </w:rPr>
        <w:t>由承包人自行采购。承包人采购材料设备必须经监理人和发包人批准，结算时由监理人和发包人按竞选文件规定审核的数量和合同约定价格计算</w:t>
      </w:r>
      <w:r>
        <w:rPr>
          <w:rFonts w:hint="eastAsia" w:ascii="宋体" w:hAnsi="宋体"/>
          <w:color w:val="auto"/>
          <w:highlight w:val="none"/>
        </w:rPr>
        <w:t>。</w:t>
      </w:r>
    </w:p>
    <w:p w14:paraId="483E780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8.2.2承包人报送监理人审批的时间：</w:t>
      </w:r>
      <w:r>
        <w:rPr>
          <w:rFonts w:hint="eastAsia" w:ascii="宋体" w:hAnsi="宋体"/>
          <w:color w:val="auto"/>
          <w:highlight w:val="none"/>
          <w:u w:val="single"/>
        </w:rPr>
        <w:t>按发包人及监理单位的相关规定执行</w:t>
      </w:r>
      <w:r>
        <w:rPr>
          <w:rFonts w:hint="eastAsia" w:ascii="宋体" w:hAnsi="宋体"/>
          <w:color w:val="auto"/>
          <w:highlight w:val="none"/>
        </w:rPr>
        <w:t>。</w:t>
      </w:r>
    </w:p>
    <w:p w14:paraId="3332CF2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8.2.3承包人选择的生产厂家或供应商满足下列条件：</w:t>
      </w:r>
    </w:p>
    <w:p w14:paraId="785CB77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A.承包人选择的混凝土供应商应满足下列条件：</w:t>
      </w:r>
      <w:r>
        <w:rPr>
          <w:rFonts w:hint="eastAsia" w:ascii="宋体" w:hAnsi="宋体"/>
          <w:color w:val="auto"/>
          <w:highlight w:val="none"/>
          <w:u w:val="single"/>
        </w:rPr>
        <w:t xml:space="preserve">   /     </w:t>
      </w:r>
      <w:r>
        <w:rPr>
          <w:rFonts w:hint="eastAsia" w:ascii="宋体" w:hAnsi="宋体"/>
          <w:color w:val="auto"/>
          <w:highlight w:val="none"/>
        </w:rPr>
        <w:t>；</w:t>
      </w:r>
    </w:p>
    <w:p w14:paraId="6F00C5F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B.承包人选择的钢材供应商应满足下列条件：</w:t>
      </w:r>
      <w:r>
        <w:rPr>
          <w:rFonts w:hint="eastAsia" w:ascii="宋体" w:hAnsi="宋体"/>
          <w:color w:val="auto"/>
          <w:highlight w:val="none"/>
          <w:u w:val="single"/>
        </w:rPr>
        <w:t xml:space="preserve">    /    </w:t>
      </w:r>
      <w:r>
        <w:rPr>
          <w:rFonts w:hint="eastAsia" w:ascii="宋体" w:hAnsi="宋体"/>
          <w:color w:val="auto"/>
          <w:highlight w:val="none"/>
        </w:rPr>
        <w:t>；</w:t>
      </w:r>
    </w:p>
    <w:p w14:paraId="6C77A9D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C.承包人选择的水泥供应商应满足下列条件：</w:t>
      </w:r>
      <w:r>
        <w:rPr>
          <w:rFonts w:hint="eastAsia" w:ascii="宋体" w:hAnsi="宋体"/>
          <w:color w:val="auto"/>
          <w:highlight w:val="none"/>
          <w:u w:val="single"/>
        </w:rPr>
        <w:t xml:space="preserve">    /    </w:t>
      </w:r>
      <w:r>
        <w:rPr>
          <w:rFonts w:hint="eastAsia" w:ascii="宋体" w:hAnsi="宋体"/>
          <w:color w:val="auto"/>
          <w:highlight w:val="none"/>
        </w:rPr>
        <w:t>；</w:t>
      </w:r>
    </w:p>
    <w:p w14:paraId="3EF5296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D.承包人采购的材料与设计或标准要求不符时，承包人应按发包人和监理人要求的时间运出施工场地，并重新采购符合要求的产品，并承担由此发生的费用，因此延误的工期不予顺延。</w:t>
      </w:r>
    </w:p>
    <w:p w14:paraId="67636DC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E.承包人采购的材料在使用前，应按发包人和监理人的要求进行检验或试验，不合格的不得使用。</w:t>
      </w:r>
    </w:p>
    <w:p w14:paraId="531D96A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F.</w:t>
      </w:r>
      <w:r>
        <w:rPr>
          <w:rFonts w:hint="eastAsia" w:ascii="宋体" w:hAnsi="宋体"/>
          <w:color w:val="auto"/>
          <w:highlight w:val="none"/>
          <w:u w:val="single"/>
        </w:rPr>
        <w:t xml:space="preserve">   /     </w:t>
      </w:r>
      <w:r>
        <w:rPr>
          <w:rFonts w:hint="eastAsia" w:ascii="宋体" w:hAnsi="宋体"/>
          <w:color w:val="auto"/>
          <w:highlight w:val="none"/>
        </w:rPr>
        <w:t>。</w:t>
      </w:r>
    </w:p>
    <w:p w14:paraId="7CD0732C">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8.4 材料与工程设备的保管与使用</w:t>
      </w:r>
    </w:p>
    <w:p w14:paraId="0405BC5F">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8.4.1 发包人供应的材料设备的保管费用的承担：</w:t>
      </w:r>
      <w:r>
        <w:rPr>
          <w:rFonts w:hint="eastAsia" w:ascii="宋体" w:hAnsi="宋体"/>
          <w:color w:val="auto"/>
          <w:kern w:val="0"/>
          <w:highlight w:val="none"/>
          <w:u w:val="single"/>
        </w:rPr>
        <w:t>由承包人承担</w:t>
      </w:r>
      <w:r>
        <w:rPr>
          <w:rFonts w:hint="eastAsia" w:ascii="宋体" w:hAnsi="宋体"/>
          <w:color w:val="auto"/>
          <w:highlight w:val="none"/>
          <w:u w:val="single"/>
        </w:rPr>
        <w:t xml:space="preserve">  </w:t>
      </w:r>
      <w:r>
        <w:rPr>
          <w:rFonts w:hint="eastAsia" w:ascii="宋体" w:hAnsi="宋体"/>
          <w:color w:val="auto"/>
          <w:highlight w:val="none"/>
        </w:rPr>
        <w:t>。</w:t>
      </w:r>
    </w:p>
    <w:p w14:paraId="24213CC1">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8.6 样品</w:t>
      </w:r>
    </w:p>
    <w:p w14:paraId="738D4DE3">
      <w:pPr>
        <w:autoSpaceDE w:val="0"/>
        <w:autoSpaceDN w:val="0"/>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8.6.1 样品的报送与封存</w:t>
      </w:r>
    </w:p>
    <w:p w14:paraId="676C236C">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需要承包人报送样品的材料或工程设备，样品的种类、名称、规格、数量要求：</w:t>
      </w:r>
      <w:r>
        <w:rPr>
          <w:rFonts w:hint="eastAsia" w:ascii="宋体" w:hAnsi="宋体"/>
          <w:color w:val="auto"/>
          <w:highlight w:val="none"/>
          <w:u w:val="single"/>
        </w:rPr>
        <w:t xml:space="preserve">   按规定     </w:t>
      </w:r>
      <w:r>
        <w:rPr>
          <w:rFonts w:hint="eastAsia" w:ascii="宋体" w:hAnsi="宋体"/>
          <w:color w:val="auto"/>
          <w:highlight w:val="none"/>
        </w:rPr>
        <w:t>。</w:t>
      </w:r>
    </w:p>
    <w:p w14:paraId="5CFCBDE8">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8.8 施工设备和临时设施</w:t>
      </w:r>
    </w:p>
    <w:p w14:paraId="1306F468">
      <w:pPr>
        <w:autoSpaceDE w:val="0"/>
        <w:autoSpaceDN w:val="0"/>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8.8.1 承包人提供的施工设备和临时设施</w:t>
      </w:r>
    </w:p>
    <w:p w14:paraId="661882A8">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关于修建临时设施费用承担的约定：</w:t>
      </w:r>
      <w:r>
        <w:rPr>
          <w:rFonts w:hint="eastAsia" w:ascii="宋体" w:hAnsi="宋体"/>
          <w:color w:val="auto"/>
          <w:highlight w:val="none"/>
          <w:u w:val="single"/>
        </w:rPr>
        <w:t>由承包人承担</w:t>
      </w:r>
      <w:r>
        <w:rPr>
          <w:rFonts w:hint="eastAsia" w:ascii="宋体" w:hAnsi="宋体"/>
          <w:color w:val="auto"/>
          <w:highlight w:val="none"/>
        </w:rPr>
        <w:t>。</w:t>
      </w:r>
    </w:p>
    <w:p w14:paraId="58548121">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9. 试验与检验</w:t>
      </w:r>
    </w:p>
    <w:p w14:paraId="7DD179B5">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9.1 试验设备与试验人员</w:t>
      </w:r>
    </w:p>
    <w:p w14:paraId="15FCC101">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9.1.2 试验设备</w:t>
      </w:r>
    </w:p>
    <w:p w14:paraId="068153E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施工现场需要配置的试验场所：</w:t>
      </w:r>
      <w:r>
        <w:rPr>
          <w:rFonts w:hint="eastAsia" w:ascii="宋体" w:hAnsi="宋体"/>
          <w:color w:val="auto"/>
          <w:highlight w:val="none"/>
          <w:u w:val="single"/>
        </w:rPr>
        <w:t>满足工程施工的需要</w:t>
      </w:r>
      <w:r>
        <w:rPr>
          <w:rFonts w:hint="eastAsia" w:ascii="宋体" w:hAnsi="宋体"/>
          <w:color w:val="auto"/>
          <w:highlight w:val="none"/>
        </w:rPr>
        <w:t>。</w:t>
      </w:r>
    </w:p>
    <w:p w14:paraId="27212B8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施工现场需要配备的试验设备：</w:t>
      </w:r>
      <w:r>
        <w:rPr>
          <w:rFonts w:hint="eastAsia" w:ascii="宋体" w:hAnsi="宋体"/>
          <w:color w:val="auto"/>
          <w:highlight w:val="none"/>
          <w:u w:val="single"/>
        </w:rPr>
        <w:t>满足工程施工的需要</w:t>
      </w:r>
      <w:r>
        <w:rPr>
          <w:rFonts w:hint="eastAsia" w:ascii="宋体" w:hAnsi="宋体"/>
          <w:color w:val="auto"/>
          <w:highlight w:val="none"/>
        </w:rPr>
        <w:t>。</w:t>
      </w:r>
    </w:p>
    <w:p w14:paraId="065CFB5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施工现场需要具备的其他试验条件：</w:t>
      </w:r>
      <w:r>
        <w:rPr>
          <w:rFonts w:hint="eastAsia" w:ascii="宋体" w:hAnsi="宋体"/>
          <w:color w:val="auto"/>
          <w:highlight w:val="none"/>
          <w:u w:val="single"/>
        </w:rPr>
        <w:t xml:space="preserve">  /      </w:t>
      </w:r>
      <w:r>
        <w:rPr>
          <w:rFonts w:hint="eastAsia" w:ascii="宋体" w:hAnsi="宋体"/>
          <w:color w:val="auto"/>
          <w:highlight w:val="none"/>
        </w:rPr>
        <w:t>。</w:t>
      </w:r>
    </w:p>
    <w:p w14:paraId="47187679">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9.4 现场工艺试验</w:t>
      </w:r>
    </w:p>
    <w:p w14:paraId="4C12D580">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本款补充9.4.1～9.4.5项：</w:t>
      </w:r>
    </w:p>
    <w:p w14:paraId="27D8CEE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9.4.1一般检验试验：</w:t>
      </w:r>
    </w:p>
    <w:p w14:paraId="36D8498E">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0F642876">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2A7E0C2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9.4.2特殊检验试验：</w:t>
      </w:r>
    </w:p>
    <w:p w14:paraId="4989B99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33C0DB67">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发包人委托的第三方检测试验机构检测试验的试件所需的材料、取样、送检及相关配合工作由承包人负责完成并承担由此产生的所有相关费用。</w:t>
      </w:r>
    </w:p>
    <w:p w14:paraId="0A4CFECE">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（2）施工措施的检测、试验：因施工措施需要而做的相关检测、试验由承包人负责实施，其费用由承包人承担。</w:t>
      </w:r>
    </w:p>
    <w:p w14:paraId="5ECE7434">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9.4.3专项检测：</w:t>
      </w:r>
      <w:r>
        <w:rPr>
          <w:rFonts w:hint="eastAsia" w:ascii="宋体" w:hAnsi="宋体"/>
          <w:color w:val="auto"/>
          <w:highlight w:val="none"/>
          <w:u w:val="single"/>
        </w:rPr>
        <w:t xml:space="preserve">   /    </w:t>
      </w:r>
      <w:r>
        <w:rPr>
          <w:rFonts w:hint="eastAsia" w:ascii="宋体" w:hAnsi="宋体"/>
          <w:color w:val="auto"/>
          <w:highlight w:val="none"/>
        </w:rPr>
        <w:t>。</w:t>
      </w:r>
    </w:p>
    <w:p w14:paraId="68FC15AE">
      <w:pPr>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9.4.4若因承包人取样、制样、送检及相关配合不及时而导致工程的工期和费用增加，影响的工期不予延长，增加费用由承包人承担。</w:t>
      </w:r>
    </w:p>
    <w:p w14:paraId="41D76286">
      <w:pPr>
        <w:spacing w:line="360" w:lineRule="auto"/>
        <w:ind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rPr>
        <w:t>9.4.5检测试验不合格的项目，其缺陷处理和复测费用由承包人承担，工期不予延长。</w:t>
      </w:r>
    </w:p>
    <w:p w14:paraId="4ABBCC33">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10. 变更</w:t>
      </w:r>
    </w:p>
    <w:p w14:paraId="7B5843CD">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10.1变更的范围</w:t>
      </w:r>
    </w:p>
    <w:p w14:paraId="23E97807">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关于变更范围的约定：</w:t>
      </w:r>
    </w:p>
    <w:p w14:paraId="54A16DF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（1）增加或减少合同中任何工作，或追加额外的工作；</w:t>
      </w:r>
    </w:p>
    <w:p w14:paraId="5283199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（2）取消合同中任何工作；</w:t>
      </w:r>
    </w:p>
    <w:p w14:paraId="5C0211C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（3）改变合同中任何工作的质量标准或其他特性；</w:t>
      </w:r>
    </w:p>
    <w:p w14:paraId="17784D1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（4）改变工程的基线、标高、位置和尺寸；</w:t>
      </w:r>
    </w:p>
    <w:p w14:paraId="7EEE465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（5）适用于工程的标准和（或）规范变化导致需要对工程进行改变，且该改变导致工期和（或）费用变化的；</w:t>
      </w:r>
    </w:p>
    <w:p w14:paraId="128D24A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（6）勘察设计变更；</w:t>
      </w:r>
    </w:p>
    <w:p w14:paraId="5E685AC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（7）实施内容变更，包括因设计变更和非设计变更引起的实施地点、投资规模、结构型式、采购数量、服务内容等进行的调整，以及因此导致的合同价格、工期变更；</w:t>
      </w:r>
    </w:p>
    <w:p w14:paraId="4E03FC1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（8）项目管理人员变更；</w:t>
      </w:r>
    </w:p>
    <w:p w14:paraId="77CB255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（9）因人工、原材料等价格变化导致的合同总价变更；</w:t>
      </w:r>
    </w:p>
    <w:p w14:paraId="5C450CD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（10）非实施内容变化导致的工期变更；</w:t>
      </w:r>
    </w:p>
    <w:p w14:paraId="063EFDE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w:t>
      </w:r>
      <w:r>
        <w:rPr>
          <w:rFonts w:hint="eastAsia" w:ascii="宋体" w:hAnsi="宋体"/>
          <w:color w:val="auto"/>
          <w:highlight w:val="none"/>
          <w:u w:val="single"/>
        </w:rPr>
        <w:t xml:space="preserve">   /     </w:t>
      </w:r>
      <w:r>
        <w:rPr>
          <w:rFonts w:hint="eastAsia" w:ascii="宋体" w:hAnsi="宋体"/>
          <w:color w:val="auto"/>
          <w:highlight w:val="none"/>
        </w:rPr>
        <w:t>。</w:t>
      </w:r>
    </w:p>
    <w:p w14:paraId="30BEC33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49CB23D8">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承包人对其提供的材料、工程设备、施工、无负荷试车、热负荷试车及图纸参数存在的缺陷，自费修正、调整和完善，不属于变更。</w:t>
      </w:r>
    </w:p>
    <w:p w14:paraId="4FE1AAD9">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10.2变更权</w:t>
      </w:r>
    </w:p>
    <w:p w14:paraId="37707114">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10.2.1发包人和监理人提出变更</w:t>
      </w:r>
    </w:p>
    <w:p w14:paraId="21FEC5E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49B7B696">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1C2D4B4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若出现重大设计变更，变更后的内容超出承包人资质或能力范围的，发包人将另行依法招标选择承包单位，无需征得承包人同意。</w:t>
      </w:r>
    </w:p>
    <w:p w14:paraId="1C36602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10.2.2 承包人提出变更建议</w:t>
      </w:r>
    </w:p>
    <w:p w14:paraId="15E311A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highlight w:val="none"/>
        </w:rPr>
        <w:t>。</w:t>
      </w:r>
    </w:p>
    <w:p w14:paraId="3CEA539E">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如果发包人对承包人已实施的施工项目在发出重大设计变更之前要求承包人提出一份建议，那么，承包人应尽快提出：</w:t>
      </w:r>
    </w:p>
    <w:p w14:paraId="5E021762">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（1）对所提方案和（或）待做工作及其实施计划的说明</w:t>
      </w:r>
      <w:r>
        <w:rPr>
          <w:rFonts w:hint="eastAsia" w:ascii="宋体" w:hAnsi="宋体"/>
          <w:color w:val="auto"/>
          <w:highlight w:val="none"/>
        </w:rPr>
        <w:t>；</w:t>
      </w:r>
    </w:p>
    <w:p w14:paraId="52C3F712">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（2）承包人按照对工程进度计划进行必要修改的建议</w:t>
      </w:r>
      <w:r>
        <w:rPr>
          <w:rFonts w:hint="eastAsia" w:ascii="宋体" w:hAnsi="宋体"/>
          <w:color w:val="auto"/>
          <w:highlight w:val="none"/>
        </w:rPr>
        <w:t>；</w:t>
      </w:r>
    </w:p>
    <w:p w14:paraId="209F1386">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（3）承包人发生较大返工损失增加费用的建议</w:t>
      </w:r>
      <w:r>
        <w:rPr>
          <w:rFonts w:hint="eastAsia" w:ascii="宋体" w:hAnsi="宋体"/>
          <w:color w:val="auto"/>
          <w:highlight w:val="none"/>
        </w:rPr>
        <w:t>。</w:t>
      </w:r>
    </w:p>
    <w:p w14:paraId="13E2694A">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发包人在收到上述建议书后，应尽快给予批准、否决或提出意见</w:t>
      </w:r>
      <w:r>
        <w:rPr>
          <w:rFonts w:hint="eastAsia" w:ascii="宋体" w:hAnsi="宋体"/>
          <w:color w:val="auto"/>
          <w:highlight w:val="none"/>
        </w:rPr>
        <w:t>。</w:t>
      </w:r>
    </w:p>
    <w:p w14:paraId="49837CE0">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10.3变更程序</w:t>
      </w:r>
    </w:p>
    <w:p w14:paraId="377107AC">
      <w:pPr>
        <w:autoSpaceDE w:val="0"/>
        <w:autoSpaceDN w:val="0"/>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10.3.3 变更执行</w:t>
      </w:r>
    </w:p>
    <w:p w14:paraId="3C813EA2">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一般设计变更：承包人收到监理人下达的变更指示后，应按照监理人下达的变更指示执行，并书面说明实施该变更指示对合同价格和工期的影响，按照第10.4.1项〔变更估价原则〕约定执行。</w:t>
      </w:r>
    </w:p>
    <w:p w14:paraId="1085CC2C">
      <w:pPr>
        <w:autoSpaceDE w:val="0"/>
        <w:autoSpaceDN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重大设计变更：需经设计人、监理人和发包人三方签名认可并报相关行业部门审查同意后实施。</w:t>
      </w:r>
    </w:p>
    <w:p w14:paraId="41ECB9FF">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10.3.3 项增加以下内容：</w:t>
      </w:r>
    </w:p>
    <w:p w14:paraId="216562D1">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4E72A686">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项目的勘察设计、实施内容等作较大变更的，应当按照规定的程序报原审批部门审批；变更导致总投资超概的，应当报原投资概算核定部门核定。</w:t>
      </w:r>
    </w:p>
    <w:p w14:paraId="01E8AC1C">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项目管理人员变更的，应当经发包人领导班子集体决策同意，并将变更信息推送给行业主管部门。变更后的项目管理人员应当符合竞选文件和行业主管部门的相关规定。</w:t>
      </w:r>
    </w:p>
    <w:p w14:paraId="21C430C7">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因人工、原材料市场价格发生大幅度变化导致的合同总价变更，由发包人与承包人按照合同进行变更，并将变更信息推送给行业主管部门。</w:t>
      </w:r>
    </w:p>
    <w:p w14:paraId="41B6FB09">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0ED09F3F">
      <w:pPr>
        <w:autoSpaceDE w:val="0"/>
        <w:autoSpaceDN w:val="0"/>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项目合同变更后，增加的实施内容达到依法必须招标的规模标准的，增加的部分应当依法通过招标选择承包单位。</w:t>
      </w:r>
    </w:p>
    <w:p w14:paraId="1DD5A652">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10.4 变更估价</w:t>
      </w:r>
    </w:p>
    <w:p w14:paraId="29D513E8">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10.4.1 变更估价原则</w:t>
      </w:r>
    </w:p>
    <w:p w14:paraId="3C7CC6F1">
      <w:pPr>
        <w:pStyle w:val="3"/>
        <w:spacing w:after="0"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当发生工程变更时，工程量按</w:t>
      </w:r>
      <w:r>
        <w:rPr>
          <w:rFonts w:hint="eastAsia" w:ascii="宋体" w:hAnsi="宋体"/>
          <w:color w:val="auto"/>
          <w:highlight w:val="none"/>
          <w:u w:val="single"/>
          <w:shd w:val="clear" w:color="auto" w:fill="FFFFFF"/>
        </w:rPr>
        <w:t xml:space="preserve">       </w:t>
      </w:r>
      <w:r>
        <w:rPr>
          <w:rFonts w:hint="eastAsia" w:ascii="宋体" w:hAnsi="宋体"/>
          <w:color w:val="auto"/>
          <w:highlight w:val="none"/>
        </w:rPr>
        <w:t>规定的计算规则及已标价工程量清单规定的工程量计算规则计量，按以下办法计价：</w:t>
      </w:r>
    </w:p>
    <w:p w14:paraId="26DC13E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10.4.1.1已标价工程量清单中有相同项目的，按照相同项目单价计算；</w:t>
      </w:r>
    </w:p>
    <w:p w14:paraId="29A2A47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10.4.1.2已标价工程量清单中有类似项目的，参考类似项目单价计算；</w:t>
      </w:r>
    </w:p>
    <w:p w14:paraId="736B422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10.4.1.3已标价工程量清单中无相同项目亦无类似项目的，按照以下原则执行：</w:t>
      </w:r>
    </w:p>
    <w:p w14:paraId="738C399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发包人审定后执行</w:t>
      </w:r>
      <w:r>
        <w:rPr>
          <w:rFonts w:hint="eastAsia" w:ascii="宋体" w:hAnsi="宋体"/>
          <w:color w:val="auto"/>
          <w:highlight w:val="none"/>
        </w:rPr>
        <w:t>。</w:t>
      </w:r>
    </w:p>
    <w:p w14:paraId="1990CD8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承包人报价浮动率按下列公式计算：承包人报价浮动率=（1-中标价/最高限价）×100%。</w:t>
      </w:r>
    </w:p>
    <w:p w14:paraId="341FE46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（1）人工单价：按开标当期《重庆工程造价信息》发布的项目所在地的人工单价执行。</w:t>
      </w:r>
    </w:p>
    <w:p w14:paraId="3BA6A4B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（2）材料单价：</w:t>
      </w:r>
    </w:p>
    <w:p w14:paraId="2A64C9F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①按开标当期《重庆工程造价信息》发布的项目所在地的信息价执行；</w:t>
      </w:r>
    </w:p>
    <w:p w14:paraId="0305F42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②开标当期《重庆工程造价信息》中没有的，承包人投标报价中有的，按承包人投标报价中相同材料单价的最低值执行；</w:t>
      </w:r>
    </w:p>
    <w:p w14:paraId="7DA6361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③开标当期《重庆工程造价信息》和承包人投标报价没有的，由承包人申报、监理人会同发包人根据市场行情认质核价确定。</w:t>
      </w:r>
    </w:p>
    <w:p w14:paraId="6A23A61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14:paraId="78E67DE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（4）规费：按《重庆市建设工程费用定额》（CQFYDE-2018）费用标准进行计算。</w:t>
      </w:r>
    </w:p>
    <w:p w14:paraId="160EDC2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（5）税金：包含增值税、城市维护建设税、教育费附加、地方教育附加以及环境保护税。其中增值税按《重庆市建设工程费用定额》（CQFYDE-2018）规定及配套文件执行。</w:t>
      </w:r>
    </w:p>
    <w:p w14:paraId="59BD311B">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10.4.1.4已标价工程量清单中无相同项目亦无类似项目，也无定额可套用的，由承包人会同监理人、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发包人共同询价确认的价格执行。</w:t>
      </w:r>
    </w:p>
    <w:p w14:paraId="3B14E7F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本款补充10.4.3项：</w:t>
      </w:r>
    </w:p>
    <w:p w14:paraId="0DC06C1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36A9E35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highlight w:val="none"/>
        </w:rPr>
        <w:t>；</w:t>
      </w:r>
    </w:p>
    <w:p w14:paraId="2A10AC2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u w:val="single"/>
        </w:rPr>
        <w:t>按照单价计算的措施项目费，应按照实际发生变化的措施项目，按照第10.4.1项〔变更估价原则〕约定执行</w:t>
      </w:r>
      <w:r>
        <w:rPr>
          <w:rFonts w:hint="eastAsia" w:ascii="宋体" w:hAnsi="宋体"/>
          <w:color w:val="auto"/>
          <w:highlight w:val="none"/>
        </w:rPr>
        <w:t>；</w:t>
      </w:r>
    </w:p>
    <w:p w14:paraId="3A1BA3D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u w:val="single"/>
        </w:rPr>
        <w:t>按总价（或系数）计算的措施项目费，应按照实际发生变化的措施项目费按承包人报价浮动率下浮后的金额计算</w:t>
      </w:r>
      <w:r>
        <w:rPr>
          <w:rFonts w:hint="eastAsia" w:ascii="宋体" w:hAnsi="宋体"/>
          <w:color w:val="auto"/>
          <w:highlight w:val="none"/>
        </w:rPr>
        <w:t>；</w:t>
      </w:r>
    </w:p>
    <w:p w14:paraId="074CA9B1">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（4）</w:t>
      </w:r>
      <w:r>
        <w:rPr>
          <w:rFonts w:hint="eastAsia" w:ascii="宋体" w:hAnsi="宋体"/>
          <w:color w:val="auto"/>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highlight w:val="none"/>
        </w:rPr>
        <w:t>。</w:t>
      </w:r>
    </w:p>
    <w:p w14:paraId="3D45ACDF">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10.5承包人的合理化建议</w:t>
      </w:r>
    </w:p>
    <w:p w14:paraId="350B69DD">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承包人提出合理化建议的，应向监理人提交合理化建议说明，说明建议的内容和理由，以及实施该建议对合同价格和（或）工期和（或）工程经济效益的影响。</w:t>
      </w:r>
    </w:p>
    <w:p w14:paraId="0FDA22C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监理人审查承包人合理化建议的期限：</w:t>
      </w:r>
      <w:r>
        <w:rPr>
          <w:rFonts w:hint="eastAsia" w:ascii="宋体" w:hAnsi="宋体"/>
          <w:color w:val="auto"/>
          <w:highlight w:val="none"/>
          <w:u w:val="single"/>
        </w:rPr>
        <w:t>不超过14天</w:t>
      </w:r>
      <w:r>
        <w:rPr>
          <w:rFonts w:hint="eastAsia" w:ascii="宋体" w:hAnsi="宋体"/>
          <w:color w:val="auto"/>
          <w:highlight w:val="none"/>
        </w:rPr>
        <w:t>。</w:t>
      </w:r>
    </w:p>
    <w:p w14:paraId="6F94CD4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发包人审批承包人合理化建议的期限：</w:t>
      </w:r>
      <w:r>
        <w:rPr>
          <w:rFonts w:hint="eastAsia" w:ascii="宋体" w:hAnsi="宋体"/>
          <w:color w:val="auto"/>
          <w:highlight w:val="none"/>
          <w:u w:val="single"/>
        </w:rPr>
        <w:t>不超过14天</w:t>
      </w:r>
      <w:r>
        <w:rPr>
          <w:rFonts w:hint="eastAsia" w:ascii="宋体" w:hAnsi="宋体"/>
          <w:color w:val="auto"/>
          <w:highlight w:val="none"/>
        </w:rPr>
        <w:t>。</w:t>
      </w:r>
    </w:p>
    <w:p w14:paraId="47BCBEC8">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承包人提出的合理化建议降低了合同价格或缩短了工期或者提高了工程经济效益的奖励的方法和金额为：</w:t>
      </w:r>
      <w:r>
        <w:rPr>
          <w:rFonts w:hint="eastAsia" w:ascii="宋体" w:hAnsi="宋体"/>
          <w:color w:val="auto"/>
          <w:highlight w:val="none"/>
          <w:u w:val="single"/>
        </w:rPr>
        <w:t>/</w:t>
      </w:r>
      <w:r>
        <w:rPr>
          <w:rFonts w:hint="eastAsia" w:ascii="宋体" w:hAnsi="宋体"/>
          <w:color w:val="auto"/>
          <w:highlight w:val="none"/>
        </w:rPr>
        <w:t>。</w:t>
      </w:r>
    </w:p>
    <w:p w14:paraId="5DE43D9C">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10.7 暂估价</w:t>
      </w:r>
    </w:p>
    <w:p w14:paraId="520D374F">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专业工程暂估价：</w:t>
      </w:r>
      <w:r>
        <w:rPr>
          <w:rFonts w:hint="eastAsia" w:ascii="宋体" w:hAnsi="宋体"/>
          <w:color w:val="auto"/>
          <w:highlight w:val="none"/>
          <w:u w:val="single"/>
        </w:rPr>
        <w:t xml:space="preserve">    /    </w:t>
      </w:r>
      <w:r>
        <w:rPr>
          <w:rFonts w:hint="eastAsia" w:ascii="宋体" w:hAnsi="宋体"/>
          <w:color w:val="auto"/>
          <w:highlight w:val="none"/>
        </w:rPr>
        <w:t>万元。</w:t>
      </w:r>
    </w:p>
    <w:p w14:paraId="74F4FC3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发包人共同审定。审定后根据承包人签订的相关合同（需经监理人、发包人共同确认）约定，由承包人申报，随进度款按与相关单位签订的合同约定一并支付。</w:t>
      </w:r>
    </w:p>
    <w:p w14:paraId="4CB248F2">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单项合同暂估价在国家相关法律法规规定必须招标规模以上的，需依法必须招标的，由承包人、发包人共同招标确定。</w:t>
      </w:r>
    </w:p>
    <w:p w14:paraId="3D453D92">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10.8 暂列金额</w:t>
      </w:r>
    </w:p>
    <w:p w14:paraId="36BD04A6">
      <w:pPr>
        <w:autoSpaceDE w:val="0"/>
        <w:autoSpaceDN w:val="0"/>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合同当事人关于暂列金额使用的约定：</w:t>
      </w:r>
      <w:r>
        <w:rPr>
          <w:rFonts w:hint="eastAsia" w:ascii="宋体" w:hAnsi="宋体"/>
          <w:color w:val="auto"/>
          <w:highlight w:val="none"/>
          <w:u w:val="single"/>
        </w:rPr>
        <w:t xml:space="preserve">        </w:t>
      </w:r>
      <w:r>
        <w:rPr>
          <w:rFonts w:hint="eastAsia" w:ascii="宋体" w:hAnsi="宋体"/>
          <w:color w:val="auto"/>
          <w:highlight w:val="none"/>
        </w:rPr>
        <w:t>。</w:t>
      </w:r>
    </w:p>
    <w:p w14:paraId="5E218A33">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11. 价格调整</w:t>
      </w:r>
    </w:p>
    <w:p w14:paraId="10E5A9C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11.1 市场价格波动引起的调整</w:t>
      </w:r>
    </w:p>
    <w:p w14:paraId="7B5F1995">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市场价格波动是否调整合同价格的约定：</w:t>
      </w:r>
      <w:r>
        <w:rPr>
          <w:rFonts w:hint="eastAsia" w:ascii="宋体" w:hAnsi="宋体"/>
          <w:color w:val="auto"/>
          <w:highlight w:val="none"/>
          <w:u w:val="single"/>
        </w:rPr>
        <w:t>不调整</w:t>
      </w:r>
      <w:r>
        <w:rPr>
          <w:rFonts w:hint="eastAsia" w:ascii="宋体" w:hAnsi="宋体"/>
          <w:color w:val="auto"/>
          <w:highlight w:val="none"/>
        </w:rPr>
        <w:t>。</w:t>
      </w:r>
    </w:p>
    <w:p w14:paraId="78107B77">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11.2 法律变化引起的调整</w:t>
      </w:r>
    </w:p>
    <w:p w14:paraId="63A5FAC6">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1B7215E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本条补充11.3款</w:t>
      </w:r>
    </w:p>
    <w:p w14:paraId="3A8AA8F8">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11.3 严重不平衡报价引起的调整</w:t>
      </w:r>
    </w:p>
    <w:p w14:paraId="723AE2D6">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highlight w:val="none"/>
          <w:u w:val="single"/>
        </w:rPr>
        <w:t>无</w:t>
      </w:r>
      <w:r>
        <w:rPr>
          <w:rFonts w:hint="eastAsia" w:ascii="宋体" w:hAnsi="宋体"/>
          <w:color w:val="auto"/>
          <w:highlight w:val="none"/>
        </w:rPr>
        <w:t>。</w:t>
      </w:r>
    </w:p>
    <w:p w14:paraId="38BE7E6F">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12. 合同价格、计量与支付</w:t>
      </w:r>
    </w:p>
    <w:p w14:paraId="79D1722C">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12.1 合同价格形式</w:t>
      </w:r>
    </w:p>
    <w:p w14:paraId="5F517CDA">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1、单价合同。</w:t>
      </w:r>
    </w:p>
    <w:p w14:paraId="2A289A1C">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综合单价包含的风险范围：</w:t>
      </w:r>
      <w:r>
        <w:rPr>
          <w:rFonts w:hint="eastAsia" w:ascii="宋体" w:hAnsi="宋体"/>
          <w:color w:val="auto"/>
          <w:highlight w:val="none"/>
          <w:u w:val="single"/>
        </w:rPr>
        <w:t>包括但不限于为实施和完成合同工程所需的人工费、材料费、施工机具使用费、企业管理费、利润、风险费、施工技术措施项目费、施工组织措施项目费及缺陷修复等费用，以及第11.1款〔市场价格波动引起的调整〕约定范围内的市场价格波动风险、政策性文件规定的各项应有费用、竞选文件和合同明示或暗示的应由承包人承担的所有责任、义务和风险等所需的费用</w:t>
      </w:r>
      <w:r>
        <w:rPr>
          <w:rFonts w:hint="eastAsia" w:ascii="宋体" w:hAnsi="宋体"/>
          <w:color w:val="auto"/>
          <w:highlight w:val="none"/>
        </w:rPr>
        <w:t>。</w:t>
      </w:r>
    </w:p>
    <w:p w14:paraId="5F6FAEA6">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风险费用的计算方法：</w:t>
      </w:r>
      <w:r>
        <w:rPr>
          <w:rFonts w:hint="eastAsia" w:ascii="宋体" w:hAnsi="宋体"/>
          <w:color w:val="auto"/>
          <w:highlight w:val="none"/>
          <w:u w:val="single"/>
        </w:rPr>
        <w:t>由承包人自行考虑并计入签约合同价格中，包干使用</w:t>
      </w:r>
      <w:r>
        <w:rPr>
          <w:rFonts w:hint="eastAsia" w:ascii="宋体" w:hAnsi="宋体"/>
          <w:color w:val="auto"/>
          <w:highlight w:val="none"/>
        </w:rPr>
        <w:t>。</w:t>
      </w:r>
    </w:p>
    <w:p w14:paraId="2F3C80D3">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风险范围以外合同价格的调整方法：</w:t>
      </w:r>
      <w:r>
        <w:rPr>
          <w:rFonts w:hint="eastAsia" w:ascii="宋体" w:hAnsi="宋体"/>
          <w:color w:val="auto"/>
          <w:highlight w:val="none"/>
          <w:u w:val="single"/>
        </w:rPr>
        <w:t>按照合同相关条款约定执行</w:t>
      </w:r>
      <w:r>
        <w:rPr>
          <w:rFonts w:hint="eastAsia" w:ascii="宋体" w:hAnsi="宋体"/>
          <w:color w:val="auto"/>
          <w:highlight w:val="none"/>
        </w:rPr>
        <w:t>。</w:t>
      </w:r>
    </w:p>
    <w:p w14:paraId="414C93F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2、总价合同。</w:t>
      </w:r>
    </w:p>
    <w:p w14:paraId="4B3FA993">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总价包含的风险范围：</w:t>
      </w:r>
      <w:r>
        <w:rPr>
          <w:rFonts w:hint="eastAsia" w:ascii="宋体" w:hAnsi="宋体"/>
          <w:color w:val="auto"/>
          <w:highlight w:val="none"/>
          <w:u w:val="single"/>
        </w:rPr>
        <w:t>包括但不限于为实施和完成合同工程所需的人工费、材料费、施工机具使用费、企业管理费、利润、风险费、施工技术措施项目费、施工组织措施项目费、总承包服务费、环境附属工程的配合费、智慧工地费用、规费和税金及缺陷修复等费用，以及第11.1款〔市场价格波动引起的调整〕约定范围内的市场价格波动风险、政策性文件规定的各项应有费用、竞选文件和合同明示或暗示的应由承包人承担的所有责任、义务和风险等所需的费用</w:t>
      </w:r>
      <w:r>
        <w:rPr>
          <w:rFonts w:hint="eastAsia" w:ascii="宋体" w:hAnsi="宋体"/>
          <w:color w:val="auto"/>
          <w:highlight w:val="none"/>
        </w:rPr>
        <w:t>。</w:t>
      </w:r>
    </w:p>
    <w:p w14:paraId="4CCB8EF2">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风险费用的计算方法：</w:t>
      </w:r>
      <w:r>
        <w:rPr>
          <w:rFonts w:hint="eastAsia" w:ascii="宋体" w:hAnsi="宋体"/>
          <w:color w:val="auto"/>
          <w:highlight w:val="none"/>
          <w:u w:val="single"/>
        </w:rPr>
        <w:t>由承包人自行考虑并计入签约合同价格中，包干使用</w:t>
      </w:r>
      <w:r>
        <w:rPr>
          <w:rFonts w:hint="eastAsia" w:ascii="宋体" w:hAnsi="宋体"/>
          <w:color w:val="auto"/>
          <w:highlight w:val="none"/>
        </w:rPr>
        <w:t>。</w:t>
      </w:r>
    </w:p>
    <w:p w14:paraId="4E24541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风险范围以外合同价格的调整方法：</w:t>
      </w:r>
      <w:r>
        <w:rPr>
          <w:rFonts w:hint="eastAsia" w:ascii="宋体" w:hAnsi="宋体"/>
          <w:color w:val="auto"/>
          <w:highlight w:val="none"/>
          <w:u w:val="single"/>
        </w:rPr>
        <w:t>按照合同相关条款约定执行</w:t>
      </w:r>
      <w:r>
        <w:rPr>
          <w:rFonts w:hint="eastAsia" w:ascii="宋体" w:hAnsi="宋体"/>
          <w:color w:val="auto"/>
          <w:highlight w:val="none"/>
        </w:rPr>
        <w:t>。</w:t>
      </w:r>
    </w:p>
    <w:p w14:paraId="708B97F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3、其他价格方式：</w:t>
      </w:r>
      <w:r>
        <w:rPr>
          <w:rFonts w:hint="eastAsia" w:ascii="宋体" w:hAnsi="宋体"/>
          <w:color w:val="auto"/>
          <w:highlight w:val="none"/>
          <w:u w:val="single"/>
        </w:rPr>
        <w:t>不采用</w:t>
      </w:r>
      <w:r>
        <w:rPr>
          <w:rFonts w:hint="eastAsia" w:ascii="宋体" w:hAnsi="宋体"/>
          <w:color w:val="auto"/>
          <w:highlight w:val="none"/>
        </w:rPr>
        <w:t>。</w:t>
      </w:r>
    </w:p>
    <w:p w14:paraId="3914119C">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12.2 预付款</w:t>
      </w:r>
    </w:p>
    <w:p w14:paraId="58BF89B2">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12.2.1 预付款的支付</w:t>
      </w:r>
    </w:p>
    <w:p w14:paraId="5A1957C6">
      <w:pPr>
        <w:spacing w:line="360" w:lineRule="auto"/>
        <w:ind w:firstLine="420" w:firstLineChars="200"/>
        <w:jc w:val="left"/>
        <w:rPr>
          <w:rFonts w:hint="eastAsia"/>
          <w:color w:val="auto"/>
          <w:highlight w:val="none"/>
        </w:rPr>
      </w:pPr>
      <w:r>
        <w:rPr>
          <w:rFonts w:hint="eastAsia" w:ascii="宋体" w:hAnsi="宋体"/>
          <w:color w:val="auto"/>
          <w:highlight w:val="none"/>
        </w:rPr>
        <w:t>预付款支付比例或金额：</w:t>
      </w:r>
      <w:r>
        <w:rPr>
          <w:rFonts w:hint="eastAsia" w:ascii="宋体" w:hAnsi="宋体"/>
          <w:color w:val="auto"/>
          <w:highlight w:val="none"/>
          <w:u w:val="single"/>
        </w:rPr>
        <w:t>无</w:t>
      </w:r>
      <w:r>
        <w:rPr>
          <w:rFonts w:hint="eastAsia" w:ascii="宋体" w:hAnsi="宋体"/>
          <w:color w:val="auto"/>
          <w:highlight w:val="none"/>
        </w:rPr>
        <w:t>。</w:t>
      </w:r>
    </w:p>
    <w:p w14:paraId="4138E6D5">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12.3 计量</w:t>
      </w:r>
    </w:p>
    <w:p w14:paraId="01523703">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12.3.1 计量原则</w:t>
      </w:r>
    </w:p>
    <w:p w14:paraId="73CBF05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p w14:paraId="35A0F38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12.3.2 计量周期</w:t>
      </w:r>
    </w:p>
    <w:p w14:paraId="15F71AA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关于计量周期的约定：</w:t>
      </w:r>
      <w:r>
        <w:rPr>
          <w:rFonts w:hint="eastAsia" w:ascii="宋体" w:hAnsi="宋体"/>
          <w:color w:val="auto"/>
          <w:highlight w:val="none"/>
          <w:u w:val="single"/>
        </w:rPr>
        <w:t>按月计量根据具体项目实际情况可以按月、按进度、按节点等形式计量，按进度、按节点计量的参考按月计量原则执行）</w:t>
      </w:r>
      <w:r>
        <w:rPr>
          <w:rFonts w:hint="eastAsia" w:ascii="宋体" w:hAnsi="宋体"/>
          <w:color w:val="auto"/>
          <w:highlight w:val="none"/>
        </w:rPr>
        <w:t>。</w:t>
      </w:r>
    </w:p>
    <w:p w14:paraId="7D31D0B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12.3.3 单价合同的计量</w:t>
      </w:r>
    </w:p>
    <w:p w14:paraId="6803B75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关于单价合同计量的约定：</w:t>
      </w:r>
    </w:p>
    <w:p w14:paraId="2158F14E">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（1）承包人应于当月25日前向监理人报送上月已完成的工程量，并附进度付款申请单、已完成工程量报表和其他有关资料</w:t>
      </w:r>
      <w:r>
        <w:rPr>
          <w:rFonts w:hint="eastAsia" w:ascii="宋体" w:hAnsi="宋体"/>
          <w:color w:val="auto"/>
          <w:highlight w:val="none"/>
        </w:rPr>
        <w:t>。</w:t>
      </w:r>
    </w:p>
    <w:p w14:paraId="135A5F15">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highlight w:val="none"/>
        </w:rPr>
        <w:t>。</w:t>
      </w:r>
    </w:p>
    <w:p w14:paraId="10D6B950">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发包人任一方对工程量有异议的，均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highlight w:val="none"/>
        </w:rPr>
        <w:t>。</w:t>
      </w:r>
    </w:p>
    <w:p w14:paraId="66A09259">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highlight w:val="none"/>
        </w:rPr>
        <w:t>。</w:t>
      </w:r>
    </w:p>
    <w:p w14:paraId="7826FD3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12.3.4 总价合同的计量</w:t>
      </w:r>
    </w:p>
    <w:p w14:paraId="6CAF885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关于总价合同计量的约定：</w:t>
      </w:r>
      <w:r>
        <w:rPr>
          <w:rFonts w:hint="eastAsia" w:ascii="宋体" w:hAnsi="宋体"/>
          <w:color w:val="auto"/>
          <w:highlight w:val="none"/>
          <w:u w:val="single"/>
        </w:rPr>
        <w:t>按形象进度比例支付</w:t>
      </w:r>
      <w:r>
        <w:rPr>
          <w:rFonts w:hint="eastAsia" w:ascii="宋体" w:hAnsi="宋体"/>
          <w:color w:val="auto"/>
          <w:highlight w:val="none"/>
        </w:rPr>
        <w:t>。</w:t>
      </w:r>
    </w:p>
    <w:p w14:paraId="11452CB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12.3.5总价合同采用支付分解表计量支付的，是否适用第12.3.4项〔总价合同的计量〕约定进行计量：</w:t>
      </w:r>
      <w:r>
        <w:rPr>
          <w:rFonts w:hint="eastAsia" w:ascii="宋体" w:hAnsi="宋体"/>
          <w:color w:val="auto"/>
          <w:highlight w:val="none"/>
          <w:u w:val="single"/>
        </w:rPr>
        <w:t>适用</w:t>
      </w:r>
      <w:r>
        <w:rPr>
          <w:rFonts w:hint="eastAsia" w:ascii="宋体" w:hAnsi="宋体"/>
          <w:color w:val="auto"/>
          <w:highlight w:val="none"/>
        </w:rPr>
        <w:t>。</w:t>
      </w:r>
    </w:p>
    <w:p w14:paraId="50DFFEF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12.3.6 其他价格形式合同的计量</w:t>
      </w:r>
    </w:p>
    <w:p w14:paraId="61DA83F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其他价格形式的计量方式和程序：</w:t>
      </w:r>
      <w:r>
        <w:rPr>
          <w:rFonts w:hint="eastAsia" w:ascii="宋体" w:hAnsi="宋体"/>
          <w:color w:val="auto"/>
          <w:highlight w:val="none"/>
          <w:u w:val="single"/>
        </w:rPr>
        <w:t>不采用</w:t>
      </w:r>
      <w:r>
        <w:rPr>
          <w:rFonts w:hint="eastAsia" w:ascii="宋体" w:hAnsi="宋体"/>
          <w:color w:val="auto"/>
          <w:highlight w:val="none"/>
        </w:rPr>
        <w:t>。</w:t>
      </w:r>
    </w:p>
    <w:p w14:paraId="51DFD18E">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12.4 工程进度款支付</w:t>
      </w:r>
    </w:p>
    <w:p w14:paraId="67282F37">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12.4.1 付款周期</w:t>
      </w:r>
    </w:p>
    <w:p w14:paraId="478A628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关于付款周期的约定：</w:t>
      </w:r>
      <w:r>
        <w:rPr>
          <w:rFonts w:hint="eastAsia" w:ascii="宋体" w:hAnsi="宋体"/>
          <w:color w:val="auto"/>
          <w:highlight w:val="none"/>
          <w:u w:val="single"/>
        </w:rPr>
        <w:t>按进度款支付</w:t>
      </w:r>
      <w:r>
        <w:rPr>
          <w:rFonts w:hint="eastAsia" w:ascii="宋体" w:hAnsi="宋体"/>
          <w:color w:val="auto"/>
          <w:highlight w:val="none"/>
        </w:rPr>
        <w:t>。</w:t>
      </w:r>
    </w:p>
    <w:p w14:paraId="2882E9C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12.4.2 进度付款申请单的编制</w:t>
      </w:r>
    </w:p>
    <w:p w14:paraId="1EEC4D7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进度付款申请单应包括下列内容：</w:t>
      </w:r>
    </w:p>
    <w:p w14:paraId="5ADC376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（1）截至本次付款周期已完成工作对应的金额</w:t>
      </w:r>
      <w:r>
        <w:rPr>
          <w:rFonts w:hint="eastAsia" w:ascii="宋体" w:hAnsi="宋体"/>
          <w:color w:val="auto"/>
          <w:highlight w:val="none"/>
        </w:rPr>
        <w:t>；</w:t>
      </w:r>
    </w:p>
    <w:p w14:paraId="72B7204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（2）根据第10条〔变更〕应增加和扣减的已审定变更金额</w:t>
      </w:r>
      <w:r>
        <w:rPr>
          <w:rFonts w:hint="eastAsia" w:ascii="宋体" w:hAnsi="宋体"/>
          <w:color w:val="auto"/>
          <w:highlight w:val="none"/>
        </w:rPr>
        <w:t>；</w:t>
      </w:r>
    </w:p>
    <w:p w14:paraId="368E10B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（3）根据第12.2款〔预付款〕约定应支付的预付款和扣减的返还预付款</w:t>
      </w:r>
      <w:r>
        <w:rPr>
          <w:rFonts w:hint="eastAsia" w:ascii="宋体" w:hAnsi="宋体"/>
          <w:color w:val="auto"/>
          <w:highlight w:val="none"/>
        </w:rPr>
        <w:t>；</w:t>
      </w:r>
    </w:p>
    <w:p w14:paraId="0108706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（4）根据第15.3款〔质量保证金〕约定应扣减的质量保证金</w:t>
      </w:r>
      <w:r>
        <w:rPr>
          <w:rFonts w:hint="eastAsia" w:ascii="宋体" w:hAnsi="宋体"/>
          <w:color w:val="auto"/>
          <w:highlight w:val="none"/>
        </w:rPr>
        <w:t>；</w:t>
      </w:r>
    </w:p>
    <w:p w14:paraId="7CAED29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（5）根据第19条〔索赔〕应增加和扣减的已审定索赔金额</w:t>
      </w:r>
      <w:r>
        <w:rPr>
          <w:rFonts w:hint="eastAsia" w:ascii="宋体" w:hAnsi="宋体"/>
          <w:color w:val="auto"/>
          <w:highlight w:val="none"/>
        </w:rPr>
        <w:t>；</w:t>
      </w:r>
    </w:p>
    <w:p w14:paraId="40BD9E9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（6）根据第11条〔价格调整〕应增加和扣减的价格调整金额</w:t>
      </w:r>
      <w:r>
        <w:rPr>
          <w:rFonts w:hint="eastAsia" w:ascii="宋体" w:hAnsi="宋体"/>
          <w:color w:val="auto"/>
          <w:highlight w:val="none"/>
        </w:rPr>
        <w:t>；</w:t>
      </w:r>
    </w:p>
    <w:p w14:paraId="3652F4E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（7）对已签发的进度款支付证书中出现错误的修正，应在本次进度付款中支付或扣除的金额</w:t>
      </w:r>
      <w:r>
        <w:rPr>
          <w:rFonts w:hint="eastAsia" w:ascii="宋体" w:hAnsi="宋体"/>
          <w:color w:val="auto"/>
          <w:highlight w:val="none"/>
        </w:rPr>
        <w:t>；</w:t>
      </w:r>
    </w:p>
    <w:p w14:paraId="69E1FFB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（8）根据合同约定承包人应向发包人支付的违约金</w:t>
      </w:r>
      <w:r>
        <w:rPr>
          <w:rFonts w:hint="eastAsia" w:ascii="宋体" w:hAnsi="宋体"/>
          <w:color w:val="auto"/>
          <w:highlight w:val="none"/>
        </w:rPr>
        <w:t>；</w:t>
      </w:r>
    </w:p>
    <w:p w14:paraId="7E0683F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（9）根据合同约定发包人应向承包人支付的违约金和（或）奖励</w:t>
      </w:r>
      <w:r>
        <w:rPr>
          <w:rFonts w:hint="eastAsia" w:ascii="宋体" w:hAnsi="宋体"/>
          <w:color w:val="auto"/>
          <w:highlight w:val="none"/>
        </w:rPr>
        <w:t>；</w:t>
      </w:r>
    </w:p>
    <w:p w14:paraId="63A294C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（10）根据合同约定应增加和扣减的其他金额</w:t>
      </w:r>
      <w:r>
        <w:rPr>
          <w:rFonts w:hint="eastAsia" w:ascii="宋体" w:hAnsi="宋体"/>
          <w:color w:val="auto"/>
          <w:highlight w:val="none"/>
        </w:rPr>
        <w:t>；</w:t>
      </w:r>
    </w:p>
    <w:p w14:paraId="1ADBF1CB">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（11）当月应支付的人工费（工资款）金额</w:t>
      </w:r>
      <w:r>
        <w:rPr>
          <w:rFonts w:hint="eastAsia" w:ascii="宋体" w:hAnsi="宋体"/>
          <w:color w:val="auto"/>
          <w:highlight w:val="none"/>
        </w:rPr>
        <w:t>。</w:t>
      </w:r>
    </w:p>
    <w:p w14:paraId="37B563A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12.4.3 进度付款申请单的提交</w:t>
      </w:r>
    </w:p>
    <w:p w14:paraId="210A711A">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（1）单价合同进度付款申请单提交的约定：</w:t>
      </w:r>
      <w:r>
        <w:rPr>
          <w:rFonts w:hint="eastAsia" w:ascii="宋体" w:hAnsi="宋体"/>
          <w:color w:val="auto"/>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color w:val="auto"/>
          <w:highlight w:val="none"/>
        </w:rPr>
        <w:t>。</w:t>
      </w:r>
    </w:p>
    <w:p w14:paraId="5FE4CA46">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（2）总价合同进度付款申请单提交的约定：</w:t>
      </w:r>
      <w:r>
        <w:rPr>
          <w:rFonts w:hint="eastAsia" w:ascii="宋体" w:hAnsi="宋体"/>
          <w:color w:val="auto"/>
          <w:highlight w:val="none"/>
          <w:u w:val="single"/>
        </w:rPr>
        <w:t>按照合同约定的形象进度的计量约定的时间向监理人提交，并附上已完成工程量报表、经审核的农民工工资发放的情况说明及有关资料</w:t>
      </w:r>
      <w:r>
        <w:rPr>
          <w:rFonts w:hint="eastAsia" w:ascii="宋体" w:hAnsi="宋体"/>
          <w:color w:val="auto"/>
          <w:highlight w:val="none"/>
        </w:rPr>
        <w:t>。</w:t>
      </w:r>
    </w:p>
    <w:p w14:paraId="05D1A9A9">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（3）其他价格形式合同进度付款申请单提交的约定：</w:t>
      </w:r>
      <w:r>
        <w:rPr>
          <w:rFonts w:hint="eastAsia" w:ascii="宋体" w:hAnsi="宋体"/>
          <w:color w:val="auto"/>
          <w:highlight w:val="none"/>
          <w:u w:val="single"/>
        </w:rPr>
        <w:t>不采用</w:t>
      </w:r>
      <w:r>
        <w:rPr>
          <w:rFonts w:hint="eastAsia" w:ascii="宋体" w:hAnsi="宋体"/>
          <w:color w:val="auto"/>
          <w:highlight w:val="none"/>
        </w:rPr>
        <w:t>。</w:t>
      </w:r>
    </w:p>
    <w:p w14:paraId="57A5649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12.4.4 进度款审核和支付</w:t>
      </w:r>
    </w:p>
    <w:p w14:paraId="4ECE4F89">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（1）监理人审查并报送发包人的期限：</w:t>
      </w:r>
      <w:r>
        <w:rPr>
          <w:rFonts w:hint="eastAsia" w:ascii="宋体" w:hAnsi="宋体"/>
          <w:color w:val="auto"/>
          <w:highlight w:val="none"/>
          <w:u w:val="single"/>
        </w:rPr>
        <w:t>收到完整资料后7天内</w:t>
      </w:r>
      <w:r>
        <w:rPr>
          <w:rFonts w:hint="eastAsia" w:ascii="宋体" w:hAnsi="宋体"/>
          <w:color w:val="auto"/>
          <w:highlight w:val="none"/>
        </w:rPr>
        <w:t>。</w:t>
      </w:r>
    </w:p>
    <w:p w14:paraId="3827A9F2">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发包人完成审批并签发进度款支付证书的期限：</w:t>
      </w:r>
      <w:r>
        <w:rPr>
          <w:rFonts w:hint="eastAsia" w:ascii="宋体" w:hAnsi="宋体"/>
          <w:color w:val="auto"/>
          <w:highlight w:val="none"/>
          <w:u w:val="single"/>
        </w:rPr>
        <w:t>发包人收到监理人报送资料后7天内完成审批并签发进度款支付证书</w:t>
      </w:r>
      <w:r>
        <w:rPr>
          <w:rFonts w:hint="eastAsia" w:ascii="宋体" w:hAnsi="宋体"/>
          <w:color w:val="auto"/>
          <w:highlight w:val="none"/>
        </w:rPr>
        <w:t>。</w:t>
      </w:r>
    </w:p>
    <w:p w14:paraId="7A3AFDCD">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监理人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1B9C87D3">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发包人签发进度款支付证书或临时进度款支付证书，不表明发包人已同意、批准或接受了承包人完成的相应部分的工作。</w:t>
      </w:r>
    </w:p>
    <w:p w14:paraId="218352F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（2）进度款支付：</w:t>
      </w:r>
    </w:p>
    <w:p w14:paraId="04F4E2D2">
      <w:pPr>
        <w:spacing w:line="390" w:lineRule="exact"/>
        <w:ind w:firstLine="420" w:firstLineChars="200"/>
        <w:jc w:val="left"/>
        <w:rPr>
          <w:rFonts w:ascii="宋体" w:hAnsi="宋体"/>
          <w:color w:val="auto"/>
          <w:highlight w:val="none"/>
        </w:rPr>
      </w:pPr>
      <w:r>
        <w:rPr>
          <w:rFonts w:hint="eastAsia" w:ascii="宋体" w:hAnsi="宋体"/>
          <w:color w:val="auto"/>
          <w:highlight w:val="none"/>
        </w:rPr>
        <w:t>工程款支付方式：不支付工程预付款。</w:t>
      </w:r>
    </w:p>
    <w:p w14:paraId="0B1580E5">
      <w:pPr>
        <w:rPr>
          <w:rFonts w:hint="eastAsia"/>
          <w:color w:val="auto"/>
          <w:highlight w:val="none"/>
        </w:rPr>
      </w:pPr>
      <w:r>
        <w:rPr>
          <w:rFonts w:hint="eastAsia" w:ascii="宋体" w:hAnsi="宋体"/>
          <w:color w:val="auto"/>
          <w:highlight w:val="none"/>
        </w:rPr>
        <w:t>工程竣工验收合格后，甲方聘请有资质的审计单位出具审计报告后，甲方支付至审定金额的</w:t>
      </w:r>
      <w:r>
        <w:rPr>
          <w:rFonts w:hint="eastAsia" w:ascii="宋体" w:hAnsi="宋体"/>
          <w:color w:val="auto"/>
          <w:highlight w:val="none"/>
          <w:lang w:val="en-US" w:eastAsia="zh-CN"/>
        </w:rPr>
        <w:t>97</w:t>
      </w:r>
      <w:r>
        <w:rPr>
          <w:rFonts w:hint="eastAsia" w:ascii="宋体" w:hAnsi="宋体"/>
          <w:color w:val="auto"/>
          <w:highlight w:val="none"/>
        </w:rPr>
        <w:t>%</w:t>
      </w:r>
      <w:r>
        <w:rPr>
          <w:rFonts w:hint="eastAsia" w:ascii="宋体" w:hAnsi="宋体"/>
          <w:color w:val="auto"/>
          <w:highlight w:val="none"/>
          <w:lang w:eastAsia="zh-CN"/>
        </w:rPr>
        <w:t>，</w:t>
      </w:r>
      <w:r>
        <w:rPr>
          <w:rFonts w:hint="eastAsia" w:ascii="宋体" w:hAnsi="宋体"/>
          <w:color w:val="auto"/>
          <w:highlight w:val="none"/>
          <w:lang w:val="en-US" w:eastAsia="zh-CN"/>
        </w:rPr>
        <w:t>剩余3%待缺陷责任期到期后无息支付</w:t>
      </w:r>
      <w:r>
        <w:rPr>
          <w:rFonts w:hint="eastAsia" w:ascii="宋体" w:hAnsi="宋体"/>
          <w:color w:val="auto"/>
          <w:highlight w:val="none"/>
        </w:rPr>
        <w:t>。</w:t>
      </w:r>
    </w:p>
    <w:p w14:paraId="3A3255EA">
      <w:pPr>
        <w:pStyle w:val="8"/>
        <w:spacing w:before="0" w:beforeAutospacing="0" w:after="0" w:afterAutospacing="0" w:line="360" w:lineRule="auto"/>
        <w:ind w:firstLine="400" w:firstLineChars="200"/>
        <w:rPr>
          <w:rFonts w:hint="eastAsia" w:cs="Times New Roman"/>
          <w:b w:val="0"/>
          <w:bCs w:val="0"/>
          <w:color w:val="auto"/>
          <w:highlight w:val="none"/>
        </w:rPr>
      </w:pPr>
      <w:r>
        <w:rPr>
          <w:rFonts w:hint="eastAsia" w:cs="Times New Roman"/>
          <w:b w:val="0"/>
          <w:bCs w:val="0"/>
          <w:color w:val="auto"/>
          <w:highlight w:val="none"/>
        </w:rPr>
        <w:t xml:space="preserve"> 6.本工程最终结算金额以相关的审核单位审定的金额为准。</w:t>
      </w:r>
    </w:p>
    <w:p w14:paraId="0C357B66">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12.5支付账户</w:t>
      </w:r>
    </w:p>
    <w:p w14:paraId="05896E37">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发包人应将合同价款支付至如下承包人指定的开户银行及银行账户：</w:t>
      </w:r>
    </w:p>
    <w:p w14:paraId="532416FA">
      <w:pPr>
        <w:spacing w:line="360" w:lineRule="auto"/>
        <w:ind w:firstLine="420" w:firstLineChars="200"/>
        <w:jc w:val="left"/>
        <w:rPr>
          <w:rFonts w:hint="eastAsia" w:ascii="宋体" w:hAnsi="宋体"/>
          <w:color w:val="auto"/>
          <w:kern w:val="0"/>
          <w:highlight w:val="none"/>
          <w:u w:val="single"/>
        </w:rPr>
      </w:pPr>
      <w:r>
        <w:rPr>
          <w:rFonts w:hint="eastAsia" w:ascii="宋体" w:hAnsi="宋体"/>
          <w:color w:val="auto"/>
          <w:kern w:val="0"/>
          <w:highlight w:val="none"/>
        </w:rPr>
        <w:t>收款单位名称：</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48354BBE">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收款账号：</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7EABCA67">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收款开户银行：</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2CEB5056">
      <w:pPr>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发包人应按行业主管部门的相关规定将人工费（工资款）支付至承包人指定的农民工工资专用账户。</w:t>
      </w:r>
    </w:p>
    <w:p w14:paraId="5D894987">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13. 验收和工程试车</w:t>
      </w:r>
    </w:p>
    <w:p w14:paraId="2904DEBE">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13.1 分部分项工程验收</w:t>
      </w:r>
    </w:p>
    <w:p w14:paraId="6F417D86">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13.1.2 监理人不能按时进行验收时，应提前</w:t>
      </w:r>
      <w:r>
        <w:rPr>
          <w:rFonts w:hint="eastAsia" w:ascii="宋体" w:hAnsi="宋体"/>
          <w:color w:val="auto"/>
          <w:highlight w:val="none"/>
          <w:u w:val="single"/>
        </w:rPr>
        <w:t>24</w:t>
      </w:r>
      <w:r>
        <w:rPr>
          <w:rFonts w:hint="eastAsia" w:ascii="宋体" w:hAnsi="宋体"/>
          <w:color w:val="auto"/>
          <w:highlight w:val="none"/>
        </w:rPr>
        <w:t>小时提交书面延期要求。</w:t>
      </w:r>
    </w:p>
    <w:p w14:paraId="0A753A4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关于延期最长不得超过：</w:t>
      </w:r>
      <w:r>
        <w:rPr>
          <w:rFonts w:hint="eastAsia" w:ascii="宋体" w:hAnsi="宋体"/>
          <w:color w:val="auto"/>
          <w:highlight w:val="none"/>
          <w:u w:val="single"/>
        </w:rPr>
        <w:t>48</w:t>
      </w:r>
      <w:r>
        <w:rPr>
          <w:rFonts w:hint="eastAsia" w:ascii="宋体" w:hAnsi="宋体"/>
          <w:color w:val="auto"/>
          <w:highlight w:val="none"/>
        </w:rPr>
        <w:t>小时。</w:t>
      </w:r>
    </w:p>
    <w:p w14:paraId="50A2DC79">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13.2 竣工验收</w:t>
      </w:r>
    </w:p>
    <w:p w14:paraId="0B619B84">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13.2.2竣工验收程序</w:t>
      </w:r>
    </w:p>
    <w:p w14:paraId="285B7586">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关于竣工验收程序的约定：工程完工且符合下列条件时，承包人可向发包人提供竣工报告，并要求验收：</w:t>
      </w:r>
    </w:p>
    <w:p w14:paraId="4FA51BD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（1）除发包人同意的甩项工作和缺陷修补工作外，合同范围内的全部工程以及有关工作，包括合同要求的试验、试运行以及检验均已完成，并符合合同要求；</w:t>
      </w:r>
    </w:p>
    <w:p w14:paraId="3CF7481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（2）已按合同约定编制了甩项工作和缺陷修补工作清单以及相应的施工计划；</w:t>
      </w:r>
    </w:p>
    <w:p w14:paraId="4D617DF5">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（3）已按合同约定的内容和份数备齐竣工资料。</w:t>
      </w:r>
    </w:p>
    <w:p w14:paraId="6D482DDE">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（4）</w:t>
      </w:r>
      <w:r>
        <w:rPr>
          <w:rFonts w:hint="eastAsia" w:ascii="宋体" w:hAnsi="宋体"/>
          <w:color w:val="auto"/>
          <w:highlight w:val="none"/>
          <w:u w:val="single"/>
        </w:rPr>
        <w:t xml:space="preserve">        </w:t>
      </w:r>
      <w:r>
        <w:rPr>
          <w:rFonts w:hint="eastAsia" w:ascii="宋体" w:hAnsi="宋体"/>
          <w:color w:val="auto"/>
          <w:highlight w:val="none"/>
        </w:rPr>
        <w:t>。</w:t>
      </w:r>
    </w:p>
    <w:p w14:paraId="2C9B8E51">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工程竣工及竣工资料：</w:t>
      </w:r>
    </w:p>
    <w:p w14:paraId="190C191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highlight w:val="none"/>
        </w:rPr>
        <w:t>。</w:t>
      </w:r>
    </w:p>
    <w:p w14:paraId="19508C25">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highlight w:val="none"/>
        </w:rPr>
        <w:t>。</w:t>
      </w:r>
    </w:p>
    <w:p w14:paraId="0074C6D6">
      <w:pPr>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rPr>
        <w:t>（3）承包人提供竣工资料的约定：</w:t>
      </w:r>
      <w:r>
        <w:rPr>
          <w:rFonts w:hint="eastAsia" w:ascii="宋体" w:hAnsi="宋体"/>
          <w:color w:val="auto"/>
          <w:highlight w:val="none"/>
          <w:u w:val="single"/>
        </w:rPr>
        <w:t>承包人提供纸质版竣工图三套，电子版竣工图二套（刻光盘）</w:t>
      </w:r>
      <w:r>
        <w:rPr>
          <w:rFonts w:hint="eastAsia" w:ascii="宋体" w:hAnsi="宋体"/>
          <w:color w:val="auto"/>
          <w:highlight w:val="none"/>
        </w:rPr>
        <w:t>。</w:t>
      </w:r>
    </w:p>
    <w:p w14:paraId="534288D4">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13.2.5 移交、接收全部与部分工程</w:t>
      </w:r>
    </w:p>
    <w:p w14:paraId="61B3CE9B">
      <w:pPr>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rPr>
        <w:t>承包人向发包人移交工程的期限：</w:t>
      </w:r>
      <w:r>
        <w:rPr>
          <w:rFonts w:hint="eastAsia" w:ascii="宋体" w:hAnsi="宋体"/>
          <w:color w:val="auto"/>
          <w:highlight w:val="none"/>
          <w:u w:val="single"/>
        </w:rPr>
        <w:t>颁发工程接收证书后7天内完成工程的移交</w:t>
      </w:r>
      <w:r>
        <w:rPr>
          <w:rFonts w:hint="eastAsia" w:ascii="宋体" w:hAnsi="宋体"/>
          <w:color w:val="auto"/>
          <w:highlight w:val="none"/>
        </w:rPr>
        <w:t>。</w:t>
      </w:r>
    </w:p>
    <w:p w14:paraId="5C89146B">
      <w:pPr>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u w:val="single"/>
        </w:rPr>
        <w:t>发包人未按合同约定接收全部或部分工程的，违约金的计算方法为：发包人自应当接收工程之日起承担工程照管、成品保护、保管等与工程有关的各项费用。</w:t>
      </w:r>
    </w:p>
    <w:p w14:paraId="43B5245C">
      <w:pPr>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rPr>
        <w:t>因承包人自身原因未按时移交工程的，违约金的计算方法为：</w:t>
      </w:r>
      <w:r>
        <w:rPr>
          <w:rFonts w:hint="eastAsia" w:ascii="宋体" w:hAnsi="宋体"/>
          <w:color w:val="auto"/>
          <w:highlight w:val="none"/>
          <w:u w:val="single"/>
        </w:rPr>
        <w:t>承包人应承担工程照管、成品保护、保管等与工程有关的各项费用，并按经审定结算金额的0.5‰/天支付违约金</w:t>
      </w:r>
      <w:r>
        <w:rPr>
          <w:rFonts w:hint="eastAsia" w:ascii="宋体" w:hAnsi="宋体"/>
          <w:color w:val="auto"/>
          <w:highlight w:val="none"/>
        </w:rPr>
        <w:t>。</w:t>
      </w:r>
    </w:p>
    <w:p w14:paraId="26C220F4">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13.3 工程试车</w:t>
      </w:r>
    </w:p>
    <w:p w14:paraId="02915BA3">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13.3.1 试车程序</w:t>
      </w:r>
    </w:p>
    <w:p w14:paraId="53E2F295">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工程试车内容：</w:t>
      </w:r>
      <w:r>
        <w:rPr>
          <w:rFonts w:hint="eastAsia" w:ascii="宋体" w:hAnsi="宋体"/>
          <w:color w:val="auto"/>
          <w:highlight w:val="none"/>
          <w:u w:val="single"/>
        </w:rPr>
        <w:t>按通用合同条款执行</w:t>
      </w:r>
      <w:r>
        <w:rPr>
          <w:rFonts w:hint="eastAsia" w:ascii="宋体" w:hAnsi="宋体"/>
          <w:color w:val="auto"/>
          <w:highlight w:val="none"/>
        </w:rPr>
        <w:t>。</w:t>
      </w:r>
    </w:p>
    <w:p w14:paraId="4FACCE3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（1）单机无负荷试车费用由</w:t>
      </w:r>
      <w:r>
        <w:rPr>
          <w:rFonts w:hint="eastAsia" w:ascii="宋体" w:hAnsi="宋体"/>
          <w:color w:val="auto"/>
          <w:highlight w:val="none"/>
          <w:u w:val="single"/>
        </w:rPr>
        <w:t>承包人</w:t>
      </w:r>
      <w:r>
        <w:rPr>
          <w:rFonts w:hint="eastAsia" w:ascii="宋体" w:hAnsi="宋体"/>
          <w:color w:val="auto"/>
          <w:highlight w:val="none"/>
        </w:rPr>
        <w:t>承担；</w:t>
      </w:r>
    </w:p>
    <w:p w14:paraId="387C80A1">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（2）无负荷联动试车费用由</w:t>
      </w:r>
      <w:r>
        <w:rPr>
          <w:rFonts w:hint="eastAsia" w:ascii="宋体" w:hAnsi="宋体"/>
          <w:color w:val="auto"/>
          <w:highlight w:val="none"/>
          <w:u w:val="single"/>
        </w:rPr>
        <w:t>承包人</w:t>
      </w:r>
      <w:r>
        <w:rPr>
          <w:rFonts w:hint="eastAsia" w:ascii="宋体" w:hAnsi="宋体"/>
          <w:color w:val="auto"/>
          <w:highlight w:val="none"/>
        </w:rPr>
        <w:t>承担。</w:t>
      </w:r>
    </w:p>
    <w:p w14:paraId="17110A2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13.6 竣工退场</w:t>
      </w:r>
    </w:p>
    <w:p w14:paraId="5A3A399F">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13.6.1 竣工退场</w:t>
      </w:r>
    </w:p>
    <w:p w14:paraId="05ACB52C">
      <w:pPr>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rPr>
        <w:t>承包人完成竣工退场的期限：</w:t>
      </w:r>
      <w:r>
        <w:rPr>
          <w:rFonts w:hint="eastAsia" w:ascii="宋体" w:hAnsi="宋体"/>
          <w:color w:val="auto"/>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highlight w:val="none"/>
        </w:rPr>
        <w:t>。</w:t>
      </w:r>
    </w:p>
    <w:p w14:paraId="546ECA16">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14. 竣工结算</w:t>
      </w:r>
    </w:p>
    <w:p w14:paraId="6C7059AF">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14.1 竣工结算申请</w:t>
      </w:r>
    </w:p>
    <w:p w14:paraId="16F02C1E">
      <w:pPr>
        <w:spacing w:line="360" w:lineRule="auto"/>
        <w:ind w:right="105" w:rightChars="50" w:firstLine="420" w:firstLineChars="200"/>
        <w:jc w:val="left"/>
        <w:rPr>
          <w:rFonts w:hint="eastAsia" w:ascii="宋体" w:hAnsi="宋体"/>
          <w:color w:val="auto"/>
          <w:szCs w:val="21"/>
          <w:highlight w:val="none"/>
          <w:u w:val="single"/>
        </w:rPr>
      </w:pPr>
      <w:r>
        <w:rPr>
          <w:rFonts w:hint="eastAsia" w:ascii="宋体" w:hAnsi="宋体"/>
          <w:color w:val="auto"/>
          <w:highlight w:val="none"/>
        </w:rPr>
        <w:t>承包人提交竣工结算申请单的期限：</w:t>
      </w:r>
      <w:r>
        <w:rPr>
          <w:rFonts w:hint="eastAsia" w:ascii="宋体" w:hAnsi="宋体"/>
          <w:color w:val="auto"/>
          <w:highlight w:val="none"/>
          <w:u w:val="single"/>
        </w:rPr>
        <w:t>承包人应在工程竣工验收合格且报送完整工程竣工资料之日起28天内向监理人、发包人提交竣工结算申请单，并向发包人报送完整的工程竣工资料及经监理人初审确认的完整的竣工结算资料。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6C7CC912">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竣工结算申请单包括但不限于以下内容：</w:t>
      </w:r>
    </w:p>
    <w:p w14:paraId="16FCBE85">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（1）竣工结算合同价格；</w:t>
      </w:r>
    </w:p>
    <w:p w14:paraId="62CFE13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（2）变更增减金额；</w:t>
      </w:r>
    </w:p>
    <w:p w14:paraId="100F696E">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（3）现场签证增减金额；</w:t>
      </w:r>
    </w:p>
    <w:p w14:paraId="4D8C51DC">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（4）索赔增减金额；</w:t>
      </w:r>
    </w:p>
    <w:p w14:paraId="2B4F5E29">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（5）奖励、罚金及违约金；</w:t>
      </w:r>
    </w:p>
    <w:p w14:paraId="4E062697">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（6）发包人已支付承包人的款项；</w:t>
      </w:r>
    </w:p>
    <w:p w14:paraId="00D7E1F2">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（7）应扣留的质量保证金；</w:t>
      </w:r>
    </w:p>
    <w:p w14:paraId="39224979">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（8）发包人应支付承包人的合同价款。</w:t>
      </w:r>
    </w:p>
    <w:p w14:paraId="18190307">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（9）</w:t>
      </w:r>
      <w:r>
        <w:rPr>
          <w:rFonts w:hint="eastAsia" w:ascii="宋体" w:hAnsi="宋体"/>
          <w:color w:val="auto"/>
          <w:highlight w:val="none"/>
          <w:u w:val="single"/>
        </w:rPr>
        <w:t xml:space="preserve">        </w:t>
      </w:r>
      <w:r>
        <w:rPr>
          <w:rFonts w:hint="eastAsia" w:ascii="宋体" w:hAnsi="宋体"/>
          <w:color w:val="auto"/>
          <w:highlight w:val="none"/>
        </w:rPr>
        <w:t>。</w:t>
      </w:r>
    </w:p>
    <w:p w14:paraId="2A36E3C2">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14.2 竣工结算审核</w:t>
      </w:r>
    </w:p>
    <w:p w14:paraId="010A4A08">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14.2.1 竣工结算办法</w:t>
      </w:r>
    </w:p>
    <w:p w14:paraId="233FC996">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14.2.1.1计量原则</w:t>
      </w:r>
    </w:p>
    <w:p w14:paraId="10FB48AD">
      <w:pPr>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rPr>
        <w:t>按照第12.3.1项〔计量原则〕约定执行。</w:t>
      </w:r>
    </w:p>
    <w:p w14:paraId="6758FF49">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14.2.1.2计价原则</w:t>
      </w:r>
    </w:p>
    <w:p w14:paraId="12A129B5">
      <w:pPr>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auto"/>
          <w:highlight w:val="none"/>
        </w:rPr>
        <w:t>。</w:t>
      </w:r>
    </w:p>
    <w:p w14:paraId="5B55B531">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具体结算办法如下：</w:t>
      </w:r>
    </w:p>
    <w:p w14:paraId="07AD3622">
      <w:pPr>
        <w:spacing w:line="360" w:lineRule="auto"/>
        <w:ind w:right="105" w:rightChars="50" w:firstLine="420" w:firstLineChars="200"/>
        <w:jc w:val="left"/>
        <w:textAlignment w:val="baseline"/>
        <w:rPr>
          <w:rFonts w:hint="eastAsia" w:ascii="宋体" w:hAnsi="宋体"/>
          <w:color w:val="auto"/>
          <w:highlight w:val="none"/>
        </w:rPr>
      </w:pPr>
      <w:r>
        <w:rPr>
          <w:rFonts w:hint="eastAsia" w:ascii="宋体" w:hAnsi="宋体"/>
          <w:color w:val="auto"/>
          <w:highlight w:val="none"/>
        </w:rPr>
        <w:t>（1）分部分项工程：</w:t>
      </w:r>
    </w:p>
    <w:p w14:paraId="3F190F53">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auto"/>
          <w:highlight w:val="none"/>
        </w:rPr>
        <w:t>；</w:t>
      </w:r>
    </w:p>
    <w:p w14:paraId="40AFFC32">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highlight w:val="none"/>
        </w:rPr>
        <w:t>；</w:t>
      </w:r>
    </w:p>
    <w:p w14:paraId="2C08E30B">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highlight w:val="none"/>
        </w:rPr>
        <w:t>；</w:t>
      </w:r>
    </w:p>
    <w:p w14:paraId="60E11420">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u w:val="single"/>
        </w:rPr>
        <w:t>④合同、已标价工程量清单和竞选文件另有约定的，按照其约定执行</w:t>
      </w:r>
      <w:r>
        <w:rPr>
          <w:rFonts w:hint="eastAsia" w:ascii="宋体" w:hAnsi="宋体"/>
          <w:color w:val="auto"/>
          <w:highlight w:val="none"/>
        </w:rPr>
        <w:t>。</w:t>
      </w:r>
    </w:p>
    <w:p w14:paraId="460535AE">
      <w:pPr>
        <w:spacing w:line="360" w:lineRule="auto"/>
        <w:ind w:right="105" w:rightChars="50" w:firstLine="420" w:firstLineChars="200"/>
        <w:jc w:val="left"/>
        <w:textAlignment w:val="baseline"/>
        <w:rPr>
          <w:rFonts w:hint="eastAsia" w:ascii="宋体" w:hAnsi="宋体"/>
          <w:color w:val="auto"/>
          <w:highlight w:val="none"/>
        </w:rPr>
      </w:pPr>
      <w:r>
        <w:rPr>
          <w:rFonts w:hint="eastAsia" w:ascii="宋体" w:hAnsi="宋体"/>
          <w:color w:val="auto"/>
          <w:highlight w:val="none"/>
        </w:rPr>
        <w:t>（2）措施项目：</w:t>
      </w:r>
    </w:p>
    <w:p w14:paraId="512362B3">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olor w:val="auto"/>
          <w:highlight w:val="none"/>
        </w:rPr>
        <w:t>。</w:t>
      </w:r>
    </w:p>
    <w:p w14:paraId="57DCEE54">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u w:val="single"/>
        </w:rPr>
        <w:t>②工程变更引起施工方案改变使措施项目发生变化的，经监理人、发包人确定后可对按第10.4.3项约定执行</w:t>
      </w:r>
      <w:r>
        <w:rPr>
          <w:rFonts w:hint="eastAsia" w:ascii="宋体" w:hAnsi="宋体"/>
          <w:color w:val="auto"/>
          <w:highlight w:val="none"/>
        </w:rPr>
        <w:t>。</w:t>
      </w:r>
    </w:p>
    <w:p w14:paraId="79D10315">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olor w:val="auto"/>
          <w:highlight w:val="none"/>
        </w:rPr>
        <w:t>。</w:t>
      </w:r>
    </w:p>
    <w:p w14:paraId="572ABF3A">
      <w:pPr>
        <w:spacing w:line="360" w:lineRule="auto"/>
        <w:ind w:right="105" w:rightChars="50" w:firstLine="420" w:firstLineChars="200"/>
        <w:jc w:val="left"/>
        <w:textAlignment w:val="baseline"/>
        <w:rPr>
          <w:rFonts w:hint="eastAsia" w:ascii="宋体" w:hAnsi="宋体"/>
          <w:color w:val="auto"/>
          <w:highlight w:val="none"/>
        </w:rPr>
      </w:pPr>
      <w:r>
        <w:rPr>
          <w:rFonts w:hint="eastAsia" w:ascii="宋体" w:hAnsi="宋体"/>
          <w:color w:val="auto"/>
          <w:highlight w:val="none"/>
        </w:rPr>
        <w:t>（3）其他项目：</w:t>
      </w:r>
    </w:p>
    <w:p w14:paraId="43F557DA">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①材料（工程设备）暂估价：</w:t>
      </w:r>
      <w:r>
        <w:rPr>
          <w:rFonts w:hint="eastAsia" w:ascii="宋体" w:hAnsi="宋体"/>
          <w:color w:val="auto"/>
          <w:highlight w:val="none"/>
          <w:u w:val="single"/>
        </w:rPr>
        <w:t>按照第12.3.1项〔计量原则〕约定及对应定额消耗量确定的数量乘以监理人、发包人根据市场行情认质核价确定的价格进行结算</w:t>
      </w:r>
      <w:r>
        <w:rPr>
          <w:rFonts w:hint="eastAsia" w:ascii="宋体" w:hAnsi="宋体"/>
          <w:color w:val="auto"/>
          <w:highlight w:val="none"/>
        </w:rPr>
        <w:t>。</w:t>
      </w:r>
    </w:p>
    <w:p w14:paraId="275805C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②专业工程暂估价：</w:t>
      </w:r>
    </w:p>
    <w:p w14:paraId="49C31D5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1）对于不属于依法必须招标的暂估价项目：按发包人审定的价格进行结算</w:t>
      </w:r>
      <w:r>
        <w:rPr>
          <w:rFonts w:hint="eastAsia" w:ascii="宋体" w:hAnsi="宋体"/>
          <w:color w:val="auto"/>
          <w:highlight w:val="none"/>
        </w:rPr>
        <w:t>。</w:t>
      </w:r>
    </w:p>
    <w:p w14:paraId="6DAABDC6">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2）对于依法必须招标的暂估价项目：达到招标规模标准的暂估价内容，包括专业工程暂估价和材料设备暂估价均应招标确定，并按暂估价竞选文件约定结算</w:t>
      </w:r>
      <w:r>
        <w:rPr>
          <w:rFonts w:hint="eastAsia" w:ascii="宋体" w:hAnsi="宋体"/>
          <w:color w:val="auto"/>
          <w:highlight w:val="none"/>
        </w:rPr>
        <w:t>。</w:t>
      </w:r>
    </w:p>
    <w:p w14:paraId="24E6ACD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3）总承包服务费：总承包服务费包干使用，结算时不作调整</w:t>
      </w:r>
      <w:r>
        <w:rPr>
          <w:rFonts w:hint="eastAsia" w:ascii="宋体" w:hAnsi="宋体"/>
          <w:color w:val="auto"/>
          <w:highlight w:val="none"/>
        </w:rPr>
        <w:t>。</w:t>
      </w:r>
    </w:p>
    <w:p w14:paraId="3E8D7D23">
      <w:pPr>
        <w:spacing w:line="360" w:lineRule="auto"/>
        <w:ind w:right="105" w:rightChars="50" w:firstLine="420" w:firstLineChars="200"/>
        <w:jc w:val="left"/>
        <w:textAlignment w:val="baseline"/>
        <w:rPr>
          <w:rFonts w:hint="eastAsia" w:ascii="宋体" w:hAnsi="宋体"/>
          <w:color w:val="auto"/>
          <w:highlight w:val="none"/>
        </w:rPr>
      </w:pPr>
      <w:r>
        <w:rPr>
          <w:rFonts w:hint="eastAsia" w:ascii="宋体" w:hAnsi="宋体"/>
          <w:color w:val="auto"/>
          <w:highlight w:val="none"/>
        </w:rPr>
        <w:t>（4）价格调整：</w:t>
      </w:r>
      <w:r>
        <w:rPr>
          <w:rFonts w:hint="eastAsia" w:ascii="宋体" w:hAnsi="宋体"/>
          <w:color w:val="auto"/>
          <w:highlight w:val="none"/>
          <w:u w:val="single"/>
        </w:rPr>
        <w:t>按照第11条〔价格调整〕约定约定执行</w:t>
      </w:r>
      <w:r>
        <w:rPr>
          <w:rFonts w:hint="eastAsia" w:ascii="宋体" w:hAnsi="宋体"/>
          <w:color w:val="auto"/>
          <w:highlight w:val="none"/>
        </w:rPr>
        <w:t>。</w:t>
      </w:r>
    </w:p>
    <w:p w14:paraId="7AF9DB03">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rPr>
        <w:t>（5）工程变更、索赔与现场签证：</w:t>
      </w:r>
    </w:p>
    <w:p w14:paraId="43F8A102">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1DC59731">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rPr>
        <w:t>2）索赔：按照第10.4.1项〔变更估价原则〕和第14.2.1项〔竣工结算办法〕约定执行。</w:t>
      </w:r>
    </w:p>
    <w:p w14:paraId="6E7D5FD6">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rPr>
        <w:t>3）现场签证：按照第10.4.1项〔变更估价原则〕和第14.2.1项〔竣工结算办法〕约定执行。</w:t>
      </w:r>
    </w:p>
    <w:p w14:paraId="0D9001EC">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rPr>
        <w:t>（6）奖励、罚金、违约金及其他费用：</w:t>
      </w:r>
      <w:r>
        <w:rPr>
          <w:rFonts w:hint="eastAsia" w:ascii="宋体" w:hAnsi="宋体"/>
          <w:color w:val="auto"/>
          <w:highlight w:val="none"/>
          <w:u w:val="single"/>
        </w:rPr>
        <w:t>按实进行结算</w:t>
      </w:r>
      <w:r>
        <w:rPr>
          <w:rFonts w:hint="eastAsia" w:ascii="宋体" w:hAnsi="宋体"/>
          <w:color w:val="auto"/>
          <w:highlight w:val="none"/>
        </w:rPr>
        <w:t>。</w:t>
      </w:r>
    </w:p>
    <w:p w14:paraId="470E497A">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rPr>
        <w:t>（7）规费：已标价工程量清单中规费费用按《重庆市建设工程费用定额》（CQFYDE-2018）执行。</w:t>
      </w:r>
    </w:p>
    <w:p w14:paraId="02235AFC">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7CEA9813">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14.2.1.3竣工结算价</w:t>
      </w:r>
    </w:p>
    <w:p w14:paraId="318C4028">
      <w:pPr>
        <w:spacing w:line="360" w:lineRule="auto"/>
        <w:ind w:right="105" w:rightChars="50" w:firstLine="420" w:firstLineChars="200"/>
        <w:jc w:val="left"/>
        <w:textAlignment w:val="baseline"/>
        <w:rPr>
          <w:rFonts w:hint="eastAsia" w:ascii="宋体" w:hAnsi="宋体"/>
          <w:color w:val="auto"/>
          <w:highlight w:val="none"/>
          <w:u w:val="single"/>
        </w:rPr>
      </w:pPr>
      <w:r>
        <w:rPr>
          <w:rFonts w:hint="eastAsia" w:ascii="宋体" w:hAnsi="宋体"/>
          <w:color w:val="auto"/>
          <w:highlight w:val="none"/>
          <w:u w:val="single"/>
        </w:rPr>
        <w:t>以发包人会同监理人、承包人根据有效资料共同确定竣工结算金额作为合同竣工结算价</w:t>
      </w:r>
      <w:r>
        <w:rPr>
          <w:rFonts w:hint="eastAsia" w:ascii="宋体" w:hAnsi="宋体"/>
          <w:color w:val="auto"/>
          <w:highlight w:val="none"/>
        </w:rPr>
        <w:t>。</w:t>
      </w:r>
    </w:p>
    <w:p w14:paraId="20D515C9">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14.2.2 竣工结算审核期限</w:t>
      </w:r>
    </w:p>
    <w:p w14:paraId="38E258F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监理人审核竣工付款申请单的期限：</w:t>
      </w:r>
      <w:r>
        <w:rPr>
          <w:rFonts w:hint="eastAsia" w:ascii="宋体" w:hAnsi="宋体"/>
          <w:color w:val="auto"/>
          <w:highlight w:val="none"/>
          <w:u w:val="single"/>
        </w:rPr>
        <w:t>不超过  日</w:t>
      </w:r>
      <w:r>
        <w:rPr>
          <w:rFonts w:hint="eastAsia" w:ascii="宋体" w:hAnsi="宋体"/>
          <w:color w:val="auto"/>
          <w:highlight w:val="none"/>
        </w:rPr>
        <w:t>。</w:t>
      </w:r>
    </w:p>
    <w:p w14:paraId="29A8B079">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发包人审核竣工付款申请单的期限：</w:t>
      </w:r>
      <w:r>
        <w:rPr>
          <w:rFonts w:hint="eastAsia" w:ascii="宋体" w:hAnsi="宋体"/>
          <w:color w:val="auto"/>
          <w:highlight w:val="none"/>
          <w:u w:val="single"/>
        </w:rPr>
        <w:t>不超过  日</w:t>
      </w:r>
      <w:r>
        <w:rPr>
          <w:rFonts w:hint="eastAsia" w:ascii="宋体" w:hAnsi="宋体"/>
          <w:color w:val="auto"/>
          <w:highlight w:val="none"/>
        </w:rPr>
        <w:t>。</w:t>
      </w:r>
    </w:p>
    <w:p w14:paraId="584993ED">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发包人完成竣工付款的期限：</w:t>
      </w:r>
      <w:r>
        <w:rPr>
          <w:rFonts w:hint="eastAsia" w:ascii="宋体" w:hAnsi="宋体"/>
          <w:color w:val="auto"/>
          <w:highlight w:val="none"/>
          <w:u w:val="single"/>
        </w:rPr>
        <w:t>完成竣工付款申请单审核后  天内</w:t>
      </w:r>
      <w:r>
        <w:rPr>
          <w:rFonts w:hint="eastAsia" w:ascii="宋体" w:hAnsi="宋体"/>
          <w:color w:val="auto"/>
          <w:highlight w:val="none"/>
        </w:rPr>
        <w:t>。</w:t>
      </w:r>
    </w:p>
    <w:p w14:paraId="0272F2CA">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关于竣工付款证书异议部分复核的方式和程序： 按照第20条〔争议解决〕约定处理。</w:t>
      </w:r>
    </w:p>
    <w:p w14:paraId="0336D3FE">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14.4 最终结清</w:t>
      </w:r>
    </w:p>
    <w:p w14:paraId="01416109">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14.4.1 最终结清申请单</w:t>
      </w:r>
    </w:p>
    <w:p w14:paraId="5F8C4272">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承包人提交最终结清申请单的份数：</w:t>
      </w:r>
      <w:r>
        <w:rPr>
          <w:rFonts w:hint="eastAsia" w:ascii="宋体" w:hAnsi="宋体"/>
          <w:color w:val="auto"/>
          <w:highlight w:val="none"/>
          <w:u w:val="single"/>
        </w:rPr>
        <w:t>3份</w:t>
      </w:r>
      <w:r>
        <w:rPr>
          <w:rFonts w:hint="eastAsia" w:ascii="宋体" w:hAnsi="宋体"/>
          <w:color w:val="auto"/>
          <w:highlight w:val="none"/>
        </w:rPr>
        <w:t>。</w:t>
      </w:r>
    </w:p>
    <w:p w14:paraId="71DF0372">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承包人提交最终结算申请单的期限：</w:t>
      </w:r>
      <w:r>
        <w:rPr>
          <w:rFonts w:hint="eastAsia" w:ascii="宋体" w:hAnsi="宋体"/>
          <w:color w:val="auto"/>
          <w:highlight w:val="none"/>
          <w:u w:val="single"/>
        </w:rPr>
        <w:t>缺陷责任期终止证书颁发后14天内</w:t>
      </w:r>
      <w:r>
        <w:rPr>
          <w:rFonts w:hint="eastAsia" w:ascii="宋体" w:hAnsi="宋体"/>
          <w:color w:val="auto"/>
          <w:highlight w:val="none"/>
        </w:rPr>
        <w:t>。</w:t>
      </w:r>
    </w:p>
    <w:p w14:paraId="01F39F1D">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14.4.2 最终结清证书和支付</w:t>
      </w:r>
    </w:p>
    <w:p w14:paraId="3065A2BE">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（1）发包人完成最终结清申请单的审批并颁发最终结清证书的期限：</w:t>
      </w:r>
      <w:r>
        <w:rPr>
          <w:rFonts w:hint="eastAsia" w:ascii="宋体" w:hAnsi="宋体"/>
          <w:color w:val="auto"/>
          <w:highlight w:val="none"/>
          <w:u w:val="single"/>
        </w:rPr>
        <w:t>发包人收到完整资料后14天内完成审批并颁发最终结清证书</w:t>
      </w:r>
      <w:r>
        <w:rPr>
          <w:rFonts w:hint="eastAsia" w:ascii="宋体" w:hAnsi="宋体"/>
          <w:color w:val="auto"/>
          <w:highlight w:val="none"/>
        </w:rPr>
        <w:t>。</w:t>
      </w:r>
    </w:p>
    <w:p w14:paraId="612EECC2">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（2）发包人完成支付的期限：</w:t>
      </w:r>
      <w:r>
        <w:rPr>
          <w:rFonts w:hint="eastAsia" w:ascii="宋体" w:hAnsi="宋体"/>
          <w:color w:val="auto"/>
          <w:highlight w:val="none"/>
          <w:u w:val="single"/>
        </w:rPr>
        <w:t>颁发最终结清证书的14天内</w:t>
      </w:r>
      <w:r>
        <w:rPr>
          <w:rFonts w:hint="eastAsia" w:ascii="宋体" w:hAnsi="宋体"/>
          <w:color w:val="auto"/>
          <w:highlight w:val="none"/>
        </w:rPr>
        <w:t>。</w:t>
      </w:r>
    </w:p>
    <w:p w14:paraId="282B4C3D">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本条补充14.5款：</w:t>
      </w:r>
    </w:p>
    <w:p w14:paraId="06EF0C43">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14.5 逾期办理或不配合办理竣工结算的处理</w:t>
      </w:r>
    </w:p>
    <w:p w14:paraId="0377BAD3">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有下列情形之一的，视为承包人放弃与发包人共同办理竣工结算的权利，发包人有权会同监理人根据有效资料共同确定竣工结算金额。</w:t>
      </w:r>
    </w:p>
    <w:p w14:paraId="5D9AABF1">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（1）承包人逾期未报送竣工结算资料，亦未获得发包人批准延期报送，经发包人两次书面催告仍未在限期内报送的；</w:t>
      </w:r>
    </w:p>
    <w:p w14:paraId="216AECC4">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668929CA">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（3）承包人不配合发包人、监理人、发包人委托的工程造价咨询服务单位办理竣工结算的，经发包人两次书面函告仍未改正的。</w:t>
      </w:r>
    </w:p>
    <w:p w14:paraId="285494AA">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（4）</w:t>
      </w:r>
      <w:r>
        <w:rPr>
          <w:rFonts w:hint="eastAsia" w:ascii="宋体" w:hAnsi="宋体"/>
          <w:color w:val="auto"/>
          <w:highlight w:val="none"/>
          <w:u w:val="single"/>
        </w:rPr>
        <w:t xml:space="preserve">        </w:t>
      </w:r>
      <w:r>
        <w:rPr>
          <w:rFonts w:hint="eastAsia" w:ascii="宋体" w:hAnsi="宋体"/>
          <w:color w:val="auto"/>
          <w:highlight w:val="none"/>
        </w:rPr>
        <w:t>。</w:t>
      </w:r>
    </w:p>
    <w:p w14:paraId="7CDA67B5">
      <w:pPr>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highlight w:val="none"/>
        </w:rPr>
        <w:t>。</w:t>
      </w:r>
    </w:p>
    <w:p w14:paraId="57E9FBAD">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15. 缺陷责任期与保修</w:t>
      </w:r>
    </w:p>
    <w:p w14:paraId="5CF75B93">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15.3 质量保证金</w:t>
      </w:r>
    </w:p>
    <w:p w14:paraId="651EF62E">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15.3.1 承包人提供质量保证金的方式</w:t>
      </w:r>
    </w:p>
    <w:p w14:paraId="7AA2F82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质量保证金采用以下第</w:t>
      </w:r>
      <w:r>
        <w:rPr>
          <w:rFonts w:hint="eastAsia" w:ascii="宋体" w:hAnsi="宋体"/>
          <w:color w:val="auto"/>
          <w:highlight w:val="none"/>
          <w:u w:val="single"/>
        </w:rPr>
        <w:t xml:space="preserve">    </w:t>
      </w:r>
      <w:r>
        <w:rPr>
          <w:rFonts w:hint="eastAsia" w:ascii="宋体" w:hAnsi="宋体"/>
          <w:color w:val="auto"/>
          <w:highlight w:val="none"/>
        </w:rPr>
        <w:t>种方式：</w:t>
      </w:r>
    </w:p>
    <w:p w14:paraId="2E0249A0">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（1）质量保证金保函</w:t>
      </w:r>
    </w:p>
    <w:p w14:paraId="484FAA7D">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1）按竞选文件载明的格式或发包人认可的格式向发包人提交不可撤销的见索即付银行保函</w:t>
      </w:r>
      <w:r>
        <w:rPr>
          <w:rFonts w:hint="eastAsia" w:ascii="宋体" w:hAnsi="宋体"/>
          <w:color w:val="auto"/>
          <w:highlight w:val="none"/>
        </w:rPr>
        <w:t>；</w:t>
      </w:r>
    </w:p>
    <w:p w14:paraId="1A9D75DD">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2）出具保函的银行级别：</w:t>
      </w:r>
      <w:r>
        <w:rPr>
          <w:rFonts w:hint="eastAsia" w:ascii="宋体" w:hAnsi="宋体"/>
          <w:color w:val="auto"/>
          <w:highlight w:val="none"/>
          <w:u w:val="single"/>
        </w:rPr>
        <w:t xml:space="preserve">    </w:t>
      </w:r>
      <w:r>
        <w:rPr>
          <w:rFonts w:hint="eastAsia" w:ascii="宋体" w:hAnsi="宋体"/>
          <w:color w:val="auto"/>
          <w:highlight w:val="none"/>
        </w:rPr>
        <w:t>；</w:t>
      </w:r>
    </w:p>
    <w:p w14:paraId="0E886F31">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3）保函金额为：</w:t>
      </w:r>
      <w:r>
        <w:rPr>
          <w:rFonts w:hint="eastAsia" w:ascii="宋体" w:hAnsi="宋体"/>
          <w:color w:val="auto"/>
          <w:highlight w:val="none"/>
          <w:u w:val="single"/>
        </w:rPr>
        <w:t xml:space="preserve">    </w:t>
      </w:r>
      <w:r>
        <w:rPr>
          <w:rFonts w:hint="eastAsia" w:ascii="宋体" w:hAnsi="宋体"/>
          <w:color w:val="auto"/>
          <w:highlight w:val="none"/>
        </w:rPr>
        <w:t>。</w:t>
      </w:r>
    </w:p>
    <w:p w14:paraId="25493A5C">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4）提交时间：</w:t>
      </w:r>
      <w:r>
        <w:rPr>
          <w:rFonts w:hint="eastAsia" w:ascii="宋体" w:hAnsi="宋体"/>
          <w:color w:val="auto"/>
          <w:highlight w:val="none"/>
          <w:u w:val="single"/>
        </w:rPr>
        <w:t>工程竣工验收合格后14天内</w:t>
      </w:r>
      <w:r>
        <w:rPr>
          <w:rFonts w:hint="eastAsia" w:ascii="宋体" w:hAnsi="宋体"/>
          <w:color w:val="auto"/>
          <w:highlight w:val="none"/>
        </w:rPr>
        <w:t>。</w:t>
      </w:r>
    </w:p>
    <w:p w14:paraId="05F32493">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highlight w:val="none"/>
        </w:rPr>
        <w:t>。</w:t>
      </w:r>
    </w:p>
    <w:p w14:paraId="681F4F1B">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（2）竣工结算价的</w:t>
      </w:r>
      <w:r>
        <w:rPr>
          <w:rFonts w:hint="eastAsia" w:ascii="宋体" w:hAnsi="宋体"/>
          <w:color w:val="auto"/>
          <w:highlight w:val="none"/>
          <w:u w:val="single"/>
        </w:rPr>
        <w:t xml:space="preserve"> 3% </w:t>
      </w:r>
      <w:r>
        <w:rPr>
          <w:rFonts w:hint="eastAsia" w:ascii="宋体" w:hAnsi="宋体"/>
          <w:color w:val="auto"/>
          <w:highlight w:val="none"/>
        </w:rPr>
        <w:t>；</w:t>
      </w:r>
    </w:p>
    <w:p w14:paraId="5B6EE193">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（3）其他方式：</w:t>
      </w:r>
      <w:r>
        <w:rPr>
          <w:rFonts w:hint="eastAsia" w:ascii="宋体" w:hAnsi="宋体"/>
          <w:color w:val="auto"/>
          <w:highlight w:val="none"/>
          <w:u w:val="single"/>
        </w:rPr>
        <w:t xml:space="preserve"> / </w:t>
      </w:r>
      <w:r>
        <w:rPr>
          <w:rFonts w:hint="eastAsia" w:ascii="宋体" w:hAnsi="宋体"/>
          <w:color w:val="auto"/>
          <w:highlight w:val="none"/>
        </w:rPr>
        <w:t>。</w:t>
      </w:r>
    </w:p>
    <w:p w14:paraId="59546680">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15.3.2 质量保证金的扣留</w:t>
      </w:r>
    </w:p>
    <w:p w14:paraId="1438BDB7">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质量保证金的扣留采取以下第</w:t>
      </w:r>
      <w:r>
        <w:rPr>
          <w:rFonts w:hint="eastAsia" w:ascii="宋体" w:hAnsi="宋体"/>
          <w:color w:val="auto"/>
          <w:highlight w:val="none"/>
          <w:u w:val="single"/>
        </w:rPr>
        <w:t xml:space="preserve">    </w:t>
      </w:r>
      <w:r>
        <w:rPr>
          <w:rFonts w:hint="eastAsia" w:ascii="宋体" w:hAnsi="宋体"/>
          <w:color w:val="auto"/>
          <w:highlight w:val="none"/>
        </w:rPr>
        <w:t>种方式：</w:t>
      </w:r>
    </w:p>
    <w:p w14:paraId="58E8E789">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（1）在支付工程进度款时逐次扣留，在此情形下，质量保证金的计算基数不包括预付款的支付、扣回以及价格调整的金额；</w:t>
      </w:r>
    </w:p>
    <w:p w14:paraId="3BF823A2">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（2）工程竣工结算时一次性扣留质量保证金；</w:t>
      </w:r>
    </w:p>
    <w:p w14:paraId="67077A8F">
      <w:pPr>
        <w:autoSpaceDE w:val="0"/>
        <w:autoSpaceDN w:val="0"/>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rPr>
        <w:t>（3）</w:t>
      </w:r>
      <w:r>
        <w:rPr>
          <w:rFonts w:hint="eastAsia" w:ascii="宋体" w:hAnsi="宋体"/>
          <w:color w:val="auto"/>
          <w:highlight w:val="none"/>
          <w:u w:val="single"/>
        </w:rPr>
        <w:t xml:space="preserve">其他扣留方式：        </w:t>
      </w:r>
      <w:r>
        <w:rPr>
          <w:rFonts w:hint="eastAsia" w:ascii="宋体" w:hAnsi="宋体"/>
          <w:color w:val="auto"/>
          <w:highlight w:val="none"/>
        </w:rPr>
        <w:t>。</w:t>
      </w:r>
    </w:p>
    <w:p w14:paraId="3C4B7B80">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15.3.3质量保证金的退还</w:t>
      </w:r>
    </w:p>
    <w:p w14:paraId="5AAA278A">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（1）在发包人颁发缺陷责任期终止证书之日起14天内退还。</w:t>
      </w:r>
    </w:p>
    <w:p w14:paraId="5CCA162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（2）缺陷责任期内，承包人认真履行合同约定的责任，到期后，承包人可向发包人申请返还质量保证金。</w:t>
      </w:r>
    </w:p>
    <w:p w14:paraId="09758D8B">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（3）质量保证金是否支付利息采取以下</w:t>
      </w:r>
      <w:r>
        <w:rPr>
          <w:rFonts w:hint="eastAsia" w:ascii="宋体" w:hAnsi="宋体"/>
          <w:color w:val="auto"/>
          <w:highlight w:val="none"/>
          <w:u w:val="single"/>
        </w:rPr>
        <w:t>第②种</w:t>
      </w:r>
      <w:r>
        <w:rPr>
          <w:rFonts w:hint="eastAsia" w:ascii="宋体" w:hAnsi="宋体"/>
          <w:color w:val="auto"/>
          <w:highlight w:val="none"/>
        </w:rPr>
        <w:t>方式：</w:t>
      </w:r>
    </w:p>
    <w:p w14:paraId="1DD8BBE2">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①按照中国人民银行  年  月公布的5年期贷款市场报价利率支付利息</w:t>
      </w:r>
      <w:r>
        <w:rPr>
          <w:rFonts w:hint="eastAsia" w:ascii="宋体" w:hAnsi="宋体"/>
          <w:color w:val="auto"/>
          <w:highlight w:val="none"/>
        </w:rPr>
        <w:t>。</w:t>
      </w:r>
    </w:p>
    <w:p w14:paraId="24C0B8F1">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u w:val="single"/>
        </w:rPr>
        <w:t>②不采用</w:t>
      </w:r>
      <w:r>
        <w:rPr>
          <w:rFonts w:hint="eastAsia" w:ascii="宋体" w:hAnsi="宋体"/>
          <w:color w:val="auto"/>
          <w:highlight w:val="none"/>
        </w:rPr>
        <w:t>。</w:t>
      </w:r>
    </w:p>
    <w:p w14:paraId="0B63297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15.4 保修</w:t>
      </w:r>
    </w:p>
    <w:p w14:paraId="0BAFFB44">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15.4.1 保修责任</w:t>
      </w:r>
    </w:p>
    <w:p w14:paraId="3076FFBA">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工程保修期为：按照附件1《工程质量保修书》的规定执行。</w:t>
      </w:r>
    </w:p>
    <w:p w14:paraId="0E815E9E">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15.4.3 修复通知</w:t>
      </w:r>
    </w:p>
    <w:p w14:paraId="0B52AA9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承包人收到保修通知并到达工程现场的合理时间：</w:t>
      </w:r>
      <w:r>
        <w:rPr>
          <w:rFonts w:hint="eastAsia" w:ascii="宋体" w:hAnsi="宋体"/>
          <w:color w:val="auto"/>
          <w:highlight w:val="none"/>
          <w:u w:val="single"/>
        </w:rPr>
        <w:t>24小时内，最长不能超过48小时</w:t>
      </w:r>
      <w:r>
        <w:rPr>
          <w:rFonts w:hint="eastAsia" w:ascii="宋体" w:hAnsi="宋体"/>
          <w:color w:val="auto"/>
          <w:highlight w:val="none"/>
        </w:rPr>
        <w:t>。</w:t>
      </w:r>
    </w:p>
    <w:p w14:paraId="6274DCCC">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16. 违约</w:t>
      </w:r>
    </w:p>
    <w:p w14:paraId="68741E87">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16.1 发包人违约</w:t>
      </w:r>
    </w:p>
    <w:p w14:paraId="1638308F">
      <w:pPr>
        <w:pStyle w:val="8"/>
        <w:spacing w:before="0" w:beforeAutospacing="0" w:after="0" w:afterAutospacing="0" w:line="360" w:lineRule="auto"/>
        <w:ind w:firstLine="803" w:firstLineChars="400"/>
        <w:rPr>
          <w:rFonts w:hint="eastAsia"/>
          <w:color w:val="auto"/>
          <w:highlight w:val="none"/>
        </w:rPr>
      </w:pPr>
      <w:r>
        <w:rPr>
          <w:rFonts w:hint="eastAsia"/>
          <w:color w:val="auto"/>
          <w:highlight w:val="none"/>
        </w:rPr>
        <w:t>/</w:t>
      </w:r>
    </w:p>
    <w:p w14:paraId="58773014">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16.2 承包人违约</w:t>
      </w:r>
    </w:p>
    <w:p w14:paraId="4E95E401">
      <w:pPr>
        <w:snapToGrid w:val="0"/>
        <w:spacing w:line="360" w:lineRule="auto"/>
        <w:ind w:firstLine="420" w:firstLineChars="200"/>
        <w:jc w:val="left"/>
        <w:rPr>
          <w:rFonts w:hint="eastAsia" w:ascii="宋体" w:hAnsi="宋体" w:cs="Microsoft Sans Serif"/>
          <w:color w:val="auto"/>
          <w:kern w:val="0"/>
          <w:szCs w:val="21"/>
          <w:highlight w:val="none"/>
        </w:rPr>
      </w:pPr>
      <w:r>
        <w:rPr>
          <w:rFonts w:hint="eastAsia" w:ascii="宋体" w:hAnsi="宋体" w:cs="Microsoft Sans Serif"/>
          <w:color w:val="auto"/>
          <w:kern w:val="0"/>
          <w:highlight w:val="none"/>
        </w:rPr>
        <w:t>16.2.1 承包人违约的情形</w:t>
      </w:r>
    </w:p>
    <w:p w14:paraId="7E2673E6">
      <w:pPr>
        <w:snapToGrid w:val="0"/>
        <w:spacing w:line="360" w:lineRule="auto"/>
        <w:ind w:firstLine="420" w:firstLineChars="200"/>
        <w:jc w:val="left"/>
        <w:rPr>
          <w:rFonts w:hint="eastAsia" w:ascii="宋体" w:hAnsi="宋体" w:cs="Microsoft Sans Serif"/>
          <w:color w:val="auto"/>
          <w:kern w:val="0"/>
          <w:highlight w:val="none"/>
          <w:u w:val="single"/>
        </w:rPr>
      </w:pPr>
      <w:r>
        <w:rPr>
          <w:rFonts w:hint="eastAsia" w:ascii="宋体" w:hAnsi="宋体" w:cs="Microsoft Sans Serif"/>
          <w:color w:val="auto"/>
          <w:kern w:val="0"/>
          <w:highlight w:val="none"/>
        </w:rPr>
        <w:t>除通用合同条款约定外，承包人违约的其他情形：</w:t>
      </w:r>
    </w:p>
    <w:p w14:paraId="509D4765">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（1）承包人未按合同约定提交履约担保或质量保证金的；</w:t>
      </w:r>
    </w:p>
    <w:p w14:paraId="43BC3041">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（2）承包人未能按期开工的；</w:t>
      </w:r>
    </w:p>
    <w:p w14:paraId="50350CCD">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（3）承包人未按竞选文件或监理人的要求及时配备称职的主要管理人员，或承包人未按经审定的施工组织设计配备或更换关键施工设备的；</w:t>
      </w:r>
    </w:p>
    <w:p w14:paraId="65077415">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（4）承包人有安全问题或有违反安全管理规章制度情况的；</w:t>
      </w:r>
    </w:p>
    <w:p w14:paraId="6E77BFE6">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（5）承包人在缺陷责任期及保修期内，未能在合理期限对工程缺陷进行修复，或拒绝按发包人要求进行修复的；</w:t>
      </w:r>
    </w:p>
    <w:p w14:paraId="6DCE5A33">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（6）承包人拖欠其工人或所雇人员工资或报酬，导致其工人或所雇人员向有关部门投诉、控告、检举或以聚集等方式讨要工资或报酬的；</w:t>
      </w:r>
    </w:p>
    <w:p w14:paraId="51C46553">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（7）承包人不配合发包人、监理人及发包人委托的工程造价咨询服务单位结算审核或承包人其他原因导致未按期完成工程竣工结算的；</w:t>
      </w:r>
    </w:p>
    <w:p w14:paraId="517D706C">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（8）承包人违反合同约定进行转包或违法分包的；</w:t>
      </w:r>
    </w:p>
    <w:p w14:paraId="20EC85B6">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（9）承包人未按合同约定移交全部或部分工作的；</w:t>
      </w:r>
    </w:p>
    <w:p w14:paraId="01624C7C">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（10）承包人未按合同约定购买保险的；</w:t>
      </w:r>
    </w:p>
    <w:p w14:paraId="77F5C82C">
      <w:pPr>
        <w:snapToGrid w:val="0"/>
        <w:spacing w:line="360" w:lineRule="auto"/>
        <w:ind w:firstLine="420" w:firstLineChars="200"/>
        <w:jc w:val="left"/>
        <w:rPr>
          <w:rFonts w:hint="eastAsia" w:ascii="宋体" w:hAnsi="宋体"/>
          <w:color w:val="auto"/>
          <w:highlight w:val="none"/>
        </w:rPr>
      </w:pPr>
      <w:r>
        <w:rPr>
          <w:rFonts w:hint="eastAsia" w:ascii="宋体" w:hAnsi="宋体" w:cs="Microsoft Sans Serif"/>
          <w:color w:val="auto"/>
          <w:kern w:val="0"/>
          <w:highlight w:val="none"/>
        </w:rPr>
        <w:t>（11）项目经理若有以下情形，属于承包人违约：</w:t>
      </w:r>
    </w:p>
    <w:p w14:paraId="75A42462">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1）项目经理不按承诺到岗的；</w:t>
      </w:r>
    </w:p>
    <w:p w14:paraId="40BC8172">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2）每月在施工现场的天数少于约定天数的；</w:t>
      </w:r>
    </w:p>
    <w:p w14:paraId="18A42912">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3）承包人未提交项目经理劳动合同和社会保险证明的；</w:t>
      </w:r>
    </w:p>
    <w:p w14:paraId="397860F1">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4）未经批准，擅自离开施工现场（超过约定时间）的；</w:t>
      </w:r>
    </w:p>
    <w:p w14:paraId="4E8A59DE">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5）未经批准，擅自变更项目经理的；</w:t>
      </w:r>
    </w:p>
    <w:p w14:paraId="49FEBEE3">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6）按照渝建发〔2015〕35号文的要求，施工期间，项目经理因在一个记分周期内累计记分达到12分，被建设行政主管部门依法责令停止执业的；</w:t>
      </w:r>
    </w:p>
    <w:p w14:paraId="51936362">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7）发包人有正当理由认为项目经理不称职/不履职，且承包人在约定时间内不予更换的；</w:t>
      </w:r>
    </w:p>
    <w:p w14:paraId="704F342B">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8）其他双方约定的情形：</w:t>
      </w:r>
      <w:r>
        <w:rPr>
          <w:rFonts w:hint="eastAsia" w:ascii="宋体" w:hAnsi="宋体" w:cs="Microsoft Sans Serif"/>
          <w:color w:val="auto"/>
          <w:kern w:val="0"/>
          <w:highlight w:val="none"/>
          <w:u w:val="single"/>
        </w:rPr>
        <w:t xml:space="preserve">        </w:t>
      </w:r>
      <w:r>
        <w:rPr>
          <w:rFonts w:hint="eastAsia" w:ascii="宋体" w:hAnsi="宋体" w:cs="Microsoft Sans Serif"/>
          <w:color w:val="auto"/>
          <w:kern w:val="0"/>
          <w:highlight w:val="none"/>
        </w:rPr>
        <w:t>。</w:t>
      </w:r>
    </w:p>
    <w:p w14:paraId="6226B32A">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（12）技术负责人若有以下情形，属于承包人违约：</w:t>
      </w:r>
    </w:p>
    <w:p w14:paraId="538D5495">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1）每月在施工现场的天数少于约定天数的；</w:t>
      </w:r>
    </w:p>
    <w:p w14:paraId="294CEF7A">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2）承包人未提交技术负责人劳动合同和社会保险证明的；</w:t>
      </w:r>
    </w:p>
    <w:p w14:paraId="65022B56">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3）未经批准，擅自离开施工现场（超过约定时间）的；</w:t>
      </w:r>
    </w:p>
    <w:p w14:paraId="4CEC6FBC">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4）未经批准，擅自变更技术负责人的；</w:t>
      </w:r>
    </w:p>
    <w:p w14:paraId="2427964D">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5）发包人有正当理由认为技术负责人不称职/不履职，且承包人在约定时间内不予更换的；</w:t>
      </w:r>
    </w:p>
    <w:p w14:paraId="2DF2C744">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6）其他双方约定的情形：</w:t>
      </w:r>
      <w:r>
        <w:rPr>
          <w:rFonts w:hint="eastAsia" w:ascii="宋体" w:hAnsi="宋体" w:cs="Microsoft Sans Serif"/>
          <w:color w:val="auto"/>
          <w:kern w:val="0"/>
          <w:highlight w:val="none"/>
          <w:u w:val="single"/>
        </w:rPr>
        <w:t xml:space="preserve">        </w:t>
      </w:r>
      <w:r>
        <w:rPr>
          <w:rFonts w:hint="eastAsia" w:ascii="宋体" w:hAnsi="宋体" w:cs="Microsoft Sans Serif"/>
          <w:color w:val="auto"/>
          <w:kern w:val="0"/>
          <w:highlight w:val="none"/>
        </w:rPr>
        <w:t>。</w:t>
      </w:r>
    </w:p>
    <w:p w14:paraId="2C7F461A">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（13）主要施工管理人员若有以下情形，属于承包人违约：</w:t>
      </w:r>
    </w:p>
    <w:p w14:paraId="3B35A143">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1）承包人未提交主要施工管理人员劳动合同和社会保险证明的；</w:t>
      </w:r>
    </w:p>
    <w:p w14:paraId="5AB90690">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2）未经批准，擅自离开施工现场（超过约定时间）的；</w:t>
      </w:r>
    </w:p>
    <w:p w14:paraId="3EC7EFBA">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3）未经批准，擅自变更主要施工管理人员的；</w:t>
      </w:r>
    </w:p>
    <w:p w14:paraId="2C658B4A">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4）发包人有正当理由认为主要施工管理人员不称职/不履职，且承包人在约定时间内不予更换的；</w:t>
      </w:r>
    </w:p>
    <w:p w14:paraId="218F0169">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5）其他双方约定的情形：</w:t>
      </w:r>
      <w:r>
        <w:rPr>
          <w:rFonts w:hint="eastAsia" w:ascii="宋体" w:hAnsi="宋体" w:cs="Microsoft Sans Serif"/>
          <w:color w:val="auto"/>
          <w:kern w:val="0"/>
          <w:highlight w:val="none"/>
          <w:u w:val="single"/>
        </w:rPr>
        <w:t xml:space="preserve">        </w:t>
      </w:r>
      <w:r>
        <w:rPr>
          <w:rFonts w:hint="eastAsia" w:ascii="宋体" w:hAnsi="宋体" w:cs="Microsoft Sans Serif"/>
          <w:color w:val="auto"/>
          <w:kern w:val="0"/>
          <w:highlight w:val="none"/>
        </w:rPr>
        <w:t>。</w:t>
      </w:r>
    </w:p>
    <w:p w14:paraId="6919FA95">
      <w:pPr>
        <w:adjustRightInd w:val="0"/>
        <w:snapToGrid w:val="0"/>
        <w:spacing w:line="360" w:lineRule="auto"/>
        <w:ind w:firstLine="420" w:firstLineChars="200"/>
        <w:rPr>
          <w:rFonts w:hint="eastAsia" w:ascii="宋体" w:hAnsi="宋体" w:cs="Microsoft Sans Serif"/>
          <w:color w:val="auto"/>
          <w:kern w:val="0"/>
          <w:highlight w:val="none"/>
        </w:rPr>
      </w:pPr>
      <w:r>
        <w:rPr>
          <w:rFonts w:hint="eastAsia" w:ascii="宋体" w:hAnsi="宋体" w:cs="Microsoft Sans Serif"/>
          <w:color w:val="auto"/>
          <w:kern w:val="0"/>
          <w:highlight w:val="none"/>
        </w:rPr>
        <w:t>（14）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14:paraId="691DB21A">
      <w:pPr>
        <w:adjustRightInd w:val="0"/>
        <w:snapToGrid w:val="0"/>
        <w:spacing w:line="360" w:lineRule="auto"/>
        <w:ind w:firstLine="420" w:firstLineChars="200"/>
        <w:rPr>
          <w:rFonts w:hint="eastAsia" w:ascii="宋体" w:hAnsi="宋体" w:cs="Microsoft Sans Serif"/>
          <w:color w:val="auto"/>
          <w:kern w:val="0"/>
          <w:highlight w:val="none"/>
        </w:rPr>
      </w:pPr>
      <w:r>
        <w:rPr>
          <w:rFonts w:hint="eastAsia" w:ascii="宋体" w:hAnsi="宋体" w:cs="Microsoft Sans Serif"/>
          <w:color w:val="auto"/>
          <w:kern w:val="0"/>
          <w:highlight w:val="none"/>
        </w:rPr>
        <w:t>（15）</w:t>
      </w:r>
      <w:r>
        <w:rPr>
          <w:rFonts w:hint="eastAsia" w:ascii="宋体" w:hAnsi="宋体" w:cs="Microsoft Sans Serif"/>
          <w:color w:val="auto"/>
          <w:kern w:val="0"/>
          <w:highlight w:val="none"/>
          <w:u w:val="single"/>
        </w:rPr>
        <w:t xml:space="preserve">        </w:t>
      </w:r>
      <w:r>
        <w:rPr>
          <w:rFonts w:hint="eastAsia" w:ascii="宋体" w:hAnsi="宋体" w:cs="Microsoft Sans Serif"/>
          <w:color w:val="auto"/>
          <w:kern w:val="0"/>
          <w:highlight w:val="none"/>
        </w:rPr>
        <w:t>。</w:t>
      </w:r>
    </w:p>
    <w:p w14:paraId="3E30AB60">
      <w:pPr>
        <w:adjustRightInd w:val="0"/>
        <w:snapToGrid w:val="0"/>
        <w:spacing w:line="360" w:lineRule="auto"/>
        <w:ind w:firstLine="420" w:firstLineChars="200"/>
        <w:rPr>
          <w:rFonts w:hint="eastAsia" w:ascii="宋体" w:hAnsi="宋体" w:cs="Microsoft Sans Serif"/>
          <w:color w:val="auto"/>
          <w:kern w:val="0"/>
          <w:highlight w:val="none"/>
        </w:rPr>
      </w:pPr>
      <w:r>
        <w:rPr>
          <w:rFonts w:hint="eastAsia" w:ascii="宋体" w:hAnsi="宋体" w:cs="Microsoft Sans Serif"/>
          <w:color w:val="auto"/>
          <w:kern w:val="0"/>
          <w:highlight w:val="none"/>
        </w:rPr>
        <w:t>16.2.2 承包人违约的责任</w:t>
      </w:r>
    </w:p>
    <w:p w14:paraId="6FB0BBE7">
      <w:pPr>
        <w:adjustRightInd w:val="0"/>
        <w:snapToGrid w:val="0"/>
        <w:spacing w:line="360" w:lineRule="auto"/>
        <w:ind w:firstLine="420" w:firstLineChars="200"/>
        <w:rPr>
          <w:rFonts w:hint="eastAsia" w:ascii="宋体" w:hAnsi="宋体" w:cs="Microsoft Sans Serif"/>
          <w:color w:val="auto"/>
          <w:kern w:val="0"/>
          <w:highlight w:val="none"/>
        </w:rPr>
      </w:pPr>
      <w:r>
        <w:rPr>
          <w:rFonts w:hint="eastAsia" w:ascii="宋体" w:hAnsi="宋体" w:cs="Microsoft Sans Serif"/>
          <w:color w:val="auto"/>
          <w:kern w:val="0"/>
          <w:highlight w:val="none"/>
        </w:rPr>
        <w:t>承包人违约责任的承担方式和计算方法：</w:t>
      </w:r>
    </w:p>
    <w:p w14:paraId="271A20AB">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（1）承包人未按合同约定提交履约担保、质量保证金的违约责任：承包人应支付违约金，</w:t>
      </w:r>
      <w:r>
        <w:rPr>
          <w:rFonts w:hint="eastAsia" w:ascii="宋体" w:hAnsi="宋体" w:cs="Microsoft Sans Serif"/>
          <w:color w:val="auto"/>
          <w:highlight w:val="none"/>
        </w:rPr>
        <w:t>违约金的计算方法：</w:t>
      </w:r>
      <w:r>
        <w:rPr>
          <w:rFonts w:hint="eastAsia" w:ascii="宋体" w:hAnsi="宋体" w:cs="Microsoft Sans Serif"/>
          <w:color w:val="auto"/>
          <w:kern w:val="0"/>
          <w:highlight w:val="none"/>
        </w:rPr>
        <w:t>每延误1天，承包人按</w:t>
      </w:r>
      <w:r>
        <w:rPr>
          <w:rFonts w:hint="eastAsia" w:ascii="宋体" w:hAnsi="宋体" w:cs="Microsoft Sans Serif"/>
          <w:color w:val="auto"/>
          <w:kern w:val="0"/>
          <w:highlight w:val="none"/>
          <w:u w:val="single"/>
        </w:rPr>
        <w:t xml:space="preserve">  5000元/天</w:t>
      </w:r>
      <w:r>
        <w:rPr>
          <w:rFonts w:hint="eastAsia" w:ascii="宋体" w:hAnsi="宋体" w:cs="Microsoft Sans Serif"/>
          <w:color w:val="auto"/>
          <w:kern w:val="0"/>
          <w:highlight w:val="none"/>
        </w:rPr>
        <w:t>计算违约金，累计违约金上限：</w:t>
      </w:r>
      <w:r>
        <w:rPr>
          <w:rFonts w:hint="eastAsia" w:ascii="宋体" w:hAnsi="宋体" w:cs="Microsoft Sans Serif"/>
          <w:color w:val="auto"/>
          <w:kern w:val="0"/>
          <w:highlight w:val="none"/>
          <w:u w:val="single"/>
        </w:rPr>
        <w:t>不超过签约合同价的3%</w:t>
      </w:r>
      <w:r>
        <w:rPr>
          <w:rFonts w:hint="eastAsia" w:ascii="宋体" w:hAnsi="宋体" w:cs="Microsoft Sans Serif"/>
          <w:color w:val="auto"/>
          <w:kern w:val="0"/>
          <w:highlight w:val="none"/>
        </w:rPr>
        <w:t>。</w:t>
      </w:r>
    </w:p>
    <w:p w14:paraId="51C372DD">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highlight w:val="none"/>
          <w:u w:val="single"/>
        </w:rPr>
        <w:t xml:space="preserve"> 5%</w:t>
      </w:r>
      <w:r>
        <w:rPr>
          <w:rFonts w:hint="eastAsia" w:ascii="宋体" w:hAnsi="宋体" w:cs="Microsoft Sans Serif"/>
          <w:color w:val="auto"/>
          <w:kern w:val="0"/>
          <w:highlight w:val="none"/>
        </w:rPr>
        <w:t>支付违约金，违法转/分包商应在7天内撤离出场。</w:t>
      </w:r>
    </w:p>
    <w:p w14:paraId="0289031A">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highlight w:val="none"/>
          <w:u w:val="single"/>
        </w:rPr>
        <w:t xml:space="preserve">  5%</w:t>
      </w:r>
      <w:r>
        <w:rPr>
          <w:rFonts w:hint="eastAsia" w:ascii="宋体" w:hAnsi="宋体" w:cs="Microsoft Sans Serif"/>
          <w:color w:val="auto"/>
          <w:kern w:val="0"/>
          <w:highlight w:val="none"/>
        </w:rPr>
        <w:t>支付违约金。</w:t>
      </w:r>
    </w:p>
    <w:p w14:paraId="1E4416D6">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highlight w:val="none"/>
          <w:u w:val="single"/>
        </w:rPr>
        <w:t xml:space="preserve">  5%</w:t>
      </w:r>
      <w:r>
        <w:rPr>
          <w:rFonts w:hint="eastAsia" w:ascii="宋体" w:hAnsi="宋体" w:cs="Microsoft Sans Serif"/>
          <w:color w:val="auto"/>
          <w:kern w:val="0"/>
          <w:highlight w:val="none"/>
        </w:rPr>
        <w:t>支付违约金。</w:t>
      </w:r>
    </w:p>
    <w:p w14:paraId="0DA17179">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highlight w:val="none"/>
          <w:u w:val="single"/>
        </w:rPr>
        <w:t xml:space="preserve"> 1%</w:t>
      </w:r>
      <w:r>
        <w:rPr>
          <w:rFonts w:hint="eastAsia" w:ascii="宋体" w:hAnsi="宋体" w:cs="Microsoft Sans Serif"/>
          <w:color w:val="auto"/>
          <w:kern w:val="0"/>
          <w:highlight w:val="none"/>
        </w:rPr>
        <w:t>支付违约金。</w:t>
      </w:r>
    </w:p>
    <w:p w14:paraId="11D7B6F5">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（6）因承包人原因造成工期延误的违约承担方式和计算方法：由承包人承担由此增加的费用，</w:t>
      </w:r>
      <w:r>
        <w:rPr>
          <w:rFonts w:hint="eastAsia" w:ascii="宋体" w:hAnsi="宋体" w:cs="Microsoft Sans Serif"/>
          <w:color w:val="auto"/>
          <w:highlight w:val="none"/>
        </w:rPr>
        <w:t>由此导致工期延误的，工期不予顺延；逾期竣工违约金的计算方法：</w:t>
      </w:r>
      <w:r>
        <w:rPr>
          <w:rFonts w:hint="eastAsia" w:ascii="宋体" w:hAnsi="宋体" w:cs="Microsoft Sans Serif"/>
          <w:color w:val="auto"/>
          <w:kern w:val="0"/>
          <w:highlight w:val="none"/>
        </w:rPr>
        <w:t>每延误1天，承包人按</w:t>
      </w:r>
      <w:r>
        <w:rPr>
          <w:rFonts w:hint="eastAsia" w:ascii="宋体" w:hAnsi="宋体" w:cs="Microsoft Sans Serif"/>
          <w:color w:val="auto"/>
          <w:kern w:val="0"/>
          <w:highlight w:val="none"/>
          <w:u w:val="single"/>
        </w:rPr>
        <w:t xml:space="preserve">  5000元/天</w:t>
      </w:r>
      <w:r>
        <w:rPr>
          <w:rFonts w:hint="eastAsia" w:ascii="宋体" w:hAnsi="宋体" w:cs="Microsoft Sans Serif"/>
          <w:color w:val="auto"/>
          <w:kern w:val="0"/>
          <w:highlight w:val="none"/>
        </w:rPr>
        <w:t>计算逾期竣工违约金，累计违约金上限：</w:t>
      </w:r>
      <w:r>
        <w:rPr>
          <w:rFonts w:hint="eastAsia" w:ascii="宋体" w:hAnsi="宋体" w:cs="Microsoft Sans Serif"/>
          <w:color w:val="auto"/>
          <w:kern w:val="0"/>
          <w:highlight w:val="none"/>
          <w:u w:val="single"/>
        </w:rPr>
        <w:t xml:space="preserve">     </w:t>
      </w:r>
      <w:r>
        <w:rPr>
          <w:rFonts w:hint="eastAsia" w:ascii="宋体" w:hAnsi="宋体" w:cs="Microsoft Sans Serif"/>
          <w:color w:val="auto"/>
          <w:kern w:val="0"/>
          <w:highlight w:val="none"/>
        </w:rPr>
        <w:t>万元（不超过签约合同价的3%）；承包人支付逾期竣工违约金后，不免除承包人继续完成工程及修补缺陷的义务。</w:t>
      </w:r>
    </w:p>
    <w:p w14:paraId="327A6A3E">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highlight w:val="none"/>
          <w:u w:val="single"/>
        </w:rPr>
        <w:t xml:space="preserve">  0.5%</w:t>
      </w:r>
      <w:r>
        <w:rPr>
          <w:rFonts w:hint="eastAsia" w:ascii="宋体" w:hAnsi="宋体" w:cs="Microsoft Sans Serif"/>
          <w:color w:val="auto"/>
          <w:kern w:val="0"/>
          <w:highlight w:val="none"/>
        </w:rPr>
        <w:t>支付违约金。</w:t>
      </w:r>
    </w:p>
    <w:p w14:paraId="24966EB2">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（8）承包人明确表示或者以其行为表明不履行合同主要义务的违约责任：按签约合同价的</w:t>
      </w:r>
      <w:r>
        <w:rPr>
          <w:rFonts w:hint="eastAsia" w:ascii="宋体" w:hAnsi="宋体" w:cs="Microsoft Sans Serif"/>
          <w:color w:val="auto"/>
          <w:kern w:val="0"/>
          <w:highlight w:val="none"/>
          <w:u w:val="single"/>
        </w:rPr>
        <w:t xml:space="preserve"> 5%</w:t>
      </w:r>
      <w:r>
        <w:rPr>
          <w:rFonts w:hint="eastAsia" w:ascii="宋体" w:hAnsi="宋体" w:cs="Microsoft Sans Serif"/>
          <w:color w:val="auto"/>
          <w:kern w:val="0"/>
          <w:highlight w:val="none"/>
        </w:rPr>
        <w:t>支付违约金。</w:t>
      </w:r>
    </w:p>
    <w:p w14:paraId="624E5B29">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（9）承包人未能按照合同约定履行其他义务的违约责任：按</w:t>
      </w:r>
      <w:r>
        <w:rPr>
          <w:rFonts w:hint="eastAsia" w:ascii="宋体" w:hAnsi="宋体" w:cs="Microsoft Sans Serif"/>
          <w:color w:val="auto"/>
          <w:kern w:val="0"/>
          <w:highlight w:val="none"/>
          <w:u w:val="single"/>
        </w:rPr>
        <w:t>500元/次</w:t>
      </w:r>
      <w:r>
        <w:rPr>
          <w:rFonts w:hint="eastAsia" w:ascii="宋体" w:hAnsi="宋体" w:cs="Microsoft Sans Serif"/>
          <w:color w:val="auto"/>
          <w:kern w:val="0"/>
          <w:highlight w:val="none"/>
        </w:rPr>
        <w:t>支付违约金。</w:t>
      </w:r>
    </w:p>
    <w:p w14:paraId="77D7935D">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（10）承包人未能按期开工的违约责任：按合同价</w:t>
      </w:r>
      <w:r>
        <w:rPr>
          <w:rFonts w:hint="eastAsia" w:ascii="宋体" w:hAnsi="宋体" w:cs="Microsoft Sans Serif"/>
          <w:color w:val="auto"/>
          <w:kern w:val="0"/>
          <w:highlight w:val="none"/>
          <w:u w:val="single"/>
        </w:rPr>
        <w:t>0.2‰/天</w:t>
      </w:r>
      <w:r>
        <w:rPr>
          <w:rFonts w:hint="eastAsia" w:ascii="宋体" w:hAnsi="宋体" w:cs="Microsoft Sans Serif"/>
          <w:color w:val="auto"/>
          <w:kern w:val="0"/>
          <w:highlight w:val="none"/>
        </w:rPr>
        <w:t>支付违约金，本项违约金累计限额为签约合同价的</w:t>
      </w:r>
      <w:r>
        <w:rPr>
          <w:rFonts w:hint="eastAsia" w:ascii="宋体" w:hAnsi="宋体" w:cs="Microsoft Sans Serif"/>
          <w:color w:val="auto"/>
          <w:kern w:val="0"/>
          <w:highlight w:val="none"/>
          <w:u w:val="single"/>
        </w:rPr>
        <w:t xml:space="preserve"> 1 %</w:t>
      </w:r>
      <w:r>
        <w:rPr>
          <w:rFonts w:hint="eastAsia" w:ascii="宋体" w:hAnsi="宋体" w:cs="Microsoft Sans Serif"/>
          <w:color w:val="auto"/>
          <w:kern w:val="0"/>
          <w:highlight w:val="none"/>
        </w:rPr>
        <w:t>。</w:t>
      </w:r>
    </w:p>
    <w:p w14:paraId="390B12A4">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（11）承包人未按经审定的施工组织设计配备或更换关键施工设备的违约责任：按</w:t>
      </w:r>
      <w:r>
        <w:rPr>
          <w:rFonts w:hint="eastAsia" w:ascii="宋体" w:hAnsi="宋体" w:cs="Microsoft Sans Serif"/>
          <w:color w:val="auto"/>
          <w:kern w:val="0"/>
          <w:highlight w:val="none"/>
          <w:u w:val="single"/>
        </w:rPr>
        <w:t xml:space="preserve">  5000元/台·次</w:t>
      </w:r>
      <w:r>
        <w:rPr>
          <w:rFonts w:hint="eastAsia" w:ascii="宋体" w:hAnsi="宋体" w:cs="Microsoft Sans Serif"/>
          <w:color w:val="auto"/>
          <w:kern w:val="0"/>
          <w:highlight w:val="none"/>
        </w:rPr>
        <w:t>支付违约金。</w:t>
      </w:r>
    </w:p>
    <w:p w14:paraId="0A2BB860">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（12）承包人有安全问题或有违反安全管理规章制度情况的违约责任：根据具体情节，按签约合同价的</w:t>
      </w:r>
      <w:r>
        <w:rPr>
          <w:rFonts w:hint="eastAsia" w:ascii="宋体" w:hAnsi="宋体" w:cs="Microsoft Sans Serif"/>
          <w:color w:val="auto"/>
          <w:kern w:val="0"/>
          <w:highlight w:val="none"/>
          <w:u w:val="single"/>
        </w:rPr>
        <w:t>0.5‰/次</w:t>
      </w:r>
      <w:r>
        <w:rPr>
          <w:rFonts w:hint="eastAsia" w:ascii="宋体" w:hAnsi="宋体" w:cs="Microsoft Sans Serif"/>
          <w:color w:val="auto"/>
          <w:kern w:val="0"/>
          <w:highlight w:val="none"/>
        </w:rPr>
        <w:t>支付违约金（累计不超过签约合同价的1%，详见附件9安全管理协议）。</w:t>
      </w:r>
    </w:p>
    <w:p w14:paraId="280EB774">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highlight w:val="none"/>
          <w:u w:val="single"/>
        </w:rPr>
        <w:t xml:space="preserve"> 50000元/次</w:t>
      </w:r>
      <w:r>
        <w:rPr>
          <w:rFonts w:hint="eastAsia" w:ascii="宋体" w:hAnsi="宋体" w:cs="Microsoft Sans Serif"/>
          <w:color w:val="auto"/>
          <w:kern w:val="0"/>
          <w:highlight w:val="none"/>
        </w:rPr>
        <w:t>支付违约金。</w:t>
      </w:r>
    </w:p>
    <w:p w14:paraId="7A518FAD">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highlight w:val="none"/>
          <w:u w:val="single"/>
        </w:rPr>
        <w:t xml:space="preserve">  10000元/次</w:t>
      </w:r>
      <w:r>
        <w:rPr>
          <w:rFonts w:hint="eastAsia" w:ascii="宋体" w:hAnsi="宋体" w:cs="Microsoft Sans Serif"/>
          <w:color w:val="auto"/>
          <w:kern w:val="0"/>
          <w:highlight w:val="none"/>
        </w:rPr>
        <w:t>支付违约金。</w:t>
      </w:r>
    </w:p>
    <w:p w14:paraId="345F3961">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highlight w:val="none"/>
          <w:u w:val="single"/>
        </w:rPr>
        <w:t>0.5‰</w:t>
      </w:r>
      <w:r>
        <w:rPr>
          <w:rFonts w:hint="eastAsia" w:ascii="宋体" w:hAnsi="宋体" w:cs="Microsoft Sans Serif"/>
          <w:color w:val="auto"/>
          <w:kern w:val="0"/>
          <w:highlight w:val="none"/>
        </w:rPr>
        <w:t>支付违约金。</w:t>
      </w:r>
    </w:p>
    <w:p w14:paraId="2EB195AC">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highlight w:val="none"/>
        </w:rPr>
        <w:t>（16）承包人未按合同约定购买保险的违约责任：除按18.6.2项约定执行外，每延迟1天，按</w:t>
      </w:r>
      <w:r>
        <w:rPr>
          <w:rFonts w:hint="eastAsia" w:ascii="宋体" w:hAnsi="宋体" w:cs="Microsoft Sans Serif"/>
          <w:color w:val="auto"/>
          <w:highlight w:val="none"/>
          <w:u w:val="single"/>
        </w:rPr>
        <w:t>500元/天</w:t>
      </w:r>
      <w:r>
        <w:rPr>
          <w:rFonts w:hint="eastAsia" w:ascii="宋体" w:hAnsi="宋体" w:cs="Microsoft Sans Serif"/>
          <w:color w:val="auto"/>
          <w:highlight w:val="none"/>
        </w:rPr>
        <w:t>支付违约金。</w:t>
      </w:r>
    </w:p>
    <w:p w14:paraId="772CB4B3">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（17）发生第16.2.1项（11）目、16.2.1项（12）目、16.2.1项（13）目违约情形的违约责任：除承担由此增加的费用和工期延误的责任，承包人应向发包人支付违约金：</w:t>
      </w:r>
    </w:p>
    <w:p w14:paraId="5AAA9B72">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1）项目经理违约承担方式和计算方法：对于第16.2.1项（11）目的情形，每发现一次，根据具体情节，按</w:t>
      </w:r>
      <w:r>
        <w:rPr>
          <w:rFonts w:hint="eastAsia" w:ascii="宋体" w:hAnsi="宋体" w:cs="Microsoft Sans Serif"/>
          <w:color w:val="auto"/>
          <w:kern w:val="0"/>
          <w:highlight w:val="none"/>
          <w:u w:val="single"/>
        </w:rPr>
        <w:t>1000元/天·次</w:t>
      </w:r>
      <w:r>
        <w:rPr>
          <w:rFonts w:hint="eastAsia" w:ascii="宋体" w:hAnsi="宋体" w:cs="Microsoft Sans Serif"/>
          <w:color w:val="auto"/>
          <w:kern w:val="0"/>
          <w:highlight w:val="none"/>
        </w:rPr>
        <w:t>计算违约金；项目经理不按承诺到岗的（3.2.3项约定的情形除外），按履约保证金的</w:t>
      </w:r>
      <w:r>
        <w:rPr>
          <w:rFonts w:hint="eastAsia" w:ascii="宋体" w:hAnsi="宋体" w:cs="Microsoft Sans Serif"/>
          <w:color w:val="auto"/>
          <w:kern w:val="0"/>
          <w:highlight w:val="none"/>
          <w:u w:val="single"/>
        </w:rPr>
        <w:t>50%</w:t>
      </w:r>
      <w:r>
        <w:rPr>
          <w:rFonts w:hint="eastAsia" w:ascii="宋体" w:hAnsi="宋体" w:cs="Microsoft Sans Serif"/>
          <w:color w:val="auto"/>
          <w:kern w:val="0"/>
          <w:highlight w:val="none"/>
        </w:rPr>
        <w:t>支付违约金，并解除合同；擅自更换项目经理的，按签约合同价的</w:t>
      </w:r>
      <w:r>
        <w:rPr>
          <w:rFonts w:hint="eastAsia" w:ascii="宋体" w:hAnsi="宋体" w:cs="Microsoft Sans Serif"/>
          <w:color w:val="auto"/>
          <w:kern w:val="0"/>
          <w:highlight w:val="none"/>
          <w:u w:val="single"/>
        </w:rPr>
        <w:t>0.5%/人·次</w:t>
      </w:r>
      <w:r>
        <w:rPr>
          <w:rFonts w:hint="eastAsia" w:ascii="宋体" w:hAnsi="宋体" w:cs="Microsoft Sans Serif"/>
          <w:color w:val="auto"/>
          <w:kern w:val="0"/>
          <w:highlight w:val="none"/>
        </w:rPr>
        <w:t>支付违约金，每次不低于</w:t>
      </w:r>
      <w:r>
        <w:rPr>
          <w:rFonts w:hint="eastAsia" w:ascii="宋体" w:hAnsi="宋体" w:cs="Microsoft Sans Serif"/>
          <w:color w:val="auto"/>
          <w:kern w:val="0"/>
          <w:highlight w:val="none"/>
          <w:u w:val="single"/>
        </w:rPr>
        <w:t>10万</w:t>
      </w:r>
      <w:r>
        <w:rPr>
          <w:rFonts w:hint="eastAsia" w:ascii="宋体" w:hAnsi="宋体" w:cs="Microsoft Sans Serif"/>
          <w:color w:val="auto"/>
          <w:kern w:val="0"/>
          <w:highlight w:val="none"/>
        </w:rPr>
        <w:t>，累计不超过</w:t>
      </w:r>
      <w:r>
        <w:rPr>
          <w:rFonts w:hint="eastAsia" w:ascii="宋体" w:hAnsi="宋体" w:cs="Microsoft Sans Serif"/>
          <w:color w:val="auto"/>
          <w:kern w:val="0"/>
          <w:highlight w:val="none"/>
          <w:u w:val="single"/>
        </w:rPr>
        <w:t>20万</w:t>
      </w:r>
      <w:r>
        <w:rPr>
          <w:rFonts w:hint="eastAsia" w:ascii="宋体" w:hAnsi="宋体" w:cs="Microsoft Sans Serif"/>
          <w:color w:val="auto"/>
          <w:kern w:val="0"/>
          <w:highlight w:val="none"/>
        </w:rPr>
        <w:t>；项目经理被责令停止执业的，按签约合同价的</w:t>
      </w:r>
      <w:r>
        <w:rPr>
          <w:rFonts w:hint="eastAsia" w:ascii="宋体" w:hAnsi="宋体" w:cs="Microsoft Sans Serif"/>
          <w:color w:val="auto"/>
          <w:kern w:val="0"/>
          <w:highlight w:val="none"/>
          <w:u w:val="single"/>
        </w:rPr>
        <w:t>0.5%/人·次</w:t>
      </w:r>
      <w:r>
        <w:rPr>
          <w:rFonts w:hint="eastAsia" w:ascii="宋体" w:hAnsi="宋体" w:cs="Microsoft Sans Serif"/>
          <w:color w:val="auto"/>
          <w:kern w:val="0"/>
          <w:highlight w:val="none"/>
        </w:rPr>
        <w:t>支付违约金，每次不低于</w:t>
      </w:r>
      <w:r>
        <w:rPr>
          <w:rFonts w:hint="eastAsia" w:ascii="宋体" w:hAnsi="宋体" w:cs="Microsoft Sans Serif"/>
          <w:color w:val="auto"/>
          <w:kern w:val="0"/>
          <w:highlight w:val="none"/>
          <w:u w:val="single"/>
        </w:rPr>
        <w:t>10万</w:t>
      </w:r>
      <w:r>
        <w:rPr>
          <w:rFonts w:hint="eastAsia" w:ascii="宋体" w:hAnsi="宋体" w:cs="Microsoft Sans Serif"/>
          <w:color w:val="auto"/>
          <w:kern w:val="0"/>
          <w:highlight w:val="none"/>
        </w:rPr>
        <w:t>，累计不超过</w:t>
      </w:r>
      <w:r>
        <w:rPr>
          <w:rFonts w:hint="eastAsia" w:ascii="宋体" w:hAnsi="宋体" w:cs="Microsoft Sans Serif"/>
          <w:color w:val="auto"/>
          <w:kern w:val="0"/>
          <w:highlight w:val="none"/>
          <w:u w:val="single"/>
        </w:rPr>
        <w:t>20万</w:t>
      </w:r>
      <w:r>
        <w:rPr>
          <w:rFonts w:hint="eastAsia" w:ascii="宋体" w:hAnsi="宋体" w:cs="Microsoft Sans Serif"/>
          <w:color w:val="auto"/>
          <w:kern w:val="0"/>
          <w:highlight w:val="none"/>
        </w:rPr>
        <w:t>；项目经理被责令停止执业的，按签约合同价的</w:t>
      </w:r>
      <w:r>
        <w:rPr>
          <w:rFonts w:hint="eastAsia" w:ascii="宋体" w:hAnsi="宋体" w:cs="Microsoft Sans Serif"/>
          <w:color w:val="auto"/>
          <w:kern w:val="0"/>
          <w:highlight w:val="none"/>
          <w:u w:val="single"/>
        </w:rPr>
        <w:t>0.5%/人•次</w:t>
      </w:r>
      <w:r>
        <w:rPr>
          <w:rFonts w:hint="eastAsia" w:ascii="宋体" w:hAnsi="宋体" w:cs="Microsoft Sans Serif"/>
          <w:color w:val="auto"/>
          <w:kern w:val="0"/>
          <w:highlight w:val="none"/>
        </w:rPr>
        <w:t>支付违约金，每次不低于1</w:t>
      </w:r>
      <w:r>
        <w:rPr>
          <w:rFonts w:hint="eastAsia" w:ascii="宋体" w:hAnsi="宋体" w:cs="Microsoft Sans Serif"/>
          <w:color w:val="auto"/>
          <w:kern w:val="0"/>
          <w:highlight w:val="none"/>
          <w:u w:val="single"/>
        </w:rPr>
        <w:t>0</w:t>
      </w:r>
      <w:r>
        <w:rPr>
          <w:rFonts w:hint="eastAsia" w:ascii="宋体" w:hAnsi="宋体" w:cs="Microsoft Sans Serif"/>
          <w:color w:val="auto"/>
          <w:kern w:val="0"/>
          <w:highlight w:val="none"/>
        </w:rPr>
        <w:t>万，累计不超过</w:t>
      </w:r>
      <w:r>
        <w:rPr>
          <w:rFonts w:hint="eastAsia" w:ascii="宋体" w:hAnsi="宋体" w:cs="Microsoft Sans Serif"/>
          <w:color w:val="auto"/>
          <w:kern w:val="0"/>
          <w:highlight w:val="none"/>
          <w:u w:val="single"/>
        </w:rPr>
        <w:t>20</w:t>
      </w:r>
      <w:r>
        <w:rPr>
          <w:rFonts w:hint="eastAsia" w:ascii="宋体" w:hAnsi="宋体" w:cs="Microsoft Sans Serif"/>
          <w:color w:val="auto"/>
          <w:kern w:val="0"/>
          <w:highlight w:val="none"/>
        </w:rPr>
        <w:t>万。</w:t>
      </w:r>
    </w:p>
    <w:p w14:paraId="2908064C">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2）主要技术负责人违约承担方式和计算方法：对于第16.2.1项（12）目的六种情形，每发现一次，根据具体情节，按</w:t>
      </w:r>
      <w:r>
        <w:rPr>
          <w:rFonts w:hint="eastAsia" w:ascii="宋体" w:hAnsi="宋体" w:cs="Microsoft Sans Serif"/>
          <w:color w:val="auto"/>
          <w:kern w:val="0"/>
          <w:highlight w:val="none"/>
          <w:u w:val="single"/>
        </w:rPr>
        <w:t>1000元/天·次</w:t>
      </w:r>
      <w:r>
        <w:rPr>
          <w:rFonts w:hint="eastAsia" w:ascii="宋体" w:hAnsi="宋体" w:cs="Microsoft Sans Serif"/>
          <w:color w:val="auto"/>
          <w:kern w:val="0"/>
          <w:highlight w:val="none"/>
        </w:rPr>
        <w:t>计算违约金；擅自更换主要技术负责人的，按签约合同价的</w:t>
      </w:r>
      <w:r>
        <w:rPr>
          <w:rFonts w:hint="eastAsia" w:ascii="宋体" w:hAnsi="宋体" w:cs="Microsoft Sans Serif"/>
          <w:color w:val="auto"/>
          <w:kern w:val="0"/>
          <w:highlight w:val="none"/>
          <w:u w:val="single"/>
        </w:rPr>
        <w:t>0.5%/人·次</w:t>
      </w:r>
      <w:r>
        <w:rPr>
          <w:rFonts w:hint="eastAsia" w:ascii="宋体" w:hAnsi="宋体" w:cs="Microsoft Sans Serif"/>
          <w:color w:val="auto"/>
          <w:kern w:val="0"/>
          <w:highlight w:val="none"/>
        </w:rPr>
        <w:t>支付违约金，每次不低于</w:t>
      </w:r>
      <w:r>
        <w:rPr>
          <w:rFonts w:hint="eastAsia" w:ascii="宋体" w:hAnsi="宋体" w:cs="Microsoft Sans Serif"/>
          <w:color w:val="auto"/>
          <w:kern w:val="0"/>
          <w:highlight w:val="none"/>
          <w:u w:val="single"/>
        </w:rPr>
        <w:t>5万</w:t>
      </w:r>
      <w:r>
        <w:rPr>
          <w:rFonts w:hint="eastAsia" w:ascii="宋体" w:hAnsi="宋体" w:cs="Microsoft Sans Serif"/>
          <w:color w:val="auto"/>
          <w:kern w:val="0"/>
          <w:highlight w:val="none"/>
        </w:rPr>
        <w:t>，累计不超过</w:t>
      </w:r>
      <w:r>
        <w:rPr>
          <w:rFonts w:hint="eastAsia" w:ascii="宋体" w:hAnsi="宋体" w:cs="Microsoft Sans Serif"/>
          <w:color w:val="auto"/>
          <w:kern w:val="0"/>
          <w:highlight w:val="none"/>
          <w:u w:val="single"/>
        </w:rPr>
        <w:t>10万</w:t>
      </w:r>
      <w:r>
        <w:rPr>
          <w:rFonts w:hint="eastAsia" w:ascii="宋体" w:hAnsi="宋体" w:cs="Microsoft Sans Serif"/>
          <w:color w:val="auto"/>
          <w:kern w:val="0"/>
          <w:highlight w:val="none"/>
        </w:rPr>
        <w:t>。</w:t>
      </w:r>
    </w:p>
    <w:p w14:paraId="0EDC7736">
      <w:pPr>
        <w:snapToGrid w:val="0"/>
        <w:spacing w:line="360" w:lineRule="auto"/>
        <w:ind w:firstLine="420" w:firstLineChars="200"/>
        <w:jc w:val="left"/>
        <w:rPr>
          <w:rFonts w:hint="eastAsia" w:ascii="宋体" w:hAnsi="宋体"/>
          <w:color w:val="auto"/>
          <w:highlight w:val="none"/>
        </w:rPr>
      </w:pPr>
      <w:r>
        <w:rPr>
          <w:rFonts w:hint="eastAsia" w:ascii="宋体" w:hAnsi="宋体" w:cs="Microsoft Sans Serif"/>
          <w:color w:val="auto"/>
          <w:kern w:val="0"/>
          <w:highlight w:val="none"/>
        </w:rPr>
        <w:t>3）主要施工管理人员违约承担方式和计算方法：对于第16.2.1项（13）目的五种情形，每发现一次，根据具体情节，按</w:t>
      </w:r>
      <w:r>
        <w:rPr>
          <w:rFonts w:hint="eastAsia" w:ascii="宋体" w:hAnsi="宋体" w:cs="Microsoft Sans Serif"/>
          <w:color w:val="auto"/>
          <w:kern w:val="0"/>
          <w:highlight w:val="none"/>
          <w:u w:val="single"/>
        </w:rPr>
        <w:t>500元/天·次</w:t>
      </w:r>
      <w:r>
        <w:rPr>
          <w:rFonts w:hint="eastAsia" w:ascii="宋体" w:hAnsi="宋体" w:cs="Microsoft Sans Serif"/>
          <w:color w:val="auto"/>
          <w:kern w:val="0"/>
          <w:highlight w:val="none"/>
        </w:rPr>
        <w:t>计算违约金。</w:t>
      </w:r>
    </w:p>
    <w:p w14:paraId="5762294C">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（18）</w:t>
      </w:r>
      <w:r>
        <w:rPr>
          <w:rFonts w:hint="eastAsia" w:ascii="宋体" w:hAnsi="宋体" w:cs="Microsoft Sans Serif"/>
          <w:color w:val="auto"/>
          <w:kern w:val="0"/>
          <w:highlight w:val="none"/>
          <w:u w:val="single"/>
        </w:rPr>
        <w:t xml:space="preserve"> 以上（1）～（17）条违约金可累计计算 </w:t>
      </w:r>
      <w:r>
        <w:rPr>
          <w:rFonts w:hint="eastAsia" w:ascii="宋体" w:hAnsi="宋体" w:cs="Microsoft Sans Serif"/>
          <w:color w:val="auto"/>
          <w:kern w:val="0"/>
          <w:highlight w:val="none"/>
        </w:rPr>
        <w:t>。</w:t>
      </w:r>
    </w:p>
    <w:p w14:paraId="33C9B3BA">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highlight w:val="none"/>
        </w:rPr>
        <w:t>16.2.2项第（1）目承担违约责任</w:t>
      </w:r>
      <w:r>
        <w:rPr>
          <w:rFonts w:hint="eastAsia" w:ascii="宋体" w:hAnsi="宋体" w:cs="Microsoft Sans Serif"/>
          <w:color w:val="auto"/>
          <w:highlight w:val="none"/>
        </w:rPr>
        <w:t>，并从应付或到期应付给承包人的任何款项中或采用其他方法，扣除该违约金。</w:t>
      </w:r>
    </w:p>
    <w:p w14:paraId="14C75349">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highlight w:val="none"/>
        </w:rPr>
        <w:t>，承担由此给</w:t>
      </w:r>
      <w:r>
        <w:rPr>
          <w:rFonts w:hint="eastAsia" w:ascii="宋体" w:hAnsi="宋体" w:cs="Microsoft Sans Serif"/>
          <w:color w:val="auto"/>
          <w:highlight w:val="none"/>
        </w:rPr>
        <w:t>发包人造成的经济损失。</w:t>
      </w:r>
    </w:p>
    <w:p w14:paraId="1A01B708">
      <w:pPr>
        <w:snapToGrid w:val="0"/>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highlight w:val="none"/>
        </w:rPr>
        <w:t>承包人承担承包范围的工程质量、安全、环保责任，因承包人原因引起的质量、安全、环保等事故由承包人承担相应的法律后果。</w:t>
      </w:r>
    </w:p>
    <w:p w14:paraId="78FA43A3">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16.2.3 因承包人违约解除合同</w:t>
      </w:r>
    </w:p>
    <w:p w14:paraId="38552403">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因承包人违约并致使合同目的不能实现的，发包人有权解除合同：</w:t>
      </w:r>
    </w:p>
    <w:p w14:paraId="77F06291">
      <w:pPr>
        <w:pStyle w:val="76"/>
        <w:spacing w:line="360" w:lineRule="auto"/>
        <w:jc w:val="left"/>
        <w:rPr>
          <w:rFonts w:hint="eastAsia"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（1）未按合同约定延迟提供履约担保、质量保证金超过14天的；</w:t>
      </w:r>
    </w:p>
    <w:p w14:paraId="59BDC922">
      <w:pPr>
        <w:pStyle w:val="76"/>
        <w:spacing w:line="360" w:lineRule="auto"/>
        <w:jc w:val="left"/>
        <w:rPr>
          <w:rFonts w:hint="eastAsia"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（2）未按合同约定购买保险且经催告后超过56天的；</w:t>
      </w:r>
    </w:p>
    <w:p w14:paraId="237B2538">
      <w:pPr>
        <w:pStyle w:val="76"/>
        <w:spacing w:line="360" w:lineRule="auto"/>
        <w:jc w:val="left"/>
        <w:rPr>
          <w:rFonts w:hint="eastAsia"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（3）因承包人原因导致开工时间累计延误超过56天的；</w:t>
      </w:r>
    </w:p>
    <w:p w14:paraId="486C5ECE">
      <w:pPr>
        <w:pStyle w:val="76"/>
        <w:spacing w:line="360" w:lineRule="auto"/>
        <w:jc w:val="left"/>
        <w:rPr>
          <w:rFonts w:hint="eastAsia"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（4）因承包人原因导致工期延误超过90天的；</w:t>
      </w:r>
    </w:p>
    <w:p w14:paraId="05D65683">
      <w:pPr>
        <w:pStyle w:val="76"/>
        <w:spacing w:line="360" w:lineRule="auto"/>
        <w:jc w:val="left"/>
        <w:rPr>
          <w:rFonts w:hint="eastAsia"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（5）发生第21.2款〔退出机制〕约定的情形的；</w:t>
      </w:r>
    </w:p>
    <w:p w14:paraId="2B815F65">
      <w:pPr>
        <w:pStyle w:val="76"/>
        <w:spacing w:line="360" w:lineRule="auto"/>
        <w:jc w:val="left"/>
        <w:rPr>
          <w:rFonts w:hint="eastAsia"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（6）监理人发出整改通知后，承包人在监理人限定的期限内仍不纠正违约行为的；</w:t>
      </w:r>
    </w:p>
    <w:p w14:paraId="42CE9EA8">
      <w:pPr>
        <w:pStyle w:val="76"/>
        <w:spacing w:line="360" w:lineRule="auto"/>
        <w:jc w:val="left"/>
        <w:rPr>
          <w:rFonts w:hint="eastAsia"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（7）承包人进入清算或者严重资不抵债且无法履行合同的；</w:t>
      </w:r>
    </w:p>
    <w:p w14:paraId="51385C79">
      <w:pPr>
        <w:spacing w:line="360" w:lineRule="auto"/>
        <w:ind w:firstLine="420" w:firstLineChars="200"/>
        <w:jc w:val="left"/>
        <w:rPr>
          <w:rFonts w:hint="eastAsia" w:ascii="宋体" w:hAnsi="宋体" w:cs="Microsoft Sans Serif"/>
          <w:color w:val="auto"/>
          <w:kern w:val="0"/>
          <w:szCs w:val="21"/>
          <w:highlight w:val="none"/>
        </w:rPr>
      </w:pPr>
      <w:r>
        <w:rPr>
          <w:rFonts w:hint="eastAsia" w:ascii="宋体" w:hAnsi="宋体" w:cs="Microsoft Sans Serif"/>
          <w:color w:val="auto"/>
          <w:kern w:val="0"/>
          <w:highlight w:val="none"/>
        </w:rPr>
        <w:t>（8）违反适用法律而被相关政府部门依法吊销营业执照、责令停业、清算或宣布破产、责令关闭的；</w:t>
      </w:r>
    </w:p>
    <w:p w14:paraId="7FA66627">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（9）承包人未履行合同项下的义务构成对合同的实质性违约，并且在收到发包人要求说明其违约并予以补救的通知后56天内仍未能补救该实质性违约的；</w:t>
      </w:r>
    </w:p>
    <w:p w14:paraId="74D21912">
      <w:pPr>
        <w:pStyle w:val="76"/>
        <w:spacing w:line="360" w:lineRule="auto"/>
        <w:jc w:val="left"/>
        <w:rPr>
          <w:rFonts w:hint="eastAsia"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w:t>
      </w:r>
      <w:r>
        <w:rPr>
          <w:rFonts w:hint="eastAsia" w:ascii="宋体" w:hAnsi="宋体" w:cs="Microsoft Sans Serif"/>
          <w:color w:val="auto"/>
          <w:kern w:val="0"/>
          <w:sz w:val="21"/>
          <w:szCs w:val="21"/>
          <w:highlight w:val="none"/>
          <w:u w:val="single"/>
        </w:rPr>
        <w:t>合同约定的发包人有权解除合同的其他情形</w:t>
      </w:r>
      <w:r>
        <w:rPr>
          <w:rFonts w:hint="eastAsia" w:ascii="宋体" w:hAnsi="宋体" w:cs="Microsoft Sans Serif"/>
          <w:color w:val="auto"/>
          <w:kern w:val="0"/>
          <w:sz w:val="21"/>
          <w:szCs w:val="21"/>
          <w:highlight w:val="none"/>
        </w:rPr>
        <w:t>。</w:t>
      </w:r>
    </w:p>
    <w:p w14:paraId="07837FCF">
      <w:pPr>
        <w:spacing w:line="360" w:lineRule="auto"/>
        <w:ind w:firstLine="420" w:firstLineChars="200"/>
        <w:jc w:val="left"/>
        <w:rPr>
          <w:rFonts w:hint="eastAsia" w:ascii="宋体" w:hAnsi="宋体" w:cs="Microsoft Sans Serif"/>
          <w:color w:val="auto"/>
          <w:kern w:val="0"/>
          <w:szCs w:val="21"/>
          <w:highlight w:val="none"/>
        </w:rPr>
      </w:pPr>
      <w:r>
        <w:rPr>
          <w:rFonts w:hint="eastAsia" w:ascii="宋体" w:hAnsi="宋体" w:cs="Microsoft Sans Serif"/>
          <w:color w:val="auto"/>
          <w:kern w:val="0"/>
          <w:highlight w:val="none"/>
        </w:rPr>
        <w:t>16.2.4因承包人违约解除合同后的处理</w:t>
      </w:r>
    </w:p>
    <w:p w14:paraId="49F6689D">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因承包人违约导致合同解除的，合同当事人应在合同解除后56天内完成估价、付款和清算，并按以下约定执行：</w:t>
      </w:r>
    </w:p>
    <w:p w14:paraId="309C91C5">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（1）合同解除后，按第14.2款结算审定方式确定承包人实际完成工作对应的合同价款，以及承包人已提供的材料、工程设备、施工设备和临时工程等的价值；</w:t>
      </w:r>
    </w:p>
    <w:p w14:paraId="3DA32E07">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（2）合同解除后，承包人应支付违约金；</w:t>
      </w:r>
    </w:p>
    <w:p w14:paraId="4F0694EB">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（3）合同解除后，赔偿因解除合同给发包人造成的损失；</w:t>
      </w:r>
    </w:p>
    <w:p w14:paraId="3C1AB997">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（4）合同解除后，承包人应按照发包人要求和监理人的指示完成现场的清理和撤离。</w:t>
      </w:r>
    </w:p>
    <w:p w14:paraId="7D9C910F">
      <w:pPr>
        <w:spacing w:line="360" w:lineRule="auto"/>
        <w:ind w:firstLine="420" w:firstLineChars="200"/>
        <w:jc w:val="left"/>
        <w:rPr>
          <w:rFonts w:hint="eastAsia" w:ascii="宋体" w:hAnsi="宋体"/>
          <w:color w:val="auto"/>
          <w:highlight w:val="none"/>
        </w:rPr>
      </w:pPr>
      <w:r>
        <w:rPr>
          <w:rFonts w:hint="eastAsia" w:ascii="宋体" w:hAnsi="宋体" w:cs="Microsoft Sans Serif"/>
          <w:color w:val="auto"/>
          <w:kern w:val="0"/>
          <w:highlight w:val="none"/>
        </w:rPr>
        <w:t>（5）</w:t>
      </w:r>
      <w:r>
        <w:rPr>
          <w:rFonts w:hint="eastAsia" w:ascii="宋体" w:hAnsi="宋体" w:cs="Microsoft Sans Serif"/>
          <w:color w:val="auto"/>
          <w:kern w:val="0"/>
          <w:highlight w:val="none"/>
          <w:u w:val="single"/>
        </w:rPr>
        <w:t xml:space="preserve">        </w:t>
      </w:r>
      <w:r>
        <w:rPr>
          <w:rFonts w:hint="eastAsia" w:ascii="宋体" w:hAnsi="宋体" w:cs="Microsoft Sans Serif"/>
          <w:color w:val="auto"/>
          <w:kern w:val="0"/>
          <w:highlight w:val="none"/>
        </w:rPr>
        <w:t>。</w:t>
      </w:r>
    </w:p>
    <w:p w14:paraId="4B77BDFB">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14:paraId="2297CF75">
      <w:pPr>
        <w:spacing w:line="360" w:lineRule="auto"/>
        <w:ind w:firstLine="420" w:firstLineChars="200"/>
        <w:jc w:val="left"/>
        <w:rPr>
          <w:rFonts w:hint="eastAsia" w:ascii="宋体" w:hAnsi="宋体" w:cs="Microsoft Sans Serif"/>
          <w:color w:val="auto"/>
          <w:kern w:val="0"/>
          <w:highlight w:val="none"/>
        </w:rPr>
      </w:pPr>
      <w:r>
        <w:rPr>
          <w:rFonts w:hint="eastAsia" w:ascii="宋体" w:hAnsi="宋体" w:cs="Microsoft Sans Serif"/>
          <w:color w:val="auto"/>
          <w:kern w:val="0"/>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14:paraId="66862D41">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17. 不可抗力</w:t>
      </w:r>
    </w:p>
    <w:p w14:paraId="1FB0BFB6">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17.1 不可抗力的确认</w:t>
      </w:r>
    </w:p>
    <w:p w14:paraId="7EE7928C">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除通用合同条款约定的不可抗力事件之外，视为不可抗力的其他情形：</w:t>
      </w:r>
    </w:p>
    <w:p w14:paraId="5FDCDDE6">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（1）洪水、火山爆发、山崩、山体滑坡、泥石流、龙卷风、隧道内不可预测的突发性地质灾害等自然灾害；</w:t>
      </w:r>
    </w:p>
    <w:p w14:paraId="157931D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（2）骚乱、戒严、封锁、禁运、恐怖行为、等社会行为，但承包人或其分包人派遣与雇佣的人员由于合同工程施工原因引起的除外；</w:t>
      </w:r>
    </w:p>
    <w:p w14:paraId="3767EFB6">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（3）不能合理预见的重大交通阻滞、停运、交通事故，非双方责任引起的火灾、爆炸、船舶撞击等情形；</w:t>
      </w:r>
    </w:p>
    <w:p w14:paraId="004049A4">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（4）化学或放射性污染或核辐射；</w:t>
      </w:r>
    </w:p>
    <w:p w14:paraId="7DE1902E">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（5）环保治理等政府行为导致项目停工的。</w:t>
      </w:r>
    </w:p>
    <w:p w14:paraId="712A8E97">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（6）</w:t>
      </w:r>
      <w:r>
        <w:rPr>
          <w:rFonts w:hint="eastAsia" w:ascii="宋体" w:hAnsi="宋体"/>
          <w:color w:val="auto"/>
          <w:highlight w:val="none"/>
          <w:u w:val="single"/>
        </w:rPr>
        <w:t xml:space="preserve">        </w:t>
      </w:r>
      <w:r>
        <w:rPr>
          <w:rFonts w:hint="eastAsia" w:ascii="宋体" w:hAnsi="宋体"/>
          <w:color w:val="auto"/>
          <w:highlight w:val="none"/>
        </w:rPr>
        <w:t>。</w:t>
      </w:r>
    </w:p>
    <w:p w14:paraId="759BB7AB">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17.3 不可抗力后果的承担</w:t>
      </w:r>
    </w:p>
    <w:p w14:paraId="69B64290">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17.3.1 不可抗力引起的后果及造成的损失由合同当事人按照法律规定及合同约定各自承担。不可抗力发生前已完成的工程应当按照合同约定进行计量支付。</w:t>
      </w:r>
    </w:p>
    <w:p w14:paraId="603EEBB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17.3.2 不可抗力导致的人员伤亡、财产损失、费用增加和（或）工期延误等后果，由合同当事人按以下原则承担：</w:t>
      </w:r>
    </w:p>
    <w:p w14:paraId="78EE2D8C">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（1）永久工程、已运至施工现场的施工材料和工程设备的损坏，以及因工程损坏造成的第三方人员伤亡和财产损失由发包人承担；</w:t>
      </w:r>
    </w:p>
    <w:p w14:paraId="61DCA5A3">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（2）承包人施工设备的损坏由承包人承担；</w:t>
      </w:r>
    </w:p>
    <w:p w14:paraId="34C6ED9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（3）发包人和承包人承担各自人员伤亡和财产的损失；</w:t>
      </w:r>
    </w:p>
    <w:p w14:paraId="560E9FF4">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（4）因不可抗力影响承包人履行合同约定的义务，已经引起或将引起工期延误的，应当顺延工期，由此导致承包人停工的费用损失由发包人和承包人合理共担；</w:t>
      </w:r>
    </w:p>
    <w:p w14:paraId="2DCA94CE">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（5）因不可抗力引起或将引起工期延误，发包人要求赶工的，由此增加的赶工费用由发包人承担；</w:t>
      </w:r>
    </w:p>
    <w:p w14:paraId="1AB34D87">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（6）承包人在停工期间按照发包人要求照管、清理和修复工程的费用由发包人承担；</w:t>
      </w:r>
    </w:p>
    <w:p w14:paraId="2BC300CA">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（7）不可抗力事件发生后，合同当事人均应采取措施尽量避免和减少损失的扩大，任何一方当事人没有采取有效措施导致损失扩大的，应对扩大的损失承担责任。</w:t>
      </w:r>
    </w:p>
    <w:p w14:paraId="6F947DF7">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u w:val="single"/>
        </w:rPr>
        <w:t xml:space="preserve">        </w:t>
      </w:r>
      <w:r>
        <w:rPr>
          <w:rFonts w:hint="eastAsia" w:ascii="宋体" w:hAnsi="宋体"/>
          <w:color w:val="auto"/>
          <w:highlight w:val="none"/>
        </w:rPr>
        <w:t>。</w:t>
      </w:r>
    </w:p>
    <w:p w14:paraId="31ED11D4">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17.4 因不可抗力解除合同</w:t>
      </w:r>
    </w:p>
    <w:p w14:paraId="2DA2FB6C">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合同解除后，发包人应在商定或确定发包人应支付款项后</w:t>
      </w:r>
      <w:r>
        <w:rPr>
          <w:rFonts w:hint="eastAsia" w:ascii="宋体" w:hAnsi="宋体"/>
          <w:color w:val="auto"/>
          <w:highlight w:val="none"/>
          <w:u w:val="single"/>
        </w:rPr>
        <w:t>28</w:t>
      </w:r>
      <w:r>
        <w:rPr>
          <w:rFonts w:hint="eastAsia" w:ascii="宋体" w:hAnsi="宋体"/>
          <w:color w:val="auto"/>
          <w:highlight w:val="none"/>
        </w:rPr>
        <w:t>天内完成款项的支付。</w:t>
      </w:r>
    </w:p>
    <w:p w14:paraId="6F76793B">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18. 保险</w:t>
      </w:r>
    </w:p>
    <w:p w14:paraId="185482B4">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18.1 工程保险</w:t>
      </w:r>
    </w:p>
    <w:p w14:paraId="32D02EEB">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关于工程保险的特别约定：发包人应投保</w:t>
      </w:r>
      <w:r>
        <w:rPr>
          <w:rFonts w:hint="eastAsia" w:ascii="宋体" w:hAnsi="宋体"/>
          <w:color w:val="auto"/>
          <w:highlight w:val="none"/>
          <w:u w:val="single"/>
        </w:rPr>
        <w:t>建筑工程一切险或安装工程一切险</w:t>
      </w:r>
      <w:r>
        <w:rPr>
          <w:rFonts w:hint="eastAsia" w:ascii="宋体" w:hAnsi="宋体"/>
          <w:color w:val="auto"/>
          <w:highlight w:val="none"/>
        </w:rPr>
        <w:t>；发包人委托承包人投保的，因投保产生的保险费和其他相关费用由发包人承担。</w:t>
      </w:r>
    </w:p>
    <w:p w14:paraId="022FBABA">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18.3 其他保险</w:t>
      </w:r>
    </w:p>
    <w:p w14:paraId="1F9F1194">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关于其他保险的约定：</w:t>
      </w:r>
      <w:r>
        <w:rPr>
          <w:rFonts w:hint="eastAsia" w:ascii="宋体" w:hAnsi="宋体"/>
          <w:color w:val="auto"/>
          <w:highlight w:val="none"/>
          <w:u w:val="single"/>
        </w:rPr>
        <w:t xml:space="preserve">    /    </w:t>
      </w:r>
      <w:r>
        <w:rPr>
          <w:rFonts w:hint="eastAsia" w:ascii="宋体" w:hAnsi="宋体"/>
          <w:color w:val="auto"/>
          <w:highlight w:val="none"/>
        </w:rPr>
        <w:t>。</w:t>
      </w:r>
    </w:p>
    <w:p w14:paraId="47C02144">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承包人是否应为其施工设备等办理财产保险：</w:t>
      </w:r>
      <w:r>
        <w:rPr>
          <w:rFonts w:hint="eastAsia" w:ascii="宋体" w:hAnsi="宋体"/>
          <w:color w:val="auto"/>
          <w:highlight w:val="none"/>
          <w:u w:val="single"/>
        </w:rPr>
        <w:t xml:space="preserve">    /    </w:t>
      </w:r>
      <w:r>
        <w:rPr>
          <w:rFonts w:hint="eastAsia" w:ascii="宋体" w:hAnsi="宋体"/>
          <w:color w:val="auto"/>
          <w:highlight w:val="none"/>
        </w:rPr>
        <w:t>。</w:t>
      </w:r>
    </w:p>
    <w:p w14:paraId="7A231395">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安全生产责任险：</w:t>
      </w:r>
      <w:r>
        <w:rPr>
          <w:rFonts w:hint="eastAsia" w:ascii="宋体" w:hAnsi="宋体"/>
          <w:color w:val="auto"/>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highlight w:val="none"/>
        </w:rPr>
        <w:t>。</w:t>
      </w:r>
    </w:p>
    <w:p w14:paraId="3A75E0D6">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18.7 通知义务</w:t>
      </w:r>
    </w:p>
    <w:p w14:paraId="1C5EB07B">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关于变更保险合同时的通知义务的约定：</w:t>
      </w:r>
      <w:r>
        <w:rPr>
          <w:rFonts w:hint="eastAsia" w:ascii="宋体" w:hAnsi="宋体"/>
          <w:color w:val="auto"/>
          <w:highlight w:val="none"/>
          <w:u w:val="single"/>
        </w:rPr>
        <w:t>按通用合同条款执行</w:t>
      </w:r>
      <w:r>
        <w:rPr>
          <w:rFonts w:hint="eastAsia" w:ascii="宋体" w:hAnsi="宋体"/>
          <w:color w:val="auto"/>
          <w:highlight w:val="none"/>
        </w:rPr>
        <w:t>。</w:t>
      </w:r>
    </w:p>
    <w:p w14:paraId="1E4E969E">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18.8 其他</w:t>
      </w:r>
    </w:p>
    <w:p w14:paraId="186CBFCA">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18.8.1 工程开工日前，承包人向发包人提交各项生效的保险证据和保险单副本。未按本项约定提交的，每延后1天，承包人按500元/天支付违约金。</w:t>
      </w:r>
    </w:p>
    <w:p w14:paraId="519CA694">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18.8.2 承包人保险赔偿金不足以补偿发包人损失时，差额由承包人负责补足。</w:t>
      </w:r>
    </w:p>
    <w:p w14:paraId="3BF7248A">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19. 索赔</w:t>
      </w:r>
    </w:p>
    <w:p w14:paraId="4AB43C27">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19.1 承包人的索赔</w:t>
      </w:r>
    </w:p>
    <w:p w14:paraId="2CA8F8F2">
      <w:pPr>
        <w:autoSpaceDE w:val="0"/>
        <w:autoSpaceDN w:val="0"/>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根据合同约定，承包人认为有权得到追加付款和（或）延长工期的，应按以下程序向发包人提出索赔：</w:t>
      </w:r>
    </w:p>
    <w:p w14:paraId="17869F2A">
      <w:pPr>
        <w:autoSpaceDE w:val="0"/>
        <w:autoSpaceDN w:val="0"/>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（1）承包人应在索赔事件发生后28天内，向监理人递交索赔意向通知书，并说明发生索赔事件的事由；承包人未在前述28天内发出索赔意向通知书的，丧失要求追加付款和（或）延长工期的权利；</w:t>
      </w:r>
    </w:p>
    <w:p w14:paraId="75442816">
      <w:pPr>
        <w:autoSpaceDE w:val="0"/>
        <w:autoSpaceDN w:val="0"/>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（2）承包人应在发出索赔意向通知书后28天内，向监理人正式递交索赔报告；索赔报告应详细说明索赔理由以及要求追加的付款金额和（或）延长的工期，并附必要的记录和证明材料；</w:t>
      </w:r>
    </w:p>
    <w:p w14:paraId="39838059">
      <w:pPr>
        <w:autoSpaceDE w:val="0"/>
        <w:autoSpaceDN w:val="0"/>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（3）索赔事件具有持续影响的，承包人应按监理人要求的合理时间间隔继续递交延续索赔通知，说明持续影响的实际情况和记录，列出累计的追加付款金额和（或）工期延长天数；</w:t>
      </w:r>
    </w:p>
    <w:p w14:paraId="1F1926C4">
      <w:pPr>
        <w:autoSpaceDE w:val="0"/>
        <w:autoSpaceDN w:val="0"/>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（4）在索赔事件影响结束后28天内，承包人应向监理人递交最终索赔报告，说明最终要求索赔的追加付款金额和（或）延长的工期，并附必要的记录和证明材料。</w:t>
      </w:r>
    </w:p>
    <w:p w14:paraId="6D929A55">
      <w:pPr>
        <w:autoSpaceDE w:val="0"/>
        <w:autoSpaceDN w:val="0"/>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（5）</w:t>
      </w:r>
      <w:r>
        <w:rPr>
          <w:rFonts w:hint="eastAsia" w:ascii="宋体" w:hAnsi="宋体"/>
          <w:color w:val="auto"/>
          <w:highlight w:val="none"/>
          <w:u w:val="single"/>
        </w:rPr>
        <w:t xml:space="preserve">        </w:t>
      </w:r>
      <w:r>
        <w:rPr>
          <w:rFonts w:hint="eastAsia" w:ascii="宋体" w:hAnsi="宋体"/>
          <w:color w:val="auto"/>
          <w:highlight w:val="none"/>
        </w:rPr>
        <w:t>。</w:t>
      </w:r>
    </w:p>
    <w:p w14:paraId="0BDDCF17">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19.2 对承包人索赔的处理</w:t>
      </w:r>
    </w:p>
    <w:p w14:paraId="73289F30">
      <w:pPr>
        <w:autoSpaceDE w:val="0"/>
        <w:autoSpaceDN w:val="0"/>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对承包人索赔的处理如下：</w:t>
      </w:r>
    </w:p>
    <w:p w14:paraId="1D21078E">
      <w:pPr>
        <w:autoSpaceDE w:val="0"/>
        <w:autoSpaceDN w:val="0"/>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highlight w:val="none"/>
        </w:rPr>
        <w:t>；</w:t>
      </w:r>
    </w:p>
    <w:p w14:paraId="421D1261">
      <w:pPr>
        <w:autoSpaceDE w:val="0"/>
        <w:autoSpaceDN w:val="0"/>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highlight w:val="none"/>
        </w:rPr>
        <w:t>；</w:t>
      </w:r>
    </w:p>
    <w:p w14:paraId="0A8CBD43">
      <w:pPr>
        <w:autoSpaceDE w:val="0"/>
        <w:autoSpaceDN w:val="0"/>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highlight w:val="none"/>
        </w:rPr>
        <w:t>；</w:t>
      </w:r>
    </w:p>
    <w:p w14:paraId="6FB096AB">
      <w:pPr>
        <w:autoSpaceDE w:val="0"/>
        <w:autoSpaceDN w:val="0"/>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u w:val="single"/>
        </w:rPr>
        <w:t>（4）工期延误的关键线路按照经监理人、发包人审批同意的施工组织设计计算</w:t>
      </w:r>
      <w:r>
        <w:rPr>
          <w:rFonts w:hint="eastAsia" w:ascii="宋体" w:hAnsi="宋体"/>
          <w:color w:val="auto"/>
          <w:highlight w:val="none"/>
        </w:rPr>
        <w:t>。</w:t>
      </w:r>
    </w:p>
    <w:p w14:paraId="667972D6">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19.3发包人的索赔</w:t>
      </w:r>
    </w:p>
    <w:p w14:paraId="545A46F9">
      <w:pPr>
        <w:autoSpaceDE w:val="0"/>
        <w:autoSpaceDN w:val="0"/>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根据合同约定，发包人认为有权得到赔付金额和（或）延长缺陷责任期的，监理人应向承包人发出通知并附有详细的证明。</w:t>
      </w:r>
    </w:p>
    <w:p w14:paraId="306ED87B">
      <w:pPr>
        <w:autoSpaceDE w:val="0"/>
        <w:autoSpaceDN w:val="0"/>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通过监理人向承包人正式递交最终索赔报告。</w:t>
      </w:r>
    </w:p>
    <w:p w14:paraId="601C1955">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19.4 对发包人索赔的处理</w:t>
      </w:r>
    </w:p>
    <w:p w14:paraId="1E9C328D">
      <w:pPr>
        <w:autoSpaceDE w:val="0"/>
        <w:autoSpaceDN w:val="0"/>
        <w:spacing w:line="360" w:lineRule="auto"/>
        <w:ind w:right="105" w:rightChars="50" w:firstLine="420" w:firstLineChars="200"/>
        <w:jc w:val="left"/>
        <w:rPr>
          <w:rFonts w:hint="eastAsia" w:ascii="宋体" w:hAnsi="宋体"/>
          <w:color w:val="auto"/>
          <w:kern w:val="0"/>
          <w:szCs w:val="21"/>
          <w:highlight w:val="none"/>
        </w:rPr>
      </w:pPr>
      <w:r>
        <w:rPr>
          <w:rFonts w:hint="eastAsia" w:ascii="宋体" w:hAnsi="宋体"/>
          <w:color w:val="auto"/>
          <w:kern w:val="0"/>
          <w:highlight w:val="none"/>
        </w:rPr>
        <w:t>对发包人索赔的处理如下：</w:t>
      </w:r>
    </w:p>
    <w:p w14:paraId="7AE04D59">
      <w:pPr>
        <w:autoSpaceDE w:val="0"/>
        <w:autoSpaceDN w:val="0"/>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（1）承包人收到发包人提交的索赔报告后，应及时审查索赔报告的内容、查验发包人证明材料；</w:t>
      </w:r>
    </w:p>
    <w:p w14:paraId="03D70232">
      <w:pPr>
        <w:autoSpaceDE w:val="0"/>
        <w:autoSpaceDN w:val="0"/>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448B83B7">
      <w:pPr>
        <w:autoSpaceDE w:val="0"/>
        <w:autoSpaceDN w:val="0"/>
        <w:spacing w:line="360" w:lineRule="auto"/>
        <w:ind w:right="105" w:rightChars="50" w:firstLine="420" w:firstLineChars="200"/>
        <w:jc w:val="left"/>
        <w:rPr>
          <w:rFonts w:hint="eastAsia" w:ascii="宋体" w:hAnsi="宋体"/>
          <w:color w:val="auto"/>
          <w:highlight w:val="none"/>
          <w:u w:val="single"/>
        </w:rPr>
      </w:pPr>
      <w:r>
        <w:rPr>
          <w:rFonts w:hint="eastAsia" w:ascii="宋体" w:hAnsi="宋体"/>
          <w:color w:val="auto"/>
          <w:highlight w:val="none"/>
        </w:rPr>
        <w:t>（3）承包人接受索赔处理结果的，发包人可从应支付给承包人的合同价款中扣除赔付的金额或延长缺陷责任期；发包人不接受索赔处理结果的，按第20条〔争议解决〕约定处理。</w:t>
      </w:r>
    </w:p>
    <w:p w14:paraId="40F2D37F">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19.5 提出索赔的期限</w:t>
      </w:r>
    </w:p>
    <w:p w14:paraId="5C6FDBF7">
      <w:pPr>
        <w:autoSpaceDE w:val="0"/>
        <w:autoSpaceDN w:val="0"/>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任一索赔事件发生后28天内，承包人/发包人未向对方发出索赔意向通知书的，视为其已放弃索赔权，无权再就该索赔事项提出任何索赔。</w:t>
      </w:r>
    </w:p>
    <w:p w14:paraId="5AA102BE">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20. 争议解决</w:t>
      </w:r>
    </w:p>
    <w:p w14:paraId="0BDA42EF">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20.3 争议评审</w:t>
      </w:r>
    </w:p>
    <w:p w14:paraId="4474FDCD">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合同当事人是否同意将工程争议提交争议评审小组决定：</w:t>
      </w:r>
      <w:r>
        <w:rPr>
          <w:rFonts w:hint="eastAsia" w:ascii="宋体" w:hAnsi="宋体"/>
          <w:color w:val="auto"/>
          <w:highlight w:val="none"/>
          <w:u w:val="single"/>
        </w:rPr>
        <w:t xml:space="preserve">        </w:t>
      </w:r>
      <w:r>
        <w:rPr>
          <w:rFonts w:hint="eastAsia" w:ascii="宋体" w:hAnsi="宋体"/>
          <w:color w:val="auto"/>
          <w:highlight w:val="none"/>
        </w:rPr>
        <w:t>。</w:t>
      </w:r>
    </w:p>
    <w:p w14:paraId="345F8C0D">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20.4 仲裁或诉讼</w:t>
      </w:r>
    </w:p>
    <w:p w14:paraId="06E6632A">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因合同及合同有关事项发生的争议，按下列第</w:t>
      </w:r>
      <w:r>
        <w:rPr>
          <w:rFonts w:hint="eastAsia" w:ascii="宋体" w:hAnsi="宋体"/>
          <w:color w:val="auto"/>
          <w:highlight w:val="none"/>
          <w:u w:val="single"/>
        </w:rPr>
        <w:t xml:space="preserve"> （2）</w:t>
      </w:r>
      <w:r>
        <w:rPr>
          <w:rFonts w:hint="eastAsia" w:ascii="宋体" w:hAnsi="宋体"/>
          <w:color w:val="auto"/>
          <w:highlight w:val="none"/>
        </w:rPr>
        <w:t>种方式解决：</w:t>
      </w:r>
    </w:p>
    <w:p w14:paraId="22F8CF8D">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（1）向</w:t>
      </w:r>
      <w:r>
        <w:rPr>
          <w:rFonts w:hint="eastAsia" w:ascii="宋体" w:hAnsi="宋体"/>
          <w:color w:val="auto"/>
          <w:highlight w:val="none"/>
          <w:u w:val="single"/>
        </w:rPr>
        <w:t xml:space="preserve">                     </w:t>
      </w:r>
      <w:r>
        <w:rPr>
          <w:rFonts w:hint="eastAsia" w:ascii="宋体" w:hAnsi="宋体"/>
          <w:color w:val="auto"/>
          <w:highlight w:val="none"/>
        </w:rPr>
        <w:t>仲裁委员会申请仲裁；</w:t>
      </w:r>
    </w:p>
    <w:p w14:paraId="4360EF65">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（2）向</w:t>
      </w:r>
      <w:r>
        <w:rPr>
          <w:rFonts w:hint="eastAsia" w:ascii="宋体" w:hAnsi="宋体"/>
          <w:color w:val="auto"/>
          <w:highlight w:val="none"/>
          <w:u w:val="single"/>
        </w:rPr>
        <w:t xml:space="preserve"> 重庆市荣昌区</w:t>
      </w:r>
      <w:r>
        <w:rPr>
          <w:rFonts w:hint="eastAsia" w:ascii="宋体" w:hAnsi="宋体"/>
          <w:color w:val="auto"/>
          <w:highlight w:val="none"/>
        </w:rPr>
        <w:t>人民法院起诉。</w:t>
      </w:r>
    </w:p>
    <w:p w14:paraId="76BFD256">
      <w:pPr>
        <w:pStyle w:val="7"/>
        <w:keepNext/>
        <w:keepLines/>
        <w:widowControl w:val="0"/>
        <w:spacing w:beforeLines="50" w:beforeAutospacing="0" w:afterLines="50" w:afterAutospacing="0" w:line="360" w:lineRule="auto"/>
        <w:jc w:val="both"/>
        <w:rPr>
          <w:rFonts w:hint="eastAsia"/>
          <w:bCs w:val="0"/>
          <w:color w:val="auto"/>
          <w:kern w:val="2"/>
          <w:sz w:val="21"/>
          <w:szCs w:val="21"/>
          <w:highlight w:val="none"/>
        </w:rPr>
      </w:pPr>
      <w:r>
        <w:rPr>
          <w:rFonts w:hint="eastAsia"/>
          <w:color w:val="auto"/>
          <w:kern w:val="2"/>
          <w:sz w:val="21"/>
          <w:szCs w:val="21"/>
          <w:highlight w:val="none"/>
        </w:rPr>
        <w:t>21. 补充条款</w:t>
      </w:r>
    </w:p>
    <w:p w14:paraId="64671E13">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21.1 退出机制</w:t>
      </w:r>
    </w:p>
    <w:p w14:paraId="35796A83">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21.1.1有下列情形之一的，发包人有权解除合同，亦有权兑付履约担保，并对承包人做清退出场处理</w:t>
      </w:r>
      <w:r>
        <w:rPr>
          <w:rFonts w:hint="eastAsia" w:ascii="宋体" w:hAnsi="宋体"/>
          <w:color w:val="auto"/>
          <w:kern w:val="0"/>
          <w:highlight w:val="none"/>
        </w:rPr>
        <w:t>：</w:t>
      </w:r>
    </w:p>
    <w:p w14:paraId="1D184FC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（1）因承包人原因造成较大及以上等级生产安全事故或工程质量事故的；</w:t>
      </w:r>
    </w:p>
    <w:p w14:paraId="16EDEAD3">
      <w:pPr>
        <w:spacing w:line="360" w:lineRule="auto"/>
        <w:ind w:right="105" w:rightChars="50" w:firstLine="420" w:firstLineChars="200"/>
        <w:jc w:val="left"/>
        <w:rPr>
          <w:rFonts w:hint="eastAsia" w:ascii="宋体" w:hAnsi="宋体"/>
          <w:color w:val="auto"/>
          <w:kern w:val="0"/>
          <w:highlight w:val="none"/>
        </w:rPr>
      </w:pPr>
      <w:r>
        <w:rPr>
          <w:rFonts w:hint="eastAsia" w:ascii="宋体" w:hAnsi="宋体"/>
          <w:color w:val="auto"/>
          <w:kern w:val="0"/>
          <w:highlight w:val="none"/>
        </w:rPr>
        <w:t>（2）因承包人债权债务纠纷或其他纠纷导致工程无法正常施工的。</w:t>
      </w:r>
    </w:p>
    <w:p w14:paraId="5FA6BE02">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kern w:val="0"/>
          <w:highlight w:val="none"/>
        </w:rPr>
        <w:t>（3）</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28B42965">
      <w:pPr>
        <w:pStyle w:val="3"/>
        <w:spacing w:after="0" w:line="360" w:lineRule="auto"/>
        <w:ind w:firstLine="420" w:firstLineChars="200"/>
        <w:rPr>
          <w:rFonts w:hint="eastAsia" w:ascii="宋体" w:hAnsi="宋体"/>
          <w:color w:val="auto"/>
          <w:highlight w:val="none"/>
        </w:rPr>
      </w:pPr>
      <w:r>
        <w:rPr>
          <w:rFonts w:hint="eastAsia" w:ascii="宋体" w:hAnsi="宋体"/>
          <w:color w:val="auto"/>
          <w:highlight w:val="none"/>
        </w:rPr>
        <w:t>21.1.2有下列情形之一的，承包人有权解除合同，并按16.1.4约定执行：</w:t>
      </w:r>
    </w:p>
    <w:p w14:paraId="138E1866">
      <w:pPr>
        <w:pStyle w:val="3"/>
        <w:spacing w:after="0"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（1）因发包人征地、拆迁、补偿、审批手续等原因致使本工程延期开工超过90天的。</w:t>
      </w:r>
    </w:p>
    <w:p w14:paraId="64D1D6D8">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kern w:val="0"/>
          <w:highlight w:val="none"/>
        </w:rPr>
        <w:t>（2）</w:t>
      </w:r>
      <w:r>
        <w:rPr>
          <w:rFonts w:hint="eastAsia" w:ascii="宋体" w:hAnsi="宋体"/>
          <w:color w:val="auto"/>
          <w:kern w:val="0"/>
          <w:highlight w:val="none"/>
          <w:u w:val="single"/>
        </w:rPr>
        <w:t xml:space="preserve">        </w:t>
      </w:r>
      <w:r>
        <w:rPr>
          <w:rFonts w:hint="eastAsia" w:ascii="宋体" w:hAnsi="宋体"/>
          <w:color w:val="auto"/>
          <w:kern w:val="0"/>
          <w:highlight w:val="none"/>
        </w:rPr>
        <w:t>。</w:t>
      </w:r>
    </w:p>
    <w:p w14:paraId="0C884CD3">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21.2智慧工地</w:t>
      </w:r>
    </w:p>
    <w:p w14:paraId="0F5914DF">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工地建设可参照重庆市城乡建设委员会《关于印发“智慧工地”建设工作方案的通知》（渝建〔2017〕414号）的相关要求建设。</w:t>
      </w:r>
    </w:p>
    <w:p w14:paraId="53942039">
      <w:pPr>
        <w:pStyle w:val="8"/>
        <w:spacing w:before="0" w:beforeAutospacing="0" w:after="0" w:afterAutospacing="0" w:line="360" w:lineRule="auto"/>
        <w:ind w:firstLine="422" w:firstLineChars="200"/>
        <w:rPr>
          <w:rFonts w:hint="eastAsia"/>
          <w:color w:val="auto"/>
          <w:sz w:val="21"/>
          <w:szCs w:val="21"/>
          <w:highlight w:val="none"/>
          <w:u w:val="single"/>
        </w:rPr>
      </w:pPr>
      <w:r>
        <w:rPr>
          <w:rFonts w:hint="eastAsia"/>
          <w:color w:val="auto"/>
          <w:sz w:val="21"/>
          <w:szCs w:val="21"/>
          <w:highlight w:val="none"/>
        </w:rPr>
        <w:t>21.3 低价风险担保</w:t>
      </w:r>
    </w:p>
    <w:p w14:paraId="2511208A">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承包人提供低价风险担保的情形：采用经评审的最低投标价法的项目投标报价低于最高限价85%时。</w:t>
      </w:r>
    </w:p>
    <w:p w14:paraId="474A3B7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承包人提供低价风险担保的形式、金额及期限：</w:t>
      </w:r>
    </w:p>
    <w:p w14:paraId="784CC65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（1）低价风险担保的形式：现金或银行保函或现金+银行保函的组合；采用保函形式的，保函必须为不可撤销、不可转让且见索即付的独立保函；</w:t>
      </w:r>
    </w:p>
    <w:p w14:paraId="674649E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（2）低价风险担保的金额：</w:t>
      </w:r>
      <w:r>
        <w:rPr>
          <w:rFonts w:hint="eastAsia" w:ascii="宋体" w:hAnsi="宋体"/>
          <w:color w:val="auto"/>
          <w:kern w:val="0"/>
          <w:highlight w:val="none"/>
          <w:u w:val="single"/>
        </w:rPr>
        <w:t>（最高限价×85%-中标价）×3，且最高不超过最高限价的85%；</w:t>
      </w:r>
      <w:r>
        <w:rPr>
          <w:rFonts w:hint="eastAsia" w:ascii="仿宋_GB2312" w:hAnsi="宋体" w:eastAsia="仿宋_GB2312" w:cs="宋体"/>
          <w:color w:val="auto"/>
          <w:kern w:val="0"/>
          <w:highlight w:val="none"/>
          <w:u w:val="single"/>
        </w:rPr>
        <w:t xml:space="preserve"> </w:t>
      </w:r>
      <w:r>
        <w:rPr>
          <w:rFonts w:hint="eastAsia" w:ascii="宋体" w:hAnsi="宋体"/>
          <w:color w:val="auto"/>
          <w:highlight w:val="none"/>
        </w:rPr>
        <w:t>；</w:t>
      </w:r>
    </w:p>
    <w:p w14:paraId="1821F7B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（3）低价风险担保的提交时间：</w:t>
      </w:r>
      <w:r>
        <w:rPr>
          <w:rFonts w:hint="eastAsia" w:ascii="宋体" w:hAnsi="宋体"/>
          <w:color w:val="auto"/>
          <w:highlight w:val="none"/>
          <w:u w:val="single"/>
        </w:rPr>
        <w:t>从比选人中标通知书送达拟中标人之日起</w:t>
      </w:r>
      <w:r>
        <w:rPr>
          <w:rFonts w:hint="eastAsia"/>
          <w:color w:val="auto"/>
          <w:highlight w:val="none"/>
          <w:u w:val="single"/>
        </w:rPr>
        <w:t>15</w:t>
      </w:r>
      <w:r>
        <w:rPr>
          <w:rFonts w:hint="eastAsia" w:ascii="宋体" w:hAnsi="宋体"/>
          <w:color w:val="auto"/>
          <w:highlight w:val="none"/>
          <w:u w:val="single"/>
        </w:rPr>
        <w:t>工作日内；</w:t>
      </w:r>
    </w:p>
    <w:p w14:paraId="19E11AD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（4）低价风险担保的期限：</w:t>
      </w:r>
      <w:r>
        <w:rPr>
          <w:rFonts w:hint="eastAsia" w:ascii="宋体" w:hAnsi="宋体"/>
          <w:color w:val="auto"/>
          <w:highlight w:val="none"/>
          <w:u w:val="single"/>
        </w:rPr>
        <w:t>自低价风险担保生效之日起至竣工验收合格之日止</w:t>
      </w:r>
      <w:r>
        <w:rPr>
          <w:rFonts w:hint="eastAsia" w:ascii="宋体" w:hAnsi="宋体"/>
          <w:color w:val="auto"/>
          <w:highlight w:val="none"/>
        </w:rPr>
        <w:t>。</w:t>
      </w:r>
    </w:p>
    <w:p w14:paraId="5FCA8271">
      <w:pPr>
        <w:pStyle w:val="3"/>
        <w:spacing w:after="0" w:line="360" w:lineRule="auto"/>
        <w:ind w:firstLine="420" w:firstLineChars="200"/>
        <w:jc w:val="left"/>
        <w:rPr>
          <w:rFonts w:hint="eastAsia" w:ascii="宋体" w:hAnsi="宋体"/>
          <w:color w:val="auto"/>
          <w:highlight w:val="none"/>
        </w:rPr>
      </w:pPr>
      <w:r>
        <w:rPr>
          <w:rFonts w:hint="eastAsia" w:ascii="宋体" w:hAnsi="宋体"/>
          <w:color w:val="auto"/>
          <w:highlight w:val="none"/>
        </w:rPr>
        <w:t>低价风险担保的退还时间：</w:t>
      </w:r>
      <w:r>
        <w:rPr>
          <w:rFonts w:hint="eastAsia" w:ascii="宋体" w:hAnsi="宋体"/>
          <w:color w:val="auto"/>
          <w:kern w:val="0"/>
          <w:highlight w:val="none"/>
        </w:rPr>
        <w:t>工程竣工验收合格后30日内无息退还</w:t>
      </w:r>
      <w:r>
        <w:rPr>
          <w:rFonts w:hint="eastAsia" w:ascii="宋体" w:hAnsi="宋体"/>
          <w:color w:val="auto"/>
          <w:highlight w:val="none"/>
        </w:rPr>
        <w:t>。</w:t>
      </w:r>
    </w:p>
    <w:p w14:paraId="2FEC2ADB">
      <w:pPr>
        <w:pStyle w:val="3"/>
        <w:spacing w:after="0" w:line="360" w:lineRule="auto"/>
        <w:ind w:firstLine="420" w:firstLineChars="200"/>
        <w:jc w:val="left"/>
        <w:rPr>
          <w:rFonts w:hint="eastAsia" w:ascii="宋体" w:hAnsi="宋体"/>
          <w:color w:val="auto"/>
          <w:highlight w:val="none"/>
        </w:rPr>
      </w:pPr>
      <w:r>
        <w:rPr>
          <w:rFonts w:hint="eastAsia" w:ascii="宋体" w:hAnsi="宋体"/>
          <w:color w:val="auto"/>
          <w:highlight w:val="none"/>
        </w:rPr>
        <w:t>（5）低价风险担保的扣减：</w:t>
      </w:r>
    </w:p>
    <w:p w14:paraId="283C9220">
      <w:pPr>
        <w:pStyle w:val="3"/>
        <w:spacing w:after="0" w:line="360" w:lineRule="auto"/>
        <w:ind w:firstLine="420" w:firstLineChars="200"/>
        <w:jc w:val="left"/>
        <w:rPr>
          <w:rFonts w:hint="eastAsia" w:ascii="宋体" w:hAnsi="宋体"/>
          <w:color w:val="auto"/>
          <w:highlight w:val="none"/>
        </w:rPr>
      </w:pPr>
      <w:r>
        <w:rPr>
          <w:rFonts w:hint="eastAsia" w:ascii="宋体" w:hAnsi="宋体"/>
          <w:color w:val="auto"/>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olor w:val="auto"/>
          <w:highlight w:val="none"/>
          <w:u w:val="single"/>
        </w:rPr>
        <w:t>50～100%</w:t>
      </w:r>
      <w:r>
        <w:rPr>
          <w:rFonts w:hint="eastAsia" w:ascii="宋体" w:hAnsi="宋体"/>
          <w:color w:val="auto"/>
          <w:highlight w:val="none"/>
        </w:rPr>
        <w:t>扣减，直至解除合同；</w:t>
      </w:r>
    </w:p>
    <w:p w14:paraId="263083CD">
      <w:pPr>
        <w:pStyle w:val="3"/>
        <w:spacing w:after="0" w:line="360" w:lineRule="auto"/>
        <w:ind w:firstLine="420" w:firstLineChars="200"/>
        <w:jc w:val="left"/>
        <w:rPr>
          <w:rFonts w:hint="eastAsia" w:ascii="宋体" w:hAnsi="宋体"/>
          <w:color w:val="auto"/>
          <w:highlight w:val="none"/>
        </w:rPr>
      </w:pPr>
      <w:r>
        <w:rPr>
          <w:rFonts w:hint="eastAsia" w:ascii="宋体" w:hAnsi="宋体"/>
          <w:color w:val="auto"/>
          <w:highlight w:val="none"/>
        </w:rPr>
        <w:t>②承包人在工程施工期间或竣工验收时，工程质量不符合国家现行有关施工质量验收规范要求的，按低价风险担保金额的</w:t>
      </w:r>
      <w:r>
        <w:rPr>
          <w:rFonts w:hint="eastAsia" w:ascii="宋体" w:hAnsi="宋体"/>
          <w:color w:val="auto"/>
          <w:highlight w:val="none"/>
          <w:u w:val="single"/>
        </w:rPr>
        <w:t>50～100%</w:t>
      </w:r>
      <w:r>
        <w:rPr>
          <w:rFonts w:hint="eastAsia" w:ascii="宋体" w:hAnsi="宋体"/>
          <w:color w:val="auto"/>
          <w:highlight w:val="none"/>
        </w:rPr>
        <w:t>扣减，直至解除合同；</w:t>
      </w:r>
    </w:p>
    <w:p w14:paraId="16AC8F35">
      <w:pPr>
        <w:pStyle w:val="3"/>
        <w:spacing w:after="0" w:line="360" w:lineRule="auto"/>
        <w:ind w:firstLine="420" w:firstLineChars="200"/>
        <w:jc w:val="left"/>
        <w:rPr>
          <w:rFonts w:hint="eastAsia" w:ascii="宋体" w:hAnsi="宋体"/>
          <w:color w:val="auto"/>
          <w:highlight w:val="none"/>
        </w:rPr>
      </w:pPr>
      <w:r>
        <w:rPr>
          <w:rFonts w:hint="eastAsia" w:ascii="宋体" w:hAnsi="宋体"/>
          <w:color w:val="auto"/>
          <w:highlight w:val="none"/>
        </w:rPr>
        <w:t>③承包人因16.2.3项原因被解除合同的，低价风险担保将全额扣除；</w:t>
      </w:r>
    </w:p>
    <w:p w14:paraId="2938CC7E">
      <w:pPr>
        <w:pStyle w:val="8"/>
        <w:spacing w:before="0" w:beforeAutospacing="0" w:after="0" w:afterAutospacing="0" w:line="360" w:lineRule="auto"/>
        <w:ind w:firstLine="400" w:firstLineChars="200"/>
        <w:rPr>
          <w:rFonts w:hint="eastAsia"/>
          <w:b w:val="0"/>
          <w:bCs w:val="0"/>
          <w:color w:val="auto"/>
          <w:highlight w:val="none"/>
        </w:rPr>
      </w:pPr>
      <w:r>
        <w:rPr>
          <w:rFonts w:hint="eastAsia"/>
          <w:b w:val="0"/>
          <w:bCs w:val="0"/>
          <w:color w:val="auto"/>
          <w:highlight w:val="none"/>
        </w:rPr>
        <w:t>④因承包人过错导致的其他情形：</w:t>
      </w:r>
      <w:r>
        <w:rPr>
          <w:rFonts w:hint="eastAsia"/>
          <w:b w:val="0"/>
          <w:bCs w:val="0"/>
          <w:color w:val="auto"/>
          <w:highlight w:val="none"/>
          <w:u w:val="single"/>
        </w:rPr>
        <w:t xml:space="preserve">        </w:t>
      </w:r>
      <w:r>
        <w:rPr>
          <w:rFonts w:hint="eastAsia"/>
          <w:b w:val="0"/>
          <w:bCs w:val="0"/>
          <w:color w:val="auto"/>
          <w:highlight w:val="none"/>
        </w:rPr>
        <w:t>。</w:t>
      </w:r>
    </w:p>
    <w:p w14:paraId="108961AF">
      <w:pPr>
        <w:pStyle w:val="8"/>
        <w:spacing w:before="0" w:beforeAutospacing="0" w:after="0" w:afterAutospacing="0" w:line="360" w:lineRule="auto"/>
        <w:ind w:firstLine="422" w:firstLineChars="200"/>
        <w:rPr>
          <w:rFonts w:hint="eastAsia"/>
          <w:color w:val="auto"/>
          <w:sz w:val="21"/>
          <w:szCs w:val="21"/>
          <w:highlight w:val="none"/>
          <w:u w:val="single"/>
        </w:rPr>
      </w:pPr>
      <w:r>
        <w:rPr>
          <w:rFonts w:hint="eastAsia"/>
          <w:color w:val="auto"/>
          <w:sz w:val="21"/>
          <w:szCs w:val="21"/>
          <w:highlight w:val="none"/>
        </w:rPr>
        <w:t>21.4 关于不平衡报价的约定：</w:t>
      </w:r>
      <w:r>
        <w:rPr>
          <w:rFonts w:hint="eastAsia"/>
          <w:color w:val="auto"/>
          <w:sz w:val="21"/>
          <w:szCs w:val="21"/>
          <w:highlight w:val="none"/>
          <w:u w:val="single"/>
        </w:rPr>
        <w:t xml:space="preserve"> 无  </w:t>
      </w:r>
    </w:p>
    <w:p w14:paraId="4C006AE1">
      <w:pPr>
        <w:pStyle w:val="8"/>
        <w:spacing w:before="0" w:beforeAutospacing="0" w:after="0" w:afterAutospacing="0" w:line="360" w:lineRule="auto"/>
        <w:ind w:firstLine="422" w:firstLineChars="200"/>
        <w:rPr>
          <w:rFonts w:hint="eastAsia"/>
          <w:color w:val="auto"/>
          <w:sz w:val="21"/>
          <w:szCs w:val="21"/>
          <w:highlight w:val="none"/>
        </w:rPr>
      </w:pPr>
      <w:r>
        <w:rPr>
          <w:rFonts w:hint="eastAsia"/>
          <w:color w:val="auto"/>
          <w:sz w:val="21"/>
          <w:szCs w:val="21"/>
          <w:highlight w:val="none"/>
        </w:rPr>
        <w:t>21.5 其他</w:t>
      </w:r>
    </w:p>
    <w:p w14:paraId="73500C25">
      <w:pPr>
        <w:pStyle w:val="8"/>
        <w:spacing w:before="0" w:beforeAutospacing="0" w:after="0" w:afterAutospacing="0" w:line="360" w:lineRule="auto"/>
        <w:ind w:firstLine="422" w:firstLineChars="200"/>
        <w:rPr>
          <w:rFonts w:hint="eastAsia"/>
          <w:b w:val="0"/>
          <w:bCs w:val="0"/>
          <w:color w:val="auto"/>
          <w:sz w:val="21"/>
          <w:szCs w:val="21"/>
          <w:highlight w:val="none"/>
        </w:rPr>
      </w:pPr>
      <w:r>
        <w:rPr>
          <w:rFonts w:hint="eastAsia"/>
          <w:color w:val="auto"/>
          <w:sz w:val="21"/>
          <w:szCs w:val="21"/>
          <w:highlight w:val="none"/>
        </w:rPr>
        <w:t>21.5.1承包人选择的混凝土供应商应满足下列条件：</w:t>
      </w:r>
      <w:r>
        <w:rPr>
          <w:rFonts w:hint="eastAsia"/>
          <w:b w:val="0"/>
          <w:bCs w:val="0"/>
          <w:color w:val="auto"/>
          <w:sz w:val="21"/>
          <w:szCs w:val="21"/>
          <w:highlight w:val="none"/>
          <w:u w:val="single"/>
        </w:rPr>
        <w:t>混凝土供应方式为购买使用具有住房城乡建设行政主管部门批准资质的预拌商品混凝土搅拌站生产的预拌商品混凝土（含预拌砂浆、水稳层），若有违规，每发现一次承包人承担违约金金额5000元人民币，违约金额在履约保证金或进度款中扣除”</w:t>
      </w:r>
      <w:r>
        <w:rPr>
          <w:rFonts w:hint="eastAsia"/>
          <w:b w:val="0"/>
          <w:bCs w:val="0"/>
          <w:color w:val="auto"/>
          <w:sz w:val="21"/>
          <w:szCs w:val="21"/>
          <w:highlight w:val="none"/>
        </w:rPr>
        <w:t>。</w:t>
      </w:r>
    </w:p>
    <w:p w14:paraId="64D09307">
      <w:pPr>
        <w:pStyle w:val="8"/>
        <w:spacing w:before="0" w:beforeAutospacing="0" w:after="0" w:afterAutospacing="0" w:line="360" w:lineRule="auto"/>
        <w:ind w:firstLine="420" w:firstLineChars="200"/>
        <w:rPr>
          <w:rFonts w:hint="eastAsia" w:cs="Times New Roman"/>
          <w:b w:val="0"/>
          <w:bCs w:val="0"/>
          <w:color w:val="auto"/>
          <w:kern w:val="2"/>
          <w:sz w:val="21"/>
          <w:szCs w:val="21"/>
          <w:highlight w:val="none"/>
        </w:rPr>
      </w:pPr>
      <w:r>
        <w:rPr>
          <w:rFonts w:hint="eastAsia" w:cs="Times New Roman"/>
          <w:b w:val="0"/>
          <w:bCs w:val="0"/>
          <w:color w:val="auto"/>
          <w:kern w:val="2"/>
          <w:sz w:val="21"/>
          <w:szCs w:val="21"/>
          <w:highlight w:val="none"/>
        </w:rPr>
        <w:t>21.5.2工程量不论增减多少，单价都不做调整。</w:t>
      </w:r>
    </w:p>
    <w:p w14:paraId="65015EA2">
      <w:pPr>
        <w:pStyle w:val="8"/>
        <w:spacing w:before="0" w:beforeAutospacing="0" w:after="0" w:afterAutospacing="0" w:line="360" w:lineRule="auto"/>
        <w:ind w:firstLine="420" w:firstLineChars="200"/>
        <w:rPr>
          <w:rFonts w:hint="eastAsia" w:cs="Times New Roman"/>
          <w:b w:val="0"/>
          <w:bCs w:val="0"/>
          <w:color w:val="auto"/>
          <w:kern w:val="2"/>
          <w:sz w:val="21"/>
          <w:szCs w:val="21"/>
          <w:highlight w:val="none"/>
        </w:rPr>
      </w:pPr>
      <w:r>
        <w:rPr>
          <w:rFonts w:hint="eastAsia" w:cs="Times New Roman"/>
          <w:b w:val="0"/>
          <w:bCs w:val="0"/>
          <w:color w:val="auto"/>
          <w:kern w:val="2"/>
          <w:sz w:val="21"/>
          <w:szCs w:val="21"/>
          <w:highlight w:val="none"/>
        </w:rPr>
        <w:t>21.5.3中标人进场施工后，竞选文件填报的主要管理人员在3日内到比选人处登记，并在开工后每天接受发包人安设在施工项目部的人脸识别录入考勤，具体规定如下：</w:t>
      </w:r>
    </w:p>
    <w:p w14:paraId="2768795E">
      <w:pPr>
        <w:pStyle w:val="8"/>
        <w:spacing w:before="0" w:beforeAutospacing="0" w:after="0" w:afterAutospacing="0" w:line="360" w:lineRule="auto"/>
        <w:ind w:firstLine="420" w:firstLineChars="200"/>
        <w:rPr>
          <w:rFonts w:hint="eastAsia" w:cs="Times New Roman"/>
          <w:b w:val="0"/>
          <w:bCs w:val="0"/>
          <w:color w:val="auto"/>
          <w:kern w:val="2"/>
          <w:sz w:val="21"/>
          <w:szCs w:val="21"/>
          <w:highlight w:val="none"/>
        </w:rPr>
      </w:pPr>
      <w:r>
        <w:rPr>
          <w:rFonts w:hint="eastAsia" w:cs="Times New Roman"/>
          <w:b w:val="0"/>
          <w:bCs w:val="0"/>
          <w:color w:val="auto"/>
          <w:kern w:val="2"/>
          <w:sz w:val="21"/>
          <w:szCs w:val="21"/>
          <w:highlight w:val="none"/>
        </w:rPr>
        <w:t>（1）项目经理每月考勤不得少于26天，若未达到考勤指标要求，缺勤一天发包人按9000元/人/天对承包人进行违约金处罚。</w:t>
      </w:r>
    </w:p>
    <w:p w14:paraId="452CAEB5">
      <w:pPr>
        <w:pStyle w:val="8"/>
        <w:spacing w:before="0" w:beforeAutospacing="0" w:after="0" w:afterAutospacing="0" w:line="360" w:lineRule="auto"/>
        <w:ind w:firstLine="420" w:firstLineChars="200"/>
        <w:rPr>
          <w:rFonts w:hint="eastAsia" w:cs="Times New Roman"/>
          <w:b w:val="0"/>
          <w:bCs w:val="0"/>
          <w:color w:val="auto"/>
          <w:kern w:val="2"/>
          <w:sz w:val="21"/>
          <w:szCs w:val="21"/>
          <w:highlight w:val="none"/>
        </w:rPr>
      </w:pPr>
      <w:r>
        <w:rPr>
          <w:rFonts w:hint="eastAsia" w:cs="Times New Roman"/>
          <w:b w:val="0"/>
          <w:bCs w:val="0"/>
          <w:color w:val="auto"/>
          <w:kern w:val="2"/>
          <w:sz w:val="21"/>
          <w:szCs w:val="21"/>
          <w:highlight w:val="none"/>
        </w:rPr>
        <w:t>（2）项目技术负责人和安全员每月考勤不得少于26天，若未达到考勤指标要求，缺勤一天发包人按7000元/人/天对承包人进行违约金处罚。</w:t>
      </w:r>
    </w:p>
    <w:p w14:paraId="1F55AD71">
      <w:pPr>
        <w:pStyle w:val="8"/>
        <w:spacing w:before="0" w:beforeAutospacing="0" w:after="0" w:afterAutospacing="0" w:line="360" w:lineRule="auto"/>
        <w:ind w:firstLine="420" w:firstLineChars="200"/>
        <w:rPr>
          <w:rFonts w:hint="eastAsia" w:cs="Times New Roman"/>
          <w:b w:val="0"/>
          <w:bCs w:val="0"/>
          <w:color w:val="auto"/>
          <w:kern w:val="2"/>
          <w:sz w:val="21"/>
          <w:szCs w:val="21"/>
          <w:highlight w:val="none"/>
        </w:rPr>
      </w:pPr>
      <w:r>
        <w:rPr>
          <w:rFonts w:hint="eastAsia" w:cs="Times New Roman"/>
          <w:b w:val="0"/>
          <w:bCs w:val="0"/>
          <w:color w:val="auto"/>
          <w:kern w:val="2"/>
          <w:sz w:val="21"/>
          <w:szCs w:val="21"/>
          <w:highlight w:val="none"/>
        </w:rPr>
        <w:t>（3）其他主要管理人员每月考勤不得少于26天，若未达到考勤指标要求，缺勤一天发包人按5000元/人/天对承包人进行违约金处罚。</w:t>
      </w:r>
    </w:p>
    <w:p w14:paraId="5D3CEE30">
      <w:pPr>
        <w:pStyle w:val="8"/>
        <w:spacing w:before="0" w:beforeAutospacing="0" w:after="0" w:afterAutospacing="0" w:line="360" w:lineRule="auto"/>
        <w:ind w:firstLine="420" w:firstLineChars="200"/>
        <w:rPr>
          <w:rFonts w:hint="eastAsia" w:cs="Times New Roman"/>
          <w:b w:val="0"/>
          <w:bCs w:val="0"/>
          <w:color w:val="auto"/>
          <w:kern w:val="2"/>
          <w:sz w:val="21"/>
          <w:szCs w:val="21"/>
          <w:highlight w:val="none"/>
        </w:rPr>
      </w:pPr>
      <w:r>
        <w:rPr>
          <w:rFonts w:hint="eastAsia" w:cs="Times New Roman"/>
          <w:b w:val="0"/>
          <w:bCs w:val="0"/>
          <w:color w:val="auto"/>
          <w:kern w:val="2"/>
          <w:sz w:val="21"/>
          <w:szCs w:val="21"/>
          <w:highlight w:val="none"/>
        </w:rPr>
        <w:t>（4）项目经理、项目技术负责人、安全员及其他主要管理人员连续2个月未达到考勤指标要求，发包人有权终止施工合同，没收履约保证金，承包人给发包人造成的损失超过履约保证金的，还应对超过部分作出补偿。</w:t>
      </w:r>
    </w:p>
    <w:p w14:paraId="2814C429">
      <w:pPr>
        <w:pStyle w:val="8"/>
        <w:spacing w:before="0" w:beforeAutospacing="0" w:after="0" w:afterAutospacing="0" w:line="360" w:lineRule="auto"/>
        <w:ind w:firstLine="420" w:firstLineChars="200"/>
        <w:rPr>
          <w:rFonts w:hint="eastAsia" w:cs="Times New Roman"/>
          <w:b w:val="0"/>
          <w:bCs w:val="0"/>
          <w:color w:val="auto"/>
          <w:kern w:val="2"/>
          <w:sz w:val="21"/>
          <w:szCs w:val="21"/>
          <w:highlight w:val="none"/>
        </w:rPr>
      </w:pPr>
      <w:r>
        <w:rPr>
          <w:rFonts w:hint="eastAsia" w:cs="Times New Roman"/>
          <w:b w:val="0"/>
          <w:bCs w:val="0"/>
          <w:color w:val="auto"/>
          <w:kern w:val="2"/>
          <w:sz w:val="21"/>
          <w:szCs w:val="21"/>
          <w:highlight w:val="none"/>
        </w:rPr>
        <w:t>21.5.4甲方负责水电气。</w:t>
      </w:r>
    </w:p>
    <w:p w14:paraId="5CF10CF2">
      <w:pPr>
        <w:pStyle w:val="8"/>
        <w:spacing w:before="0" w:beforeAutospacing="0" w:after="0" w:afterAutospacing="0" w:line="360" w:lineRule="auto"/>
        <w:ind w:firstLine="422" w:firstLineChars="200"/>
        <w:rPr>
          <w:rFonts w:hint="eastAsia"/>
          <w:bCs w:val="0"/>
          <w:color w:val="auto"/>
          <w:kern w:val="2"/>
          <w:sz w:val="21"/>
          <w:szCs w:val="21"/>
          <w:highlight w:val="none"/>
        </w:rPr>
      </w:pPr>
      <w:r>
        <w:rPr>
          <w:rFonts w:hint="eastAsia"/>
          <w:color w:val="auto"/>
          <w:kern w:val="2"/>
          <w:sz w:val="21"/>
          <w:szCs w:val="21"/>
          <w:highlight w:val="none"/>
        </w:rPr>
        <w:t>22. 合同附件</w:t>
      </w:r>
    </w:p>
    <w:p w14:paraId="28FDD446">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highlight w:val="none"/>
        </w:rPr>
        <w:t>以下十一个附件是本合同的有效组成部分：</w:t>
      </w:r>
    </w:p>
    <w:p w14:paraId="700D95A7">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附件1：工程质量保修书</w:t>
      </w:r>
    </w:p>
    <w:p w14:paraId="33C414D7">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附件2：主要建设工程文件目录</w:t>
      </w:r>
    </w:p>
    <w:p w14:paraId="628E0825">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附件3：承包人项目管理机构组成表</w:t>
      </w:r>
    </w:p>
    <w:p w14:paraId="4978F3CB">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附件4：履约担保（如有）</w:t>
      </w:r>
    </w:p>
    <w:p w14:paraId="3DCC6930">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附件5：预付款担保（如有）</w:t>
      </w:r>
    </w:p>
    <w:p w14:paraId="07CD493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附件6：支付担保（如有）</w:t>
      </w:r>
    </w:p>
    <w:p w14:paraId="0F3D5FFE">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附件7：专业工程暂估价表</w:t>
      </w:r>
    </w:p>
    <w:p w14:paraId="74D0E9A0">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附件8：廉洁从业协议</w:t>
      </w:r>
    </w:p>
    <w:p w14:paraId="2A3E949A">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附件9：安全管理协议</w:t>
      </w:r>
    </w:p>
    <w:p w14:paraId="254DF999">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附件10：保障农民工工资支付协议</w:t>
      </w:r>
    </w:p>
    <w:p w14:paraId="19472BFF">
      <w:pPr>
        <w:spacing w:line="360" w:lineRule="auto"/>
        <w:ind w:right="105" w:rightChars="50" w:firstLine="420" w:firstLineChars="200"/>
        <w:jc w:val="left"/>
        <w:rPr>
          <w:rFonts w:hint="eastAsia" w:ascii="宋体" w:hAnsi="宋体"/>
          <w:color w:val="auto"/>
          <w:highlight w:val="none"/>
        </w:rPr>
      </w:pPr>
      <w:r>
        <w:rPr>
          <w:rFonts w:hint="eastAsia" w:ascii="宋体" w:hAnsi="宋体"/>
          <w:color w:val="auto"/>
          <w:highlight w:val="none"/>
        </w:rPr>
        <w:t>附件11：低价风险担保保函示范文本（独立保函）（如有）</w:t>
      </w:r>
    </w:p>
    <w:p w14:paraId="5329FFF6">
      <w:pPr>
        <w:spacing w:line="360" w:lineRule="auto"/>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附件1：</w:t>
      </w:r>
    </w:p>
    <w:p w14:paraId="7BDBD0ED">
      <w:pPr>
        <w:spacing w:beforeLines="50" w:afterLines="50" w:line="360" w:lineRule="auto"/>
        <w:jc w:val="center"/>
        <w:rPr>
          <w:rFonts w:hint="eastAsia" w:ascii="宋体" w:hAnsi="宋体"/>
          <w:color w:val="auto"/>
          <w:highlight w:val="none"/>
        </w:rPr>
      </w:pPr>
      <w:r>
        <w:rPr>
          <w:rFonts w:hint="eastAsia" w:ascii="宋体" w:hAnsi="宋体"/>
          <w:color w:val="auto"/>
          <w:highlight w:val="none"/>
        </w:rPr>
        <w:t>工程质量保修书</w:t>
      </w:r>
    </w:p>
    <w:p w14:paraId="28C7A5B1">
      <w:pPr>
        <w:snapToGrid w:val="0"/>
        <w:spacing w:line="360" w:lineRule="auto"/>
        <w:ind w:firstLine="422" w:firstLineChars="200"/>
        <w:rPr>
          <w:rFonts w:hint="eastAsia" w:ascii="宋体" w:hAnsi="宋体"/>
          <w:b/>
          <w:color w:val="auto"/>
          <w:highlight w:val="none"/>
          <w:u w:val="single"/>
        </w:rPr>
      </w:pPr>
      <w:r>
        <w:rPr>
          <w:rFonts w:hint="eastAsia" w:ascii="宋体" w:hAnsi="宋体"/>
          <w:b/>
          <w:color w:val="auto"/>
          <w:highlight w:val="none"/>
        </w:rPr>
        <w:t>发包人（全称）：</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p>
    <w:p w14:paraId="2D6D772B">
      <w:pPr>
        <w:snapToGrid w:val="0"/>
        <w:spacing w:line="360" w:lineRule="auto"/>
        <w:ind w:firstLine="422" w:firstLineChars="200"/>
        <w:rPr>
          <w:rFonts w:hint="eastAsia" w:ascii="宋体" w:hAnsi="宋体"/>
          <w:b/>
          <w:color w:val="auto"/>
          <w:highlight w:val="none"/>
          <w:u w:val="single"/>
        </w:rPr>
      </w:pPr>
      <w:r>
        <w:rPr>
          <w:rFonts w:hint="eastAsia" w:ascii="宋体" w:hAnsi="宋体"/>
          <w:b/>
          <w:color w:val="auto"/>
          <w:highlight w:val="none"/>
        </w:rPr>
        <w:t>承包人（全称）：</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p>
    <w:p w14:paraId="16001D0B">
      <w:pPr>
        <w:spacing w:line="360" w:lineRule="auto"/>
        <w:ind w:firstLine="420" w:firstLineChars="200"/>
        <w:rPr>
          <w:rFonts w:hint="eastAsia" w:ascii="宋体" w:hAnsi="宋体"/>
          <w:color w:val="auto"/>
          <w:highlight w:val="none"/>
        </w:rPr>
      </w:pPr>
      <w:r>
        <w:rPr>
          <w:rFonts w:hint="eastAsia" w:ascii="宋体" w:hAnsi="宋体"/>
          <w:color w:val="auto"/>
          <w:highlight w:val="none"/>
        </w:rPr>
        <w:t>发包人和承包人根据《中华人民共和国建筑法》和《建设工程质量管理条例》，经协商一致就</w:t>
      </w:r>
    </w:p>
    <w:p w14:paraId="32229E35">
      <w:pPr>
        <w:spacing w:line="360" w:lineRule="auto"/>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（工程全称）签订工程质量保修书。</w:t>
      </w:r>
    </w:p>
    <w:p w14:paraId="17DC210E">
      <w:pPr>
        <w:spacing w:line="360" w:lineRule="auto"/>
        <w:ind w:firstLine="420" w:firstLineChars="200"/>
        <w:rPr>
          <w:rFonts w:hint="eastAsia" w:ascii="宋体" w:hAnsi="宋体"/>
          <w:color w:val="auto"/>
          <w:highlight w:val="none"/>
        </w:rPr>
      </w:pPr>
      <w:r>
        <w:rPr>
          <w:rFonts w:hint="eastAsia" w:ascii="宋体" w:hAnsi="宋体"/>
          <w:color w:val="auto"/>
          <w:highlight w:val="none"/>
        </w:rPr>
        <w:t>一、工程质量保修范围和内容</w:t>
      </w:r>
    </w:p>
    <w:p w14:paraId="18DF142D">
      <w:pPr>
        <w:spacing w:line="360" w:lineRule="auto"/>
        <w:ind w:firstLine="420" w:firstLineChars="200"/>
        <w:rPr>
          <w:rFonts w:hint="eastAsia" w:ascii="宋体" w:hAnsi="宋体"/>
          <w:color w:val="auto"/>
          <w:highlight w:val="none"/>
        </w:rPr>
      </w:pPr>
      <w:r>
        <w:rPr>
          <w:rFonts w:hint="eastAsia" w:ascii="宋体" w:hAnsi="宋体"/>
          <w:color w:val="auto"/>
          <w:highlight w:val="none"/>
        </w:rPr>
        <w:t>承包人在质量保修期内，按照有关法律规定和合同约定，承担工程质量保修责任。</w:t>
      </w:r>
    </w:p>
    <w:p w14:paraId="32132664">
      <w:pPr>
        <w:spacing w:line="360" w:lineRule="auto"/>
        <w:ind w:firstLine="420" w:firstLineChars="200"/>
        <w:rPr>
          <w:rFonts w:hint="eastAsia" w:ascii="宋体" w:hAnsi="宋体"/>
          <w:color w:val="auto"/>
          <w:highlight w:val="none"/>
        </w:rPr>
      </w:pPr>
      <w:r>
        <w:rPr>
          <w:rFonts w:hint="eastAsia" w:ascii="宋体" w:hAnsi="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53AA0B7">
      <w:pPr>
        <w:spacing w:line="360" w:lineRule="auto"/>
        <w:ind w:firstLine="420" w:firstLineChars="200"/>
        <w:rPr>
          <w:rFonts w:hint="eastAsia" w:ascii="宋体" w:hAnsi="宋体"/>
          <w:color w:val="auto"/>
          <w:highlight w:val="none"/>
        </w:rPr>
      </w:pPr>
      <w:r>
        <w:rPr>
          <w:rFonts w:hint="eastAsia" w:ascii="宋体" w:hAnsi="宋体"/>
          <w:color w:val="auto"/>
          <w:highlight w:val="none"/>
        </w:rPr>
        <w:t>承包人承包范围内容均属质量保修范围内容；其中：</w:t>
      </w:r>
    </w:p>
    <w:p w14:paraId="4D220EE4">
      <w:pPr>
        <w:spacing w:line="360" w:lineRule="auto"/>
        <w:ind w:firstLine="420" w:firstLineChars="200"/>
        <w:rPr>
          <w:rFonts w:hint="eastAsia" w:ascii="宋体" w:hAnsi="宋体"/>
          <w:color w:val="auto"/>
          <w:highlight w:val="none"/>
        </w:rPr>
      </w:pPr>
      <w:r>
        <w:rPr>
          <w:rFonts w:hint="eastAsia" w:ascii="宋体" w:hAnsi="宋体"/>
          <w:color w:val="auto"/>
          <w:highlight w:val="none"/>
        </w:rPr>
        <w:t>1.属于设计原因造成的质量问题，承包人负责维修，不留隐患，费用由发包人承担；</w:t>
      </w:r>
    </w:p>
    <w:p w14:paraId="7467ADC3">
      <w:pPr>
        <w:spacing w:line="360" w:lineRule="auto"/>
        <w:ind w:firstLine="420" w:firstLineChars="200"/>
        <w:rPr>
          <w:rFonts w:hint="eastAsia" w:ascii="宋体" w:hAnsi="宋体"/>
          <w:color w:val="auto"/>
          <w:highlight w:val="none"/>
        </w:rPr>
      </w:pPr>
      <w:r>
        <w:rPr>
          <w:rFonts w:hint="eastAsia" w:ascii="宋体" w:hAnsi="宋体"/>
          <w:color w:val="auto"/>
          <w:highlight w:val="none"/>
        </w:rPr>
        <w:t>2.属于施工造成的质量问题，承包人负责维修，不留隐患；</w:t>
      </w:r>
    </w:p>
    <w:p w14:paraId="2A60C647">
      <w:pPr>
        <w:spacing w:line="360" w:lineRule="auto"/>
        <w:ind w:firstLine="420" w:firstLineChars="200"/>
        <w:rPr>
          <w:rFonts w:hint="eastAsia" w:ascii="宋体" w:hAnsi="宋体"/>
          <w:color w:val="auto"/>
          <w:highlight w:val="none"/>
        </w:rPr>
      </w:pPr>
      <w:r>
        <w:rPr>
          <w:rFonts w:hint="eastAsia" w:ascii="宋体" w:hAnsi="宋体"/>
          <w:color w:val="auto"/>
          <w:highlight w:val="none"/>
        </w:rPr>
        <w:t>3.属于业主使用不当造成的质量问题，配合抢修，费用由发包人承担。</w:t>
      </w:r>
    </w:p>
    <w:p w14:paraId="0D3C65EB">
      <w:pPr>
        <w:spacing w:line="360" w:lineRule="auto"/>
        <w:ind w:firstLine="420" w:firstLineChars="200"/>
        <w:rPr>
          <w:rFonts w:hint="eastAsia" w:ascii="宋体" w:hAnsi="宋体"/>
          <w:color w:val="auto"/>
          <w:highlight w:val="none"/>
        </w:rPr>
      </w:pPr>
      <w:r>
        <w:rPr>
          <w:rFonts w:hint="eastAsia" w:ascii="宋体" w:hAnsi="宋体"/>
          <w:color w:val="auto"/>
          <w:highlight w:val="none"/>
        </w:rPr>
        <w:t>二、质量保修期</w:t>
      </w:r>
    </w:p>
    <w:p w14:paraId="26C7D8B7">
      <w:pPr>
        <w:spacing w:line="360" w:lineRule="auto"/>
        <w:ind w:firstLine="420" w:firstLineChars="200"/>
        <w:rPr>
          <w:rFonts w:hint="eastAsia" w:ascii="宋体" w:hAnsi="宋体"/>
          <w:color w:val="auto"/>
          <w:highlight w:val="none"/>
        </w:rPr>
      </w:pPr>
      <w:r>
        <w:rPr>
          <w:rFonts w:hint="eastAsia" w:ascii="宋体" w:hAnsi="宋体"/>
          <w:color w:val="auto"/>
          <w:highlight w:val="none"/>
        </w:rPr>
        <w:t>根据《建设工程质量管理条例》及有关规定，本工程质量保修期约定如下：</w:t>
      </w:r>
    </w:p>
    <w:p w14:paraId="29890CE3">
      <w:pPr>
        <w:spacing w:line="360" w:lineRule="auto"/>
        <w:ind w:firstLine="420" w:firstLineChars="200"/>
        <w:rPr>
          <w:rFonts w:hint="eastAsia" w:ascii="宋体" w:hAnsi="宋体"/>
          <w:color w:val="auto"/>
          <w:highlight w:val="none"/>
        </w:rPr>
      </w:pPr>
      <w:r>
        <w:rPr>
          <w:rFonts w:hint="eastAsia" w:ascii="宋体" w:hAnsi="宋体"/>
          <w:color w:val="auto"/>
          <w:highlight w:val="none"/>
        </w:rPr>
        <w:t>1.基础设施工程、房屋建筑的地基基础工程和主体结构工程，为设计文件规定的该工程的合理使用年限；</w:t>
      </w:r>
    </w:p>
    <w:p w14:paraId="412AC648">
      <w:pPr>
        <w:spacing w:line="360" w:lineRule="auto"/>
        <w:ind w:firstLine="420" w:firstLineChars="200"/>
        <w:rPr>
          <w:rFonts w:hint="eastAsia" w:ascii="宋体" w:hAnsi="宋体"/>
          <w:color w:val="auto"/>
          <w:highlight w:val="none"/>
        </w:rPr>
      </w:pPr>
      <w:r>
        <w:rPr>
          <w:rFonts w:hint="eastAsia" w:ascii="宋体" w:hAnsi="宋体"/>
          <w:color w:val="auto"/>
          <w:highlight w:val="none"/>
        </w:rPr>
        <w:t>2.屋面防水工程、有防水要求的卫生间、房间和外墙面的防渗漏，为5年；</w:t>
      </w:r>
    </w:p>
    <w:p w14:paraId="0E3E4F60">
      <w:pPr>
        <w:spacing w:line="360" w:lineRule="auto"/>
        <w:ind w:firstLine="420" w:firstLineChars="200"/>
        <w:rPr>
          <w:rFonts w:hint="eastAsia" w:ascii="宋体" w:hAnsi="宋体"/>
          <w:color w:val="auto"/>
          <w:highlight w:val="none"/>
        </w:rPr>
      </w:pPr>
      <w:r>
        <w:rPr>
          <w:rFonts w:hint="eastAsia" w:ascii="宋体" w:hAnsi="宋体"/>
          <w:color w:val="auto"/>
          <w:highlight w:val="none"/>
        </w:rPr>
        <w:t>3.供热与供冷系统，为2个采暖期、供冷期；</w:t>
      </w:r>
    </w:p>
    <w:p w14:paraId="4BBD308A">
      <w:pPr>
        <w:spacing w:line="360" w:lineRule="auto"/>
        <w:ind w:firstLine="420" w:firstLineChars="200"/>
        <w:rPr>
          <w:rFonts w:hint="eastAsia" w:ascii="宋体" w:hAnsi="宋体"/>
          <w:color w:val="auto"/>
          <w:highlight w:val="none"/>
        </w:rPr>
      </w:pPr>
      <w:r>
        <w:rPr>
          <w:rFonts w:hint="eastAsia" w:ascii="宋体" w:hAnsi="宋体"/>
          <w:color w:val="auto"/>
          <w:highlight w:val="none"/>
        </w:rPr>
        <w:t>4.电气管线、给排水管道、设备安装和装修工程，为2年；</w:t>
      </w:r>
    </w:p>
    <w:p w14:paraId="4CADF97C">
      <w:pPr>
        <w:spacing w:line="360" w:lineRule="auto"/>
        <w:ind w:firstLine="420" w:firstLineChars="200"/>
        <w:rPr>
          <w:rFonts w:hint="eastAsia" w:ascii="宋体" w:hAnsi="宋体"/>
          <w:color w:val="auto"/>
          <w:highlight w:val="none"/>
        </w:rPr>
      </w:pPr>
      <w:r>
        <w:rPr>
          <w:rFonts w:hint="eastAsia" w:ascii="宋体" w:hAnsi="宋体"/>
          <w:color w:val="auto"/>
          <w:highlight w:val="none"/>
        </w:rPr>
        <w:t>5.其他项目保修期限：2年；</w:t>
      </w:r>
      <w:r>
        <w:rPr>
          <w:rFonts w:hint="eastAsia" w:ascii="宋体" w:hAnsi="宋体"/>
          <w:i/>
          <w:color w:val="auto"/>
          <w:highlight w:val="none"/>
        </w:rPr>
        <w:t>[提示：如有不同，根据具体情况修改]</w:t>
      </w:r>
    </w:p>
    <w:p w14:paraId="1D27E8EF">
      <w:pPr>
        <w:spacing w:line="360" w:lineRule="auto"/>
        <w:ind w:firstLine="420" w:firstLineChars="200"/>
        <w:rPr>
          <w:rFonts w:hint="eastAsia" w:ascii="宋体" w:hAnsi="宋体"/>
          <w:color w:val="auto"/>
          <w:highlight w:val="none"/>
        </w:rPr>
      </w:pPr>
      <w:r>
        <w:rPr>
          <w:rFonts w:hint="eastAsia" w:ascii="宋体" w:hAnsi="宋体"/>
          <w:color w:val="auto"/>
          <w:highlight w:val="none"/>
        </w:rPr>
        <w:t>建设工程的保修期，自工程竣工验收合格之日起计算。</w:t>
      </w:r>
    </w:p>
    <w:p w14:paraId="0FD9BDF9">
      <w:pPr>
        <w:spacing w:line="360" w:lineRule="auto"/>
        <w:ind w:firstLine="420" w:firstLineChars="200"/>
        <w:rPr>
          <w:rFonts w:hint="eastAsia" w:ascii="宋体" w:hAnsi="宋体"/>
          <w:color w:val="auto"/>
          <w:highlight w:val="none"/>
        </w:rPr>
      </w:pPr>
      <w:r>
        <w:rPr>
          <w:rFonts w:hint="eastAsia" w:ascii="宋体" w:hAnsi="宋体"/>
          <w:color w:val="auto"/>
          <w:highlight w:val="none"/>
        </w:rPr>
        <w:t>三、质量保修责任</w:t>
      </w:r>
    </w:p>
    <w:p w14:paraId="021EE95D">
      <w:pPr>
        <w:spacing w:line="360" w:lineRule="auto"/>
        <w:ind w:firstLine="420" w:firstLineChars="200"/>
        <w:rPr>
          <w:rFonts w:hint="eastAsia" w:ascii="宋体" w:hAnsi="宋体"/>
          <w:color w:val="auto"/>
          <w:highlight w:val="none"/>
        </w:rPr>
      </w:pPr>
      <w:r>
        <w:rPr>
          <w:rFonts w:hint="eastAsia" w:ascii="宋体" w:hAnsi="宋体"/>
          <w:color w:val="auto"/>
          <w:highlight w:val="none"/>
        </w:rPr>
        <w:t>1.属于保修范围、内容的项目，承包人应当在接到保修通知之日起7天内派人保修。承包人不在约定期限内派人保修的，发包人可以委托他人修理。</w:t>
      </w:r>
    </w:p>
    <w:p w14:paraId="5EB7F9DC">
      <w:pPr>
        <w:spacing w:line="360" w:lineRule="auto"/>
        <w:ind w:firstLine="420" w:firstLineChars="200"/>
        <w:rPr>
          <w:rFonts w:hint="eastAsia" w:ascii="宋体" w:hAnsi="宋体"/>
          <w:color w:val="auto"/>
          <w:highlight w:val="none"/>
        </w:rPr>
      </w:pPr>
      <w:r>
        <w:rPr>
          <w:rFonts w:hint="eastAsia" w:ascii="宋体" w:hAnsi="宋体"/>
          <w:color w:val="auto"/>
          <w:highlight w:val="none"/>
        </w:rPr>
        <w:t>2.发生紧急事故需抢修的，承包人在接到事故通知后，应当立即到达事故现场抢修。</w:t>
      </w:r>
    </w:p>
    <w:p w14:paraId="60003B87">
      <w:pPr>
        <w:spacing w:line="360" w:lineRule="auto"/>
        <w:ind w:firstLine="420" w:firstLineChars="200"/>
        <w:rPr>
          <w:rFonts w:hint="eastAsia" w:ascii="宋体" w:hAnsi="宋体"/>
          <w:color w:val="auto"/>
          <w:highlight w:val="none"/>
        </w:rPr>
      </w:pPr>
      <w:r>
        <w:rPr>
          <w:rFonts w:hint="eastAsia" w:ascii="宋体" w:hAnsi="宋体"/>
          <w:color w:val="auto"/>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D6BE608">
      <w:pPr>
        <w:spacing w:line="360" w:lineRule="auto"/>
        <w:ind w:firstLine="420" w:firstLineChars="200"/>
        <w:rPr>
          <w:rFonts w:hint="eastAsia" w:ascii="宋体" w:hAnsi="宋体"/>
          <w:color w:val="auto"/>
          <w:highlight w:val="none"/>
        </w:rPr>
      </w:pPr>
      <w:r>
        <w:rPr>
          <w:rFonts w:hint="eastAsia" w:ascii="宋体" w:hAnsi="宋体"/>
          <w:color w:val="auto"/>
          <w:highlight w:val="none"/>
        </w:rPr>
        <w:t>4.质量保修完成后，由发包人组织验收。</w:t>
      </w:r>
    </w:p>
    <w:p w14:paraId="32075713">
      <w:pPr>
        <w:spacing w:line="360" w:lineRule="auto"/>
        <w:ind w:firstLine="420" w:firstLineChars="200"/>
        <w:rPr>
          <w:rFonts w:hint="eastAsia" w:ascii="宋体" w:hAnsi="宋体"/>
          <w:color w:val="auto"/>
          <w:highlight w:val="none"/>
        </w:rPr>
      </w:pPr>
      <w:r>
        <w:rPr>
          <w:rFonts w:hint="eastAsia" w:ascii="宋体" w:hAnsi="宋体"/>
          <w:color w:val="auto"/>
          <w:highlight w:val="none"/>
        </w:rPr>
        <w:t>四、保修费用</w:t>
      </w:r>
    </w:p>
    <w:p w14:paraId="5752C3A8">
      <w:pPr>
        <w:spacing w:line="360" w:lineRule="auto"/>
        <w:ind w:firstLine="420" w:firstLineChars="200"/>
        <w:rPr>
          <w:rFonts w:hint="eastAsia" w:ascii="宋体" w:hAnsi="宋体"/>
          <w:color w:val="auto"/>
          <w:highlight w:val="none"/>
        </w:rPr>
      </w:pPr>
      <w:r>
        <w:rPr>
          <w:rFonts w:hint="eastAsia" w:ascii="宋体" w:hAnsi="宋体"/>
          <w:color w:val="auto"/>
          <w:highlight w:val="none"/>
        </w:rPr>
        <w:t>保修费用由质量缺陷的责任方承担。</w:t>
      </w:r>
    </w:p>
    <w:p w14:paraId="3E768C44">
      <w:pPr>
        <w:spacing w:line="360" w:lineRule="auto"/>
        <w:ind w:firstLine="420" w:firstLineChars="200"/>
        <w:rPr>
          <w:rFonts w:hint="eastAsia" w:ascii="宋体" w:hAnsi="宋体"/>
          <w:color w:val="auto"/>
          <w:highlight w:val="none"/>
        </w:rPr>
      </w:pPr>
      <w:r>
        <w:rPr>
          <w:rFonts w:hint="eastAsia" w:ascii="宋体" w:hAnsi="宋体"/>
          <w:color w:val="auto"/>
          <w:highlight w:val="none"/>
        </w:rPr>
        <w:t>五、双方约定的其他工程质量保修事项</w:t>
      </w:r>
    </w:p>
    <w:p w14:paraId="7CA9AF9B">
      <w:pPr>
        <w:spacing w:line="360" w:lineRule="auto"/>
        <w:ind w:firstLine="420" w:firstLineChars="200"/>
        <w:rPr>
          <w:rFonts w:hint="eastAsia" w:ascii="宋体" w:hAnsi="宋体"/>
          <w:color w:val="auto"/>
          <w:highlight w:val="none"/>
        </w:rPr>
      </w:pPr>
      <w:r>
        <w:rPr>
          <w:rFonts w:hint="eastAsia" w:ascii="宋体" w:hAnsi="宋体"/>
          <w:color w:val="auto"/>
          <w:highlight w:val="none"/>
          <w:u w:val="single"/>
        </w:rPr>
        <w:t>按国家相关法律和规定执行</w:t>
      </w:r>
      <w:r>
        <w:rPr>
          <w:rFonts w:hint="eastAsia" w:ascii="宋体" w:hAnsi="宋体"/>
          <w:color w:val="auto"/>
          <w:highlight w:val="none"/>
        </w:rPr>
        <w:t>。</w:t>
      </w:r>
    </w:p>
    <w:p w14:paraId="2CDC6535">
      <w:pPr>
        <w:spacing w:line="360" w:lineRule="auto"/>
        <w:ind w:firstLine="420" w:firstLineChars="200"/>
        <w:rPr>
          <w:rFonts w:hint="eastAsia" w:ascii="宋体" w:hAnsi="宋体"/>
          <w:color w:val="auto"/>
          <w:highlight w:val="none"/>
        </w:rPr>
      </w:pPr>
      <w:r>
        <w:rPr>
          <w:rFonts w:hint="eastAsia" w:ascii="宋体" w:hAnsi="宋体"/>
          <w:color w:val="auto"/>
          <w:highlight w:val="none"/>
        </w:rPr>
        <w:t>本工程质量保修书由发包人、承包人在工程竣工验收前共同签署，作为施工合同附件，其有效期限至保修期满。</w:t>
      </w:r>
    </w:p>
    <w:p w14:paraId="0B0F1ADB">
      <w:pPr>
        <w:spacing w:line="360" w:lineRule="auto"/>
        <w:ind w:firstLine="420" w:firstLineChars="200"/>
        <w:rPr>
          <w:rFonts w:hint="eastAsia" w:ascii="宋体" w:hAnsi="宋体"/>
          <w:color w:val="auto"/>
          <w:highlight w:val="none"/>
        </w:rPr>
      </w:pPr>
      <w:r>
        <w:rPr>
          <w:rFonts w:hint="eastAsia" w:ascii="宋体" w:hAnsi="宋体"/>
          <w:color w:val="auto"/>
          <w:highlight w:val="none"/>
        </w:rPr>
        <w:t>六、本文件生效</w:t>
      </w:r>
    </w:p>
    <w:p w14:paraId="231B54AD">
      <w:pPr>
        <w:spacing w:line="360" w:lineRule="auto"/>
        <w:ind w:firstLine="420" w:firstLineChars="200"/>
        <w:rPr>
          <w:rFonts w:hint="eastAsia" w:ascii="宋体" w:hAnsi="宋体"/>
          <w:color w:val="auto"/>
          <w:highlight w:val="none"/>
        </w:rPr>
      </w:pPr>
      <w:r>
        <w:rPr>
          <w:rFonts w:hint="eastAsia" w:ascii="宋体" w:hAnsi="宋体"/>
          <w:color w:val="auto"/>
          <w:highlight w:val="none"/>
        </w:rPr>
        <w:t>本工程质量保修书经发包人与承包人盖章后生效。</w:t>
      </w:r>
    </w:p>
    <w:p w14:paraId="467EA568">
      <w:pPr>
        <w:pStyle w:val="3"/>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4E9D514E">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发包人：</w:t>
      </w:r>
      <w:r>
        <w:rPr>
          <w:rFonts w:hint="eastAsia" w:ascii="宋体" w:hAnsi="宋体"/>
          <w:color w:val="auto"/>
          <w:kern w:val="0"/>
          <w:highlight w:val="none"/>
          <w:u w:val="single"/>
        </w:rPr>
        <w:t xml:space="preserve">                                </w:t>
      </w:r>
      <w:r>
        <w:rPr>
          <w:rFonts w:hint="eastAsia" w:ascii="宋体" w:hAnsi="宋体"/>
          <w:color w:val="auto"/>
          <w:kern w:val="0"/>
          <w:highlight w:val="none"/>
        </w:rPr>
        <w:t>（盖单位公章）</w:t>
      </w:r>
    </w:p>
    <w:p w14:paraId="48AD590C">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 xml:space="preserve"> </w:t>
      </w:r>
    </w:p>
    <w:p w14:paraId="170DDB07">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 xml:space="preserve"> </w:t>
      </w:r>
    </w:p>
    <w:p w14:paraId="777F52A2">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法定代表人或其委托代理人：</w:t>
      </w:r>
      <w:r>
        <w:rPr>
          <w:rFonts w:hint="eastAsia" w:ascii="宋体" w:hAnsi="宋体"/>
          <w:color w:val="auto"/>
          <w:kern w:val="0"/>
          <w:highlight w:val="none"/>
          <w:u w:val="single"/>
        </w:rPr>
        <w:t xml:space="preserve">                </w:t>
      </w:r>
      <w:r>
        <w:rPr>
          <w:rFonts w:hint="eastAsia" w:ascii="宋体" w:hAnsi="宋体"/>
          <w:color w:val="auto"/>
          <w:kern w:val="0"/>
          <w:highlight w:val="none"/>
        </w:rPr>
        <w:t>（签名）</w:t>
      </w:r>
    </w:p>
    <w:p w14:paraId="51A5D0B1">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 xml:space="preserve"> </w:t>
      </w:r>
    </w:p>
    <w:p w14:paraId="09AEFA26">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 xml:space="preserve"> </w:t>
      </w:r>
    </w:p>
    <w:p w14:paraId="23074E35">
      <w:pPr>
        <w:spacing w:line="360" w:lineRule="auto"/>
        <w:ind w:firstLine="420" w:firstLineChars="200"/>
        <w:rPr>
          <w:rFonts w:hint="eastAsia" w:ascii="宋体" w:hAnsi="宋体"/>
          <w:color w:val="auto"/>
          <w:highlight w:val="none"/>
        </w:rPr>
      </w:pPr>
      <w:r>
        <w:rPr>
          <w:rFonts w:hint="eastAsia" w:ascii="宋体" w:hAnsi="宋体"/>
          <w:color w:val="auto"/>
          <w:kern w:val="0"/>
          <w:highlight w:val="none"/>
        </w:rPr>
        <w:t>承包人：</w:t>
      </w:r>
      <w:r>
        <w:rPr>
          <w:rFonts w:hint="eastAsia" w:ascii="宋体" w:hAnsi="宋体"/>
          <w:color w:val="auto"/>
          <w:kern w:val="0"/>
          <w:highlight w:val="none"/>
          <w:u w:val="single"/>
        </w:rPr>
        <w:t xml:space="preserve">                                </w:t>
      </w:r>
      <w:r>
        <w:rPr>
          <w:rFonts w:hint="eastAsia" w:ascii="宋体" w:hAnsi="宋体"/>
          <w:color w:val="auto"/>
          <w:kern w:val="0"/>
          <w:highlight w:val="none"/>
        </w:rPr>
        <w:t>（盖单位公章）</w:t>
      </w:r>
    </w:p>
    <w:p w14:paraId="09357007">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 xml:space="preserve"> </w:t>
      </w:r>
    </w:p>
    <w:p w14:paraId="24DBCA19">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 xml:space="preserve"> </w:t>
      </w:r>
    </w:p>
    <w:p w14:paraId="695659D8">
      <w:pPr>
        <w:spacing w:line="360" w:lineRule="auto"/>
        <w:ind w:firstLine="420" w:firstLineChars="200"/>
        <w:rPr>
          <w:rFonts w:hint="eastAsia" w:ascii="宋体" w:hAnsi="宋体"/>
          <w:bCs/>
          <w:color w:val="auto"/>
          <w:kern w:val="0"/>
          <w:highlight w:val="none"/>
        </w:rPr>
      </w:pPr>
      <w:r>
        <w:rPr>
          <w:rFonts w:hint="eastAsia" w:ascii="宋体" w:hAnsi="宋体"/>
          <w:color w:val="auto"/>
          <w:kern w:val="0"/>
          <w:highlight w:val="none"/>
        </w:rPr>
        <w:t>法定代表人或其委托代理人：</w:t>
      </w:r>
      <w:r>
        <w:rPr>
          <w:rFonts w:hint="eastAsia" w:ascii="宋体" w:hAnsi="宋体"/>
          <w:color w:val="auto"/>
          <w:kern w:val="0"/>
          <w:highlight w:val="none"/>
          <w:u w:val="single"/>
        </w:rPr>
        <w:t xml:space="preserve">                </w:t>
      </w:r>
      <w:r>
        <w:rPr>
          <w:rFonts w:hint="eastAsia" w:ascii="宋体" w:hAnsi="宋体"/>
          <w:color w:val="auto"/>
          <w:kern w:val="0"/>
          <w:highlight w:val="none"/>
        </w:rPr>
        <w:t>（签名）</w:t>
      </w:r>
    </w:p>
    <w:p w14:paraId="5F523CE6">
      <w:pPr>
        <w:spacing w:line="360" w:lineRule="auto"/>
        <w:ind w:firstLine="424" w:firstLineChars="200"/>
        <w:rPr>
          <w:rFonts w:hint="eastAsia" w:ascii="宋体" w:hAnsi="宋体"/>
          <w:color w:val="auto"/>
          <w:spacing w:val="1"/>
          <w:kern w:val="0"/>
          <w:position w:val="-2"/>
          <w:highlight w:val="none"/>
        </w:rPr>
      </w:pPr>
      <w:r>
        <w:rPr>
          <w:rFonts w:hint="eastAsia" w:ascii="宋体" w:hAnsi="宋体"/>
          <w:color w:val="auto"/>
          <w:spacing w:val="1"/>
          <w:kern w:val="0"/>
          <w:position w:val="-2"/>
          <w:highlight w:val="none"/>
        </w:rPr>
        <w:t xml:space="preserve"> </w:t>
      </w:r>
    </w:p>
    <w:p w14:paraId="6977C379">
      <w:pPr>
        <w:spacing w:line="360" w:lineRule="auto"/>
        <w:ind w:firstLine="424" w:firstLineChars="200"/>
        <w:rPr>
          <w:rFonts w:hint="eastAsia" w:ascii="宋体" w:hAnsi="宋体"/>
          <w:color w:val="auto"/>
          <w:spacing w:val="1"/>
          <w:kern w:val="0"/>
          <w:position w:val="-2"/>
          <w:highlight w:val="none"/>
        </w:rPr>
      </w:pPr>
      <w:r>
        <w:rPr>
          <w:rFonts w:hint="eastAsia" w:ascii="宋体" w:hAnsi="宋体"/>
          <w:color w:val="auto"/>
          <w:spacing w:val="1"/>
          <w:kern w:val="0"/>
          <w:position w:val="-2"/>
          <w:highlight w:val="none"/>
        </w:rPr>
        <w:t xml:space="preserve"> </w:t>
      </w:r>
    </w:p>
    <w:p w14:paraId="284C8C07">
      <w:pPr>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签约时间：</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14:paraId="2DB0613A">
      <w:pPr>
        <w:spacing w:line="480" w:lineRule="auto"/>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附件2：</w:t>
      </w:r>
    </w:p>
    <w:p w14:paraId="156EC350">
      <w:pPr>
        <w:spacing w:beforeLines="50" w:afterLines="50" w:line="480" w:lineRule="auto"/>
        <w:jc w:val="center"/>
        <w:rPr>
          <w:rFonts w:hint="eastAsia" w:ascii="宋体" w:hAnsi="宋体"/>
          <w:color w:val="auto"/>
          <w:highlight w:val="none"/>
        </w:rPr>
      </w:pPr>
      <w:r>
        <w:rPr>
          <w:rFonts w:hint="eastAsia" w:ascii="宋体" w:hAnsi="宋体"/>
          <w:color w:val="auto"/>
          <w:highlight w:val="none"/>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5E9F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tcBorders>
              <w:top w:val="single" w:color="auto" w:sz="4" w:space="0"/>
              <w:left w:val="single" w:color="auto" w:sz="4" w:space="0"/>
              <w:bottom w:val="single" w:color="auto" w:sz="4" w:space="0"/>
              <w:right w:val="single" w:color="auto" w:sz="4" w:space="0"/>
            </w:tcBorders>
            <w:vAlign w:val="center"/>
          </w:tcPr>
          <w:p w14:paraId="39E456E6">
            <w:pPr>
              <w:spacing w:line="400" w:lineRule="exact"/>
              <w:jc w:val="center"/>
              <w:rPr>
                <w:rFonts w:ascii="宋体" w:hAnsi="宋体"/>
                <w:color w:val="auto"/>
                <w:szCs w:val="21"/>
                <w:highlight w:val="none"/>
              </w:rPr>
            </w:pPr>
            <w:r>
              <w:rPr>
                <w:rFonts w:hint="eastAsia" w:ascii="宋体" w:hAnsi="宋体"/>
                <w:color w:val="auto"/>
                <w:highlight w:val="none"/>
              </w:rPr>
              <w:t>文件名称</w:t>
            </w:r>
          </w:p>
        </w:tc>
        <w:tc>
          <w:tcPr>
            <w:tcW w:w="1418" w:type="dxa"/>
            <w:tcBorders>
              <w:top w:val="single" w:color="auto" w:sz="4" w:space="0"/>
              <w:left w:val="single" w:color="auto" w:sz="4" w:space="0"/>
              <w:bottom w:val="single" w:color="auto" w:sz="4" w:space="0"/>
              <w:right w:val="single" w:color="auto" w:sz="4" w:space="0"/>
            </w:tcBorders>
            <w:vAlign w:val="center"/>
          </w:tcPr>
          <w:p w14:paraId="6E061430">
            <w:pPr>
              <w:spacing w:line="400" w:lineRule="exact"/>
              <w:jc w:val="center"/>
              <w:rPr>
                <w:rFonts w:ascii="宋体" w:hAnsi="宋体"/>
                <w:color w:val="auto"/>
                <w:szCs w:val="21"/>
                <w:highlight w:val="none"/>
              </w:rPr>
            </w:pPr>
            <w:r>
              <w:rPr>
                <w:rFonts w:hint="eastAsia" w:ascii="宋体" w:hAnsi="宋体"/>
                <w:color w:val="auto"/>
                <w:highlight w:val="none"/>
              </w:rPr>
              <w:t>套数</w:t>
            </w:r>
          </w:p>
        </w:tc>
        <w:tc>
          <w:tcPr>
            <w:tcW w:w="1418" w:type="dxa"/>
            <w:tcBorders>
              <w:top w:val="single" w:color="auto" w:sz="4" w:space="0"/>
              <w:left w:val="single" w:color="auto" w:sz="4" w:space="0"/>
              <w:bottom w:val="single" w:color="auto" w:sz="4" w:space="0"/>
              <w:right w:val="single" w:color="auto" w:sz="4" w:space="0"/>
            </w:tcBorders>
          </w:tcPr>
          <w:p w14:paraId="762ABF8B">
            <w:pPr>
              <w:spacing w:line="400" w:lineRule="exact"/>
              <w:jc w:val="center"/>
              <w:rPr>
                <w:rFonts w:ascii="宋体" w:hAnsi="宋体"/>
                <w:color w:val="auto"/>
                <w:szCs w:val="21"/>
                <w:highlight w:val="none"/>
              </w:rPr>
            </w:pPr>
            <w:r>
              <w:rPr>
                <w:rFonts w:hint="eastAsia" w:ascii="宋体" w:hAnsi="宋体"/>
                <w:color w:val="auto"/>
                <w:highlight w:val="none"/>
              </w:rPr>
              <w:t>移交时间</w:t>
            </w:r>
          </w:p>
        </w:tc>
        <w:tc>
          <w:tcPr>
            <w:tcW w:w="2917" w:type="dxa"/>
            <w:tcBorders>
              <w:top w:val="single" w:color="auto" w:sz="4" w:space="0"/>
              <w:left w:val="single" w:color="auto" w:sz="4" w:space="0"/>
              <w:bottom w:val="single" w:color="auto" w:sz="4" w:space="0"/>
              <w:right w:val="single" w:color="auto" w:sz="4" w:space="0"/>
            </w:tcBorders>
          </w:tcPr>
          <w:p w14:paraId="3C925FBF">
            <w:pPr>
              <w:spacing w:line="400" w:lineRule="exact"/>
              <w:jc w:val="center"/>
              <w:rPr>
                <w:rFonts w:ascii="宋体" w:hAnsi="宋体"/>
                <w:color w:val="auto"/>
                <w:szCs w:val="21"/>
                <w:highlight w:val="none"/>
              </w:rPr>
            </w:pPr>
            <w:r>
              <w:rPr>
                <w:rFonts w:hint="eastAsia" w:ascii="宋体" w:hAnsi="宋体"/>
                <w:color w:val="auto"/>
                <w:highlight w:val="none"/>
              </w:rPr>
              <w:t>责任人</w:t>
            </w:r>
          </w:p>
        </w:tc>
      </w:tr>
      <w:tr w14:paraId="11E7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0D1977C8">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6152314">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B89C286">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2AC3FF5B">
            <w:pPr>
              <w:spacing w:line="400" w:lineRule="exact"/>
              <w:ind w:firstLine="420" w:firstLineChars="200"/>
              <w:rPr>
                <w:rFonts w:ascii="宋体" w:hAnsi="宋体"/>
                <w:color w:val="auto"/>
                <w:szCs w:val="21"/>
                <w:highlight w:val="none"/>
              </w:rPr>
            </w:pPr>
          </w:p>
        </w:tc>
      </w:tr>
      <w:tr w14:paraId="5C20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6AFD690C">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DB1BFAA">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E945794">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7DD5FD4B">
            <w:pPr>
              <w:spacing w:line="400" w:lineRule="exact"/>
              <w:ind w:firstLine="420" w:firstLineChars="200"/>
              <w:rPr>
                <w:rFonts w:ascii="宋体" w:hAnsi="宋体"/>
                <w:color w:val="auto"/>
                <w:szCs w:val="21"/>
                <w:highlight w:val="none"/>
              </w:rPr>
            </w:pPr>
          </w:p>
        </w:tc>
      </w:tr>
      <w:tr w14:paraId="1EE3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38EC26A9">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6D0CDB5">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DE9BC91">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1F24E7C5">
            <w:pPr>
              <w:spacing w:line="400" w:lineRule="exact"/>
              <w:ind w:firstLine="420" w:firstLineChars="200"/>
              <w:rPr>
                <w:rFonts w:ascii="宋体" w:hAnsi="宋体"/>
                <w:color w:val="auto"/>
                <w:szCs w:val="21"/>
                <w:highlight w:val="none"/>
              </w:rPr>
            </w:pPr>
          </w:p>
        </w:tc>
      </w:tr>
      <w:tr w14:paraId="469B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38BA1816">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DC967A7">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D567121">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51E4F039">
            <w:pPr>
              <w:spacing w:line="400" w:lineRule="exact"/>
              <w:ind w:firstLine="420" w:firstLineChars="200"/>
              <w:rPr>
                <w:rFonts w:ascii="宋体" w:hAnsi="宋体"/>
                <w:color w:val="auto"/>
                <w:szCs w:val="21"/>
                <w:highlight w:val="none"/>
              </w:rPr>
            </w:pPr>
          </w:p>
        </w:tc>
      </w:tr>
      <w:tr w14:paraId="4163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39EBC25E">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E1F8DC9">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D3F366C">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3399B048">
            <w:pPr>
              <w:spacing w:line="400" w:lineRule="exact"/>
              <w:ind w:firstLine="420" w:firstLineChars="200"/>
              <w:rPr>
                <w:rFonts w:ascii="宋体" w:hAnsi="宋体"/>
                <w:color w:val="auto"/>
                <w:szCs w:val="21"/>
                <w:highlight w:val="none"/>
              </w:rPr>
            </w:pPr>
          </w:p>
        </w:tc>
      </w:tr>
      <w:tr w14:paraId="746E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79015219">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04658FF">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DE9EF07">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6E60678B">
            <w:pPr>
              <w:spacing w:line="400" w:lineRule="exact"/>
              <w:ind w:firstLine="420" w:firstLineChars="200"/>
              <w:rPr>
                <w:rFonts w:ascii="宋体" w:hAnsi="宋体"/>
                <w:color w:val="auto"/>
                <w:szCs w:val="21"/>
                <w:highlight w:val="none"/>
              </w:rPr>
            </w:pPr>
          </w:p>
        </w:tc>
      </w:tr>
      <w:tr w14:paraId="79A7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295BC948">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BF0C5E7">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3470FF2">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5AF02918">
            <w:pPr>
              <w:spacing w:line="400" w:lineRule="exact"/>
              <w:ind w:firstLine="420" w:firstLineChars="200"/>
              <w:rPr>
                <w:rFonts w:ascii="宋体" w:hAnsi="宋体"/>
                <w:color w:val="auto"/>
                <w:szCs w:val="21"/>
                <w:highlight w:val="none"/>
              </w:rPr>
            </w:pPr>
          </w:p>
        </w:tc>
      </w:tr>
      <w:tr w14:paraId="089B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3A40755E">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796FCFA">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3158C53">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29CC8370">
            <w:pPr>
              <w:spacing w:line="400" w:lineRule="exact"/>
              <w:ind w:firstLine="420" w:firstLineChars="200"/>
              <w:rPr>
                <w:rFonts w:ascii="宋体" w:hAnsi="宋体"/>
                <w:color w:val="auto"/>
                <w:szCs w:val="21"/>
                <w:highlight w:val="none"/>
              </w:rPr>
            </w:pPr>
          </w:p>
        </w:tc>
      </w:tr>
      <w:tr w14:paraId="0E87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67C3733F">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1A368A5">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1E5FEFD">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066B2F1C">
            <w:pPr>
              <w:spacing w:line="400" w:lineRule="exact"/>
              <w:ind w:firstLine="420" w:firstLineChars="200"/>
              <w:rPr>
                <w:rFonts w:ascii="宋体" w:hAnsi="宋体"/>
                <w:color w:val="auto"/>
                <w:szCs w:val="21"/>
                <w:highlight w:val="none"/>
              </w:rPr>
            </w:pPr>
          </w:p>
        </w:tc>
      </w:tr>
      <w:tr w14:paraId="380A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vAlign w:val="center"/>
          </w:tcPr>
          <w:p w14:paraId="5E0768AC">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846C375">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8B13C5F">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vAlign w:val="center"/>
          </w:tcPr>
          <w:p w14:paraId="29778C23">
            <w:pPr>
              <w:spacing w:line="400" w:lineRule="exact"/>
              <w:ind w:firstLine="420" w:firstLineChars="200"/>
              <w:rPr>
                <w:rFonts w:ascii="宋体" w:hAnsi="宋体"/>
                <w:color w:val="auto"/>
                <w:szCs w:val="21"/>
                <w:highlight w:val="none"/>
              </w:rPr>
            </w:pPr>
          </w:p>
        </w:tc>
      </w:tr>
      <w:tr w14:paraId="6DE4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3DA7A448">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3AE8D24">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6ABB243">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682DEFE0">
            <w:pPr>
              <w:spacing w:line="400" w:lineRule="exact"/>
              <w:ind w:firstLine="420" w:firstLineChars="200"/>
              <w:rPr>
                <w:rFonts w:ascii="宋体" w:hAnsi="宋体"/>
                <w:color w:val="auto"/>
                <w:szCs w:val="21"/>
                <w:highlight w:val="none"/>
              </w:rPr>
            </w:pPr>
          </w:p>
        </w:tc>
      </w:tr>
      <w:tr w14:paraId="14A4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044740CE">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9BC0B5A">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BCA794B">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16B11CA0">
            <w:pPr>
              <w:spacing w:line="400" w:lineRule="exact"/>
              <w:ind w:firstLine="420" w:firstLineChars="200"/>
              <w:rPr>
                <w:rFonts w:ascii="宋体" w:hAnsi="宋体"/>
                <w:color w:val="auto"/>
                <w:szCs w:val="21"/>
                <w:highlight w:val="none"/>
              </w:rPr>
            </w:pPr>
          </w:p>
        </w:tc>
      </w:tr>
      <w:tr w14:paraId="5F77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045FA24C">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3E0F1D55">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8BC53E1">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016C8F90">
            <w:pPr>
              <w:spacing w:line="400" w:lineRule="exact"/>
              <w:ind w:firstLine="420" w:firstLineChars="200"/>
              <w:rPr>
                <w:rFonts w:ascii="宋体" w:hAnsi="宋体"/>
                <w:color w:val="auto"/>
                <w:szCs w:val="21"/>
                <w:highlight w:val="none"/>
              </w:rPr>
            </w:pPr>
          </w:p>
        </w:tc>
      </w:tr>
      <w:tr w14:paraId="7021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768BE6A5">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2A37067">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45F422D">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12ED6293">
            <w:pPr>
              <w:spacing w:line="400" w:lineRule="exact"/>
              <w:ind w:firstLine="420" w:firstLineChars="200"/>
              <w:rPr>
                <w:rFonts w:ascii="宋体" w:hAnsi="宋体"/>
                <w:color w:val="auto"/>
                <w:szCs w:val="21"/>
                <w:highlight w:val="none"/>
              </w:rPr>
            </w:pPr>
          </w:p>
        </w:tc>
      </w:tr>
      <w:tr w14:paraId="6B95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78B1001A">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6F6408E">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0D423C4">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25461492">
            <w:pPr>
              <w:spacing w:line="400" w:lineRule="exact"/>
              <w:ind w:firstLine="420" w:firstLineChars="200"/>
              <w:rPr>
                <w:rFonts w:ascii="宋体" w:hAnsi="宋体"/>
                <w:color w:val="auto"/>
                <w:szCs w:val="21"/>
                <w:highlight w:val="none"/>
              </w:rPr>
            </w:pPr>
          </w:p>
        </w:tc>
      </w:tr>
      <w:tr w14:paraId="661E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61F31A73">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F82EDC1">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E470E9D">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19634E07">
            <w:pPr>
              <w:spacing w:line="400" w:lineRule="exact"/>
              <w:ind w:firstLine="420" w:firstLineChars="200"/>
              <w:rPr>
                <w:rFonts w:ascii="宋体" w:hAnsi="宋体"/>
                <w:color w:val="auto"/>
                <w:szCs w:val="21"/>
                <w:highlight w:val="none"/>
              </w:rPr>
            </w:pPr>
          </w:p>
        </w:tc>
      </w:tr>
      <w:tr w14:paraId="7FED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0885D1F0">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65DC80B">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EC4130B">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792A872A">
            <w:pPr>
              <w:spacing w:line="400" w:lineRule="exact"/>
              <w:ind w:firstLine="420" w:firstLineChars="200"/>
              <w:rPr>
                <w:rFonts w:ascii="宋体" w:hAnsi="宋体"/>
                <w:color w:val="auto"/>
                <w:szCs w:val="21"/>
                <w:highlight w:val="none"/>
              </w:rPr>
            </w:pPr>
          </w:p>
        </w:tc>
      </w:tr>
      <w:tr w14:paraId="03AB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Borders>
              <w:top w:val="single" w:color="auto" w:sz="4" w:space="0"/>
              <w:left w:val="single" w:color="auto" w:sz="4" w:space="0"/>
              <w:bottom w:val="single" w:color="auto" w:sz="4" w:space="0"/>
              <w:right w:val="single" w:color="auto" w:sz="4" w:space="0"/>
            </w:tcBorders>
          </w:tcPr>
          <w:p w14:paraId="0D73FB82">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83F5BCA">
            <w:pPr>
              <w:spacing w:line="400" w:lineRule="exact"/>
              <w:ind w:firstLine="420" w:firstLineChars="20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332B9648">
            <w:pPr>
              <w:spacing w:line="400" w:lineRule="exact"/>
              <w:ind w:firstLine="420" w:firstLineChars="200"/>
              <w:rPr>
                <w:rFonts w:ascii="宋体" w:hAnsi="宋体"/>
                <w:color w:val="auto"/>
                <w:szCs w:val="21"/>
                <w:highlight w:val="none"/>
              </w:rPr>
            </w:pPr>
          </w:p>
        </w:tc>
        <w:tc>
          <w:tcPr>
            <w:tcW w:w="2917" w:type="dxa"/>
            <w:tcBorders>
              <w:top w:val="single" w:color="auto" w:sz="4" w:space="0"/>
              <w:left w:val="single" w:color="auto" w:sz="4" w:space="0"/>
              <w:bottom w:val="single" w:color="auto" w:sz="4" w:space="0"/>
              <w:right w:val="single" w:color="auto" w:sz="4" w:space="0"/>
            </w:tcBorders>
          </w:tcPr>
          <w:p w14:paraId="3AA6EE46">
            <w:pPr>
              <w:spacing w:line="400" w:lineRule="exact"/>
              <w:ind w:firstLine="420" w:firstLineChars="200"/>
              <w:rPr>
                <w:rFonts w:ascii="宋体" w:hAnsi="宋体"/>
                <w:color w:val="auto"/>
                <w:szCs w:val="21"/>
                <w:highlight w:val="none"/>
              </w:rPr>
            </w:pPr>
          </w:p>
        </w:tc>
      </w:tr>
    </w:tbl>
    <w:p w14:paraId="0D121AEA">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 xml:space="preserve"> </w:t>
      </w:r>
    </w:p>
    <w:p w14:paraId="14048280">
      <w:pPr>
        <w:spacing w:line="480" w:lineRule="auto"/>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附件3：</w:t>
      </w:r>
    </w:p>
    <w:p w14:paraId="2DA28FD5">
      <w:pPr>
        <w:spacing w:beforeLines="50" w:afterLines="50" w:line="480" w:lineRule="auto"/>
        <w:jc w:val="center"/>
        <w:rPr>
          <w:rFonts w:hint="eastAsia" w:ascii="宋体" w:hAnsi="宋体"/>
          <w:color w:val="auto"/>
          <w:highlight w:val="none"/>
        </w:rPr>
      </w:pPr>
      <w:r>
        <w:rPr>
          <w:rFonts w:hint="eastAsia" w:ascii="宋体" w:hAnsi="宋体"/>
          <w:color w:val="auto"/>
          <w:highlight w:val="none"/>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1AF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7222810B">
            <w:pPr>
              <w:spacing w:line="400" w:lineRule="exact"/>
              <w:jc w:val="center"/>
              <w:rPr>
                <w:rFonts w:ascii="宋体" w:hAnsi="宋体"/>
                <w:color w:val="auto"/>
                <w:szCs w:val="21"/>
                <w:highlight w:val="none"/>
              </w:rPr>
            </w:pPr>
            <w:r>
              <w:rPr>
                <w:rFonts w:hint="eastAsia" w:ascii="宋体" w:hAnsi="宋体"/>
                <w:color w:val="auto"/>
                <w:highlight w:val="none"/>
              </w:rPr>
              <w:t>名    称</w:t>
            </w:r>
          </w:p>
        </w:tc>
        <w:tc>
          <w:tcPr>
            <w:tcW w:w="1418" w:type="dxa"/>
            <w:tcBorders>
              <w:top w:val="single" w:color="auto" w:sz="4" w:space="0"/>
              <w:left w:val="single" w:color="auto" w:sz="4" w:space="0"/>
              <w:bottom w:val="single" w:color="auto" w:sz="4" w:space="0"/>
              <w:right w:val="single" w:color="auto" w:sz="4" w:space="0"/>
            </w:tcBorders>
            <w:vAlign w:val="center"/>
          </w:tcPr>
          <w:p w14:paraId="5A8A8891">
            <w:pPr>
              <w:spacing w:line="400" w:lineRule="exact"/>
              <w:jc w:val="center"/>
              <w:rPr>
                <w:rFonts w:ascii="宋体" w:hAnsi="宋体"/>
                <w:color w:val="auto"/>
                <w:szCs w:val="21"/>
                <w:highlight w:val="none"/>
              </w:rPr>
            </w:pPr>
            <w:r>
              <w:rPr>
                <w:rFonts w:hint="eastAsia" w:ascii="宋体" w:hAnsi="宋体"/>
                <w:color w:val="auto"/>
                <w:highlight w:val="none"/>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14845379">
            <w:pPr>
              <w:spacing w:line="400" w:lineRule="exact"/>
              <w:jc w:val="center"/>
              <w:rPr>
                <w:rFonts w:ascii="宋体" w:hAnsi="宋体"/>
                <w:color w:val="auto"/>
                <w:szCs w:val="21"/>
                <w:highlight w:val="none"/>
              </w:rPr>
            </w:pPr>
            <w:r>
              <w:rPr>
                <w:rFonts w:hint="eastAsia" w:ascii="宋体" w:hAnsi="宋体"/>
                <w:color w:val="auto"/>
                <w:highlight w:val="none"/>
              </w:rPr>
              <w:t>职务</w:t>
            </w:r>
          </w:p>
        </w:tc>
        <w:tc>
          <w:tcPr>
            <w:tcW w:w="1134" w:type="dxa"/>
            <w:tcBorders>
              <w:top w:val="single" w:color="auto" w:sz="4" w:space="0"/>
              <w:left w:val="single" w:color="auto" w:sz="4" w:space="0"/>
              <w:bottom w:val="single" w:color="auto" w:sz="4" w:space="0"/>
              <w:right w:val="single" w:color="auto" w:sz="4" w:space="0"/>
            </w:tcBorders>
            <w:vAlign w:val="center"/>
          </w:tcPr>
          <w:p w14:paraId="549E4402">
            <w:pPr>
              <w:spacing w:line="400" w:lineRule="exact"/>
              <w:jc w:val="center"/>
              <w:rPr>
                <w:rFonts w:ascii="宋体" w:hAnsi="宋体"/>
                <w:color w:val="auto"/>
                <w:szCs w:val="21"/>
                <w:highlight w:val="none"/>
              </w:rPr>
            </w:pPr>
            <w:r>
              <w:rPr>
                <w:rFonts w:hint="eastAsia" w:ascii="宋体" w:hAnsi="宋体"/>
                <w:color w:val="auto"/>
                <w:highlight w:val="none"/>
              </w:rPr>
              <w:t>职称</w:t>
            </w:r>
          </w:p>
        </w:tc>
        <w:tc>
          <w:tcPr>
            <w:tcW w:w="4252" w:type="dxa"/>
            <w:tcBorders>
              <w:top w:val="single" w:color="auto" w:sz="4" w:space="0"/>
              <w:left w:val="single" w:color="auto" w:sz="4" w:space="0"/>
              <w:bottom w:val="single" w:color="auto" w:sz="4" w:space="0"/>
              <w:right w:val="single" w:color="auto" w:sz="4" w:space="0"/>
            </w:tcBorders>
            <w:vAlign w:val="center"/>
          </w:tcPr>
          <w:p w14:paraId="1EB91D8A">
            <w:pPr>
              <w:spacing w:line="400" w:lineRule="exact"/>
              <w:jc w:val="center"/>
              <w:rPr>
                <w:rFonts w:ascii="宋体" w:hAnsi="宋体"/>
                <w:color w:val="auto"/>
                <w:szCs w:val="21"/>
                <w:highlight w:val="none"/>
              </w:rPr>
            </w:pPr>
            <w:r>
              <w:rPr>
                <w:rFonts w:hint="eastAsia" w:ascii="宋体" w:hAnsi="宋体"/>
                <w:color w:val="auto"/>
                <w:highlight w:val="none"/>
              </w:rPr>
              <w:t>主要资历、经验及承担过的项目</w:t>
            </w:r>
          </w:p>
        </w:tc>
      </w:tr>
      <w:tr w14:paraId="407B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tcBorders>
              <w:top w:val="single" w:color="auto" w:sz="4" w:space="0"/>
              <w:left w:val="single" w:color="auto" w:sz="4" w:space="0"/>
              <w:bottom w:val="single" w:color="auto" w:sz="4" w:space="0"/>
              <w:right w:val="single" w:color="auto" w:sz="4" w:space="0"/>
            </w:tcBorders>
            <w:vAlign w:val="center"/>
          </w:tcPr>
          <w:p w14:paraId="680CEFE3">
            <w:pPr>
              <w:spacing w:line="400" w:lineRule="exact"/>
              <w:rPr>
                <w:rFonts w:ascii="宋体" w:hAnsi="宋体"/>
                <w:color w:val="auto"/>
                <w:szCs w:val="21"/>
                <w:highlight w:val="none"/>
              </w:rPr>
            </w:pPr>
            <w:r>
              <w:rPr>
                <w:rFonts w:hint="eastAsia" w:ascii="宋体" w:hAnsi="宋体"/>
                <w:color w:val="auto"/>
                <w:highlight w:val="none"/>
              </w:rPr>
              <w:t>一、总部人员</w:t>
            </w:r>
          </w:p>
        </w:tc>
      </w:tr>
      <w:tr w14:paraId="4ED3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504851AE">
            <w:pPr>
              <w:spacing w:line="400" w:lineRule="exact"/>
              <w:jc w:val="center"/>
              <w:rPr>
                <w:rFonts w:ascii="宋体" w:hAnsi="宋体"/>
                <w:color w:val="auto"/>
                <w:szCs w:val="21"/>
                <w:highlight w:val="none"/>
              </w:rPr>
            </w:pPr>
            <w:r>
              <w:rPr>
                <w:rFonts w:hint="eastAsia" w:ascii="宋体" w:hAnsi="宋体"/>
                <w:color w:val="auto"/>
                <w:highlight w:val="none"/>
              </w:rPr>
              <w:t>项目主管</w:t>
            </w:r>
          </w:p>
        </w:tc>
        <w:tc>
          <w:tcPr>
            <w:tcW w:w="1418" w:type="dxa"/>
            <w:tcBorders>
              <w:top w:val="single" w:color="auto" w:sz="4" w:space="0"/>
              <w:left w:val="single" w:color="auto" w:sz="4" w:space="0"/>
              <w:bottom w:val="single" w:color="auto" w:sz="4" w:space="0"/>
              <w:right w:val="single" w:color="auto" w:sz="4" w:space="0"/>
            </w:tcBorders>
            <w:vAlign w:val="center"/>
          </w:tcPr>
          <w:p w14:paraId="79D008CA">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FB47A86">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E8F7DB">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51E91748">
            <w:pPr>
              <w:spacing w:line="400" w:lineRule="exact"/>
              <w:ind w:firstLine="420" w:firstLineChars="200"/>
              <w:rPr>
                <w:rFonts w:ascii="宋体" w:hAnsi="宋体"/>
                <w:color w:val="auto"/>
                <w:szCs w:val="21"/>
                <w:highlight w:val="none"/>
              </w:rPr>
            </w:pPr>
          </w:p>
        </w:tc>
      </w:tr>
      <w:tr w14:paraId="56D7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50AB1978">
            <w:pPr>
              <w:spacing w:line="400" w:lineRule="exact"/>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3F6B21D">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5C73AC">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BDF7ECB">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584CDBC5">
            <w:pPr>
              <w:spacing w:line="400" w:lineRule="exact"/>
              <w:ind w:firstLine="420" w:firstLineChars="200"/>
              <w:rPr>
                <w:rFonts w:ascii="宋体" w:hAnsi="宋体"/>
                <w:color w:val="auto"/>
                <w:szCs w:val="21"/>
                <w:highlight w:val="none"/>
              </w:rPr>
            </w:pPr>
          </w:p>
        </w:tc>
      </w:tr>
      <w:tr w14:paraId="628E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724D7259">
            <w:pPr>
              <w:spacing w:line="400" w:lineRule="exact"/>
              <w:jc w:val="center"/>
              <w:rPr>
                <w:rFonts w:ascii="宋体" w:hAnsi="宋体"/>
                <w:color w:val="auto"/>
                <w:szCs w:val="21"/>
                <w:highlight w:val="none"/>
              </w:rPr>
            </w:pPr>
            <w:r>
              <w:rPr>
                <w:rFonts w:hint="eastAsia" w:ascii="宋体" w:hAnsi="宋体"/>
                <w:color w:val="auto"/>
                <w:highlight w:val="none"/>
              </w:rPr>
              <w:t>其他人员</w:t>
            </w:r>
          </w:p>
        </w:tc>
        <w:tc>
          <w:tcPr>
            <w:tcW w:w="1418" w:type="dxa"/>
            <w:tcBorders>
              <w:top w:val="single" w:color="auto" w:sz="4" w:space="0"/>
              <w:left w:val="single" w:color="auto" w:sz="4" w:space="0"/>
              <w:bottom w:val="single" w:color="auto" w:sz="4" w:space="0"/>
              <w:right w:val="single" w:color="auto" w:sz="4" w:space="0"/>
            </w:tcBorders>
            <w:vAlign w:val="center"/>
          </w:tcPr>
          <w:p w14:paraId="2316B11C">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7F2B465">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B623329">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02492928">
            <w:pPr>
              <w:spacing w:line="400" w:lineRule="exact"/>
              <w:ind w:firstLine="420" w:firstLineChars="200"/>
              <w:rPr>
                <w:rFonts w:ascii="宋体" w:hAnsi="宋体"/>
                <w:color w:val="auto"/>
                <w:szCs w:val="21"/>
                <w:highlight w:val="none"/>
              </w:rPr>
            </w:pPr>
          </w:p>
        </w:tc>
      </w:tr>
      <w:tr w14:paraId="0803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5445FB68">
            <w:pPr>
              <w:spacing w:line="400" w:lineRule="exact"/>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4251E5">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6D38056">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2C2C06">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79AE6EC3">
            <w:pPr>
              <w:spacing w:line="400" w:lineRule="exact"/>
              <w:ind w:firstLine="420" w:firstLineChars="200"/>
              <w:rPr>
                <w:rFonts w:ascii="宋体" w:hAnsi="宋体"/>
                <w:color w:val="auto"/>
                <w:szCs w:val="21"/>
                <w:highlight w:val="none"/>
              </w:rPr>
            </w:pPr>
          </w:p>
        </w:tc>
      </w:tr>
      <w:tr w14:paraId="4F6B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vAlign w:val="center"/>
          </w:tcPr>
          <w:p w14:paraId="35949CA2">
            <w:pPr>
              <w:spacing w:line="400" w:lineRule="exact"/>
              <w:rPr>
                <w:rFonts w:ascii="宋体" w:hAnsi="宋体"/>
                <w:color w:val="auto"/>
                <w:szCs w:val="21"/>
                <w:highlight w:val="none"/>
              </w:rPr>
            </w:pPr>
            <w:r>
              <w:rPr>
                <w:rFonts w:hint="eastAsia" w:ascii="宋体" w:hAnsi="宋体"/>
                <w:color w:val="auto"/>
                <w:highlight w:val="none"/>
              </w:rPr>
              <w:t>二、现场人员</w:t>
            </w:r>
          </w:p>
        </w:tc>
      </w:tr>
      <w:tr w14:paraId="317E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33E66EE7">
            <w:pPr>
              <w:spacing w:line="400" w:lineRule="exact"/>
              <w:jc w:val="center"/>
              <w:rPr>
                <w:rFonts w:ascii="宋体" w:hAnsi="宋体"/>
                <w:color w:val="auto"/>
                <w:szCs w:val="21"/>
                <w:highlight w:val="none"/>
              </w:rPr>
            </w:pPr>
            <w:r>
              <w:rPr>
                <w:rFonts w:hint="eastAsia" w:ascii="宋体" w:hAnsi="宋体"/>
                <w:color w:val="auto"/>
                <w:highlight w:val="none"/>
              </w:rPr>
              <w:t>项目经理</w:t>
            </w:r>
          </w:p>
        </w:tc>
        <w:tc>
          <w:tcPr>
            <w:tcW w:w="1418" w:type="dxa"/>
            <w:tcBorders>
              <w:top w:val="single" w:color="auto" w:sz="4" w:space="0"/>
              <w:left w:val="single" w:color="auto" w:sz="4" w:space="0"/>
              <w:bottom w:val="single" w:color="auto" w:sz="4" w:space="0"/>
              <w:right w:val="single" w:color="auto" w:sz="4" w:space="0"/>
            </w:tcBorders>
            <w:vAlign w:val="center"/>
          </w:tcPr>
          <w:p w14:paraId="2DBEDC5E">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8A5C204">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A2FBA4D">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59696C05">
            <w:pPr>
              <w:spacing w:line="400" w:lineRule="exact"/>
              <w:ind w:firstLine="420" w:firstLineChars="200"/>
              <w:rPr>
                <w:rFonts w:ascii="宋体" w:hAnsi="宋体"/>
                <w:color w:val="auto"/>
                <w:szCs w:val="21"/>
                <w:highlight w:val="none"/>
              </w:rPr>
            </w:pPr>
          </w:p>
        </w:tc>
      </w:tr>
      <w:tr w14:paraId="0AA8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3AD74DB3">
            <w:pPr>
              <w:spacing w:line="400" w:lineRule="exact"/>
              <w:jc w:val="center"/>
              <w:rPr>
                <w:rFonts w:ascii="宋体" w:hAnsi="宋体"/>
                <w:color w:val="auto"/>
                <w:szCs w:val="21"/>
                <w:highlight w:val="none"/>
              </w:rPr>
            </w:pPr>
            <w:r>
              <w:rPr>
                <w:rFonts w:hint="eastAsia" w:ascii="宋体" w:hAnsi="宋体"/>
                <w:color w:val="auto"/>
                <w:highlight w:val="none"/>
              </w:rPr>
              <w:t>技术负责人</w:t>
            </w:r>
          </w:p>
        </w:tc>
        <w:tc>
          <w:tcPr>
            <w:tcW w:w="1418" w:type="dxa"/>
            <w:tcBorders>
              <w:top w:val="single" w:color="auto" w:sz="4" w:space="0"/>
              <w:left w:val="single" w:color="auto" w:sz="4" w:space="0"/>
              <w:bottom w:val="single" w:color="auto" w:sz="4" w:space="0"/>
              <w:right w:val="single" w:color="auto" w:sz="4" w:space="0"/>
            </w:tcBorders>
            <w:vAlign w:val="center"/>
          </w:tcPr>
          <w:p w14:paraId="772330DC">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18335D">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CCE3E42">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145EC632">
            <w:pPr>
              <w:spacing w:line="400" w:lineRule="exact"/>
              <w:ind w:firstLine="420" w:firstLineChars="200"/>
              <w:rPr>
                <w:rFonts w:ascii="宋体" w:hAnsi="宋体"/>
                <w:color w:val="auto"/>
                <w:szCs w:val="21"/>
                <w:highlight w:val="none"/>
              </w:rPr>
            </w:pPr>
          </w:p>
        </w:tc>
      </w:tr>
      <w:tr w14:paraId="7D6F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7B859FD5">
            <w:pPr>
              <w:spacing w:line="400" w:lineRule="exact"/>
              <w:jc w:val="center"/>
              <w:rPr>
                <w:rFonts w:ascii="宋体" w:hAnsi="宋体"/>
                <w:color w:val="auto"/>
                <w:szCs w:val="21"/>
                <w:highlight w:val="none"/>
              </w:rPr>
            </w:pPr>
            <w:r>
              <w:rPr>
                <w:rFonts w:hint="eastAsia" w:ascii="宋体" w:hAnsi="宋体"/>
                <w:color w:val="auto"/>
                <w:highlight w:val="none"/>
              </w:rPr>
              <w:t>造价管理</w:t>
            </w:r>
          </w:p>
        </w:tc>
        <w:tc>
          <w:tcPr>
            <w:tcW w:w="1418" w:type="dxa"/>
            <w:tcBorders>
              <w:top w:val="single" w:color="auto" w:sz="4" w:space="0"/>
              <w:left w:val="single" w:color="auto" w:sz="4" w:space="0"/>
              <w:bottom w:val="single" w:color="auto" w:sz="4" w:space="0"/>
              <w:right w:val="single" w:color="auto" w:sz="4" w:space="0"/>
            </w:tcBorders>
            <w:vAlign w:val="center"/>
          </w:tcPr>
          <w:p w14:paraId="2081F4D8">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9464942">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B155E4">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3E628929">
            <w:pPr>
              <w:spacing w:line="400" w:lineRule="exact"/>
              <w:ind w:firstLine="420" w:firstLineChars="200"/>
              <w:rPr>
                <w:rFonts w:ascii="宋体" w:hAnsi="宋体"/>
                <w:color w:val="auto"/>
                <w:szCs w:val="21"/>
                <w:highlight w:val="none"/>
              </w:rPr>
            </w:pPr>
          </w:p>
        </w:tc>
      </w:tr>
      <w:tr w14:paraId="239A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01CF45FF">
            <w:pPr>
              <w:spacing w:line="400" w:lineRule="exact"/>
              <w:jc w:val="center"/>
              <w:rPr>
                <w:rFonts w:ascii="宋体" w:hAnsi="宋体"/>
                <w:color w:val="auto"/>
                <w:szCs w:val="21"/>
                <w:highlight w:val="none"/>
              </w:rPr>
            </w:pPr>
            <w:r>
              <w:rPr>
                <w:rFonts w:hint="eastAsia" w:ascii="宋体" w:hAnsi="宋体"/>
                <w:color w:val="auto"/>
                <w:highlight w:val="none"/>
              </w:rPr>
              <w:t>质量管理</w:t>
            </w:r>
          </w:p>
        </w:tc>
        <w:tc>
          <w:tcPr>
            <w:tcW w:w="1418" w:type="dxa"/>
            <w:tcBorders>
              <w:top w:val="single" w:color="auto" w:sz="4" w:space="0"/>
              <w:left w:val="single" w:color="auto" w:sz="4" w:space="0"/>
              <w:bottom w:val="single" w:color="auto" w:sz="4" w:space="0"/>
              <w:right w:val="single" w:color="auto" w:sz="4" w:space="0"/>
            </w:tcBorders>
            <w:vAlign w:val="center"/>
          </w:tcPr>
          <w:p w14:paraId="7CE4F08E">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1940B4">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1BE24AB">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0C425B2F">
            <w:pPr>
              <w:spacing w:line="400" w:lineRule="exact"/>
              <w:ind w:firstLine="420" w:firstLineChars="200"/>
              <w:rPr>
                <w:rFonts w:ascii="宋体" w:hAnsi="宋体"/>
                <w:color w:val="auto"/>
                <w:szCs w:val="21"/>
                <w:highlight w:val="none"/>
              </w:rPr>
            </w:pPr>
          </w:p>
        </w:tc>
      </w:tr>
      <w:tr w14:paraId="079B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6F979036">
            <w:pPr>
              <w:spacing w:line="400" w:lineRule="exact"/>
              <w:jc w:val="center"/>
              <w:rPr>
                <w:rFonts w:ascii="宋体" w:hAnsi="宋体"/>
                <w:color w:val="auto"/>
                <w:szCs w:val="21"/>
                <w:highlight w:val="none"/>
              </w:rPr>
            </w:pPr>
            <w:r>
              <w:rPr>
                <w:rFonts w:hint="eastAsia" w:ascii="宋体" w:hAnsi="宋体"/>
                <w:color w:val="auto"/>
                <w:highlight w:val="none"/>
              </w:rPr>
              <w:t>材料管理</w:t>
            </w:r>
          </w:p>
        </w:tc>
        <w:tc>
          <w:tcPr>
            <w:tcW w:w="1418" w:type="dxa"/>
            <w:tcBorders>
              <w:top w:val="single" w:color="auto" w:sz="4" w:space="0"/>
              <w:left w:val="single" w:color="auto" w:sz="4" w:space="0"/>
              <w:bottom w:val="single" w:color="auto" w:sz="4" w:space="0"/>
              <w:right w:val="single" w:color="auto" w:sz="4" w:space="0"/>
            </w:tcBorders>
            <w:vAlign w:val="center"/>
          </w:tcPr>
          <w:p w14:paraId="537175BC">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3995023">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76511EE">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0A820B6F">
            <w:pPr>
              <w:spacing w:line="400" w:lineRule="exact"/>
              <w:ind w:firstLine="420" w:firstLineChars="200"/>
              <w:rPr>
                <w:rFonts w:ascii="宋体" w:hAnsi="宋体"/>
                <w:color w:val="auto"/>
                <w:szCs w:val="21"/>
                <w:highlight w:val="none"/>
              </w:rPr>
            </w:pPr>
          </w:p>
        </w:tc>
      </w:tr>
      <w:tr w14:paraId="7D02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62CD5C76">
            <w:pPr>
              <w:spacing w:line="400" w:lineRule="exact"/>
              <w:jc w:val="center"/>
              <w:rPr>
                <w:rFonts w:ascii="宋体" w:hAnsi="宋体"/>
                <w:color w:val="auto"/>
                <w:szCs w:val="21"/>
                <w:highlight w:val="none"/>
              </w:rPr>
            </w:pPr>
            <w:r>
              <w:rPr>
                <w:rFonts w:hint="eastAsia" w:ascii="宋体" w:hAnsi="宋体"/>
                <w:color w:val="auto"/>
                <w:highlight w:val="none"/>
              </w:rPr>
              <w:t>施工员管理</w:t>
            </w:r>
          </w:p>
        </w:tc>
        <w:tc>
          <w:tcPr>
            <w:tcW w:w="1418" w:type="dxa"/>
            <w:tcBorders>
              <w:top w:val="single" w:color="auto" w:sz="4" w:space="0"/>
              <w:left w:val="single" w:color="auto" w:sz="4" w:space="0"/>
              <w:bottom w:val="single" w:color="auto" w:sz="4" w:space="0"/>
              <w:right w:val="single" w:color="auto" w:sz="4" w:space="0"/>
            </w:tcBorders>
            <w:vAlign w:val="center"/>
          </w:tcPr>
          <w:p w14:paraId="02055E0E">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8E88D94">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976203D">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2796B60F">
            <w:pPr>
              <w:spacing w:line="400" w:lineRule="exact"/>
              <w:ind w:firstLine="420" w:firstLineChars="200"/>
              <w:rPr>
                <w:rFonts w:ascii="宋体" w:hAnsi="宋体"/>
                <w:color w:val="auto"/>
                <w:szCs w:val="21"/>
                <w:highlight w:val="none"/>
              </w:rPr>
            </w:pPr>
          </w:p>
        </w:tc>
      </w:tr>
      <w:tr w14:paraId="3A21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vAlign w:val="center"/>
          </w:tcPr>
          <w:p w14:paraId="49390047">
            <w:pPr>
              <w:spacing w:line="400" w:lineRule="exact"/>
              <w:jc w:val="center"/>
              <w:rPr>
                <w:rFonts w:ascii="宋体" w:hAnsi="宋体"/>
                <w:color w:val="auto"/>
                <w:szCs w:val="21"/>
                <w:highlight w:val="none"/>
              </w:rPr>
            </w:pPr>
            <w:r>
              <w:rPr>
                <w:rFonts w:hint="eastAsia" w:ascii="宋体" w:hAnsi="宋体"/>
                <w:color w:val="auto"/>
                <w:highlight w:val="none"/>
              </w:rPr>
              <w:t>安全管理</w:t>
            </w:r>
          </w:p>
        </w:tc>
        <w:tc>
          <w:tcPr>
            <w:tcW w:w="1418" w:type="dxa"/>
            <w:tcBorders>
              <w:top w:val="single" w:color="auto" w:sz="4" w:space="0"/>
              <w:left w:val="single" w:color="auto" w:sz="4" w:space="0"/>
              <w:bottom w:val="single" w:color="auto" w:sz="4" w:space="0"/>
              <w:right w:val="single" w:color="auto" w:sz="4" w:space="0"/>
            </w:tcBorders>
            <w:vAlign w:val="center"/>
          </w:tcPr>
          <w:p w14:paraId="21E2883C">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CB4F094">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7A3752A">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4F7A15F5">
            <w:pPr>
              <w:spacing w:line="400" w:lineRule="exact"/>
              <w:ind w:firstLine="420" w:firstLineChars="200"/>
              <w:rPr>
                <w:rFonts w:ascii="宋体" w:hAnsi="宋体"/>
                <w:color w:val="auto"/>
                <w:szCs w:val="21"/>
                <w:highlight w:val="none"/>
              </w:rPr>
            </w:pPr>
          </w:p>
        </w:tc>
      </w:tr>
      <w:tr w14:paraId="718A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vAlign w:val="center"/>
          </w:tcPr>
          <w:p w14:paraId="1963F0D2">
            <w:pPr>
              <w:spacing w:line="400" w:lineRule="exact"/>
              <w:jc w:val="center"/>
              <w:rPr>
                <w:rFonts w:ascii="宋体" w:hAnsi="宋体"/>
                <w:color w:val="auto"/>
                <w:szCs w:val="21"/>
                <w:highlight w:val="none"/>
              </w:rPr>
            </w:pPr>
            <w:r>
              <w:rPr>
                <w:rFonts w:hint="eastAsia" w:ascii="宋体" w:hAnsi="宋体"/>
                <w:color w:val="auto"/>
                <w:highlight w:val="none"/>
              </w:rPr>
              <w:t>其他人员</w:t>
            </w:r>
          </w:p>
        </w:tc>
        <w:tc>
          <w:tcPr>
            <w:tcW w:w="1418" w:type="dxa"/>
            <w:tcBorders>
              <w:top w:val="single" w:color="auto" w:sz="4" w:space="0"/>
              <w:left w:val="single" w:color="auto" w:sz="4" w:space="0"/>
              <w:bottom w:val="single" w:color="auto" w:sz="4" w:space="0"/>
              <w:right w:val="single" w:color="auto" w:sz="4" w:space="0"/>
            </w:tcBorders>
            <w:vAlign w:val="center"/>
          </w:tcPr>
          <w:p w14:paraId="39E2742C">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12B24D8">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C5AC9B">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7AF73568">
            <w:pPr>
              <w:spacing w:line="400" w:lineRule="exact"/>
              <w:ind w:firstLine="420" w:firstLineChars="200"/>
              <w:rPr>
                <w:rFonts w:ascii="宋体" w:hAnsi="宋体"/>
                <w:color w:val="auto"/>
                <w:szCs w:val="21"/>
                <w:highlight w:val="none"/>
              </w:rPr>
            </w:pPr>
          </w:p>
        </w:tc>
      </w:tr>
      <w:tr w14:paraId="6BC8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vMerge w:val="continue"/>
            <w:tcBorders>
              <w:top w:val="nil"/>
              <w:left w:val="single" w:color="auto" w:sz="4" w:space="0"/>
              <w:bottom w:val="single" w:color="auto" w:sz="4" w:space="0"/>
              <w:right w:val="single" w:color="auto" w:sz="4" w:space="0"/>
            </w:tcBorders>
            <w:vAlign w:val="center"/>
          </w:tcPr>
          <w:p w14:paraId="1D14C6EB">
            <w:pPr>
              <w:widowControl/>
              <w:jc w:val="left"/>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878DB5B">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BD89470">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CDA714A">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074A63C3">
            <w:pPr>
              <w:spacing w:line="400" w:lineRule="exact"/>
              <w:ind w:firstLine="420" w:firstLineChars="200"/>
              <w:rPr>
                <w:rFonts w:ascii="宋体" w:hAnsi="宋体"/>
                <w:color w:val="auto"/>
                <w:szCs w:val="21"/>
                <w:highlight w:val="none"/>
              </w:rPr>
            </w:pPr>
          </w:p>
        </w:tc>
      </w:tr>
      <w:tr w14:paraId="3A11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vMerge w:val="continue"/>
            <w:tcBorders>
              <w:top w:val="nil"/>
              <w:left w:val="single" w:color="auto" w:sz="4" w:space="0"/>
              <w:bottom w:val="single" w:color="auto" w:sz="4" w:space="0"/>
              <w:right w:val="single" w:color="auto" w:sz="4" w:space="0"/>
            </w:tcBorders>
            <w:vAlign w:val="center"/>
          </w:tcPr>
          <w:p w14:paraId="5C727ADE">
            <w:pPr>
              <w:widowControl/>
              <w:jc w:val="left"/>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65B63C9">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E7115E9">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BBE1256">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5F9905AC">
            <w:pPr>
              <w:spacing w:line="400" w:lineRule="exact"/>
              <w:ind w:firstLine="420" w:firstLineChars="200"/>
              <w:rPr>
                <w:rFonts w:ascii="宋体" w:hAnsi="宋体"/>
                <w:color w:val="auto"/>
                <w:szCs w:val="21"/>
                <w:highlight w:val="none"/>
              </w:rPr>
            </w:pPr>
          </w:p>
        </w:tc>
      </w:tr>
      <w:tr w14:paraId="3131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9809" w:type="dxa"/>
            <w:vMerge w:val="continue"/>
            <w:tcBorders>
              <w:top w:val="nil"/>
              <w:left w:val="single" w:color="auto" w:sz="4" w:space="0"/>
              <w:bottom w:val="single" w:color="auto" w:sz="4" w:space="0"/>
              <w:right w:val="single" w:color="auto" w:sz="4" w:space="0"/>
            </w:tcBorders>
            <w:vAlign w:val="center"/>
          </w:tcPr>
          <w:p w14:paraId="2C997331">
            <w:pPr>
              <w:widowControl/>
              <w:jc w:val="left"/>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7C6DE21">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78D9044">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2BD103F">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79EE3FBA">
            <w:pPr>
              <w:spacing w:line="400" w:lineRule="exact"/>
              <w:ind w:firstLine="420" w:firstLineChars="200"/>
              <w:rPr>
                <w:rFonts w:ascii="宋体" w:hAnsi="宋体"/>
                <w:color w:val="auto"/>
                <w:szCs w:val="21"/>
                <w:highlight w:val="none"/>
              </w:rPr>
            </w:pPr>
          </w:p>
        </w:tc>
      </w:tr>
      <w:tr w14:paraId="35D0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9809" w:type="dxa"/>
            <w:vMerge w:val="continue"/>
            <w:tcBorders>
              <w:top w:val="nil"/>
              <w:left w:val="single" w:color="auto" w:sz="4" w:space="0"/>
              <w:bottom w:val="single" w:color="auto" w:sz="4" w:space="0"/>
              <w:right w:val="single" w:color="auto" w:sz="4" w:space="0"/>
            </w:tcBorders>
            <w:vAlign w:val="center"/>
          </w:tcPr>
          <w:p w14:paraId="298C3981">
            <w:pPr>
              <w:widowControl/>
              <w:jc w:val="left"/>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B8A9786">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D98716">
            <w:pPr>
              <w:spacing w:line="400" w:lineRule="exact"/>
              <w:ind w:firstLine="420" w:firstLineChars="20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B20686C">
            <w:pPr>
              <w:spacing w:line="400" w:lineRule="exact"/>
              <w:ind w:firstLine="420" w:firstLineChars="200"/>
              <w:rPr>
                <w:rFonts w:ascii="宋体" w:hAnsi="宋体"/>
                <w:color w:val="auto"/>
                <w:szCs w:val="21"/>
                <w:highlight w:val="none"/>
              </w:rPr>
            </w:pPr>
          </w:p>
        </w:tc>
        <w:tc>
          <w:tcPr>
            <w:tcW w:w="4252" w:type="dxa"/>
            <w:tcBorders>
              <w:top w:val="single" w:color="auto" w:sz="4" w:space="0"/>
              <w:left w:val="single" w:color="auto" w:sz="4" w:space="0"/>
              <w:bottom w:val="single" w:color="auto" w:sz="4" w:space="0"/>
              <w:right w:val="single" w:color="auto" w:sz="4" w:space="0"/>
            </w:tcBorders>
            <w:vAlign w:val="center"/>
          </w:tcPr>
          <w:p w14:paraId="3E4A6482">
            <w:pPr>
              <w:spacing w:line="400" w:lineRule="exact"/>
              <w:ind w:firstLine="420" w:firstLineChars="200"/>
              <w:rPr>
                <w:rFonts w:ascii="宋体" w:hAnsi="宋体"/>
                <w:color w:val="auto"/>
                <w:szCs w:val="21"/>
                <w:highlight w:val="none"/>
              </w:rPr>
            </w:pPr>
          </w:p>
        </w:tc>
      </w:tr>
    </w:tbl>
    <w:p w14:paraId="4BE22809">
      <w:pPr>
        <w:spacing w:line="480" w:lineRule="auto"/>
        <w:rPr>
          <w:rFonts w:hint="eastAsia" w:ascii="宋体" w:hAnsi="宋体"/>
          <w:color w:val="auto"/>
          <w:szCs w:val="21"/>
          <w:highlight w:val="none"/>
        </w:rPr>
      </w:pPr>
      <w:r>
        <w:rPr>
          <w:rFonts w:hint="eastAsia" w:ascii="宋体" w:hAnsi="宋体"/>
          <w:color w:val="auto"/>
          <w:highlight w:val="none"/>
        </w:rPr>
        <w:br w:type="page"/>
      </w:r>
      <w:r>
        <w:rPr>
          <w:rFonts w:hint="eastAsia" w:ascii="宋体" w:hAnsi="宋体"/>
          <w:color w:val="auto"/>
          <w:highlight w:val="none"/>
        </w:rPr>
        <w:t>附件4：</w:t>
      </w:r>
    </w:p>
    <w:p w14:paraId="01DB8B52">
      <w:pPr>
        <w:spacing w:line="360" w:lineRule="auto"/>
        <w:ind w:firstLine="420" w:firstLineChars="200"/>
        <w:jc w:val="center"/>
        <w:rPr>
          <w:rFonts w:hint="eastAsia" w:ascii="宋体" w:hAnsi="宋体"/>
          <w:color w:val="auto"/>
          <w:highlight w:val="none"/>
        </w:rPr>
      </w:pPr>
      <w:r>
        <w:rPr>
          <w:rFonts w:hint="eastAsia" w:ascii="宋体" w:hAnsi="宋体"/>
          <w:color w:val="auto"/>
          <w:highlight w:val="none"/>
        </w:rPr>
        <w:t>履约担保（如有）</w:t>
      </w:r>
    </w:p>
    <w:p w14:paraId="07E24BB2">
      <w:pPr>
        <w:spacing w:line="360" w:lineRule="auto"/>
        <w:ind w:firstLine="420" w:firstLineChars="200"/>
        <w:rPr>
          <w:rFonts w:hint="eastAsia" w:ascii="宋体" w:hAnsi="宋体"/>
          <w:color w:val="auto"/>
          <w:highlight w:val="none"/>
        </w:rPr>
      </w:pP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rPr>
        <w:t>（发包人名称）：</w:t>
      </w:r>
    </w:p>
    <w:p w14:paraId="74B9D0EC">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0EBF3F4B">
      <w:pPr>
        <w:spacing w:line="360" w:lineRule="auto"/>
        <w:ind w:firstLine="420" w:firstLineChars="200"/>
        <w:rPr>
          <w:rFonts w:hint="eastAsia" w:ascii="宋体" w:hAnsi="宋体"/>
          <w:color w:val="auto"/>
          <w:highlight w:val="none"/>
        </w:rPr>
      </w:pPr>
      <w:r>
        <w:rPr>
          <w:rFonts w:hint="eastAsia" w:ascii="宋体" w:hAnsi="宋体"/>
          <w:color w:val="auto"/>
          <w:highlight w:val="none"/>
        </w:rPr>
        <w:t>鉴于</w:t>
      </w:r>
      <w:r>
        <w:rPr>
          <w:rFonts w:hint="eastAsia" w:ascii="宋体" w:hAnsi="宋体"/>
          <w:color w:val="auto"/>
          <w:highlight w:val="none"/>
          <w:u w:val="single"/>
        </w:rPr>
        <w:t xml:space="preserve">                </w:t>
      </w:r>
      <w:r>
        <w:rPr>
          <w:rFonts w:hint="eastAsia" w:ascii="宋体" w:hAnsi="宋体"/>
          <w:color w:val="auto"/>
          <w:highlight w:val="none"/>
        </w:rPr>
        <w:t>（发包人名称，以下简称“发包人”）与</w:t>
      </w:r>
    </w:p>
    <w:p w14:paraId="0BA5ADF6">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（承包人名称）（以下称“承包人”）于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日就</w:t>
      </w:r>
      <w:r>
        <w:rPr>
          <w:rFonts w:hint="eastAsia" w:ascii="宋体" w:hAnsi="宋体"/>
          <w:color w:val="auto"/>
          <w:highlight w:val="none"/>
          <w:u w:val="single"/>
        </w:rPr>
        <w:t xml:space="preserve">                         </w:t>
      </w:r>
      <w:r>
        <w:rPr>
          <w:rFonts w:hint="eastAsia" w:ascii="宋体" w:hAnsi="宋体"/>
          <w:color w:val="auto"/>
          <w:highlight w:val="none"/>
        </w:rPr>
        <w:t>（工程名称）施工及有关事项协商一致共同签订《建设工程施工合同》。我方愿意无条件地、不可撤销地就承包人履行与你方签订的合同，向你方提供连带责任担保。</w:t>
      </w:r>
    </w:p>
    <w:p w14:paraId="34E8D64B">
      <w:pPr>
        <w:spacing w:line="360" w:lineRule="auto"/>
        <w:ind w:firstLine="420" w:firstLineChars="200"/>
        <w:rPr>
          <w:rFonts w:hint="eastAsia" w:ascii="宋体" w:hAnsi="宋体"/>
          <w:color w:val="auto"/>
          <w:highlight w:val="none"/>
        </w:rPr>
      </w:pPr>
      <w:r>
        <w:rPr>
          <w:rFonts w:hint="eastAsia" w:ascii="宋体" w:hAnsi="宋体"/>
          <w:color w:val="auto"/>
          <w:highlight w:val="none"/>
        </w:rPr>
        <w:t>1. 担保金额人民币（大写）</w:t>
      </w:r>
      <w:r>
        <w:rPr>
          <w:rFonts w:hint="eastAsia" w:ascii="宋体" w:hAnsi="宋体"/>
          <w:color w:val="auto"/>
          <w:highlight w:val="none"/>
          <w:u w:val="single"/>
        </w:rPr>
        <w:t xml:space="preserve">        </w:t>
      </w:r>
      <w:r>
        <w:rPr>
          <w:rFonts w:hint="eastAsia" w:ascii="宋体" w:hAnsi="宋体"/>
          <w:color w:val="auto"/>
          <w:highlight w:val="none"/>
        </w:rPr>
        <w:t>元（¥</w:t>
      </w:r>
      <w:r>
        <w:rPr>
          <w:rFonts w:hint="eastAsia" w:ascii="宋体" w:hAnsi="宋体"/>
          <w:color w:val="auto"/>
          <w:highlight w:val="none"/>
          <w:u w:val="single"/>
        </w:rPr>
        <w:t xml:space="preserve">        </w:t>
      </w:r>
      <w:r>
        <w:rPr>
          <w:rFonts w:hint="eastAsia" w:ascii="宋体" w:hAnsi="宋体"/>
          <w:color w:val="auto"/>
          <w:highlight w:val="none"/>
        </w:rPr>
        <w:t>）。</w:t>
      </w:r>
    </w:p>
    <w:p w14:paraId="6E40D4E8">
      <w:pPr>
        <w:spacing w:line="360" w:lineRule="auto"/>
        <w:ind w:firstLine="420" w:firstLineChars="200"/>
        <w:rPr>
          <w:rFonts w:hint="eastAsia" w:ascii="宋体" w:hAnsi="宋体"/>
          <w:color w:val="auto"/>
          <w:highlight w:val="none"/>
        </w:rPr>
      </w:pPr>
      <w:r>
        <w:rPr>
          <w:rFonts w:hint="eastAsia" w:ascii="宋体" w:hAnsi="宋体"/>
          <w:color w:val="auto"/>
          <w:highlight w:val="none"/>
        </w:rPr>
        <w:t>2. 担保有效期：</w:t>
      </w:r>
      <w:r>
        <w:rPr>
          <w:rFonts w:hint="eastAsia" w:ascii="宋体" w:hAnsi="宋体"/>
          <w:color w:val="auto"/>
          <w:highlight w:val="none"/>
          <w:u w:val="single"/>
        </w:rPr>
        <w:t>自</w:t>
      </w:r>
      <w:r>
        <w:rPr>
          <w:rStyle w:val="328"/>
          <w:rFonts w:hint="eastAsia" w:ascii="宋体" w:hAnsi="宋体"/>
          <w:color w:val="auto"/>
          <w:highlight w:val="none"/>
          <w:u w:val="single"/>
        </w:rPr>
        <w:t>我</w:t>
      </w:r>
      <w:r>
        <w:rPr>
          <w:rFonts w:hint="eastAsia" w:ascii="宋体" w:hAnsi="宋体"/>
          <w:color w:val="auto"/>
          <w:highlight w:val="none"/>
          <w:u w:val="single"/>
        </w:rPr>
        <w:t>方法定代表人（或其委托代理人）签名并加盖单位公章之日起至你方签发或应签发工程接收证书之日止</w:t>
      </w:r>
      <w:r>
        <w:rPr>
          <w:rFonts w:hint="eastAsia" w:ascii="宋体" w:hAnsi="宋体"/>
          <w:color w:val="auto"/>
          <w:highlight w:val="none"/>
        </w:rPr>
        <w:t>。</w:t>
      </w:r>
    </w:p>
    <w:p w14:paraId="768A01C0">
      <w:pPr>
        <w:spacing w:line="360" w:lineRule="auto"/>
        <w:ind w:firstLine="420" w:firstLineChars="200"/>
        <w:rPr>
          <w:rFonts w:hint="eastAsia" w:ascii="宋体" w:hAnsi="宋体"/>
          <w:color w:val="auto"/>
          <w:highlight w:val="none"/>
        </w:rPr>
      </w:pPr>
      <w:r>
        <w:rPr>
          <w:rFonts w:hint="eastAsia" w:ascii="宋体" w:hAnsi="宋体"/>
          <w:color w:val="auto"/>
          <w:highlight w:val="none"/>
        </w:rPr>
        <w:t>3. 在本担保有效期内，因承包人违反合同约定的义务给你方造成经济损失时，我方在收到你方以书面形式提出的在担保金额内的赔偿要求后，在7天内无条件支付。</w:t>
      </w:r>
    </w:p>
    <w:p w14:paraId="7A9B6C00">
      <w:pPr>
        <w:spacing w:line="360" w:lineRule="auto"/>
        <w:ind w:firstLine="420" w:firstLineChars="200"/>
        <w:rPr>
          <w:rFonts w:hint="eastAsia" w:ascii="宋体" w:hAnsi="宋体"/>
          <w:color w:val="auto"/>
          <w:highlight w:val="none"/>
        </w:rPr>
      </w:pPr>
      <w:r>
        <w:rPr>
          <w:rFonts w:hint="eastAsia" w:ascii="宋体" w:hAnsi="宋体"/>
          <w:color w:val="auto"/>
          <w:highlight w:val="none"/>
        </w:rPr>
        <w:t>4. 你方和承包人按合同约定变更合同时，我方承担本担保规定的义务不变。</w:t>
      </w:r>
    </w:p>
    <w:p w14:paraId="55ABC1FC">
      <w:pPr>
        <w:spacing w:line="360" w:lineRule="auto"/>
        <w:ind w:firstLine="420" w:firstLineChars="200"/>
        <w:rPr>
          <w:rFonts w:hint="eastAsia" w:ascii="宋体" w:hAnsi="宋体"/>
          <w:color w:val="auto"/>
          <w:highlight w:val="none"/>
        </w:rPr>
      </w:pPr>
      <w:r>
        <w:rPr>
          <w:rFonts w:hint="eastAsia" w:ascii="宋体" w:hAnsi="宋体"/>
          <w:color w:val="auto"/>
          <w:highlight w:val="none"/>
        </w:rPr>
        <w:t>5. 因本保函发生的纠纷，可由双方协商解决，协商不成的，按下列第</w:t>
      </w:r>
      <w:r>
        <w:rPr>
          <w:rFonts w:hint="eastAsia" w:ascii="宋体" w:hAnsi="宋体"/>
          <w:color w:val="auto"/>
          <w:highlight w:val="none"/>
          <w:u w:val="single"/>
        </w:rPr>
        <w:t xml:space="preserve">    </w:t>
      </w:r>
      <w:r>
        <w:rPr>
          <w:rFonts w:hint="eastAsia" w:ascii="宋体" w:hAnsi="宋体"/>
          <w:color w:val="auto"/>
          <w:highlight w:val="none"/>
        </w:rPr>
        <w:t>种方式解决：</w:t>
      </w:r>
    </w:p>
    <w:p w14:paraId="3BDFB477">
      <w:pPr>
        <w:spacing w:line="360" w:lineRule="auto"/>
        <w:ind w:firstLine="420" w:firstLineChars="200"/>
        <w:rPr>
          <w:rFonts w:hint="eastAsia" w:ascii="宋体" w:hAnsi="宋体"/>
          <w:color w:val="auto"/>
          <w:highlight w:val="none"/>
        </w:rPr>
      </w:pPr>
      <w:r>
        <w:rPr>
          <w:rFonts w:hint="eastAsia" w:ascii="宋体" w:hAnsi="宋体"/>
          <w:color w:val="auto"/>
          <w:highlight w:val="none"/>
        </w:rPr>
        <w:t>（1）向</w:t>
      </w:r>
      <w:r>
        <w:rPr>
          <w:rFonts w:hint="eastAsia" w:ascii="宋体" w:hAnsi="宋体"/>
          <w:color w:val="auto"/>
          <w:highlight w:val="none"/>
          <w:u w:val="single"/>
        </w:rPr>
        <w:t xml:space="preserve">                     </w:t>
      </w:r>
      <w:r>
        <w:rPr>
          <w:rFonts w:hint="eastAsia" w:ascii="宋体" w:hAnsi="宋体"/>
          <w:color w:val="auto"/>
          <w:highlight w:val="none"/>
        </w:rPr>
        <w:t>仲裁委员会申请仲裁；</w:t>
      </w:r>
    </w:p>
    <w:p w14:paraId="10DEEB24">
      <w:pPr>
        <w:spacing w:line="360" w:lineRule="auto"/>
        <w:ind w:firstLine="420" w:firstLineChars="200"/>
        <w:rPr>
          <w:rFonts w:hint="eastAsia" w:ascii="宋体" w:hAnsi="宋体"/>
          <w:color w:val="auto"/>
          <w:highlight w:val="none"/>
        </w:rPr>
      </w:pPr>
      <w:r>
        <w:rPr>
          <w:rFonts w:hint="eastAsia" w:ascii="宋体" w:hAnsi="宋体"/>
          <w:color w:val="auto"/>
          <w:highlight w:val="none"/>
        </w:rPr>
        <w:t>（2）向</w:t>
      </w:r>
      <w:r>
        <w:rPr>
          <w:rFonts w:hint="eastAsia" w:ascii="宋体" w:hAnsi="宋体"/>
          <w:color w:val="auto"/>
          <w:highlight w:val="none"/>
          <w:u w:val="single"/>
        </w:rPr>
        <w:t xml:space="preserve">                     </w:t>
      </w:r>
      <w:r>
        <w:rPr>
          <w:rFonts w:hint="eastAsia" w:ascii="宋体" w:hAnsi="宋体"/>
          <w:color w:val="auto"/>
          <w:highlight w:val="none"/>
        </w:rPr>
        <w:t>人民法院起诉。</w:t>
      </w:r>
    </w:p>
    <w:p w14:paraId="0D48C988">
      <w:pPr>
        <w:spacing w:line="360" w:lineRule="auto"/>
        <w:ind w:firstLine="420" w:firstLineChars="200"/>
        <w:rPr>
          <w:rFonts w:hint="eastAsia" w:ascii="宋体" w:hAnsi="宋体"/>
          <w:color w:val="auto"/>
          <w:highlight w:val="none"/>
        </w:rPr>
      </w:pPr>
      <w:r>
        <w:rPr>
          <w:rFonts w:hint="eastAsia" w:ascii="宋体" w:hAnsi="宋体"/>
          <w:color w:val="auto"/>
          <w:highlight w:val="none"/>
        </w:rPr>
        <w:t>6. 本保函自我方法定代表人（或其委托代理人）签名并加盖单位公章之日起生效。</w:t>
      </w:r>
    </w:p>
    <w:p w14:paraId="3FD86CA9">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53B2F986">
      <w:pPr>
        <w:spacing w:line="360" w:lineRule="auto"/>
        <w:ind w:firstLine="420" w:firstLineChars="200"/>
        <w:rPr>
          <w:rFonts w:hint="eastAsia" w:ascii="宋体" w:hAnsi="宋体"/>
          <w:color w:val="auto"/>
          <w:highlight w:val="none"/>
        </w:rPr>
      </w:pPr>
      <w:r>
        <w:rPr>
          <w:rFonts w:hint="eastAsia" w:ascii="宋体" w:hAnsi="宋体"/>
          <w:color w:val="auto"/>
          <w:highlight w:val="none"/>
        </w:rPr>
        <w:t>担 保 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27A297A7">
      <w:pPr>
        <w:spacing w:line="360" w:lineRule="auto"/>
        <w:ind w:firstLine="420" w:firstLineChars="200"/>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（签名）</w:t>
      </w:r>
    </w:p>
    <w:p w14:paraId="3E655743">
      <w:pPr>
        <w:spacing w:line="360" w:lineRule="auto"/>
        <w:ind w:firstLine="420" w:firstLineChars="200"/>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14:paraId="4578C4AA">
      <w:pPr>
        <w:spacing w:line="360" w:lineRule="auto"/>
        <w:ind w:firstLine="420" w:firstLineChars="200"/>
        <w:rPr>
          <w:rFonts w:hint="eastAsia"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xml:space="preserve">                                      </w:t>
      </w:r>
    </w:p>
    <w:p w14:paraId="3E327059">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电    话：</w:t>
      </w:r>
      <w:r>
        <w:rPr>
          <w:rFonts w:hint="eastAsia" w:ascii="宋体" w:hAnsi="宋体"/>
          <w:color w:val="auto"/>
          <w:highlight w:val="none"/>
          <w:u w:val="single"/>
        </w:rPr>
        <w:t xml:space="preserve">                                      </w:t>
      </w:r>
    </w:p>
    <w:p w14:paraId="5A9C4481">
      <w:pPr>
        <w:spacing w:line="360" w:lineRule="auto"/>
        <w:ind w:firstLine="420" w:firstLineChars="200"/>
        <w:rPr>
          <w:rFonts w:hint="eastAsia"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xml:space="preserve">                                      </w:t>
      </w:r>
    </w:p>
    <w:p w14:paraId="49D42903">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 xml:space="preserve"> </w:t>
      </w:r>
    </w:p>
    <w:p w14:paraId="610885C2">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u w:val="single"/>
        </w:rPr>
        <w:t xml:space="preserve"> </w:t>
      </w:r>
    </w:p>
    <w:p w14:paraId="7B382DF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95BDBB8">
      <w:pPr>
        <w:widowControl/>
        <w:spacing w:line="360" w:lineRule="auto"/>
        <w:jc w:val="left"/>
        <w:rPr>
          <w:rFonts w:hint="eastAsia" w:ascii="宋体" w:hAnsi="宋体"/>
          <w:color w:val="auto"/>
          <w:highlight w:val="none"/>
        </w:rPr>
      </w:pPr>
      <w:r>
        <w:rPr>
          <w:rFonts w:hint="eastAsia" w:ascii="宋体" w:hAnsi="宋体"/>
          <w:color w:val="auto"/>
          <w:highlight w:val="none"/>
        </w:rPr>
        <w:br w:type="page"/>
      </w:r>
    </w:p>
    <w:p w14:paraId="47CD6994">
      <w:pPr>
        <w:spacing w:line="480" w:lineRule="auto"/>
        <w:rPr>
          <w:rFonts w:hint="eastAsia" w:ascii="宋体" w:hAnsi="宋体"/>
          <w:color w:val="auto"/>
          <w:highlight w:val="none"/>
        </w:rPr>
      </w:pPr>
      <w:r>
        <w:rPr>
          <w:rFonts w:hint="eastAsia" w:ascii="宋体" w:hAnsi="宋体"/>
          <w:color w:val="auto"/>
          <w:highlight w:val="none"/>
        </w:rPr>
        <w:t>附件5：</w:t>
      </w:r>
    </w:p>
    <w:p w14:paraId="4383C4C7">
      <w:pPr>
        <w:spacing w:line="360" w:lineRule="auto"/>
        <w:jc w:val="center"/>
        <w:rPr>
          <w:rFonts w:hint="eastAsia" w:ascii="宋体" w:hAnsi="宋体"/>
          <w:color w:val="auto"/>
          <w:highlight w:val="none"/>
        </w:rPr>
      </w:pPr>
      <w:r>
        <w:rPr>
          <w:rFonts w:hint="eastAsia" w:ascii="宋体" w:hAnsi="宋体"/>
          <w:color w:val="auto"/>
          <w:highlight w:val="none"/>
        </w:rPr>
        <w:t>预付款担保（如有）</w:t>
      </w:r>
    </w:p>
    <w:p w14:paraId="6030FE11">
      <w:pPr>
        <w:spacing w:line="360" w:lineRule="auto"/>
        <w:ind w:firstLine="420" w:firstLineChars="20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rPr>
        <w:t xml:space="preserve"> （发包人名称）：</w:t>
      </w:r>
    </w:p>
    <w:p w14:paraId="6EDFDB38">
      <w:pPr>
        <w:spacing w:line="360" w:lineRule="auto"/>
        <w:ind w:firstLine="420" w:firstLineChars="200"/>
        <w:rPr>
          <w:rFonts w:hint="eastAsia" w:ascii="宋体" w:hAnsi="宋体"/>
          <w:color w:val="auto"/>
          <w:highlight w:val="none"/>
        </w:rPr>
      </w:pPr>
      <w:r>
        <w:rPr>
          <w:rFonts w:hint="eastAsia" w:ascii="宋体" w:hAnsi="宋体"/>
          <w:color w:val="auto"/>
          <w:highlight w:val="none"/>
        </w:rPr>
        <w:t>根据</w:t>
      </w:r>
      <w:r>
        <w:rPr>
          <w:rFonts w:hint="eastAsia" w:ascii="宋体" w:hAnsi="宋体"/>
          <w:color w:val="auto"/>
          <w:highlight w:val="none"/>
          <w:u w:val="single"/>
        </w:rPr>
        <w:t xml:space="preserve">       </w:t>
      </w:r>
      <w:r>
        <w:rPr>
          <w:rFonts w:hint="eastAsia" w:ascii="宋体" w:hAnsi="宋体"/>
          <w:color w:val="auto"/>
          <w:highlight w:val="none"/>
        </w:rPr>
        <w:t>（承包人名称）（以下称“承包人”）与</w:t>
      </w:r>
      <w:r>
        <w:rPr>
          <w:rFonts w:hint="eastAsia" w:ascii="宋体" w:hAnsi="宋体"/>
          <w:color w:val="auto"/>
          <w:highlight w:val="none"/>
          <w:u w:val="single"/>
        </w:rPr>
        <w:t xml:space="preserve">         </w:t>
      </w:r>
      <w:r>
        <w:rPr>
          <w:rFonts w:hint="eastAsia" w:ascii="宋体" w:hAnsi="宋体"/>
          <w:color w:val="auto"/>
          <w:highlight w:val="none"/>
        </w:rPr>
        <w:t>（发包人名称）（以下简称“发包人”）于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日签订的</w:t>
      </w:r>
      <w:r>
        <w:rPr>
          <w:rFonts w:hint="eastAsia" w:ascii="宋体" w:hAnsi="宋体"/>
          <w:color w:val="auto"/>
          <w:highlight w:val="none"/>
          <w:u w:val="single"/>
        </w:rPr>
        <w:t xml:space="preserve">            </w:t>
      </w:r>
      <w:r>
        <w:rPr>
          <w:rFonts w:hint="eastAsia" w:ascii="宋体" w:hAnsi="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2FACFB17">
      <w:pPr>
        <w:spacing w:line="360" w:lineRule="auto"/>
        <w:ind w:firstLine="420" w:firstLineChars="200"/>
        <w:rPr>
          <w:rFonts w:hint="eastAsia" w:ascii="宋体" w:hAnsi="宋体"/>
          <w:color w:val="auto"/>
          <w:highlight w:val="none"/>
        </w:rPr>
      </w:pPr>
      <w:r>
        <w:rPr>
          <w:rFonts w:hint="eastAsia" w:ascii="宋体" w:hAnsi="宋体"/>
          <w:color w:val="auto"/>
          <w:highlight w:val="none"/>
        </w:rPr>
        <w:t>1. 担保金额人民币（大写）</w:t>
      </w:r>
      <w:r>
        <w:rPr>
          <w:rFonts w:hint="eastAsia" w:ascii="宋体" w:hAnsi="宋体"/>
          <w:color w:val="auto"/>
          <w:highlight w:val="none"/>
          <w:u w:val="single"/>
        </w:rPr>
        <w:t xml:space="preserve">        </w:t>
      </w:r>
      <w:r>
        <w:rPr>
          <w:rFonts w:hint="eastAsia" w:ascii="宋体" w:hAnsi="宋体"/>
          <w:color w:val="auto"/>
          <w:highlight w:val="none"/>
        </w:rPr>
        <w:t>元（¥</w:t>
      </w:r>
      <w:r>
        <w:rPr>
          <w:rFonts w:hint="eastAsia" w:ascii="宋体" w:hAnsi="宋体"/>
          <w:color w:val="auto"/>
          <w:highlight w:val="none"/>
          <w:u w:val="single"/>
        </w:rPr>
        <w:t xml:space="preserve">        </w:t>
      </w:r>
      <w:r>
        <w:rPr>
          <w:rFonts w:hint="eastAsia" w:ascii="宋体" w:hAnsi="宋体"/>
          <w:color w:val="auto"/>
          <w:highlight w:val="none"/>
        </w:rPr>
        <w:t>）。</w:t>
      </w:r>
    </w:p>
    <w:p w14:paraId="7B5CD1DF">
      <w:pPr>
        <w:spacing w:line="360" w:lineRule="auto"/>
        <w:ind w:firstLine="420" w:firstLineChars="200"/>
        <w:rPr>
          <w:rFonts w:hint="eastAsia" w:ascii="宋体" w:hAnsi="宋体"/>
          <w:color w:val="auto"/>
          <w:highlight w:val="none"/>
        </w:rPr>
      </w:pPr>
      <w:r>
        <w:rPr>
          <w:rFonts w:hint="eastAsia" w:ascii="宋体" w:hAnsi="宋体"/>
          <w:color w:val="auto"/>
          <w:highlight w:val="none"/>
        </w:rPr>
        <w:t>2. 担保有效期自预付款支付给承包人起生效，至你方签发的进度款支付证书说明已完全扣清止。</w:t>
      </w:r>
    </w:p>
    <w:p w14:paraId="4A57B1E9">
      <w:pPr>
        <w:spacing w:line="360" w:lineRule="auto"/>
        <w:ind w:firstLine="420" w:firstLineChars="200"/>
        <w:rPr>
          <w:rFonts w:hint="eastAsia" w:ascii="宋体" w:hAnsi="宋体"/>
          <w:color w:val="auto"/>
          <w:highlight w:val="none"/>
        </w:rPr>
      </w:pPr>
      <w:r>
        <w:rPr>
          <w:rFonts w:hint="eastAsia" w:ascii="宋体" w:hAnsi="宋体"/>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38B33977">
      <w:pPr>
        <w:spacing w:line="360" w:lineRule="auto"/>
        <w:ind w:firstLine="420" w:firstLineChars="200"/>
        <w:rPr>
          <w:rFonts w:hint="eastAsia" w:ascii="宋体" w:hAnsi="宋体"/>
          <w:color w:val="auto"/>
          <w:highlight w:val="none"/>
        </w:rPr>
      </w:pPr>
      <w:r>
        <w:rPr>
          <w:rFonts w:hint="eastAsia" w:ascii="宋体" w:hAnsi="宋体"/>
          <w:color w:val="auto"/>
          <w:highlight w:val="none"/>
        </w:rPr>
        <w:t>4. 你方和承包人按合同约定变更合同时，我方承担本保函规定的义务不变。</w:t>
      </w:r>
    </w:p>
    <w:p w14:paraId="39C5D869">
      <w:pPr>
        <w:spacing w:line="360" w:lineRule="auto"/>
        <w:ind w:firstLine="420" w:firstLineChars="200"/>
        <w:rPr>
          <w:rFonts w:hint="eastAsia" w:ascii="宋体" w:hAnsi="宋体"/>
          <w:color w:val="auto"/>
          <w:highlight w:val="none"/>
        </w:rPr>
      </w:pPr>
      <w:r>
        <w:rPr>
          <w:rFonts w:hint="eastAsia" w:ascii="宋体" w:hAnsi="宋体"/>
          <w:color w:val="auto"/>
          <w:highlight w:val="none"/>
        </w:rPr>
        <w:t>5. 因本保函发生的纠纷，可由双方协商解决，协商不成的，按下列第</w:t>
      </w:r>
      <w:r>
        <w:rPr>
          <w:rFonts w:hint="eastAsia" w:ascii="宋体" w:hAnsi="宋体"/>
          <w:color w:val="auto"/>
          <w:highlight w:val="none"/>
          <w:u w:val="single"/>
        </w:rPr>
        <w:t xml:space="preserve">    </w:t>
      </w:r>
      <w:r>
        <w:rPr>
          <w:rFonts w:hint="eastAsia" w:ascii="宋体" w:hAnsi="宋体"/>
          <w:color w:val="auto"/>
          <w:highlight w:val="none"/>
        </w:rPr>
        <w:t>种方式解决：</w:t>
      </w:r>
    </w:p>
    <w:p w14:paraId="7A195769">
      <w:pPr>
        <w:spacing w:line="360" w:lineRule="auto"/>
        <w:ind w:firstLine="420" w:firstLineChars="200"/>
        <w:rPr>
          <w:rFonts w:hint="eastAsia" w:ascii="宋体" w:hAnsi="宋体"/>
          <w:color w:val="auto"/>
          <w:highlight w:val="none"/>
        </w:rPr>
      </w:pPr>
      <w:r>
        <w:rPr>
          <w:rFonts w:hint="eastAsia" w:ascii="宋体" w:hAnsi="宋体"/>
          <w:color w:val="auto"/>
          <w:highlight w:val="none"/>
        </w:rPr>
        <w:t>（1）向</w:t>
      </w:r>
      <w:r>
        <w:rPr>
          <w:rFonts w:hint="eastAsia" w:ascii="宋体" w:hAnsi="宋体"/>
          <w:color w:val="auto"/>
          <w:highlight w:val="none"/>
          <w:u w:val="single"/>
        </w:rPr>
        <w:t xml:space="preserve">                     </w:t>
      </w:r>
      <w:r>
        <w:rPr>
          <w:rFonts w:hint="eastAsia" w:ascii="宋体" w:hAnsi="宋体"/>
          <w:color w:val="auto"/>
          <w:highlight w:val="none"/>
        </w:rPr>
        <w:t>仲裁委员会申请仲裁；</w:t>
      </w:r>
    </w:p>
    <w:p w14:paraId="2D816E77">
      <w:pPr>
        <w:spacing w:line="360" w:lineRule="auto"/>
        <w:ind w:firstLine="420" w:firstLineChars="200"/>
        <w:rPr>
          <w:rFonts w:hint="eastAsia" w:ascii="宋体" w:hAnsi="宋体"/>
          <w:color w:val="auto"/>
          <w:highlight w:val="none"/>
        </w:rPr>
      </w:pPr>
      <w:r>
        <w:rPr>
          <w:rFonts w:hint="eastAsia" w:ascii="宋体" w:hAnsi="宋体"/>
          <w:color w:val="auto"/>
          <w:highlight w:val="none"/>
        </w:rPr>
        <w:t>（2）向</w:t>
      </w:r>
      <w:r>
        <w:rPr>
          <w:rFonts w:hint="eastAsia" w:ascii="宋体" w:hAnsi="宋体"/>
          <w:color w:val="auto"/>
          <w:highlight w:val="none"/>
          <w:u w:val="single"/>
        </w:rPr>
        <w:t xml:space="preserve">                     </w:t>
      </w:r>
      <w:r>
        <w:rPr>
          <w:rFonts w:hint="eastAsia" w:ascii="宋体" w:hAnsi="宋体"/>
          <w:color w:val="auto"/>
          <w:highlight w:val="none"/>
        </w:rPr>
        <w:t>人民法院起诉。</w:t>
      </w:r>
    </w:p>
    <w:p w14:paraId="43C5925D">
      <w:pPr>
        <w:spacing w:line="360" w:lineRule="auto"/>
        <w:ind w:firstLine="420" w:firstLineChars="200"/>
        <w:rPr>
          <w:rFonts w:hint="eastAsia" w:ascii="宋体" w:hAnsi="宋体"/>
          <w:color w:val="auto"/>
          <w:highlight w:val="none"/>
        </w:rPr>
      </w:pPr>
      <w:r>
        <w:rPr>
          <w:rFonts w:hint="eastAsia" w:ascii="宋体" w:hAnsi="宋体"/>
          <w:color w:val="auto"/>
          <w:highlight w:val="none"/>
        </w:rPr>
        <w:t>6. 本保函自我方法定代表人（或其委托代理人）签名并加盖单位公章之日起生效。</w:t>
      </w:r>
    </w:p>
    <w:p w14:paraId="65CE206E">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197ED497">
      <w:pPr>
        <w:spacing w:line="360" w:lineRule="auto"/>
        <w:ind w:firstLine="420" w:firstLineChars="200"/>
        <w:rPr>
          <w:rFonts w:hint="eastAsia" w:ascii="宋体" w:hAnsi="宋体"/>
          <w:color w:val="auto"/>
          <w:highlight w:val="none"/>
        </w:rPr>
      </w:pPr>
      <w:r>
        <w:rPr>
          <w:rFonts w:hint="eastAsia" w:ascii="宋体" w:hAnsi="宋体"/>
          <w:color w:val="auto"/>
          <w:highlight w:val="none"/>
        </w:rPr>
        <w:t>担保人：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73331FFD">
      <w:pPr>
        <w:spacing w:line="360" w:lineRule="auto"/>
        <w:ind w:firstLine="420" w:firstLineChars="200"/>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（签名）</w:t>
      </w:r>
    </w:p>
    <w:p w14:paraId="523BCFEA">
      <w:pPr>
        <w:spacing w:line="360" w:lineRule="auto"/>
        <w:ind w:firstLine="420" w:firstLineChars="200"/>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235F1D81">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邮政编码：</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4E0B6609">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电    话：</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6AA4BEE0">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传    真：</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2E182D9D">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 xml:space="preserve"> </w:t>
      </w:r>
    </w:p>
    <w:p w14:paraId="3DF961E3">
      <w:pPr>
        <w:spacing w:line="360" w:lineRule="auto"/>
        <w:ind w:firstLine="420" w:firstLineChars="200"/>
        <w:jc w:val="right"/>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56D2E98">
      <w:pPr>
        <w:spacing w:line="480" w:lineRule="auto"/>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附件6：</w:t>
      </w:r>
    </w:p>
    <w:p w14:paraId="3FBB8DED">
      <w:pPr>
        <w:spacing w:line="360" w:lineRule="auto"/>
        <w:ind w:firstLine="420" w:firstLineChars="200"/>
        <w:jc w:val="center"/>
        <w:rPr>
          <w:rFonts w:hint="eastAsia" w:ascii="宋体" w:hAnsi="宋体"/>
          <w:color w:val="auto"/>
          <w:highlight w:val="none"/>
        </w:rPr>
      </w:pPr>
      <w:r>
        <w:rPr>
          <w:rFonts w:hint="eastAsia" w:ascii="宋体" w:hAnsi="宋体"/>
          <w:color w:val="auto"/>
          <w:highlight w:val="none"/>
        </w:rPr>
        <w:t>支付担保（如有）</w:t>
      </w:r>
    </w:p>
    <w:p w14:paraId="69EB593F">
      <w:pPr>
        <w:spacing w:line="360" w:lineRule="auto"/>
        <w:ind w:firstLine="420" w:firstLineChars="20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（承包人）：</w:t>
      </w:r>
    </w:p>
    <w:p w14:paraId="7C75406F">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鉴于你方作为承包人已经与 </w:t>
      </w:r>
      <w:r>
        <w:rPr>
          <w:rFonts w:hint="eastAsia" w:ascii="宋体" w:hAnsi="宋体"/>
          <w:color w:val="auto"/>
          <w:highlight w:val="none"/>
          <w:u w:val="single"/>
        </w:rPr>
        <w:t xml:space="preserve">            </w:t>
      </w:r>
      <w:r>
        <w:rPr>
          <w:rFonts w:hint="eastAsia" w:ascii="宋体" w:hAnsi="宋体"/>
          <w:color w:val="auto"/>
          <w:highlight w:val="none"/>
        </w:rPr>
        <w:t>（发包人名称）（以下称“发包人”）于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日签订了</w:t>
      </w:r>
      <w:r>
        <w:rPr>
          <w:rFonts w:hint="eastAsia" w:ascii="宋体" w:hAnsi="宋体"/>
          <w:color w:val="auto"/>
          <w:highlight w:val="none"/>
          <w:u w:val="single"/>
        </w:rPr>
        <w:t xml:space="preserve">             </w:t>
      </w:r>
      <w:r>
        <w:rPr>
          <w:rFonts w:hint="eastAsia" w:ascii="宋体" w:hAnsi="宋体"/>
          <w:color w:val="auto"/>
          <w:highlight w:val="none"/>
        </w:rPr>
        <w:t>（工程名称）《建设工程施工合同》（以下称“主合同”），应发包人的申请，我方愿就发包人履行主合同约定的工程款支付义务以保证的方式向你方提供如下担保：</w:t>
      </w:r>
    </w:p>
    <w:p w14:paraId="6B505A3F">
      <w:pPr>
        <w:spacing w:line="360" w:lineRule="auto"/>
        <w:ind w:firstLine="420" w:firstLineChars="200"/>
        <w:rPr>
          <w:rFonts w:hint="eastAsia" w:ascii="宋体" w:hAnsi="宋体"/>
          <w:color w:val="auto"/>
          <w:highlight w:val="none"/>
        </w:rPr>
      </w:pPr>
      <w:r>
        <w:rPr>
          <w:rFonts w:hint="eastAsia" w:ascii="宋体" w:hAnsi="宋体"/>
          <w:color w:val="auto"/>
          <w:highlight w:val="none"/>
        </w:rPr>
        <w:t>一、保证的范围及保证金额</w:t>
      </w:r>
    </w:p>
    <w:p w14:paraId="4F487FCE">
      <w:pPr>
        <w:spacing w:line="360" w:lineRule="auto"/>
        <w:ind w:firstLine="420" w:firstLineChars="200"/>
        <w:rPr>
          <w:rFonts w:hint="eastAsia" w:ascii="宋体" w:hAnsi="宋体"/>
          <w:color w:val="auto"/>
          <w:highlight w:val="none"/>
        </w:rPr>
      </w:pPr>
      <w:r>
        <w:rPr>
          <w:rFonts w:hint="eastAsia" w:ascii="宋体" w:hAnsi="宋体"/>
          <w:color w:val="auto"/>
          <w:highlight w:val="none"/>
        </w:rPr>
        <w:t>1. 我方的保证范围是主合同约定的工程款。</w:t>
      </w:r>
    </w:p>
    <w:p w14:paraId="67FDBFEB">
      <w:pPr>
        <w:spacing w:line="360" w:lineRule="auto"/>
        <w:ind w:firstLine="420" w:firstLineChars="200"/>
        <w:rPr>
          <w:rFonts w:hint="eastAsia" w:ascii="宋体" w:hAnsi="宋体"/>
          <w:color w:val="auto"/>
          <w:highlight w:val="none"/>
        </w:rPr>
      </w:pPr>
      <w:r>
        <w:rPr>
          <w:rFonts w:hint="eastAsia" w:ascii="宋体" w:hAnsi="宋体"/>
          <w:color w:val="auto"/>
          <w:highlight w:val="none"/>
        </w:rPr>
        <w:t>2. 本保函所称主合同约定的工程款是指主合同约定的除工程质量保证金以外的合同价款。</w:t>
      </w:r>
    </w:p>
    <w:p w14:paraId="78D40B76">
      <w:pPr>
        <w:spacing w:line="360" w:lineRule="auto"/>
        <w:ind w:firstLine="420" w:firstLineChars="200"/>
        <w:rPr>
          <w:rFonts w:hint="eastAsia" w:ascii="宋体" w:hAnsi="宋体"/>
          <w:color w:val="auto"/>
          <w:highlight w:val="none"/>
        </w:rPr>
      </w:pPr>
      <w:r>
        <w:rPr>
          <w:rFonts w:hint="eastAsia" w:ascii="宋体" w:hAnsi="宋体"/>
          <w:color w:val="auto"/>
          <w:highlight w:val="none"/>
        </w:rPr>
        <w:t>3. 我方保证的金额是主合同约定的工程款的</w:t>
      </w:r>
      <w:r>
        <w:rPr>
          <w:rFonts w:hint="eastAsia" w:ascii="宋体" w:hAnsi="宋体"/>
          <w:color w:val="auto"/>
          <w:highlight w:val="none"/>
          <w:u w:val="single"/>
        </w:rPr>
        <w:t xml:space="preserve">      </w:t>
      </w:r>
      <w:r>
        <w:rPr>
          <w:rFonts w:hint="eastAsia" w:ascii="宋体" w:hAnsi="宋体"/>
          <w:color w:val="auto"/>
          <w:highlight w:val="none"/>
        </w:rPr>
        <w:t xml:space="preserve"> %，数额最高不超过人民币元（大写：</w:t>
      </w:r>
      <w:r>
        <w:rPr>
          <w:rFonts w:hint="eastAsia" w:ascii="宋体" w:hAnsi="宋体"/>
          <w:color w:val="auto"/>
          <w:highlight w:val="none"/>
          <w:u w:val="single"/>
        </w:rPr>
        <w:t xml:space="preserve">      </w:t>
      </w:r>
      <w:r>
        <w:rPr>
          <w:rFonts w:hint="eastAsia" w:ascii="宋体" w:hAnsi="宋体"/>
          <w:color w:val="auto"/>
          <w:highlight w:val="none"/>
        </w:rPr>
        <w:t>）。</w:t>
      </w:r>
    </w:p>
    <w:p w14:paraId="45B58769">
      <w:pPr>
        <w:spacing w:line="360" w:lineRule="auto"/>
        <w:ind w:firstLine="420" w:firstLineChars="200"/>
        <w:rPr>
          <w:rFonts w:hint="eastAsia" w:ascii="宋体" w:hAnsi="宋体"/>
          <w:color w:val="auto"/>
          <w:highlight w:val="none"/>
        </w:rPr>
      </w:pPr>
      <w:r>
        <w:rPr>
          <w:rFonts w:hint="eastAsia" w:ascii="宋体" w:hAnsi="宋体"/>
          <w:color w:val="auto"/>
          <w:highlight w:val="none"/>
        </w:rPr>
        <w:t>二、保证的方式及保证期间</w:t>
      </w:r>
    </w:p>
    <w:p w14:paraId="34938BB2">
      <w:pPr>
        <w:spacing w:line="360" w:lineRule="auto"/>
        <w:ind w:firstLine="420" w:firstLineChars="200"/>
        <w:rPr>
          <w:rFonts w:hint="eastAsia" w:ascii="宋体" w:hAnsi="宋体"/>
          <w:color w:val="auto"/>
          <w:highlight w:val="none"/>
        </w:rPr>
      </w:pPr>
      <w:r>
        <w:rPr>
          <w:rFonts w:hint="eastAsia" w:ascii="宋体" w:hAnsi="宋体"/>
          <w:color w:val="auto"/>
          <w:highlight w:val="none"/>
        </w:rPr>
        <w:t>1. 我方保证的方式为：连带责任保证。</w:t>
      </w:r>
    </w:p>
    <w:p w14:paraId="769468CC">
      <w:pPr>
        <w:spacing w:line="360" w:lineRule="auto"/>
        <w:ind w:firstLine="420" w:firstLineChars="200"/>
        <w:rPr>
          <w:rFonts w:hint="eastAsia" w:ascii="宋体" w:hAnsi="宋体"/>
          <w:color w:val="auto"/>
          <w:highlight w:val="none"/>
        </w:rPr>
      </w:pPr>
      <w:r>
        <w:rPr>
          <w:rFonts w:hint="eastAsia" w:ascii="宋体" w:hAnsi="宋体"/>
          <w:color w:val="auto"/>
          <w:highlight w:val="none"/>
        </w:rPr>
        <w:t>2. 我方保证的期间为：自合同生效之日起至主合同约定的工程款支付完毕之日后</w:t>
      </w:r>
      <w:r>
        <w:rPr>
          <w:rFonts w:hint="eastAsia" w:ascii="宋体" w:hAnsi="宋体"/>
          <w:color w:val="auto"/>
          <w:highlight w:val="none"/>
          <w:u w:val="single"/>
        </w:rPr>
        <w:t xml:space="preserve">    </w:t>
      </w:r>
      <w:r>
        <w:rPr>
          <w:rFonts w:hint="eastAsia" w:ascii="宋体" w:hAnsi="宋体"/>
          <w:color w:val="auto"/>
          <w:highlight w:val="none"/>
        </w:rPr>
        <w:t>日内。</w:t>
      </w:r>
    </w:p>
    <w:p w14:paraId="49C21A35">
      <w:pPr>
        <w:spacing w:line="360" w:lineRule="auto"/>
        <w:ind w:firstLine="420" w:firstLineChars="200"/>
        <w:rPr>
          <w:rFonts w:hint="eastAsia" w:ascii="宋体" w:hAnsi="宋体"/>
          <w:color w:val="auto"/>
          <w:highlight w:val="none"/>
        </w:rPr>
      </w:pPr>
      <w:r>
        <w:rPr>
          <w:rFonts w:hint="eastAsia" w:ascii="宋体" w:hAnsi="宋体"/>
          <w:color w:val="auto"/>
          <w:highlight w:val="none"/>
        </w:rPr>
        <w:t>3. 你方与发包人协议变更工程款支付日期的，经我方书面同意后，保证期间按照变更后的支付日期做相应调整。</w:t>
      </w:r>
    </w:p>
    <w:p w14:paraId="2F131860">
      <w:pPr>
        <w:spacing w:line="360" w:lineRule="auto"/>
        <w:ind w:firstLine="420" w:firstLineChars="200"/>
        <w:rPr>
          <w:rFonts w:hint="eastAsia" w:ascii="宋体" w:hAnsi="宋体"/>
          <w:color w:val="auto"/>
          <w:highlight w:val="none"/>
        </w:rPr>
      </w:pPr>
      <w:r>
        <w:rPr>
          <w:rFonts w:hint="eastAsia" w:ascii="宋体" w:hAnsi="宋体"/>
          <w:color w:val="auto"/>
          <w:highlight w:val="none"/>
        </w:rPr>
        <w:t>三、承担保证责任的形式</w:t>
      </w:r>
    </w:p>
    <w:p w14:paraId="7E8590CC">
      <w:pPr>
        <w:spacing w:line="360" w:lineRule="auto"/>
        <w:ind w:firstLine="420" w:firstLineChars="200"/>
        <w:rPr>
          <w:rFonts w:hint="eastAsia" w:ascii="宋体" w:hAnsi="宋体"/>
          <w:color w:val="auto"/>
          <w:highlight w:val="none"/>
        </w:rPr>
      </w:pPr>
      <w:r>
        <w:rPr>
          <w:rFonts w:hint="eastAsia" w:ascii="宋体" w:hAnsi="宋体"/>
          <w:color w:val="auto"/>
          <w:highlight w:val="none"/>
        </w:rPr>
        <w:t>我方承担保证责任的形式是代为支付。发包人未按主合同约定向你方支付工程款的，由我方在保证金额内代为支付。</w:t>
      </w:r>
    </w:p>
    <w:p w14:paraId="1A218343">
      <w:pPr>
        <w:spacing w:line="360" w:lineRule="auto"/>
        <w:ind w:firstLine="420" w:firstLineChars="200"/>
        <w:rPr>
          <w:rFonts w:hint="eastAsia" w:ascii="宋体" w:hAnsi="宋体"/>
          <w:color w:val="auto"/>
          <w:highlight w:val="none"/>
        </w:rPr>
      </w:pPr>
      <w:r>
        <w:rPr>
          <w:rFonts w:hint="eastAsia" w:ascii="宋体" w:hAnsi="宋体"/>
          <w:color w:val="auto"/>
          <w:highlight w:val="none"/>
        </w:rPr>
        <w:t>四、代偿的安排</w:t>
      </w:r>
    </w:p>
    <w:p w14:paraId="7A6A1BEB">
      <w:pPr>
        <w:spacing w:line="360" w:lineRule="auto"/>
        <w:ind w:firstLine="420" w:firstLineChars="200"/>
        <w:rPr>
          <w:rFonts w:hint="eastAsia" w:ascii="宋体" w:hAnsi="宋体"/>
          <w:color w:val="auto"/>
          <w:highlight w:val="none"/>
        </w:rPr>
      </w:pPr>
      <w:r>
        <w:rPr>
          <w:rFonts w:hint="eastAsia" w:ascii="宋体" w:hAnsi="宋体"/>
          <w:color w:val="auto"/>
          <w:highlight w:val="none"/>
        </w:rPr>
        <w:t>1. 你方要求我方承担保证责任的，应向我方发出书面索赔通知及发包人未支付主合同约定工程款的证明材料。索赔通知应写明要求索赔的金额，支付款项应到达的账号。</w:t>
      </w:r>
    </w:p>
    <w:p w14:paraId="305E45B6">
      <w:pPr>
        <w:spacing w:line="360" w:lineRule="auto"/>
        <w:ind w:firstLine="420" w:firstLineChars="200"/>
        <w:rPr>
          <w:rFonts w:hint="eastAsia" w:ascii="宋体" w:hAnsi="宋体"/>
          <w:color w:val="auto"/>
          <w:highlight w:val="none"/>
        </w:rPr>
      </w:pPr>
      <w:r>
        <w:rPr>
          <w:rFonts w:hint="eastAsia" w:ascii="宋体" w:hAnsi="宋体"/>
          <w:color w:val="auto"/>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6740E42F">
      <w:pPr>
        <w:spacing w:line="360" w:lineRule="auto"/>
        <w:ind w:firstLine="420" w:firstLineChars="200"/>
        <w:rPr>
          <w:rFonts w:hint="eastAsia" w:ascii="宋体" w:hAnsi="宋体"/>
          <w:color w:val="auto"/>
          <w:highlight w:val="none"/>
        </w:rPr>
      </w:pPr>
      <w:r>
        <w:rPr>
          <w:rFonts w:hint="eastAsia" w:ascii="宋体" w:hAnsi="宋体"/>
          <w:color w:val="auto"/>
          <w:highlight w:val="none"/>
        </w:rPr>
        <w:t>3. 我方收到你方的书面索赔通知及相应的证明材料后７天内无条件支付。</w:t>
      </w:r>
    </w:p>
    <w:p w14:paraId="4261CD70">
      <w:pPr>
        <w:spacing w:line="360" w:lineRule="auto"/>
        <w:ind w:firstLine="420" w:firstLineChars="200"/>
        <w:rPr>
          <w:rFonts w:hint="eastAsia" w:ascii="宋体" w:hAnsi="宋体"/>
          <w:color w:val="auto"/>
          <w:highlight w:val="none"/>
        </w:rPr>
      </w:pPr>
      <w:r>
        <w:rPr>
          <w:rFonts w:hint="eastAsia" w:ascii="宋体" w:hAnsi="宋体"/>
          <w:color w:val="auto"/>
          <w:highlight w:val="none"/>
        </w:rPr>
        <w:t>五、保证责任的解除</w:t>
      </w:r>
    </w:p>
    <w:p w14:paraId="18AF3083">
      <w:pPr>
        <w:spacing w:line="360" w:lineRule="auto"/>
        <w:ind w:firstLine="420" w:firstLineChars="200"/>
        <w:rPr>
          <w:rFonts w:hint="eastAsia" w:ascii="宋体" w:hAnsi="宋体"/>
          <w:color w:val="auto"/>
          <w:highlight w:val="none"/>
        </w:rPr>
      </w:pPr>
      <w:r>
        <w:rPr>
          <w:rFonts w:hint="eastAsia" w:ascii="宋体" w:hAnsi="宋体"/>
          <w:color w:val="auto"/>
          <w:highlight w:val="none"/>
        </w:rPr>
        <w:t>1. 在本保函承诺的保证期间内，你方未书面向我方主张保证责任的，自保证期间届满次日起，我方保证责任解除。</w:t>
      </w:r>
    </w:p>
    <w:p w14:paraId="1E5AB462">
      <w:pPr>
        <w:spacing w:line="360" w:lineRule="auto"/>
        <w:ind w:firstLine="420" w:firstLineChars="200"/>
        <w:rPr>
          <w:rFonts w:hint="eastAsia" w:ascii="宋体" w:hAnsi="宋体"/>
          <w:color w:val="auto"/>
          <w:highlight w:val="none"/>
        </w:rPr>
      </w:pPr>
      <w:r>
        <w:rPr>
          <w:rFonts w:hint="eastAsia" w:ascii="宋体" w:hAnsi="宋体"/>
          <w:color w:val="auto"/>
          <w:highlight w:val="none"/>
        </w:rPr>
        <w:t>2. 发包人按主合同约定履行了工程款的全部支付义务的，自本保函承诺的保证期间届满次日起，我方保证责任解除。</w:t>
      </w:r>
    </w:p>
    <w:p w14:paraId="56FB6450">
      <w:pPr>
        <w:spacing w:line="360" w:lineRule="auto"/>
        <w:ind w:firstLine="420" w:firstLineChars="200"/>
        <w:rPr>
          <w:rFonts w:hint="eastAsia" w:ascii="宋体" w:hAnsi="宋体"/>
          <w:color w:val="auto"/>
          <w:highlight w:val="none"/>
        </w:rPr>
      </w:pPr>
      <w:r>
        <w:rPr>
          <w:rFonts w:hint="eastAsia" w:ascii="宋体" w:hAnsi="宋体"/>
          <w:color w:val="auto"/>
          <w:highlight w:val="none"/>
        </w:rPr>
        <w:t>3. 我方按照本保函向你方履行保证责任所支付金额达到本保函保证金额时，自我方向你方支付（支付款项从我方账户划出）之日起，保证责任即解除。</w:t>
      </w:r>
    </w:p>
    <w:p w14:paraId="54A9C7DB">
      <w:pPr>
        <w:spacing w:line="360" w:lineRule="auto"/>
        <w:ind w:firstLine="420" w:firstLineChars="200"/>
        <w:rPr>
          <w:rFonts w:hint="eastAsia" w:ascii="宋体" w:hAnsi="宋体"/>
          <w:color w:val="auto"/>
          <w:highlight w:val="none"/>
        </w:rPr>
      </w:pPr>
      <w:r>
        <w:rPr>
          <w:rFonts w:hint="eastAsia" w:ascii="宋体" w:hAnsi="宋体"/>
          <w:color w:val="auto"/>
          <w:highlight w:val="none"/>
        </w:rPr>
        <w:t>4. 按照法律法规的规定或出现应解除我方保证责任的其他情形的，我方在本保函项下的保证责任亦解除。</w:t>
      </w:r>
    </w:p>
    <w:p w14:paraId="1AD63B52">
      <w:pPr>
        <w:spacing w:line="360" w:lineRule="auto"/>
        <w:ind w:firstLine="420" w:firstLineChars="200"/>
        <w:rPr>
          <w:rFonts w:hint="eastAsia" w:ascii="宋体" w:hAnsi="宋体"/>
          <w:color w:val="auto"/>
          <w:highlight w:val="none"/>
        </w:rPr>
      </w:pPr>
      <w:r>
        <w:rPr>
          <w:rFonts w:hint="eastAsia" w:ascii="宋体" w:hAnsi="宋体"/>
          <w:color w:val="auto"/>
          <w:highlight w:val="none"/>
        </w:rPr>
        <w:t>5. 我方解除保证责任后，你方应自我方保证责任解除之日起  个工作日内，将本保函原件返还我方。</w:t>
      </w:r>
    </w:p>
    <w:p w14:paraId="672BB963">
      <w:pPr>
        <w:spacing w:line="360" w:lineRule="auto"/>
        <w:ind w:firstLine="420" w:firstLineChars="200"/>
        <w:rPr>
          <w:rFonts w:hint="eastAsia" w:ascii="宋体" w:hAnsi="宋体"/>
          <w:color w:val="auto"/>
          <w:highlight w:val="none"/>
        </w:rPr>
      </w:pPr>
      <w:r>
        <w:rPr>
          <w:rFonts w:hint="eastAsia" w:ascii="宋体" w:hAnsi="宋体"/>
          <w:color w:val="auto"/>
          <w:highlight w:val="none"/>
        </w:rPr>
        <w:t>六、免责条款</w:t>
      </w:r>
    </w:p>
    <w:p w14:paraId="79E11562">
      <w:pPr>
        <w:spacing w:line="360" w:lineRule="auto"/>
        <w:ind w:firstLine="420" w:firstLineChars="200"/>
        <w:rPr>
          <w:rFonts w:hint="eastAsia" w:ascii="宋体" w:hAnsi="宋体"/>
          <w:color w:val="auto"/>
          <w:highlight w:val="none"/>
        </w:rPr>
      </w:pPr>
      <w:r>
        <w:rPr>
          <w:rFonts w:hint="eastAsia" w:ascii="宋体" w:hAnsi="宋体"/>
          <w:color w:val="auto"/>
          <w:highlight w:val="none"/>
        </w:rPr>
        <w:t>1. 因你方违约致使发包人不能履行义务的，我方不承担保证责任。</w:t>
      </w:r>
    </w:p>
    <w:p w14:paraId="6338AE48">
      <w:pPr>
        <w:spacing w:line="360" w:lineRule="auto"/>
        <w:ind w:firstLine="420" w:firstLineChars="200"/>
        <w:rPr>
          <w:rFonts w:hint="eastAsia" w:ascii="宋体" w:hAnsi="宋体"/>
          <w:color w:val="auto"/>
          <w:highlight w:val="none"/>
        </w:rPr>
      </w:pPr>
      <w:r>
        <w:rPr>
          <w:rFonts w:hint="eastAsia" w:ascii="宋体" w:hAnsi="宋体"/>
          <w:color w:val="auto"/>
          <w:highlight w:val="none"/>
        </w:rPr>
        <w:t>2. 依照法律法规的规定或你方与发包人的另行约定，免除发包人部分或全部义务的，我方亦免除其相应的保证责任。</w:t>
      </w:r>
    </w:p>
    <w:p w14:paraId="1082B9F9">
      <w:pPr>
        <w:spacing w:line="360" w:lineRule="auto"/>
        <w:ind w:firstLine="420" w:firstLineChars="200"/>
        <w:rPr>
          <w:rFonts w:hint="eastAsia" w:ascii="宋体" w:hAnsi="宋体"/>
          <w:color w:val="auto"/>
          <w:highlight w:val="none"/>
        </w:rPr>
      </w:pPr>
      <w:r>
        <w:rPr>
          <w:rFonts w:hint="eastAsia" w:ascii="宋体" w:hAnsi="宋体"/>
          <w:color w:val="auto"/>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31ABB0ED">
      <w:pPr>
        <w:spacing w:line="360" w:lineRule="auto"/>
        <w:ind w:firstLine="420" w:firstLineChars="200"/>
        <w:rPr>
          <w:rFonts w:hint="eastAsia" w:ascii="宋体" w:hAnsi="宋体"/>
          <w:color w:val="auto"/>
          <w:highlight w:val="none"/>
        </w:rPr>
      </w:pPr>
      <w:r>
        <w:rPr>
          <w:rFonts w:hint="eastAsia" w:ascii="宋体" w:hAnsi="宋体"/>
          <w:color w:val="auto"/>
          <w:highlight w:val="none"/>
        </w:rPr>
        <w:t>4. 因不可抗力造成发包人不能履行义务的，我方不承担保证责任。</w:t>
      </w:r>
    </w:p>
    <w:p w14:paraId="6034AC5E">
      <w:pPr>
        <w:spacing w:line="360" w:lineRule="auto"/>
        <w:ind w:firstLine="420" w:firstLineChars="200"/>
        <w:rPr>
          <w:rFonts w:hint="eastAsia" w:ascii="宋体" w:hAnsi="宋体"/>
          <w:color w:val="auto"/>
          <w:highlight w:val="none"/>
        </w:rPr>
      </w:pPr>
      <w:r>
        <w:rPr>
          <w:rFonts w:hint="eastAsia" w:ascii="宋体" w:hAnsi="宋体"/>
          <w:color w:val="auto"/>
          <w:highlight w:val="none"/>
        </w:rPr>
        <w:t>七、争议解决</w:t>
      </w:r>
    </w:p>
    <w:p w14:paraId="290C9BD9">
      <w:pPr>
        <w:spacing w:line="360" w:lineRule="auto"/>
        <w:ind w:firstLine="420" w:firstLineChars="200"/>
        <w:rPr>
          <w:rFonts w:hint="eastAsia" w:ascii="宋体" w:hAnsi="宋体"/>
          <w:color w:val="auto"/>
          <w:highlight w:val="none"/>
        </w:rPr>
      </w:pPr>
      <w:r>
        <w:rPr>
          <w:rFonts w:hint="eastAsia" w:ascii="宋体" w:hAnsi="宋体"/>
          <w:color w:val="auto"/>
          <w:highlight w:val="none"/>
        </w:rPr>
        <w:t>因本保函或本保函相关事项发生的纠纷，可由双方协商解决，协商不成的，按下列第</w:t>
      </w:r>
      <w:r>
        <w:rPr>
          <w:rFonts w:hint="eastAsia" w:ascii="宋体" w:hAnsi="宋体"/>
          <w:color w:val="auto"/>
          <w:highlight w:val="none"/>
          <w:u w:val="single"/>
        </w:rPr>
        <w:t xml:space="preserve">    </w:t>
      </w:r>
      <w:r>
        <w:rPr>
          <w:rFonts w:hint="eastAsia" w:ascii="宋体" w:hAnsi="宋体"/>
          <w:color w:val="auto"/>
          <w:highlight w:val="none"/>
        </w:rPr>
        <w:t>种方式解决：</w:t>
      </w:r>
    </w:p>
    <w:p w14:paraId="33CBD47F">
      <w:pPr>
        <w:spacing w:line="360" w:lineRule="auto"/>
        <w:ind w:firstLine="420" w:firstLineChars="200"/>
        <w:rPr>
          <w:rFonts w:hint="eastAsia" w:ascii="宋体" w:hAnsi="宋体"/>
          <w:color w:val="auto"/>
          <w:highlight w:val="none"/>
        </w:rPr>
      </w:pPr>
      <w:r>
        <w:rPr>
          <w:rFonts w:hint="eastAsia" w:ascii="宋体" w:hAnsi="宋体"/>
          <w:color w:val="auto"/>
          <w:highlight w:val="none"/>
        </w:rPr>
        <w:t>（1）向</w:t>
      </w:r>
      <w:r>
        <w:rPr>
          <w:rFonts w:hint="eastAsia" w:ascii="宋体" w:hAnsi="宋体"/>
          <w:color w:val="auto"/>
          <w:highlight w:val="none"/>
          <w:u w:val="single"/>
        </w:rPr>
        <w:t xml:space="preserve">                     </w:t>
      </w:r>
      <w:r>
        <w:rPr>
          <w:rFonts w:hint="eastAsia" w:ascii="宋体" w:hAnsi="宋体"/>
          <w:color w:val="auto"/>
          <w:highlight w:val="none"/>
        </w:rPr>
        <w:t>仲裁委员会申请仲裁；</w:t>
      </w:r>
    </w:p>
    <w:p w14:paraId="62B13CB5">
      <w:pPr>
        <w:spacing w:line="360" w:lineRule="auto"/>
        <w:ind w:firstLine="420" w:firstLineChars="200"/>
        <w:rPr>
          <w:rFonts w:hint="eastAsia" w:ascii="宋体" w:hAnsi="宋体"/>
          <w:color w:val="auto"/>
          <w:highlight w:val="none"/>
        </w:rPr>
      </w:pPr>
      <w:r>
        <w:rPr>
          <w:rFonts w:hint="eastAsia" w:ascii="宋体" w:hAnsi="宋体"/>
          <w:color w:val="auto"/>
          <w:highlight w:val="none"/>
        </w:rPr>
        <w:t>（2）向</w:t>
      </w:r>
      <w:r>
        <w:rPr>
          <w:rFonts w:hint="eastAsia" w:ascii="宋体" w:hAnsi="宋体"/>
          <w:color w:val="auto"/>
          <w:highlight w:val="none"/>
          <w:u w:val="single"/>
        </w:rPr>
        <w:t xml:space="preserve">                     </w:t>
      </w:r>
      <w:r>
        <w:rPr>
          <w:rFonts w:hint="eastAsia" w:ascii="宋体" w:hAnsi="宋体"/>
          <w:color w:val="auto"/>
          <w:highlight w:val="none"/>
        </w:rPr>
        <w:t>人民法院起诉。</w:t>
      </w:r>
    </w:p>
    <w:p w14:paraId="10425F41">
      <w:pPr>
        <w:spacing w:line="360" w:lineRule="auto"/>
        <w:ind w:firstLine="420" w:firstLineChars="200"/>
        <w:rPr>
          <w:rFonts w:hint="eastAsia" w:ascii="宋体" w:hAnsi="宋体"/>
          <w:color w:val="auto"/>
          <w:highlight w:val="none"/>
        </w:rPr>
      </w:pPr>
      <w:r>
        <w:rPr>
          <w:rFonts w:hint="eastAsia" w:ascii="宋体" w:hAnsi="宋体"/>
          <w:color w:val="auto"/>
          <w:highlight w:val="none"/>
        </w:rPr>
        <w:t>八、保函的生效</w:t>
      </w:r>
    </w:p>
    <w:p w14:paraId="775FF1C4">
      <w:pPr>
        <w:spacing w:line="360" w:lineRule="auto"/>
        <w:ind w:firstLine="420" w:firstLineChars="200"/>
        <w:rPr>
          <w:rFonts w:hint="eastAsia" w:ascii="宋体" w:hAnsi="宋体"/>
          <w:color w:val="auto"/>
          <w:highlight w:val="none"/>
        </w:rPr>
      </w:pPr>
      <w:r>
        <w:rPr>
          <w:rFonts w:hint="eastAsia" w:ascii="宋体" w:hAnsi="宋体"/>
          <w:color w:val="auto"/>
          <w:highlight w:val="none"/>
        </w:rPr>
        <w:t>本保函自我方法定代表人（或其委托代理人）签名并加盖单位公章之日起生效。</w:t>
      </w:r>
    </w:p>
    <w:p w14:paraId="7976293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 </w:t>
      </w:r>
    </w:p>
    <w:p w14:paraId="73CC15F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 </w:t>
      </w:r>
    </w:p>
    <w:p w14:paraId="3C93B3A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担保人：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22BF0DF2">
      <w:pPr>
        <w:spacing w:line="360" w:lineRule="auto"/>
        <w:ind w:firstLine="420" w:firstLineChars="200"/>
        <w:rPr>
          <w:rFonts w:hint="eastAsia" w:ascii="宋体" w:hAnsi="宋体"/>
          <w:color w:val="auto"/>
          <w:highlight w:val="none"/>
        </w:rPr>
      </w:pPr>
      <w:r>
        <w:rPr>
          <w:rFonts w:hint="eastAsia" w:ascii="宋体" w:hAnsi="宋体"/>
          <w:color w:val="auto"/>
          <w:highlight w:val="none"/>
        </w:rPr>
        <w:t>法定代表人或委托代理人：</w:t>
      </w:r>
      <w:r>
        <w:rPr>
          <w:rFonts w:hint="eastAsia" w:ascii="宋体" w:hAnsi="宋体"/>
          <w:color w:val="auto"/>
          <w:highlight w:val="none"/>
          <w:u w:val="single"/>
        </w:rPr>
        <w:t xml:space="preserve">                   </w:t>
      </w:r>
      <w:r>
        <w:rPr>
          <w:rFonts w:hint="eastAsia" w:ascii="宋体" w:hAnsi="宋体"/>
          <w:color w:val="auto"/>
          <w:highlight w:val="none"/>
        </w:rPr>
        <w:t>（签名）</w:t>
      </w:r>
    </w:p>
    <w:p w14:paraId="38DE49F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14:paraId="38581BD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xml:space="preserve">                                        </w:t>
      </w:r>
    </w:p>
    <w:p w14:paraId="7650487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xml:space="preserve">                                        </w:t>
      </w:r>
    </w:p>
    <w:p w14:paraId="3EEA1F57">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6D343AF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rPr>
        <w:br w:type="page"/>
      </w:r>
    </w:p>
    <w:p w14:paraId="7A2BB855">
      <w:pPr>
        <w:spacing w:line="480" w:lineRule="auto"/>
        <w:rPr>
          <w:rFonts w:hint="eastAsia" w:ascii="宋体" w:hAnsi="宋体"/>
          <w:color w:val="auto"/>
          <w:highlight w:val="none"/>
        </w:rPr>
      </w:pPr>
      <w:r>
        <w:rPr>
          <w:rFonts w:hint="eastAsia" w:ascii="宋体" w:hAnsi="宋体"/>
          <w:color w:val="auto"/>
          <w:highlight w:val="none"/>
        </w:rPr>
        <w:t>附件7：</w:t>
      </w:r>
    </w:p>
    <w:p w14:paraId="228AD210">
      <w:pPr>
        <w:spacing w:beforeLines="50" w:afterLines="50" w:line="480" w:lineRule="auto"/>
        <w:jc w:val="center"/>
        <w:rPr>
          <w:rFonts w:hint="eastAsia" w:ascii="宋体" w:hAnsi="宋体"/>
          <w:color w:val="auto"/>
          <w:highlight w:val="none"/>
        </w:rPr>
      </w:pPr>
      <w:r>
        <w:rPr>
          <w:rFonts w:hint="eastAsia" w:ascii="宋体" w:hAnsi="宋体"/>
          <w:color w:val="auto"/>
          <w:highlight w:val="none"/>
        </w:rPr>
        <w:t>专业工程暂估价表</w:t>
      </w:r>
    </w:p>
    <w:tbl>
      <w:tblPr>
        <w:tblStyle w:val="46"/>
        <w:tblW w:w="952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2974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56018BDA">
            <w:pPr>
              <w:spacing w:line="400" w:lineRule="exact"/>
              <w:jc w:val="center"/>
              <w:rPr>
                <w:rFonts w:ascii="宋体" w:hAnsi="宋体"/>
                <w:color w:val="auto"/>
                <w:szCs w:val="21"/>
                <w:highlight w:val="none"/>
              </w:rPr>
            </w:pPr>
            <w:r>
              <w:rPr>
                <w:rFonts w:hint="eastAsia" w:ascii="宋体" w:hAnsi="宋体"/>
                <w:color w:val="auto"/>
                <w:highlight w:val="none"/>
              </w:rPr>
              <w:t>序号</w:t>
            </w:r>
          </w:p>
        </w:tc>
        <w:tc>
          <w:tcPr>
            <w:tcW w:w="1984" w:type="dxa"/>
            <w:tcBorders>
              <w:top w:val="single" w:color="auto" w:sz="4" w:space="0"/>
              <w:left w:val="single" w:color="auto" w:sz="4" w:space="0"/>
              <w:bottom w:val="single" w:color="auto" w:sz="4" w:space="0"/>
              <w:right w:val="single" w:color="auto" w:sz="4" w:space="0"/>
            </w:tcBorders>
          </w:tcPr>
          <w:p w14:paraId="7DE16F35">
            <w:pPr>
              <w:spacing w:line="400" w:lineRule="exact"/>
              <w:jc w:val="center"/>
              <w:rPr>
                <w:rFonts w:ascii="宋体" w:hAnsi="宋体"/>
                <w:color w:val="auto"/>
                <w:szCs w:val="21"/>
                <w:highlight w:val="none"/>
              </w:rPr>
            </w:pPr>
            <w:r>
              <w:rPr>
                <w:rFonts w:hint="eastAsia" w:ascii="宋体" w:hAnsi="宋体"/>
                <w:color w:val="auto"/>
                <w:highlight w:val="none"/>
              </w:rPr>
              <w:t>专业工程名称</w:t>
            </w:r>
          </w:p>
        </w:tc>
        <w:tc>
          <w:tcPr>
            <w:tcW w:w="5103" w:type="dxa"/>
            <w:tcBorders>
              <w:top w:val="single" w:color="auto" w:sz="4" w:space="0"/>
              <w:left w:val="single" w:color="auto" w:sz="4" w:space="0"/>
              <w:bottom w:val="single" w:color="auto" w:sz="4" w:space="0"/>
              <w:right w:val="single" w:color="auto" w:sz="4" w:space="0"/>
            </w:tcBorders>
          </w:tcPr>
          <w:p w14:paraId="51CB6B0D">
            <w:pPr>
              <w:spacing w:line="400" w:lineRule="exact"/>
              <w:jc w:val="center"/>
              <w:rPr>
                <w:rFonts w:ascii="宋体" w:hAnsi="宋体"/>
                <w:color w:val="auto"/>
                <w:szCs w:val="21"/>
                <w:highlight w:val="none"/>
              </w:rPr>
            </w:pPr>
            <w:r>
              <w:rPr>
                <w:rFonts w:hint="eastAsia" w:ascii="宋体" w:hAnsi="宋体"/>
                <w:color w:val="auto"/>
                <w:highlight w:val="none"/>
              </w:rPr>
              <w:t>工程内容</w:t>
            </w:r>
          </w:p>
        </w:tc>
        <w:tc>
          <w:tcPr>
            <w:tcW w:w="1560" w:type="dxa"/>
            <w:tcBorders>
              <w:top w:val="single" w:color="auto" w:sz="4" w:space="0"/>
              <w:left w:val="single" w:color="auto" w:sz="4" w:space="0"/>
              <w:bottom w:val="single" w:color="auto" w:sz="4" w:space="0"/>
              <w:right w:val="single" w:color="auto" w:sz="4" w:space="0"/>
            </w:tcBorders>
          </w:tcPr>
          <w:p w14:paraId="4A7C158B">
            <w:pPr>
              <w:spacing w:line="400" w:lineRule="exact"/>
              <w:jc w:val="center"/>
              <w:rPr>
                <w:rFonts w:ascii="宋体" w:hAnsi="宋体"/>
                <w:color w:val="auto"/>
                <w:szCs w:val="21"/>
                <w:highlight w:val="none"/>
              </w:rPr>
            </w:pPr>
            <w:r>
              <w:rPr>
                <w:rFonts w:hint="eastAsia" w:ascii="宋体" w:hAnsi="宋体"/>
                <w:color w:val="auto"/>
                <w:highlight w:val="none"/>
              </w:rPr>
              <w:t>金额</w:t>
            </w:r>
          </w:p>
        </w:tc>
      </w:tr>
      <w:tr w14:paraId="590B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00F17F66">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0B1E28DE">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6F3FAF64">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2691F88F">
            <w:pPr>
              <w:spacing w:line="400" w:lineRule="exact"/>
              <w:ind w:firstLine="420" w:firstLineChars="200"/>
              <w:rPr>
                <w:rFonts w:ascii="宋体" w:hAnsi="宋体"/>
                <w:color w:val="auto"/>
                <w:szCs w:val="21"/>
                <w:highlight w:val="none"/>
              </w:rPr>
            </w:pPr>
          </w:p>
        </w:tc>
      </w:tr>
      <w:tr w14:paraId="26D3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61DC860D">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5493364E">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60FC240E">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5C21BB3">
            <w:pPr>
              <w:spacing w:line="400" w:lineRule="exact"/>
              <w:ind w:firstLine="420" w:firstLineChars="200"/>
              <w:rPr>
                <w:rFonts w:ascii="宋体" w:hAnsi="宋体"/>
                <w:color w:val="auto"/>
                <w:szCs w:val="21"/>
                <w:highlight w:val="none"/>
              </w:rPr>
            </w:pPr>
          </w:p>
        </w:tc>
      </w:tr>
      <w:tr w14:paraId="1ECF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2ABAB10E">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0F0CAF9F">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01DF9769">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5BB22C98">
            <w:pPr>
              <w:spacing w:line="400" w:lineRule="exact"/>
              <w:ind w:firstLine="420" w:firstLineChars="200"/>
              <w:rPr>
                <w:rFonts w:ascii="宋体" w:hAnsi="宋体"/>
                <w:color w:val="auto"/>
                <w:szCs w:val="21"/>
                <w:highlight w:val="none"/>
              </w:rPr>
            </w:pPr>
          </w:p>
        </w:tc>
      </w:tr>
      <w:tr w14:paraId="1BE1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2CC21142">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41A657C6">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0A246349">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C65082B">
            <w:pPr>
              <w:spacing w:line="400" w:lineRule="exact"/>
              <w:ind w:firstLine="420" w:firstLineChars="200"/>
              <w:rPr>
                <w:rFonts w:ascii="宋体" w:hAnsi="宋体"/>
                <w:color w:val="auto"/>
                <w:szCs w:val="21"/>
                <w:highlight w:val="none"/>
              </w:rPr>
            </w:pPr>
          </w:p>
        </w:tc>
      </w:tr>
      <w:tr w14:paraId="2521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0E65369E">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39799EE0">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75087080">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01397D8E">
            <w:pPr>
              <w:spacing w:line="400" w:lineRule="exact"/>
              <w:ind w:firstLine="420" w:firstLineChars="200"/>
              <w:rPr>
                <w:rFonts w:ascii="宋体" w:hAnsi="宋体"/>
                <w:color w:val="auto"/>
                <w:szCs w:val="21"/>
                <w:highlight w:val="none"/>
              </w:rPr>
            </w:pPr>
          </w:p>
        </w:tc>
      </w:tr>
      <w:tr w14:paraId="45E0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6BCC0B6B">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4B4C8F1C">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76B153A7">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0EE63070">
            <w:pPr>
              <w:spacing w:line="400" w:lineRule="exact"/>
              <w:ind w:firstLine="420" w:firstLineChars="200"/>
              <w:rPr>
                <w:rFonts w:ascii="宋体" w:hAnsi="宋体"/>
                <w:color w:val="auto"/>
                <w:szCs w:val="21"/>
                <w:highlight w:val="none"/>
              </w:rPr>
            </w:pPr>
          </w:p>
        </w:tc>
      </w:tr>
      <w:tr w14:paraId="354A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4D39C7B8">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3578BF33">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0D4680C4">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491535C4">
            <w:pPr>
              <w:spacing w:line="400" w:lineRule="exact"/>
              <w:ind w:firstLine="420" w:firstLineChars="200"/>
              <w:rPr>
                <w:rFonts w:ascii="宋体" w:hAnsi="宋体"/>
                <w:color w:val="auto"/>
                <w:szCs w:val="21"/>
                <w:highlight w:val="none"/>
              </w:rPr>
            </w:pPr>
          </w:p>
        </w:tc>
      </w:tr>
      <w:tr w14:paraId="2523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3579DC1B">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61E2F42F">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406A33BE">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32A61D5">
            <w:pPr>
              <w:spacing w:line="400" w:lineRule="exact"/>
              <w:ind w:firstLine="420" w:firstLineChars="200"/>
              <w:rPr>
                <w:rFonts w:ascii="宋体" w:hAnsi="宋体"/>
                <w:color w:val="auto"/>
                <w:szCs w:val="21"/>
                <w:highlight w:val="none"/>
              </w:rPr>
            </w:pPr>
          </w:p>
        </w:tc>
      </w:tr>
      <w:tr w14:paraId="3281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21EACBDE">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7F3ED395">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48A8532E">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4F1C2D4E">
            <w:pPr>
              <w:spacing w:line="400" w:lineRule="exact"/>
              <w:ind w:firstLine="420" w:firstLineChars="200"/>
              <w:rPr>
                <w:rFonts w:ascii="宋体" w:hAnsi="宋体"/>
                <w:color w:val="auto"/>
                <w:szCs w:val="21"/>
                <w:highlight w:val="none"/>
              </w:rPr>
            </w:pPr>
          </w:p>
        </w:tc>
      </w:tr>
      <w:tr w14:paraId="7646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494C8700">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619B8225">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5792ABC4">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5595BC5E">
            <w:pPr>
              <w:spacing w:line="400" w:lineRule="exact"/>
              <w:ind w:firstLine="420" w:firstLineChars="200"/>
              <w:rPr>
                <w:rFonts w:ascii="宋体" w:hAnsi="宋体"/>
                <w:color w:val="auto"/>
                <w:szCs w:val="21"/>
                <w:highlight w:val="none"/>
              </w:rPr>
            </w:pPr>
          </w:p>
        </w:tc>
      </w:tr>
      <w:tr w14:paraId="3A3B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7298D42A">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7B15BCE5">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7164B443">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459F60E2">
            <w:pPr>
              <w:spacing w:line="400" w:lineRule="exact"/>
              <w:ind w:firstLine="420" w:firstLineChars="200"/>
              <w:rPr>
                <w:rFonts w:ascii="宋体" w:hAnsi="宋体"/>
                <w:color w:val="auto"/>
                <w:szCs w:val="21"/>
                <w:highlight w:val="none"/>
              </w:rPr>
            </w:pPr>
          </w:p>
        </w:tc>
      </w:tr>
      <w:tr w14:paraId="5427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07564B62">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51D9A8C6">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6BEC87D9">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C834EFE">
            <w:pPr>
              <w:spacing w:line="400" w:lineRule="exact"/>
              <w:ind w:firstLine="420" w:firstLineChars="200"/>
              <w:rPr>
                <w:rFonts w:ascii="宋体" w:hAnsi="宋体"/>
                <w:color w:val="auto"/>
                <w:szCs w:val="21"/>
                <w:highlight w:val="none"/>
              </w:rPr>
            </w:pPr>
          </w:p>
        </w:tc>
      </w:tr>
      <w:tr w14:paraId="3E20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15BF3D86">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3C8D92B4">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5E5D4003">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1647821">
            <w:pPr>
              <w:spacing w:line="400" w:lineRule="exact"/>
              <w:ind w:firstLine="420" w:firstLineChars="200"/>
              <w:rPr>
                <w:rFonts w:ascii="宋体" w:hAnsi="宋体"/>
                <w:color w:val="auto"/>
                <w:szCs w:val="21"/>
                <w:highlight w:val="none"/>
              </w:rPr>
            </w:pPr>
          </w:p>
        </w:tc>
      </w:tr>
      <w:tr w14:paraId="34FE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7A338722">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1F895B4D">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4E43395A">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262866D8">
            <w:pPr>
              <w:spacing w:line="400" w:lineRule="exact"/>
              <w:ind w:firstLine="420" w:firstLineChars="200"/>
              <w:rPr>
                <w:rFonts w:ascii="宋体" w:hAnsi="宋体"/>
                <w:color w:val="auto"/>
                <w:szCs w:val="21"/>
                <w:highlight w:val="none"/>
              </w:rPr>
            </w:pPr>
          </w:p>
        </w:tc>
      </w:tr>
      <w:tr w14:paraId="7227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551BF1AA">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0E77AC1F">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0E08CB2F">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22D78093">
            <w:pPr>
              <w:spacing w:line="400" w:lineRule="exact"/>
              <w:ind w:firstLine="420" w:firstLineChars="200"/>
              <w:rPr>
                <w:rFonts w:ascii="宋体" w:hAnsi="宋体"/>
                <w:color w:val="auto"/>
                <w:szCs w:val="21"/>
                <w:highlight w:val="none"/>
              </w:rPr>
            </w:pPr>
          </w:p>
        </w:tc>
      </w:tr>
      <w:tr w14:paraId="13B5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6C309913">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49DC3C17">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3C34DF24">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0C40400">
            <w:pPr>
              <w:spacing w:line="400" w:lineRule="exact"/>
              <w:ind w:firstLine="420" w:firstLineChars="200"/>
              <w:rPr>
                <w:rFonts w:ascii="宋体" w:hAnsi="宋体"/>
                <w:color w:val="auto"/>
                <w:szCs w:val="21"/>
                <w:highlight w:val="none"/>
              </w:rPr>
            </w:pPr>
          </w:p>
        </w:tc>
      </w:tr>
      <w:tr w14:paraId="7E40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58F07A3A">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0FD781DE">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12319706">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6F753E0">
            <w:pPr>
              <w:spacing w:line="400" w:lineRule="exact"/>
              <w:ind w:firstLine="420" w:firstLineChars="200"/>
              <w:rPr>
                <w:rFonts w:ascii="宋体" w:hAnsi="宋体"/>
                <w:color w:val="auto"/>
                <w:szCs w:val="21"/>
                <w:highlight w:val="none"/>
              </w:rPr>
            </w:pPr>
          </w:p>
        </w:tc>
      </w:tr>
      <w:tr w14:paraId="7BEF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2865C54B">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084E45A9">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30626F39">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0FF951E5">
            <w:pPr>
              <w:spacing w:line="400" w:lineRule="exact"/>
              <w:ind w:firstLine="420" w:firstLineChars="200"/>
              <w:rPr>
                <w:rFonts w:ascii="宋体" w:hAnsi="宋体"/>
                <w:color w:val="auto"/>
                <w:szCs w:val="21"/>
                <w:highlight w:val="none"/>
              </w:rPr>
            </w:pPr>
          </w:p>
        </w:tc>
      </w:tr>
      <w:tr w14:paraId="1643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25D01CCE">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5FA114FD">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727021C9">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D03EC74">
            <w:pPr>
              <w:spacing w:line="400" w:lineRule="exact"/>
              <w:ind w:firstLine="420" w:firstLineChars="200"/>
              <w:rPr>
                <w:rFonts w:ascii="宋体" w:hAnsi="宋体"/>
                <w:color w:val="auto"/>
                <w:szCs w:val="21"/>
                <w:highlight w:val="none"/>
              </w:rPr>
            </w:pPr>
          </w:p>
        </w:tc>
      </w:tr>
      <w:tr w14:paraId="31CC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288DA6E0">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65FDFBAE">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38A6C10C">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5883E08C">
            <w:pPr>
              <w:spacing w:line="400" w:lineRule="exact"/>
              <w:ind w:firstLine="420" w:firstLineChars="200"/>
              <w:rPr>
                <w:rFonts w:ascii="宋体" w:hAnsi="宋体"/>
                <w:color w:val="auto"/>
                <w:szCs w:val="21"/>
                <w:highlight w:val="none"/>
              </w:rPr>
            </w:pPr>
          </w:p>
        </w:tc>
      </w:tr>
      <w:tr w14:paraId="32E9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0B4BCCCA">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02A16ABF">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6F92578F">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A8495C8">
            <w:pPr>
              <w:spacing w:line="400" w:lineRule="exact"/>
              <w:ind w:firstLine="420" w:firstLineChars="200"/>
              <w:rPr>
                <w:rFonts w:ascii="宋体" w:hAnsi="宋体"/>
                <w:color w:val="auto"/>
                <w:szCs w:val="21"/>
                <w:highlight w:val="none"/>
              </w:rPr>
            </w:pPr>
          </w:p>
        </w:tc>
      </w:tr>
      <w:tr w14:paraId="1B47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tcPr>
          <w:p w14:paraId="365EE00E">
            <w:pPr>
              <w:spacing w:line="400" w:lineRule="exact"/>
              <w:ind w:firstLine="420" w:firstLineChars="200"/>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199AF2CB">
            <w:pPr>
              <w:spacing w:line="400" w:lineRule="exact"/>
              <w:ind w:firstLine="420" w:firstLineChars="200"/>
              <w:rPr>
                <w:rFonts w:ascii="宋体" w:hAnsi="宋体"/>
                <w:color w:val="auto"/>
                <w:szCs w:val="21"/>
                <w:highlight w:val="none"/>
              </w:rPr>
            </w:pPr>
          </w:p>
        </w:tc>
        <w:tc>
          <w:tcPr>
            <w:tcW w:w="5103" w:type="dxa"/>
            <w:tcBorders>
              <w:top w:val="single" w:color="auto" w:sz="4" w:space="0"/>
              <w:left w:val="single" w:color="auto" w:sz="4" w:space="0"/>
              <w:bottom w:val="single" w:color="auto" w:sz="4" w:space="0"/>
              <w:right w:val="single" w:color="auto" w:sz="4" w:space="0"/>
            </w:tcBorders>
          </w:tcPr>
          <w:p w14:paraId="47731F6E">
            <w:pPr>
              <w:spacing w:line="400" w:lineRule="exact"/>
              <w:ind w:firstLine="420" w:firstLineChars="200"/>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4C893044">
            <w:pPr>
              <w:spacing w:line="400" w:lineRule="exact"/>
              <w:ind w:firstLine="420" w:firstLineChars="200"/>
              <w:rPr>
                <w:rFonts w:ascii="宋体" w:hAnsi="宋体"/>
                <w:color w:val="auto"/>
                <w:szCs w:val="21"/>
                <w:highlight w:val="none"/>
              </w:rPr>
            </w:pPr>
          </w:p>
        </w:tc>
      </w:tr>
      <w:tr w14:paraId="2CB9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Borders>
              <w:top w:val="single" w:color="auto" w:sz="4" w:space="0"/>
              <w:left w:val="single" w:color="auto" w:sz="4" w:space="0"/>
              <w:bottom w:val="single" w:color="auto" w:sz="4" w:space="0"/>
              <w:right w:val="single" w:color="auto" w:sz="4" w:space="0"/>
            </w:tcBorders>
          </w:tcPr>
          <w:p w14:paraId="093B46C1">
            <w:pPr>
              <w:spacing w:line="400" w:lineRule="exact"/>
              <w:ind w:firstLine="420" w:firstLineChars="200"/>
              <w:rPr>
                <w:rFonts w:ascii="宋体" w:hAnsi="宋体"/>
                <w:color w:val="auto"/>
                <w:szCs w:val="21"/>
                <w:highlight w:val="none"/>
              </w:rPr>
            </w:pPr>
            <w:r>
              <w:rPr>
                <w:rFonts w:hint="eastAsia" w:ascii="宋体" w:hAnsi="宋体"/>
                <w:color w:val="auto"/>
                <w:highlight w:val="none"/>
              </w:rPr>
              <w:t>小计：</w:t>
            </w:r>
          </w:p>
        </w:tc>
      </w:tr>
    </w:tbl>
    <w:p w14:paraId="67FC23DA">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 xml:space="preserve"> </w:t>
      </w:r>
    </w:p>
    <w:p w14:paraId="405C23DF">
      <w:pPr>
        <w:pStyle w:val="3"/>
        <w:spacing w:line="360" w:lineRule="auto"/>
        <w:rPr>
          <w:rFonts w:hint="eastAsia" w:ascii="宋体" w:hAnsi="宋体"/>
          <w:color w:val="auto"/>
          <w:highlight w:val="none"/>
        </w:rPr>
      </w:pPr>
      <w:r>
        <w:rPr>
          <w:rFonts w:hint="eastAsia" w:ascii="宋体" w:hAnsi="宋体"/>
          <w:color w:val="auto"/>
          <w:highlight w:val="none"/>
        </w:rPr>
        <w:t xml:space="preserve"> </w:t>
      </w:r>
    </w:p>
    <w:p w14:paraId="61CB445A">
      <w:pPr>
        <w:spacing w:line="480" w:lineRule="auto"/>
        <w:ind w:firstLine="420" w:firstLineChars="200"/>
        <w:rPr>
          <w:rFonts w:hint="eastAsia" w:ascii="宋体" w:hAnsi="宋体"/>
          <w:color w:val="auto"/>
          <w:highlight w:val="none"/>
        </w:rPr>
      </w:pPr>
      <w:r>
        <w:rPr>
          <w:rFonts w:hint="eastAsia" w:ascii="宋体" w:hAnsi="宋体"/>
          <w:color w:val="auto"/>
          <w:highlight w:val="none"/>
        </w:rPr>
        <w:br w:type="page"/>
      </w:r>
    </w:p>
    <w:p w14:paraId="30697FB9">
      <w:pPr>
        <w:spacing w:line="480" w:lineRule="auto"/>
        <w:rPr>
          <w:rFonts w:hint="eastAsia" w:ascii="宋体" w:hAnsi="宋体"/>
          <w:color w:val="auto"/>
          <w:highlight w:val="none"/>
        </w:rPr>
      </w:pPr>
      <w:r>
        <w:rPr>
          <w:rFonts w:hint="eastAsia" w:ascii="宋体" w:hAnsi="宋体"/>
          <w:color w:val="auto"/>
          <w:highlight w:val="none"/>
        </w:rPr>
        <w:t>附件8：</w:t>
      </w:r>
    </w:p>
    <w:p w14:paraId="5965D0CC">
      <w:pPr>
        <w:spacing w:beforeLines="50" w:afterLines="50" w:line="480" w:lineRule="auto"/>
        <w:jc w:val="center"/>
        <w:rPr>
          <w:rFonts w:hint="eastAsia" w:ascii="宋体" w:hAnsi="宋体"/>
          <w:color w:val="auto"/>
          <w:highlight w:val="none"/>
        </w:rPr>
      </w:pPr>
      <w:r>
        <w:rPr>
          <w:rFonts w:hint="eastAsia" w:ascii="宋体" w:hAnsi="宋体"/>
          <w:color w:val="auto"/>
          <w:highlight w:val="none"/>
        </w:rPr>
        <w:t>廉洁从业协议</w:t>
      </w:r>
    </w:p>
    <w:p w14:paraId="075AAD87">
      <w:pPr>
        <w:snapToGrid w:val="0"/>
        <w:spacing w:line="360" w:lineRule="auto"/>
        <w:ind w:firstLine="422" w:firstLineChars="200"/>
        <w:rPr>
          <w:rFonts w:hint="eastAsia" w:ascii="宋体" w:hAnsi="宋体"/>
          <w:b/>
          <w:color w:val="auto"/>
          <w:highlight w:val="none"/>
          <w:u w:val="single"/>
        </w:rPr>
      </w:pPr>
      <w:r>
        <w:rPr>
          <w:rFonts w:hint="eastAsia" w:ascii="宋体" w:hAnsi="宋体"/>
          <w:b/>
          <w:color w:val="auto"/>
          <w:highlight w:val="none"/>
        </w:rPr>
        <w:t>发包人（全称）：</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p>
    <w:p w14:paraId="2B7CBE53">
      <w:pPr>
        <w:snapToGrid w:val="0"/>
        <w:spacing w:line="360" w:lineRule="auto"/>
        <w:ind w:firstLine="422" w:firstLineChars="200"/>
        <w:rPr>
          <w:rFonts w:hint="eastAsia" w:ascii="宋体" w:hAnsi="宋体"/>
          <w:b/>
          <w:color w:val="auto"/>
          <w:highlight w:val="none"/>
          <w:u w:val="single"/>
        </w:rPr>
      </w:pPr>
      <w:r>
        <w:rPr>
          <w:rFonts w:hint="eastAsia" w:ascii="宋体" w:hAnsi="宋体"/>
          <w:b/>
          <w:color w:val="auto"/>
          <w:highlight w:val="none"/>
        </w:rPr>
        <w:t>承包人（全称）：</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p>
    <w:p w14:paraId="16CF5CD9">
      <w:pPr>
        <w:spacing w:line="360" w:lineRule="auto"/>
        <w:ind w:firstLine="420" w:firstLineChars="200"/>
        <w:rPr>
          <w:rFonts w:hint="eastAsia" w:ascii="宋体" w:hAnsi="宋体"/>
          <w:color w:val="auto"/>
          <w:highlight w:val="none"/>
        </w:rPr>
      </w:pPr>
      <w:r>
        <w:rPr>
          <w:rFonts w:hint="eastAsia" w:ascii="宋体" w:hAnsi="宋体"/>
          <w:color w:val="auto"/>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224071C7">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1. 发包人承包人的权利和义务</w:t>
      </w:r>
    </w:p>
    <w:p w14:paraId="7BF94A51">
      <w:pPr>
        <w:spacing w:line="360" w:lineRule="auto"/>
        <w:ind w:firstLine="420" w:firstLineChars="200"/>
        <w:rPr>
          <w:rFonts w:hint="eastAsia" w:ascii="宋体" w:hAnsi="宋体"/>
          <w:color w:val="auto"/>
          <w:highlight w:val="none"/>
        </w:rPr>
      </w:pPr>
      <w:r>
        <w:rPr>
          <w:rFonts w:hint="eastAsia" w:ascii="宋体" w:hAnsi="宋体"/>
          <w:color w:val="auto"/>
          <w:highlight w:val="none"/>
        </w:rPr>
        <w:t>（1）严格遵守党的政策规定和国家有关法律法规及相关部门的有关规定。</w:t>
      </w:r>
    </w:p>
    <w:p w14:paraId="69E09474">
      <w:pPr>
        <w:spacing w:line="360" w:lineRule="auto"/>
        <w:ind w:firstLine="420" w:firstLineChars="200"/>
        <w:rPr>
          <w:rFonts w:hint="eastAsia" w:ascii="宋体" w:hAnsi="宋体"/>
          <w:color w:val="auto"/>
          <w:highlight w:val="none"/>
        </w:rPr>
      </w:pPr>
      <w:r>
        <w:rPr>
          <w:rFonts w:hint="eastAsia" w:ascii="宋体" w:hAnsi="宋体"/>
          <w:color w:val="auto"/>
          <w:highlight w:val="none"/>
        </w:rPr>
        <w:t>（2）严格执行 工程的合同文件，自觉按合同办事。</w:t>
      </w:r>
    </w:p>
    <w:p w14:paraId="6784179C">
      <w:pPr>
        <w:spacing w:line="360" w:lineRule="auto"/>
        <w:ind w:firstLine="420" w:firstLineChars="200"/>
        <w:rPr>
          <w:rFonts w:hint="eastAsia" w:ascii="宋体" w:hAnsi="宋体"/>
          <w:color w:val="auto"/>
          <w:highlight w:val="none"/>
        </w:rPr>
      </w:pPr>
      <w:r>
        <w:rPr>
          <w:rFonts w:hint="eastAsia" w:ascii="宋体" w:hAnsi="宋体"/>
          <w:color w:val="auto"/>
          <w:highlight w:val="none"/>
        </w:rPr>
        <w:t>（3）双方的业务活动坚持公开、公正、诚信、透明的原则（法律认定的商业秘密和合同文件另有规定除外），不得损害国家和集体利益，违反工程建设管理规章制度。</w:t>
      </w:r>
    </w:p>
    <w:p w14:paraId="18570084">
      <w:pPr>
        <w:spacing w:line="360" w:lineRule="auto"/>
        <w:ind w:firstLine="420" w:firstLineChars="200"/>
        <w:rPr>
          <w:rFonts w:hint="eastAsia" w:ascii="宋体" w:hAnsi="宋体"/>
          <w:color w:val="auto"/>
          <w:highlight w:val="none"/>
        </w:rPr>
      </w:pPr>
      <w:r>
        <w:rPr>
          <w:rFonts w:hint="eastAsia" w:ascii="宋体" w:hAnsi="宋体"/>
          <w:color w:val="auto"/>
          <w:highlight w:val="none"/>
        </w:rPr>
        <w:t>（4）建立健全廉政制度，开展廉政教育，设立廉政告示牌，公布举报电话，监督并认真查处违法违纪行为。</w:t>
      </w:r>
    </w:p>
    <w:p w14:paraId="712D2830">
      <w:pPr>
        <w:spacing w:line="360" w:lineRule="auto"/>
        <w:ind w:firstLine="420" w:firstLineChars="200"/>
        <w:rPr>
          <w:rFonts w:hint="eastAsia" w:ascii="宋体" w:hAnsi="宋体"/>
          <w:color w:val="auto"/>
          <w:highlight w:val="none"/>
        </w:rPr>
      </w:pPr>
      <w:r>
        <w:rPr>
          <w:rFonts w:hint="eastAsia" w:ascii="宋体" w:hAnsi="宋体"/>
          <w:color w:val="auto"/>
          <w:highlight w:val="none"/>
        </w:rPr>
        <w:t>（5）发现对方在业务活动中有违反廉政规定的行为，有及时提醒对方纠正的权利和义务。</w:t>
      </w:r>
    </w:p>
    <w:p w14:paraId="77228FC0">
      <w:pPr>
        <w:spacing w:line="360" w:lineRule="auto"/>
        <w:ind w:firstLine="420" w:firstLineChars="200"/>
        <w:rPr>
          <w:rFonts w:hint="eastAsia" w:ascii="宋体" w:hAnsi="宋体"/>
          <w:color w:val="auto"/>
          <w:highlight w:val="none"/>
        </w:rPr>
      </w:pPr>
      <w:r>
        <w:rPr>
          <w:rFonts w:hint="eastAsia" w:ascii="宋体" w:hAnsi="宋体"/>
          <w:color w:val="auto"/>
          <w:highlight w:val="none"/>
        </w:rPr>
        <w:t>（6）发现对方严重违反协议义务条款的行为，有向其上级有关部门举报、建议给予处理并要求告知处理结果的权利。</w:t>
      </w:r>
    </w:p>
    <w:p w14:paraId="74F164A1">
      <w:pPr>
        <w:spacing w:line="360" w:lineRule="auto"/>
        <w:ind w:firstLine="420" w:firstLineChars="200"/>
        <w:rPr>
          <w:rFonts w:hint="eastAsia" w:ascii="宋体" w:hAnsi="宋体"/>
          <w:color w:val="auto"/>
          <w:highlight w:val="none"/>
        </w:rPr>
      </w:pPr>
      <w:r>
        <w:rPr>
          <w:rFonts w:hint="eastAsia" w:ascii="宋体" w:hAnsi="宋体"/>
          <w:color w:val="auto"/>
          <w:highlight w:val="none"/>
        </w:rPr>
        <w:t>2. 发包人的义务</w:t>
      </w:r>
    </w:p>
    <w:p w14:paraId="2662D3EA">
      <w:pPr>
        <w:spacing w:line="360" w:lineRule="auto"/>
        <w:ind w:firstLine="420" w:firstLineChars="200"/>
        <w:rPr>
          <w:rFonts w:hint="eastAsia" w:ascii="宋体" w:hAnsi="宋体"/>
          <w:color w:val="auto"/>
          <w:highlight w:val="none"/>
        </w:rPr>
      </w:pPr>
      <w:r>
        <w:rPr>
          <w:rFonts w:hint="eastAsia" w:ascii="宋体" w:hAnsi="宋体"/>
          <w:color w:val="auto"/>
          <w:highlight w:val="none"/>
        </w:rPr>
        <w:t>（1）发包人及其工作人员不得索要或接受承包人的礼金、有价证券和贵重物品，不得在承包人报销任何应由发包人或发包人工作人员个人支付的费用等。</w:t>
      </w:r>
    </w:p>
    <w:p w14:paraId="4EA644EF">
      <w:pPr>
        <w:spacing w:line="360" w:lineRule="auto"/>
        <w:ind w:firstLine="420" w:firstLineChars="200"/>
        <w:rPr>
          <w:rFonts w:hint="eastAsia" w:ascii="宋体" w:hAnsi="宋体"/>
          <w:color w:val="auto"/>
          <w:highlight w:val="none"/>
        </w:rPr>
      </w:pPr>
      <w:r>
        <w:rPr>
          <w:rFonts w:hint="eastAsia" w:ascii="宋体" w:hAnsi="宋体"/>
          <w:color w:val="auto"/>
          <w:highlight w:val="none"/>
        </w:rPr>
        <w:t>（2）发包人工作人员不得参加承包人安排的超标准宴请和娱乐活动；不得接受承包人提供的通讯工具、交通工具和高档办公用品等。</w:t>
      </w:r>
    </w:p>
    <w:p w14:paraId="1141AA94">
      <w:pPr>
        <w:spacing w:line="360" w:lineRule="auto"/>
        <w:ind w:firstLine="420" w:firstLineChars="200"/>
        <w:rPr>
          <w:rFonts w:hint="eastAsia" w:ascii="宋体" w:hAnsi="宋体"/>
          <w:color w:val="auto"/>
          <w:highlight w:val="none"/>
        </w:rPr>
      </w:pPr>
      <w:r>
        <w:rPr>
          <w:rFonts w:hint="eastAsia" w:ascii="宋体" w:hAnsi="宋体"/>
          <w:color w:val="auto"/>
          <w:highlight w:val="none"/>
        </w:rPr>
        <w:t>（3）发包人及其工作人员不得要求或者接受承包人为其住房装修、婚丧嫁娶活动、配偶子女的工作安排以及出国出境、旅游等提供方便等。</w:t>
      </w:r>
    </w:p>
    <w:p w14:paraId="73E17E9D">
      <w:pPr>
        <w:spacing w:line="360" w:lineRule="auto"/>
        <w:ind w:firstLine="420" w:firstLineChars="200"/>
        <w:rPr>
          <w:rFonts w:hint="eastAsia" w:ascii="宋体" w:hAnsi="宋体"/>
          <w:color w:val="auto"/>
          <w:highlight w:val="none"/>
        </w:rPr>
      </w:pPr>
      <w:r>
        <w:rPr>
          <w:rFonts w:hint="eastAsia" w:ascii="宋体" w:hAnsi="宋体"/>
          <w:color w:val="auto"/>
          <w:highlight w:val="none"/>
        </w:rPr>
        <w:t>（4）发包人工作人员及其配偶、子女不得从事与发包人工程有关的材料设备供应、工程分包、劳务等经济活动等。</w:t>
      </w:r>
    </w:p>
    <w:p w14:paraId="0AECDC7E">
      <w:pPr>
        <w:spacing w:line="360" w:lineRule="auto"/>
        <w:ind w:firstLine="420" w:firstLineChars="200"/>
        <w:rPr>
          <w:rFonts w:hint="eastAsia" w:ascii="宋体" w:hAnsi="宋体"/>
          <w:color w:val="auto"/>
          <w:highlight w:val="none"/>
        </w:rPr>
      </w:pPr>
      <w:r>
        <w:rPr>
          <w:rFonts w:hint="eastAsia" w:ascii="宋体" w:hAnsi="宋体"/>
          <w:color w:val="auto"/>
          <w:highlight w:val="none"/>
        </w:rPr>
        <w:t>（5）发包人及其工作人员不得以任何理由向承包人推荐分包单位或推销材料，不得要求承包人购买合同规定外的材料和设备。</w:t>
      </w:r>
    </w:p>
    <w:p w14:paraId="53F8E690">
      <w:pPr>
        <w:spacing w:line="360" w:lineRule="auto"/>
        <w:ind w:firstLine="420" w:firstLineChars="200"/>
        <w:rPr>
          <w:rFonts w:hint="eastAsia" w:ascii="宋体" w:hAnsi="宋体"/>
          <w:color w:val="auto"/>
          <w:highlight w:val="none"/>
        </w:rPr>
      </w:pPr>
      <w:r>
        <w:rPr>
          <w:rFonts w:hint="eastAsia" w:ascii="宋体" w:hAnsi="宋体"/>
          <w:color w:val="auto"/>
          <w:highlight w:val="none"/>
        </w:rPr>
        <w:t>（6）发包人工作人员要秉公办事，不准营私舞弊，不准利用职权从事各种个人有偿中介活动和安排个人施工队伍。</w:t>
      </w:r>
    </w:p>
    <w:p w14:paraId="451461DB">
      <w:pPr>
        <w:spacing w:line="360" w:lineRule="auto"/>
        <w:ind w:firstLine="420" w:firstLineChars="200"/>
        <w:rPr>
          <w:rFonts w:hint="eastAsia" w:ascii="宋体" w:hAnsi="宋体"/>
          <w:color w:val="auto"/>
          <w:highlight w:val="none"/>
        </w:rPr>
      </w:pPr>
      <w:r>
        <w:rPr>
          <w:rFonts w:hint="eastAsia" w:ascii="宋体" w:hAnsi="宋体"/>
          <w:color w:val="auto"/>
          <w:highlight w:val="none"/>
        </w:rPr>
        <w:t>3. 承包人义务</w:t>
      </w:r>
    </w:p>
    <w:p w14:paraId="478CE2B7">
      <w:pPr>
        <w:spacing w:line="360" w:lineRule="auto"/>
        <w:ind w:firstLine="420" w:firstLineChars="200"/>
        <w:rPr>
          <w:rFonts w:hint="eastAsia" w:ascii="宋体" w:hAnsi="宋体"/>
          <w:color w:val="auto"/>
          <w:highlight w:val="none"/>
        </w:rPr>
      </w:pPr>
      <w:r>
        <w:rPr>
          <w:rFonts w:hint="eastAsia" w:ascii="宋体" w:hAnsi="宋体"/>
          <w:color w:val="auto"/>
          <w:highlight w:val="none"/>
        </w:rPr>
        <w:t>（1）承包人不得以任何理由向发包人及其工作人员行贿或馈赠礼金、有价证券、贵重礼品。</w:t>
      </w:r>
    </w:p>
    <w:p w14:paraId="181E5EA9">
      <w:pPr>
        <w:spacing w:line="360" w:lineRule="auto"/>
        <w:ind w:firstLine="420" w:firstLineChars="200"/>
        <w:rPr>
          <w:rFonts w:hint="eastAsia" w:ascii="宋体" w:hAnsi="宋体"/>
          <w:color w:val="auto"/>
          <w:highlight w:val="none"/>
        </w:rPr>
      </w:pPr>
      <w:r>
        <w:rPr>
          <w:rFonts w:hint="eastAsia" w:ascii="宋体" w:hAnsi="宋体"/>
          <w:color w:val="auto"/>
          <w:highlight w:val="none"/>
        </w:rPr>
        <w:t>（2）承包人不得以任何名义为发包人及其工作人员报销应由发包人单位或个人支付的任何费用。</w:t>
      </w:r>
    </w:p>
    <w:p w14:paraId="2E48642B">
      <w:pPr>
        <w:spacing w:line="360" w:lineRule="auto"/>
        <w:ind w:firstLine="420" w:firstLineChars="200"/>
        <w:rPr>
          <w:rFonts w:hint="eastAsia" w:ascii="宋体" w:hAnsi="宋体"/>
          <w:color w:val="auto"/>
          <w:highlight w:val="none"/>
        </w:rPr>
      </w:pPr>
      <w:r>
        <w:rPr>
          <w:rFonts w:hint="eastAsia" w:ascii="宋体" w:hAnsi="宋体"/>
          <w:color w:val="auto"/>
          <w:highlight w:val="none"/>
        </w:rPr>
        <w:t>（3）承包人不得以任何理由安排发包人工作人员参加超标准宴请及娱乐活动。</w:t>
      </w:r>
    </w:p>
    <w:p w14:paraId="2373AC43">
      <w:pPr>
        <w:spacing w:line="360" w:lineRule="auto"/>
        <w:ind w:firstLine="420" w:firstLineChars="200"/>
        <w:rPr>
          <w:rFonts w:hint="eastAsia" w:ascii="宋体" w:hAnsi="宋体"/>
          <w:color w:val="auto"/>
          <w:highlight w:val="none"/>
        </w:rPr>
      </w:pPr>
      <w:r>
        <w:rPr>
          <w:rFonts w:hint="eastAsia" w:ascii="宋体" w:hAnsi="宋体"/>
          <w:color w:val="auto"/>
          <w:highlight w:val="none"/>
        </w:rPr>
        <w:t>（4）承包人不得为发包人单位和个人购置或提供通讯工具、交通工具和高档办公用品等。</w:t>
      </w:r>
    </w:p>
    <w:p w14:paraId="34FCFBED">
      <w:pPr>
        <w:spacing w:line="360" w:lineRule="auto"/>
        <w:ind w:firstLine="420" w:firstLineChars="200"/>
        <w:rPr>
          <w:rFonts w:hint="eastAsia" w:ascii="宋体" w:hAnsi="宋体"/>
          <w:color w:val="auto"/>
          <w:highlight w:val="none"/>
        </w:rPr>
      </w:pPr>
      <w:r>
        <w:rPr>
          <w:rFonts w:hint="eastAsia" w:ascii="宋体" w:hAnsi="宋体"/>
          <w:color w:val="auto"/>
          <w:highlight w:val="none"/>
        </w:rPr>
        <w:t>4. 违约责任</w:t>
      </w:r>
    </w:p>
    <w:p w14:paraId="22018B8A">
      <w:pPr>
        <w:spacing w:line="360" w:lineRule="auto"/>
        <w:ind w:firstLine="420" w:firstLineChars="200"/>
        <w:rPr>
          <w:rFonts w:hint="eastAsia" w:ascii="宋体" w:hAnsi="宋体"/>
          <w:color w:val="auto"/>
          <w:highlight w:val="none"/>
        </w:rPr>
      </w:pPr>
      <w:r>
        <w:rPr>
          <w:rFonts w:hint="eastAsia" w:ascii="宋体" w:hAnsi="宋体"/>
          <w:color w:val="auto"/>
          <w:highlight w:val="none"/>
        </w:rPr>
        <w:t>（1）发包人及其工作人员违反合同第1、2条，按管理权限，依据有关规定给予党纪、政纪或组织处理；涉嫌犯罪的，移交司法机关追究刑事责任；给承包人单位造成经济损失的，应予以赔偿。</w:t>
      </w:r>
    </w:p>
    <w:p w14:paraId="44A23359">
      <w:pPr>
        <w:spacing w:line="360" w:lineRule="auto"/>
        <w:ind w:firstLine="420" w:firstLineChars="200"/>
        <w:rPr>
          <w:rFonts w:hint="eastAsia" w:ascii="宋体" w:hAnsi="宋体"/>
          <w:color w:val="auto"/>
          <w:highlight w:val="none"/>
        </w:rPr>
      </w:pPr>
      <w:r>
        <w:rPr>
          <w:rFonts w:hint="eastAsia" w:ascii="宋体" w:hAnsi="宋体"/>
          <w:color w:val="auto"/>
          <w:highlight w:val="none"/>
        </w:rPr>
        <w:t>（2）承包人及其工作人员违反合同第1、3条，按管理权限，依据有关规定给予党纪、政纪或组织处理；给发包人单位造成经济损失的，应予以赔偿。</w:t>
      </w:r>
    </w:p>
    <w:p w14:paraId="19730C2F">
      <w:pPr>
        <w:spacing w:line="360" w:lineRule="auto"/>
        <w:ind w:firstLine="420" w:firstLineChars="200"/>
        <w:rPr>
          <w:rFonts w:hint="eastAsia" w:ascii="宋体" w:hAnsi="宋体"/>
          <w:color w:val="auto"/>
          <w:highlight w:val="none"/>
        </w:rPr>
      </w:pPr>
      <w:r>
        <w:rPr>
          <w:rFonts w:hint="eastAsia" w:ascii="宋体" w:hAnsi="宋体"/>
          <w:color w:val="auto"/>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21D7B86C">
      <w:pPr>
        <w:spacing w:line="360" w:lineRule="auto"/>
        <w:ind w:firstLine="420" w:firstLineChars="200"/>
        <w:rPr>
          <w:rFonts w:hint="eastAsia" w:ascii="宋体" w:hAnsi="宋体"/>
          <w:color w:val="auto"/>
          <w:highlight w:val="none"/>
        </w:rPr>
      </w:pPr>
      <w:r>
        <w:rPr>
          <w:rFonts w:hint="eastAsia" w:ascii="宋体" w:hAnsi="宋体"/>
          <w:color w:val="auto"/>
          <w:highlight w:val="none"/>
        </w:rPr>
        <w:t>6. 协议有效期为甲乙双方签署之日起至该工程项目竣工验收后止。</w:t>
      </w:r>
    </w:p>
    <w:p w14:paraId="01656D73">
      <w:pPr>
        <w:spacing w:line="360" w:lineRule="auto"/>
        <w:ind w:firstLine="420" w:firstLineChars="200"/>
        <w:rPr>
          <w:rFonts w:hint="eastAsia" w:ascii="宋体" w:hAnsi="宋体"/>
          <w:color w:val="auto"/>
          <w:highlight w:val="none"/>
        </w:rPr>
      </w:pPr>
      <w:r>
        <w:rPr>
          <w:rFonts w:hint="eastAsia" w:ascii="宋体" w:hAnsi="宋体"/>
          <w:color w:val="auto"/>
          <w:highlight w:val="none"/>
        </w:rPr>
        <w:t>7.协议作为 工程施工合同的附件，与工程施工合同具有同等的法律效力，经合同双方签署立即生效。</w:t>
      </w:r>
    </w:p>
    <w:p w14:paraId="16EB8F7A">
      <w:pPr>
        <w:spacing w:line="360" w:lineRule="auto"/>
        <w:ind w:firstLine="420" w:firstLineChars="200"/>
        <w:rPr>
          <w:rFonts w:hint="eastAsia" w:ascii="宋体" w:hAnsi="宋体"/>
          <w:color w:val="auto"/>
          <w:highlight w:val="none"/>
        </w:rPr>
      </w:pPr>
      <w:r>
        <w:rPr>
          <w:rFonts w:hint="eastAsia" w:ascii="宋体" w:hAnsi="宋体"/>
          <w:color w:val="auto"/>
          <w:highlight w:val="none"/>
        </w:rPr>
        <w:t>（以下无正文）</w:t>
      </w:r>
    </w:p>
    <w:p w14:paraId="56F08F54">
      <w:pPr>
        <w:spacing w:line="360" w:lineRule="auto"/>
        <w:rPr>
          <w:rFonts w:hint="eastAsia" w:ascii="宋体" w:hAnsi="宋体"/>
          <w:color w:val="auto"/>
          <w:highlight w:val="none"/>
        </w:rPr>
      </w:pPr>
      <w:r>
        <w:rPr>
          <w:rFonts w:hint="eastAsia" w:ascii="宋体" w:hAnsi="宋体"/>
          <w:color w:val="auto"/>
          <w:highlight w:val="none"/>
        </w:rPr>
        <w:t xml:space="preserve"> </w:t>
      </w:r>
    </w:p>
    <w:p w14:paraId="78CDEDD1">
      <w:pPr>
        <w:pStyle w:val="3"/>
        <w:spacing w:line="360" w:lineRule="auto"/>
        <w:rPr>
          <w:rFonts w:hint="eastAsia" w:ascii="宋体" w:hAnsi="宋体"/>
          <w:color w:val="auto"/>
          <w:highlight w:val="none"/>
        </w:rPr>
      </w:pPr>
      <w:r>
        <w:rPr>
          <w:rFonts w:hint="eastAsia" w:ascii="宋体" w:hAnsi="宋体"/>
          <w:color w:val="auto"/>
          <w:highlight w:val="none"/>
        </w:rPr>
        <w:t xml:space="preserve"> </w:t>
      </w:r>
    </w:p>
    <w:p w14:paraId="3ECD3522">
      <w:pPr>
        <w:pStyle w:val="3"/>
        <w:spacing w:line="360" w:lineRule="auto"/>
        <w:rPr>
          <w:rFonts w:hint="eastAsia" w:ascii="宋体" w:hAnsi="宋体"/>
          <w:color w:val="auto"/>
          <w:highlight w:val="none"/>
        </w:rPr>
      </w:pPr>
      <w:r>
        <w:rPr>
          <w:rFonts w:hint="eastAsia" w:ascii="宋体" w:hAnsi="宋体"/>
          <w:color w:val="auto"/>
          <w:highlight w:val="none"/>
        </w:rPr>
        <w:t xml:space="preserve"> </w:t>
      </w:r>
    </w:p>
    <w:p w14:paraId="6B2CD310">
      <w:pPr>
        <w:spacing w:line="360" w:lineRule="auto"/>
        <w:rPr>
          <w:rFonts w:hint="eastAsia" w:ascii="宋体" w:hAnsi="宋体"/>
          <w:color w:val="auto"/>
          <w:highlight w:val="none"/>
        </w:rPr>
      </w:pPr>
      <w:r>
        <w:rPr>
          <w:rFonts w:hint="eastAsia" w:ascii="宋体" w:hAnsi="宋体"/>
          <w:color w:val="auto"/>
          <w:highlight w:val="none"/>
        </w:rPr>
        <w:t>甲     方：                         乙     方：</w:t>
      </w:r>
    </w:p>
    <w:p w14:paraId="2B98C5A2">
      <w:pPr>
        <w:spacing w:line="360" w:lineRule="auto"/>
        <w:rPr>
          <w:rFonts w:hint="eastAsia" w:ascii="宋体" w:hAnsi="宋体"/>
          <w:color w:val="auto"/>
          <w:highlight w:val="none"/>
        </w:rPr>
      </w:pPr>
      <w:r>
        <w:rPr>
          <w:rFonts w:hint="eastAsia" w:ascii="宋体" w:hAnsi="宋体"/>
          <w:color w:val="auto"/>
          <w:highlight w:val="none"/>
        </w:rPr>
        <w:t xml:space="preserve"> </w:t>
      </w:r>
    </w:p>
    <w:p w14:paraId="2B153CBA">
      <w:pPr>
        <w:spacing w:line="360" w:lineRule="auto"/>
        <w:rPr>
          <w:rFonts w:hint="eastAsia" w:ascii="宋体" w:hAnsi="宋体"/>
          <w:color w:val="auto"/>
          <w:highlight w:val="none"/>
        </w:rPr>
      </w:pPr>
      <w:r>
        <w:rPr>
          <w:rFonts w:hint="eastAsia" w:ascii="宋体" w:hAnsi="宋体"/>
          <w:color w:val="auto"/>
          <w:highlight w:val="none"/>
        </w:rPr>
        <w:t xml:space="preserve"> </w:t>
      </w:r>
    </w:p>
    <w:p w14:paraId="3671A99A">
      <w:pPr>
        <w:spacing w:line="360" w:lineRule="auto"/>
        <w:rPr>
          <w:rFonts w:hint="eastAsia" w:ascii="宋体" w:hAnsi="宋体"/>
          <w:color w:val="auto"/>
          <w:highlight w:val="none"/>
        </w:rPr>
      </w:pPr>
      <w:r>
        <w:rPr>
          <w:rFonts w:hint="eastAsia" w:ascii="宋体" w:hAnsi="宋体"/>
          <w:color w:val="auto"/>
          <w:highlight w:val="none"/>
        </w:rPr>
        <w:t xml:space="preserve">法定代表人                          法定代表人                      </w:t>
      </w:r>
    </w:p>
    <w:p w14:paraId="5D0835A4">
      <w:pPr>
        <w:spacing w:line="360" w:lineRule="auto"/>
        <w:rPr>
          <w:rFonts w:hint="eastAsia" w:ascii="宋体" w:hAnsi="宋体"/>
          <w:color w:val="auto"/>
          <w:highlight w:val="none"/>
        </w:rPr>
      </w:pPr>
      <w:r>
        <w:rPr>
          <w:rFonts w:hint="eastAsia" w:ascii="宋体" w:hAnsi="宋体"/>
          <w:color w:val="auto"/>
          <w:highlight w:val="none"/>
        </w:rPr>
        <w:t xml:space="preserve"> </w:t>
      </w:r>
    </w:p>
    <w:p w14:paraId="2A3D67E6">
      <w:pPr>
        <w:spacing w:line="360" w:lineRule="auto"/>
        <w:rPr>
          <w:rFonts w:hint="eastAsia" w:ascii="宋体" w:hAnsi="宋体"/>
          <w:color w:val="auto"/>
          <w:highlight w:val="none"/>
        </w:rPr>
      </w:pPr>
      <w:r>
        <w:rPr>
          <w:rFonts w:hint="eastAsia" w:ascii="宋体" w:hAnsi="宋体"/>
          <w:color w:val="auto"/>
          <w:highlight w:val="none"/>
        </w:rPr>
        <w:t xml:space="preserve"> </w:t>
      </w:r>
    </w:p>
    <w:p w14:paraId="2CFCE5F6">
      <w:pPr>
        <w:spacing w:line="360" w:lineRule="auto"/>
        <w:rPr>
          <w:rFonts w:hint="eastAsia" w:ascii="宋体" w:hAnsi="宋体"/>
          <w:color w:val="auto"/>
          <w:highlight w:val="none"/>
        </w:rPr>
      </w:pPr>
      <w:r>
        <w:rPr>
          <w:rFonts w:hint="eastAsia" w:ascii="宋体" w:hAnsi="宋体"/>
          <w:color w:val="auto"/>
          <w:highlight w:val="none"/>
        </w:rPr>
        <w:t>或其授权的代理人：                  或授权的代理人：</w:t>
      </w:r>
    </w:p>
    <w:p w14:paraId="35477B9A">
      <w:pPr>
        <w:spacing w:line="480" w:lineRule="auto"/>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附件9：</w:t>
      </w:r>
    </w:p>
    <w:p w14:paraId="6A2DDFB7">
      <w:pPr>
        <w:spacing w:beforeLines="50" w:afterLines="50" w:line="480" w:lineRule="auto"/>
        <w:jc w:val="center"/>
        <w:rPr>
          <w:rFonts w:hint="eastAsia" w:ascii="宋体" w:hAnsi="宋体"/>
          <w:color w:val="auto"/>
          <w:highlight w:val="none"/>
        </w:rPr>
      </w:pPr>
      <w:r>
        <w:rPr>
          <w:rFonts w:hint="eastAsia" w:ascii="宋体" w:hAnsi="宋体"/>
          <w:color w:val="auto"/>
          <w:highlight w:val="none"/>
        </w:rPr>
        <w:t>安全管理协议</w:t>
      </w:r>
    </w:p>
    <w:p w14:paraId="55AFCC0F">
      <w:pPr>
        <w:snapToGrid w:val="0"/>
        <w:spacing w:line="360" w:lineRule="auto"/>
        <w:ind w:firstLine="422" w:firstLineChars="200"/>
        <w:rPr>
          <w:rFonts w:hint="eastAsia" w:ascii="宋体" w:hAnsi="宋体"/>
          <w:b/>
          <w:color w:val="auto"/>
          <w:highlight w:val="none"/>
          <w:u w:val="single"/>
        </w:rPr>
      </w:pPr>
      <w:r>
        <w:rPr>
          <w:rFonts w:hint="eastAsia" w:ascii="宋体" w:hAnsi="宋体"/>
          <w:b/>
          <w:color w:val="auto"/>
          <w:highlight w:val="none"/>
        </w:rPr>
        <w:t>发包人（全称）：</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p>
    <w:p w14:paraId="4FB08DF5">
      <w:pPr>
        <w:snapToGrid w:val="0"/>
        <w:spacing w:line="360" w:lineRule="auto"/>
        <w:ind w:firstLine="422" w:firstLineChars="200"/>
        <w:rPr>
          <w:rFonts w:hint="eastAsia" w:ascii="宋体" w:hAnsi="宋体"/>
          <w:b/>
          <w:color w:val="auto"/>
          <w:highlight w:val="none"/>
          <w:u w:val="single"/>
        </w:rPr>
      </w:pPr>
      <w:r>
        <w:rPr>
          <w:rFonts w:hint="eastAsia" w:ascii="宋体" w:hAnsi="宋体"/>
          <w:b/>
          <w:color w:val="auto"/>
          <w:highlight w:val="none"/>
        </w:rPr>
        <w:t>承包人（全称）：</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p>
    <w:p w14:paraId="41CE429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为了确保实现</w:t>
      </w:r>
      <w:r>
        <w:rPr>
          <w:rFonts w:hint="eastAsia" w:ascii="宋体" w:hAnsi="宋体"/>
          <w:color w:val="auto"/>
          <w:highlight w:val="none"/>
          <w:u w:val="single"/>
        </w:rPr>
        <w:t xml:space="preserve">        </w:t>
      </w:r>
      <w:r>
        <w:rPr>
          <w:rFonts w:hint="eastAsia" w:ascii="宋体" w:hAnsi="宋体"/>
          <w:color w:val="auto"/>
          <w:highlight w:val="none"/>
        </w:rPr>
        <w:t>安全生产目标，进一步明确双方的安全管理责任，加强安全生产管理工作的协调、管理力度，</w:t>
      </w:r>
      <w:r>
        <w:rPr>
          <w:rFonts w:hint="eastAsia" w:ascii="宋体" w:hAnsi="宋体"/>
          <w:color w:val="auto"/>
          <w:highlight w:val="none"/>
          <w:u w:val="single"/>
        </w:rPr>
        <w:t xml:space="preserve">        </w:t>
      </w:r>
      <w:r>
        <w:rPr>
          <w:rFonts w:hint="eastAsia" w:ascii="宋体" w:hAnsi="宋体"/>
          <w:color w:val="auto"/>
          <w:highlight w:val="none"/>
        </w:rPr>
        <w:t>（以下简称“发包人”）与</w:t>
      </w:r>
      <w:r>
        <w:rPr>
          <w:rFonts w:hint="eastAsia" w:ascii="宋体" w:hAnsi="宋体"/>
          <w:color w:val="auto"/>
          <w:highlight w:val="none"/>
          <w:u w:val="single"/>
        </w:rPr>
        <w:t xml:space="preserve">        </w:t>
      </w:r>
      <w:r>
        <w:rPr>
          <w:rFonts w:hint="eastAsia" w:ascii="宋体" w:hAnsi="宋体"/>
          <w:color w:val="auto"/>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2E8B4771">
      <w:pPr>
        <w:spacing w:line="360" w:lineRule="auto"/>
        <w:ind w:firstLine="420" w:firstLineChars="200"/>
        <w:rPr>
          <w:rFonts w:hint="eastAsia" w:ascii="宋体" w:hAnsi="宋体"/>
          <w:color w:val="auto"/>
          <w:highlight w:val="none"/>
        </w:rPr>
      </w:pPr>
      <w:r>
        <w:rPr>
          <w:rFonts w:hint="eastAsia" w:ascii="宋体" w:hAnsi="宋体"/>
          <w:color w:val="auto"/>
          <w:highlight w:val="none"/>
        </w:rPr>
        <w:t>一、协议有效期限</w:t>
      </w:r>
    </w:p>
    <w:p w14:paraId="5A7A25B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本协议中所涉及的安全管理责任自合同签订之日起开始生效，至合同工程全部完工验收且经发包人与承包人签订移交协议生效后之日终止。</w:t>
      </w:r>
    </w:p>
    <w:p w14:paraId="1A200542">
      <w:pPr>
        <w:spacing w:line="360" w:lineRule="auto"/>
        <w:ind w:firstLine="420" w:firstLineChars="200"/>
        <w:rPr>
          <w:rFonts w:hint="eastAsia" w:ascii="宋体" w:hAnsi="宋体"/>
          <w:color w:val="auto"/>
          <w:highlight w:val="none"/>
        </w:rPr>
      </w:pPr>
      <w:r>
        <w:rPr>
          <w:rFonts w:hint="eastAsia" w:ascii="宋体" w:hAnsi="宋体"/>
          <w:color w:val="auto"/>
          <w:highlight w:val="none"/>
        </w:rPr>
        <w:t>二、责任目标</w:t>
      </w:r>
    </w:p>
    <w:p w14:paraId="6090984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（一）承包人承诺承担和履行合同和发包人所规定的安全责任，且满足要求。</w:t>
      </w:r>
    </w:p>
    <w:p w14:paraId="655F883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（二）承包人的安全控制目标是确保本工程在实施过程中：</w:t>
      </w:r>
    </w:p>
    <w:p w14:paraId="29C77A4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1．不发生人身重伤事故；</w:t>
      </w:r>
    </w:p>
    <w:p w14:paraId="4121ECE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2．不发生火灾事故；</w:t>
      </w:r>
    </w:p>
    <w:p w14:paraId="4660D34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3．不发生负有同等及以上事故责任的造成人身重伤的一般交通事故；</w:t>
      </w:r>
    </w:p>
    <w:p w14:paraId="00A2BD3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4．不发生集体食物中毒事件（同时5人及以上的食物中毒）；</w:t>
      </w:r>
    </w:p>
    <w:p w14:paraId="12FBFF5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5．不发生流行性传染病 （无甲型传染病、其他常见传染病未形成多人同时患病）；</w:t>
      </w:r>
    </w:p>
    <w:p w14:paraId="669CD60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6．不发生重大环境污染事件（生活、工业垃圾及其他污染物造成环境污染和大面积水土流失）；</w:t>
      </w:r>
    </w:p>
    <w:p w14:paraId="27032F9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7．不发生对施工区附近生产、生活造成重大影响的事件（如造成重大设备损坏、重大财产损失、人员伤害等）；</w:t>
      </w:r>
    </w:p>
    <w:p w14:paraId="4F079CB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8．不发生治安保卫事件（构成刑事拘留及以上的事件、盗窃直接损失超过1万元人民币的事件）。</w:t>
      </w:r>
    </w:p>
    <w:p w14:paraId="0BAC39C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（三）承包人承诺在施工中控制以下安全事故的发生：</w:t>
      </w:r>
    </w:p>
    <w:p w14:paraId="5A5B5AD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1．人员轻伤事故。</w:t>
      </w:r>
    </w:p>
    <w:p w14:paraId="3EBC997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2．负有同等及以上事故责任的人身轻伤交通事故。</w:t>
      </w:r>
    </w:p>
    <w:p w14:paraId="121AE55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3．其他安全未遂事故和异常事件。</w:t>
      </w:r>
    </w:p>
    <w:p w14:paraId="3B8DC000">
      <w:pPr>
        <w:spacing w:line="360" w:lineRule="auto"/>
        <w:ind w:firstLine="420" w:firstLineChars="200"/>
        <w:rPr>
          <w:rFonts w:hint="eastAsia" w:ascii="宋体" w:hAnsi="宋体"/>
          <w:color w:val="auto"/>
          <w:highlight w:val="none"/>
        </w:rPr>
      </w:pPr>
      <w:r>
        <w:rPr>
          <w:rFonts w:hint="eastAsia" w:ascii="宋体" w:hAnsi="宋体"/>
          <w:color w:val="auto"/>
          <w:highlight w:val="none"/>
        </w:rPr>
        <w:t>三、安全责任</w:t>
      </w:r>
    </w:p>
    <w:p w14:paraId="7525755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1．承包人负有安全生产的管理责任和直接责任。</w:t>
      </w:r>
    </w:p>
    <w:p w14:paraId="4C90004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2．承包人的法人或签署合同的公司总经理或受委托的代理人对合同安全负有全面的领导责任。</w:t>
      </w:r>
    </w:p>
    <w:p w14:paraId="26FA3E3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3．承包人项目经理对施工现场的安全工作负有全面的直接领导责任。</w:t>
      </w:r>
    </w:p>
    <w:p w14:paraId="5E53401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4．承包人保证执行“谁施工、谁负责”的施工安全原则。</w:t>
      </w:r>
    </w:p>
    <w:p w14:paraId="7DB12E5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5．承包人保证服从发包人对安全工作的统一协调和管理。</w:t>
      </w:r>
    </w:p>
    <w:p w14:paraId="0970572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6．承包人保证对本工程项目安全生产条件及其管理资源自行投入，保证安全资金的专款专用。</w:t>
      </w:r>
    </w:p>
    <w:p w14:paraId="5167759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7．承包人保证建立本工程项目的安全管理体系及安全保证体系（注：项目安全管理大纲/手册、管理性的程序文件等）。</w:t>
      </w:r>
    </w:p>
    <w:p w14:paraId="27E7535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8．承包人保证现场的安全管理专职人员必须持有建设主管部门安全生产培训考核合格证书。</w:t>
      </w:r>
    </w:p>
    <w:p w14:paraId="0FA6AE7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9．承包人保证为现场所有工作人员（含分包商员工及劳务人员）配备符合国家标准的有承包人和/或其下属分包商标志的个人基本劳动保护用品。</w:t>
      </w:r>
    </w:p>
    <w:p w14:paraId="45A0D76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10．承包人保证按照国家法律规定为现场所有工作人员（含分包商员工及劳务人员）购买意外伤害保险。</w:t>
      </w:r>
    </w:p>
    <w:p w14:paraId="7547E13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11．承包人保证施工生活营地（包括自建的和租用的营地）满足消防、安全用电、卫生防疫、防暴雨、防雷击等方面的安全要求。</w:t>
      </w:r>
    </w:p>
    <w:p w14:paraId="36AB558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12．承包人保证对带入现场的设备、工具、材料按照国家法规和标准进行检测、试验，并持有法定部门出具的检验证书。</w:t>
      </w:r>
    </w:p>
    <w:p w14:paraId="558C1F0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13．承包人保证制订施工现场的文明施工措施，保护环境、树木和植被，保持施工现场的良好秩序和整洁的作业环境。</w:t>
      </w:r>
    </w:p>
    <w:p w14:paraId="40F47A4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14．承包人负责在施工过程中与当地政府、周边群众及其他承包商保持良好的沟通和交流。承包人遇到与周边群众发生纠纷时，应负责协调工作，确保工程能够顺利进行。</w:t>
      </w:r>
    </w:p>
    <w:p w14:paraId="08960301">
      <w:pPr>
        <w:spacing w:line="360" w:lineRule="auto"/>
        <w:ind w:firstLine="420" w:firstLineChars="200"/>
        <w:rPr>
          <w:rFonts w:hint="eastAsia" w:ascii="宋体" w:hAnsi="宋体"/>
          <w:color w:val="auto"/>
          <w:highlight w:val="none"/>
        </w:rPr>
      </w:pPr>
      <w:r>
        <w:rPr>
          <w:rFonts w:hint="eastAsia" w:ascii="宋体" w:hAnsi="宋体"/>
          <w:color w:val="auto"/>
          <w:highlight w:val="none"/>
        </w:rPr>
        <w:t>四、接口及协调</w:t>
      </w:r>
    </w:p>
    <w:p w14:paraId="39FB999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1．发包人委托监理公司对该工程实施监理，监理公司在安全管理方面代表发包人行使监督检查职能，承包人必须给予配合和支持。</w:t>
      </w:r>
    </w:p>
    <w:p w14:paraId="4826E6C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2．承包人人员、车辆的出入，带入现场的设备、机具、材料，在现场使用的或直接管理的办公、生活、生产性设施的安全管理须满足发包人现场管理的基本要求。</w:t>
      </w:r>
    </w:p>
    <w:p w14:paraId="227F675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286C08B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5A12F39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5．承包人指定的专职安全管理人员应与发包人委托的监理公司建立联系，在业务上接受发包人委托的监理公司的协调和指导。</w:t>
      </w:r>
    </w:p>
    <w:p w14:paraId="7FF2A42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6．开工后承包人的专职安全管理人员应按照发包人委托的监理公司的规定，定期报送安全月度快报、季报、年报和各种专项事故报告等。</w:t>
      </w:r>
    </w:p>
    <w:p w14:paraId="3650ADE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7．在工程实体未全部正式移交发包人施工管理部门之前，承包人依旧对施工范围内的安全管理负责。</w:t>
      </w:r>
    </w:p>
    <w:p w14:paraId="4800042E">
      <w:pPr>
        <w:spacing w:line="360" w:lineRule="auto"/>
        <w:ind w:firstLine="420" w:firstLineChars="200"/>
        <w:rPr>
          <w:rFonts w:hint="eastAsia" w:ascii="宋体" w:hAnsi="宋体"/>
          <w:color w:val="auto"/>
          <w:highlight w:val="none"/>
        </w:rPr>
      </w:pPr>
      <w:r>
        <w:rPr>
          <w:rFonts w:hint="eastAsia" w:ascii="宋体" w:hAnsi="宋体"/>
          <w:color w:val="auto"/>
          <w:highlight w:val="none"/>
        </w:rPr>
        <w:t>五、安全资质审查</w:t>
      </w:r>
    </w:p>
    <w:p w14:paraId="7A69B4A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承包人在项目开工前5个工作天内向发包人委托的监理公司提供以下安全资质供审查和存档：</w:t>
      </w:r>
    </w:p>
    <w:p w14:paraId="62D33DF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1．企业安全生产许可证书复印件。</w:t>
      </w:r>
    </w:p>
    <w:p w14:paraId="5344536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2．企业近三年的施工简历及安全施工业绩证明文件。</w:t>
      </w:r>
    </w:p>
    <w:p w14:paraId="5BF5041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3．企业主要安全管理人员（包括项目经理、专职安全管理人员）经建设主管部门安全生产知识考核合格证书。</w:t>
      </w:r>
    </w:p>
    <w:p w14:paraId="580579E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4．特种作业人员资格证书。</w:t>
      </w:r>
    </w:p>
    <w:p w14:paraId="34D23CF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5．项目安全管理机构及其人员配备（承包人必须配有专职的安全员）。</w:t>
      </w:r>
    </w:p>
    <w:p w14:paraId="3C1FD0C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6．适用于项目的安全管理体系及保证体系文件（安全管理大纲及管理程序文件）。</w:t>
      </w:r>
    </w:p>
    <w:p w14:paraId="5E3DB44A">
      <w:pPr>
        <w:spacing w:line="360" w:lineRule="auto"/>
        <w:ind w:firstLine="420" w:firstLineChars="200"/>
        <w:rPr>
          <w:rFonts w:hint="eastAsia" w:ascii="宋体" w:hAnsi="宋体"/>
          <w:color w:val="auto"/>
          <w:highlight w:val="none"/>
        </w:rPr>
      </w:pPr>
      <w:r>
        <w:rPr>
          <w:rFonts w:hint="eastAsia" w:ascii="宋体" w:hAnsi="宋体"/>
          <w:color w:val="auto"/>
          <w:highlight w:val="none"/>
        </w:rPr>
        <w:t>六、人员基本素质</w:t>
      </w:r>
    </w:p>
    <w:p w14:paraId="70360A1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承包人提供的人员必须满足下列要求：</w:t>
      </w:r>
    </w:p>
    <w:p w14:paraId="2C75B13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78E3B3D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2．无刑事案件牵连。</w:t>
      </w:r>
    </w:p>
    <w:p w14:paraId="4522434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3．无吸毒、酗酒、赌博、嫖娼等恶习及违法行为。</w:t>
      </w:r>
    </w:p>
    <w:p w14:paraId="29D688F7">
      <w:pPr>
        <w:spacing w:line="360" w:lineRule="auto"/>
        <w:ind w:firstLine="420" w:firstLineChars="200"/>
        <w:rPr>
          <w:rFonts w:hint="eastAsia" w:ascii="宋体" w:hAnsi="宋体"/>
          <w:color w:val="auto"/>
          <w:highlight w:val="none"/>
        </w:rPr>
      </w:pPr>
      <w:r>
        <w:rPr>
          <w:rFonts w:hint="eastAsia" w:ascii="宋体" w:hAnsi="宋体"/>
          <w:color w:val="auto"/>
          <w:highlight w:val="none"/>
        </w:rPr>
        <w:t>七、劳动保护</w:t>
      </w:r>
    </w:p>
    <w:p w14:paraId="38391F8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1．承包人负责为本单位任何用工形式的员工提供个人劳动保护用品（包括工作服、安全帽、安全鞋等）。</w:t>
      </w:r>
    </w:p>
    <w:p w14:paraId="4AB4952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2．承包人负责向特殊工种的员工提供特殊劳动保护，否则不得从事特殊工种作业。</w:t>
      </w:r>
    </w:p>
    <w:p w14:paraId="6F89E6D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3．发包人委托的监理公司有权检查承包人的个人劳动保护用品是否符合国家的相应标准。</w:t>
      </w:r>
    </w:p>
    <w:p w14:paraId="76DF422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 承包人在特殊风险场所作业而需要特殊防护用品或安全仪表时，必须在上述防护用品全部到位后才能开工。</w:t>
      </w:r>
    </w:p>
    <w:p w14:paraId="4DDC1EE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5．承包人应配备临时安全围栏、警示带、警告标志、防火布等集体防护用品。</w:t>
      </w:r>
    </w:p>
    <w:p w14:paraId="1BAFA5B4">
      <w:pPr>
        <w:spacing w:line="360" w:lineRule="auto"/>
        <w:ind w:firstLine="420" w:firstLineChars="200"/>
        <w:rPr>
          <w:rFonts w:hint="eastAsia" w:ascii="宋体" w:hAnsi="宋体"/>
          <w:color w:val="auto"/>
          <w:highlight w:val="none"/>
        </w:rPr>
      </w:pPr>
      <w:r>
        <w:rPr>
          <w:rFonts w:hint="eastAsia" w:ascii="宋体" w:hAnsi="宋体"/>
          <w:color w:val="auto"/>
          <w:highlight w:val="none"/>
        </w:rPr>
        <w:t>八、施工机具与材料</w:t>
      </w:r>
    </w:p>
    <w:p w14:paraId="71D72D5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1．承包人对带入现场的施工机械和工器具的安全负责。</w:t>
      </w:r>
    </w:p>
    <w:p w14:paraId="4EFAACA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2．对于承包人带入现场的特殊工器具，如起重设备、索具、机动车辆、压缩气瓶等，承包人必须按国家法规和标准进行检测、试验，并持有法定部门出具的检验证书。</w:t>
      </w:r>
    </w:p>
    <w:p w14:paraId="1721C1F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3．对于不属于法定检测的工器具，承包人也必须建立相应的管理、检测制度，这些工器具包括登高工具、脚手架材料、电动工具、安全防护设备及用具等。</w:t>
      </w:r>
    </w:p>
    <w:p w14:paraId="739E0337">
      <w:pPr>
        <w:spacing w:line="360" w:lineRule="auto"/>
        <w:ind w:firstLine="420" w:firstLineChars="200"/>
        <w:rPr>
          <w:rFonts w:hint="eastAsia" w:ascii="宋体" w:hAnsi="宋体"/>
          <w:color w:val="auto"/>
          <w:highlight w:val="none"/>
        </w:rPr>
      </w:pPr>
      <w:r>
        <w:rPr>
          <w:rFonts w:hint="eastAsia" w:ascii="宋体" w:hAnsi="宋体"/>
          <w:color w:val="auto"/>
          <w:highlight w:val="none"/>
        </w:rPr>
        <w:t>九、开工前安全条件检查</w:t>
      </w:r>
    </w:p>
    <w:p w14:paraId="625626B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6F1CA45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16953CA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1090A5ED">
      <w:pPr>
        <w:spacing w:line="360" w:lineRule="auto"/>
        <w:ind w:firstLine="420" w:firstLineChars="200"/>
        <w:rPr>
          <w:rFonts w:hint="eastAsia" w:ascii="宋体" w:hAnsi="宋体"/>
          <w:color w:val="auto"/>
          <w:highlight w:val="none"/>
        </w:rPr>
      </w:pPr>
      <w:r>
        <w:rPr>
          <w:rFonts w:hint="eastAsia" w:ascii="宋体" w:hAnsi="宋体"/>
          <w:color w:val="auto"/>
          <w:highlight w:val="none"/>
        </w:rPr>
        <w:t>十、安全监督</w:t>
      </w:r>
    </w:p>
    <w:p w14:paraId="10BDC4B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1．承包人应配备有满足项目安全管理需要的专职安全管理人员。</w:t>
      </w:r>
    </w:p>
    <w:p w14:paraId="7932D3E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2．承包人的专职安全管理人员必须持建设主管部门颁发的安全生产知识考核合格证书。</w:t>
      </w:r>
    </w:p>
    <w:p w14:paraId="40F67AB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3．承包人的专职安全管理人员在业务上接受发包人委托的监理公司和发包人安全管理部门的协调和指导。</w:t>
      </w:r>
    </w:p>
    <w:p w14:paraId="787F9FF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4．承包人应建立班前安全交底制度；施工期间坚持开展安全检查和日常安全监督并形成相应的记录。</w:t>
      </w:r>
    </w:p>
    <w:p w14:paraId="1940DF8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5．承包人应在每个作业区任命兼职安全员，赋予兼职安全员相应的授权和义务，并对兼职安全员进行定期考核。</w:t>
      </w:r>
    </w:p>
    <w:p w14:paraId="7EC7650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6．承包人应接受和配合发包人专业部门及委托的监理公司的监督与安全评价。</w:t>
      </w:r>
    </w:p>
    <w:p w14:paraId="03E357B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436FECCE">
      <w:pPr>
        <w:spacing w:line="360" w:lineRule="auto"/>
        <w:ind w:firstLine="420" w:firstLineChars="200"/>
        <w:rPr>
          <w:rFonts w:hint="eastAsia" w:ascii="宋体" w:hAnsi="宋体"/>
          <w:color w:val="auto"/>
          <w:highlight w:val="none"/>
        </w:rPr>
      </w:pPr>
      <w:r>
        <w:rPr>
          <w:rFonts w:hint="eastAsia" w:ascii="宋体" w:hAnsi="宋体"/>
          <w:color w:val="auto"/>
          <w:highlight w:val="none"/>
        </w:rPr>
        <w:t>十一、安全培训与授权</w:t>
      </w:r>
    </w:p>
    <w:p w14:paraId="6957675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4C3D584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2．承包人应在特殊工种之外的其他工种中，筛选出高风险工种，并对其开展针对性的专题安全培训。</w:t>
      </w:r>
    </w:p>
    <w:p w14:paraId="14D2F60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3．承包人应组织 “入场培训”和考核。发包人委托的监理公司有权监督培训、考核情况或组织抽查考核。</w:t>
      </w:r>
    </w:p>
    <w:p w14:paraId="32AC720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4．承包人应建立安全培训和考核机制，编制培训教材和培训滚动计划。承包人应组织安全考试/考核，建立培训考核记录，发包人委托的监理公司有权查看这些记录。</w:t>
      </w:r>
    </w:p>
    <w:p w14:paraId="54E2A710">
      <w:pPr>
        <w:spacing w:line="360" w:lineRule="auto"/>
        <w:ind w:firstLine="420" w:firstLineChars="200"/>
        <w:rPr>
          <w:rFonts w:hint="eastAsia" w:ascii="宋体" w:hAnsi="宋体"/>
          <w:color w:val="auto"/>
          <w:highlight w:val="none"/>
        </w:rPr>
      </w:pPr>
      <w:r>
        <w:rPr>
          <w:rFonts w:hint="eastAsia" w:ascii="宋体" w:hAnsi="宋体"/>
          <w:color w:val="auto"/>
          <w:highlight w:val="none"/>
        </w:rPr>
        <w:t>十二、职业健康与卫生防疫</w:t>
      </w:r>
    </w:p>
    <w:p w14:paraId="1879E1A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28EEF24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2．承包人应保证卫生防疫基本设施的投入，以满足医疗、急救的要求，建立外部医疗支持渠道。</w:t>
      </w:r>
    </w:p>
    <w:p w14:paraId="0D1E417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3A800CF0">
      <w:pPr>
        <w:spacing w:line="360" w:lineRule="auto"/>
        <w:ind w:firstLine="420" w:firstLineChars="200"/>
        <w:rPr>
          <w:rFonts w:hint="eastAsia" w:ascii="宋体" w:hAnsi="宋体"/>
          <w:color w:val="auto"/>
          <w:highlight w:val="none"/>
        </w:rPr>
      </w:pPr>
      <w:r>
        <w:rPr>
          <w:rFonts w:hint="eastAsia" w:ascii="宋体" w:hAnsi="宋体"/>
          <w:color w:val="auto"/>
          <w:highlight w:val="none"/>
        </w:rPr>
        <w:t>十三、文明施工与环保要求</w:t>
      </w:r>
    </w:p>
    <w:p w14:paraId="07DE176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1．承包人需制订施工现场的文明施工措施，保持良好的施工现场秩序。施工现场的物料堆放要摆放整齐，安全标志和宣传标志要清楚醒目，废料、废物要分类收集，安全通道要畅通。</w:t>
      </w:r>
    </w:p>
    <w:p w14:paraId="2BBFD11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2．承包人作业时应避免建筑材料抛洒、飞扬、流淌；应尽可能降低噪音、震动。</w:t>
      </w:r>
    </w:p>
    <w:p w14:paraId="489BB10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3．承包人应根据实际需要，在施工现场布置临时卫生设施（洗手间、卫生间等），施工作业不破坏环境卫生，不污染现场环境。</w:t>
      </w:r>
    </w:p>
    <w:p w14:paraId="72C28A0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4．承包人在施工中应充分重视对环境的保护，保护绿色植被，保护古树。施工如需伤害古树，必须报告发包人委托的监理公司，在未得到指令前，禁止擅自伤害古树。</w:t>
      </w:r>
    </w:p>
    <w:p w14:paraId="78F1C6D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1C266A9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6．承包人在施工中应禁止向环境，排放工业污水、生活污水、废油或其他有害物质。</w:t>
      </w:r>
    </w:p>
    <w:p w14:paraId="2022F3B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5F80F557">
      <w:pPr>
        <w:spacing w:line="360" w:lineRule="auto"/>
        <w:ind w:firstLine="420" w:firstLineChars="200"/>
        <w:rPr>
          <w:rFonts w:hint="eastAsia" w:ascii="宋体" w:hAnsi="宋体"/>
          <w:color w:val="auto"/>
          <w:highlight w:val="none"/>
        </w:rPr>
      </w:pPr>
      <w:r>
        <w:rPr>
          <w:rFonts w:hint="eastAsia" w:ascii="宋体" w:hAnsi="宋体"/>
          <w:color w:val="auto"/>
          <w:highlight w:val="none"/>
        </w:rPr>
        <w:t>十四、工程风险管理与事故预防</w:t>
      </w:r>
    </w:p>
    <w:p w14:paraId="33440D0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（一）基本要求</w:t>
      </w:r>
    </w:p>
    <w:p w14:paraId="0689350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1．承包人应对施工过程进行全面、深入的危险源识别和风险分析。在施工安全组织设计中提供危险源及重要危险源清单、作业风险分析报告，该报告应包括（但不限于）如下信息：</w:t>
      </w:r>
    </w:p>
    <w:p w14:paraId="7B1EE2E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（1）高风险作业和工种清单：作业名称、类别和数量、主要事故风险。</w:t>
      </w:r>
    </w:p>
    <w:p w14:paraId="3B2F6A7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（2）施工能源和机械的种类、数量和主要事故风险。</w:t>
      </w:r>
    </w:p>
    <w:p w14:paraId="3AF09EC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（3）施工作业条件的类型和主要事故风险。</w:t>
      </w:r>
    </w:p>
    <w:p w14:paraId="0007DAA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（4）主要工艺过程（或施工活动）的类别及其相关的事故风险。</w:t>
      </w:r>
    </w:p>
    <w:p w14:paraId="41AB086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（5）主要火灾危险（可燃物、点火源）。</w:t>
      </w:r>
    </w:p>
    <w:p w14:paraId="2C3A0FC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（6）主要自然灾害（洪水、大风、雷暴、暴雨、地质灾害等）。</w:t>
      </w:r>
    </w:p>
    <w:p w14:paraId="5EF7A7B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（7）主要环境保护事件（有害垃圾、机械的跑冒滴漏、原材料流失、水土流失等）。</w:t>
      </w:r>
    </w:p>
    <w:p w14:paraId="349C376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（8）其他。</w:t>
      </w:r>
    </w:p>
    <w:p w14:paraId="258CFDF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2．承包人应针对识别出的危险源制定有针对性的事故预防措施并确保在施工中得到有效落实。</w:t>
      </w:r>
    </w:p>
    <w:p w14:paraId="187DEEC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3．承包人应建立日常施工活动的动态作业风险分析和安全交底制度。该制度应明确规定风险分析的方法、责任和交底的内容、时间及记录。</w:t>
      </w:r>
    </w:p>
    <w:p w14:paraId="7121DA6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（二）现场作业基本安全条件</w:t>
      </w:r>
    </w:p>
    <w:p w14:paraId="742E91E0">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53C1F6F5">
      <w:pPr>
        <w:spacing w:line="360" w:lineRule="auto"/>
        <w:ind w:firstLine="420" w:firstLineChars="200"/>
        <w:rPr>
          <w:rFonts w:hint="eastAsia" w:ascii="宋体" w:hAnsi="宋体"/>
          <w:color w:val="auto"/>
          <w:highlight w:val="none"/>
        </w:rPr>
      </w:pPr>
      <w:r>
        <w:rPr>
          <w:rFonts w:hint="eastAsia" w:ascii="宋体" w:hAnsi="宋体"/>
          <w:color w:val="auto"/>
          <w:highlight w:val="none"/>
        </w:rPr>
        <w:t>十五、事故报告与应急救援</w:t>
      </w:r>
    </w:p>
    <w:p w14:paraId="332733E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1．承包人应制定对于未遂事故及以上级别的安全事件和事故，定期报送安全月度快报、季报、年报和各种专项事故报告等。</w:t>
      </w:r>
    </w:p>
    <w:p w14:paraId="61A0069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2．承包人应建立安全事故统计记录、未遂事故统计记录、违章统计记录，并根据统计情况进行分析，并就分析结果制定相应的预防措施。</w:t>
      </w:r>
    </w:p>
    <w:p w14:paraId="50F8B80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3．承包人应建立事故应急救援机制，明确事故处置的基本原则，即现场发生事故时，首先抢救生命，向救援组织报警，并采取措施限制事故扩大。</w:t>
      </w:r>
    </w:p>
    <w:p w14:paraId="680F16E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4．承包人应建立相应的应急响应组织，以便能迅速处理突发意外。</w:t>
      </w:r>
    </w:p>
    <w:p w14:paraId="6284614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5．承包人应建立专项应急响应预案，包括重大人身伤亡事故的救护预案、火灾响应预案、“四防”预案（防风、防冻、防雷、防暴雨）、重大疫病防护预案、环境污染防护预案、地质灾害防护预案等。</w:t>
      </w:r>
    </w:p>
    <w:p w14:paraId="5C085E1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6．承包人应对应急预案进行适当演练，保证应急预案的可操作性。</w:t>
      </w:r>
    </w:p>
    <w:p w14:paraId="45D56A5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7．在工地的其他施工单位发生重大事故时，承包人应无条件立即配合、支持事故抢险。</w:t>
      </w:r>
    </w:p>
    <w:p w14:paraId="1418BF2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8．承包人必须为事故处置支付各项费用，包括受伤者的抚恤、补偿等费用，并按合同要求赔偿对发包人造成的损失。</w:t>
      </w:r>
    </w:p>
    <w:p w14:paraId="4961262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9．由于发包人原因而造成的事故，发包人应负责按事故的具体损失情况给予承包人经济赔偿。</w:t>
      </w:r>
    </w:p>
    <w:p w14:paraId="54A9231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10．涉及承包人员工的伤害事故，承包人除要报告发包人委托的监理公司外，还应负责按照国家、行业和本单位上级公司的要求，上报事故。</w:t>
      </w:r>
    </w:p>
    <w:p w14:paraId="0752A377">
      <w:pPr>
        <w:spacing w:line="360" w:lineRule="auto"/>
        <w:ind w:firstLine="420" w:firstLineChars="200"/>
        <w:rPr>
          <w:rFonts w:hint="eastAsia" w:ascii="宋体" w:hAnsi="宋体"/>
          <w:color w:val="auto"/>
          <w:highlight w:val="none"/>
        </w:rPr>
      </w:pPr>
      <w:r>
        <w:rPr>
          <w:rFonts w:hint="eastAsia" w:ascii="宋体" w:hAnsi="宋体"/>
          <w:color w:val="auto"/>
          <w:highlight w:val="none"/>
        </w:rPr>
        <w:t>十六、安全业绩考核</w:t>
      </w:r>
    </w:p>
    <w:p w14:paraId="28EB839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14:paraId="151B92B9">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68B336">
            <w:pPr>
              <w:spacing w:line="360" w:lineRule="auto"/>
              <w:ind w:firstLine="420" w:firstLineChars="200"/>
              <w:jc w:val="left"/>
              <w:rPr>
                <w:rFonts w:ascii="宋体" w:hAnsi="宋体"/>
                <w:color w:val="auto"/>
                <w:szCs w:val="21"/>
                <w:highlight w:val="none"/>
              </w:rPr>
            </w:pPr>
            <w:r>
              <w:rPr>
                <w:rFonts w:hint="eastAsia" w:ascii="宋体" w:hAnsi="宋体"/>
                <w:color w:val="auto"/>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22B98E6">
            <w:pPr>
              <w:spacing w:line="360" w:lineRule="auto"/>
              <w:ind w:firstLine="420" w:firstLineChars="200"/>
              <w:jc w:val="left"/>
              <w:rPr>
                <w:rFonts w:ascii="宋体" w:hAnsi="宋体"/>
                <w:color w:val="auto"/>
                <w:szCs w:val="21"/>
                <w:highlight w:val="none"/>
              </w:rPr>
            </w:pPr>
            <w:r>
              <w:rPr>
                <w:rFonts w:hint="eastAsia" w:ascii="宋体" w:hAnsi="宋体"/>
                <w:color w:val="auto"/>
                <w:highlight w:val="none"/>
              </w:rPr>
              <w:t>违约金额</w:t>
            </w:r>
          </w:p>
        </w:tc>
      </w:tr>
      <w:tr w14:paraId="1FC017BE">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330380">
            <w:pPr>
              <w:spacing w:line="360" w:lineRule="auto"/>
              <w:ind w:firstLine="420" w:firstLineChars="200"/>
              <w:jc w:val="left"/>
              <w:rPr>
                <w:rFonts w:ascii="宋体" w:hAnsi="宋体"/>
                <w:color w:val="auto"/>
                <w:szCs w:val="21"/>
                <w:highlight w:val="none"/>
              </w:rPr>
            </w:pPr>
            <w:r>
              <w:rPr>
                <w:rFonts w:hint="eastAsia" w:ascii="宋体" w:hAnsi="宋体"/>
                <w:color w:val="auto"/>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05D237AD">
            <w:pPr>
              <w:spacing w:line="360" w:lineRule="auto"/>
              <w:ind w:firstLine="420" w:firstLineChars="200"/>
              <w:jc w:val="left"/>
              <w:rPr>
                <w:rFonts w:ascii="宋体" w:hAnsi="宋体"/>
                <w:color w:val="auto"/>
                <w:szCs w:val="21"/>
                <w:highlight w:val="none"/>
              </w:rPr>
            </w:pPr>
            <w:r>
              <w:rPr>
                <w:rFonts w:hint="eastAsia" w:ascii="宋体" w:hAnsi="宋体"/>
                <w:color w:val="auto"/>
                <w:kern w:val="0"/>
                <w:highlight w:val="none"/>
              </w:rPr>
              <w:t>签约合同价</w:t>
            </w:r>
            <w:r>
              <w:rPr>
                <w:rFonts w:hint="eastAsia" w:ascii="宋体" w:hAnsi="宋体"/>
                <w:color w:val="auto"/>
                <w:highlight w:val="none"/>
              </w:rPr>
              <w:t>的0.5‰</w:t>
            </w:r>
          </w:p>
        </w:tc>
      </w:tr>
      <w:tr w14:paraId="01F5D196">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A21327">
            <w:pPr>
              <w:spacing w:line="360" w:lineRule="auto"/>
              <w:ind w:firstLine="420" w:firstLineChars="200"/>
              <w:jc w:val="left"/>
              <w:rPr>
                <w:rFonts w:ascii="宋体" w:hAnsi="宋体"/>
                <w:color w:val="auto"/>
                <w:szCs w:val="21"/>
                <w:highlight w:val="none"/>
              </w:rPr>
            </w:pPr>
            <w:r>
              <w:rPr>
                <w:rFonts w:hint="eastAsia" w:ascii="宋体" w:hAnsi="宋体"/>
                <w:color w:val="auto"/>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141F5D7D">
            <w:pPr>
              <w:spacing w:line="360" w:lineRule="auto"/>
              <w:ind w:firstLine="420" w:firstLineChars="200"/>
              <w:jc w:val="left"/>
              <w:rPr>
                <w:rFonts w:ascii="宋体" w:hAnsi="宋体"/>
                <w:color w:val="auto"/>
                <w:szCs w:val="21"/>
                <w:highlight w:val="none"/>
              </w:rPr>
            </w:pPr>
            <w:r>
              <w:rPr>
                <w:rFonts w:hint="eastAsia" w:ascii="宋体" w:hAnsi="宋体"/>
                <w:color w:val="auto"/>
                <w:highlight w:val="none"/>
              </w:rPr>
              <w:t>签约合同价的2‰</w:t>
            </w:r>
          </w:p>
        </w:tc>
      </w:tr>
      <w:tr w14:paraId="35F28D04">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D7399B">
            <w:pPr>
              <w:spacing w:line="360" w:lineRule="auto"/>
              <w:ind w:firstLine="420" w:firstLineChars="200"/>
              <w:jc w:val="left"/>
              <w:rPr>
                <w:rFonts w:ascii="宋体" w:hAnsi="宋体"/>
                <w:color w:val="auto"/>
                <w:szCs w:val="21"/>
                <w:highlight w:val="none"/>
              </w:rPr>
            </w:pPr>
            <w:r>
              <w:rPr>
                <w:rFonts w:hint="eastAsia" w:ascii="宋体" w:hAnsi="宋体"/>
                <w:color w:val="auto"/>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2162312E">
            <w:pPr>
              <w:spacing w:line="360" w:lineRule="auto"/>
              <w:ind w:firstLine="420" w:firstLineChars="200"/>
              <w:jc w:val="left"/>
              <w:rPr>
                <w:rFonts w:ascii="宋体" w:hAnsi="宋体"/>
                <w:color w:val="auto"/>
                <w:szCs w:val="21"/>
                <w:highlight w:val="none"/>
              </w:rPr>
            </w:pPr>
            <w:r>
              <w:rPr>
                <w:rFonts w:hint="eastAsia" w:ascii="宋体" w:hAnsi="宋体"/>
                <w:color w:val="auto"/>
                <w:highlight w:val="none"/>
              </w:rPr>
              <w:t>签约合同价的4‰</w:t>
            </w:r>
          </w:p>
        </w:tc>
      </w:tr>
    </w:tbl>
    <w:p w14:paraId="06BEA123">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（1）较大事故，是指造成3人以上10人以下死亡，或者10人以上50人以下重伤，或者1000万元以上5000万元以下直接经济损失的事故；</w:t>
      </w:r>
    </w:p>
    <w:p w14:paraId="04FB89B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（2）重大事故，是指造成10人以上30人以下死亡，或者50人以上100人以下重伤，或者5000万元以上1亿元以下直接经济损失的事故；</w:t>
      </w:r>
    </w:p>
    <w:p w14:paraId="5A3B390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（3）特别重大事故，是指造成30人以上死亡，或者100人以上重伤（包括急性工业中毒，下同），或者1亿元以上直接经济损失的事故；</w:t>
      </w:r>
    </w:p>
    <w:p w14:paraId="6B06E2B8">
      <w:pPr>
        <w:spacing w:line="273" w:lineRule="auto"/>
        <w:ind w:firstLine="420" w:firstLineChars="200"/>
        <w:jc w:val="left"/>
        <w:rPr>
          <w:rFonts w:hint="eastAsia" w:ascii="宋体" w:hAnsi="宋体"/>
          <w:color w:val="auto"/>
          <w:highlight w:val="none"/>
        </w:rPr>
      </w:pPr>
      <w:r>
        <w:rPr>
          <w:rFonts w:hint="eastAsia" w:ascii="宋体" w:hAnsi="宋体"/>
          <w:color w:val="auto"/>
          <w:highlight w:val="none"/>
        </w:rPr>
        <w:t>（4）所称的“以上”包括本数，所称的“以下”不包括本数。</w:t>
      </w:r>
    </w:p>
    <w:p w14:paraId="0D5B9B15">
      <w:pPr>
        <w:spacing w:line="273" w:lineRule="auto"/>
        <w:ind w:firstLine="420" w:firstLineChars="200"/>
        <w:jc w:val="left"/>
        <w:rPr>
          <w:rFonts w:hint="eastAsia" w:ascii="宋体" w:hAnsi="宋体"/>
          <w:color w:val="auto"/>
          <w:highlight w:val="none"/>
        </w:rPr>
      </w:pPr>
      <w:r>
        <w:rPr>
          <w:rFonts w:hint="eastAsia" w:ascii="宋体" w:hAnsi="宋体"/>
          <w:color w:val="auto"/>
          <w:highlight w:val="none"/>
        </w:rPr>
        <w:t>（5）如整个施工过程未发生以上安全事故，则给予承包人建安费总额的1‰的安全奖励。</w:t>
      </w:r>
    </w:p>
    <w:p w14:paraId="2452A270">
      <w:pPr>
        <w:spacing w:line="273"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30129C1A">
      <w:pPr>
        <w:spacing w:line="273" w:lineRule="auto"/>
        <w:ind w:firstLine="420" w:firstLineChars="200"/>
        <w:rPr>
          <w:rFonts w:hint="eastAsia" w:ascii="宋体" w:hAnsi="宋体"/>
          <w:color w:val="auto"/>
          <w:highlight w:val="none"/>
        </w:rPr>
      </w:pPr>
      <w:r>
        <w:rPr>
          <w:rFonts w:hint="eastAsia" w:ascii="宋体" w:hAnsi="宋体"/>
          <w:color w:val="auto"/>
          <w:highlight w:val="none"/>
        </w:rPr>
        <w:t>十七、协议条款的修订</w:t>
      </w:r>
    </w:p>
    <w:p w14:paraId="5E9728FB">
      <w:pPr>
        <w:spacing w:line="273" w:lineRule="auto"/>
        <w:ind w:firstLine="420" w:firstLineChars="200"/>
        <w:jc w:val="left"/>
        <w:rPr>
          <w:rFonts w:hint="eastAsia" w:ascii="宋体" w:hAnsi="宋体"/>
          <w:color w:val="auto"/>
          <w:highlight w:val="none"/>
        </w:rPr>
      </w:pPr>
      <w:r>
        <w:rPr>
          <w:rFonts w:hint="eastAsia" w:ascii="宋体" w:hAnsi="宋体"/>
          <w:color w:val="auto"/>
          <w:highlight w:val="none"/>
        </w:rPr>
        <w:t>在项目实施过程中，经双方友好协商，本协议的有关条款也可做出相应的修改。</w:t>
      </w:r>
    </w:p>
    <w:p w14:paraId="4FFA5301">
      <w:pPr>
        <w:spacing w:line="273" w:lineRule="auto"/>
        <w:ind w:firstLine="420" w:firstLineChars="200"/>
        <w:jc w:val="left"/>
        <w:rPr>
          <w:rFonts w:hint="eastAsia" w:ascii="宋体" w:hAnsi="宋体"/>
          <w:color w:val="auto"/>
          <w:highlight w:val="none"/>
        </w:rPr>
      </w:pPr>
      <w:r>
        <w:rPr>
          <w:rFonts w:hint="eastAsia" w:ascii="宋体" w:hAnsi="宋体"/>
          <w:color w:val="auto"/>
          <w:highlight w:val="none"/>
        </w:rPr>
        <w:t>本工程安全管理协议，由发包人、承包人双方在施工承包合同签订后7天内共同签署，作为施工合同附件。</w:t>
      </w:r>
    </w:p>
    <w:p w14:paraId="713A059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发  包  人（单位公章）：</w:t>
      </w:r>
      <w:r>
        <w:rPr>
          <w:rFonts w:hint="eastAsia" w:ascii="宋体" w:hAnsi="宋体"/>
          <w:color w:val="auto"/>
          <w:highlight w:val="none"/>
          <w:u w:val="single"/>
        </w:rPr>
        <w:t xml:space="preserve">                   </w:t>
      </w:r>
    </w:p>
    <w:p w14:paraId="15364F9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法定代表人（签名）：</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53DBC63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或其委托代理人（签名）：</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E2F6E6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 </w:t>
      </w:r>
    </w:p>
    <w:p w14:paraId="5D5408D1">
      <w:pPr>
        <w:spacing w:line="360" w:lineRule="auto"/>
        <w:ind w:firstLine="420" w:firstLineChars="200"/>
        <w:jc w:val="left"/>
        <w:rPr>
          <w:rFonts w:hint="eastAsia" w:ascii="宋体" w:hAnsi="宋体"/>
          <w:color w:val="auto"/>
          <w:kern w:val="0"/>
          <w:highlight w:val="none"/>
        </w:rPr>
      </w:pPr>
      <w:r>
        <w:rPr>
          <w:rFonts w:hint="eastAsia" w:ascii="宋体" w:hAnsi="宋体"/>
          <w:color w:val="auto"/>
          <w:highlight w:val="none"/>
        </w:rPr>
        <w:t>承  包  人（单位公章）：</w:t>
      </w:r>
      <w:r>
        <w:rPr>
          <w:rFonts w:hint="eastAsia" w:ascii="宋体" w:hAnsi="宋体"/>
          <w:color w:val="auto"/>
          <w:highlight w:val="none"/>
          <w:u w:val="single"/>
        </w:rPr>
        <w:t xml:space="preserve">                   </w:t>
      </w:r>
    </w:p>
    <w:p w14:paraId="0D951F0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法定代表人（签名）：</w:t>
      </w:r>
      <w:r>
        <w:rPr>
          <w:rFonts w:hint="eastAsia" w:ascii="宋体" w:hAnsi="宋体"/>
          <w:color w:val="auto"/>
          <w:highlight w:val="none"/>
          <w:u w:val="single"/>
        </w:rPr>
        <w:t xml:space="preserve">                       </w:t>
      </w:r>
    </w:p>
    <w:p w14:paraId="232B34B5">
      <w:pPr>
        <w:spacing w:line="360" w:lineRule="auto"/>
        <w:ind w:firstLine="420" w:firstLineChars="200"/>
        <w:jc w:val="left"/>
        <w:rPr>
          <w:rFonts w:hint="eastAsia" w:ascii="宋体" w:hAnsi="宋体"/>
          <w:color w:val="auto"/>
          <w:kern w:val="0"/>
          <w:highlight w:val="none"/>
        </w:rPr>
      </w:pPr>
      <w:r>
        <w:rPr>
          <w:rFonts w:hint="eastAsia" w:ascii="宋体" w:hAnsi="宋体"/>
          <w:color w:val="auto"/>
          <w:highlight w:val="none"/>
        </w:rPr>
        <w:t>或其委托代理人（签名）：</w:t>
      </w:r>
      <w:r>
        <w:rPr>
          <w:rFonts w:hint="eastAsia" w:ascii="宋体" w:hAnsi="宋体"/>
          <w:color w:val="auto"/>
          <w:highlight w:val="none"/>
          <w:u w:val="single"/>
        </w:rPr>
        <w:t xml:space="preserve">                   </w:t>
      </w:r>
    </w:p>
    <w:p w14:paraId="556EA3F5">
      <w:pPr>
        <w:spacing w:line="480" w:lineRule="auto"/>
        <w:rPr>
          <w:rFonts w:hint="eastAsia" w:ascii="宋体" w:hAnsi="宋体"/>
          <w:color w:val="auto"/>
          <w:highlight w:val="none"/>
        </w:rPr>
      </w:pPr>
      <w:r>
        <w:rPr>
          <w:rFonts w:hint="eastAsia" w:ascii="宋体" w:hAnsi="宋体"/>
          <w:color w:val="auto"/>
          <w:highlight w:val="none"/>
        </w:rPr>
        <w:t>附件10：</w:t>
      </w:r>
    </w:p>
    <w:p w14:paraId="035D645A">
      <w:pPr>
        <w:spacing w:beforeLines="50" w:afterLines="50" w:line="480" w:lineRule="auto"/>
        <w:jc w:val="center"/>
        <w:rPr>
          <w:rFonts w:hint="eastAsia" w:ascii="宋体" w:hAnsi="宋体"/>
          <w:color w:val="auto"/>
          <w:highlight w:val="none"/>
        </w:rPr>
      </w:pPr>
      <w:r>
        <w:rPr>
          <w:rFonts w:hint="eastAsia" w:ascii="宋体" w:hAnsi="宋体"/>
          <w:color w:val="auto"/>
          <w:highlight w:val="none"/>
        </w:rPr>
        <w:t>保障农民工工资支付协议</w:t>
      </w:r>
    </w:p>
    <w:p w14:paraId="4175BD12">
      <w:pPr>
        <w:snapToGrid w:val="0"/>
        <w:spacing w:line="480" w:lineRule="auto"/>
        <w:rPr>
          <w:rFonts w:hint="eastAsia" w:ascii="宋体" w:hAnsi="宋体"/>
          <w:color w:val="auto"/>
          <w:highlight w:val="none"/>
        </w:rPr>
      </w:pPr>
      <w:r>
        <w:rPr>
          <w:rFonts w:hint="eastAsia" w:ascii="宋体" w:hAnsi="宋体"/>
          <w:color w:val="auto"/>
          <w:highlight w:val="none"/>
        </w:rPr>
        <w:t xml:space="preserve"> 发包人：</w:t>
      </w:r>
      <w:r>
        <w:rPr>
          <w:rFonts w:hint="eastAsia" w:ascii="宋体" w:hAnsi="宋体"/>
          <w:color w:val="auto"/>
          <w:highlight w:val="none"/>
          <w:u w:val="single"/>
        </w:rPr>
        <w:t xml:space="preserve">                                 </w:t>
      </w:r>
      <w:r>
        <w:rPr>
          <w:rFonts w:hint="eastAsia" w:ascii="宋体" w:hAnsi="宋体"/>
          <w:color w:val="auto"/>
          <w:highlight w:val="none"/>
        </w:rPr>
        <w:t>（发包人）</w:t>
      </w:r>
    </w:p>
    <w:p w14:paraId="64E9A3C1">
      <w:pPr>
        <w:snapToGrid w:val="0"/>
        <w:spacing w:line="360" w:lineRule="auto"/>
        <w:rPr>
          <w:rFonts w:hint="eastAsia" w:ascii="宋体" w:hAnsi="宋体"/>
          <w:color w:val="auto"/>
          <w:highlight w:val="none"/>
        </w:rPr>
      </w:pPr>
      <w:r>
        <w:rPr>
          <w:rFonts w:hint="eastAsia" w:ascii="宋体" w:hAnsi="宋体"/>
          <w:color w:val="auto"/>
          <w:highlight w:val="none"/>
        </w:rPr>
        <w:t xml:space="preserve"> 承包人：</w:t>
      </w:r>
      <w:r>
        <w:rPr>
          <w:rFonts w:hint="eastAsia" w:ascii="宋体" w:hAnsi="宋体"/>
          <w:color w:val="auto"/>
          <w:highlight w:val="none"/>
          <w:u w:val="single"/>
        </w:rPr>
        <w:t xml:space="preserve">                                 </w:t>
      </w:r>
      <w:r>
        <w:rPr>
          <w:rFonts w:hint="eastAsia" w:ascii="宋体" w:hAnsi="宋体"/>
          <w:color w:val="auto"/>
          <w:highlight w:val="none"/>
        </w:rPr>
        <w:t>（承包人）</w:t>
      </w:r>
    </w:p>
    <w:p w14:paraId="79ED6462">
      <w:pPr>
        <w:spacing w:line="360" w:lineRule="auto"/>
        <w:ind w:firstLine="420" w:firstLineChars="200"/>
        <w:rPr>
          <w:rFonts w:hint="eastAsia" w:ascii="宋体" w:hAnsi="宋体"/>
          <w:color w:val="auto"/>
          <w:highlight w:val="none"/>
        </w:rPr>
      </w:pPr>
      <w:r>
        <w:rPr>
          <w:rFonts w:hint="eastAsia" w:ascii="宋体" w:hAnsi="宋体"/>
          <w:color w:val="auto"/>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0B9303BC">
      <w:pPr>
        <w:spacing w:line="360" w:lineRule="auto"/>
        <w:ind w:firstLine="420" w:firstLineChars="200"/>
        <w:rPr>
          <w:rFonts w:hint="eastAsia" w:ascii="宋体" w:hAnsi="宋体"/>
          <w:color w:val="auto"/>
          <w:highlight w:val="none"/>
        </w:rPr>
      </w:pPr>
      <w:r>
        <w:rPr>
          <w:rFonts w:hint="eastAsia" w:ascii="宋体" w:hAnsi="宋体"/>
          <w:color w:val="auto"/>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1A33DA5A">
      <w:pPr>
        <w:spacing w:line="360" w:lineRule="auto"/>
        <w:ind w:firstLine="420" w:firstLineChars="200"/>
        <w:rPr>
          <w:rFonts w:hint="eastAsia" w:ascii="宋体" w:hAnsi="宋体"/>
          <w:color w:val="auto"/>
          <w:highlight w:val="none"/>
        </w:rPr>
      </w:pPr>
      <w:r>
        <w:rPr>
          <w:rFonts w:hint="eastAsia" w:ascii="宋体" w:hAnsi="宋体"/>
          <w:color w:val="auto"/>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2A04E410">
      <w:pPr>
        <w:spacing w:line="360" w:lineRule="auto"/>
        <w:ind w:firstLine="420" w:firstLineChars="200"/>
        <w:rPr>
          <w:rFonts w:hint="eastAsia" w:ascii="宋体" w:hAnsi="宋体"/>
          <w:color w:val="auto"/>
          <w:highlight w:val="none"/>
        </w:rPr>
      </w:pPr>
      <w:r>
        <w:rPr>
          <w:rFonts w:hint="eastAsia" w:ascii="宋体" w:hAnsi="宋体"/>
          <w:color w:val="auto"/>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5EBBF5ED">
      <w:pPr>
        <w:spacing w:line="360" w:lineRule="auto"/>
        <w:ind w:firstLine="420" w:firstLineChars="200"/>
        <w:rPr>
          <w:rFonts w:hint="eastAsia" w:ascii="宋体" w:hAnsi="宋体"/>
          <w:color w:val="auto"/>
          <w:highlight w:val="none"/>
        </w:rPr>
      </w:pPr>
      <w:r>
        <w:rPr>
          <w:rFonts w:hint="eastAsia" w:ascii="宋体" w:hAnsi="宋体"/>
          <w:color w:val="auto"/>
          <w:highlight w:val="none"/>
        </w:rPr>
        <w:t>四、若发现承包人有下列事项的，发包人在支付当期进度款时暂扣当期应支付进度款5%比例的款项。</w:t>
      </w:r>
    </w:p>
    <w:p w14:paraId="5CCEB10C">
      <w:pPr>
        <w:pStyle w:val="3"/>
        <w:rPr>
          <w:rFonts w:hint="eastAsia"/>
          <w:color w:val="auto"/>
          <w:highlight w:val="none"/>
        </w:rPr>
      </w:pPr>
      <w:r>
        <w:rPr>
          <w:rFonts w:hint="eastAsia"/>
          <w:color w:val="auto"/>
          <w:highlight w:val="none"/>
        </w:rPr>
        <w:t xml:space="preserve"> </w:t>
      </w:r>
    </w:p>
    <w:p w14:paraId="038727F4">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（一）现场检查发现项目存在拖欠农民工工资情况并经核查属实的；</w:t>
      </w:r>
    </w:p>
    <w:p w14:paraId="7D9F33C2">
      <w:pPr>
        <w:spacing w:line="360" w:lineRule="auto"/>
        <w:ind w:firstLine="420" w:firstLineChars="200"/>
        <w:rPr>
          <w:rFonts w:hint="eastAsia" w:ascii="宋体" w:hAnsi="宋体"/>
          <w:color w:val="auto"/>
          <w:highlight w:val="none"/>
        </w:rPr>
      </w:pPr>
      <w:r>
        <w:rPr>
          <w:rFonts w:hint="eastAsia" w:ascii="宋体" w:hAnsi="宋体"/>
          <w:color w:val="auto"/>
          <w:highlight w:val="none"/>
        </w:rPr>
        <w:t>（二）相关行政管理部门检查发现存在拖欠农民工工资情况并经核查属实的；</w:t>
      </w:r>
    </w:p>
    <w:p w14:paraId="46460FE0">
      <w:pPr>
        <w:pStyle w:val="3"/>
        <w:rPr>
          <w:rFonts w:hint="eastAsia"/>
          <w:color w:val="auto"/>
          <w:highlight w:val="none"/>
        </w:rPr>
      </w:pPr>
      <w:r>
        <w:rPr>
          <w:rFonts w:hint="eastAsia"/>
          <w:color w:val="auto"/>
          <w:highlight w:val="none"/>
        </w:rPr>
        <w:t xml:space="preserve"> </w:t>
      </w:r>
    </w:p>
    <w:p w14:paraId="07C420D6">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（三）有拖欠农民工工资投诉事项并经核查属实的。</w:t>
      </w:r>
    </w:p>
    <w:p w14:paraId="109AFBEB">
      <w:pPr>
        <w:pStyle w:val="3"/>
        <w:rPr>
          <w:rFonts w:hint="eastAsia"/>
          <w:color w:val="auto"/>
          <w:highlight w:val="none"/>
        </w:rPr>
      </w:pPr>
      <w:r>
        <w:rPr>
          <w:rFonts w:hint="eastAsia"/>
          <w:color w:val="auto"/>
          <w:highlight w:val="none"/>
        </w:rPr>
        <w:t xml:space="preserve"> </w:t>
      </w:r>
    </w:p>
    <w:p w14:paraId="066FFA63">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0318B4E5">
      <w:pPr>
        <w:spacing w:line="360" w:lineRule="auto"/>
        <w:ind w:firstLine="420" w:firstLineChars="200"/>
        <w:rPr>
          <w:rFonts w:hint="eastAsia" w:ascii="宋体" w:hAnsi="宋体"/>
          <w:color w:val="auto"/>
          <w:spacing w:val="-4"/>
          <w:kern w:val="0"/>
          <w:highlight w:val="none"/>
        </w:rPr>
      </w:pPr>
      <w:r>
        <w:rPr>
          <w:rFonts w:hint="eastAsia" w:ascii="宋体" w:hAnsi="宋体"/>
          <w:color w:val="auto"/>
          <w:highlight w:val="none"/>
        </w:rPr>
        <w:t>六、本协议经双方法定代表人或委托代理人签名并加盖单位公章后生效，履行完毕后自然失效。</w:t>
      </w:r>
    </w:p>
    <w:p w14:paraId="2C3F1DAD">
      <w:pPr>
        <w:spacing w:line="360" w:lineRule="auto"/>
        <w:ind w:firstLine="420" w:firstLineChars="200"/>
        <w:rPr>
          <w:rFonts w:hint="eastAsia" w:ascii="宋体" w:hAnsi="宋体"/>
          <w:color w:val="auto"/>
          <w:highlight w:val="none"/>
        </w:rPr>
      </w:pPr>
      <w:r>
        <w:rPr>
          <w:rFonts w:hint="eastAsia" w:ascii="宋体" w:hAnsi="宋体"/>
          <w:color w:val="auto"/>
          <w:highlight w:val="none"/>
        </w:rPr>
        <w:t>附件：</w:t>
      </w:r>
    </w:p>
    <w:p w14:paraId="45185DDB">
      <w:pPr>
        <w:spacing w:line="360" w:lineRule="auto"/>
        <w:ind w:firstLine="420" w:firstLineChars="200"/>
        <w:rPr>
          <w:rFonts w:hint="eastAsia" w:ascii="宋体" w:hAnsi="宋体"/>
          <w:color w:val="auto"/>
          <w:highlight w:val="none"/>
        </w:rPr>
      </w:pPr>
      <w:r>
        <w:rPr>
          <w:rFonts w:hint="eastAsia" w:ascii="宋体" w:hAnsi="宋体"/>
          <w:color w:val="auto"/>
          <w:highlight w:val="none"/>
        </w:rPr>
        <w:t>1、关于农民工工资发放情况的说明表</w:t>
      </w:r>
    </w:p>
    <w:p w14:paraId="5DCC1BEA">
      <w:pPr>
        <w:pStyle w:val="3"/>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371923BA">
      <w:pPr>
        <w:pStyle w:val="3"/>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47639CBF">
      <w:pPr>
        <w:pStyle w:val="3"/>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0A11E5C2">
      <w:pPr>
        <w:spacing w:line="360" w:lineRule="auto"/>
        <w:ind w:firstLine="420" w:firstLineChars="200"/>
        <w:rPr>
          <w:rFonts w:hint="eastAsia" w:ascii="宋体" w:hAnsi="宋体"/>
          <w:color w:val="auto"/>
          <w:highlight w:val="none"/>
        </w:rPr>
      </w:pPr>
      <w:r>
        <w:rPr>
          <w:rFonts w:hint="eastAsia" w:ascii="宋体" w:hAnsi="宋体"/>
          <w:color w:val="auto"/>
          <w:highlight w:val="none"/>
        </w:rPr>
        <w:t>（以下无正文）</w:t>
      </w:r>
    </w:p>
    <w:p w14:paraId="05160228">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23B16DC1">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1AAD821E">
      <w:pPr>
        <w:pStyle w:val="3"/>
        <w:spacing w:line="360" w:lineRule="auto"/>
        <w:rPr>
          <w:rFonts w:hint="eastAsia" w:ascii="宋体" w:hAnsi="宋体"/>
          <w:color w:val="auto"/>
          <w:highlight w:val="none"/>
        </w:rPr>
      </w:pPr>
      <w:r>
        <w:rPr>
          <w:rFonts w:hint="eastAsia" w:ascii="宋体" w:hAnsi="宋体"/>
          <w:color w:val="auto"/>
          <w:highlight w:val="none"/>
        </w:rPr>
        <w:t xml:space="preserve"> </w:t>
      </w:r>
    </w:p>
    <w:p w14:paraId="5C98FF99">
      <w:pPr>
        <w:spacing w:line="360" w:lineRule="auto"/>
        <w:rPr>
          <w:rFonts w:hint="eastAsia" w:ascii="宋体" w:hAnsi="宋体"/>
          <w:color w:val="auto"/>
          <w:highlight w:val="none"/>
        </w:rPr>
      </w:pPr>
      <w:r>
        <w:rPr>
          <w:rFonts w:hint="eastAsia" w:ascii="宋体" w:hAnsi="宋体"/>
          <w:color w:val="auto"/>
          <w:highlight w:val="none"/>
        </w:rPr>
        <w:t>发包人：</w:t>
      </w:r>
      <w:r>
        <w:rPr>
          <w:rFonts w:hint="eastAsia" w:ascii="宋体" w:hAnsi="宋体"/>
          <w:color w:val="auto"/>
          <w:highlight w:val="none"/>
          <w:u w:val="single"/>
        </w:rPr>
        <w:t xml:space="preserve">       </w:t>
      </w:r>
      <w:r>
        <w:rPr>
          <w:rFonts w:hint="eastAsia" w:ascii="宋体" w:hAnsi="宋体"/>
          <w:color w:val="auto"/>
          <w:highlight w:val="none"/>
        </w:rPr>
        <w:t>（发包人）</w:t>
      </w:r>
    </w:p>
    <w:p w14:paraId="35747809">
      <w:pPr>
        <w:spacing w:line="360" w:lineRule="auto"/>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p>
    <w:p w14:paraId="31C63EDC">
      <w:pPr>
        <w:spacing w:line="360" w:lineRule="auto"/>
        <w:rPr>
          <w:rFonts w:hint="eastAsia" w:ascii="宋体" w:hAnsi="宋体"/>
          <w:color w:val="auto"/>
          <w:highlight w:val="none"/>
        </w:rPr>
      </w:pPr>
      <w:r>
        <w:rPr>
          <w:rFonts w:hint="eastAsia" w:ascii="宋体" w:hAnsi="宋体"/>
          <w:color w:val="auto"/>
          <w:highlight w:val="none"/>
        </w:rPr>
        <w:t>或委托代理人：</w:t>
      </w:r>
      <w:r>
        <w:rPr>
          <w:rFonts w:hint="eastAsia" w:ascii="宋体" w:hAnsi="宋体"/>
          <w:color w:val="auto"/>
          <w:highlight w:val="none"/>
          <w:u w:val="single"/>
        </w:rPr>
        <w:t xml:space="preserve">       </w:t>
      </w:r>
    </w:p>
    <w:p w14:paraId="741FAE66">
      <w:pPr>
        <w:spacing w:line="360" w:lineRule="auto"/>
        <w:rPr>
          <w:rFonts w:hint="eastAsia"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u w:val="single"/>
        </w:rPr>
        <w:t xml:space="preserve">       </w:t>
      </w:r>
    </w:p>
    <w:p w14:paraId="74066A88">
      <w:pPr>
        <w:spacing w:line="360" w:lineRule="auto"/>
        <w:rPr>
          <w:rFonts w:hint="eastAsia" w:ascii="宋体" w:hAnsi="宋体"/>
          <w:color w:val="auto"/>
          <w:highlight w:val="none"/>
        </w:rPr>
      </w:pPr>
      <w:r>
        <w:rPr>
          <w:rFonts w:hint="eastAsia" w:ascii="宋体" w:hAnsi="宋体"/>
          <w:color w:val="auto"/>
          <w:highlight w:val="none"/>
        </w:rPr>
        <w:t xml:space="preserve"> </w:t>
      </w:r>
    </w:p>
    <w:p w14:paraId="1BA6277A">
      <w:pPr>
        <w:spacing w:line="360" w:lineRule="auto"/>
        <w:rPr>
          <w:rFonts w:hint="eastAsia" w:ascii="宋体" w:hAnsi="宋体"/>
          <w:color w:val="auto"/>
          <w:highlight w:val="none"/>
        </w:rPr>
      </w:pPr>
      <w:r>
        <w:rPr>
          <w:rFonts w:hint="eastAsia" w:ascii="宋体" w:hAnsi="宋体"/>
          <w:color w:val="auto"/>
          <w:highlight w:val="none"/>
        </w:rPr>
        <w:t xml:space="preserve"> </w:t>
      </w:r>
    </w:p>
    <w:p w14:paraId="344CECE8">
      <w:pPr>
        <w:spacing w:line="360" w:lineRule="auto"/>
        <w:rPr>
          <w:rFonts w:hint="eastAsia" w:ascii="宋体" w:hAnsi="宋体"/>
          <w:color w:val="auto"/>
          <w:highlight w:val="none"/>
        </w:rPr>
      </w:pPr>
      <w:r>
        <w:rPr>
          <w:rFonts w:hint="eastAsia" w:ascii="宋体" w:hAnsi="宋体"/>
          <w:color w:val="auto"/>
          <w:highlight w:val="none"/>
        </w:rPr>
        <w:t xml:space="preserve"> </w:t>
      </w:r>
    </w:p>
    <w:p w14:paraId="636309B9">
      <w:pPr>
        <w:spacing w:line="360" w:lineRule="auto"/>
        <w:rPr>
          <w:rFonts w:hint="eastAsia" w:ascii="宋体" w:hAnsi="宋体"/>
          <w:color w:val="auto"/>
          <w:highlight w:val="none"/>
        </w:rPr>
      </w:pPr>
      <w:r>
        <w:rPr>
          <w:rFonts w:hint="eastAsia" w:ascii="宋体" w:hAnsi="宋体"/>
          <w:color w:val="auto"/>
          <w:highlight w:val="none"/>
        </w:rPr>
        <w:t>承包人：</w:t>
      </w:r>
      <w:r>
        <w:rPr>
          <w:rFonts w:hint="eastAsia" w:ascii="宋体" w:hAnsi="宋体"/>
          <w:color w:val="auto"/>
          <w:highlight w:val="none"/>
          <w:u w:val="single"/>
        </w:rPr>
        <w:t xml:space="preserve">       </w:t>
      </w:r>
      <w:r>
        <w:rPr>
          <w:rFonts w:hint="eastAsia" w:ascii="宋体" w:hAnsi="宋体"/>
          <w:color w:val="auto"/>
          <w:highlight w:val="none"/>
        </w:rPr>
        <w:t>（承包人）</w:t>
      </w:r>
    </w:p>
    <w:p w14:paraId="55B9AD09">
      <w:pPr>
        <w:spacing w:line="360" w:lineRule="auto"/>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p>
    <w:p w14:paraId="206CBE57">
      <w:pPr>
        <w:spacing w:line="360" w:lineRule="auto"/>
        <w:rPr>
          <w:rFonts w:hint="eastAsia" w:ascii="宋体" w:hAnsi="宋体"/>
          <w:color w:val="auto"/>
          <w:highlight w:val="none"/>
        </w:rPr>
      </w:pPr>
      <w:r>
        <w:rPr>
          <w:rFonts w:hint="eastAsia" w:ascii="宋体" w:hAnsi="宋体"/>
          <w:color w:val="auto"/>
          <w:highlight w:val="none"/>
        </w:rPr>
        <w:t>或委托代理人：</w:t>
      </w:r>
      <w:r>
        <w:rPr>
          <w:rFonts w:hint="eastAsia" w:ascii="宋体" w:hAnsi="宋体"/>
          <w:color w:val="auto"/>
          <w:highlight w:val="none"/>
          <w:u w:val="single"/>
        </w:rPr>
        <w:t xml:space="preserve">       </w:t>
      </w:r>
    </w:p>
    <w:p w14:paraId="201F810B">
      <w:pPr>
        <w:spacing w:line="360" w:lineRule="auto"/>
        <w:rPr>
          <w:rFonts w:hint="eastAsia"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u w:val="single"/>
        </w:rPr>
        <w:t xml:space="preserve">       </w:t>
      </w:r>
    </w:p>
    <w:p w14:paraId="5B68000C">
      <w:pPr>
        <w:snapToGrid w:val="0"/>
        <w:spacing w:line="360" w:lineRule="auto"/>
        <w:ind w:firstLine="560"/>
        <w:rPr>
          <w:rFonts w:hint="eastAsia" w:ascii="宋体" w:hAnsi="宋体"/>
          <w:color w:val="auto"/>
          <w:highlight w:val="none"/>
        </w:rPr>
      </w:pPr>
      <w:r>
        <w:rPr>
          <w:rFonts w:hint="eastAsia" w:ascii="宋体" w:hAnsi="宋体"/>
          <w:color w:val="auto"/>
          <w:highlight w:val="none"/>
        </w:rPr>
        <w:t xml:space="preserve"> </w:t>
      </w:r>
    </w:p>
    <w:p w14:paraId="1F1B1385">
      <w:pPr>
        <w:spacing w:line="480" w:lineRule="auto"/>
        <w:rPr>
          <w:rFonts w:hint="eastAsia"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保障农民工工资支付协议附件1：</w:t>
      </w:r>
    </w:p>
    <w:p w14:paraId="705699C6">
      <w:pPr>
        <w:widowControl/>
        <w:snapToGrid w:val="0"/>
        <w:spacing w:after="100" w:afterAutospacing="1" w:line="480" w:lineRule="auto"/>
        <w:jc w:val="center"/>
        <w:rPr>
          <w:rFonts w:hint="eastAsia" w:ascii="宋体" w:hAnsi="宋体"/>
          <w:color w:val="auto"/>
          <w:highlight w:val="none"/>
        </w:rPr>
      </w:pPr>
      <w:r>
        <w:rPr>
          <w:rFonts w:hint="eastAsia" w:ascii="宋体" w:hAnsi="宋体"/>
          <w:color w:val="auto"/>
          <w:highlight w:val="none"/>
        </w:rPr>
        <w:t>关于农民工工资发放情况的说明表</w:t>
      </w:r>
    </w:p>
    <w:tbl>
      <w:tblPr>
        <w:tblStyle w:val="4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12AF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Borders>
              <w:top w:val="single" w:color="auto" w:sz="4" w:space="0"/>
              <w:left w:val="single" w:color="auto" w:sz="4" w:space="0"/>
              <w:bottom w:val="single" w:color="auto" w:sz="4" w:space="0"/>
              <w:right w:val="single" w:color="auto" w:sz="4" w:space="0"/>
            </w:tcBorders>
          </w:tcPr>
          <w:p w14:paraId="0C92E0BD">
            <w:pPr>
              <w:widowControl/>
              <w:snapToGrid w:val="0"/>
              <w:spacing w:after="100" w:afterAutospacing="1" w:line="400" w:lineRule="exact"/>
              <w:jc w:val="left"/>
              <w:rPr>
                <w:rFonts w:ascii="宋体" w:hAnsi="宋体"/>
                <w:color w:val="auto"/>
                <w:kern w:val="0"/>
                <w:szCs w:val="21"/>
                <w:highlight w:val="none"/>
              </w:rPr>
            </w:pPr>
            <w:r>
              <w:rPr>
                <w:rFonts w:hint="eastAsia" w:ascii="宋体" w:hAnsi="宋体"/>
                <w:color w:val="auto"/>
                <w:kern w:val="0"/>
                <w:highlight w:val="none"/>
              </w:rPr>
              <w:t>工程名称：</w:t>
            </w:r>
          </w:p>
        </w:tc>
      </w:tr>
      <w:tr w14:paraId="67BF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Borders>
              <w:top w:val="single" w:color="auto" w:sz="4" w:space="0"/>
              <w:left w:val="single" w:color="auto" w:sz="4" w:space="0"/>
              <w:bottom w:val="single" w:color="auto" w:sz="4" w:space="0"/>
              <w:right w:val="single" w:color="auto" w:sz="4" w:space="0"/>
            </w:tcBorders>
          </w:tcPr>
          <w:p w14:paraId="5E5A333A">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highlight w:val="none"/>
              </w:rPr>
              <w:t>施工单位：</w:t>
            </w:r>
          </w:p>
        </w:tc>
        <w:tc>
          <w:tcPr>
            <w:tcW w:w="6201" w:type="dxa"/>
            <w:tcBorders>
              <w:top w:val="single" w:color="auto" w:sz="4" w:space="0"/>
              <w:left w:val="single" w:color="auto" w:sz="4" w:space="0"/>
              <w:bottom w:val="single" w:color="auto" w:sz="4" w:space="0"/>
              <w:right w:val="single" w:color="auto" w:sz="4" w:space="0"/>
            </w:tcBorders>
          </w:tcPr>
          <w:p w14:paraId="16B86A90">
            <w:pPr>
              <w:widowControl/>
              <w:snapToGrid w:val="0"/>
              <w:spacing w:after="100" w:afterAutospacing="1" w:line="400" w:lineRule="exact"/>
              <w:rPr>
                <w:rFonts w:ascii="宋体" w:hAnsi="宋体"/>
                <w:color w:val="auto"/>
                <w:kern w:val="0"/>
                <w:szCs w:val="21"/>
                <w:highlight w:val="none"/>
              </w:rPr>
            </w:pPr>
          </w:p>
        </w:tc>
      </w:tr>
      <w:tr w14:paraId="3EEA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Borders>
              <w:top w:val="single" w:color="auto" w:sz="4" w:space="0"/>
              <w:left w:val="single" w:color="auto" w:sz="4" w:space="0"/>
              <w:bottom w:val="single" w:color="auto" w:sz="4" w:space="0"/>
              <w:right w:val="single" w:color="auto" w:sz="4" w:space="0"/>
            </w:tcBorders>
          </w:tcPr>
          <w:p w14:paraId="7EBFFF0A">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highlight w:val="none"/>
              </w:rPr>
              <w:t>监理单位：</w:t>
            </w:r>
          </w:p>
        </w:tc>
        <w:tc>
          <w:tcPr>
            <w:tcW w:w="6201" w:type="dxa"/>
            <w:tcBorders>
              <w:top w:val="single" w:color="auto" w:sz="4" w:space="0"/>
              <w:left w:val="single" w:color="auto" w:sz="4" w:space="0"/>
              <w:bottom w:val="single" w:color="auto" w:sz="4" w:space="0"/>
              <w:right w:val="single" w:color="auto" w:sz="4" w:space="0"/>
            </w:tcBorders>
          </w:tcPr>
          <w:p w14:paraId="0B33955E">
            <w:pPr>
              <w:widowControl/>
              <w:snapToGrid w:val="0"/>
              <w:spacing w:after="100" w:afterAutospacing="1" w:line="400" w:lineRule="exact"/>
              <w:rPr>
                <w:rFonts w:ascii="宋体" w:hAnsi="宋体"/>
                <w:color w:val="auto"/>
                <w:kern w:val="0"/>
                <w:szCs w:val="21"/>
                <w:highlight w:val="none"/>
              </w:rPr>
            </w:pPr>
          </w:p>
        </w:tc>
      </w:tr>
      <w:tr w14:paraId="2030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Borders>
              <w:top w:val="single" w:color="auto" w:sz="4" w:space="0"/>
              <w:left w:val="single" w:color="auto" w:sz="4" w:space="0"/>
              <w:bottom w:val="single" w:color="auto" w:sz="4" w:space="0"/>
              <w:right w:val="single" w:color="auto" w:sz="4" w:space="0"/>
            </w:tcBorders>
          </w:tcPr>
          <w:p w14:paraId="700F6A34">
            <w:pPr>
              <w:widowControl/>
              <w:snapToGrid w:val="0"/>
              <w:spacing w:after="100" w:afterAutospacing="1" w:line="400" w:lineRule="exact"/>
              <w:rPr>
                <w:rFonts w:ascii="宋体" w:hAnsi="宋体"/>
                <w:color w:val="auto"/>
                <w:kern w:val="0"/>
                <w:szCs w:val="21"/>
                <w:highlight w:val="none"/>
                <w:u w:val="single"/>
              </w:rPr>
            </w:pPr>
          </w:p>
          <w:p w14:paraId="6C0F987C">
            <w:pPr>
              <w:widowControl/>
              <w:snapToGrid w:val="0"/>
              <w:spacing w:after="100" w:afterAutospacing="1" w:line="400" w:lineRule="exact"/>
              <w:rPr>
                <w:rFonts w:hint="eastAsia" w:ascii="宋体" w:hAnsi="宋体"/>
                <w:color w:val="auto"/>
                <w:kern w:val="0"/>
                <w:highlight w:val="none"/>
              </w:rPr>
            </w:pPr>
            <w:r>
              <w:rPr>
                <w:rFonts w:hint="eastAsia" w:ascii="宋体" w:hAnsi="宋体"/>
                <w:color w:val="auto"/>
                <w:kern w:val="0"/>
                <w:highlight w:val="none"/>
              </w:rPr>
              <w:t>（项目业主单位名称）：</w:t>
            </w:r>
          </w:p>
          <w:p w14:paraId="53B3B26C">
            <w:pPr>
              <w:pStyle w:val="3"/>
              <w:rPr>
                <w:rFonts w:hint="eastAsia"/>
                <w:color w:val="auto"/>
                <w:highlight w:val="none"/>
              </w:rPr>
            </w:pPr>
          </w:p>
          <w:p w14:paraId="2A3EC537">
            <w:pPr>
              <w:widowControl/>
              <w:snapToGrid w:val="0"/>
              <w:spacing w:after="100" w:afterAutospacing="1" w:line="400" w:lineRule="exact"/>
              <w:rPr>
                <w:rFonts w:hint="eastAsia" w:ascii="宋体" w:hAnsi="宋体"/>
                <w:color w:val="auto"/>
                <w:kern w:val="0"/>
                <w:highlight w:val="none"/>
              </w:rPr>
            </w:pPr>
            <w:r>
              <w:rPr>
                <w:rFonts w:hint="eastAsia" w:ascii="宋体" w:hAnsi="宋体"/>
                <w:color w:val="auto"/>
                <w:kern w:val="0"/>
                <w:highlight w:val="none"/>
              </w:rPr>
              <w:t xml:space="preserve">    我单位负责承建的（工程名称）无拖欠农民工资的情况，贵单位先期支付我单位的工程款已优先用于支付了农民工工资，农民工工资全部按时足额进行了发放，请贵单位予以审核。</w:t>
            </w:r>
          </w:p>
          <w:p w14:paraId="144F55F8">
            <w:pPr>
              <w:pStyle w:val="3"/>
              <w:rPr>
                <w:rFonts w:hint="eastAsia"/>
                <w:color w:val="auto"/>
                <w:highlight w:val="none"/>
              </w:rPr>
            </w:pPr>
          </w:p>
          <w:p w14:paraId="5A033A8A">
            <w:pPr>
              <w:pStyle w:val="67"/>
              <w:ind w:firstLine="420"/>
              <w:rPr>
                <w:rFonts w:hint="eastAsia"/>
                <w:color w:val="auto"/>
                <w:highlight w:val="none"/>
              </w:rPr>
            </w:pPr>
          </w:p>
          <w:p w14:paraId="6D172128">
            <w:pPr>
              <w:widowControl/>
              <w:snapToGrid w:val="0"/>
              <w:spacing w:after="100" w:afterAutospacing="1" w:line="400" w:lineRule="exact"/>
              <w:ind w:firstLine="1260" w:firstLineChars="600"/>
              <w:rPr>
                <w:rFonts w:ascii="宋体" w:hAnsi="宋体"/>
                <w:color w:val="auto"/>
                <w:kern w:val="0"/>
                <w:szCs w:val="21"/>
                <w:highlight w:val="none"/>
                <w:u w:val="single"/>
              </w:rPr>
            </w:pPr>
            <w:r>
              <w:rPr>
                <w:rFonts w:hint="eastAsia" w:ascii="宋体" w:hAnsi="宋体"/>
                <w:color w:val="auto"/>
                <w:kern w:val="0"/>
                <w:highlight w:val="none"/>
              </w:rPr>
              <w:t>施工单位项目负责人签名（加盖项目章）：</w:t>
            </w:r>
            <w:r>
              <w:rPr>
                <w:rFonts w:hint="eastAsia" w:ascii="宋体" w:hAnsi="宋体"/>
                <w:color w:val="auto"/>
                <w:kern w:val="0"/>
                <w:highlight w:val="none"/>
                <w:u w:val="single"/>
              </w:rPr>
              <w:t xml:space="preserve">        </w:t>
            </w:r>
          </w:p>
        </w:tc>
      </w:tr>
      <w:tr w14:paraId="59BF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14:paraId="3437E66D">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highlight w:val="none"/>
              </w:rPr>
              <w:t>监理单位意见：</w:t>
            </w:r>
          </w:p>
        </w:tc>
        <w:tc>
          <w:tcPr>
            <w:tcW w:w="6201" w:type="dxa"/>
            <w:tcBorders>
              <w:top w:val="single" w:color="auto" w:sz="4" w:space="0"/>
              <w:left w:val="single" w:color="auto" w:sz="4" w:space="0"/>
              <w:bottom w:val="single" w:color="auto" w:sz="4" w:space="0"/>
              <w:right w:val="single" w:color="auto" w:sz="4" w:space="0"/>
            </w:tcBorders>
          </w:tcPr>
          <w:p w14:paraId="40E60D9B">
            <w:pPr>
              <w:widowControl/>
              <w:snapToGrid w:val="0"/>
              <w:spacing w:after="100" w:afterAutospacing="1" w:line="400" w:lineRule="exact"/>
              <w:rPr>
                <w:rFonts w:ascii="宋体" w:hAnsi="宋体"/>
                <w:color w:val="auto"/>
                <w:kern w:val="0"/>
                <w:szCs w:val="21"/>
                <w:highlight w:val="none"/>
                <w:u w:val="single"/>
              </w:rPr>
            </w:pPr>
          </w:p>
          <w:p w14:paraId="0276FA06">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highlight w:val="none"/>
              </w:rPr>
              <w:t xml:space="preserve">             总监签名并加盖项目章：</w:t>
            </w:r>
            <w:r>
              <w:rPr>
                <w:rFonts w:hint="eastAsia" w:ascii="宋体" w:hAnsi="宋体"/>
                <w:color w:val="auto"/>
                <w:kern w:val="0"/>
                <w:highlight w:val="none"/>
                <w:u w:val="single"/>
              </w:rPr>
              <w:t xml:space="preserve">        </w:t>
            </w:r>
          </w:p>
        </w:tc>
      </w:tr>
      <w:tr w14:paraId="14F6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14:paraId="7F0F6195">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highlight w:val="none"/>
              </w:rPr>
              <w:t>工程部项目负责人意见：</w:t>
            </w:r>
          </w:p>
        </w:tc>
        <w:tc>
          <w:tcPr>
            <w:tcW w:w="6201" w:type="dxa"/>
            <w:tcBorders>
              <w:top w:val="single" w:color="auto" w:sz="4" w:space="0"/>
              <w:left w:val="single" w:color="auto" w:sz="4" w:space="0"/>
              <w:bottom w:val="single" w:color="auto" w:sz="4" w:space="0"/>
              <w:right w:val="single" w:color="auto" w:sz="4" w:space="0"/>
            </w:tcBorders>
          </w:tcPr>
          <w:p w14:paraId="66C7C2F0">
            <w:pPr>
              <w:widowControl/>
              <w:snapToGrid w:val="0"/>
              <w:spacing w:after="100" w:afterAutospacing="1" w:line="400" w:lineRule="exact"/>
              <w:rPr>
                <w:rFonts w:ascii="宋体" w:hAnsi="宋体"/>
                <w:color w:val="auto"/>
                <w:kern w:val="0"/>
                <w:szCs w:val="21"/>
                <w:highlight w:val="none"/>
                <w:u w:val="single"/>
              </w:rPr>
            </w:pPr>
          </w:p>
          <w:p w14:paraId="1C2F9C92">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highlight w:val="none"/>
              </w:rPr>
              <w:t xml:space="preserve">                   项目负责人签名：</w:t>
            </w:r>
            <w:r>
              <w:rPr>
                <w:rFonts w:hint="eastAsia" w:ascii="宋体" w:hAnsi="宋体"/>
                <w:color w:val="auto"/>
                <w:kern w:val="0"/>
                <w:highlight w:val="none"/>
                <w:u w:val="single"/>
              </w:rPr>
              <w:t xml:space="preserve">        </w:t>
            </w:r>
          </w:p>
        </w:tc>
      </w:tr>
    </w:tbl>
    <w:p w14:paraId="272995D2">
      <w:pPr>
        <w:rPr>
          <w:rFonts w:hint="eastAsia" w:ascii="宋体" w:hAnsi="宋体"/>
          <w:color w:val="auto"/>
          <w:sz w:val="24"/>
          <w:highlight w:val="none"/>
        </w:rPr>
      </w:pPr>
      <w:r>
        <w:rPr>
          <w:rFonts w:hint="eastAsia" w:ascii="宋体" w:hAnsi="宋体"/>
          <w:color w:val="auto"/>
          <w:sz w:val="24"/>
          <w:highlight w:val="none"/>
        </w:rPr>
        <w:br w:type="page"/>
      </w:r>
    </w:p>
    <w:p w14:paraId="3C25D449">
      <w:pPr>
        <w:spacing w:line="360" w:lineRule="auto"/>
        <w:rPr>
          <w:rFonts w:hint="eastAsia" w:ascii="宋体" w:hAnsi="宋体"/>
          <w:color w:val="auto"/>
          <w:szCs w:val="21"/>
          <w:highlight w:val="none"/>
        </w:rPr>
      </w:pPr>
      <w:r>
        <w:rPr>
          <w:rFonts w:hint="eastAsia" w:ascii="宋体" w:hAnsi="宋体"/>
          <w:color w:val="auto"/>
          <w:highlight w:val="none"/>
        </w:rPr>
        <w:t>附件11：低价风险担保保函示范文本（独立保函）（如有）</w:t>
      </w:r>
    </w:p>
    <w:p w14:paraId="57B22203">
      <w:pPr>
        <w:spacing w:line="360" w:lineRule="auto"/>
        <w:jc w:val="center"/>
        <w:rPr>
          <w:rFonts w:hint="eastAsia" w:ascii="宋体" w:hAnsi="宋体"/>
          <w:b/>
          <w:bCs/>
          <w:color w:val="auto"/>
          <w:highlight w:val="none"/>
        </w:rPr>
      </w:pPr>
      <w:r>
        <w:rPr>
          <w:rFonts w:hint="eastAsia" w:ascii="宋体" w:hAnsi="宋体"/>
          <w:b/>
          <w:bCs/>
          <w:color w:val="auto"/>
          <w:highlight w:val="none"/>
        </w:rPr>
        <w:t xml:space="preserve"> </w:t>
      </w:r>
    </w:p>
    <w:p w14:paraId="6C0AD736">
      <w:pPr>
        <w:spacing w:line="360" w:lineRule="auto"/>
        <w:jc w:val="center"/>
        <w:rPr>
          <w:rFonts w:hint="eastAsia" w:ascii="宋体" w:hAnsi="宋体"/>
          <w:color w:val="auto"/>
          <w:highlight w:val="none"/>
        </w:rPr>
      </w:pPr>
      <w:r>
        <w:rPr>
          <w:rFonts w:hint="eastAsia" w:ascii="宋体" w:hAnsi="宋体"/>
          <w:color w:val="auto"/>
          <w:highlight w:val="none"/>
        </w:rPr>
        <w:t>低价风险担保保函示范文本</w:t>
      </w:r>
    </w:p>
    <w:p w14:paraId="56A075B1">
      <w:pPr>
        <w:spacing w:line="360" w:lineRule="auto"/>
        <w:jc w:val="center"/>
        <w:rPr>
          <w:rFonts w:hint="eastAsia" w:ascii="宋体" w:hAnsi="宋体"/>
          <w:color w:val="auto"/>
          <w:highlight w:val="none"/>
        </w:rPr>
      </w:pPr>
      <w:r>
        <w:rPr>
          <w:rFonts w:hint="eastAsia" w:ascii="宋体" w:hAnsi="宋体"/>
          <w:color w:val="auto"/>
          <w:highlight w:val="none"/>
        </w:rPr>
        <w:t>（独立保函）</w:t>
      </w:r>
    </w:p>
    <w:p w14:paraId="6EE370E4">
      <w:pPr>
        <w:wordWrap w:val="0"/>
        <w:spacing w:line="360" w:lineRule="auto"/>
        <w:jc w:val="right"/>
        <w:rPr>
          <w:rFonts w:hint="eastAsia" w:ascii="宋体" w:hAnsi="宋体"/>
          <w:color w:val="auto"/>
          <w:highlight w:val="none"/>
        </w:rPr>
      </w:pPr>
      <w:r>
        <w:rPr>
          <w:rFonts w:hint="eastAsia" w:ascii="宋体" w:hAnsi="宋体"/>
          <w:color w:val="auto"/>
          <w:highlight w:val="none"/>
        </w:rPr>
        <w:t xml:space="preserve">编号：           </w:t>
      </w:r>
    </w:p>
    <w:p w14:paraId="37F45918">
      <w:pPr>
        <w:spacing w:line="360" w:lineRule="auto"/>
        <w:ind w:firstLine="420" w:firstLineChars="200"/>
        <w:rPr>
          <w:rFonts w:hint="eastAsia" w:ascii="宋体" w:hAnsi="宋体"/>
          <w:color w:val="auto"/>
          <w:highlight w:val="none"/>
        </w:rPr>
      </w:pPr>
      <w:r>
        <w:rPr>
          <w:rFonts w:hint="eastAsia" w:ascii="宋体" w:hAnsi="宋体"/>
          <w:color w:val="auto"/>
          <w:highlight w:val="none"/>
        </w:rPr>
        <w:t>申请人：</w:t>
      </w:r>
    </w:p>
    <w:p w14:paraId="35438749">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地址：</w:t>
      </w:r>
    </w:p>
    <w:p w14:paraId="063A8663">
      <w:pPr>
        <w:spacing w:line="360" w:lineRule="auto"/>
        <w:ind w:firstLine="420" w:firstLineChars="200"/>
        <w:rPr>
          <w:rFonts w:hint="eastAsia" w:ascii="宋体" w:hAnsi="宋体"/>
          <w:color w:val="auto"/>
          <w:highlight w:val="none"/>
        </w:rPr>
      </w:pPr>
      <w:r>
        <w:rPr>
          <w:rFonts w:hint="eastAsia" w:ascii="宋体" w:hAnsi="宋体"/>
          <w:color w:val="auto"/>
          <w:highlight w:val="none"/>
        </w:rPr>
        <w:t>受益人：</w:t>
      </w:r>
    </w:p>
    <w:p w14:paraId="71113A73">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地址：</w:t>
      </w:r>
    </w:p>
    <w:p w14:paraId="1B3524AE">
      <w:pPr>
        <w:spacing w:line="360" w:lineRule="auto"/>
        <w:ind w:firstLine="420" w:firstLineChars="200"/>
        <w:rPr>
          <w:rFonts w:hint="eastAsia" w:ascii="宋体" w:hAnsi="宋体"/>
          <w:color w:val="auto"/>
          <w:highlight w:val="none"/>
        </w:rPr>
      </w:pPr>
      <w:r>
        <w:rPr>
          <w:rFonts w:hint="eastAsia" w:ascii="宋体" w:hAnsi="宋体"/>
          <w:color w:val="auto"/>
          <w:highlight w:val="none"/>
        </w:rPr>
        <w:t>开立人：</w:t>
      </w:r>
    </w:p>
    <w:p w14:paraId="58F01055">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地址：</w:t>
      </w:r>
    </w:p>
    <w:p w14:paraId="5D71D609">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w:t>
      </w:r>
    </w:p>
    <w:p w14:paraId="1241EF36">
      <w:pPr>
        <w:spacing w:line="360" w:lineRule="auto"/>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 xml:space="preserve">（受益人名称）： </w:t>
      </w:r>
    </w:p>
    <w:p w14:paraId="5FCC035C">
      <w:pPr>
        <w:pStyle w:val="3"/>
        <w:spacing w:line="360" w:lineRule="auto"/>
        <w:ind w:firstLine="420" w:firstLineChars="200"/>
        <w:rPr>
          <w:rFonts w:hint="eastAsia" w:ascii="宋体" w:hAnsi="宋体"/>
          <w:color w:val="auto"/>
          <w:highlight w:val="none"/>
        </w:rPr>
      </w:pPr>
      <w:r>
        <w:rPr>
          <w:rFonts w:hint="eastAsia" w:ascii="宋体" w:hAnsi="宋体"/>
          <w:color w:val="auto"/>
          <w:highlight w:val="none"/>
        </w:rPr>
        <w:t>鉴于</w:t>
      </w:r>
      <w:r>
        <w:rPr>
          <w:rFonts w:hint="eastAsia" w:ascii="宋体" w:hAnsi="宋体"/>
          <w:color w:val="auto"/>
          <w:highlight w:val="none"/>
          <w:u w:val="single"/>
        </w:rPr>
        <w:t xml:space="preserve">            </w:t>
      </w:r>
      <w:r>
        <w:rPr>
          <w:rFonts w:hint="eastAsia" w:ascii="宋体" w:hAnsi="宋体"/>
          <w:color w:val="auto"/>
          <w:highlight w:val="none"/>
        </w:rPr>
        <w:t xml:space="preserve">（以下简称“申请人”）于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日参加</w:t>
      </w:r>
      <w:r>
        <w:rPr>
          <w:rFonts w:hint="eastAsia" w:ascii="宋体" w:hAnsi="宋体"/>
          <w:color w:val="auto"/>
          <w:highlight w:val="none"/>
          <w:u w:val="single"/>
        </w:rPr>
        <w:t xml:space="preserve">            </w:t>
      </w:r>
      <w:r>
        <w:rPr>
          <w:rFonts w:hint="eastAsia" w:ascii="宋体" w:hAnsi="宋体"/>
          <w:color w:val="auto"/>
          <w:highlight w:val="none"/>
        </w:rPr>
        <w:t>（以下简称“受益人”）的</w:t>
      </w:r>
      <w:r>
        <w:rPr>
          <w:rFonts w:hint="eastAsia" w:ascii="宋体" w:hAnsi="宋体"/>
          <w:color w:val="auto"/>
          <w:highlight w:val="none"/>
          <w:u w:val="single"/>
        </w:rPr>
        <w:t xml:space="preserve">         </w:t>
      </w:r>
      <w:r>
        <w:rPr>
          <w:rFonts w:hint="eastAsia" w:ascii="宋体" w:hAnsi="宋体"/>
          <w:color w:val="auto"/>
          <w:highlight w:val="none"/>
        </w:rPr>
        <w:t>（比选项目名称）的投标，收到受益人于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发的中标通知书，成为该项目的中标人。基于申请人的请求，我方同意就申请人履行该项目中标通知书、竞选文件和竞选文件约定的义务，向贵方提供不可撤销、不可转让的见索即付独立保函（以下简称“本保函”）。</w:t>
      </w:r>
    </w:p>
    <w:p w14:paraId="468B16BE">
      <w:pPr>
        <w:pStyle w:val="3"/>
        <w:numPr>
          <w:ilvl w:val="0"/>
          <w:numId w:val="2"/>
        </w:numPr>
        <w:spacing w:before="100" w:beforeAutospacing="1" w:line="360" w:lineRule="auto"/>
        <w:ind w:firstLine="420" w:firstLineChars="200"/>
        <w:rPr>
          <w:rFonts w:hint="eastAsia" w:ascii="宋体" w:hAnsi="宋体"/>
          <w:color w:val="auto"/>
          <w:highlight w:val="none"/>
        </w:rPr>
      </w:pPr>
      <w:r>
        <w:rPr>
          <w:rFonts w:hint="eastAsia" w:ascii="宋体" w:hAnsi="宋体"/>
          <w:color w:val="auto"/>
          <w:highlight w:val="none"/>
        </w:rPr>
        <w:t>本保函担保范围：申请人未按照中标通知书、竞选文件和竞选文件约定签订合同或未按签订的合同约定履行相关义务，应当向贵方承担的违约责任和赔偿因此造成的损失、利息、律师费、诉讼费用等实现债权的费用。</w:t>
      </w:r>
    </w:p>
    <w:p w14:paraId="0F43E24A">
      <w:pPr>
        <w:spacing w:line="360" w:lineRule="auto"/>
        <w:ind w:firstLine="420" w:firstLineChars="200"/>
        <w:rPr>
          <w:rFonts w:hint="eastAsia" w:ascii="宋体" w:hAnsi="宋体"/>
          <w:color w:val="auto"/>
          <w:highlight w:val="none"/>
        </w:rPr>
      </w:pPr>
      <w:r>
        <w:rPr>
          <w:rFonts w:hint="eastAsia" w:ascii="宋体" w:hAnsi="宋体"/>
          <w:color w:val="auto"/>
          <w:highlight w:val="none"/>
        </w:rPr>
        <w:t>二、本保函担保金额最高不超过人民币（大写）</w:t>
      </w:r>
      <w:r>
        <w:rPr>
          <w:rFonts w:hint="eastAsia" w:ascii="宋体" w:hAnsi="宋体"/>
          <w:color w:val="auto"/>
          <w:highlight w:val="none"/>
          <w:u w:val="single"/>
        </w:rPr>
        <w:t xml:space="preserve">          </w:t>
      </w:r>
      <w:r>
        <w:rPr>
          <w:rFonts w:hint="eastAsia" w:ascii="宋体" w:hAnsi="宋体"/>
          <w:color w:val="auto"/>
          <w:highlight w:val="none"/>
        </w:rPr>
        <w:t>元（¥</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4E7A1A54">
      <w:pPr>
        <w:spacing w:line="360" w:lineRule="auto"/>
        <w:ind w:firstLine="420" w:firstLineChars="200"/>
        <w:rPr>
          <w:rFonts w:hint="eastAsia" w:ascii="宋体" w:hAnsi="宋体"/>
          <w:color w:val="auto"/>
          <w:highlight w:val="none"/>
        </w:rPr>
      </w:pPr>
      <w:r>
        <w:rPr>
          <w:rFonts w:hint="eastAsia" w:ascii="宋体" w:hAnsi="宋体"/>
          <w:color w:val="auto"/>
          <w:highlight w:val="none"/>
        </w:rPr>
        <w:t>三、本保函有效期自开立之日起至合同约定的</w:t>
      </w:r>
      <w:r>
        <w:rPr>
          <w:rFonts w:hint="eastAsia" w:ascii="宋体" w:hAnsi="宋体"/>
          <w:color w:val="auto"/>
          <w:highlight w:val="none"/>
          <w:u w:val="single"/>
        </w:rPr>
        <w:t xml:space="preserve">      </w:t>
      </w:r>
      <w:r>
        <w:rPr>
          <w:rFonts w:hint="eastAsia" w:ascii="宋体" w:hAnsi="宋体"/>
          <w:color w:val="auto"/>
          <w:highlight w:val="none"/>
        </w:rPr>
        <w:t>日止，最迟不超过</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 xml:space="preserve">日。 </w:t>
      </w:r>
    </w:p>
    <w:p w14:paraId="19248973">
      <w:pPr>
        <w:spacing w:line="360" w:lineRule="auto"/>
        <w:ind w:firstLine="420" w:firstLineChars="200"/>
        <w:rPr>
          <w:rFonts w:hint="eastAsia" w:ascii="宋体" w:hAnsi="宋体"/>
          <w:color w:val="auto"/>
          <w:highlight w:val="none"/>
        </w:rPr>
      </w:pPr>
      <w:r>
        <w:rPr>
          <w:rFonts w:hint="eastAsia" w:ascii="宋体" w:hAnsi="宋体"/>
          <w:color w:val="auto"/>
          <w:highlight w:val="none"/>
        </w:rPr>
        <w:t>四、我方承诺，在收到受益人发来的书面付款通知后的</w:t>
      </w:r>
      <w:r>
        <w:rPr>
          <w:rFonts w:hint="eastAsia" w:ascii="宋体" w:hAnsi="宋体"/>
          <w:color w:val="auto"/>
          <w:highlight w:val="none"/>
          <w:u w:val="single"/>
        </w:rPr>
        <w:t xml:space="preserve">    </w:t>
      </w:r>
      <w:r>
        <w:rPr>
          <w:rFonts w:hint="eastAsia" w:ascii="宋体" w:hAnsi="宋体"/>
          <w:color w:val="auto"/>
          <w:highlight w:val="none"/>
        </w:rPr>
        <w:t>工作日内无条件支付，前述书面付款通知即为付款要求之单据，且应满足以下要求：</w:t>
      </w:r>
    </w:p>
    <w:p w14:paraId="53CB7DF4">
      <w:pPr>
        <w:spacing w:line="360" w:lineRule="auto"/>
        <w:ind w:firstLine="420" w:firstLineChars="200"/>
        <w:rPr>
          <w:rFonts w:hint="eastAsia" w:ascii="宋体" w:hAnsi="宋体"/>
          <w:color w:val="auto"/>
          <w:highlight w:val="none"/>
        </w:rPr>
      </w:pPr>
      <w:r>
        <w:rPr>
          <w:rFonts w:hint="eastAsia" w:ascii="宋体" w:hAnsi="宋体"/>
          <w:color w:val="auto"/>
          <w:highlight w:val="none"/>
        </w:rPr>
        <w:t>（1）付款通知到达的日期在本保函的有效期内；</w:t>
      </w:r>
    </w:p>
    <w:p w14:paraId="3C1FC4FD">
      <w:pPr>
        <w:spacing w:line="360" w:lineRule="auto"/>
        <w:ind w:firstLine="420" w:firstLineChars="200"/>
        <w:rPr>
          <w:rFonts w:hint="eastAsia" w:ascii="宋体" w:hAnsi="宋体"/>
          <w:color w:val="auto"/>
          <w:highlight w:val="none"/>
        </w:rPr>
      </w:pPr>
      <w:r>
        <w:rPr>
          <w:rFonts w:hint="eastAsia" w:ascii="宋体" w:hAnsi="宋体"/>
          <w:color w:val="auto"/>
          <w:highlight w:val="none"/>
        </w:rPr>
        <w:t>（2）载明要求支付的金额；</w:t>
      </w:r>
    </w:p>
    <w:p w14:paraId="53DBB3C5">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（3）载明申请人未按照中标通知书、竞选文件和竞选文件约定签订合同或违反合同义务的条款和内容；</w:t>
      </w:r>
    </w:p>
    <w:p w14:paraId="5586E7F2">
      <w:pPr>
        <w:spacing w:line="360" w:lineRule="auto"/>
        <w:ind w:firstLine="420" w:firstLineChars="200"/>
        <w:rPr>
          <w:rFonts w:hint="eastAsia" w:ascii="宋体" w:hAnsi="宋体"/>
          <w:color w:val="auto"/>
          <w:highlight w:val="none"/>
        </w:rPr>
      </w:pPr>
      <w:r>
        <w:rPr>
          <w:rFonts w:hint="eastAsia" w:ascii="宋体" w:hAnsi="宋体"/>
          <w:color w:val="auto"/>
          <w:highlight w:val="none"/>
        </w:rPr>
        <w:t>（4）付款通知中应声明不存在竞选文件约定、合同文件约定或我国法律规定免除申请人或开立人支付责任的情形；</w:t>
      </w:r>
    </w:p>
    <w:p w14:paraId="563AC3C0">
      <w:pPr>
        <w:spacing w:line="360" w:lineRule="auto"/>
        <w:ind w:firstLine="420" w:firstLineChars="200"/>
        <w:rPr>
          <w:rFonts w:hint="eastAsia" w:ascii="宋体" w:hAnsi="宋体"/>
          <w:color w:val="auto"/>
          <w:highlight w:val="none"/>
        </w:rPr>
      </w:pPr>
      <w:r>
        <w:rPr>
          <w:rFonts w:hint="eastAsia" w:ascii="宋体" w:hAnsi="宋体"/>
          <w:color w:val="auto"/>
          <w:highlight w:val="none"/>
        </w:rPr>
        <w:t>（5）付款通知应在本保函有效期内到达的地址是：</w:t>
      </w:r>
      <w:r>
        <w:rPr>
          <w:rFonts w:hint="eastAsia" w:ascii="宋体" w:hAnsi="宋体"/>
          <w:color w:val="auto"/>
          <w:highlight w:val="none"/>
          <w:u w:val="single"/>
        </w:rPr>
        <w:t xml:space="preserve">             </w:t>
      </w:r>
      <w:r>
        <w:rPr>
          <w:rFonts w:hint="eastAsia" w:ascii="宋体" w:hAnsi="宋体"/>
          <w:color w:val="auto"/>
          <w:highlight w:val="none"/>
        </w:rPr>
        <w:t>。</w:t>
      </w:r>
    </w:p>
    <w:p w14:paraId="228B069A">
      <w:pPr>
        <w:spacing w:line="360" w:lineRule="auto"/>
        <w:ind w:firstLine="420" w:firstLineChars="200"/>
        <w:rPr>
          <w:rFonts w:hint="eastAsia" w:ascii="宋体" w:hAnsi="宋体"/>
          <w:color w:val="auto"/>
          <w:highlight w:val="none"/>
        </w:rPr>
      </w:pPr>
      <w:r>
        <w:rPr>
          <w:rFonts w:hint="eastAsia" w:ascii="宋体" w:hAnsi="宋体"/>
          <w:color w:val="auto"/>
          <w:highlight w:val="none"/>
        </w:rPr>
        <w:t>受益人发出的书面付款通知应由其为鉴明受益人法定代表人（负责人）或授权代理人签名加盖公章。</w:t>
      </w:r>
    </w:p>
    <w:p w14:paraId="7BF7AE65">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五、本保函项下的权利不得转让，不得设定担保。贵方未经我方书面同意转让本保函或其项下任何权利，对我方不发生法律效力。 </w:t>
      </w:r>
    </w:p>
    <w:p w14:paraId="2C508364">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六、与本保函有关的合同不成立、不生效、无效、被撤销、被解除，不影响本保函的独立有效。 </w:t>
      </w:r>
    </w:p>
    <w:p w14:paraId="6DF2A3E4">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12AE8CD3">
      <w:pPr>
        <w:spacing w:line="360" w:lineRule="auto"/>
        <w:ind w:firstLine="420" w:firstLineChars="200"/>
        <w:rPr>
          <w:rFonts w:hint="eastAsia" w:ascii="宋体" w:hAnsi="宋体"/>
          <w:color w:val="auto"/>
          <w:highlight w:val="none"/>
        </w:rPr>
      </w:pPr>
      <w:r>
        <w:rPr>
          <w:rFonts w:hint="eastAsia" w:ascii="宋体" w:hAnsi="宋体"/>
          <w:color w:val="auto"/>
          <w:highlight w:val="none"/>
        </w:rPr>
        <w:t>八、本保函适用的法律为中华人民共和国法律，争议裁判管辖地为中华人民共和国</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EAD4DA1">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九、本保函自我方法定代表人或授权代表签名并加盖公章之日起生效。 </w:t>
      </w:r>
    </w:p>
    <w:p w14:paraId="75CD9B32">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开 立 人：                              （公章） </w:t>
      </w:r>
    </w:p>
    <w:p w14:paraId="622FA02A">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法定代表人（或授权代表）：              （签名） </w:t>
      </w:r>
    </w:p>
    <w:p w14:paraId="11DB4708">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地    址：                                       </w:t>
      </w:r>
    </w:p>
    <w:p w14:paraId="33C870DF">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邮政编码：                 </w:t>
      </w:r>
    </w:p>
    <w:p w14:paraId="3BA4EFB5">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电    话：                 </w:t>
      </w:r>
    </w:p>
    <w:p w14:paraId="4D6B8358">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传    真：                 </w:t>
      </w:r>
    </w:p>
    <w:p w14:paraId="5DC0962D">
      <w:pPr>
        <w:spacing w:line="360" w:lineRule="auto"/>
        <w:ind w:firstLine="420" w:firstLineChars="200"/>
        <w:rPr>
          <w:rFonts w:hint="eastAsia" w:ascii="宋体" w:hAnsi="宋体"/>
          <w:color w:val="auto"/>
          <w:highlight w:val="none"/>
        </w:rPr>
      </w:pPr>
      <w:r>
        <w:rPr>
          <w:rFonts w:hint="eastAsia" w:ascii="宋体" w:hAnsi="宋体"/>
          <w:color w:val="auto"/>
          <w:highlight w:val="none"/>
        </w:rPr>
        <w:t>开立时间：      年      月        日</w:t>
      </w:r>
      <w:r>
        <w:rPr>
          <w:rFonts w:hint="eastAsia" w:ascii="宋体" w:hAnsi="宋体"/>
          <w:color w:val="auto"/>
          <w:sz w:val="24"/>
          <w:highlight w:val="none"/>
        </w:rPr>
        <w:br w:type="page"/>
      </w:r>
    </w:p>
    <w:p w14:paraId="66AC3F07">
      <w:pPr>
        <w:pStyle w:val="4"/>
        <w:spacing w:before="0" w:after="0" w:line="360" w:lineRule="auto"/>
        <w:jc w:val="center"/>
        <w:rPr>
          <w:rFonts w:ascii="宋体" w:hAnsi="宋体"/>
          <w:color w:val="auto"/>
          <w:highlight w:val="none"/>
        </w:rPr>
      </w:pPr>
      <w:r>
        <w:rPr>
          <w:rFonts w:hint="eastAsia" w:ascii="宋体" w:hAnsi="宋体"/>
          <w:color w:val="auto"/>
          <w:highlight w:val="none"/>
        </w:rPr>
        <w:t>第五章  工程量清单</w:t>
      </w:r>
      <w:bookmarkEnd w:id="674"/>
      <w:bookmarkEnd w:id="675"/>
      <w:bookmarkEnd w:id="676"/>
      <w:bookmarkEnd w:id="677"/>
      <w:bookmarkEnd w:id="678"/>
      <w:bookmarkEnd w:id="679"/>
      <w:bookmarkEnd w:id="680"/>
      <w:bookmarkStart w:id="681" w:name="招标文件05章工程量清单01"/>
      <w:bookmarkEnd w:id="681"/>
      <w:bookmarkStart w:id="682" w:name="_Toc287620798"/>
      <w:bookmarkStart w:id="683" w:name="_Toc277082638"/>
      <w:bookmarkStart w:id="684" w:name="_Toc430530514"/>
      <w:bookmarkStart w:id="685" w:name="_Toc287607856"/>
      <w:bookmarkStart w:id="686" w:name="_Toc224103477"/>
    </w:p>
    <w:bookmarkEnd w:id="682"/>
    <w:bookmarkEnd w:id="683"/>
    <w:bookmarkEnd w:id="684"/>
    <w:bookmarkEnd w:id="685"/>
    <w:bookmarkEnd w:id="686"/>
    <w:p w14:paraId="68E81D88">
      <w:pPr>
        <w:snapToGrid w:val="0"/>
        <w:spacing w:line="360" w:lineRule="auto"/>
        <w:jc w:val="center"/>
        <w:rPr>
          <w:rFonts w:ascii="宋体" w:hAnsi="宋体"/>
          <w:color w:val="auto"/>
          <w:sz w:val="24"/>
          <w:highlight w:val="none"/>
        </w:rPr>
      </w:pPr>
    </w:p>
    <w:p w14:paraId="1477B1E7">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在行采家”平台（http://www.gec123.com）下载。</w:t>
      </w:r>
    </w:p>
    <w:p w14:paraId="70B8B46A">
      <w:pPr>
        <w:ind w:right="561"/>
        <w:rPr>
          <w:rFonts w:ascii="宋体" w:hAnsi="宋体"/>
          <w:color w:val="auto"/>
          <w:szCs w:val="21"/>
          <w:highlight w:val="none"/>
        </w:rPr>
      </w:pPr>
      <w:r>
        <w:rPr>
          <w:rFonts w:ascii="宋体" w:hAnsi="宋体"/>
          <w:color w:val="auto"/>
          <w:sz w:val="24"/>
          <w:highlight w:val="none"/>
        </w:rPr>
        <w:br w:type="page"/>
      </w:r>
    </w:p>
    <w:p w14:paraId="5215BAA1">
      <w:pPr>
        <w:pStyle w:val="4"/>
        <w:spacing w:before="0" w:after="0" w:line="360" w:lineRule="auto"/>
        <w:jc w:val="center"/>
        <w:rPr>
          <w:rFonts w:ascii="宋体" w:hAnsi="宋体"/>
          <w:color w:val="auto"/>
          <w:sz w:val="52"/>
          <w:szCs w:val="52"/>
          <w:highlight w:val="none"/>
        </w:rPr>
      </w:pPr>
      <w:bookmarkStart w:id="687" w:name="_Toc13474"/>
      <w:bookmarkStart w:id="688" w:name="_Toc509218844"/>
      <w:bookmarkStart w:id="689" w:name="_Toc534185823"/>
      <w:bookmarkStart w:id="690" w:name="_Toc57905911"/>
      <w:r>
        <w:rPr>
          <w:rFonts w:ascii="宋体" w:hAnsi="宋体"/>
          <w:color w:val="auto"/>
          <w:sz w:val="52"/>
          <w:szCs w:val="52"/>
          <w:highlight w:val="none"/>
        </w:rPr>
        <w:t>第 二 卷</w:t>
      </w:r>
      <w:bookmarkEnd w:id="687"/>
      <w:bookmarkEnd w:id="688"/>
      <w:bookmarkEnd w:id="689"/>
      <w:bookmarkEnd w:id="690"/>
    </w:p>
    <w:p w14:paraId="1D8B82BC">
      <w:pPr>
        <w:spacing w:line="360" w:lineRule="auto"/>
        <w:rPr>
          <w:rFonts w:ascii="宋体" w:hAnsi="宋体"/>
          <w:color w:val="auto"/>
          <w:szCs w:val="20"/>
          <w:highlight w:val="none"/>
        </w:rPr>
      </w:pPr>
      <w:r>
        <w:rPr>
          <w:rFonts w:ascii="宋体" w:hAnsi="宋体"/>
          <w:color w:val="auto"/>
          <w:szCs w:val="20"/>
          <w:highlight w:val="none"/>
        </w:rPr>
        <w:br w:type="page"/>
      </w:r>
    </w:p>
    <w:p w14:paraId="3F45419B">
      <w:pPr>
        <w:pStyle w:val="4"/>
        <w:spacing w:line="360" w:lineRule="auto"/>
        <w:jc w:val="center"/>
        <w:rPr>
          <w:rFonts w:ascii="宋体" w:hAnsi="宋体"/>
          <w:color w:val="auto"/>
          <w:highlight w:val="none"/>
        </w:rPr>
      </w:pPr>
      <w:bookmarkStart w:id="691" w:name="招标文件06章图纸"/>
      <w:bookmarkEnd w:id="691"/>
      <w:bookmarkStart w:id="692" w:name="_Toc430530519"/>
      <w:bookmarkStart w:id="693" w:name="_Toc509218846"/>
      <w:bookmarkStart w:id="694" w:name="_Toc57905912"/>
      <w:bookmarkStart w:id="695" w:name="_Toc534185825"/>
      <w:bookmarkStart w:id="696" w:name="_Toc287620803"/>
      <w:bookmarkStart w:id="697" w:name="_Toc287607861"/>
      <w:bookmarkStart w:id="698" w:name="_Toc22154"/>
      <w:r>
        <w:rPr>
          <w:rFonts w:hint="eastAsia" w:ascii="宋体" w:hAnsi="宋体"/>
          <w:color w:val="auto"/>
          <w:highlight w:val="none"/>
        </w:rPr>
        <w:t>第六章  图纸</w:t>
      </w:r>
      <w:bookmarkEnd w:id="692"/>
      <w:bookmarkEnd w:id="693"/>
      <w:bookmarkEnd w:id="694"/>
      <w:bookmarkEnd w:id="695"/>
      <w:bookmarkEnd w:id="696"/>
      <w:bookmarkEnd w:id="697"/>
      <w:bookmarkEnd w:id="698"/>
    </w:p>
    <w:p w14:paraId="07ECD7BF">
      <w:pPr>
        <w:snapToGrid w:val="0"/>
        <w:spacing w:line="360" w:lineRule="auto"/>
        <w:jc w:val="center"/>
        <w:rPr>
          <w:rFonts w:ascii="宋体" w:hAnsi="宋体"/>
          <w:color w:val="auto"/>
          <w:szCs w:val="21"/>
          <w:highlight w:val="none"/>
        </w:rPr>
      </w:pPr>
      <w:bookmarkStart w:id="699" w:name="招标文件06章图纸01"/>
      <w:bookmarkEnd w:id="699"/>
      <w:bookmarkStart w:id="700" w:name="_Toc287620804"/>
      <w:bookmarkStart w:id="701" w:name="_Toc430530520"/>
      <w:r>
        <w:rPr>
          <w:rFonts w:hint="eastAsia" w:ascii="宋体" w:hAnsi="宋体"/>
          <w:color w:val="auto"/>
          <w:szCs w:val="20"/>
          <w:highlight w:val="none"/>
        </w:rPr>
        <w:t>在行采家”平台（http://www.gec123.com）下载。</w:t>
      </w:r>
    </w:p>
    <w:p w14:paraId="23CD9609">
      <w:pPr>
        <w:spacing w:line="360" w:lineRule="auto"/>
        <w:rPr>
          <w:rFonts w:ascii="宋体" w:hAnsi="宋体"/>
          <w:color w:val="auto"/>
          <w:szCs w:val="20"/>
          <w:highlight w:val="none"/>
        </w:rPr>
      </w:pPr>
    </w:p>
    <w:bookmarkEnd w:id="700"/>
    <w:bookmarkEnd w:id="701"/>
    <w:p w14:paraId="11D12144">
      <w:pPr>
        <w:spacing w:line="360" w:lineRule="auto"/>
        <w:rPr>
          <w:rFonts w:ascii="宋体" w:hAnsi="宋体"/>
          <w:color w:val="auto"/>
          <w:highlight w:val="none"/>
        </w:rPr>
      </w:pPr>
      <w:r>
        <w:rPr>
          <w:rFonts w:ascii="宋体" w:hAnsi="宋体"/>
          <w:color w:val="auto"/>
          <w:szCs w:val="20"/>
          <w:highlight w:val="none"/>
        </w:rPr>
        <w:br w:type="page"/>
      </w:r>
    </w:p>
    <w:p w14:paraId="2E0DBE7F">
      <w:pPr>
        <w:pStyle w:val="4"/>
        <w:spacing w:before="0" w:after="0" w:line="360" w:lineRule="auto"/>
        <w:jc w:val="center"/>
        <w:rPr>
          <w:rFonts w:ascii="宋体" w:hAnsi="宋体"/>
          <w:color w:val="auto"/>
          <w:sz w:val="52"/>
          <w:szCs w:val="52"/>
          <w:highlight w:val="none"/>
        </w:rPr>
      </w:pPr>
      <w:bookmarkStart w:id="702" w:name="_Toc57905913"/>
      <w:bookmarkStart w:id="703" w:name="_Toc8804"/>
      <w:r>
        <w:rPr>
          <w:rFonts w:hint="eastAsia" w:ascii="宋体" w:hAnsi="宋体"/>
          <w:color w:val="auto"/>
          <w:sz w:val="52"/>
          <w:szCs w:val="52"/>
          <w:highlight w:val="none"/>
        </w:rPr>
        <w:t>第 三 卷</w:t>
      </w:r>
      <w:bookmarkEnd w:id="702"/>
      <w:bookmarkEnd w:id="703"/>
      <w:bookmarkStart w:id="704" w:name="_Toc509218847"/>
      <w:bookmarkStart w:id="705" w:name="_Toc536797390"/>
      <w:bookmarkStart w:id="706" w:name="_Toc536796986"/>
      <w:bookmarkStart w:id="707" w:name="_Toc536797255"/>
      <w:bookmarkStart w:id="708" w:name="_Toc536797121"/>
      <w:bookmarkStart w:id="709" w:name="_Toc13210772"/>
      <w:bookmarkStart w:id="710" w:name="_Toc536621880"/>
      <w:bookmarkStart w:id="711" w:name="_Toc536628344"/>
      <w:bookmarkStart w:id="712" w:name="_Toc534185826"/>
      <w:bookmarkStart w:id="713" w:name="_Toc13211206"/>
      <w:bookmarkStart w:id="714" w:name="_Toc13211764"/>
      <w:bookmarkStart w:id="715" w:name="_Toc536796850"/>
      <w:bookmarkStart w:id="716" w:name="_Toc536619968"/>
      <w:bookmarkStart w:id="717" w:name="_Toc536620100"/>
    </w:p>
    <w:bookmarkEnd w:id="704"/>
    <w:p w14:paraId="56199F53">
      <w:pPr>
        <w:rPr>
          <w:color w:val="auto"/>
          <w:highlight w:val="none"/>
        </w:rPr>
      </w:pPr>
      <w:r>
        <w:rPr>
          <w:color w:val="auto"/>
          <w:highlight w:val="none"/>
        </w:rPr>
        <w:br w:type="page"/>
      </w:r>
      <w:bookmarkEnd w:id="705"/>
      <w:bookmarkEnd w:id="706"/>
      <w:bookmarkEnd w:id="707"/>
      <w:bookmarkEnd w:id="708"/>
      <w:bookmarkEnd w:id="709"/>
      <w:bookmarkEnd w:id="710"/>
      <w:bookmarkEnd w:id="711"/>
      <w:bookmarkEnd w:id="712"/>
      <w:bookmarkEnd w:id="713"/>
      <w:bookmarkEnd w:id="714"/>
      <w:bookmarkEnd w:id="715"/>
      <w:bookmarkEnd w:id="716"/>
      <w:bookmarkEnd w:id="717"/>
    </w:p>
    <w:p w14:paraId="2034C01E">
      <w:pPr>
        <w:pStyle w:val="4"/>
        <w:spacing w:line="360" w:lineRule="auto"/>
        <w:jc w:val="center"/>
        <w:rPr>
          <w:rFonts w:ascii="宋体" w:hAnsi="宋体"/>
          <w:color w:val="auto"/>
          <w:highlight w:val="none"/>
        </w:rPr>
      </w:pPr>
      <w:bookmarkStart w:id="718" w:name="招标文件07章技术标准和要求"/>
      <w:bookmarkEnd w:id="718"/>
      <w:bookmarkStart w:id="719" w:name="_Toc17170"/>
      <w:bookmarkStart w:id="720" w:name="_Toc57905914"/>
      <w:r>
        <w:rPr>
          <w:rFonts w:ascii="宋体" w:hAnsi="宋体"/>
          <w:color w:val="auto"/>
          <w:highlight w:val="none"/>
        </w:rPr>
        <w:t>第七章技术标准和要求</w:t>
      </w:r>
      <w:bookmarkEnd w:id="719"/>
      <w:bookmarkEnd w:id="720"/>
      <w:bookmarkStart w:id="721" w:name="招标文件07章技术标准和要求01"/>
      <w:bookmarkEnd w:id="721"/>
      <w:bookmarkStart w:id="722" w:name="_Toc430530524"/>
      <w:bookmarkStart w:id="723" w:name="_Toc287620808"/>
    </w:p>
    <w:bookmarkEnd w:id="722"/>
    <w:bookmarkEnd w:id="723"/>
    <w:p w14:paraId="323312D8">
      <w:pPr>
        <w:tabs>
          <w:tab w:val="left" w:pos="1320"/>
        </w:tabs>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1.工程概况</w:t>
      </w:r>
    </w:p>
    <w:p w14:paraId="543F4984">
      <w:pPr>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见提供的施工图设计文件及设计说明书、设计变更通知单。</w:t>
      </w:r>
    </w:p>
    <w:p w14:paraId="2A3F0759">
      <w:pPr>
        <w:tabs>
          <w:tab w:val="left" w:pos="0"/>
        </w:tabs>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2.工程技术要求</w:t>
      </w:r>
    </w:p>
    <w:p w14:paraId="646676D0">
      <w:pPr>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本工程技术要求见施工图设计文件及设计说明书、设计变更通知单、现行规范（标准）的规定及合同条款相关要求。</w:t>
      </w:r>
    </w:p>
    <w:p w14:paraId="0C5D31A5">
      <w:pPr>
        <w:ind w:firstLine="360" w:firstLineChars="150"/>
        <w:jc w:val="left"/>
        <w:rPr>
          <w:rFonts w:ascii="宋体" w:hAnsi="宋体" w:cs="宋体"/>
          <w:b/>
          <w:color w:val="auto"/>
          <w:sz w:val="24"/>
          <w:highlight w:val="none"/>
        </w:rPr>
      </w:pPr>
      <w:r>
        <w:rPr>
          <w:rFonts w:hint="eastAsia" w:ascii="宋体" w:hAnsi="宋体" w:cs="宋体"/>
          <w:color w:val="auto"/>
          <w:sz w:val="24"/>
          <w:highlight w:val="none"/>
          <w:lang w:val="zh-CN"/>
        </w:rPr>
        <w:t xml:space="preserve"> 3.依据施工图和技术文件的要求，本工程项目的材料、设备、施工必须达到现行规范及标准规定的要求</w:t>
      </w:r>
    </w:p>
    <w:p w14:paraId="2631B871">
      <w:pPr>
        <w:spacing w:line="360" w:lineRule="auto"/>
        <w:rPr>
          <w:rFonts w:ascii="宋体" w:hAnsi="宋体"/>
          <w:color w:val="auto"/>
          <w:highlight w:val="none"/>
        </w:rPr>
      </w:pPr>
      <w:r>
        <w:rPr>
          <w:rFonts w:ascii="宋体" w:hAnsi="宋体"/>
          <w:color w:val="auto"/>
          <w:highlight w:val="none"/>
        </w:rPr>
        <w:br w:type="page"/>
      </w:r>
    </w:p>
    <w:p w14:paraId="703EBAEF">
      <w:pPr>
        <w:pStyle w:val="4"/>
        <w:spacing w:before="0" w:after="0" w:line="360" w:lineRule="auto"/>
        <w:jc w:val="center"/>
        <w:rPr>
          <w:rFonts w:ascii="宋体" w:hAnsi="宋体"/>
          <w:color w:val="auto"/>
          <w:sz w:val="52"/>
          <w:szCs w:val="52"/>
          <w:highlight w:val="none"/>
        </w:rPr>
      </w:pPr>
      <w:bookmarkStart w:id="724" w:name="_Toc509218849"/>
      <w:bookmarkStart w:id="725" w:name="_Toc534185827"/>
      <w:bookmarkStart w:id="726" w:name="_Toc18822"/>
      <w:bookmarkStart w:id="727" w:name="_Toc57905915"/>
      <w:r>
        <w:rPr>
          <w:rFonts w:ascii="宋体" w:hAnsi="宋体"/>
          <w:color w:val="auto"/>
          <w:sz w:val="52"/>
          <w:szCs w:val="52"/>
          <w:highlight w:val="none"/>
        </w:rPr>
        <w:t>第 四 卷</w:t>
      </w:r>
      <w:bookmarkEnd w:id="724"/>
      <w:bookmarkEnd w:id="725"/>
      <w:bookmarkEnd w:id="726"/>
      <w:bookmarkEnd w:id="727"/>
      <w:bookmarkStart w:id="728" w:name="_Toc536797393"/>
      <w:bookmarkStart w:id="729" w:name="_Toc536620102"/>
      <w:bookmarkStart w:id="730" w:name="_Toc536796853"/>
      <w:bookmarkStart w:id="731" w:name="_Toc13211209"/>
      <w:bookmarkStart w:id="732" w:name="_Toc534185828"/>
      <w:bookmarkStart w:id="733" w:name="_Toc536796989"/>
      <w:bookmarkStart w:id="734" w:name="_Toc536628347"/>
      <w:bookmarkStart w:id="735" w:name="_Toc536797124"/>
      <w:bookmarkStart w:id="736" w:name="_Toc13210775"/>
      <w:bookmarkStart w:id="737" w:name="_Toc536797258"/>
      <w:bookmarkStart w:id="738" w:name="_Toc509218850"/>
      <w:bookmarkStart w:id="739" w:name="_Toc13211767"/>
      <w:bookmarkStart w:id="740" w:name="_Toc536621883"/>
      <w:bookmarkStart w:id="741" w:name="_Toc536619970"/>
    </w:p>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7C0E6522">
      <w:pPr>
        <w:rPr>
          <w:color w:val="auto"/>
          <w:highlight w:val="none"/>
        </w:rPr>
      </w:pPr>
      <w:r>
        <w:rPr>
          <w:color w:val="auto"/>
          <w:highlight w:val="none"/>
        </w:rPr>
        <w:br w:type="page"/>
      </w:r>
      <w:bookmarkStart w:id="742" w:name="招标文件08章投标文件格式"/>
      <w:bookmarkEnd w:id="742"/>
      <w:bookmarkStart w:id="743" w:name="_Toc287620812"/>
      <w:bookmarkStart w:id="744" w:name="_Toc287607865"/>
    </w:p>
    <w:p w14:paraId="280A24DA">
      <w:pPr>
        <w:pStyle w:val="4"/>
        <w:spacing w:line="360" w:lineRule="auto"/>
        <w:jc w:val="center"/>
        <w:rPr>
          <w:rFonts w:ascii="宋体" w:hAnsi="宋体"/>
          <w:color w:val="auto"/>
          <w:highlight w:val="none"/>
        </w:rPr>
      </w:pPr>
      <w:bookmarkStart w:id="745" w:name="_Toc534185829"/>
      <w:bookmarkStart w:id="746" w:name="_Toc23843"/>
      <w:bookmarkStart w:id="747" w:name="_Toc430530528"/>
      <w:bookmarkStart w:id="748" w:name="_Toc509218852"/>
      <w:bookmarkStart w:id="749" w:name="_Toc57905916"/>
      <w:r>
        <w:rPr>
          <w:rFonts w:hint="eastAsia" w:ascii="宋体" w:hAnsi="宋体"/>
          <w:color w:val="auto"/>
          <w:highlight w:val="none"/>
        </w:rPr>
        <w:t>第八章竞选文件格式</w:t>
      </w:r>
      <w:bookmarkEnd w:id="743"/>
      <w:bookmarkEnd w:id="744"/>
      <w:bookmarkEnd w:id="745"/>
      <w:bookmarkEnd w:id="746"/>
      <w:bookmarkEnd w:id="747"/>
      <w:bookmarkEnd w:id="748"/>
      <w:bookmarkEnd w:id="749"/>
    </w:p>
    <w:p w14:paraId="504AE41E">
      <w:pPr>
        <w:spacing w:line="360" w:lineRule="auto"/>
        <w:rPr>
          <w:rFonts w:ascii="宋体" w:hAnsi="宋体"/>
          <w:color w:val="auto"/>
          <w:sz w:val="32"/>
          <w:szCs w:val="32"/>
          <w:highlight w:val="none"/>
        </w:rPr>
      </w:pPr>
    </w:p>
    <w:p w14:paraId="029F7B23">
      <w:pPr>
        <w:spacing w:line="360" w:lineRule="auto"/>
        <w:jc w:val="center"/>
        <w:rPr>
          <w:rFonts w:ascii="宋体" w:hAnsi="宋体"/>
          <w:color w:val="auto"/>
          <w:szCs w:val="20"/>
          <w:highlight w:val="none"/>
        </w:rPr>
      </w:pPr>
      <w:r>
        <w:rPr>
          <w:rFonts w:ascii="宋体" w:hAnsi="宋体"/>
          <w:color w:val="auto"/>
          <w:szCs w:val="20"/>
          <w:highlight w:val="none"/>
        </w:rPr>
        <w:br w:type="page"/>
      </w:r>
      <w:bookmarkStart w:id="750" w:name="_Toc224103493"/>
    </w:p>
    <w:bookmarkEnd w:id="750"/>
    <w:p w14:paraId="7A8BE64D">
      <w:pPr>
        <w:jc w:val="center"/>
        <w:rPr>
          <w:rFonts w:ascii="宋体" w:hAnsi="宋体"/>
          <w:b/>
          <w:color w:val="auto"/>
          <w:sz w:val="28"/>
          <w:szCs w:val="28"/>
          <w:highlight w:val="none"/>
        </w:rPr>
      </w:pPr>
      <w:bookmarkStart w:id="751" w:name="_Toc339360718"/>
      <w:bookmarkStart w:id="752" w:name="_Toc534185830"/>
      <w:bookmarkStart w:id="753" w:name="_Toc57905917"/>
      <w:bookmarkStart w:id="754" w:name="_Toc27983320"/>
      <w:bookmarkStart w:id="755" w:name="_Toc509218853"/>
      <w:bookmarkStart w:id="756" w:name="_Toc430530529"/>
      <w:bookmarkStart w:id="757" w:name="_Toc277082642"/>
      <w:bookmarkStart w:id="758" w:name="_Toc224103494"/>
      <w:bookmarkStart w:id="759" w:name="_Toc287620813"/>
      <w:bookmarkStart w:id="760" w:name="_Toc287607866"/>
      <w:r>
        <w:rPr>
          <w:rFonts w:hint="eastAsia" w:ascii="宋体" w:hAnsi="宋体"/>
          <w:b/>
          <w:color w:val="auto"/>
          <w:sz w:val="28"/>
          <w:szCs w:val="28"/>
          <w:highlight w:val="none"/>
        </w:rPr>
        <w:t>目    录</w:t>
      </w:r>
      <w:bookmarkEnd w:id="751"/>
    </w:p>
    <w:p w14:paraId="03EED584">
      <w:pPr>
        <w:snapToGrid w:val="0"/>
        <w:spacing w:line="500" w:lineRule="exact"/>
        <w:rPr>
          <w:rFonts w:ascii="宋体" w:hAnsi="宋体"/>
          <w:b/>
          <w:color w:val="auto"/>
          <w:sz w:val="24"/>
          <w:highlight w:val="none"/>
        </w:rPr>
      </w:pPr>
      <w:r>
        <w:rPr>
          <w:rFonts w:hint="eastAsia" w:ascii="宋体" w:hAnsi="宋体"/>
          <w:b/>
          <w:color w:val="auto"/>
          <w:sz w:val="24"/>
          <w:highlight w:val="none"/>
        </w:rPr>
        <w:t>一、竞选函部分</w:t>
      </w:r>
    </w:p>
    <w:p w14:paraId="070E6856">
      <w:pPr>
        <w:snapToGrid w:val="0"/>
        <w:spacing w:line="500" w:lineRule="exact"/>
        <w:ind w:firstLine="480" w:firstLineChars="200"/>
        <w:rPr>
          <w:rFonts w:ascii="宋体" w:hAnsi="宋体" w:cs="MingLiU"/>
          <w:color w:val="auto"/>
          <w:kern w:val="0"/>
          <w:sz w:val="24"/>
          <w:highlight w:val="none"/>
        </w:rPr>
      </w:pPr>
      <w:r>
        <w:rPr>
          <w:rFonts w:hint="eastAsia" w:ascii="宋体" w:hAnsi="宋体" w:cs="MingLiU"/>
          <w:color w:val="auto"/>
          <w:kern w:val="0"/>
          <w:sz w:val="24"/>
          <w:highlight w:val="none"/>
        </w:rPr>
        <w:t>（一）竞选函</w:t>
      </w:r>
    </w:p>
    <w:p w14:paraId="2E2653ED">
      <w:pPr>
        <w:snapToGrid w:val="0"/>
        <w:spacing w:line="500" w:lineRule="exact"/>
        <w:ind w:firstLine="480" w:firstLineChars="200"/>
        <w:rPr>
          <w:rFonts w:ascii="宋体" w:hAnsi="宋体" w:cs="MingLiU"/>
          <w:color w:val="auto"/>
          <w:kern w:val="0"/>
          <w:sz w:val="24"/>
          <w:highlight w:val="none"/>
        </w:rPr>
      </w:pPr>
      <w:r>
        <w:rPr>
          <w:rFonts w:hint="eastAsia" w:ascii="宋体" w:hAnsi="宋体" w:cs="MingLiU"/>
          <w:color w:val="auto"/>
          <w:kern w:val="0"/>
          <w:sz w:val="24"/>
          <w:highlight w:val="none"/>
        </w:rPr>
        <w:t>（二）竞选函附录</w:t>
      </w:r>
    </w:p>
    <w:p w14:paraId="63B773E6">
      <w:pPr>
        <w:snapToGrid w:val="0"/>
        <w:spacing w:line="500" w:lineRule="exact"/>
        <w:ind w:firstLine="480" w:firstLineChars="200"/>
        <w:rPr>
          <w:rFonts w:ascii="宋体" w:hAnsi="宋体" w:cs="MingLiU"/>
          <w:color w:val="auto"/>
          <w:kern w:val="0"/>
          <w:sz w:val="24"/>
          <w:highlight w:val="none"/>
        </w:rPr>
      </w:pPr>
      <w:r>
        <w:rPr>
          <w:rFonts w:hint="eastAsia" w:ascii="宋体" w:hAnsi="宋体" w:cs="MingLiU"/>
          <w:color w:val="auto"/>
          <w:kern w:val="0"/>
          <w:sz w:val="24"/>
          <w:highlight w:val="none"/>
        </w:rPr>
        <w:t>（三）法定代表人身份证明或附有法定代表人身份证明的授权委托书</w:t>
      </w:r>
    </w:p>
    <w:p w14:paraId="2D6567A0">
      <w:pPr>
        <w:snapToGrid w:val="0"/>
        <w:spacing w:line="500" w:lineRule="exact"/>
        <w:ind w:firstLine="480" w:firstLineChars="200"/>
        <w:rPr>
          <w:rFonts w:ascii="宋体" w:hAnsi="宋体" w:cs="MingLiU"/>
          <w:color w:val="auto"/>
          <w:kern w:val="0"/>
          <w:sz w:val="24"/>
          <w:highlight w:val="none"/>
        </w:rPr>
      </w:pPr>
      <w:r>
        <w:rPr>
          <w:rFonts w:ascii="宋体" w:hAnsi="宋体" w:cs="MingLiU"/>
          <w:color w:val="auto"/>
          <w:kern w:val="0"/>
          <w:sz w:val="24"/>
          <w:highlight w:val="none"/>
        </w:rPr>
        <w:t>（四）</w:t>
      </w:r>
      <w:r>
        <w:rPr>
          <w:rFonts w:hint="eastAsia" w:ascii="宋体" w:hAnsi="宋体" w:cs="MingLiU"/>
          <w:color w:val="auto"/>
          <w:kern w:val="0"/>
          <w:sz w:val="24"/>
          <w:highlight w:val="none"/>
        </w:rPr>
        <w:t>低价风险担保缴纳承诺书（如有）</w:t>
      </w:r>
    </w:p>
    <w:p w14:paraId="38160D64">
      <w:pPr>
        <w:snapToGrid w:val="0"/>
        <w:spacing w:line="500" w:lineRule="exact"/>
        <w:ind w:firstLine="480" w:firstLineChars="200"/>
        <w:rPr>
          <w:rFonts w:ascii="宋体" w:hAnsi="宋体" w:cs="MingLiU"/>
          <w:color w:val="auto"/>
          <w:kern w:val="0"/>
          <w:sz w:val="24"/>
          <w:highlight w:val="none"/>
        </w:rPr>
      </w:pPr>
      <w:r>
        <w:rPr>
          <w:rFonts w:hint="eastAsia" w:ascii="宋体" w:hAnsi="宋体" w:cs="MingLiU"/>
          <w:color w:val="auto"/>
          <w:kern w:val="0"/>
          <w:sz w:val="24"/>
          <w:highlight w:val="none"/>
        </w:rPr>
        <w:t>（五）投标总报价低于最高限价 85%的书面说明及相关证明材料（如有）</w:t>
      </w:r>
    </w:p>
    <w:p w14:paraId="32BD177C">
      <w:pPr>
        <w:snapToGrid w:val="0"/>
        <w:spacing w:line="500" w:lineRule="exact"/>
        <w:rPr>
          <w:rFonts w:ascii="宋体" w:hAnsi="宋体"/>
          <w:b/>
          <w:color w:val="auto"/>
          <w:sz w:val="24"/>
          <w:highlight w:val="none"/>
        </w:rPr>
      </w:pPr>
      <w:r>
        <w:rPr>
          <w:rFonts w:hint="eastAsia" w:ascii="宋体" w:hAnsi="宋体"/>
          <w:b/>
          <w:color w:val="auto"/>
          <w:sz w:val="24"/>
          <w:highlight w:val="none"/>
        </w:rPr>
        <w:t>二、经济部分</w:t>
      </w:r>
    </w:p>
    <w:p w14:paraId="7DE62056">
      <w:pPr>
        <w:snapToGrid w:val="0"/>
        <w:spacing w:line="500" w:lineRule="exact"/>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已标价工程量清单及组价文件</w:t>
      </w:r>
    </w:p>
    <w:p w14:paraId="2569443E">
      <w:pPr>
        <w:snapToGrid w:val="0"/>
        <w:spacing w:line="500" w:lineRule="exact"/>
        <w:rPr>
          <w:rFonts w:ascii="宋体" w:hAnsi="宋体"/>
          <w:b/>
          <w:color w:val="auto"/>
          <w:sz w:val="24"/>
          <w:highlight w:val="none"/>
        </w:rPr>
      </w:pPr>
      <w:r>
        <w:rPr>
          <w:rFonts w:hint="eastAsia" w:ascii="宋体" w:hAnsi="宋体"/>
          <w:b/>
          <w:color w:val="auto"/>
          <w:sz w:val="24"/>
          <w:highlight w:val="none"/>
        </w:rPr>
        <w:t>三、技术部分</w:t>
      </w:r>
    </w:p>
    <w:p w14:paraId="65DA06F9">
      <w:pPr>
        <w:snapToGrid w:val="0"/>
        <w:spacing w:line="500" w:lineRule="exact"/>
        <w:ind w:firstLine="480" w:firstLineChars="200"/>
        <w:rPr>
          <w:rFonts w:ascii="宋体" w:hAnsi="宋体" w:cs="MingLiU"/>
          <w:color w:val="auto"/>
          <w:kern w:val="0"/>
          <w:sz w:val="24"/>
          <w:highlight w:val="none"/>
        </w:rPr>
      </w:pPr>
      <w:r>
        <w:rPr>
          <w:rFonts w:hint="eastAsia" w:ascii="宋体" w:hAnsi="宋体" w:cs="MingLiU"/>
          <w:color w:val="auto"/>
          <w:kern w:val="0"/>
          <w:sz w:val="24"/>
          <w:highlight w:val="none"/>
        </w:rPr>
        <w:t>技术方案</w:t>
      </w:r>
    </w:p>
    <w:p w14:paraId="3D043770">
      <w:pPr>
        <w:snapToGrid w:val="0"/>
        <w:spacing w:line="500" w:lineRule="exact"/>
        <w:rPr>
          <w:rFonts w:ascii="宋体" w:hAnsi="宋体"/>
          <w:b/>
          <w:color w:val="auto"/>
          <w:sz w:val="24"/>
          <w:highlight w:val="none"/>
        </w:rPr>
      </w:pPr>
      <w:r>
        <w:rPr>
          <w:rFonts w:hint="eastAsia" w:ascii="宋体" w:hAnsi="宋体"/>
          <w:b/>
          <w:color w:val="auto"/>
          <w:sz w:val="24"/>
          <w:highlight w:val="none"/>
        </w:rPr>
        <w:t>四、资格审查资料</w:t>
      </w:r>
    </w:p>
    <w:p w14:paraId="13C0B127">
      <w:pPr>
        <w:autoSpaceDE w:val="0"/>
        <w:autoSpaceDN w:val="0"/>
        <w:adjustRightInd w:val="0"/>
        <w:snapToGrid w:val="0"/>
        <w:spacing w:line="560" w:lineRule="exact"/>
        <w:ind w:firstLine="240" w:firstLineChars="100"/>
        <w:jc w:val="left"/>
        <w:rPr>
          <w:rFonts w:ascii="宋体" w:hAnsi="宋体" w:cs="MingLiU"/>
          <w:color w:val="auto"/>
          <w:kern w:val="0"/>
          <w:sz w:val="24"/>
          <w:highlight w:val="none"/>
        </w:rPr>
      </w:pPr>
      <w:r>
        <w:rPr>
          <w:rFonts w:hint="eastAsia" w:ascii="宋体" w:hAnsi="宋体" w:cs="MingLiU"/>
          <w:color w:val="auto"/>
          <w:kern w:val="0"/>
          <w:sz w:val="24"/>
          <w:highlight w:val="none"/>
        </w:rPr>
        <w:t>（一）法定代表人身份证明或附有法定代表人身份证明的授权委托书</w:t>
      </w:r>
    </w:p>
    <w:p w14:paraId="3F802014">
      <w:pPr>
        <w:autoSpaceDE w:val="0"/>
        <w:autoSpaceDN w:val="0"/>
        <w:adjustRightInd w:val="0"/>
        <w:snapToGrid w:val="0"/>
        <w:spacing w:line="560" w:lineRule="exact"/>
        <w:ind w:firstLine="240" w:firstLineChars="100"/>
        <w:jc w:val="left"/>
        <w:rPr>
          <w:rFonts w:ascii="宋体" w:hAnsi="宋体" w:cs="MingLiU"/>
          <w:color w:val="auto"/>
          <w:kern w:val="0"/>
          <w:sz w:val="24"/>
          <w:highlight w:val="none"/>
        </w:rPr>
      </w:pPr>
      <w:r>
        <w:rPr>
          <w:rFonts w:hint="eastAsia" w:ascii="宋体" w:hAnsi="宋体" w:cs="MingLiU"/>
          <w:color w:val="auto"/>
          <w:kern w:val="0"/>
          <w:sz w:val="24"/>
          <w:highlight w:val="none"/>
        </w:rPr>
        <w:t>（二）竞选人基本情况表</w:t>
      </w:r>
    </w:p>
    <w:p w14:paraId="6E2F121A">
      <w:pPr>
        <w:snapToGrid w:val="0"/>
        <w:spacing w:line="560" w:lineRule="exact"/>
        <w:ind w:firstLine="240" w:firstLineChars="100"/>
        <w:rPr>
          <w:rFonts w:ascii="宋体" w:hAnsi="宋体" w:cs="MingLiU"/>
          <w:color w:val="auto"/>
          <w:kern w:val="0"/>
          <w:sz w:val="24"/>
          <w:highlight w:val="none"/>
        </w:rPr>
      </w:pPr>
      <w:r>
        <w:rPr>
          <w:rFonts w:hint="eastAsia" w:ascii="宋体" w:hAnsi="宋体" w:cs="MingLiU"/>
          <w:color w:val="auto"/>
          <w:kern w:val="0"/>
          <w:sz w:val="24"/>
          <w:highlight w:val="none"/>
        </w:rPr>
        <w:t>（三）项目管理机构</w:t>
      </w:r>
    </w:p>
    <w:p w14:paraId="0003547F">
      <w:pPr>
        <w:snapToGrid w:val="0"/>
        <w:spacing w:line="560" w:lineRule="exact"/>
        <w:ind w:firstLine="240" w:firstLineChars="100"/>
        <w:rPr>
          <w:rFonts w:ascii="宋体" w:hAnsi="宋体" w:cs="MingLiU"/>
          <w:color w:val="auto"/>
          <w:kern w:val="0"/>
          <w:sz w:val="24"/>
          <w:highlight w:val="none"/>
        </w:rPr>
      </w:pPr>
      <w:r>
        <w:rPr>
          <w:rFonts w:ascii="宋体" w:hAnsi="宋体" w:cs="MingLiU"/>
          <w:color w:val="auto"/>
          <w:kern w:val="0"/>
          <w:sz w:val="24"/>
          <w:highlight w:val="none"/>
        </w:rPr>
        <w:t>（</w:t>
      </w:r>
      <w:r>
        <w:rPr>
          <w:rFonts w:hint="eastAsia" w:ascii="宋体" w:hAnsi="宋体" w:cs="MingLiU"/>
          <w:color w:val="auto"/>
          <w:kern w:val="0"/>
          <w:sz w:val="24"/>
          <w:highlight w:val="none"/>
        </w:rPr>
        <w:t>四</w:t>
      </w:r>
      <w:r>
        <w:rPr>
          <w:rFonts w:hint="eastAsia" w:ascii="宋体" w:hAnsi="宋体" w:cs="MingLiU"/>
          <w:color w:val="auto"/>
          <w:kern w:val="0"/>
          <w:sz w:val="24"/>
          <w:highlight w:val="none"/>
          <w:lang w:eastAsia="zh-CN"/>
        </w:rPr>
        <w:t>）</w:t>
      </w:r>
      <w:r>
        <w:rPr>
          <w:rFonts w:hint="eastAsia" w:ascii="宋体" w:hAnsi="宋体" w:cs="MingLiU"/>
          <w:color w:val="auto"/>
          <w:kern w:val="0"/>
          <w:sz w:val="24"/>
          <w:highlight w:val="none"/>
        </w:rPr>
        <w:t>承诺</w:t>
      </w:r>
    </w:p>
    <w:p w14:paraId="2D3F691C">
      <w:pPr>
        <w:pStyle w:val="3"/>
        <w:spacing w:line="560" w:lineRule="exact"/>
        <w:ind w:firstLine="240" w:firstLineChars="100"/>
        <w:rPr>
          <w:color w:val="auto"/>
          <w:highlight w:val="none"/>
        </w:rPr>
      </w:pPr>
      <w:r>
        <w:rPr>
          <w:rFonts w:hint="eastAsia" w:ascii="宋体" w:hAnsi="宋体" w:cs="MingLiU"/>
          <w:color w:val="auto"/>
          <w:kern w:val="0"/>
          <w:sz w:val="24"/>
          <w:highlight w:val="none"/>
        </w:rPr>
        <w:t>（</w:t>
      </w:r>
      <w:r>
        <w:rPr>
          <w:rFonts w:hint="eastAsia" w:ascii="宋体" w:hAnsi="宋体" w:cs="MingLiU"/>
          <w:color w:val="auto"/>
          <w:kern w:val="0"/>
          <w:sz w:val="24"/>
          <w:highlight w:val="none"/>
          <w:lang w:val="en-US" w:eastAsia="zh-CN"/>
        </w:rPr>
        <w:t>五</w:t>
      </w:r>
      <w:r>
        <w:rPr>
          <w:rFonts w:hint="eastAsia" w:ascii="宋体" w:hAnsi="宋体" w:cs="MingLiU"/>
          <w:color w:val="auto"/>
          <w:kern w:val="0"/>
          <w:sz w:val="24"/>
          <w:highlight w:val="none"/>
        </w:rPr>
        <w:t>）其他资料</w:t>
      </w:r>
    </w:p>
    <w:p w14:paraId="2CEE871E">
      <w:pPr>
        <w:autoSpaceDE w:val="0"/>
        <w:autoSpaceDN w:val="0"/>
        <w:adjustRightInd w:val="0"/>
        <w:spacing w:line="276" w:lineRule="auto"/>
        <w:ind w:right="-23"/>
        <w:jc w:val="left"/>
        <w:rPr>
          <w:rFonts w:ascii="宋体" w:hAnsi="宋体"/>
          <w:color w:val="auto"/>
          <w:kern w:val="0"/>
          <w:szCs w:val="21"/>
          <w:highlight w:val="none"/>
          <w:u w:val="single"/>
        </w:rPr>
      </w:pPr>
      <w:r>
        <w:rPr>
          <w:rFonts w:ascii="宋体" w:hAnsi="宋体"/>
          <w:b/>
          <w:color w:val="auto"/>
          <w:kern w:val="0"/>
          <w:sz w:val="24"/>
          <w:highlight w:val="none"/>
        </w:rPr>
        <w:br w:type="page"/>
      </w:r>
    </w:p>
    <w:bookmarkEnd w:id="752"/>
    <w:bookmarkEnd w:id="753"/>
    <w:bookmarkEnd w:id="754"/>
    <w:bookmarkEnd w:id="755"/>
    <w:p w14:paraId="248E4F2E">
      <w:pPr>
        <w:pStyle w:val="5"/>
        <w:spacing w:line="360" w:lineRule="auto"/>
        <w:jc w:val="center"/>
        <w:rPr>
          <w:rFonts w:ascii="宋体" w:hAnsi="宋体"/>
          <w:b w:val="0"/>
          <w:bCs w:val="0"/>
          <w:color w:val="auto"/>
          <w:sz w:val="44"/>
          <w:szCs w:val="44"/>
          <w:highlight w:val="none"/>
        </w:rPr>
      </w:pPr>
      <w:bookmarkStart w:id="761" w:name="_Toc19476"/>
      <w:bookmarkStart w:id="762" w:name="_Toc57905918"/>
      <w:r>
        <w:rPr>
          <w:rFonts w:hint="eastAsia" w:ascii="宋体" w:hAnsi="宋体"/>
          <w:b w:val="0"/>
          <w:bCs w:val="0"/>
          <w:color w:val="auto"/>
          <w:sz w:val="44"/>
          <w:szCs w:val="44"/>
          <w:highlight w:val="none"/>
        </w:rPr>
        <w:t>一、竞选函部分</w:t>
      </w:r>
      <w:bookmarkEnd w:id="756"/>
      <w:bookmarkEnd w:id="757"/>
      <w:bookmarkEnd w:id="758"/>
      <w:bookmarkEnd w:id="759"/>
      <w:bookmarkEnd w:id="760"/>
      <w:bookmarkEnd w:id="761"/>
      <w:bookmarkEnd w:id="762"/>
    </w:p>
    <w:p w14:paraId="1F985B7C">
      <w:pPr>
        <w:spacing w:line="360" w:lineRule="auto"/>
        <w:rPr>
          <w:rFonts w:ascii="宋体" w:hAnsi="宋体"/>
          <w:color w:val="auto"/>
          <w:kern w:val="0"/>
          <w:sz w:val="44"/>
          <w:szCs w:val="44"/>
          <w:highlight w:val="none"/>
        </w:rPr>
      </w:pPr>
    </w:p>
    <w:p w14:paraId="7BC885E3">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C81136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C2EE32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9401FB0">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78B492F">
      <w:pPr>
        <w:autoSpaceDE w:val="0"/>
        <w:autoSpaceDN w:val="0"/>
        <w:adjustRightInd w:val="0"/>
        <w:snapToGrid w:val="0"/>
        <w:spacing w:line="360" w:lineRule="auto"/>
        <w:jc w:val="left"/>
        <w:rPr>
          <w:rFonts w:ascii="宋体" w:hAnsi="宋体"/>
          <w:b/>
          <w:color w:val="auto"/>
          <w:kern w:val="0"/>
          <w:sz w:val="20"/>
          <w:szCs w:val="20"/>
          <w:highlight w:val="none"/>
        </w:rPr>
      </w:pPr>
    </w:p>
    <w:p w14:paraId="1E918D3B">
      <w:pPr>
        <w:autoSpaceDE w:val="0"/>
        <w:autoSpaceDN w:val="0"/>
        <w:adjustRightInd w:val="0"/>
        <w:snapToGrid w:val="0"/>
        <w:spacing w:line="360" w:lineRule="auto"/>
        <w:jc w:val="left"/>
        <w:rPr>
          <w:rFonts w:ascii="宋体" w:hAnsi="宋体"/>
          <w:b/>
          <w:color w:val="auto"/>
          <w:kern w:val="0"/>
          <w:sz w:val="20"/>
          <w:szCs w:val="20"/>
          <w:highlight w:val="none"/>
        </w:rPr>
      </w:pPr>
    </w:p>
    <w:p w14:paraId="4A417645">
      <w:pPr>
        <w:autoSpaceDE w:val="0"/>
        <w:autoSpaceDN w:val="0"/>
        <w:adjustRightInd w:val="0"/>
        <w:snapToGrid w:val="0"/>
        <w:spacing w:line="360" w:lineRule="auto"/>
        <w:jc w:val="left"/>
        <w:rPr>
          <w:rFonts w:ascii="宋体" w:hAnsi="宋体"/>
          <w:b/>
          <w:color w:val="auto"/>
          <w:kern w:val="0"/>
          <w:sz w:val="20"/>
          <w:szCs w:val="20"/>
          <w:highlight w:val="none"/>
        </w:rPr>
      </w:pPr>
    </w:p>
    <w:p w14:paraId="71A94E89">
      <w:pPr>
        <w:autoSpaceDE w:val="0"/>
        <w:autoSpaceDN w:val="0"/>
        <w:adjustRightInd w:val="0"/>
        <w:snapToGrid w:val="0"/>
        <w:spacing w:line="360" w:lineRule="auto"/>
        <w:jc w:val="left"/>
        <w:rPr>
          <w:rFonts w:ascii="宋体" w:hAnsi="宋体"/>
          <w:b/>
          <w:color w:val="auto"/>
          <w:kern w:val="0"/>
          <w:sz w:val="20"/>
          <w:szCs w:val="20"/>
          <w:highlight w:val="none"/>
        </w:rPr>
      </w:pPr>
    </w:p>
    <w:p w14:paraId="2383B4B7">
      <w:pPr>
        <w:autoSpaceDE w:val="0"/>
        <w:autoSpaceDN w:val="0"/>
        <w:adjustRightInd w:val="0"/>
        <w:snapToGrid w:val="0"/>
        <w:spacing w:line="360" w:lineRule="auto"/>
        <w:jc w:val="left"/>
        <w:rPr>
          <w:rFonts w:ascii="宋体" w:hAnsi="宋体"/>
          <w:b/>
          <w:color w:val="auto"/>
          <w:kern w:val="0"/>
          <w:sz w:val="20"/>
          <w:szCs w:val="20"/>
          <w:highlight w:val="none"/>
        </w:rPr>
      </w:pPr>
    </w:p>
    <w:p w14:paraId="1671DA9D">
      <w:pPr>
        <w:autoSpaceDE w:val="0"/>
        <w:autoSpaceDN w:val="0"/>
        <w:adjustRightInd w:val="0"/>
        <w:snapToGrid w:val="0"/>
        <w:spacing w:line="360" w:lineRule="auto"/>
        <w:jc w:val="left"/>
        <w:rPr>
          <w:rFonts w:ascii="宋体" w:hAnsi="宋体"/>
          <w:b/>
          <w:color w:val="auto"/>
          <w:kern w:val="0"/>
          <w:sz w:val="20"/>
          <w:szCs w:val="20"/>
          <w:highlight w:val="none"/>
        </w:rPr>
      </w:pPr>
    </w:p>
    <w:p w14:paraId="6CE66D56">
      <w:pPr>
        <w:autoSpaceDE w:val="0"/>
        <w:autoSpaceDN w:val="0"/>
        <w:adjustRightInd w:val="0"/>
        <w:snapToGrid w:val="0"/>
        <w:spacing w:line="360" w:lineRule="auto"/>
        <w:jc w:val="left"/>
        <w:rPr>
          <w:rFonts w:ascii="宋体" w:hAnsi="宋体"/>
          <w:b/>
          <w:color w:val="auto"/>
          <w:kern w:val="0"/>
          <w:sz w:val="20"/>
          <w:szCs w:val="20"/>
          <w:highlight w:val="none"/>
        </w:rPr>
      </w:pPr>
    </w:p>
    <w:p w14:paraId="4E0D1DA4">
      <w:pPr>
        <w:autoSpaceDE w:val="0"/>
        <w:autoSpaceDN w:val="0"/>
        <w:adjustRightInd w:val="0"/>
        <w:snapToGrid w:val="0"/>
        <w:spacing w:line="360" w:lineRule="auto"/>
        <w:jc w:val="left"/>
        <w:rPr>
          <w:rFonts w:ascii="宋体" w:hAnsi="宋体"/>
          <w:b/>
          <w:color w:val="auto"/>
          <w:kern w:val="0"/>
          <w:sz w:val="20"/>
          <w:szCs w:val="20"/>
          <w:highlight w:val="none"/>
        </w:rPr>
      </w:pPr>
    </w:p>
    <w:p w14:paraId="1B14A4DF">
      <w:pPr>
        <w:autoSpaceDE w:val="0"/>
        <w:autoSpaceDN w:val="0"/>
        <w:adjustRightInd w:val="0"/>
        <w:snapToGrid w:val="0"/>
        <w:spacing w:line="360" w:lineRule="auto"/>
        <w:jc w:val="left"/>
        <w:rPr>
          <w:rFonts w:ascii="宋体" w:hAnsi="宋体"/>
          <w:b/>
          <w:color w:val="auto"/>
          <w:kern w:val="0"/>
          <w:sz w:val="20"/>
          <w:szCs w:val="20"/>
          <w:highlight w:val="none"/>
        </w:rPr>
      </w:pPr>
    </w:p>
    <w:p w14:paraId="302F9B1F">
      <w:pPr>
        <w:autoSpaceDE w:val="0"/>
        <w:autoSpaceDN w:val="0"/>
        <w:adjustRightInd w:val="0"/>
        <w:snapToGrid w:val="0"/>
        <w:spacing w:line="360" w:lineRule="auto"/>
        <w:jc w:val="left"/>
        <w:rPr>
          <w:rFonts w:ascii="宋体" w:hAnsi="宋体"/>
          <w:b/>
          <w:color w:val="auto"/>
          <w:kern w:val="0"/>
          <w:sz w:val="20"/>
          <w:szCs w:val="20"/>
          <w:highlight w:val="none"/>
        </w:rPr>
      </w:pPr>
    </w:p>
    <w:p w14:paraId="46DE8746">
      <w:pPr>
        <w:pStyle w:val="3"/>
        <w:rPr>
          <w:color w:val="auto"/>
          <w:highlight w:val="none"/>
        </w:rPr>
      </w:pPr>
    </w:p>
    <w:p w14:paraId="03A3E584">
      <w:pPr>
        <w:pStyle w:val="65"/>
        <w:rPr>
          <w:rFonts w:eastAsiaTheme="minorEastAsia"/>
          <w:color w:val="auto"/>
          <w:highlight w:val="none"/>
        </w:rPr>
      </w:pPr>
    </w:p>
    <w:p w14:paraId="4C256E3E">
      <w:pPr>
        <w:pStyle w:val="65"/>
        <w:rPr>
          <w:rFonts w:eastAsiaTheme="minorEastAsia"/>
          <w:color w:val="auto"/>
          <w:highlight w:val="none"/>
        </w:rPr>
      </w:pPr>
    </w:p>
    <w:p w14:paraId="6E72E319">
      <w:pPr>
        <w:pStyle w:val="65"/>
        <w:rPr>
          <w:rFonts w:eastAsiaTheme="minorEastAsia"/>
          <w:color w:val="auto"/>
          <w:highlight w:val="none"/>
        </w:rPr>
      </w:pPr>
    </w:p>
    <w:p w14:paraId="711F89DF">
      <w:pPr>
        <w:pStyle w:val="65"/>
        <w:rPr>
          <w:rFonts w:eastAsiaTheme="minorEastAsia"/>
          <w:color w:val="auto"/>
          <w:highlight w:val="none"/>
        </w:rPr>
      </w:pPr>
    </w:p>
    <w:p w14:paraId="2CB25ED6">
      <w:pPr>
        <w:pStyle w:val="65"/>
        <w:rPr>
          <w:rFonts w:eastAsiaTheme="minorEastAsia"/>
          <w:color w:val="auto"/>
          <w:highlight w:val="none"/>
        </w:rPr>
      </w:pPr>
    </w:p>
    <w:p w14:paraId="327C4CA3">
      <w:pPr>
        <w:pStyle w:val="65"/>
        <w:rPr>
          <w:rFonts w:eastAsiaTheme="minorEastAsia"/>
          <w:color w:val="auto"/>
          <w:highlight w:val="none"/>
        </w:rPr>
      </w:pPr>
    </w:p>
    <w:p w14:paraId="054FE382">
      <w:pPr>
        <w:pStyle w:val="65"/>
        <w:rPr>
          <w:rFonts w:eastAsiaTheme="minorEastAsia"/>
          <w:color w:val="auto"/>
          <w:highlight w:val="none"/>
        </w:rPr>
      </w:pPr>
    </w:p>
    <w:p w14:paraId="263950A0">
      <w:pPr>
        <w:pStyle w:val="65"/>
        <w:rPr>
          <w:rFonts w:eastAsiaTheme="minorEastAsia"/>
          <w:color w:val="auto"/>
          <w:highlight w:val="none"/>
        </w:rPr>
      </w:pPr>
    </w:p>
    <w:p w14:paraId="3AF71152">
      <w:pPr>
        <w:pStyle w:val="65"/>
        <w:rPr>
          <w:rFonts w:eastAsiaTheme="minorEastAsia"/>
          <w:color w:val="auto"/>
          <w:highlight w:val="none"/>
        </w:rPr>
      </w:pPr>
    </w:p>
    <w:p w14:paraId="105AEA98">
      <w:pPr>
        <w:pStyle w:val="65"/>
        <w:rPr>
          <w:rFonts w:eastAsiaTheme="minorEastAsia"/>
          <w:color w:val="auto"/>
          <w:highlight w:val="none"/>
        </w:rPr>
      </w:pPr>
    </w:p>
    <w:p w14:paraId="01B60E30">
      <w:pPr>
        <w:pStyle w:val="65"/>
        <w:rPr>
          <w:rFonts w:eastAsiaTheme="minorEastAsia"/>
          <w:color w:val="auto"/>
          <w:highlight w:val="none"/>
        </w:rPr>
      </w:pPr>
    </w:p>
    <w:p w14:paraId="37C03963">
      <w:pPr>
        <w:pStyle w:val="65"/>
        <w:rPr>
          <w:rFonts w:eastAsiaTheme="minorEastAsia"/>
          <w:color w:val="auto"/>
          <w:highlight w:val="none"/>
        </w:rPr>
      </w:pPr>
    </w:p>
    <w:p w14:paraId="6F4C05E7">
      <w:pPr>
        <w:tabs>
          <w:tab w:val="left" w:pos="6080"/>
          <w:tab w:val="left" w:pos="6640"/>
        </w:tabs>
        <w:autoSpaceDE w:val="0"/>
        <w:autoSpaceDN w:val="0"/>
        <w:adjustRightInd w:val="0"/>
        <w:snapToGrid w:val="0"/>
        <w:spacing w:afterLines="50" w:line="360" w:lineRule="auto"/>
        <w:jc w:val="center"/>
        <w:rPr>
          <w:rFonts w:ascii="宋体" w:hAnsi="宋体"/>
          <w:color w:val="auto"/>
          <w:w w:val="99"/>
          <w:kern w:val="0"/>
          <w:sz w:val="28"/>
          <w:szCs w:val="28"/>
          <w:highlight w:val="none"/>
        </w:rPr>
      </w:pPr>
    </w:p>
    <w:p w14:paraId="5BE1BA39">
      <w:pPr>
        <w:pStyle w:val="3"/>
        <w:rPr>
          <w:rFonts w:ascii="宋体" w:hAnsi="宋体"/>
          <w:color w:val="auto"/>
          <w:w w:val="99"/>
          <w:kern w:val="0"/>
          <w:sz w:val="28"/>
          <w:szCs w:val="28"/>
          <w:highlight w:val="none"/>
        </w:rPr>
      </w:pPr>
    </w:p>
    <w:p w14:paraId="40A4C5B2">
      <w:pPr>
        <w:tabs>
          <w:tab w:val="left" w:pos="3395"/>
          <w:tab w:val="left" w:pos="5940"/>
        </w:tabs>
        <w:autoSpaceDE w:val="0"/>
        <w:autoSpaceDN w:val="0"/>
        <w:adjustRightInd w:val="0"/>
        <w:snapToGrid w:val="0"/>
        <w:spacing w:line="360" w:lineRule="auto"/>
        <w:jc w:val="center"/>
        <w:rPr>
          <w:rFonts w:ascii="宋体" w:hAnsi="宋体" w:cs="MingLiU"/>
          <w:b/>
          <w:color w:val="auto"/>
          <w:w w:val="99"/>
          <w:kern w:val="0"/>
          <w:sz w:val="36"/>
          <w:szCs w:val="36"/>
          <w:highlight w:val="none"/>
        </w:rPr>
      </w:pPr>
      <w:r>
        <w:rPr>
          <w:rFonts w:hint="eastAsia" w:ascii="宋体" w:hAnsi="宋体" w:cs="MingLiU"/>
          <w:b/>
          <w:color w:val="auto"/>
          <w:w w:val="99"/>
          <w:kern w:val="0"/>
          <w:sz w:val="36"/>
          <w:szCs w:val="36"/>
          <w:highlight w:val="none"/>
        </w:rPr>
        <w:t>（项目名称）施工比选</w:t>
      </w:r>
    </w:p>
    <w:p w14:paraId="50E4018E">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0D0D7EC">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77A94A8F">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kern w:val="0"/>
          <w:sz w:val="84"/>
          <w:szCs w:val="84"/>
          <w:highlight w:val="none"/>
        </w:rPr>
      </w:pPr>
      <w:r>
        <w:rPr>
          <w:rFonts w:hint="eastAsia" w:ascii="宋体" w:hAnsi="宋体" w:cs="MingLiU"/>
          <w:b/>
          <w:color w:val="auto"/>
          <w:kern w:val="0"/>
          <w:sz w:val="84"/>
          <w:szCs w:val="84"/>
          <w:highlight w:val="none"/>
        </w:rPr>
        <w:t>竞  选  文  件</w:t>
      </w:r>
    </w:p>
    <w:p w14:paraId="27E19CEA">
      <w:pPr>
        <w:autoSpaceDE w:val="0"/>
        <w:autoSpaceDN w:val="0"/>
        <w:adjustRightInd w:val="0"/>
        <w:snapToGrid w:val="0"/>
        <w:spacing w:line="360" w:lineRule="auto"/>
        <w:jc w:val="left"/>
        <w:rPr>
          <w:rFonts w:ascii="宋体" w:hAnsi="宋体" w:cs="MingLiU"/>
          <w:color w:val="auto"/>
          <w:kern w:val="0"/>
          <w:sz w:val="16"/>
          <w:szCs w:val="16"/>
          <w:highlight w:val="none"/>
        </w:rPr>
      </w:pPr>
    </w:p>
    <w:p w14:paraId="42DAB586">
      <w:pPr>
        <w:autoSpaceDE w:val="0"/>
        <w:autoSpaceDN w:val="0"/>
        <w:adjustRightInd w:val="0"/>
        <w:snapToGrid w:val="0"/>
        <w:spacing w:line="360" w:lineRule="auto"/>
        <w:jc w:val="center"/>
        <w:rPr>
          <w:rFonts w:ascii="宋体" w:hAnsi="宋体" w:cs="MingLiU"/>
          <w:b/>
          <w:color w:val="auto"/>
          <w:kern w:val="0"/>
          <w:sz w:val="36"/>
          <w:szCs w:val="36"/>
          <w:highlight w:val="none"/>
        </w:rPr>
      </w:pPr>
      <w:r>
        <w:rPr>
          <w:rFonts w:hint="eastAsia" w:ascii="宋体" w:hAnsi="宋体" w:cs="MingLiU"/>
          <w:b/>
          <w:color w:val="auto"/>
          <w:kern w:val="0"/>
          <w:sz w:val="36"/>
          <w:szCs w:val="36"/>
          <w:highlight w:val="none"/>
        </w:rPr>
        <w:t>竞选函部分</w:t>
      </w:r>
    </w:p>
    <w:p w14:paraId="01205D3F">
      <w:pPr>
        <w:autoSpaceDE w:val="0"/>
        <w:autoSpaceDN w:val="0"/>
        <w:adjustRightInd w:val="0"/>
        <w:snapToGrid w:val="0"/>
        <w:spacing w:line="360" w:lineRule="auto"/>
        <w:jc w:val="left"/>
        <w:rPr>
          <w:rFonts w:ascii="宋体" w:hAnsi="宋体" w:cs="MingLiU"/>
          <w:b/>
          <w:color w:val="auto"/>
          <w:kern w:val="0"/>
          <w:sz w:val="20"/>
          <w:szCs w:val="20"/>
          <w:highlight w:val="none"/>
        </w:rPr>
      </w:pPr>
    </w:p>
    <w:p w14:paraId="3A21309D">
      <w:pPr>
        <w:autoSpaceDE w:val="0"/>
        <w:autoSpaceDN w:val="0"/>
        <w:adjustRightInd w:val="0"/>
        <w:snapToGrid w:val="0"/>
        <w:spacing w:line="360" w:lineRule="auto"/>
        <w:jc w:val="left"/>
        <w:rPr>
          <w:rFonts w:ascii="宋体" w:hAnsi="宋体" w:cs="MingLiU"/>
          <w:b/>
          <w:color w:val="auto"/>
          <w:kern w:val="0"/>
          <w:sz w:val="20"/>
          <w:szCs w:val="20"/>
          <w:highlight w:val="none"/>
        </w:rPr>
      </w:pPr>
    </w:p>
    <w:p w14:paraId="08263801">
      <w:pPr>
        <w:autoSpaceDE w:val="0"/>
        <w:autoSpaceDN w:val="0"/>
        <w:adjustRightInd w:val="0"/>
        <w:snapToGrid w:val="0"/>
        <w:spacing w:line="360" w:lineRule="auto"/>
        <w:jc w:val="left"/>
        <w:rPr>
          <w:rFonts w:ascii="宋体" w:hAnsi="宋体" w:cs="MingLiU"/>
          <w:b/>
          <w:color w:val="auto"/>
          <w:kern w:val="0"/>
          <w:sz w:val="20"/>
          <w:szCs w:val="20"/>
          <w:highlight w:val="none"/>
        </w:rPr>
      </w:pPr>
    </w:p>
    <w:p w14:paraId="0BC5C21C">
      <w:pPr>
        <w:autoSpaceDE w:val="0"/>
        <w:autoSpaceDN w:val="0"/>
        <w:adjustRightInd w:val="0"/>
        <w:snapToGrid w:val="0"/>
        <w:spacing w:line="360" w:lineRule="auto"/>
        <w:jc w:val="left"/>
        <w:rPr>
          <w:rFonts w:ascii="宋体" w:hAnsi="宋体" w:cs="MingLiU"/>
          <w:b/>
          <w:color w:val="auto"/>
          <w:kern w:val="0"/>
          <w:sz w:val="20"/>
          <w:szCs w:val="20"/>
          <w:highlight w:val="none"/>
        </w:rPr>
      </w:pPr>
    </w:p>
    <w:p w14:paraId="76C63C01">
      <w:pPr>
        <w:autoSpaceDE w:val="0"/>
        <w:autoSpaceDN w:val="0"/>
        <w:adjustRightInd w:val="0"/>
        <w:snapToGrid w:val="0"/>
        <w:spacing w:line="360" w:lineRule="auto"/>
        <w:jc w:val="left"/>
        <w:rPr>
          <w:rFonts w:ascii="宋体" w:hAnsi="宋体" w:cs="MingLiU"/>
          <w:b/>
          <w:color w:val="auto"/>
          <w:kern w:val="0"/>
          <w:sz w:val="20"/>
          <w:szCs w:val="20"/>
          <w:highlight w:val="none"/>
        </w:rPr>
      </w:pPr>
    </w:p>
    <w:p w14:paraId="5270D2EA">
      <w:pPr>
        <w:autoSpaceDE w:val="0"/>
        <w:autoSpaceDN w:val="0"/>
        <w:adjustRightInd w:val="0"/>
        <w:snapToGrid w:val="0"/>
        <w:spacing w:line="360" w:lineRule="auto"/>
        <w:jc w:val="left"/>
        <w:rPr>
          <w:rFonts w:ascii="宋体" w:hAnsi="宋体" w:cs="MingLiU"/>
          <w:b/>
          <w:color w:val="auto"/>
          <w:kern w:val="0"/>
          <w:sz w:val="20"/>
          <w:szCs w:val="20"/>
          <w:highlight w:val="none"/>
        </w:rPr>
      </w:pPr>
    </w:p>
    <w:p w14:paraId="7DA9DA78">
      <w:pPr>
        <w:tabs>
          <w:tab w:val="left" w:pos="6080"/>
          <w:tab w:val="left" w:pos="6640"/>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cs="MingLiU"/>
          <w:b/>
          <w:color w:val="auto"/>
          <w:w w:val="99"/>
          <w:kern w:val="0"/>
          <w:sz w:val="28"/>
          <w:szCs w:val="28"/>
          <w:highlight w:val="none"/>
        </w:rPr>
        <w:t>竞选人</w:t>
      </w:r>
      <w:r>
        <w:rPr>
          <w:rFonts w:hint="eastAsia" w:ascii="宋体" w:hAnsi="宋体" w:cs="MingLiU"/>
          <w:b/>
          <w:color w:val="auto"/>
          <w:spacing w:val="1"/>
          <w:w w:val="99"/>
          <w:kern w:val="0"/>
          <w:sz w:val="28"/>
          <w:szCs w:val="28"/>
          <w:highlight w:val="none"/>
        </w:rPr>
        <w:t>：</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（盖单位公章）</w:t>
      </w:r>
    </w:p>
    <w:p w14:paraId="34EAA52F">
      <w:pPr>
        <w:tabs>
          <w:tab w:val="left" w:pos="6080"/>
          <w:tab w:val="left" w:pos="6640"/>
        </w:tabs>
        <w:autoSpaceDE w:val="0"/>
        <w:autoSpaceDN w:val="0"/>
        <w:adjustRightInd w:val="0"/>
        <w:snapToGrid w:val="0"/>
        <w:spacing w:line="360" w:lineRule="auto"/>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rPr>
        <w:t>法定代表人或其委托代理人：</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（签字）</w:t>
      </w:r>
    </w:p>
    <w:p w14:paraId="501F6042">
      <w:pPr>
        <w:tabs>
          <w:tab w:val="left" w:pos="3280"/>
          <w:tab w:val="left" w:pos="4680"/>
          <w:tab w:val="left" w:pos="6080"/>
        </w:tabs>
        <w:autoSpaceDE w:val="0"/>
        <w:autoSpaceDN w:val="0"/>
        <w:adjustRightInd w:val="0"/>
        <w:snapToGrid w:val="0"/>
        <w:spacing w:line="360" w:lineRule="auto"/>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u w:val="single"/>
        </w:rPr>
        <w:t xml:space="preserve">     　</w:t>
      </w:r>
      <w:r>
        <w:rPr>
          <w:rFonts w:hint="eastAsia" w:ascii="宋体" w:hAnsi="宋体" w:cs="MingLiU"/>
          <w:b/>
          <w:color w:val="auto"/>
          <w:w w:val="99"/>
          <w:kern w:val="0"/>
          <w:sz w:val="28"/>
          <w:szCs w:val="28"/>
          <w:highlight w:val="none"/>
        </w:rPr>
        <w:t>年月日</w:t>
      </w:r>
    </w:p>
    <w:p w14:paraId="46845656">
      <w:pPr>
        <w:autoSpaceDE w:val="0"/>
        <w:autoSpaceDN w:val="0"/>
        <w:adjustRightInd w:val="0"/>
        <w:snapToGrid w:val="0"/>
        <w:spacing w:line="360" w:lineRule="auto"/>
        <w:jc w:val="left"/>
        <w:rPr>
          <w:rFonts w:ascii="宋体" w:hAnsi="宋体" w:cs="MingLiU"/>
          <w:color w:val="auto"/>
          <w:kern w:val="0"/>
          <w:sz w:val="24"/>
          <w:szCs w:val="21"/>
          <w:highlight w:val="none"/>
        </w:rPr>
      </w:pPr>
      <w:r>
        <w:rPr>
          <w:rFonts w:hint="eastAsia" w:ascii="宋体" w:hAnsi="宋体" w:cs="MingLiU"/>
          <w:color w:val="auto"/>
          <w:kern w:val="0"/>
          <w:sz w:val="24"/>
          <w:szCs w:val="21"/>
          <w:highlight w:val="none"/>
        </w:rPr>
        <w:br w:type="page"/>
      </w:r>
    </w:p>
    <w:p w14:paraId="615FECA7">
      <w:pPr>
        <w:autoSpaceDE w:val="0"/>
        <w:autoSpaceDN w:val="0"/>
        <w:adjustRightInd w:val="0"/>
        <w:snapToGrid w:val="0"/>
        <w:spacing w:line="360" w:lineRule="auto"/>
        <w:jc w:val="center"/>
        <w:rPr>
          <w:rFonts w:ascii="宋体" w:hAnsi="宋体" w:cs="MingLiU"/>
          <w:b/>
          <w:color w:val="auto"/>
          <w:kern w:val="0"/>
          <w:sz w:val="32"/>
          <w:szCs w:val="32"/>
          <w:highlight w:val="none"/>
        </w:rPr>
      </w:pPr>
      <w:r>
        <w:rPr>
          <w:rFonts w:hint="eastAsia" w:ascii="宋体" w:hAnsi="宋体" w:cs="MingLiU"/>
          <w:b/>
          <w:color w:val="auto"/>
          <w:kern w:val="0"/>
          <w:sz w:val="32"/>
          <w:szCs w:val="32"/>
          <w:highlight w:val="none"/>
        </w:rPr>
        <w:t>目     录</w:t>
      </w:r>
    </w:p>
    <w:p w14:paraId="3659408B">
      <w:pPr>
        <w:autoSpaceDE w:val="0"/>
        <w:autoSpaceDN w:val="0"/>
        <w:adjustRightInd w:val="0"/>
        <w:snapToGrid w:val="0"/>
        <w:spacing w:line="360" w:lineRule="auto"/>
        <w:jc w:val="left"/>
        <w:rPr>
          <w:rFonts w:ascii="宋体" w:hAnsi="宋体" w:cs="MingLiU"/>
          <w:color w:val="auto"/>
          <w:kern w:val="0"/>
          <w:sz w:val="24"/>
          <w:szCs w:val="21"/>
          <w:highlight w:val="none"/>
        </w:rPr>
      </w:pPr>
    </w:p>
    <w:p w14:paraId="2F42ACB7">
      <w:pPr>
        <w:autoSpaceDE w:val="0"/>
        <w:autoSpaceDN w:val="0"/>
        <w:adjustRightInd w:val="0"/>
        <w:spacing w:line="360"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（一）竞选函</w:t>
      </w:r>
    </w:p>
    <w:p w14:paraId="124767FA">
      <w:pPr>
        <w:autoSpaceDE w:val="0"/>
        <w:autoSpaceDN w:val="0"/>
        <w:adjustRightInd w:val="0"/>
        <w:spacing w:line="360"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（二）竞选函附录</w:t>
      </w:r>
    </w:p>
    <w:p w14:paraId="06AC92BB">
      <w:pPr>
        <w:autoSpaceDE w:val="0"/>
        <w:autoSpaceDN w:val="0"/>
        <w:adjustRightInd w:val="0"/>
        <w:spacing w:line="360"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（三）法定代表人身份证明或附有法定代表人身份证明的授权委托书</w:t>
      </w:r>
    </w:p>
    <w:p w14:paraId="671062BC">
      <w:pPr>
        <w:autoSpaceDE w:val="0"/>
        <w:autoSpaceDN w:val="0"/>
        <w:adjustRightInd w:val="0"/>
        <w:spacing w:line="360" w:lineRule="auto"/>
        <w:ind w:right="-20"/>
        <w:jc w:val="left"/>
        <w:rPr>
          <w:rFonts w:ascii="宋体" w:hAnsi="宋体" w:cs="MingLiU"/>
          <w:color w:val="auto"/>
          <w:kern w:val="0"/>
          <w:sz w:val="24"/>
          <w:highlight w:val="none"/>
        </w:rPr>
      </w:pPr>
      <w:r>
        <w:rPr>
          <w:rFonts w:ascii="宋体" w:hAnsi="宋体" w:cs="MingLiU"/>
          <w:color w:val="auto"/>
          <w:kern w:val="0"/>
          <w:sz w:val="24"/>
          <w:highlight w:val="none"/>
        </w:rPr>
        <w:t>（四）</w:t>
      </w:r>
      <w:r>
        <w:rPr>
          <w:rFonts w:hint="eastAsia" w:ascii="宋体" w:hAnsi="宋体" w:cs="MingLiU"/>
          <w:color w:val="auto"/>
          <w:kern w:val="0"/>
          <w:sz w:val="24"/>
          <w:highlight w:val="none"/>
        </w:rPr>
        <w:t>低价风险担保缴纳承诺书（如有）</w:t>
      </w:r>
    </w:p>
    <w:p w14:paraId="2BCAD022">
      <w:pPr>
        <w:snapToGrid w:val="0"/>
        <w:spacing w:line="500" w:lineRule="exact"/>
        <w:rPr>
          <w:rFonts w:ascii="宋体" w:hAnsi="宋体" w:cs="MingLiU"/>
          <w:color w:val="auto"/>
          <w:kern w:val="0"/>
          <w:sz w:val="24"/>
          <w:highlight w:val="none"/>
        </w:rPr>
      </w:pPr>
      <w:r>
        <w:rPr>
          <w:rFonts w:hint="eastAsia" w:ascii="宋体" w:hAnsi="宋体" w:cs="MingLiU"/>
          <w:color w:val="auto"/>
          <w:kern w:val="0"/>
          <w:sz w:val="24"/>
          <w:highlight w:val="none"/>
        </w:rPr>
        <w:t>（五）投标总报价低于最高限价 85%的书面说明及相关证明材料（如有）</w:t>
      </w:r>
    </w:p>
    <w:p w14:paraId="3D4ECAB5">
      <w:pPr>
        <w:rPr>
          <w:color w:val="auto"/>
          <w:highlight w:val="none"/>
        </w:rPr>
      </w:pPr>
    </w:p>
    <w:p w14:paraId="446C4FF7">
      <w:pPr>
        <w:pStyle w:val="6"/>
        <w:spacing w:before="0" w:after="0" w:line="400" w:lineRule="exact"/>
        <w:jc w:val="center"/>
        <w:rPr>
          <w:color w:val="auto"/>
          <w:highlight w:val="none"/>
        </w:rPr>
      </w:pPr>
      <w:bookmarkStart w:id="763" w:name="_Toc57905919"/>
      <w:bookmarkStart w:id="764" w:name="_Toc26071"/>
      <w:bookmarkStart w:id="765" w:name="_Toc534185831"/>
      <w:bookmarkStart w:id="766" w:name="_Toc277082643"/>
      <w:bookmarkStart w:id="767" w:name="_Toc430530530"/>
      <w:bookmarkStart w:id="768" w:name="_Toc287607867"/>
      <w:bookmarkStart w:id="769" w:name="_Toc287620814"/>
      <w:bookmarkStart w:id="770" w:name="_Toc509218854"/>
      <w:bookmarkStart w:id="771" w:name="_Toc224103495"/>
    </w:p>
    <w:p w14:paraId="794C7246">
      <w:pPr>
        <w:pStyle w:val="6"/>
        <w:spacing w:before="0" w:after="0" w:line="400" w:lineRule="exact"/>
        <w:jc w:val="center"/>
        <w:rPr>
          <w:color w:val="auto"/>
          <w:highlight w:val="none"/>
        </w:rPr>
      </w:pPr>
    </w:p>
    <w:p w14:paraId="15D9D2F8">
      <w:pPr>
        <w:pStyle w:val="6"/>
        <w:spacing w:before="0" w:after="0" w:line="400" w:lineRule="exact"/>
        <w:jc w:val="center"/>
        <w:rPr>
          <w:color w:val="auto"/>
          <w:highlight w:val="none"/>
        </w:rPr>
      </w:pPr>
    </w:p>
    <w:p w14:paraId="07249F9E">
      <w:pPr>
        <w:pStyle w:val="6"/>
        <w:spacing w:before="0" w:after="0" w:line="400" w:lineRule="exact"/>
        <w:jc w:val="center"/>
        <w:rPr>
          <w:color w:val="auto"/>
          <w:highlight w:val="none"/>
        </w:rPr>
      </w:pPr>
    </w:p>
    <w:p w14:paraId="2C1C3618">
      <w:pPr>
        <w:pStyle w:val="6"/>
        <w:spacing w:before="0" w:after="0" w:line="400" w:lineRule="exact"/>
        <w:jc w:val="center"/>
        <w:rPr>
          <w:color w:val="auto"/>
          <w:highlight w:val="none"/>
        </w:rPr>
      </w:pPr>
    </w:p>
    <w:p w14:paraId="14E1C4D8">
      <w:pPr>
        <w:pStyle w:val="6"/>
        <w:spacing w:before="0" w:after="0" w:line="400" w:lineRule="exact"/>
        <w:jc w:val="center"/>
        <w:rPr>
          <w:color w:val="auto"/>
          <w:highlight w:val="none"/>
        </w:rPr>
      </w:pPr>
    </w:p>
    <w:p w14:paraId="69ECD8B7">
      <w:pPr>
        <w:pStyle w:val="6"/>
        <w:spacing w:before="0" w:after="0" w:line="400" w:lineRule="exact"/>
        <w:jc w:val="center"/>
        <w:rPr>
          <w:color w:val="auto"/>
          <w:highlight w:val="none"/>
        </w:rPr>
      </w:pPr>
    </w:p>
    <w:p w14:paraId="3E87BA96">
      <w:pPr>
        <w:pStyle w:val="6"/>
        <w:spacing w:before="0" w:after="0" w:line="400" w:lineRule="exact"/>
        <w:jc w:val="center"/>
        <w:rPr>
          <w:color w:val="auto"/>
          <w:highlight w:val="none"/>
        </w:rPr>
      </w:pPr>
    </w:p>
    <w:p w14:paraId="3BB01922">
      <w:pPr>
        <w:pStyle w:val="6"/>
        <w:spacing w:before="0" w:after="0" w:line="400" w:lineRule="exact"/>
        <w:jc w:val="center"/>
        <w:rPr>
          <w:color w:val="auto"/>
          <w:highlight w:val="none"/>
        </w:rPr>
      </w:pPr>
    </w:p>
    <w:p w14:paraId="477ECAF8">
      <w:pPr>
        <w:pStyle w:val="6"/>
        <w:spacing w:before="0" w:after="0" w:line="400" w:lineRule="exact"/>
        <w:jc w:val="center"/>
        <w:rPr>
          <w:color w:val="auto"/>
          <w:highlight w:val="none"/>
        </w:rPr>
      </w:pPr>
    </w:p>
    <w:p w14:paraId="2630A8FC">
      <w:pPr>
        <w:pStyle w:val="6"/>
        <w:spacing w:before="0" w:after="0" w:line="400" w:lineRule="exact"/>
        <w:jc w:val="center"/>
        <w:rPr>
          <w:color w:val="auto"/>
          <w:highlight w:val="none"/>
        </w:rPr>
      </w:pPr>
    </w:p>
    <w:p w14:paraId="344493C6">
      <w:pPr>
        <w:pStyle w:val="6"/>
        <w:spacing w:before="0" w:after="0" w:line="400" w:lineRule="exact"/>
        <w:jc w:val="center"/>
        <w:rPr>
          <w:color w:val="auto"/>
          <w:highlight w:val="none"/>
        </w:rPr>
      </w:pPr>
    </w:p>
    <w:p w14:paraId="4B9813B6">
      <w:pPr>
        <w:rPr>
          <w:color w:val="auto"/>
          <w:highlight w:val="none"/>
        </w:rPr>
      </w:pPr>
    </w:p>
    <w:p w14:paraId="3CA638C3">
      <w:pPr>
        <w:pStyle w:val="6"/>
        <w:spacing w:before="0" w:after="0" w:line="400" w:lineRule="exact"/>
        <w:jc w:val="center"/>
        <w:rPr>
          <w:color w:val="auto"/>
          <w:highlight w:val="none"/>
        </w:rPr>
      </w:pPr>
    </w:p>
    <w:p w14:paraId="38648A5C">
      <w:pPr>
        <w:pStyle w:val="6"/>
        <w:spacing w:before="0" w:after="0" w:line="400" w:lineRule="exact"/>
        <w:jc w:val="center"/>
        <w:rPr>
          <w:color w:val="auto"/>
          <w:highlight w:val="none"/>
        </w:rPr>
      </w:pPr>
    </w:p>
    <w:p w14:paraId="0C44BD61">
      <w:pPr>
        <w:pStyle w:val="6"/>
        <w:spacing w:before="0" w:after="0" w:line="400" w:lineRule="exact"/>
        <w:jc w:val="center"/>
        <w:rPr>
          <w:color w:val="auto"/>
          <w:highlight w:val="none"/>
        </w:rPr>
      </w:pPr>
    </w:p>
    <w:p w14:paraId="72D15923">
      <w:pPr>
        <w:pStyle w:val="6"/>
        <w:spacing w:before="0" w:after="0" w:line="400" w:lineRule="exact"/>
        <w:jc w:val="center"/>
        <w:rPr>
          <w:color w:val="auto"/>
          <w:highlight w:val="none"/>
        </w:rPr>
      </w:pPr>
    </w:p>
    <w:p w14:paraId="406D5321">
      <w:pPr>
        <w:pStyle w:val="6"/>
        <w:spacing w:before="0" w:after="0" w:line="400" w:lineRule="exact"/>
        <w:jc w:val="center"/>
        <w:rPr>
          <w:color w:val="auto"/>
          <w:highlight w:val="none"/>
        </w:rPr>
      </w:pPr>
    </w:p>
    <w:p w14:paraId="47620C5F">
      <w:pPr>
        <w:pStyle w:val="6"/>
        <w:spacing w:before="0" w:after="0" w:line="400" w:lineRule="exact"/>
        <w:jc w:val="center"/>
        <w:rPr>
          <w:color w:val="auto"/>
          <w:highlight w:val="none"/>
        </w:rPr>
      </w:pPr>
    </w:p>
    <w:p w14:paraId="6D3314B2">
      <w:pPr>
        <w:pStyle w:val="6"/>
        <w:spacing w:before="0" w:after="0" w:line="400" w:lineRule="exact"/>
        <w:jc w:val="center"/>
        <w:rPr>
          <w:color w:val="auto"/>
          <w:highlight w:val="none"/>
        </w:rPr>
      </w:pPr>
    </w:p>
    <w:p w14:paraId="7E1D36C1">
      <w:pPr>
        <w:pStyle w:val="6"/>
        <w:spacing w:before="0" w:after="0" w:line="400" w:lineRule="exact"/>
        <w:jc w:val="center"/>
        <w:rPr>
          <w:color w:val="auto"/>
          <w:highlight w:val="none"/>
        </w:rPr>
      </w:pPr>
    </w:p>
    <w:p w14:paraId="7C6A366F">
      <w:pPr>
        <w:pStyle w:val="6"/>
        <w:spacing w:before="0" w:after="0" w:line="400" w:lineRule="exact"/>
        <w:jc w:val="center"/>
        <w:rPr>
          <w:color w:val="auto"/>
          <w:highlight w:val="none"/>
        </w:rPr>
      </w:pPr>
    </w:p>
    <w:p w14:paraId="49986962">
      <w:pPr>
        <w:pStyle w:val="6"/>
        <w:spacing w:before="0" w:after="0" w:line="400" w:lineRule="exact"/>
        <w:rPr>
          <w:color w:val="auto"/>
          <w:highlight w:val="none"/>
        </w:rPr>
      </w:pPr>
    </w:p>
    <w:p w14:paraId="7E64CFCC">
      <w:pPr>
        <w:rPr>
          <w:color w:val="auto"/>
          <w:highlight w:val="none"/>
        </w:rPr>
      </w:pPr>
    </w:p>
    <w:p w14:paraId="12E67C63">
      <w:pPr>
        <w:pStyle w:val="3"/>
        <w:rPr>
          <w:color w:val="auto"/>
          <w:highlight w:val="none"/>
        </w:rPr>
      </w:pPr>
    </w:p>
    <w:p w14:paraId="4E9C430A">
      <w:pPr>
        <w:pStyle w:val="6"/>
        <w:spacing w:before="0" w:after="0" w:line="240" w:lineRule="auto"/>
        <w:ind w:firstLine="3855" w:firstLineChars="1200"/>
        <w:rPr>
          <w:rFonts w:ascii="宋体" w:hAnsi="宋体"/>
          <w:b w:val="0"/>
          <w:color w:val="auto"/>
          <w:highlight w:val="none"/>
        </w:rPr>
      </w:pPr>
      <w:r>
        <w:rPr>
          <w:rFonts w:hint="eastAsia"/>
          <w:color w:val="auto"/>
          <w:highlight w:val="none"/>
        </w:rPr>
        <w:t>（一）</w:t>
      </w:r>
      <w:r>
        <w:rPr>
          <w:rFonts w:hint="eastAsia" w:ascii="宋体" w:hAnsi="宋体"/>
          <w:snapToGrid w:val="0"/>
          <w:color w:val="auto"/>
          <w:kern w:val="0"/>
          <w:szCs w:val="21"/>
          <w:highlight w:val="none"/>
        </w:rPr>
        <w:t>竞选</w:t>
      </w:r>
      <w:r>
        <w:rPr>
          <w:rFonts w:hint="eastAsia"/>
          <w:color w:val="auto"/>
          <w:highlight w:val="none"/>
        </w:rPr>
        <w:t>函</w:t>
      </w:r>
      <w:bookmarkEnd w:id="763"/>
      <w:bookmarkEnd w:id="764"/>
      <w:bookmarkEnd w:id="765"/>
      <w:bookmarkEnd w:id="766"/>
      <w:bookmarkEnd w:id="767"/>
      <w:bookmarkEnd w:id="768"/>
      <w:bookmarkEnd w:id="769"/>
      <w:bookmarkEnd w:id="770"/>
      <w:bookmarkEnd w:id="771"/>
    </w:p>
    <w:p w14:paraId="69675650">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04B0B17D">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比选项目名称</w:t>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安全文明施工费金额为人民币</w:t>
      </w:r>
      <w:r>
        <w:rPr>
          <w:rFonts w:ascii="宋体" w:hAnsi="宋体"/>
          <w:snapToGrid w:val="0"/>
          <w:color w:val="auto"/>
          <w:kern w:val="0"/>
          <w:szCs w:val="21"/>
          <w:highlight w:val="none"/>
        </w:rPr>
        <w:t>（大写）（¥</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highlight w:val="none"/>
        </w:rPr>
        <w:t>，</w:t>
      </w:r>
      <w:r>
        <w:rPr>
          <w:rFonts w:hint="eastAsia" w:ascii="宋体" w:hAnsi="宋体" w:cs="宋体"/>
          <w:snapToGrid w:val="0"/>
          <w:color w:val="auto"/>
          <w:kern w:val="0"/>
          <w:szCs w:val="21"/>
          <w:highlight w:val="none"/>
        </w:rPr>
        <w:t>身份证号码为</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；委托代理人为：</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rPr>
        <w:t>，</w:t>
      </w:r>
      <w:r>
        <w:rPr>
          <w:rFonts w:hint="eastAsia" w:ascii="宋体" w:hAnsi="宋体" w:cs="宋体"/>
          <w:snapToGrid w:val="0"/>
          <w:color w:val="auto"/>
          <w:kern w:val="0"/>
          <w:szCs w:val="21"/>
          <w:highlight w:val="none"/>
        </w:rPr>
        <w:t>身份证号码为</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cs="宋体"/>
          <w:snapToGrid w:val="0"/>
          <w:color w:val="auto"/>
          <w:kern w:val="0"/>
          <w:szCs w:val="21"/>
          <w:highlight w:val="none"/>
        </w:rPr>
        <w:t>工期</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缺陷责任期</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rPr>
        <w:t>竞选文件的要求</w:t>
      </w:r>
      <w:r>
        <w:rPr>
          <w:rFonts w:ascii="宋体" w:hAnsi="宋体"/>
          <w:snapToGrid w:val="0"/>
          <w:color w:val="auto"/>
          <w:kern w:val="0"/>
          <w:szCs w:val="21"/>
          <w:highlight w:val="none"/>
        </w:rPr>
        <w:t>。</w:t>
      </w:r>
    </w:p>
    <w:p w14:paraId="7CBCE808">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响应竞选文件规定的投标有效期，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18860B5E">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的相关规定，投标保证金的受益人为</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2FE27EE3">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3F8E09F9">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42A5E6DB">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3ED98959">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规定向你方递交履约担保。</w:t>
      </w:r>
    </w:p>
    <w:p w14:paraId="53E4E56B">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4877C277">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rPr>
        <w:t>竞选人须知</w:t>
      </w:r>
      <w:r>
        <w:rPr>
          <w:rFonts w:ascii="宋体" w:hAnsi="宋体"/>
          <w:snapToGrid w:val="0"/>
          <w:color w:val="auto"/>
          <w:kern w:val="0"/>
          <w:szCs w:val="21"/>
          <w:highlight w:val="none"/>
        </w:rPr>
        <w:t>”第 1.4.3 项规定的任何一种情形。同时我方承诺接受</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27C30D92">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76FFC8FA">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3077061E">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41D1946D">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地址：</w:t>
      </w:r>
    </w:p>
    <w:p w14:paraId="163D0B7B">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网址：</w:t>
      </w:r>
    </w:p>
    <w:p w14:paraId="20AF3E98">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单位电话（座机）：委托代理人电话（手机）：</w:t>
      </w:r>
    </w:p>
    <w:p w14:paraId="203993E8">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传真：</w:t>
      </w:r>
    </w:p>
    <w:p w14:paraId="55F76201">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p>
    <w:p w14:paraId="36088FB8">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4EAAC049">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ascii="宋体" w:hAnsi="宋体"/>
          <w:color w:val="auto"/>
          <w:kern w:val="0"/>
          <w:szCs w:val="21"/>
          <w:highlight w:val="none"/>
        </w:rPr>
        <w:t>年月日</w:t>
      </w:r>
    </w:p>
    <w:p w14:paraId="4952E7FE">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3106E181">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0FE80578">
      <w:pPr>
        <w:pStyle w:val="6"/>
        <w:jc w:val="center"/>
        <w:rPr>
          <w:rFonts w:ascii="宋体" w:hAnsi="宋体"/>
          <w:snapToGrid w:val="0"/>
          <w:color w:val="auto"/>
          <w:kern w:val="0"/>
          <w:szCs w:val="21"/>
          <w:highlight w:val="none"/>
        </w:rPr>
      </w:pPr>
      <w:bookmarkStart w:id="772" w:name="_Toc277082644"/>
      <w:bookmarkStart w:id="773" w:name="_Toc287620815"/>
      <w:bookmarkStart w:id="774" w:name="_Toc224103496"/>
      <w:bookmarkStart w:id="775" w:name="_Toc430530531"/>
      <w:bookmarkStart w:id="776" w:name="_Toc287607868"/>
      <w:r>
        <w:rPr>
          <w:rFonts w:ascii="宋体" w:hAnsi="宋体"/>
          <w:color w:val="auto"/>
          <w:sz w:val="28"/>
          <w:highlight w:val="none"/>
        </w:rPr>
        <w:br w:type="page"/>
      </w:r>
      <w:bookmarkStart w:id="777" w:name="_Toc57905920"/>
      <w:bookmarkStart w:id="778" w:name="_Toc509218855"/>
      <w:bookmarkStart w:id="779" w:name="_Toc30967"/>
      <w:bookmarkStart w:id="780" w:name="_Toc534185832"/>
      <w:r>
        <w:rPr>
          <w:color w:val="auto"/>
          <w:highlight w:val="none"/>
        </w:rPr>
        <w:t>（二）</w:t>
      </w:r>
      <w:r>
        <w:rPr>
          <w:rFonts w:hint="eastAsia"/>
          <w:color w:val="auto"/>
          <w:highlight w:val="none"/>
        </w:rPr>
        <w:t>竞选函</w:t>
      </w:r>
      <w:r>
        <w:rPr>
          <w:color w:val="auto"/>
          <w:highlight w:val="none"/>
        </w:rPr>
        <w:t>附录</w:t>
      </w:r>
      <w:bookmarkEnd w:id="772"/>
      <w:bookmarkEnd w:id="773"/>
      <w:bookmarkEnd w:id="774"/>
      <w:bookmarkEnd w:id="775"/>
      <w:bookmarkEnd w:id="776"/>
      <w:bookmarkEnd w:id="777"/>
      <w:bookmarkEnd w:id="778"/>
      <w:bookmarkEnd w:id="779"/>
      <w:bookmarkEnd w:id="780"/>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00FFD1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860CE68">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3CC8727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036FEBD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0AB4753B">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6AB12FEC">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3FD893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8B06DEF">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78E5BD4A">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14:paraId="7FD4C2D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14:paraId="34C11F4B">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p>
        </w:tc>
        <w:tc>
          <w:tcPr>
            <w:tcW w:w="792" w:type="dxa"/>
            <w:vAlign w:val="center"/>
          </w:tcPr>
          <w:p w14:paraId="76F76296">
            <w:pPr>
              <w:autoSpaceDE w:val="0"/>
              <w:autoSpaceDN w:val="0"/>
              <w:adjustRightInd w:val="0"/>
              <w:jc w:val="center"/>
              <w:rPr>
                <w:rFonts w:ascii="宋体" w:hAnsi="宋体"/>
                <w:snapToGrid w:val="0"/>
                <w:color w:val="auto"/>
                <w:kern w:val="0"/>
                <w:szCs w:val="21"/>
                <w:highlight w:val="none"/>
              </w:rPr>
            </w:pPr>
          </w:p>
        </w:tc>
      </w:tr>
      <w:tr w14:paraId="4D9C30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C28085C">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13560D06">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14:paraId="6BB580B8">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3.5</w:t>
            </w:r>
          </w:p>
        </w:tc>
        <w:tc>
          <w:tcPr>
            <w:tcW w:w="2987" w:type="dxa"/>
            <w:vAlign w:val="center"/>
          </w:tcPr>
          <w:p w14:paraId="2AA5BD05">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23DDE66E">
            <w:pPr>
              <w:autoSpaceDE w:val="0"/>
              <w:autoSpaceDN w:val="0"/>
              <w:adjustRightInd w:val="0"/>
              <w:jc w:val="center"/>
              <w:rPr>
                <w:rFonts w:ascii="宋体" w:hAnsi="宋体"/>
                <w:snapToGrid w:val="0"/>
                <w:color w:val="auto"/>
                <w:kern w:val="0"/>
                <w:szCs w:val="21"/>
                <w:highlight w:val="none"/>
              </w:rPr>
            </w:pPr>
          </w:p>
        </w:tc>
      </w:tr>
      <w:tr w14:paraId="2C99B8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FA609D2">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6EA5939F">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14:paraId="789E24F8">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5.1</w:t>
            </w:r>
          </w:p>
        </w:tc>
        <w:tc>
          <w:tcPr>
            <w:tcW w:w="2987" w:type="dxa"/>
            <w:vAlign w:val="center"/>
          </w:tcPr>
          <w:p w14:paraId="1A583034">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56E2286D">
            <w:pPr>
              <w:autoSpaceDE w:val="0"/>
              <w:autoSpaceDN w:val="0"/>
              <w:adjustRightInd w:val="0"/>
              <w:jc w:val="center"/>
              <w:rPr>
                <w:rFonts w:ascii="宋体" w:hAnsi="宋体"/>
                <w:snapToGrid w:val="0"/>
                <w:color w:val="auto"/>
                <w:kern w:val="0"/>
                <w:szCs w:val="21"/>
                <w:highlight w:val="none"/>
              </w:rPr>
            </w:pPr>
          </w:p>
        </w:tc>
      </w:tr>
    </w:tbl>
    <w:p w14:paraId="76A3B12C">
      <w:pPr>
        <w:spacing w:line="360" w:lineRule="auto"/>
        <w:rPr>
          <w:rFonts w:ascii="宋体" w:hAnsi="宋体"/>
          <w:snapToGrid w:val="0"/>
          <w:color w:val="auto"/>
          <w:w w:val="99"/>
          <w:highlight w:val="none"/>
        </w:rPr>
      </w:pPr>
    </w:p>
    <w:p w14:paraId="542547D7">
      <w:pPr>
        <w:spacing w:line="360" w:lineRule="auto"/>
        <w:rPr>
          <w:rFonts w:ascii="宋体" w:hAnsi="宋体"/>
          <w:snapToGrid w:val="0"/>
          <w:color w:val="auto"/>
          <w:highlight w:val="none"/>
        </w:rPr>
      </w:pPr>
    </w:p>
    <w:p w14:paraId="4332BC40">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 xml:space="preserve">：（盖单位法人章） </w:t>
      </w:r>
    </w:p>
    <w:p w14:paraId="33B35EF8">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p>
    <w:p w14:paraId="0A9A53F1">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7E27D465">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450C20E0">
      <w:pPr>
        <w:pStyle w:val="6"/>
        <w:spacing w:before="0" w:after="0" w:line="240" w:lineRule="auto"/>
        <w:jc w:val="center"/>
        <w:rPr>
          <w:rFonts w:ascii="宋体" w:hAnsi="宋体"/>
          <w:color w:val="auto"/>
          <w:sz w:val="36"/>
          <w:szCs w:val="36"/>
          <w:highlight w:val="none"/>
        </w:rPr>
      </w:pPr>
      <w:r>
        <w:rPr>
          <w:rFonts w:ascii="宋体" w:hAnsi="宋体"/>
          <w:snapToGrid w:val="0"/>
          <w:color w:val="auto"/>
          <w:highlight w:val="none"/>
        </w:rPr>
        <w:br w:type="page"/>
      </w:r>
      <w:bookmarkStart w:id="781" w:name="_Toc430530532"/>
      <w:bookmarkStart w:id="782" w:name="_Toc224103497"/>
      <w:bookmarkStart w:id="783" w:name="_Toc277082645"/>
      <w:bookmarkStart w:id="784" w:name="_Toc8650"/>
      <w:bookmarkStart w:id="785" w:name="_Toc287607869"/>
      <w:bookmarkStart w:id="786" w:name="_Toc287620816"/>
      <w:bookmarkStart w:id="787" w:name="_Toc57905921"/>
      <w:r>
        <w:rPr>
          <w:color w:val="auto"/>
          <w:sz w:val="30"/>
          <w:szCs w:val="30"/>
          <w:highlight w:val="none"/>
        </w:rPr>
        <w:t>（三）</w:t>
      </w:r>
      <w:bookmarkEnd w:id="781"/>
      <w:bookmarkEnd w:id="782"/>
      <w:bookmarkEnd w:id="783"/>
      <w:bookmarkEnd w:id="784"/>
      <w:bookmarkEnd w:id="785"/>
      <w:bookmarkEnd w:id="786"/>
      <w:bookmarkEnd w:id="787"/>
      <w:r>
        <w:rPr>
          <w:rFonts w:hint="eastAsia" w:ascii="宋体" w:hAnsi="宋体"/>
          <w:b w:val="0"/>
          <w:bCs w:val="0"/>
          <w:color w:val="auto"/>
          <w:highlight w:val="none"/>
        </w:rPr>
        <w:t>法定代表人身份证明或附有法定代表人身份证明的授权委托书</w:t>
      </w:r>
    </w:p>
    <w:p w14:paraId="089BC003">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CC0D3C8">
      <w:pPr>
        <w:spacing w:line="480" w:lineRule="auto"/>
        <w:jc w:val="center"/>
        <w:rPr>
          <w:rFonts w:ascii="宋体" w:hAnsi="宋体"/>
          <w:color w:val="auto"/>
          <w:highlight w:val="none"/>
        </w:rPr>
      </w:pPr>
    </w:p>
    <w:p w14:paraId="0D10EC75">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23A474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4383873">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3573778">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8AAEC6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5D5244A">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6D732DFC">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381C7411">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49A251CF">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135508F5">
      <w:pPr>
        <w:autoSpaceDE w:val="0"/>
        <w:autoSpaceDN w:val="0"/>
        <w:adjustRightInd w:val="0"/>
        <w:snapToGrid w:val="0"/>
        <w:spacing w:line="360" w:lineRule="auto"/>
        <w:jc w:val="left"/>
        <w:rPr>
          <w:rFonts w:ascii="宋体" w:hAnsi="宋体"/>
          <w:color w:val="auto"/>
          <w:szCs w:val="21"/>
          <w:highlight w:val="none"/>
        </w:rPr>
      </w:pPr>
    </w:p>
    <w:p w14:paraId="5365BF59">
      <w:pPr>
        <w:pStyle w:val="3"/>
        <w:spacing w:after="0" w:line="360" w:lineRule="auto"/>
        <w:rPr>
          <w:rFonts w:ascii="宋体" w:hAnsi="宋体"/>
          <w:color w:val="auto"/>
          <w:szCs w:val="21"/>
          <w:highlight w:val="none"/>
        </w:rPr>
      </w:pPr>
    </w:p>
    <w:p w14:paraId="1AE874FD">
      <w:pPr>
        <w:pStyle w:val="3"/>
        <w:spacing w:after="0" w:line="360" w:lineRule="auto"/>
        <w:rPr>
          <w:rFonts w:ascii="宋体" w:hAnsi="宋体"/>
          <w:color w:val="auto"/>
          <w:szCs w:val="21"/>
          <w:highlight w:val="none"/>
        </w:rPr>
      </w:pPr>
    </w:p>
    <w:p w14:paraId="22AA3996">
      <w:pPr>
        <w:pStyle w:val="3"/>
        <w:spacing w:after="0" w:line="360" w:lineRule="auto"/>
        <w:rPr>
          <w:rFonts w:ascii="宋体" w:hAnsi="宋体"/>
          <w:color w:val="auto"/>
          <w:szCs w:val="21"/>
          <w:highlight w:val="none"/>
        </w:rPr>
      </w:pPr>
    </w:p>
    <w:p w14:paraId="732CA93D">
      <w:pPr>
        <w:pStyle w:val="3"/>
        <w:spacing w:after="0" w:line="360" w:lineRule="auto"/>
        <w:rPr>
          <w:rFonts w:ascii="宋体" w:hAnsi="宋体"/>
          <w:color w:val="auto"/>
          <w:szCs w:val="21"/>
          <w:highlight w:val="none"/>
        </w:rPr>
      </w:pPr>
    </w:p>
    <w:p w14:paraId="385B4DF4">
      <w:pPr>
        <w:pStyle w:val="3"/>
        <w:spacing w:after="0" w:line="360" w:lineRule="auto"/>
        <w:rPr>
          <w:rFonts w:ascii="宋体" w:hAnsi="宋体"/>
          <w:color w:val="auto"/>
          <w:szCs w:val="21"/>
          <w:highlight w:val="none"/>
        </w:rPr>
      </w:pPr>
    </w:p>
    <w:p w14:paraId="0EDE7EC8">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19939F16">
      <w:pPr>
        <w:autoSpaceDE w:val="0"/>
        <w:autoSpaceDN w:val="0"/>
        <w:adjustRightInd w:val="0"/>
        <w:snapToGrid w:val="0"/>
        <w:spacing w:line="480" w:lineRule="auto"/>
        <w:jc w:val="left"/>
        <w:rPr>
          <w:rFonts w:ascii="宋体" w:hAnsi="宋体"/>
          <w:color w:val="auto"/>
          <w:kern w:val="0"/>
          <w:sz w:val="20"/>
          <w:szCs w:val="20"/>
          <w:highlight w:val="none"/>
        </w:rPr>
      </w:pPr>
    </w:p>
    <w:p w14:paraId="4F85E26F">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D97EC07">
      <w:pPr>
        <w:autoSpaceDE w:val="0"/>
        <w:autoSpaceDN w:val="0"/>
        <w:adjustRightInd w:val="0"/>
        <w:snapToGrid w:val="0"/>
        <w:spacing w:line="360" w:lineRule="auto"/>
        <w:jc w:val="left"/>
        <w:rPr>
          <w:rFonts w:ascii="宋体" w:hAnsi="宋体"/>
          <w:color w:val="auto"/>
          <w:kern w:val="0"/>
          <w:highlight w:val="none"/>
        </w:rPr>
      </w:pPr>
    </w:p>
    <w:p w14:paraId="76E233EF">
      <w:pPr>
        <w:autoSpaceDE w:val="0"/>
        <w:autoSpaceDN w:val="0"/>
        <w:adjustRightInd w:val="0"/>
        <w:snapToGrid w:val="0"/>
        <w:spacing w:line="360" w:lineRule="auto"/>
        <w:jc w:val="left"/>
        <w:rPr>
          <w:rFonts w:ascii="宋体" w:hAnsi="宋体"/>
          <w:color w:val="auto"/>
          <w:kern w:val="0"/>
          <w:highlight w:val="none"/>
        </w:rPr>
      </w:pPr>
    </w:p>
    <w:p w14:paraId="302DDD96">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14:paraId="1FC93C0E">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p>
    <w:p w14:paraId="0B5A00DF">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449D0A4B">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4518F4C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DFD031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6D0DF9A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45767F4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7838150">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32FC4E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F7EB507">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hint="eastAsia" w:ascii="宋体" w:hAnsi="宋体"/>
          <w:color w:val="auto"/>
          <w:spacing w:val="-1"/>
          <w:kern w:val="0"/>
          <w:szCs w:val="21"/>
          <w:highlight w:val="none"/>
        </w:rPr>
        <w:t>）</w:t>
      </w:r>
    </w:p>
    <w:p w14:paraId="7DFF1F56">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AEC513E">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4A6791C9">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3D1478ED">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5648499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773090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99E5D2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285EF4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081F72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26CB63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6BC8DE6">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3B4F359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3550FE5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083D2601">
      <w:pPr>
        <w:tabs>
          <w:tab w:val="left" w:pos="5760"/>
        </w:tabs>
        <w:autoSpaceDE w:val="0"/>
        <w:autoSpaceDN w:val="0"/>
        <w:adjustRightInd w:val="0"/>
        <w:spacing w:line="360" w:lineRule="auto"/>
        <w:ind w:firstLine="420" w:firstLineChars="200"/>
        <w:rPr>
          <w:rFonts w:ascii="宋体" w:hAnsi="宋体"/>
          <w:color w:val="auto"/>
          <w:kern w:val="0"/>
          <w:highlight w:val="none"/>
        </w:rPr>
      </w:pPr>
    </w:p>
    <w:p w14:paraId="263A1861">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12F287D1">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557C6FF0">
      <w:pPr>
        <w:ind w:firstLine="420" w:firstLineChars="200"/>
        <w:jc w:val="left"/>
        <w:rPr>
          <w:rFonts w:ascii="宋体" w:hAnsi="宋体"/>
          <w:color w:val="auto"/>
          <w:highlight w:val="none"/>
        </w:rPr>
      </w:pPr>
    </w:p>
    <w:p w14:paraId="1707550E">
      <w:pPr>
        <w:pStyle w:val="6"/>
        <w:jc w:val="center"/>
        <w:rPr>
          <w:rFonts w:ascii="宋体" w:hAnsi="宋体"/>
          <w:color w:val="auto"/>
          <w:highlight w:val="none"/>
        </w:rPr>
      </w:pPr>
      <w:r>
        <w:rPr>
          <w:rFonts w:ascii="宋体" w:hAnsi="宋体"/>
          <w:color w:val="auto"/>
          <w:highlight w:val="none"/>
        </w:rPr>
        <w:br w:type="page"/>
      </w:r>
      <w:bookmarkStart w:id="788" w:name="_Toc224103498"/>
      <w:bookmarkStart w:id="789" w:name="_Toc277082646"/>
      <w:bookmarkStart w:id="790" w:name="_Toc287607870"/>
      <w:bookmarkStart w:id="791" w:name="_Toc287620817"/>
      <w:bookmarkStart w:id="792" w:name="_Toc57905922"/>
      <w:bookmarkStart w:id="793" w:name="_Toc13933"/>
      <w:bookmarkStart w:id="794" w:name="_Toc430530533"/>
      <w:r>
        <w:rPr>
          <w:color w:val="auto"/>
          <w:sz w:val="30"/>
          <w:szCs w:val="30"/>
          <w:highlight w:val="none"/>
        </w:rPr>
        <w:t>（四）</w:t>
      </w:r>
      <w:bookmarkEnd w:id="788"/>
      <w:bookmarkEnd w:id="789"/>
      <w:bookmarkEnd w:id="790"/>
      <w:bookmarkEnd w:id="791"/>
      <w:bookmarkStart w:id="795" w:name="_Toc277082647"/>
      <w:bookmarkStart w:id="796" w:name="_Toc287607871"/>
      <w:bookmarkStart w:id="797" w:name="_Toc224103499"/>
      <w:bookmarkStart w:id="798" w:name="_Toc287620818"/>
      <w:r>
        <w:rPr>
          <w:rFonts w:hint="eastAsia"/>
          <w:color w:val="auto"/>
          <w:sz w:val="30"/>
          <w:szCs w:val="30"/>
          <w:highlight w:val="none"/>
        </w:rPr>
        <w:t>低价风险担保提交承诺书</w:t>
      </w:r>
      <w:bookmarkEnd w:id="792"/>
      <w:bookmarkEnd w:id="793"/>
    </w:p>
    <w:p w14:paraId="2E1D0DD1">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42543EB2">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3905D33D">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48C8ED38">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（比选人名称）</w:t>
      </w:r>
      <w:r>
        <w:rPr>
          <w:rFonts w:hint="eastAsia" w:ascii="宋体" w:hAnsi="宋体" w:cs="宋体"/>
          <w:snapToGrid w:val="0"/>
          <w:color w:val="auto"/>
          <w:kern w:val="0"/>
          <w:szCs w:val="21"/>
          <w:highlight w:val="none"/>
        </w:rPr>
        <w:t>：</w:t>
      </w:r>
    </w:p>
    <w:p w14:paraId="7A823FD7">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（竞选人）</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（比选项目名称）</w:t>
      </w:r>
      <w:r>
        <w:rPr>
          <w:rFonts w:hint="eastAsia" w:ascii="宋体" w:hAnsi="宋体" w:cs="宋体"/>
          <w:snapToGrid w:val="0"/>
          <w:color w:val="auto"/>
          <w:kern w:val="0"/>
          <w:szCs w:val="21"/>
          <w:highlight w:val="none"/>
        </w:rPr>
        <w:t>的投标。我公司投标报价低于最高限价的85%，若获得中标资格，我公司承诺按照竞选文件的规定递交低价风险担保。同时，我公司已落实低价风险担保的提交方案，承诺如采用保函形式提交低价风险担保，保函的格式和内容符合竞选文件的要求。否则，我公司愿承担竞选文件中约定的，因未按规定递交低价风险担保的相应责任。</w:t>
      </w:r>
    </w:p>
    <w:p w14:paraId="353FD8B9">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50139062">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1DDEE3B7">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1234152">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1273C3A">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6D4FD1D">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21513405">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9BF079E">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hint="eastAsia" w:ascii="宋体" w:hAnsi="宋体" w:cs="宋体"/>
          <w:color w:val="auto"/>
          <w:spacing w:val="1"/>
          <w:w w:val="99"/>
          <w:kern w:val="0"/>
          <w:sz w:val="28"/>
          <w:szCs w:val="28"/>
          <w:highlight w:val="none"/>
        </w:rPr>
        <w:t>：</w:t>
      </w:r>
      <w:r>
        <w:rPr>
          <w:rFonts w:hint="eastAsia" w:ascii="宋体" w:hAnsi="宋体" w:cs="宋体"/>
          <w:color w:val="auto"/>
          <w:w w:val="198"/>
          <w:kern w:val="0"/>
          <w:sz w:val="28"/>
          <w:szCs w:val="28"/>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39315F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E8127F7">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14:paraId="339EE377">
      <w:pPr>
        <w:tabs>
          <w:tab w:val="left" w:pos="3840"/>
          <w:tab w:val="left" w:pos="4780"/>
          <w:tab w:val="left" w:pos="5720"/>
        </w:tabs>
        <w:autoSpaceDE w:val="0"/>
        <w:autoSpaceDN w:val="0"/>
        <w:adjustRightInd w:val="0"/>
        <w:snapToGrid w:val="0"/>
        <w:spacing w:beforeLines="50" w:line="500" w:lineRule="exact"/>
        <w:ind w:right="420" w:firstLine="5565" w:firstLineChars="2650"/>
        <w:jc w:val="right"/>
        <w:rPr>
          <w:rFonts w:ascii="宋体" w:hAnsi="宋体"/>
          <w:snapToGrid w:val="0"/>
          <w:color w:val="auto"/>
          <w:kern w:val="0"/>
          <w:szCs w:val="21"/>
          <w:highlight w:val="none"/>
        </w:rPr>
      </w:pPr>
      <w:r>
        <w:rPr>
          <w:rFonts w:ascii="宋体" w:hAnsi="宋体"/>
          <w:color w:val="auto"/>
          <w:kern w:val="0"/>
          <w:szCs w:val="21"/>
          <w:highlight w:val="none"/>
        </w:rPr>
        <w:t>年月日</w:t>
      </w:r>
    </w:p>
    <w:p w14:paraId="55744348">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30DEEB27">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1D48D518">
      <w:pPr>
        <w:pStyle w:val="3"/>
        <w:rPr>
          <w:rFonts w:ascii="宋体" w:hAnsi="宋体"/>
          <w:snapToGrid w:val="0"/>
          <w:color w:val="auto"/>
          <w:kern w:val="0"/>
          <w:sz w:val="32"/>
          <w:szCs w:val="32"/>
          <w:highlight w:val="none"/>
        </w:rPr>
      </w:pPr>
    </w:p>
    <w:p w14:paraId="2CBCAD62">
      <w:pPr>
        <w:pStyle w:val="10"/>
        <w:tabs>
          <w:tab w:val="left" w:pos="315"/>
        </w:tabs>
        <w:spacing w:beforeLines="50" w:line="500" w:lineRule="exact"/>
        <w:ind w:firstLine="640" w:firstLineChars="200"/>
        <w:rPr>
          <w:rFonts w:ascii="宋体" w:hAnsi="宋体"/>
          <w:snapToGrid w:val="0"/>
          <w:color w:val="auto"/>
          <w:sz w:val="32"/>
          <w:szCs w:val="32"/>
          <w:highlight w:val="none"/>
        </w:rPr>
      </w:pPr>
      <w:bookmarkStart w:id="799" w:name="_Toc27171"/>
      <w:r>
        <w:rPr>
          <w:rFonts w:hint="eastAsia" w:ascii="宋体" w:hAnsi="宋体"/>
          <w:snapToGrid w:val="0"/>
          <w:color w:val="auto"/>
          <w:sz w:val="32"/>
          <w:szCs w:val="32"/>
          <w:highlight w:val="none"/>
        </w:rPr>
        <w:br w:type="page"/>
      </w:r>
      <w:bookmarkEnd w:id="794"/>
      <w:bookmarkEnd w:id="795"/>
      <w:bookmarkEnd w:id="796"/>
      <w:bookmarkEnd w:id="797"/>
      <w:bookmarkEnd w:id="798"/>
      <w:bookmarkEnd w:id="799"/>
    </w:p>
    <w:p w14:paraId="7F8DD86F">
      <w:pPr>
        <w:tabs>
          <w:tab w:val="left" w:pos="2580"/>
          <w:tab w:val="left" w:pos="5940"/>
        </w:tabs>
        <w:autoSpaceDE w:val="0"/>
        <w:autoSpaceDN w:val="0"/>
        <w:adjustRightInd w:val="0"/>
        <w:snapToGrid w:val="0"/>
        <w:spacing w:line="360" w:lineRule="auto"/>
        <w:jc w:val="center"/>
        <w:rPr>
          <w:b/>
          <w:bCs/>
          <w:color w:val="auto"/>
          <w:sz w:val="30"/>
          <w:szCs w:val="30"/>
          <w:highlight w:val="none"/>
        </w:rPr>
      </w:pPr>
      <w:r>
        <w:rPr>
          <w:rFonts w:hint="eastAsia"/>
          <w:b/>
          <w:bCs/>
          <w:color w:val="auto"/>
          <w:sz w:val="30"/>
          <w:szCs w:val="30"/>
          <w:highlight w:val="none"/>
        </w:rPr>
        <w:t>（五）投标总报价低于最高限价 85%的书面说明及相关证明材料（如有）</w:t>
      </w:r>
    </w:p>
    <w:p w14:paraId="431FBE33">
      <w:pPr>
        <w:pStyle w:val="10"/>
        <w:tabs>
          <w:tab w:val="left" w:pos="315"/>
        </w:tabs>
        <w:spacing w:beforeLines="50" w:line="500" w:lineRule="exact"/>
        <w:ind w:firstLine="640" w:firstLineChars="200"/>
        <w:rPr>
          <w:rFonts w:ascii="宋体" w:hAnsi="宋体"/>
          <w:snapToGrid w:val="0"/>
          <w:color w:val="auto"/>
          <w:sz w:val="32"/>
          <w:szCs w:val="32"/>
          <w:highlight w:val="none"/>
        </w:rPr>
      </w:pPr>
    </w:p>
    <w:p w14:paraId="1A8B5AFC">
      <w:pPr>
        <w:tabs>
          <w:tab w:val="left" w:pos="2580"/>
          <w:tab w:val="left" w:pos="5940"/>
        </w:tabs>
        <w:autoSpaceDE w:val="0"/>
        <w:autoSpaceDN w:val="0"/>
        <w:adjustRightInd w:val="0"/>
        <w:snapToGrid w:val="0"/>
        <w:spacing w:line="360" w:lineRule="auto"/>
        <w:jc w:val="left"/>
        <w:rPr>
          <w:rFonts w:ascii="宋体" w:hAnsi="宋体"/>
          <w:color w:val="auto"/>
          <w:highlight w:val="none"/>
        </w:rPr>
      </w:pPr>
      <w:bookmarkStart w:id="800" w:name="_Toc287620819"/>
      <w:bookmarkStart w:id="801" w:name="_Toc430530534"/>
      <w:bookmarkStart w:id="802" w:name="_Toc224103500"/>
      <w:bookmarkStart w:id="803" w:name="_Toc287607872"/>
    </w:p>
    <w:p w14:paraId="184B9904">
      <w:pPr>
        <w:pStyle w:val="5"/>
        <w:spacing w:line="360" w:lineRule="auto"/>
        <w:jc w:val="center"/>
        <w:rPr>
          <w:rFonts w:ascii="宋体" w:hAnsi="宋体"/>
          <w:b w:val="0"/>
          <w:bCs w:val="0"/>
          <w:color w:val="auto"/>
          <w:sz w:val="44"/>
          <w:szCs w:val="44"/>
          <w:highlight w:val="none"/>
        </w:rPr>
      </w:pPr>
      <w:bookmarkStart w:id="804" w:name="_Toc57905924"/>
      <w:bookmarkStart w:id="805" w:name="_Toc23891"/>
    </w:p>
    <w:p w14:paraId="302B661E">
      <w:pPr>
        <w:pStyle w:val="5"/>
        <w:spacing w:line="360" w:lineRule="auto"/>
        <w:jc w:val="center"/>
        <w:rPr>
          <w:rFonts w:ascii="宋体" w:hAnsi="宋体"/>
          <w:b w:val="0"/>
          <w:bCs w:val="0"/>
          <w:color w:val="auto"/>
          <w:sz w:val="44"/>
          <w:szCs w:val="44"/>
          <w:highlight w:val="none"/>
        </w:rPr>
      </w:pPr>
    </w:p>
    <w:p w14:paraId="27B7F90F">
      <w:pPr>
        <w:pStyle w:val="5"/>
        <w:spacing w:line="360" w:lineRule="auto"/>
        <w:jc w:val="center"/>
        <w:rPr>
          <w:rFonts w:ascii="宋体" w:hAnsi="宋体"/>
          <w:b w:val="0"/>
          <w:bCs w:val="0"/>
          <w:color w:val="auto"/>
          <w:sz w:val="44"/>
          <w:szCs w:val="44"/>
          <w:highlight w:val="none"/>
        </w:rPr>
      </w:pPr>
    </w:p>
    <w:p w14:paraId="4B555D97">
      <w:pPr>
        <w:pStyle w:val="5"/>
        <w:spacing w:line="360" w:lineRule="auto"/>
        <w:jc w:val="center"/>
        <w:rPr>
          <w:rFonts w:ascii="宋体" w:hAnsi="宋体"/>
          <w:b w:val="0"/>
          <w:bCs w:val="0"/>
          <w:color w:val="auto"/>
          <w:sz w:val="44"/>
          <w:szCs w:val="44"/>
          <w:highlight w:val="none"/>
        </w:rPr>
      </w:pPr>
    </w:p>
    <w:p w14:paraId="6E12C7DB">
      <w:pPr>
        <w:pStyle w:val="5"/>
        <w:spacing w:line="360" w:lineRule="auto"/>
        <w:jc w:val="center"/>
        <w:rPr>
          <w:rFonts w:ascii="宋体" w:hAnsi="宋体"/>
          <w:b w:val="0"/>
          <w:bCs w:val="0"/>
          <w:color w:val="auto"/>
          <w:sz w:val="44"/>
          <w:szCs w:val="44"/>
          <w:highlight w:val="none"/>
        </w:rPr>
      </w:pPr>
    </w:p>
    <w:p w14:paraId="68BBEB78">
      <w:pPr>
        <w:pStyle w:val="5"/>
        <w:spacing w:line="360" w:lineRule="auto"/>
        <w:jc w:val="center"/>
        <w:rPr>
          <w:rFonts w:ascii="宋体" w:hAnsi="宋体"/>
          <w:b w:val="0"/>
          <w:bCs w:val="0"/>
          <w:color w:val="auto"/>
          <w:sz w:val="44"/>
          <w:szCs w:val="44"/>
          <w:highlight w:val="none"/>
        </w:rPr>
      </w:pPr>
    </w:p>
    <w:p w14:paraId="686FFEDA">
      <w:pPr>
        <w:pStyle w:val="5"/>
        <w:spacing w:line="360" w:lineRule="auto"/>
        <w:jc w:val="center"/>
        <w:rPr>
          <w:rFonts w:ascii="宋体" w:hAnsi="宋体"/>
          <w:b w:val="0"/>
          <w:bCs w:val="0"/>
          <w:color w:val="auto"/>
          <w:sz w:val="44"/>
          <w:szCs w:val="44"/>
          <w:highlight w:val="none"/>
        </w:rPr>
      </w:pPr>
    </w:p>
    <w:p w14:paraId="32424A8A">
      <w:pPr>
        <w:pStyle w:val="5"/>
        <w:spacing w:line="360" w:lineRule="auto"/>
        <w:jc w:val="center"/>
        <w:rPr>
          <w:rFonts w:ascii="宋体" w:hAnsi="宋体"/>
          <w:b w:val="0"/>
          <w:bCs w:val="0"/>
          <w:color w:val="auto"/>
          <w:sz w:val="44"/>
          <w:szCs w:val="44"/>
          <w:highlight w:val="none"/>
        </w:rPr>
      </w:pPr>
    </w:p>
    <w:p w14:paraId="38CFE2F1">
      <w:pPr>
        <w:pStyle w:val="5"/>
        <w:spacing w:line="360" w:lineRule="auto"/>
        <w:jc w:val="center"/>
        <w:rPr>
          <w:rFonts w:ascii="宋体" w:hAnsi="宋体"/>
          <w:b w:val="0"/>
          <w:bCs w:val="0"/>
          <w:color w:val="auto"/>
          <w:sz w:val="44"/>
          <w:szCs w:val="44"/>
          <w:highlight w:val="none"/>
        </w:rPr>
      </w:pPr>
    </w:p>
    <w:p w14:paraId="36E8FEE1">
      <w:pPr>
        <w:pStyle w:val="5"/>
        <w:spacing w:line="360" w:lineRule="auto"/>
        <w:jc w:val="center"/>
        <w:rPr>
          <w:rFonts w:ascii="宋体" w:hAnsi="宋体"/>
          <w:b w:val="0"/>
          <w:bCs w:val="0"/>
          <w:color w:val="auto"/>
          <w:sz w:val="44"/>
          <w:szCs w:val="44"/>
          <w:highlight w:val="none"/>
        </w:rPr>
      </w:pPr>
    </w:p>
    <w:p w14:paraId="1D971A15">
      <w:pPr>
        <w:pStyle w:val="5"/>
        <w:spacing w:line="360" w:lineRule="auto"/>
        <w:jc w:val="center"/>
        <w:rPr>
          <w:rFonts w:ascii="宋体" w:hAnsi="宋体"/>
          <w:b w:val="0"/>
          <w:bCs w:val="0"/>
          <w:color w:val="auto"/>
          <w:sz w:val="44"/>
          <w:szCs w:val="44"/>
          <w:highlight w:val="none"/>
        </w:rPr>
      </w:pPr>
    </w:p>
    <w:p w14:paraId="621E66A9">
      <w:pPr>
        <w:pStyle w:val="5"/>
        <w:spacing w:line="360" w:lineRule="auto"/>
        <w:ind w:firstLine="2200" w:firstLineChars="500"/>
        <w:rPr>
          <w:rFonts w:ascii="宋体" w:hAnsi="宋体"/>
          <w:b w:val="0"/>
          <w:bCs w:val="0"/>
          <w:color w:val="auto"/>
          <w:sz w:val="44"/>
          <w:szCs w:val="44"/>
          <w:highlight w:val="none"/>
        </w:rPr>
      </w:pPr>
    </w:p>
    <w:bookmarkEnd w:id="800"/>
    <w:bookmarkEnd w:id="801"/>
    <w:bookmarkEnd w:id="802"/>
    <w:bookmarkEnd w:id="803"/>
    <w:bookmarkEnd w:id="804"/>
    <w:bookmarkEnd w:id="805"/>
    <w:p w14:paraId="732CA023">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1903B47C">
      <w:pPr>
        <w:pStyle w:val="3"/>
        <w:rPr>
          <w:rFonts w:ascii="宋体" w:hAnsi="宋体"/>
          <w:color w:val="auto"/>
          <w:kern w:val="0"/>
          <w:sz w:val="28"/>
          <w:szCs w:val="28"/>
          <w:highlight w:val="none"/>
        </w:rPr>
      </w:pPr>
    </w:p>
    <w:p w14:paraId="1D87F413">
      <w:pPr>
        <w:pStyle w:val="5"/>
        <w:spacing w:line="360" w:lineRule="auto"/>
        <w:ind w:firstLine="2200" w:firstLineChars="500"/>
        <w:rPr>
          <w:rFonts w:ascii="宋体" w:hAnsi="宋体"/>
          <w:b w:val="0"/>
          <w:bCs w:val="0"/>
          <w:color w:val="auto"/>
          <w:sz w:val="44"/>
          <w:szCs w:val="44"/>
          <w:highlight w:val="none"/>
        </w:rPr>
      </w:pPr>
      <w:r>
        <w:rPr>
          <w:rFonts w:hint="eastAsia" w:ascii="宋体" w:hAnsi="宋体"/>
          <w:b w:val="0"/>
          <w:bCs w:val="0"/>
          <w:color w:val="auto"/>
          <w:sz w:val="44"/>
          <w:szCs w:val="44"/>
          <w:highlight w:val="none"/>
        </w:rPr>
        <w:t>二、经济部分</w:t>
      </w:r>
    </w:p>
    <w:p w14:paraId="747C7451">
      <w:pPr>
        <w:rPr>
          <w:color w:val="auto"/>
          <w:highlight w:val="none"/>
        </w:rPr>
      </w:pPr>
    </w:p>
    <w:p w14:paraId="05F51A9E">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6B76E1F1">
      <w:pPr>
        <w:tabs>
          <w:tab w:val="left" w:pos="3600"/>
          <w:tab w:val="left" w:pos="4480"/>
          <w:tab w:val="left" w:pos="5360"/>
        </w:tabs>
        <w:autoSpaceDE w:val="0"/>
        <w:autoSpaceDN w:val="0"/>
        <w:adjustRightInd w:val="0"/>
        <w:snapToGrid w:val="0"/>
        <w:spacing w:line="360" w:lineRule="auto"/>
        <w:jc w:val="center"/>
        <w:rPr>
          <w:rFonts w:ascii="宋体" w:hAnsi="宋体"/>
          <w:b/>
          <w:color w:val="auto"/>
          <w:sz w:val="36"/>
          <w:szCs w:val="36"/>
          <w:highlight w:val="none"/>
          <w:u w:val="single"/>
        </w:rPr>
      </w:pP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rPr>
        <w:t>项目名称）施工比选</w:t>
      </w:r>
    </w:p>
    <w:p w14:paraId="0D6A6E4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40D5D2C0">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6FF5F3B">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855B298">
      <w:pPr>
        <w:tabs>
          <w:tab w:val="left" w:pos="3600"/>
          <w:tab w:val="left" w:pos="4480"/>
          <w:tab w:val="left" w:pos="5360"/>
        </w:tabs>
        <w:autoSpaceDE w:val="0"/>
        <w:autoSpaceDN w:val="0"/>
        <w:adjustRightInd w:val="0"/>
        <w:snapToGrid w:val="0"/>
        <w:spacing w:line="360" w:lineRule="auto"/>
        <w:jc w:val="center"/>
        <w:rPr>
          <w:rFonts w:ascii="宋体" w:hAnsi="宋体" w:cs="MingLiU"/>
          <w:color w:val="auto"/>
          <w:kern w:val="0"/>
          <w:sz w:val="16"/>
          <w:szCs w:val="16"/>
          <w:highlight w:val="none"/>
        </w:rPr>
      </w:pPr>
      <w:r>
        <w:rPr>
          <w:rFonts w:hint="eastAsia" w:ascii="宋体" w:hAnsi="宋体" w:cs="MingLiU"/>
          <w:b/>
          <w:color w:val="auto"/>
          <w:kern w:val="0"/>
          <w:sz w:val="84"/>
          <w:szCs w:val="84"/>
          <w:highlight w:val="none"/>
        </w:rPr>
        <w:t>竞  选  文  件</w:t>
      </w:r>
    </w:p>
    <w:p w14:paraId="39C8BA02">
      <w:pPr>
        <w:autoSpaceDE w:val="0"/>
        <w:autoSpaceDN w:val="0"/>
        <w:adjustRightInd w:val="0"/>
        <w:snapToGrid w:val="0"/>
        <w:spacing w:line="360" w:lineRule="auto"/>
        <w:jc w:val="left"/>
        <w:rPr>
          <w:rFonts w:ascii="宋体" w:hAnsi="宋体" w:cs="MingLiU"/>
          <w:color w:val="auto"/>
          <w:kern w:val="0"/>
          <w:sz w:val="16"/>
          <w:szCs w:val="16"/>
          <w:highlight w:val="none"/>
        </w:rPr>
      </w:pPr>
    </w:p>
    <w:p w14:paraId="4C30F7AF">
      <w:pPr>
        <w:autoSpaceDE w:val="0"/>
        <w:autoSpaceDN w:val="0"/>
        <w:adjustRightInd w:val="0"/>
        <w:snapToGrid w:val="0"/>
        <w:spacing w:line="360" w:lineRule="auto"/>
        <w:jc w:val="left"/>
        <w:rPr>
          <w:rFonts w:ascii="宋体" w:hAnsi="宋体" w:cs="MingLiU"/>
          <w:color w:val="auto"/>
          <w:kern w:val="0"/>
          <w:sz w:val="20"/>
          <w:szCs w:val="20"/>
          <w:highlight w:val="none"/>
        </w:rPr>
      </w:pPr>
    </w:p>
    <w:p w14:paraId="75CADF12">
      <w:pPr>
        <w:autoSpaceDE w:val="0"/>
        <w:autoSpaceDN w:val="0"/>
        <w:adjustRightInd w:val="0"/>
        <w:snapToGrid w:val="0"/>
        <w:spacing w:line="360" w:lineRule="auto"/>
        <w:jc w:val="left"/>
        <w:rPr>
          <w:rFonts w:ascii="宋体" w:hAnsi="宋体" w:cs="MingLiU"/>
          <w:color w:val="auto"/>
          <w:kern w:val="0"/>
          <w:sz w:val="20"/>
          <w:szCs w:val="20"/>
          <w:highlight w:val="none"/>
        </w:rPr>
      </w:pPr>
    </w:p>
    <w:p w14:paraId="155B0EEE">
      <w:pPr>
        <w:autoSpaceDE w:val="0"/>
        <w:autoSpaceDN w:val="0"/>
        <w:adjustRightInd w:val="0"/>
        <w:snapToGrid w:val="0"/>
        <w:spacing w:line="360" w:lineRule="auto"/>
        <w:jc w:val="left"/>
        <w:rPr>
          <w:rFonts w:ascii="宋体" w:hAnsi="宋体" w:cs="MingLiU"/>
          <w:color w:val="auto"/>
          <w:kern w:val="0"/>
          <w:sz w:val="20"/>
          <w:szCs w:val="20"/>
          <w:highlight w:val="none"/>
        </w:rPr>
      </w:pPr>
    </w:p>
    <w:p w14:paraId="6A434FC5">
      <w:pPr>
        <w:autoSpaceDE w:val="0"/>
        <w:autoSpaceDN w:val="0"/>
        <w:adjustRightInd w:val="0"/>
        <w:snapToGrid w:val="0"/>
        <w:spacing w:line="360" w:lineRule="auto"/>
        <w:jc w:val="center"/>
        <w:rPr>
          <w:rFonts w:ascii="宋体" w:hAnsi="宋体" w:cs="MingLiU"/>
          <w:b/>
          <w:color w:val="auto"/>
          <w:kern w:val="0"/>
          <w:sz w:val="36"/>
          <w:szCs w:val="36"/>
          <w:highlight w:val="none"/>
        </w:rPr>
      </w:pPr>
      <w:r>
        <w:rPr>
          <w:rFonts w:hint="eastAsia" w:ascii="宋体" w:hAnsi="宋体" w:cs="MingLiU"/>
          <w:b/>
          <w:color w:val="auto"/>
          <w:kern w:val="0"/>
          <w:sz w:val="36"/>
          <w:szCs w:val="36"/>
          <w:highlight w:val="none"/>
        </w:rPr>
        <w:t>经济部分</w:t>
      </w:r>
    </w:p>
    <w:p w14:paraId="183E25EF">
      <w:pPr>
        <w:autoSpaceDE w:val="0"/>
        <w:autoSpaceDN w:val="0"/>
        <w:adjustRightInd w:val="0"/>
        <w:snapToGrid w:val="0"/>
        <w:spacing w:line="360" w:lineRule="auto"/>
        <w:jc w:val="left"/>
        <w:rPr>
          <w:rFonts w:ascii="宋体" w:hAnsi="宋体" w:cs="MingLiU"/>
          <w:b/>
          <w:color w:val="auto"/>
          <w:kern w:val="0"/>
          <w:sz w:val="20"/>
          <w:szCs w:val="20"/>
          <w:highlight w:val="none"/>
        </w:rPr>
      </w:pPr>
    </w:p>
    <w:p w14:paraId="4589B646">
      <w:pPr>
        <w:autoSpaceDE w:val="0"/>
        <w:autoSpaceDN w:val="0"/>
        <w:adjustRightInd w:val="0"/>
        <w:snapToGrid w:val="0"/>
        <w:spacing w:line="360" w:lineRule="auto"/>
        <w:jc w:val="left"/>
        <w:rPr>
          <w:rFonts w:ascii="宋体" w:hAnsi="宋体" w:cs="MingLiU"/>
          <w:b/>
          <w:color w:val="auto"/>
          <w:kern w:val="0"/>
          <w:sz w:val="20"/>
          <w:szCs w:val="20"/>
          <w:highlight w:val="none"/>
        </w:rPr>
      </w:pPr>
    </w:p>
    <w:p w14:paraId="1C471838">
      <w:pPr>
        <w:autoSpaceDE w:val="0"/>
        <w:autoSpaceDN w:val="0"/>
        <w:adjustRightInd w:val="0"/>
        <w:snapToGrid w:val="0"/>
        <w:spacing w:line="360" w:lineRule="auto"/>
        <w:jc w:val="left"/>
        <w:rPr>
          <w:rFonts w:ascii="宋体" w:hAnsi="宋体" w:cs="MingLiU"/>
          <w:b/>
          <w:color w:val="auto"/>
          <w:kern w:val="0"/>
          <w:sz w:val="20"/>
          <w:szCs w:val="20"/>
          <w:highlight w:val="none"/>
        </w:rPr>
      </w:pPr>
    </w:p>
    <w:p w14:paraId="5073338A">
      <w:pPr>
        <w:autoSpaceDE w:val="0"/>
        <w:autoSpaceDN w:val="0"/>
        <w:adjustRightInd w:val="0"/>
        <w:snapToGrid w:val="0"/>
        <w:spacing w:line="360" w:lineRule="auto"/>
        <w:jc w:val="left"/>
        <w:rPr>
          <w:rFonts w:ascii="宋体" w:hAnsi="宋体" w:cs="MingLiU"/>
          <w:b/>
          <w:color w:val="auto"/>
          <w:kern w:val="0"/>
          <w:sz w:val="20"/>
          <w:szCs w:val="20"/>
          <w:highlight w:val="none"/>
        </w:rPr>
      </w:pPr>
    </w:p>
    <w:p w14:paraId="04E2728D">
      <w:pPr>
        <w:autoSpaceDE w:val="0"/>
        <w:autoSpaceDN w:val="0"/>
        <w:adjustRightInd w:val="0"/>
        <w:snapToGrid w:val="0"/>
        <w:spacing w:line="360" w:lineRule="auto"/>
        <w:jc w:val="left"/>
        <w:rPr>
          <w:rFonts w:ascii="宋体" w:hAnsi="宋体" w:cs="MingLiU"/>
          <w:b/>
          <w:color w:val="auto"/>
          <w:kern w:val="0"/>
          <w:sz w:val="20"/>
          <w:szCs w:val="20"/>
          <w:highlight w:val="none"/>
        </w:rPr>
      </w:pPr>
    </w:p>
    <w:p w14:paraId="3401CF72">
      <w:pPr>
        <w:tabs>
          <w:tab w:val="left" w:pos="6080"/>
          <w:tab w:val="left" w:pos="6640"/>
        </w:tabs>
        <w:autoSpaceDE w:val="0"/>
        <w:autoSpaceDN w:val="0"/>
        <w:adjustRightInd w:val="0"/>
        <w:snapToGrid w:val="0"/>
        <w:spacing w:line="360" w:lineRule="auto"/>
        <w:jc w:val="center"/>
        <w:rPr>
          <w:rFonts w:ascii="宋体" w:hAnsi="宋体" w:cs="MingLiU"/>
          <w:b/>
          <w:color w:val="auto"/>
          <w:w w:val="99"/>
          <w:kern w:val="0"/>
          <w:sz w:val="28"/>
          <w:szCs w:val="28"/>
          <w:highlight w:val="none"/>
        </w:rPr>
      </w:pPr>
    </w:p>
    <w:p w14:paraId="372F1062">
      <w:pPr>
        <w:tabs>
          <w:tab w:val="left" w:pos="6080"/>
          <w:tab w:val="left" w:pos="6640"/>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cs="MingLiU"/>
          <w:b/>
          <w:color w:val="auto"/>
          <w:w w:val="99"/>
          <w:kern w:val="0"/>
          <w:sz w:val="28"/>
          <w:szCs w:val="28"/>
          <w:highlight w:val="none"/>
        </w:rPr>
        <w:t>竞选人</w:t>
      </w:r>
      <w:r>
        <w:rPr>
          <w:rFonts w:hint="eastAsia" w:ascii="宋体" w:hAnsi="宋体" w:cs="MingLiU"/>
          <w:b/>
          <w:color w:val="auto"/>
          <w:spacing w:val="1"/>
          <w:w w:val="99"/>
          <w:kern w:val="0"/>
          <w:sz w:val="28"/>
          <w:szCs w:val="28"/>
          <w:highlight w:val="none"/>
        </w:rPr>
        <w:t>：</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（盖单位公章）</w:t>
      </w:r>
    </w:p>
    <w:p w14:paraId="5CD1BF24">
      <w:pPr>
        <w:tabs>
          <w:tab w:val="left" w:pos="6080"/>
          <w:tab w:val="left" w:pos="6640"/>
        </w:tabs>
        <w:autoSpaceDE w:val="0"/>
        <w:autoSpaceDN w:val="0"/>
        <w:adjustRightInd w:val="0"/>
        <w:snapToGrid w:val="0"/>
        <w:spacing w:line="360" w:lineRule="auto"/>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rPr>
        <w:t>法定代表人或其委托代理人：</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（签字）</w:t>
      </w:r>
    </w:p>
    <w:p w14:paraId="39D32CEC">
      <w:pPr>
        <w:tabs>
          <w:tab w:val="left" w:pos="3280"/>
          <w:tab w:val="left" w:pos="4680"/>
          <w:tab w:val="left" w:pos="6080"/>
        </w:tabs>
        <w:autoSpaceDE w:val="0"/>
        <w:autoSpaceDN w:val="0"/>
        <w:adjustRightInd w:val="0"/>
        <w:snapToGrid w:val="0"/>
        <w:spacing w:line="360" w:lineRule="auto"/>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u w:val="single"/>
        </w:rPr>
        <w:t xml:space="preserve">     　</w:t>
      </w:r>
      <w:r>
        <w:rPr>
          <w:rFonts w:hint="eastAsia" w:ascii="宋体" w:hAnsi="宋体" w:cs="MingLiU"/>
          <w:b/>
          <w:color w:val="auto"/>
          <w:w w:val="99"/>
          <w:kern w:val="0"/>
          <w:sz w:val="28"/>
          <w:szCs w:val="28"/>
          <w:highlight w:val="none"/>
        </w:rPr>
        <w:t>年月日</w:t>
      </w:r>
    </w:p>
    <w:p w14:paraId="52093B65">
      <w:pPr>
        <w:spacing w:line="360" w:lineRule="auto"/>
        <w:rPr>
          <w:rFonts w:ascii="宋体" w:hAnsi="宋体"/>
          <w:color w:val="auto"/>
          <w:sz w:val="28"/>
          <w:highlight w:val="none"/>
        </w:rPr>
      </w:pPr>
    </w:p>
    <w:p w14:paraId="60C435EE">
      <w:pPr>
        <w:spacing w:line="360" w:lineRule="auto"/>
        <w:rPr>
          <w:rFonts w:ascii="宋体" w:hAnsi="宋体"/>
          <w:color w:val="auto"/>
          <w:sz w:val="28"/>
          <w:highlight w:val="none"/>
        </w:rPr>
      </w:pPr>
    </w:p>
    <w:p w14:paraId="37AFB615">
      <w:pPr>
        <w:spacing w:line="360" w:lineRule="auto"/>
        <w:rPr>
          <w:rFonts w:ascii="宋体" w:hAnsi="宋体"/>
          <w:color w:val="auto"/>
          <w:sz w:val="28"/>
          <w:highlight w:val="none"/>
        </w:rPr>
      </w:pPr>
    </w:p>
    <w:p w14:paraId="69C33764">
      <w:pPr>
        <w:spacing w:line="360" w:lineRule="auto"/>
        <w:rPr>
          <w:rFonts w:ascii="宋体" w:hAnsi="宋体"/>
          <w:color w:val="auto"/>
          <w:sz w:val="28"/>
          <w:highlight w:val="none"/>
        </w:rPr>
      </w:pPr>
    </w:p>
    <w:p w14:paraId="539D4308">
      <w:pPr>
        <w:pStyle w:val="3"/>
        <w:rPr>
          <w:color w:val="auto"/>
          <w:highlight w:val="none"/>
        </w:rPr>
      </w:pPr>
    </w:p>
    <w:p w14:paraId="00B1EC5B">
      <w:pPr>
        <w:autoSpaceDE w:val="0"/>
        <w:autoSpaceDN w:val="0"/>
        <w:adjustRightInd w:val="0"/>
        <w:snapToGrid w:val="0"/>
        <w:spacing w:line="360" w:lineRule="auto"/>
        <w:jc w:val="center"/>
        <w:rPr>
          <w:rFonts w:ascii="宋体" w:hAnsi="宋体" w:cs="MingLiU"/>
          <w:b/>
          <w:color w:val="auto"/>
          <w:kern w:val="0"/>
          <w:sz w:val="32"/>
          <w:szCs w:val="32"/>
          <w:highlight w:val="none"/>
        </w:rPr>
      </w:pPr>
      <w:r>
        <w:rPr>
          <w:rFonts w:hint="eastAsia" w:ascii="宋体" w:hAnsi="宋体" w:cs="MingLiU"/>
          <w:b/>
          <w:color w:val="auto"/>
          <w:kern w:val="0"/>
          <w:sz w:val="32"/>
          <w:szCs w:val="32"/>
          <w:highlight w:val="none"/>
        </w:rPr>
        <w:t>目     录</w:t>
      </w:r>
    </w:p>
    <w:p w14:paraId="389AEA5D">
      <w:pPr>
        <w:autoSpaceDE w:val="0"/>
        <w:autoSpaceDN w:val="0"/>
        <w:adjustRightInd w:val="0"/>
        <w:snapToGri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[目录由竞选人自行编制]</w:t>
      </w:r>
    </w:p>
    <w:p w14:paraId="721E2DDC">
      <w:pPr>
        <w:pStyle w:val="6"/>
        <w:jc w:val="center"/>
        <w:rPr>
          <w:rFonts w:ascii="宋体" w:hAnsi="宋体"/>
          <w:b w:val="0"/>
          <w:color w:val="auto"/>
          <w:kern w:val="44"/>
          <w:sz w:val="28"/>
          <w:highlight w:val="none"/>
        </w:rPr>
      </w:pPr>
    </w:p>
    <w:p w14:paraId="2C6170AD">
      <w:pPr>
        <w:pStyle w:val="6"/>
        <w:jc w:val="center"/>
        <w:rPr>
          <w:rFonts w:ascii="宋体" w:hAnsi="宋体"/>
          <w:b w:val="0"/>
          <w:color w:val="auto"/>
          <w:kern w:val="44"/>
          <w:sz w:val="28"/>
          <w:highlight w:val="none"/>
        </w:rPr>
      </w:pPr>
    </w:p>
    <w:p w14:paraId="452E99E7">
      <w:pPr>
        <w:pStyle w:val="6"/>
        <w:jc w:val="center"/>
        <w:rPr>
          <w:rFonts w:ascii="宋体" w:hAnsi="宋体"/>
          <w:b w:val="0"/>
          <w:color w:val="auto"/>
          <w:kern w:val="44"/>
          <w:sz w:val="28"/>
          <w:highlight w:val="none"/>
        </w:rPr>
      </w:pPr>
    </w:p>
    <w:p w14:paraId="572B14F9">
      <w:pPr>
        <w:pStyle w:val="6"/>
        <w:jc w:val="center"/>
        <w:rPr>
          <w:rFonts w:ascii="宋体" w:hAnsi="宋体"/>
          <w:b w:val="0"/>
          <w:color w:val="auto"/>
          <w:kern w:val="44"/>
          <w:sz w:val="28"/>
          <w:highlight w:val="none"/>
        </w:rPr>
      </w:pPr>
    </w:p>
    <w:p w14:paraId="4C2403C1">
      <w:pPr>
        <w:pStyle w:val="6"/>
        <w:jc w:val="center"/>
        <w:rPr>
          <w:rFonts w:ascii="宋体" w:hAnsi="宋体"/>
          <w:b w:val="0"/>
          <w:color w:val="auto"/>
          <w:kern w:val="44"/>
          <w:sz w:val="28"/>
          <w:highlight w:val="none"/>
        </w:rPr>
      </w:pPr>
    </w:p>
    <w:p w14:paraId="362CE1C4">
      <w:pPr>
        <w:pStyle w:val="6"/>
        <w:jc w:val="center"/>
        <w:rPr>
          <w:rFonts w:ascii="宋体" w:hAnsi="宋体"/>
          <w:b w:val="0"/>
          <w:color w:val="auto"/>
          <w:kern w:val="44"/>
          <w:sz w:val="28"/>
          <w:highlight w:val="none"/>
        </w:rPr>
      </w:pPr>
    </w:p>
    <w:p w14:paraId="3B5F4040">
      <w:pPr>
        <w:pStyle w:val="6"/>
        <w:rPr>
          <w:rFonts w:ascii="宋体" w:hAnsi="宋体"/>
          <w:b w:val="0"/>
          <w:color w:val="auto"/>
          <w:kern w:val="44"/>
          <w:sz w:val="28"/>
          <w:highlight w:val="none"/>
        </w:rPr>
      </w:pPr>
      <w:bookmarkStart w:id="806" w:name="_Toc66460694"/>
      <w:bookmarkStart w:id="807" w:name="_Toc61649356"/>
      <w:bookmarkStart w:id="808" w:name="_Toc52905598"/>
      <w:bookmarkStart w:id="809" w:name="_Toc28577"/>
    </w:p>
    <w:p w14:paraId="16E5136F">
      <w:pPr>
        <w:rPr>
          <w:rFonts w:ascii="宋体" w:hAnsi="宋体"/>
          <w:color w:val="auto"/>
          <w:kern w:val="44"/>
          <w:sz w:val="28"/>
          <w:highlight w:val="none"/>
        </w:rPr>
      </w:pPr>
    </w:p>
    <w:p w14:paraId="272A17DC">
      <w:pPr>
        <w:pStyle w:val="3"/>
        <w:rPr>
          <w:rFonts w:ascii="宋体" w:hAnsi="宋体"/>
          <w:color w:val="auto"/>
          <w:kern w:val="44"/>
          <w:sz w:val="28"/>
          <w:highlight w:val="none"/>
        </w:rPr>
      </w:pPr>
    </w:p>
    <w:p w14:paraId="11B3039A">
      <w:pPr>
        <w:rPr>
          <w:rFonts w:ascii="宋体" w:hAnsi="宋体"/>
          <w:color w:val="auto"/>
          <w:kern w:val="44"/>
          <w:sz w:val="28"/>
          <w:highlight w:val="none"/>
        </w:rPr>
      </w:pPr>
    </w:p>
    <w:p w14:paraId="425CB671">
      <w:pPr>
        <w:pStyle w:val="3"/>
        <w:rPr>
          <w:rFonts w:ascii="宋体" w:hAnsi="宋体"/>
          <w:color w:val="auto"/>
          <w:kern w:val="44"/>
          <w:sz w:val="28"/>
          <w:highlight w:val="none"/>
        </w:rPr>
      </w:pPr>
    </w:p>
    <w:p w14:paraId="4E7D9536">
      <w:pPr>
        <w:rPr>
          <w:rFonts w:ascii="宋体" w:hAnsi="宋体"/>
          <w:color w:val="auto"/>
          <w:kern w:val="44"/>
          <w:sz w:val="28"/>
          <w:highlight w:val="none"/>
        </w:rPr>
      </w:pPr>
    </w:p>
    <w:p w14:paraId="2273B482">
      <w:pPr>
        <w:pStyle w:val="3"/>
        <w:rPr>
          <w:rFonts w:ascii="宋体" w:hAnsi="宋体"/>
          <w:color w:val="auto"/>
          <w:kern w:val="44"/>
          <w:sz w:val="28"/>
          <w:highlight w:val="none"/>
        </w:rPr>
      </w:pPr>
    </w:p>
    <w:p w14:paraId="0194051A">
      <w:pPr>
        <w:rPr>
          <w:rFonts w:ascii="宋体" w:hAnsi="宋体"/>
          <w:color w:val="auto"/>
          <w:kern w:val="44"/>
          <w:sz w:val="28"/>
          <w:highlight w:val="none"/>
        </w:rPr>
      </w:pPr>
    </w:p>
    <w:p w14:paraId="6997F000">
      <w:pPr>
        <w:pStyle w:val="3"/>
        <w:rPr>
          <w:color w:val="auto"/>
          <w:highlight w:val="none"/>
        </w:rPr>
      </w:pPr>
    </w:p>
    <w:p w14:paraId="34E5B266">
      <w:pPr>
        <w:pStyle w:val="6"/>
        <w:jc w:val="center"/>
        <w:rPr>
          <w:rFonts w:ascii="宋体" w:hAnsi="宋体"/>
          <w:b w:val="0"/>
          <w:color w:val="auto"/>
          <w:kern w:val="44"/>
          <w:sz w:val="28"/>
          <w:highlight w:val="none"/>
        </w:rPr>
      </w:pPr>
      <w:r>
        <w:rPr>
          <w:rFonts w:hint="eastAsia" w:ascii="宋体" w:hAnsi="宋体"/>
          <w:b w:val="0"/>
          <w:color w:val="auto"/>
          <w:kern w:val="44"/>
          <w:sz w:val="28"/>
          <w:highlight w:val="none"/>
        </w:rPr>
        <w:t>已标价工程量清单</w:t>
      </w:r>
      <w:bookmarkEnd w:id="806"/>
      <w:bookmarkEnd w:id="807"/>
      <w:bookmarkEnd w:id="808"/>
      <w:bookmarkEnd w:id="809"/>
      <w:r>
        <w:rPr>
          <w:rFonts w:hint="eastAsia" w:ascii="宋体" w:hAnsi="宋体"/>
          <w:b w:val="0"/>
          <w:color w:val="auto"/>
          <w:kern w:val="44"/>
          <w:sz w:val="28"/>
          <w:highlight w:val="none"/>
        </w:rPr>
        <w:t>及组价文件</w:t>
      </w:r>
    </w:p>
    <w:p w14:paraId="72C533C7">
      <w:pPr>
        <w:jc w:val="center"/>
        <w:rPr>
          <w:rFonts w:ascii="宋体" w:hAnsi="宋体"/>
          <w:b/>
          <w:color w:val="auto"/>
          <w:w w:val="99"/>
          <w:sz w:val="44"/>
          <w:szCs w:val="44"/>
          <w:highlight w:val="none"/>
        </w:rPr>
      </w:pPr>
    </w:p>
    <w:p w14:paraId="2A85D400">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4930EA25">
      <w:pPr>
        <w:autoSpaceDE w:val="0"/>
        <w:autoSpaceDN w:val="0"/>
        <w:adjustRightInd w:val="0"/>
        <w:snapToGrid w:val="0"/>
        <w:spacing w:line="360" w:lineRule="auto"/>
        <w:jc w:val="left"/>
        <w:rPr>
          <w:rFonts w:ascii="宋体" w:hAnsi="宋体"/>
          <w:color w:val="auto"/>
          <w:kern w:val="0"/>
          <w:sz w:val="24"/>
          <w:szCs w:val="21"/>
          <w:highlight w:val="none"/>
        </w:rPr>
      </w:pPr>
      <w:bookmarkStart w:id="810" w:name="_Toc287620821"/>
      <w:bookmarkStart w:id="811" w:name="_Toc287607874"/>
      <w:bookmarkStart w:id="812" w:name="_Toc430530536"/>
      <w:bookmarkStart w:id="813" w:name="_Toc224103502"/>
      <w:r>
        <w:rPr>
          <w:rFonts w:ascii="宋体" w:hAnsi="宋体"/>
          <w:color w:val="auto"/>
          <w:highlight w:val="none"/>
        </w:rPr>
        <w:br w:type="page"/>
      </w:r>
    </w:p>
    <w:bookmarkEnd w:id="810"/>
    <w:bookmarkEnd w:id="811"/>
    <w:bookmarkEnd w:id="812"/>
    <w:bookmarkEnd w:id="813"/>
    <w:p w14:paraId="4C373AF6">
      <w:pPr>
        <w:pStyle w:val="5"/>
        <w:spacing w:line="360" w:lineRule="auto"/>
        <w:jc w:val="center"/>
        <w:rPr>
          <w:rFonts w:ascii="宋体" w:hAnsi="宋体"/>
          <w:b w:val="0"/>
          <w:bCs w:val="0"/>
          <w:color w:val="auto"/>
          <w:sz w:val="44"/>
          <w:szCs w:val="44"/>
          <w:highlight w:val="none"/>
        </w:rPr>
      </w:pPr>
      <w:bookmarkStart w:id="814" w:name="_Toc29644"/>
      <w:bookmarkStart w:id="815" w:name="_Toc27225"/>
      <w:r>
        <w:rPr>
          <w:rFonts w:hint="eastAsia" w:ascii="宋体" w:hAnsi="宋体"/>
          <w:b w:val="0"/>
          <w:bCs w:val="0"/>
          <w:color w:val="auto"/>
          <w:sz w:val="44"/>
          <w:szCs w:val="44"/>
          <w:highlight w:val="none"/>
        </w:rPr>
        <w:t>三、技术部分</w:t>
      </w:r>
      <w:bookmarkEnd w:id="814"/>
      <w:bookmarkEnd w:id="815"/>
    </w:p>
    <w:p w14:paraId="28373E85">
      <w:pPr>
        <w:jc w:val="center"/>
        <w:rPr>
          <w:i/>
          <w:iCs/>
          <w:color w:val="auto"/>
          <w:highlight w:val="none"/>
        </w:rPr>
      </w:pPr>
      <w:bookmarkStart w:id="816" w:name="_Toc430530537"/>
      <w:bookmarkStart w:id="817" w:name="_Toc509218856"/>
      <w:bookmarkStart w:id="818" w:name="_Toc534185833"/>
      <w:bookmarkStart w:id="819" w:name="_Toc536628352"/>
    </w:p>
    <w:bookmarkEnd w:id="816"/>
    <w:bookmarkEnd w:id="817"/>
    <w:bookmarkEnd w:id="818"/>
    <w:bookmarkEnd w:id="819"/>
    <w:p w14:paraId="1DCD2A96">
      <w:pPr>
        <w:autoSpaceDE w:val="0"/>
        <w:autoSpaceDN w:val="0"/>
        <w:adjustRightInd w:val="0"/>
        <w:snapToGrid w:val="0"/>
        <w:spacing w:line="360" w:lineRule="auto"/>
        <w:jc w:val="center"/>
        <w:rPr>
          <w:rFonts w:ascii="宋体" w:hAnsi="宋体"/>
          <w:color w:val="auto"/>
          <w:kern w:val="0"/>
          <w:sz w:val="36"/>
          <w:szCs w:val="36"/>
          <w:highlight w:val="none"/>
        </w:rPr>
      </w:pPr>
      <w:r>
        <w:rPr>
          <w:color w:val="auto"/>
          <w:highlight w:val="none"/>
        </w:rPr>
        <w:br w:type="page"/>
      </w:r>
    </w:p>
    <w:p w14:paraId="76D969A3">
      <w:pPr>
        <w:rPr>
          <w:rFonts w:ascii="宋体" w:hAnsi="宋体"/>
          <w:b/>
          <w:color w:val="auto"/>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2" name="矩形 2"/>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14:paraId="4D215421">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wps:txbx>
                      <wps:bodyPr wrap="none" lIns="0" tIns="0" rIns="0" bIns="0" upright="1">
                        <a:spAutoFit/>
                      </wps:bodyPr>
                    </wps:wsp>
                  </a:graphicData>
                </a:graphic>
              </wp:anchor>
            </w:drawing>
          </mc:Choice>
          <mc:Fallback>
            <w:pict>
              <v:rect id="_x0000_s1026" o:spid="_x0000_s1026" o:spt="1" style="position:absolute;left:0pt;margin-left:142.2pt;margin-top:106.4pt;height:62.4pt;width:168.05pt;mso-position-horizontal-relative:char;mso-position-vertical-relative:line;mso-wrap-style:none;z-index:251667456;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zLMnYuEBAACuAwAADgAAAGRycy9lMm9Eb2MueG1srVNL&#10;btswEN0X6B0I7mtZspQ4gumggJGiQNAGSHIAmqIsAvyBpC35NAWy6yF6nKLX6JCSnSDZZJGNNCM+&#10;vpn3ZrS6HpREB+68MJrgfDbHiGtmGqF3BD8+3HxZYuQD1Q2VRnOCj9zj6/XnT6ve1rwwnZENdwhI&#10;tK97S3AXgq2zzLOOK+pnxnINh61xigZI3S5rHO2BXcmsmM8vst64xjrDuPfwdTMe4onRvYfQtK1g&#10;fGPYXnEdRlbHJQ0gyXfCerxO3bYtZ+Fn23oekCQYlIb0hCIQb+MzW69ovXPUdoJNLdD3tPBKk6JC&#10;Q9Ez1YYGivZOvKFSgjnjTRtmzKhsFJIcARX5/JU39x21PGkBq709m+4/jpb9ONw5JBqCC4w0VTDw&#10;f79+//3zhIroTW99DZB7e+emzEMYhQ6tU/ENEtBA8KKqllUJrh6B6eIyL8tq9JYPATEAFPmiLBYV&#10;RgwQl1dFuUzmZ89M1vnwjRuFYkCwg9klS+nh1geoDtATJBbW5kZImeYnNeoJvqqKKl04n8ANqSOW&#10;p02YaKKmUUWMwrAdJmlb0xzBjB62gWANy4+R/K7B7Lg4p8Cdgu0p2Fsndh10nKfq3n7dB+gttRwr&#10;jLTQf0xgjEnJtHJxT17mCfX8m63/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l8dXLYAAAACwEA&#10;AA8AAAAAAAAAAQAgAAAAIgAAAGRycy9kb3ducmV2LnhtbFBLAQIUABQAAAAIAIdO4kDMsydi4QEA&#10;AK4DAAAOAAAAAAAAAAEAIAAAACcBAABkcnMvZTJvRG9jLnhtbFBLBQYAAAAABgAGAFkBAAB6BQAA&#10;AAA=&#10;">
                <v:fill on="f" focussize="0,0"/>
                <v:stroke on="f"/>
                <v:imagedata o:title=""/>
                <o:lock v:ext="edit" aspectratio="f"/>
                <v:textbox inset="0mm,0mm,0mm,0mm" style="mso-fit-shape-to-text:t;">
                  <w:txbxContent>
                    <w:p w14:paraId="4D215421">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v:textbox>
              </v:rect>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3" name="矩形 3"/>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59058518">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_x0000_s1026" o:spid="_x0000_s1026" o:spt="1" style="position:absolute;left:0pt;margin-left:305.85pt;margin-top:736.45pt;height:15.6pt;width:33.05pt;mso-position-horizontal-relative:char;mso-position-vertical-relative:line;mso-wrap-style:none;rotation:-2883584f;z-index:251671552;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Jvej+/rAQAAvAMAAA4AAABkcnMvZTJvRG9jLnhtbK1T&#10;S27bMBDdF+gdCO5jfSzbsWA6KGCkKFC0AZIegKYoiwB/IGlLPk2B7nqIHqfoNTqkZDdINllUC2Io&#10;Pr6Z92a4uRuURCfuvDCa4GKWY8Q1M43QB4K/Pd3f3GLkA9UNlUZzgs/c47vt+3eb3ta8NJ2RDXcI&#10;SLSve0twF4Kts8yzjivqZ8ZyDYetcYoG2LpD1jjaA7uSWZnny6w3rrHOMO49/N2Nh3hidG8hNG0r&#10;GN8ZdlRch5HVcUkDSPKdsB5vU7Vty1n42raeByQJBqUhrZAE4n1cs+2G1gdHbSfYVAJ9SwkvNCkq&#10;NCS9Uu1ooOjoxCsqJZgz3rRhxozKRiHJEVBR5C+8eeyo5UkLWO3t1XT//2jZl9ODQ6IheI6Rpgoa&#10;/uf7z9+/fqB59Ka3vgbIo31w085DGIUOrVPIGTD0plxWOXxJPyhCA8HLqlqUCzD5TPCqrKpVsRit&#10;5kNADABVsV7NFxgxABTr26JMrchG3shvnQ8fuVEoBgQ76GRKQE+ffYBaAHqBRLg290LK1E2pUU/w&#10;GvKnC9cTuCF1xPI0FxNNVDhqilEY9sMkdG+aM1jTw2wQrOEpYCQ/abA+jtElcJdgfwmO1olDBxUX&#10;Kbu3H44BakslxwwjLdQfN9DUpGQawDg1z/cJ9e/Rb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hgYZNkAAAANAQAADwAAAAAAAAABACAAAAAiAAAAZHJzL2Rvd25yZXYueG1sUEsBAhQAFAAAAAgA&#10;h07iQJvej+/rAQAAvAMAAA4AAAAAAAAAAQAgAAAAKAEAAGRycy9lMm9Eb2MueG1sUEsFBgAAAAAG&#10;AAYAWQEAAIUFAAAAAA==&#10;">
                <v:fill on="f" focussize="0,0"/>
                <v:stroke on="f"/>
                <v:imagedata o:title=""/>
                <o:lock v:ext="edit" aspectratio="f"/>
                <v:textbox inset="0mm,0mm,0mm,0mm" style="mso-fit-shape-to-text:t;">
                  <w:txbxContent>
                    <w:p w14:paraId="59058518">
                      <w:pPr>
                        <w:rPr>
                          <w:sz w:val="20"/>
                        </w:rPr>
                      </w:pPr>
                      <w:r>
                        <w:rPr>
                          <w:rFonts w:hint="eastAsia" w:ascii="宋体" w:cs="宋体"/>
                          <w:bCs/>
                          <w:color w:val="000000"/>
                          <w:sz w:val="22"/>
                        </w:rPr>
                        <w:t>密封线</w:t>
                      </w:r>
                    </w:p>
                  </w:txbxContent>
                </v:textbox>
              </v:rect>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haracter">
                  <wp:posOffset>3669030</wp:posOffset>
                </wp:positionH>
                <wp:positionV relativeFrom="line">
                  <wp:posOffset>6773545</wp:posOffset>
                </wp:positionV>
                <wp:extent cx="3175" cy="3128010"/>
                <wp:effectExtent l="4445" t="0" r="11430" b="15240"/>
                <wp:wrapNone/>
                <wp:docPr id="117" name="直接连接符 117"/>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id="_x0000_s1026" o:spid="_x0000_s1026" o:spt="20" style="position:absolute;left:0pt;flip:x y;margin-left:288.9pt;margin-top:533.35pt;height:246.3pt;width:0.25pt;mso-position-horizontal-relative:char;mso-position-vertical-relative:line;z-index:251669504;mso-width-relative:page;mso-height-relative:page;" filled="f" stroked="t"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Pe/fgEGAgAACgQAAA4AAABkcnMvZTJvRG9jLnht&#10;bK1TvY4TMRDukXgHyz3ZJKfjjlU2V1w4KBBE4qef2N6sJf/J9mWTl+AFkOigoqTnbTgegxnvEh1H&#10;kwIX1mfP+PN8n8eLq701bKdi0t41fDaZcqac8FK7bcPfv7t5cslZyuAkGO9Uww8q8avl40eLPtRq&#10;7jtvpIoMSVyq+9DwLudQV1USnbKQJj4oh8HWRwsZl3FbyQg9sltTzafTp1XvowzRC5US7q6GIB8Z&#10;4ymEvm21UCsvbq1yeWCNykBGSanTIfFlqbZtlchv2japzEzDUWkuM16CeENztVxAvY0QOi3GEuCU&#10;Eh5osqAdXnqkWkEGdhv1P1RWi+iTb/NEeFsNQoojqGI2feDN2w6CKlrQ6hSOpqf/Ryte79aRaYmd&#10;MLvgzIHFJ7/79P3nxy+/fnzG+e7bV0YhNKoPqcb8a7eO4yqFdSTV+zZa1hodXiIPL+gDIYqhRrYv&#10;hh+Ohqt9ZgI3z2YX55wJDJzN5pdoAF1TDXx0NsSUXyhvGYGGG+3IDqhh9yrlIfVPCm0bx/qGPzuf&#10;Eylgb7bYEwhtQH3JbcvZ5I2WN9oYOpHidnNtItsB9UcZYwl/pdElK0jdkCcRURbUVmdFXkDdKZDP&#10;nWT5ENBAhz+HUy1WSc6Mwo9GqGRm0OaUTLTBOKJWpY1HwfQGg+uENl4eymNUtMIWKe6N7Uw9eH+N&#10;+P4XXv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fL+xdwAAAANAQAADwAAAAAAAAABACAAAAAi&#10;AAAAZHJzL2Rvd25yZXYueG1sUEsBAhQAFAAAAAgAh07iQPe/fgEGAgAACgQAAA4AAAAAAAAAAQAg&#10;AAAAKwEAAGRycy9lMm9Eb2MueG1sUEsFBgAAAAAGAAYAWQEAAKMFAAAAAA==&#10;">
                <v:fill on="f" focussize="0,0"/>
                <v:stroke color="#000000" joinstyle="miter" dashstyle="dash"/>
                <v:imagedata o:title=""/>
                <o:lock v:ext="edit" aspectratio="f"/>
              </v:lin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19" name="直接箭头连接符 119"/>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_x0000_s1026" o:spid="_x0000_s1026" o:spt="32" type="#_x0000_t32" style="position:absolute;left:0pt;flip:y;margin-left:290.2pt;margin-top:533.6pt;height:0.35pt;width:242.3pt;mso-position-horizontal-relative:char;mso-position-vertical-relative:line;z-index:251664384;mso-width-relative:page;mso-height-relative:page;" filled="f" stroked="t"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zH//2FAIAABQEAAAOAAAAZHJzL2Uyb0RvYy54bWyt&#10;U72OEzEQ7pF4B8s92SQkHLfK5oqEo0EQiZ9+Ynt3LflPti+bvAQvgEQFVAfV9TwNHI/B2LtEx9Gk&#10;YIvVjD3zzXzfjBcXe63ITvggranoZDSmRBhmuTRNRd++uXz0lJIQwXBQ1oiKHkSgF8uHDxadK8XU&#10;tlZx4QmCmFB2rqJtjK4sisBaoSGMrBMGL2vrNUR0fVNwDx2ia1VMx+MnRWc9d94yEQKervtLOiD6&#10;UwBtXUsm1pZdaWFij+qFgoiUQitdoMvcbV0LFl/VdRCRqIoi05j/WATtbfoXywWUjQfXSja0AKe0&#10;cI+TBmmw6BFqDRHIlZf/QGnJvA22jiNmddETyYogi8n4njavW3Aic0GpgzuKHv4fLHu523giOW7C&#10;5JwSAxpHfvvh5uf7z7ffvv74dPPr+8dkX38hKQDl6lwoMWtlNn7wgtv4xH1fe01qJd07RMtqID+y&#10;z2IfjmKLfSQMDx+Pz86mE5wDw7vZbDZP4EWPktCcD/G5sJoko6IhepBNG1fWGJyq9X0F2L0IsU/8&#10;k5CSlSFdRc/n0zniA25pjduBpnbINJgmdxeskvxSKpUygm+2K+XJDtKm5G9o6K+wVGQNoe3jOFop&#10;Ckoto0h6QNkK4M8MJ/HgUEqDb4imXrTglCiBTy5ZOTKCVKdEoijKJGiRF3ognObQK5+sreWHPJAi&#10;ebgsWcthsdM23vXRvvuYl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99OtdoAAAAOAQAADwAA&#10;AAAAAAABACAAAAAiAAAAZHJzL2Rvd25yZXYueG1sUEsBAhQAFAAAAAgAh07iQDMf//YUAgAAFAQA&#10;AA4AAAAAAAAAAQAgAAAAKQEAAGRycy9lMm9Eb2MueG1sUEsFBgAAAAAGAAYAWQEAAK8FAAAAAA==&#10;">
                <v:fill on="f" focussize="0,0"/>
                <v:stroke color="#000000" joinstyle="miter" dashstyle="dash"/>
                <v:imagedata o:title=""/>
                <o:lock v:ext="edit" aspectratio="f"/>
              </v:shap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haracter">
                  <wp:posOffset>3690620</wp:posOffset>
                </wp:positionH>
                <wp:positionV relativeFrom="line">
                  <wp:posOffset>6783070</wp:posOffset>
                </wp:positionV>
                <wp:extent cx="3057525" cy="3085465"/>
                <wp:effectExtent l="3175" t="3175" r="6350" b="16510"/>
                <wp:wrapNone/>
                <wp:docPr id="120" name="直接连接符 120"/>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id="_x0000_s1026" o:spid="_x0000_s1026" o:spt="20" style="position:absolute;left:0pt;flip:y;margin-left:290.6pt;margin-top:534.1pt;height:242.95pt;width:240.75pt;mso-position-horizontal-relative:char;mso-position-vertical-relative:line;z-index:251668480;mso-width-relative:page;mso-height-relative:page;" filled="f" stroked="t"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An79AXBQIAAAYEAAAOAAAAZHJzL2Uyb0RvYy54bWyt&#10;U0uOEzEQ3SNxB8t70j0ZMgytdGYxYdggiMRnX/Gn25J/sj3p5BJcAIkdrFiy5zYMx6DsbqJh2GRB&#10;L6wq1/Nzvdfl5dXeaLITISpnW3o2qykRljmubNfS9+9unlxSEhNYDtpZ0dKDiPRq9fjRcvCNmLve&#10;aS4CQRIbm8G3tE/JN1UVWS8MxJnzwmJRumAgYRq6igcYkN3oal7XF9XgAvfBMREj7q7HIp0YwymE&#10;TkrFxNqxWyNsGlmD0JBQUuyVj3RVupVSsPRGyigS0S1FpamseAnG27xWqyU0XQDfKza1AKe08ECT&#10;AWXx0iPVGhKQ26D+oTKKBRedTDPmTDUKKY6girP6gTdve/CiaEGroz+aHv8fLXu92wSiOE7CHD2x&#10;YPCX3336/vPjl18/PuN69+0rySU0avCxQfy13YQpi34Tsuq9DIZIrfwH5Ck+oDKyLzYfjjaLfSIM&#10;N8/rxbPFfEEJw9p5fbl4erHI/NVIlAl9iOmlcIbkoKVa2ewDNLB7FdMI/QPJ29qSoaXPR1LAoZQ4&#10;DMhvPAqLtitno9OK3yit84kYuu21DmQHeTDKN7XwFyxfsobYjziO0dqlDITGqCSyD9D0AvgLy0k6&#10;eDTP4quhuR0jOCVa4CPLUUEmUPoUJDqhbaYWZYQnzdn/0fEcbR0/lB9R5QzHoxg4jXKev/s5xvef&#10;7+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kUeydoAAAAOAQAADwAAAAAAAAABACAAAAAiAAAA&#10;ZHJzL2Rvd25yZXYueG1sUEsBAhQAFAAAAAgAh07iQCfv0BcFAgAABgQAAA4AAAAAAAAAAQAgAAAA&#10;KQEAAGRycy9lMm9Eb2MueG1sUEsFBgAAAAAGAAYAWQEAAKAFAAAAAA==&#10;">
                <v:fill on="f" focussize="0,0"/>
                <v:stroke color="#000000" joinstyle="miter" dashstyle="dashDot"/>
                <v:imagedata o:title=""/>
                <o:lock v:ext="edit" aspectratio="f"/>
              </v:lin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21" name="椭圆 121"/>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14:paraId="724D485C"/>
                        </w:txbxContent>
                      </wps:txbx>
                      <wps:bodyPr wrap="square" upright="1"/>
                    </wps:wsp>
                  </a:graphicData>
                </a:graphic>
              </wp:anchor>
            </w:drawing>
          </mc:Choice>
          <mc:Fallback>
            <w:pict>
              <v:shape id="_x0000_s1026" o:spid="_x0000_s1026" o:spt="3" type="#_x0000_t3" style="position:absolute;left:0pt;margin-left:335.15pt;margin-top:579.5pt;height:146.2pt;width:146.25pt;mso-position-horizontal-relative:char;mso-position-vertical-relative:line;z-index:251665408;mso-width-relative:page;mso-height-relative:page;" filled="f" stroked="t"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hy6F1EQIAACYEAAAOAAAAZHJzL2Uyb0RvYy54bWyt&#10;U0uOEzEQ3SNxB8t70kkgk6GVziwIwwbBSAMHqNjVaUv+YTvpzgU4BUu2HAvOMWV3CMOwyYIsOmW7&#10;/Kreq+fVzWA0O2CIytmGzyZTztAKJ5XdNfzzp9sX15zFBFaCdhYbfsTIb9bPn616X+PcdU5LDIxA&#10;bKx73/AuJV9XVRQdGogT59HSYeuCgUTLsKtkgJ7Qja7m0+lV1bsgfXACY6TdzXjIT4jhEkDXtkrg&#10;xom9QZtG1IAaElGKnfKRr0u3bYsifWzbiInphhPTVL5UhOJt/lbrFdS7AL5T4tQCXNLCE04GlKWi&#10;Z6gNJGD7oP6BMkoEF12bJsKZaiRSFCEWs+kTbe478Fi4kNTRn0WP/w9WfDjcBaYkOWE+48yCoZH/&#10;+v7j57evLO+QPr2PNaXd+7twWkUKM9mhDSb/Ew02FE2PZ01xSEzQ5ux6sXy5XHAm6IwWV8tXRfXq&#10;z3UfYnqHzrAcNBy1phFm3lDD4X1MVJWyf2flbetuldZldtqyvuGvF/NcAsiPLfmAQuOJU7S7AhOd&#10;VjJfyZdj2G3f6MAOkD1RfpkmlfgrLdfbQOzGPEnRxqXRL0YlzFpA3SHIt1aydPSkm6UHw3M7BiVn&#10;Gul95ahkJlD6kkxqQ9sMjcW9J/p5BqPqOUrDdiDQHG6dPNIAe3Iw0f2yh0Ad7H1Qu46kLPOrch7Z&#10;p1A8WT378/Ga4sfPe/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TTgdoAAAANAQAADwAAAAAA&#10;AAABACAAAAAiAAAAZHJzL2Rvd25yZXYueG1sUEsBAhQAFAAAAAgAh07iQKHLoXURAgAAJgQAAA4A&#10;AAAAAAAAAQAgAAAAKQEAAGRycy9lMm9Eb2MueG1sUEsFBgAAAAAGAAYAWQEAAKwFAAAAAA==&#10;">
                <v:fill on="f" focussize="0,0"/>
                <v:stroke color="#000000" joinstyle="miter" dashstyle="dashDot"/>
                <v:imagedata o:title=""/>
                <o:lock v:ext="edit" aspectratio="f"/>
                <v:textbox>
                  <w:txbxContent>
                    <w:p w14:paraId="724D485C"/>
                  </w:txbxContent>
                </v:textbox>
              </v:shap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4" name="矩形 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1B55AC37">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_x0000_s1026" o:spid="_x0000_s1026" o:spt="1" style="position:absolute;left:0pt;margin-left:483.5pt;margin-top:558.35pt;height:15.6pt;width:33.05pt;mso-position-horizontal-relative:char;mso-position-vertical-relative:line;mso-wrap-style:none;rotation:-2883584f;z-index:251670528;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zkBxJ6gEAALwDAAAOAAAAZHJzL2Uyb0RvYy54bWyt&#10;U82O0zAQviPxDpbv2zQh7W6ruiukahESgpUWHsB1nMaS/zR2m/RpkLjxEDwO4jUYO2lBy2UP5GCN&#10;48/fzPfNeHM/GE1OEoJyltFyNqdEWuEaZQ+Mfvn8cHNHSYjcNlw7Kxk9y0Dvt69fbXq/lpXrnG4k&#10;ECSxYd17RrsY/booguik4WHmvLR42DowPOIWDkUDvEd2o4tqPl8WvYPGgxMyBPy7Gw/pxAgvIXRt&#10;q4TcOXE00saRFaTmESWFTvlAt7natpUifmrbICPRjKLSmFdMgvE+rcV2w9cH4L5TYiqBv6SEZ5oM&#10;VxaTXql2PHJyBPUPlVECXHBtnAlnilFIdgRVlPNn3jx13MusBa0O/mp6+H+04uPpEYhqGK0psdxg&#10;w399/f7zxzdSJ296H9YIefKPMO0Chkno0IIh4NDQm2pZz/HL+lERGRhd1vWiWqDJZ0Zvq7q+LRej&#10;1XKIRCCgLle3bxaUCASUq7uyyq0oRt7E7yHEd9IZkgJGATuZE/DThxCxFoReIAlu3YPSOndTW9Iz&#10;usL8+cL1BG9om7Ayz8VEkxSOmlIUh/0wCd275ozW9DgbjFp8CpTo9xatT2N0CeAS7C/B0YM6dFhx&#10;mbMH//YYsbZccsow0mL9aYNNzUqmAUxT8/c+o/48uu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t3wFdoAAAAOAQAADwAAAAAAAAABACAAAAAiAAAAZHJzL2Rvd25yZXYueG1sUEsBAhQAFAAAAAgA&#10;h07iQHOQHEnqAQAAvAMAAA4AAAAAAAAAAQAgAAAAKQEAAGRycy9lMm9Eb2MueG1sUEsFBgAAAAAG&#10;AAYAWQEAAIUFAAAAAA==&#10;">
                <v:fill on="f" focussize="0,0"/>
                <v:stroke on="f"/>
                <v:imagedata o:title=""/>
                <o:lock v:ext="edit" aspectratio="f"/>
                <v:textbox inset="0mm,0mm,0mm,0mm" style="mso-fit-shape-to-text:t;">
                  <w:txbxContent>
                    <w:p w14:paraId="1B55AC37">
                      <w:pPr>
                        <w:rPr>
                          <w:sz w:val="20"/>
                        </w:rPr>
                      </w:pPr>
                      <w:r>
                        <w:rPr>
                          <w:rFonts w:hint="eastAsia" w:ascii="宋体" w:cs="宋体"/>
                          <w:bCs/>
                          <w:color w:val="000000"/>
                          <w:sz w:val="22"/>
                        </w:rPr>
                        <w:t>密封线</w:t>
                      </w:r>
                    </w:p>
                  </w:txbxContent>
                </v:textbox>
              </v:rect>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5" name="矩形 5"/>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14:paraId="52AA5AF3">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_x0000_s1026" o:spid="_x0000_s1026" o:spt="1" style="position:absolute;left:0pt;margin-left:363.4pt;margin-top:638.7pt;height:31.2pt;width:91.05pt;mso-position-horizontal-relative:char;mso-position-vertical-relative:line;mso-wrap-style:none;z-index:251666432;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AZu2sLfAQAArgMAAA4AAABkcnMvZTJvRG9jLnhtbK1T&#10;S27bMBDdF+gdCO5rSXbl2ILpIICRokDRBkh7AJoiLQL8gaQt+TQFuushepyi1+iQkp0i3WSRjTQj&#10;Pr6Z92a0uR20Qifug7SG4GpWYsQNs600B4K/fb1/t8IoRGpaqqzhBJ95wLfbt282vWv43HZWtdwj&#10;IDGh6R3BXYyuKYrAOq5pmFnHDRwK6zWNkPpD0XraA7tWxbwsl0Vvfeu8ZTwE+LobD/HE6F9CaIWQ&#10;jO8sO2pu4sjquaIRJIVOuoC3uVshOItfhAg8IkUwKI35CUUg3qdnsd3Q5uCp6ySbWqAvaeGZJk2l&#10;gaJXqh2NFB29/I9KS+ZtsCLOmNXFKCQ7Aiqq8pk3jx11PGsBq4O7mh5ej5Z9Pj14JFuCa4wM1TDw&#10;P99//v71A9XJm96FBiCP7sFPWYAwCR2E1+kNEtAAt29gtitw9UzwarUsb9aTt3yIiAGgqurlYgFF&#10;GCAW6+X8fQYUT0zOh/iBW41SQLCH2WVL6elTiFAdoBdIKmzsvVQqz08Z1BO8rud1vnA9gRvKJCzP&#10;mzDRJE2jihTFYT9M0va2PYMZPWwDwQaWHyP10YDZaXEugb8E+0twdF4eOui4ytWDuztG6C23nCqM&#10;tNB/SmCMWcm0cmlP/s0z6uk32/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DZO0tkAAAANAQAA&#10;DwAAAAAAAAABACAAAAAiAAAAZHJzL2Rvd25yZXYueG1sUEsBAhQAFAAAAAgAh07iQAZu2sLfAQAA&#10;rgMAAA4AAAAAAAAAAQAgAAAAKAEAAGRycy9lMm9Eb2MueG1sUEsFBgAAAAAGAAYAWQEAAHkFAAAA&#10;AA==&#10;">
                <v:fill on="f" focussize="0,0"/>
                <v:stroke on="f"/>
                <v:imagedata o:title=""/>
                <o:lock v:ext="edit" aspectratio="f"/>
                <v:textbox inset="0mm,0mm,0mm,0mm" style="mso-fit-shape-to-text:t;">
                  <w:txbxContent>
                    <w:p w14:paraId="52AA5AF3">
                      <w:pPr>
                        <w:rPr>
                          <w:sz w:val="20"/>
                        </w:rPr>
                      </w:pPr>
                      <w:r>
                        <w:rPr>
                          <w:rFonts w:hint="eastAsia" w:ascii="宋体" w:cs="宋体"/>
                          <w:bCs/>
                          <w:color w:val="000000"/>
                          <w:sz w:val="28"/>
                          <w:szCs w:val="30"/>
                        </w:rPr>
                        <w:t>(盖单位章处）</w:t>
                      </w:r>
                    </w:p>
                  </w:txbxContent>
                </v:textbox>
              </v:rect>
            </w:pict>
          </mc:Fallback>
        </mc:AlternateContent>
      </w:r>
    </w:p>
    <w:p w14:paraId="7ECDD955">
      <w:pPr>
        <w:tabs>
          <w:tab w:val="left" w:pos="3280"/>
          <w:tab w:val="left" w:pos="4680"/>
          <w:tab w:val="left" w:pos="6080"/>
        </w:tabs>
        <w:autoSpaceDE w:val="0"/>
        <w:autoSpaceDN w:val="0"/>
        <w:adjustRightInd w:val="0"/>
        <w:snapToGrid w:val="0"/>
        <w:spacing w:afterLines="50" w:line="360" w:lineRule="auto"/>
        <w:jc w:val="center"/>
        <w:rPr>
          <w:rFonts w:ascii="宋体" w:hAnsi="宋体"/>
          <w:color w:val="auto"/>
          <w:kern w:val="0"/>
          <w:sz w:val="28"/>
          <w:szCs w:val="28"/>
          <w:highlight w:val="none"/>
        </w:rPr>
      </w:pPr>
    </w:p>
    <w:p w14:paraId="0B419D57">
      <w:pPr>
        <w:rPr>
          <w:rFonts w:ascii="宋体" w:hAnsi="宋体"/>
          <w:color w:val="auto"/>
          <w:kern w:val="0"/>
          <w:sz w:val="36"/>
          <w:szCs w:val="36"/>
          <w:highlight w:val="none"/>
        </w:rPr>
      </w:pPr>
    </w:p>
    <w:p w14:paraId="1241D127">
      <w:pPr>
        <w:rPr>
          <w:rFonts w:ascii="宋体" w:hAnsi="宋体"/>
          <w:b/>
          <w:color w:val="auto"/>
          <w:highlight w:val="none"/>
        </w:rPr>
      </w:pPr>
      <w:r>
        <w:rPr>
          <w:rFonts w:hint="eastAsia" w:ascii="宋体" w:hAnsi="宋体"/>
          <w:color w:val="auto"/>
          <w:kern w:val="0"/>
          <w:sz w:val="36"/>
          <w:szCs w:val="36"/>
          <w:highlight w:val="none"/>
        </w:rPr>
        <w:br w:type="page"/>
      </w:r>
      <w:r>
        <w:rPr>
          <w:color w:val="auto"/>
          <w:highlight w:val="none"/>
        </w:rPr>
        <mc:AlternateContent>
          <mc:Choice Requires="wps">
            <w:drawing>
              <wp:anchor distT="0" distB="0" distL="114300" distR="114300" simplePos="0" relativeHeight="251661312"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14:paraId="6A65F4C4">
                            <w:pPr>
                              <w:rPr>
                                <w:rFonts w:ascii="仿宋" w:hAnsi="仿宋" w:eastAsia="仿宋" w:cs="仿宋"/>
                                <w:sz w:val="84"/>
                                <w:szCs w:val="84"/>
                              </w:rPr>
                            </w:pP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61312;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pqDRquMBAACwAwAADgAAAGRycy9lMm9Eb2MueG1srVNL&#10;btswEN0X6B0I7mtZspQ4gumggJGiQNAGSHIAmqIsAvyBpC35NAWy6yF6nKLX6JCSnSDZZJGNNCMO&#10;38x787S6HpREB+68MJrgfDbHiGtmGqF3BD8+3HxZYuQD1Q2VRnOCj9zj6/XnT6ve1rwwnZENdwhA&#10;tK97S3AXgq2zzLOOK+pnxnINh61xigZI3S5rHO0BXcmsmM8vst64xjrDuPfwdTMe4gnRvQfQtK1g&#10;fGPYXnEdRlTHJQ1AyXfCerxO07YtZ+Fn23oekCQYmIb0hCYQb+MzW69ovXPUdoJNI9D3jPCKk6JC&#10;Q9Mz1IYGivZOvIFSgjnjTRtmzKhsJJIUARb5/JU29x21PHEBqb09i+4/Dpb9ONw5JBpwAkaaKlj4&#10;v1+///55QnmeR3V662sourd3bso8hJHq0DoV30ACDQQvqmpZlaDrkeDi4jIvy2pUlw8BMSgo8kVZ&#10;LCqMGFRcXhXlMsmfPSNZ58M3bhSKAcEOtpdEpYdbH6A7lJ5KYmNtboSUaYNSo57gq6qo0oXzCdyQ&#10;Otby5IUJJnIaWcQoDNthorY1zRHk6MEPBGuwP0byuwa5o3VOgTsF21Owt07sOpg4T929/boPMFsa&#10;OXYYYWH+mMAiE5PJdNEpL/NU9fyjrf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Xx1ctgAAAAL&#10;AQAADwAAAAAAAAABACAAAAAiAAAAZHJzL2Rvd25yZXYueG1sUEsBAhQAFAAAAAgAh07iQKag0arj&#10;AQAAsAMAAA4AAAAAAAAAAQAgAAAAJwEAAGRycy9lMm9Eb2MueG1sUEsFBgAAAAAGAAYAWQEAAHwF&#10;AAAAAA==&#10;">
                <v:fill on="f" focussize="0,0"/>
                <v:stroke on="f"/>
                <v:imagedata o:title=""/>
                <o:lock v:ext="edit" aspectratio="f"/>
                <v:textbox inset="0mm,0mm,0mm,0mm" style="mso-fit-shape-to-text:t;">
                  <w:txbxContent>
                    <w:p w14:paraId="6A65F4C4">
                      <w:pPr>
                        <w:rPr>
                          <w:rFonts w:ascii="仿宋" w:hAnsi="仿宋" w:eastAsia="仿宋" w:cs="仿宋"/>
                          <w:sz w:val="84"/>
                          <w:szCs w:val="84"/>
                        </w:rPr>
                      </w:pPr>
                    </w:p>
                  </w:txbxContent>
                </v:textbox>
              </v:rect>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6D3D103C">
                            <w:pPr>
                              <w:rPr>
                                <w:sz w:val="20"/>
                              </w:rPr>
                            </w:pP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3360;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14:paraId="6D3D103C">
                      <w:pPr>
                        <w:rPr>
                          <w:sz w:val="20"/>
                        </w:rPr>
                      </w:pPr>
                    </w:p>
                  </w:txbxContent>
                </v:textbox>
              </v:rect>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60F05328">
                            <w:pPr>
                              <w:rPr>
                                <w:sz w:val="20"/>
                              </w:rPr>
                            </w:pPr>
                          </w:p>
                        </w:txbxContent>
                      </wps:txbx>
                      <wps:bodyPr wrap="none" lIns="0" tIns="0" rIns="0" bIns="0" upright="1">
                        <a:spAutoFit/>
                      </wps:bodyPr>
                    </wps:wsp>
                  </a:graphicData>
                </a:graphic>
              </wp:anchor>
            </w:drawing>
          </mc:Choice>
          <mc:Fallback>
            <w:pict>
              <v:rect id="矩形 114" o:spid="_x0000_s1026" o:spt="1" style="position:absolute;left:0pt;margin-left:483.5pt;margin-top:558.35pt;height:15.6pt;width:33.05pt;mso-position-horizontal-relative:char;mso-position-vertical-relative:line;mso-wrap-style:none;rotation:-2883584f;z-index:251662336;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fill on="f" focussize="0,0"/>
                <v:stroke on="f"/>
                <v:imagedata o:title=""/>
                <o:lock v:ext="edit" aspectratio="f"/>
                <v:textbox inset="0mm,0mm,0mm,0mm" style="mso-fit-shape-to-text:t;">
                  <w:txbxContent>
                    <w:p w14:paraId="60F05328">
                      <w:pPr>
                        <w:rPr>
                          <w:sz w:val="20"/>
                        </w:rPr>
                      </w:pPr>
                    </w:p>
                  </w:txbxContent>
                </v:textbox>
              </v:rect>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14:paraId="021116DC">
                            <w:pPr>
                              <w:rPr>
                                <w:sz w:val="20"/>
                              </w:rPr>
                            </w:pP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60288;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fill on="f" focussize="0,0"/>
                <v:stroke on="f"/>
                <v:imagedata o:title=""/>
                <o:lock v:ext="edit" aspectratio="f"/>
                <v:textbox inset="0mm,0mm,0mm,0mm" style="mso-fit-shape-to-text:t;">
                  <w:txbxContent>
                    <w:p w14:paraId="021116DC">
                      <w:pPr>
                        <w:rPr>
                          <w:sz w:val="20"/>
                        </w:rPr>
                      </w:pPr>
                    </w:p>
                  </w:txbxContent>
                </v:textbox>
              </v:rect>
            </w:pict>
          </mc:Fallback>
        </mc:AlternateContent>
      </w:r>
    </w:p>
    <w:p w14:paraId="32ADD177">
      <w:pPr>
        <w:autoSpaceDE w:val="0"/>
        <w:autoSpaceDN w:val="0"/>
        <w:adjustRightInd w:val="0"/>
        <w:snapToGrid w:val="0"/>
        <w:spacing w:line="360" w:lineRule="auto"/>
        <w:jc w:val="center"/>
        <w:rPr>
          <w:rFonts w:ascii="宋体" w:hAnsi="宋体"/>
          <w:color w:val="auto"/>
          <w:kern w:val="0"/>
          <w:sz w:val="32"/>
          <w:szCs w:val="32"/>
          <w:highlight w:val="none"/>
        </w:rPr>
      </w:pPr>
      <w:bookmarkStart w:id="820" w:name="_Toc299"/>
      <w:bookmarkStart w:id="821" w:name="_Toc3389"/>
      <w:bookmarkStart w:id="822" w:name="_Toc6454"/>
      <w:r>
        <w:rPr>
          <w:rFonts w:hint="eastAsia" w:ascii="宋体" w:hAnsi="宋体"/>
          <w:color w:val="auto"/>
          <w:kern w:val="0"/>
          <w:sz w:val="36"/>
          <w:szCs w:val="36"/>
          <w:highlight w:val="none"/>
        </w:rPr>
        <w:t>目  录</w:t>
      </w:r>
    </w:p>
    <w:p w14:paraId="1600129F">
      <w:pPr>
        <w:autoSpaceDE w:val="0"/>
        <w:autoSpaceDN w:val="0"/>
        <w:adjustRightInd w:val="0"/>
        <w:snapToGrid w:val="0"/>
        <w:spacing w:line="360" w:lineRule="auto"/>
        <w:jc w:val="left"/>
        <w:rPr>
          <w:rFonts w:ascii="宋体" w:hAnsi="宋体"/>
          <w:color w:val="auto"/>
          <w:kern w:val="0"/>
          <w:sz w:val="32"/>
          <w:szCs w:val="32"/>
          <w:highlight w:val="none"/>
        </w:rPr>
      </w:pPr>
    </w:p>
    <w:p w14:paraId="0E40F58A">
      <w:pPr>
        <w:autoSpaceDE w:val="0"/>
        <w:autoSpaceDN w:val="0"/>
        <w:adjustRightInd w:val="0"/>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提示：</w:t>
      </w:r>
      <w:r>
        <w:rPr>
          <w:rFonts w:ascii="宋体" w:hAnsi="宋体"/>
          <w:color w:val="auto"/>
          <w:kern w:val="0"/>
          <w:szCs w:val="21"/>
          <w:highlight w:val="none"/>
        </w:rPr>
        <w:t>目录由</w:t>
      </w:r>
      <w:r>
        <w:rPr>
          <w:rFonts w:hint="eastAsia" w:ascii="宋体" w:hAnsi="宋体"/>
          <w:color w:val="auto"/>
          <w:kern w:val="0"/>
          <w:szCs w:val="21"/>
          <w:highlight w:val="none"/>
        </w:rPr>
        <w:t>竞选人</w:t>
      </w:r>
      <w:r>
        <w:rPr>
          <w:rFonts w:ascii="宋体" w:hAnsi="宋体"/>
          <w:color w:val="auto"/>
          <w:kern w:val="0"/>
          <w:szCs w:val="21"/>
          <w:highlight w:val="none"/>
        </w:rPr>
        <w:t>自行编制]</w:t>
      </w:r>
    </w:p>
    <w:p w14:paraId="0E28884E">
      <w:pPr>
        <w:jc w:val="center"/>
        <w:rPr>
          <w:rStyle w:val="326"/>
          <w:color w:val="auto"/>
          <w:highlight w:val="none"/>
        </w:rPr>
      </w:pPr>
    </w:p>
    <w:p w14:paraId="0F4AE8A1">
      <w:pPr>
        <w:jc w:val="center"/>
        <w:rPr>
          <w:rStyle w:val="326"/>
          <w:color w:val="auto"/>
          <w:highlight w:val="none"/>
        </w:rPr>
      </w:pPr>
    </w:p>
    <w:p w14:paraId="02C8FA99">
      <w:pPr>
        <w:jc w:val="center"/>
        <w:rPr>
          <w:rStyle w:val="326"/>
          <w:color w:val="auto"/>
          <w:highlight w:val="none"/>
        </w:rPr>
      </w:pPr>
    </w:p>
    <w:p w14:paraId="6FF354B7">
      <w:pPr>
        <w:jc w:val="center"/>
        <w:rPr>
          <w:rStyle w:val="326"/>
          <w:color w:val="auto"/>
          <w:highlight w:val="none"/>
        </w:rPr>
      </w:pPr>
    </w:p>
    <w:p w14:paraId="6C64DA85">
      <w:pPr>
        <w:jc w:val="center"/>
        <w:rPr>
          <w:rStyle w:val="326"/>
          <w:color w:val="auto"/>
          <w:highlight w:val="none"/>
        </w:rPr>
      </w:pPr>
    </w:p>
    <w:p w14:paraId="1D8F2FF2">
      <w:pPr>
        <w:jc w:val="center"/>
        <w:rPr>
          <w:rStyle w:val="326"/>
          <w:color w:val="auto"/>
          <w:highlight w:val="none"/>
        </w:rPr>
      </w:pPr>
    </w:p>
    <w:p w14:paraId="3790EAB6">
      <w:pPr>
        <w:jc w:val="center"/>
        <w:rPr>
          <w:rStyle w:val="326"/>
          <w:color w:val="auto"/>
          <w:highlight w:val="none"/>
        </w:rPr>
      </w:pPr>
    </w:p>
    <w:p w14:paraId="7D10A15E">
      <w:pPr>
        <w:jc w:val="center"/>
        <w:rPr>
          <w:rStyle w:val="326"/>
          <w:color w:val="auto"/>
          <w:highlight w:val="none"/>
        </w:rPr>
      </w:pPr>
    </w:p>
    <w:p w14:paraId="57061134">
      <w:pPr>
        <w:jc w:val="center"/>
        <w:rPr>
          <w:rStyle w:val="326"/>
          <w:color w:val="auto"/>
          <w:highlight w:val="none"/>
        </w:rPr>
      </w:pPr>
    </w:p>
    <w:p w14:paraId="6ACE86CB">
      <w:pPr>
        <w:jc w:val="center"/>
        <w:rPr>
          <w:rStyle w:val="326"/>
          <w:color w:val="auto"/>
          <w:highlight w:val="none"/>
        </w:rPr>
      </w:pPr>
    </w:p>
    <w:p w14:paraId="6507EB60">
      <w:pPr>
        <w:jc w:val="center"/>
        <w:rPr>
          <w:rStyle w:val="326"/>
          <w:color w:val="auto"/>
          <w:highlight w:val="none"/>
        </w:rPr>
      </w:pPr>
    </w:p>
    <w:p w14:paraId="7087EAC4">
      <w:pPr>
        <w:jc w:val="center"/>
        <w:rPr>
          <w:rStyle w:val="326"/>
          <w:color w:val="auto"/>
          <w:highlight w:val="none"/>
        </w:rPr>
      </w:pPr>
    </w:p>
    <w:p w14:paraId="07DBCC4D">
      <w:pPr>
        <w:jc w:val="center"/>
        <w:rPr>
          <w:rStyle w:val="326"/>
          <w:color w:val="auto"/>
          <w:highlight w:val="none"/>
        </w:rPr>
      </w:pPr>
    </w:p>
    <w:p w14:paraId="3C7EE30C">
      <w:pPr>
        <w:jc w:val="center"/>
        <w:rPr>
          <w:rStyle w:val="326"/>
          <w:color w:val="auto"/>
          <w:highlight w:val="none"/>
        </w:rPr>
      </w:pPr>
    </w:p>
    <w:p w14:paraId="6B58185C">
      <w:pPr>
        <w:jc w:val="center"/>
        <w:rPr>
          <w:rStyle w:val="326"/>
          <w:color w:val="auto"/>
          <w:highlight w:val="none"/>
        </w:rPr>
      </w:pPr>
    </w:p>
    <w:p w14:paraId="0D3B296D">
      <w:pPr>
        <w:jc w:val="center"/>
        <w:rPr>
          <w:rStyle w:val="326"/>
          <w:color w:val="auto"/>
          <w:highlight w:val="none"/>
        </w:rPr>
      </w:pPr>
    </w:p>
    <w:p w14:paraId="3D439BF1">
      <w:pPr>
        <w:jc w:val="center"/>
        <w:rPr>
          <w:rStyle w:val="326"/>
          <w:color w:val="auto"/>
          <w:highlight w:val="none"/>
        </w:rPr>
      </w:pPr>
    </w:p>
    <w:p w14:paraId="63FD46FF">
      <w:pPr>
        <w:jc w:val="center"/>
        <w:rPr>
          <w:rStyle w:val="326"/>
          <w:color w:val="auto"/>
          <w:highlight w:val="none"/>
        </w:rPr>
      </w:pPr>
    </w:p>
    <w:p w14:paraId="616B64BB">
      <w:pPr>
        <w:jc w:val="center"/>
        <w:rPr>
          <w:rStyle w:val="326"/>
          <w:color w:val="auto"/>
          <w:highlight w:val="none"/>
        </w:rPr>
      </w:pPr>
    </w:p>
    <w:p w14:paraId="144F39F8">
      <w:pPr>
        <w:jc w:val="center"/>
        <w:rPr>
          <w:rStyle w:val="326"/>
          <w:color w:val="auto"/>
          <w:highlight w:val="none"/>
        </w:rPr>
      </w:pPr>
    </w:p>
    <w:p w14:paraId="7D227676">
      <w:pPr>
        <w:jc w:val="center"/>
        <w:rPr>
          <w:rFonts w:ascii="宋体" w:hAnsi="宋体"/>
          <w:color w:val="auto"/>
          <w:kern w:val="0"/>
          <w:sz w:val="36"/>
          <w:szCs w:val="36"/>
          <w:highlight w:val="none"/>
        </w:rPr>
      </w:pPr>
      <w:r>
        <w:rPr>
          <w:rStyle w:val="326"/>
          <w:rFonts w:hint="eastAsia"/>
          <w:color w:val="auto"/>
          <w:highlight w:val="none"/>
        </w:rPr>
        <w:t>（一）技术方案</w:t>
      </w:r>
      <w:bookmarkEnd w:id="820"/>
      <w:bookmarkEnd w:id="821"/>
      <w:bookmarkEnd w:id="822"/>
    </w:p>
    <w:p w14:paraId="238BD053">
      <w:pPr>
        <w:autoSpaceDE w:val="0"/>
        <w:autoSpaceDN w:val="0"/>
        <w:adjustRightInd w:val="0"/>
        <w:snapToGrid w:val="0"/>
        <w:spacing w:line="360" w:lineRule="auto"/>
        <w:jc w:val="left"/>
        <w:rPr>
          <w:rFonts w:ascii="宋体" w:hAnsi="宋体"/>
          <w:color w:val="auto"/>
          <w:kern w:val="0"/>
          <w:sz w:val="12"/>
          <w:szCs w:val="12"/>
          <w:highlight w:val="none"/>
        </w:rPr>
      </w:pPr>
    </w:p>
    <w:p w14:paraId="23DAAD13">
      <w:pPr>
        <w:pStyle w:val="3"/>
        <w:spacing w:line="360" w:lineRule="auto"/>
        <w:ind w:firstLine="420" w:firstLineChars="200"/>
        <w:jc w:val="center"/>
        <w:rPr>
          <w:rFonts w:ascii="宋体" w:hAnsi="宋体"/>
          <w:i/>
          <w:color w:val="auto"/>
          <w:kern w:val="0"/>
          <w:szCs w:val="21"/>
          <w:highlight w:val="none"/>
        </w:rPr>
      </w:pPr>
      <w:r>
        <w:rPr>
          <w:rFonts w:hint="eastAsia" w:ascii="宋体" w:hAnsi="宋体"/>
          <w:i/>
          <w:color w:val="auto"/>
          <w:kern w:val="0"/>
          <w:szCs w:val="21"/>
          <w:highlight w:val="none"/>
        </w:rPr>
        <w:t>[提示：竞选人应根据竞争性比选文件的要求编制技术方案]</w:t>
      </w:r>
    </w:p>
    <w:p w14:paraId="50DAA28A">
      <w:pPr>
        <w:autoSpaceDE w:val="0"/>
        <w:autoSpaceDN w:val="0"/>
        <w:adjustRightInd w:val="0"/>
        <w:snapToGrid w:val="0"/>
        <w:spacing w:line="20" w:lineRule="exact"/>
        <w:jc w:val="left"/>
        <w:rPr>
          <w:rFonts w:ascii="宋体" w:hAnsi="宋体"/>
          <w:color w:val="auto"/>
          <w:kern w:val="0"/>
          <w:highlight w:val="none"/>
        </w:rPr>
      </w:pPr>
    </w:p>
    <w:p w14:paraId="69E6B40D">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sz w:val="36"/>
          <w:szCs w:val="36"/>
          <w:highlight w:val="none"/>
        </w:rPr>
        <w:br w:type="page"/>
      </w:r>
    </w:p>
    <w:p w14:paraId="212BB9F2">
      <w:pPr>
        <w:autoSpaceDE w:val="0"/>
        <w:autoSpaceDN w:val="0"/>
        <w:adjustRightInd w:val="0"/>
        <w:snapToGrid w:val="0"/>
        <w:spacing w:line="360" w:lineRule="auto"/>
        <w:jc w:val="center"/>
        <w:rPr>
          <w:rFonts w:ascii="宋体" w:hAnsi="宋体"/>
          <w:color w:val="auto"/>
          <w:sz w:val="36"/>
          <w:szCs w:val="36"/>
          <w:highlight w:val="none"/>
        </w:rPr>
      </w:pPr>
    </w:p>
    <w:p w14:paraId="7E38B237">
      <w:pPr>
        <w:pStyle w:val="5"/>
        <w:spacing w:line="360" w:lineRule="auto"/>
        <w:jc w:val="center"/>
        <w:rPr>
          <w:rFonts w:ascii="宋体" w:hAnsi="宋体"/>
          <w:b w:val="0"/>
          <w:bCs w:val="0"/>
          <w:color w:val="auto"/>
          <w:sz w:val="44"/>
          <w:szCs w:val="44"/>
          <w:highlight w:val="none"/>
        </w:rPr>
      </w:pPr>
      <w:bookmarkStart w:id="823" w:name="_Toc224103510"/>
      <w:bookmarkStart w:id="824" w:name="_Toc277082656"/>
      <w:bookmarkStart w:id="825" w:name="_Toc287620829"/>
      <w:bookmarkStart w:id="826" w:name="_Toc287607882"/>
      <w:bookmarkStart w:id="827" w:name="_Toc430530545"/>
      <w:bookmarkStart w:id="828" w:name="_Toc27141"/>
      <w:bookmarkStart w:id="829" w:name="_Toc57905928"/>
      <w:r>
        <w:rPr>
          <w:rFonts w:hint="eastAsia" w:ascii="宋体" w:hAnsi="宋体"/>
          <w:b w:val="0"/>
          <w:bCs w:val="0"/>
          <w:color w:val="auto"/>
          <w:sz w:val="44"/>
          <w:szCs w:val="44"/>
          <w:highlight w:val="none"/>
        </w:rPr>
        <w:t>四、</w:t>
      </w:r>
      <w:bookmarkEnd w:id="823"/>
      <w:bookmarkEnd w:id="824"/>
      <w:bookmarkEnd w:id="825"/>
      <w:bookmarkEnd w:id="826"/>
      <w:bookmarkEnd w:id="827"/>
      <w:r>
        <w:rPr>
          <w:rFonts w:hint="eastAsia" w:ascii="宋体" w:hAnsi="宋体"/>
          <w:b w:val="0"/>
          <w:bCs w:val="0"/>
          <w:color w:val="auto"/>
          <w:sz w:val="44"/>
          <w:szCs w:val="44"/>
          <w:highlight w:val="none"/>
        </w:rPr>
        <w:t>资格审查部分</w:t>
      </w:r>
      <w:bookmarkEnd w:id="828"/>
      <w:bookmarkEnd w:id="829"/>
    </w:p>
    <w:p w14:paraId="57474999">
      <w:pPr>
        <w:spacing w:line="360" w:lineRule="auto"/>
        <w:rPr>
          <w:rFonts w:ascii="宋体" w:hAnsi="宋体"/>
          <w:color w:val="auto"/>
          <w:sz w:val="32"/>
          <w:szCs w:val="32"/>
          <w:highlight w:val="none"/>
        </w:rPr>
      </w:pPr>
    </w:p>
    <w:p w14:paraId="6114DEDF">
      <w:pPr>
        <w:tabs>
          <w:tab w:val="left" w:pos="3600"/>
          <w:tab w:val="left" w:pos="4480"/>
          <w:tab w:val="left" w:pos="5360"/>
        </w:tabs>
        <w:autoSpaceDE w:val="0"/>
        <w:autoSpaceDN w:val="0"/>
        <w:adjustRightInd w:val="0"/>
        <w:snapToGrid w:val="0"/>
        <w:spacing w:line="360" w:lineRule="auto"/>
        <w:jc w:val="center"/>
        <w:rPr>
          <w:rFonts w:ascii="宋体" w:hAnsi="宋体"/>
          <w:b/>
          <w:color w:val="auto"/>
          <w:sz w:val="36"/>
          <w:szCs w:val="36"/>
          <w:highlight w:val="none"/>
          <w:u w:val="single"/>
        </w:rPr>
      </w:pPr>
      <w:r>
        <w:rPr>
          <w:rFonts w:ascii="宋体" w:hAnsi="宋体"/>
          <w:color w:val="auto"/>
          <w:sz w:val="32"/>
          <w:szCs w:val="32"/>
          <w:highlight w:val="none"/>
        </w:rPr>
        <w:br w:type="page"/>
      </w:r>
    </w:p>
    <w:p w14:paraId="0967CE0B">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kern w:val="0"/>
          <w:sz w:val="36"/>
          <w:szCs w:val="36"/>
          <w:highlight w:val="none"/>
        </w:rPr>
      </w:pPr>
      <w:r>
        <w:rPr>
          <w:rFonts w:hint="eastAsia" w:ascii="宋体" w:hAnsi="宋体"/>
          <w:b/>
          <w:color w:val="auto"/>
          <w:sz w:val="36"/>
          <w:szCs w:val="36"/>
          <w:highlight w:val="none"/>
        </w:rPr>
        <w:t>（项目名称）施工比选</w:t>
      </w:r>
    </w:p>
    <w:p w14:paraId="4B722593">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D1E1D40">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kern w:val="0"/>
          <w:sz w:val="84"/>
          <w:szCs w:val="84"/>
          <w:highlight w:val="none"/>
        </w:rPr>
      </w:pPr>
      <w:r>
        <w:rPr>
          <w:rFonts w:hint="eastAsia" w:ascii="宋体" w:hAnsi="宋体" w:cs="MingLiU"/>
          <w:b/>
          <w:color w:val="auto"/>
          <w:kern w:val="0"/>
          <w:sz w:val="84"/>
          <w:szCs w:val="84"/>
          <w:highlight w:val="none"/>
        </w:rPr>
        <w:t>竞  选  文  件</w:t>
      </w:r>
    </w:p>
    <w:p w14:paraId="392976BD">
      <w:pPr>
        <w:autoSpaceDE w:val="0"/>
        <w:autoSpaceDN w:val="0"/>
        <w:adjustRightInd w:val="0"/>
        <w:snapToGrid w:val="0"/>
        <w:spacing w:line="360" w:lineRule="auto"/>
        <w:jc w:val="left"/>
        <w:rPr>
          <w:rFonts w:ascii="宋体" w:hAnsi="宋体" w:cs="MingLiU"/>
          <w:color w:val="auto"/>
          <w:kern w:val="0"/>
          <w:sz w:val="16"/>
          <w:szCs w:val="16"/>
          <w:highlight w:val="none"/>
        </w:rPr>
      </w:pPr>
    </w:p>
    <w:p w14:paraId="2C2AC938">
      <w:pPr>
        <w:autoSpaceDE w:val="0"/>
        <w:autoSpaceDN w:val="0"/>
        <w:adjustRightInd w:val="0"/>
        <w:snapToGrid w:val="0"/>
        <w:spacing w:line="360" w:lineRule="auto"/>
        <w:jc w:val="center"/>
        <w:rPr>
          <w:rFonts w:ascii="宋体" w:hAnsi="宋体" w:cs="MingLiU"/>
          <w:b/>
          <w:color w:val="auto"/>
          <w:kern w:val="0"/>
          <w:sz w:val="36"/>
          <w:szCs w:val="36"/>
          <w:highlight w:val="none"/>
        </w:rPr>
      </w:pPr>
      <w:r>
        <w:rPr>
          <w:rFonts w:hint="eastAsia" w:ascii="宋体" w:hAnsi="宋体" w:cs="MingLiU"/>
          <w:b/>
          <w:color w:val="auto"/>
          <w:kern w:val="0"/>
          <w:sz w:val="36"/>
          <w:szCs w:val="36"/>
          <w:highlight w:val="none"/>
        </w:rPr>
        <w:t>资格审查资料</w:t>
      </w:r>
    </w:p>
    <w:p w14:paraId="33DEB637">
      <w:pPr>
        <w:autoSpaceDE w:val="0"/>
        <w:autoSpaceDN w:val="0"/>
        <w:adjustRightInd w:val="0"/>
        <w:snapToGrid w:val="0"/>
        <w:spacing w:line="360" w:lineRule="auto"/>
        <w:jc w:val="left"/>
        <w:rPr>
          <w:rFonts w:ascii="宋体" w:hAnsi="宋体" w:cs="MingLiU"/>
          <w:color w:val="auto"/>
          <w:kern w:val="0"/>
          <w:sz w:val="20"/>
          <w:szCs w:val="20"/>
          <w:highlight w:val="none"/>
        </w:rPr>
      </w:pPr>
    </w:p>
    <w:p w14:paraId="21A27559">
      <w:pPr>
        <w:adjustRightInd w:val="0"/>
        <w:snapToGrid w:val="0"/>
        <w:spacing w:line="264" w:lineRule="auto"/>
        <w:ind w:firstLine="630" w:firstLineChars="300"/>
        <w:rPr>
          <w:rFonts w:ascii="宋体" w:hAnsi="宋体"/>
          <w:color w:val="auto"/>
          <w:szCs w:val="21"/>
          <w:highlight w:val="none"/>
        </w:rPr>
      </w:pPr>
    </w:p>
    <w:p w14:paraId="1B55F8B5">
      <w:pPr>
        <w:autoSpaceDE w:val="0"/>
        <w:autoSpaceDN w:val="0"/>
        <w:adjustRightInd w:val="0"/>
        <w:snapToGrid w:val="0"/>
        <w:spacing w:line="360" w:lineRule="auto"/>
        <w:jc w:val="left"/>
        <w:rPr>
          <w:rFonts w:ascii="宋体" w:hAnsi="宋体" w:cs="MingLiU"/>
          <w:color w:val="auto"/>
          <w:kern w:val="0"/>
          <w:sz w:val="20"/>
          <w:szCs w:val="20"/>
          <w:highlight w:val="none"/>
        </w:rPr>
      </w:pPr>
    </w:p>
    <w:p w14:paraId="542269CA">
      <w:pPr>
        <w:autoSpaceDE w:val="0"/>
        <w:autoSpaceDN w:val="0"/>
        <w:adjustRightInd w:val="0"/>
        <w:snapToGrid w:val="0"/>
        <w:spacing w:line="360" w:lineRule="auto"/>
        <w:jc w:val="left"/>
        <w:rPr>
          <w:rFonts w:ascii="宋体" w:hAnsi="宋体" w:cs="MingLiU"/>
          <w:color w:val="auto"/>
          <w:kern w:val="0"/>
          <w:sz w:val="20"/>
          <w:szCs w:val="20"/>
          <w:highlight w:val="none"/>
        </w:rPr>
      </w:pPr>
    </w:p>
    <w:p w14:paraId="6E5CC563">
      <w:pPr>
        <w:autoSpaceDE w:val="0"/>
        <w:autoSpaceDN w:val="0"/>
        <w:adjustRightInd w:val="0"/>
        <w:snapToGrid w:val="0"/>
        <w:spacing w:line="360" w:lineRule="auto"/>
        <w:jc w:val="left"/>
        <w:rPr>
          <w:rFonts w:ascii="宋体" w:hAnsi="宋体" w:cs="MingLiU"/>
          <w:color w:val="auto"/>
          <w:kern w:val="0"/>
          <w:sz w:val="20"/>
          <w:szCs w:val="20"/>
          <w:highlight w:val="none"/>
        </w:rPr>
      </w:pPr>
    </w:p>
    <w:p w14:paraId="7E7740D2">
      <w:pPr>
        <w:autoSpaceDE w:val="0"/>
        <w:autoSpaceDN w:val="0"/>
        <w:adjustRightInd w:val="0"/>
        <w:snapToGrid w:val="0"/>
        <w:spacing w:line="360" w:lineRule="auto"/>
        <w:jc w:val="left"/>
        <w:rPr>
          <w:rFonts w:ascii="宋体" w:hAnsi="宋体" w:cs="MingLiU"/>
          <w:color w:val="auto"/>
          <w:kern w:val="0"/>
          <w:sz w:val="20"/>
          <w:szCs w:val="20"/>
          <w:highlight w:val="none"/>
        </w:rPr>
      </w:pPr>
    </w:p>
    <w:p w14:paraId="68438F44">
      <w:pPr>
        <w:autoSpaceDE w:val="0"/>
        <w:autoSpaceDN w:val="0"/>
        <w:adjustRightInd w:val="0"/>
        <w:snapToGrid w:val="0"/>
        <w:spacing w:line="360" w:lineRule="auto"/>
        <w:jc w:val="left"/>
        <w:rPr>
          <w:rFonts w:ascii="宋体" w:hAnsi="宋体" w:cs="MingLiU"/>
          <w:color w:val="auto"/>
          <w:kern w:val="0"/>
          <w:sz w:val="20"/>
          <w:szCs w:val="20"/>
          <w:highlight w:val="none"/>
        </w:rPr>
      </w:pPr>
    </w:p>
    <w:p w14:paraId="205BE163">
      <w:pPr>
        <w:autoSpaceDE w:val="0"/>
        <w:autoSpaceDN w:val="0"/>
        <w:adjustRightInd w:val="0"/>
        <w:snapToGrid w:val="0"/>
        <w:spacing w:line="360" w:lineRule="auto"/>
        <w:jc w:val="left"/>
        <w:rPr>
          <w:rFonts w:ascii="宋体" w:hAnsi="宋体" w:cs="MingLiU"/>
          <w:color w:val="auto"/>
          <w:kern w:val="0"/>
          <w:sz w:val="20"/>
          <w:szCs w:val="20"/>
          <w:highlight w:val="none"/>
        </w:rPr>
      </w:pPr>
    </w:p>
    <w:p w14:paraId="2B6C17F8">
      <w:pPr>
        <w:tabs>
          <w:tab w:val="left" w:pos="6080"/>
          <w:tab w:val="left" w:pos="6640"/>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cs="MingLiU"/>
          <w:b/>
          <w:color w:val="auto"/>
          <w:w w:val="99"/>
          <w:kern w:val="0"/>
          <w:sz w:val="28"/>
          <w:szCs w:val="28"/>
          <w:highlight w:val="none"/>
        </w:rPr>
        <w:t>竞选人</w:t>
      </w:r>
      <w:r>
        <w:rPr>
          <w:rFonts w:hint="eastAsia" w:ascii="宋体" w:hAnsi="宋体" w:cs="MingLiU"/>
          <w:b/>
          <w:color w:val="auto"/>
          <w:spacing w:val="1"/>
          <w:w w:val="99"/>
          <w:kern w:val="0"/>
          <w:sz w:val="28"/>
          <w:szCs w:val="28"/>
          <w:highlight w:val="none"/>
        </w:rPr>
        <w:t>：</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（盖单位公章）</w:t>
      </w:r>
    </w:p>
    <w:p w14:paraId="40CD21A4">
      <w:pPr>
        <w:tabs>
          <w:tab w:val="left" w:pos="6080"/>
          <w:tab w:val="left" w:pos="6640"/>
        </w:tabs>
        <w:autoSpaceDE w:val="0"/>
        <w:autoSpaceDN w:val="0"/>
        <w:adjustRightInd w:val="0"/>
        <w:snapToGrid w:val="0"/>
        <w:spacing w:line="360" w:lineRule="auto"/>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rPr>
        <w:t>法定代表人或其委托代理人：</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（签字）</w:t>
      </w:r>
    </w:p>
    <w:p w14:paraId="179E268A">
      <w:pPr>
        <w:tabs>
          <w:tab w:val="left" w:pos="3280"/>
          <w:tab w:val="left" w:pos="4680"/>
          <w:tab w:val="left" w:pos="6080"/>
        </w:tabs>
        <w:autoSpaceDE w:val="0"/>
        <w:autoSpaceDN w:val="0"/>
        <w:adjustRightInd w:val="0"/>
        <w:snapToGrid w:val="0"/>
        <w:spacing w:line="360" w:lineRule="auto"/>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rPr>
        <w:t>年</w:t>
      </w:r>
      <w:r>
        <w:rPr>
          <w:rFonts w:hint="eastAsia" w:ascii="宋体" w:hAnsi="宋体" w:cs="MingLiU"/>
          <w:b/>
          <w:color w:val="auto"/>
          <w:w w:val="99"/>
          <w:kern w:val="0"/>
          <w:sz w:val="28"/>
          <w:szCs w:val="28"/>
          <w:highlight w:val="none"/>
          <w:lang w:val="en-US" w:eastAsia="zh-CN"/>
        </w:rPr>
        <w:t xml:space="preserve">   </w:t>
      </w:r>
      <w:r>
        <w:rPr>
          <w:rFonts w:hint="eastAsia" w:ascii="宋体" w:hAnsi="宋体" w:cs="MingLiU"/>
          <w:b/>
          <w:color w:val="auto"/>
          <w:w w:val="99"/>
          <w:kern w:val="0"/>
          <w:sz w:val="28"/>
          <w:szCs w:val="28"/>
          <w:highlight w:val="none"/>
        </w:rPr>
        <w:t>月</w:t>
      </w:r>
      <w:r>
        <w:rPr>
          <w:rFonts w:hint="eastAsia" w:ascii="宋体" w:hAnsi="宋体" w:cs="MingLiU"/>
          <w:b/>
          <w:color w:val="auto"/>
          <w:w w:val="99"/>
          <w:kern w:val="0"/>
          <w:sz w:val="28"/>
          <w:szCs w:val="28"/>
          <w:highlight w:val="none"/>
          <w:lang w:val="en-US" w:eastAsia="zh-CN"/>
        </w:rPr>
        <w:t xml:space="preserve">  </w:t>
      </w:r>
      <w:r>
        <w:rPr>
          <w:rFonts w:hint="eastAsia" w:ascii="宋体" w:hAnsi="宋体" w:cs="MingLiU"/>
          <w:b/>
          <w:color w:val="auto"/>
          <w:w w:val="99"/>
          <w:kern w:val="0"/>
          <w:sz w:val="28"/>
          <w:szCs w:val="28"/>
          <w:highlight w:val="none"/>
        </w:rPr>
        <w:t>日</w:t>
      </w:r>
    </w:p>
    <w:p w14:paraId="54501C15">
      <w:pPr>
        <w:spacing w:line="360" w:lineRule="auto"/>
        <w:rPr>
          <w:rFonts w:ascii="宋体" w:hAnsi="宋体"/>
          <w:color w:val="auto"/>
          <w:sz w:val="32"/>
          <w:szCs w:val="32"/>
          <w:highlight w:val="none"/>
        </w:rPr>
      </w:pPr>
    </w:p>
    <w:p w14:paraId="082B48A3">
      <w:pPr>
        <w:pStyle w:val="3"/>
        <w:rPr>
          <w:rFonts w:ascii="宋体" w:hAnsi="宋体"/>
          <w:color w:val="auto"/>
          <w:sz w:val="32"/>
          <w:szCs w:val="32"/>
          <w:highlight w:val="none"/>
        </w:rPr>
      </w:pPr>
    </w:p>
    <w:p w14:paraId="51A3DBE1">
      <w:pPr>
        <w:rPr>
          <w:rFonts w:ascii="宋体" w:hAnsi="宋体"/>
          <w:color w:val="auto"/>
          <w:sz w:val="32"/>
          <w:szCs w:val="32"/>
          <w:highlight w:val="none"/>
        </w:rPr>
      </w:pPr>
    </w:p>
    <w:p w14:paraId="78B6249F">
      <w:pPr>
        <w:pStyle w:val="3"/>
        <w:rPr>
          <w:rFonts w:ascii="宋体" w:hAnsi="宋体"/>
          <w:color w:val="auto"/>
          <w:sz w:val="32"/>
          <w:szCs w:val="32"/>
          <w:highlight w:val="none"/>
        </w:rPr>
      </w:pPr>
    </w:p>
    <w:p w14:paraId="2D5DD235">
      <w:pPr>
        <w:rPr>
          <w:rFonts w:ascii="宋体" w:hAnsi="宋体"/>
          <w:color w:val="auto"/>
          <w:sz w:val="32"/>
          <w:szCs w:val="32"/>
          <w:highlight w:val="none"/>
        </w:rPr>
      </w:pPr>
    </w:p>
    <w:p w14:paraId="7C9BB827">
      <w:pPr>
        <w:pStyle w:val="3"/>
        <w:rPr>
          <w:rFonts w:ascii="宋体" w:hAnsi="宋体"/>
          <w:color w:val="auto"/>
          <w:sz w:val="32"/>
          <w:szCs w:val="32"/>
          <w:highlight w:val="none"/>
        </w:rPr>
      </w:pPr>
    </w:p>
    <w:p w14:paraId="6AEDD2C1">
      <w:pPr>
        <w:jc w:val="center"/>
        <w:rPr>
          <w:rFonts w:ascii="宋体" w:hAnsi="宋体" w:cs="MingLiU"/>
          <w:b/>
          <w:color w:val="auto"/>
          <w:kern w:val="0"/>
          <w:sz w:val="32"/>
          <w:szCs w:val="32"/>
          <w:highlight w:val="none"/>
        </w:rPr>
      </w:pPr>
    </w:p>
    <w:p w14:paraId="7D5B103E">
      <w:pPr>
        <w:jc w:val="center"/>
        <w:rPr>
          <w:rFonts w:ascii="宋体" w:hAnsi="宋体" w:cs="MingLiU"/>
          <w:b/>
          <w:color w:val="auto"/>
          <w:kern w:val="0"/>
          <w:sz w:val="32"/>
          <w:szCs w:val="32"/>
          <w:highlight w:val="none"/>
        </w:rPr>
      </w:pPr>
    </w:p>
    <w:p w14:paraId="07F73756">
      <w:pPr>
        <w:jc w:val="center"/>
        <w:rPr>
          <w:rFonts w:ascii="宋体" w:hAnsi="宋体" w:cs="MingLiU"/>
          <w:b/>
          <w:color w:val="auto"/>
          <w:kern w:val="0"/>
          <w:sz w:val="32"/>
          <w:szCs w:val="32"/>
          <w:highlight w:val="none"/>
        </w:rPr>
      </w:pPr>
      <w:r>
        <w:rPr>
          <w:rFonts w:hint="eastAsia" w:ascii="宋体" w:hAnsi="宋体" w:cs="MingLiU"/>
          <w:b/>
          <w:color w:val="auto"/>
          <w:kern w:val="0"/>
          <w:sz w:val="32"/>
          <w:szCs w:val="32"/>
          <w:highlight w:val="none"/>
        </w:rPr>
        <w:t>目    录</w:t>
      </w:r>
    </w:p>
    <w:p w14:paraId="2CC0D3E9">
      <w:pPr>
        <w:jc w:val="center"/>
        <w:rPr>
          <w:rFonts w:ascii="宋体" w:hAnsi="宋体" w:cs="MingLiU"/>
          <w:b/>
          <w:color w:val="auto"/>
          <w:kern w:val="0"/>
          <w:sz w:val="32"/>
          <w:szCs w:val="32"/>
          <w:highlight w:val="none"/>
        </w:rPr>
      </w:pPr>
    </w:p>
    <w:p w14:paraId="643BE014">
      <w:pPr>
        <w:autoSpaceDE w:val="0"/>
        <w:autoSpaceDN w:val="0"/>
        <w:adjustRightInd w:val="0"/>
        <w:snapToGrid w:val="0"/>
        <w:spacing w:line="560" w:lineRule="exact"/>
        <w:jc w:val="left"/>
        <w:rPr>
          <w:rFonts w:ascii="宋体" w:hAnsi="宋体" w:cs="MingLiU"/>
          <w:color w:val="auto"/>
          <w:kern w:val="0"/>
          <w:sz w:val="24"/>
          <w:highlight w:val="none"/>
        </w:rPr>
      </w:pPr>
      <w:r>
        <w:rPr>
          <w:rFonts w:hint="eastAsia" w:ascii="宋体" w:hAnsi="宋体" w:cs="MingLiU"/>
          <w:color w:val="auto"/>
          <w:kern w:val="0"/>
          <w:sz w:val="24"/>
          <w:highlight w:val="none"/>
        </w:rPr>
        <w:t>（一）法定代表人身份证明或附有法定代表人身份证明的授权委托书</w:t>
      </w:r>
    </w:p>
    <w:p w14:paraId="2EC68E01">
      <w:pPr>
        <w:autoSpaceDE w:val="0"/>
        <w:autoSpaceDN w:val="0"/>
        <w:adjustRightInd w:val="0"/>
        <w:snapToGrid w:val="0"/>
        <w:spacing w:line="560" w:lineRule="exact"/>
        <w:jc w:val="left"/>
        <w:rPr>
          <w:rFonts w:ascii="宋体" w:hAnsi="宋体" w:cs="MingLiU"/>
          <w:color w:val="auto"/>
          <w:kern w:val="0"/>
          <w:sz w:val="24"/>
          <w:highlight w:val="none"/>
        </w:rPr>
      </w:pPr>
      <w:r>
        <w:rPr>
          <w:rFonts w:hint="eastAsia" w:ascii="宋体" w:hAnsi="宋体" w:cs="MingLiU"/>
          <w:color w:val="auto"/>
          <w:kern w:val="0"/>
          <w:sz w:val="24"/>
          <w:highlight w:val="none"/>
        </w:rPr>
        <w:t>（二）竞选人基本情况表</w:t>
      </w:r>
    </w:p>
    <w:p w14:paraId="15C284A8">
      <w:pPr>
        <w:snapToGrid w:val="0"/>
        <w:spacing w:line="560" w:lineRule="exact"/>
        <w:rPr>
          <w:rFonts w:ascii="宋体" w:hAnsi="宋体" w:cs="MingLiU"/>
          <w:color w:val="auto"/>
          <w:kern w:val="0"/>
          <w:sz w:val="24"/>
          <w:highlight w:val="none"/>
        </w:rPr>
      </w:pPr>
      <w:r>
        <w:rPr>
          <w:rFonts w:hint="eastAsia" w:ascii="宋体" w:hAnsi="宋体" w:cs="MingLiU"/>
          <w:color w:val="auto"/>
          <w:kern w:val="0"/>
          <w:sz w:val="24"/>
          <w:highlight w:val="none"/>
        </w:rPr>
        <w:t>（三）项目管理机构</w:t>
      </w:r>
    </w:p>
    <w:p w14:paraId="686F61E8">
      <w:pPr>
        <w:snapToGrid w:val="0"/>
        <w:spacing w:line="560" w:lineRule="exact"/>
        <w:rPr>
          <w:rFonts w:ascii="宋体" w:hAnsi="宋体" w:cs="MingLiU"/>
          <w:color w:val="auto"/>
          <w:kern w:val="0"/>
          <w:sz w:val="24"/>
          <w:highlight w:val="none"/>
        </w:rPr>
      </w:pPr>
      <w:r>
        <w:rPr>
          <w:rFonts w:ascii="宋体" w:hAnsi="宋体" w:cs="MingLiU"/>
          <w:color w:val="auto"/>
          <w:kern w:val="0"/>
          <w:sz w:val="24"/>
          <w:highlight w:val="none"/>
        </w:rPr>
        <w:t>（</w:t>
      </w:r>
      <w:r>
        <w:rPr>
          <w:rFonts w:hint="eastAsia" w:ascii="宋体" w:hAnsi="宋体" w:cs="MingLiU"/>
          <w:color w:val="auto"/>
          <w:kern w:val="0"/>
          <w:sz w:val="24"/>
          <w:highlight w:val="none"/>
        </w:rPr>
        <w:t>四</w:t>
      </w:r>
      <w:r>
        <w:rPr>
          <w:rFonts w:hint="eastAsia" w:ascii="宋体" w:hAnsi="宋体" w:cs="MingLiU"/>
          <w:color w:val="auto"/>
          <w:kern w:val="0"/>
          <w:sz w:val="24"/>
          <w:highlight w:val="none"/>
          <w:lang w:eastAsia="zh-CN"/>
        </w:rPr>
        <w:t>）</w:t>
      </w:r>
      <w:r>
        <w:rPr>
          <w:rFonts w:hint="eastAsia" w:ascii="宋体" w:hAnsi="宋体" w:cs="MingLiU"/>
          <w:color w:val="auto"/>
          <w:kern w:val="0"/>
          <w:sz w:val="24"/>
          <w:highlight w:val="none"/>
        </w:rPr>
        <w:t>承诺</w:t>
      </w:r>
    </w:p>
    <w:p w14:paraId="4AFC5C2E">
      <w:pPr>
        <w:pStyle w:val="3"/>
        <w:spacing w:line="560" w:lineRule="exact"/>
        <w:rPr>
          <w:color w:val="auto"/>
          <w:highlight w:val="none"/>
        </w:rPr>
      </w:pPr>
      <w:r>
        <w:rPr>
          <w:rFonts w:hint="eastAsia" w:ascii="宋体" w:hAnsi="宋体" w:cs="MingLiU"/>
          <w:color w:val="auto"/>
          <w:kern w:val="0"/>
          <w:sz w:val="24"/>
          <w:highlight w:val="none"/>
        </w:rPr>
        <w:t>（</w:t>
      </w:r>
      <w:r>
        <w:rPr>
          <w:rFonts w:hint="eastAsia" w:ascii="宋体" w:hAnsi="宋体" w:cs="MingLiU"/>
          <w:color w:val="auto"/>
          <w:kern w:val="0"/>
          <w:sz w:val="24"/>
          <w:highlight w:val="none"/>
          <w:lang w:val="en-US" w:eastAsia="zh-CN"/>
        </w:rPr>
        <w:t>五</w:t>
      </w:r>
      <w:r>
        <w:rPr>
          <w:rFonts w:hint="eastAsia" w:ascii="宋体" w:hAnsi="宋体" w:cs="MingLiU"/>
          <w:color w:val="auto"/>
          <w:kern w:val="0"/>
          <w:sz w:val="24"/>
          <w:highlight w:val="none"/>
        </w:rPr>
        <w:t>）其他资料</w:t>
      </w:r>
    </w:p>
    <w:p w14:paraId="489C2862">
      <w:pPr>
        <w:rPr>
          <w:color w:val="auto"/>
          <w:highlight w:val="none"/>
        </w:rPr>
      </w:pPr>
    </w:p>
    <w:p w14:paraId="0FD53008">
      <w:pPr>
        <w:pStyle w:val="6"/>
        <w:jc w:val="center"/>
        <w:rPr>
          <w:color w:val="auto"/>
          <w:sz w:val="30"/>
          <w:szCs w:val="30"/>
          <w:highlight w:val="none"/>
        </w:rPr>
      </w:pPr>
      <w:bookmarkStart w:id="830" w:name="_Toc277082657"/>
      <w:bookmarkStart w:id="831" w:name="_Toc5633"/>
      <w:bookmarkStart w:id="832" w:name="_Toc287620830"/>
      <w:bookmarkStart w:id="833" w:name="_Toc224103511"/>
      <w:bookmarkStart w:id="834" w:name="_Toc430530546"/>
      <w:bookmarkStart w:id="835" w:name="_Toc287607883"/>
      <w:bookmarkStart w:id="836" w:name="_Toc57905929"/>
    </w:p>
    <w:p w14:paraId="5C7B2D9C">
      <w:pPr>
        <w:pStyle w:val="6"/>
        <w:jc w:val="center"/>
        <w:rPr>
          <w:color w:val="auto"/>
          <w:sz w:val="30"/>
          <w:szCs w:val="30"/>
          <w:highlight w:val="none"/>
        </w:rPr>
      </w:pPr>
    </w:p>
    <w:p w14:paraId="5B74D3D8">
      <w:pPr>
        <w:pStyle w:val="6"/>
        <w:jc w:val="center"/>
        <w:rPr>
          <w:color w:val="auto"/>
          <w:sz w:val="30"/>
          <w:szCs w:val="30"/>
          <w:highlight w:val="none"/>
        </w:rPr>
      </w:pPr>
    </w:p>
    <w:p w14:paraId="7B7DAE5D">
      <w:pPr>
        <w:pStyle w:val="6"/>
        <w:jc w:val="center"/>
        <w:rPr>
          <w:color w:val="auto"/>
          <w:sz w:val="30"/>
          <w:szCs w:val="30"/>
          <w:highlight w:val="none"/>
        </w:rPr>
      </w:pPr>
    </w:p>
    <w:p w14:paraId="41B6DDE4">
      <w:pPr>
        <w:pStyle w:val="6"/>
        <w:jc w:val="center"/>
        <w:rPr>
          <w:color w:val="auto"/>
          <w:sz w:val="30"/>
          <w:szCs w:val="30"/>
          <w:highlight w:val="none"/>
        </w:rPr>
      </w:pPr>
    </w:p>
    <w:p w14:paraId="17CC7ADE">
      <w:pPr>
        <w:pStyle w:val="6"/>
        <w:jc w:val="center"/>
        <w:rPr>
          <w:color w:val="auto"/>
          <w:sz w:val="30"/>
          <w:szCs w:val="30"/>
          <w:highlight w:val="none"/>
        </w:rPr>
      </w:pPr>
    </w:p>
    <w:p w14:paraId="79641795">
      <w:pPr>
        <w:pStyle w:val="6"/>
        <w:jc w:val="center"/>
        <w:rPr>
          <w:color w:val="auto"/>
          <w:sz w:val="30"/>
          <w:szCs w:val="30"/>
          <w:highlight w:val="none"/>
        </w:rPr>
      </w:pPr>
    </w:p>
    <w:p w14:paraId="2E04763B">
      <w:pPr>
        <w:pStyle w:val="6"/>
        <w:rPr>
          <w:color w:val="auto"/>
          <w:sz w:val="30"/>
          <w:szCs w:val="30"/>
          <w:highlight w:val="none"/>
        </w:rPr>
      </w:pPr>
    </w:p>
    <w:p w14:paraId="14402381">
      <w:pPr>
        <w:rPr>
          <w:color w:val="auto"/>
          <w:highlight w:val="none"/>
        </w:rPr>
      </w:pPr>
    </w:p>
    <w:p w14:paraId="03C568B1">
      <w:pPr>
        <w:pStyle w:val="6"/>
        <w:rPr>
          <w:color w:val="auto"/>
          <w:sz w:val="30"/>
          <w:szCs w:val="30"/>
          <w:highlight w:val="none"/>
        </w:rPr>
      </w:pPr>
    </w:p>
    <w:p w14:paraId="7D332253">
      <w:pPr>
        <w:pStyle w:val="6"/>
        <w:spacing w:before="0" w:after="0" w:line="240" w:lineRule="auto"/>
        <w:jc w:val="center"/>
        <w:rPr>
          <w:rFonts w:ascii="宋体" w:hAnsi="宋体"/>
          <w:color w:val="auto"/>
          <w:sz w:val="36"/>
          <w:szCs w:val="36"/>
          <w:highlight w:val="none"/>
        </w:rPr>
      </w:pPr>
      <w:r>
        <w:rPr>
          <w:color w:val="auto"/>
          <w:sz w:val="30"/>
          <w:szCs w:val="30"/>
          <w:highlight w:val="none"/>
        </w:rPr>
        <w:t>（一）</w:t>
      </w:r>
      <w:bookmarkEnd w:id="830"/>
      <w:bookmarkEnd w:id="831"/>
      <w:bookmarkEnd w:id="832"/>
      <w:bookmarkEnd w:id="833"/>
      <w:bookmarkEnd w:id="834"/>
      <w:bookmarkEnd w:id="835"/>
      <w:bookmarkEnd w:id="836"/>
      <w:bookmarkStart w:id="837" w:name="_Toc57905931"/>
      <w:bookmarkStart w:id="838" w:name="_Toc287607887"/>
      <w:bookmarkStart w:id="839" w:name="_Toc277082659"/>
      <w:r>
        <w:rPr>
          <w:rFonts w:hint="eastAsia" w:ascii="宋体" w:hAnsi="宋体"/>
          <w:b w:val="0"/>
          <w:bCs w:val="0"/>
          <w:color w:val="auto"/>
          <w:highlight w:val="none"/>
        </w:rPr>
        <w:t>法定代表人身份证明或附有法定代表人身份证明的授权委托书</w:t>
      </w:r>
    </w:p>
    <w:p w14:paraId="6281751B">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02E70F82">
      <w:pPr>
        <w:spacing w:line="480" w:lineRule="auto"/>
        <w:jc w:val="center"/>
        <w:rPr>
          <w:rFonts w:ascii="宋体" w:hAnsi="宋体"/>
          <w:color w:val="auto"/>
          <w:highlight w:val="none"/>
        </w:rPr>
      </w:pPr>
    </w:p>
    <w:p w14:paraId="2BD4FD9C">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FE5CA2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D775AA4">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D8B6966">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22DA1D5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A010D8E">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76649374">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1267F65E">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2870F708">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4772C60A">
      <w:pPr>
        <w:autoSpaceDE w:val="0"/>
        <w:autoSpaceDN w:val="0"/>
        <w:adjustRightInd w:val="0"/>
        <w:snapToGrid w:val="0"/>
        <w:spacing w:line="360" w:lineRule="auto"/>
        <w:jc w:val="left"/>
        <w:rPr>
          <w:rFonts w:ascii="宋体" w:hAnsi="宋体"/>
          <w:color w:val="auto"/>
          <w:szCs w:val="21"/>
          <w:highlight w:val="none"/>
        </w:rPr>
      </w:pPr>
    </w:p>
    <w:p w14:paraId="56F122EB">
      <w:pPr>
        <w:pStyle w:val="3"/>
        <w:spacing w:after="0" w:line="360" w:lineRule="auto"/>
        <w:rPr>
          <w:rFonts w:ascii="宋体" w:hAnsi="宋体"/>
          <w:color w:val="auto"/>
          <w:szCs w:val="21"/>
          <w:highlight w:val="none"/>
        </w:rPr>
      </w:pPr>
    </w:p>
    <w:p w14:paraId="57495050">
      <w:pPr>
        <w:pStyle w:val="3"/>
        <w:spacing w:after="0" w:line="360" w:lineRule="auto"/>
        <w:rPr>
          <w:rFonts w:ascii="宋体" w:hAnsi="宋体"/>
          <w:color w:val="auto"/>
          <w:szCs w:val="21"/>
          <w:highlight w:val="none"/>
        </w:rPr>
      </w:pPr>
    </w:p>
    <w:p w14:paraId="5FF01041">
      <w:pPr>
        <w:pStyle w:val="3"/>
        <w:spacing w:after="0" w:line="360" w:lineRule="auto"/>
        <w:rPr>
          <w:rFonts w:ascii="宋体" w:hAnsi="宋体"/>
          <w:color w:val="auto"/>
          <w:szCs w:val="21"/>
          <w:highlight w:val="none"/>
        </w:rPr>
      </w:pPr>
    </w:p>
    <w:p w14:paraId="44CD566B">
      <w:pPr>
        <w:pStyle w:val="3"/>
        <w:spacing w:after="0" w:line="360" w:lineRule="auto"/>
        <w:rPr>
          <w:rFonts w:ascii="宋体" w:hAnsi="宋体"/>
          <w:color w:val="auto"/>
          <w:szCs w:val="21"/>
          <w:highlight w:val="none"/>
        </w:rPr>
      </w:pPr>
    </w:p>
    <w:p w14:paraId="3C19B43D">
      <w:pPr>
        <w:pStyle w:val="3"/>
        <w:spacing w:after="0" w:line="360" w:lineRule="auto"/>
        <w:rPr>
          <w:rFonts w:ascii="宋体" w:hAnsi="宋体"/>
          <w:color w:val="auto"/>
          <w:szCs w:val="21"/>
          <w:highlight w:val="none"/>
        </w:rPr>
      </w:pPr>
    </w:p>
    <w:p w14:paraId="2F1299F3">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634FC3A1">
      <w:pPr>
        <w:autoSpaceDE w:val="0"/>
        <w:autoSpaceDN w:val="0"/>
        <w:adjustRightInd w:val="0"/>
        <w:snapToGrid w:val="0"/>
        <w:spacing w:line="480" w:lineRule="auto"/>
        <w:jc w:val="left"/>
        <w:rPr>
          <w:rFonts w:ascii="宋体" w:hAnsi="宋体"/>
          <w:color w:val="auto"/>
          <w:kern w:val="0"/>
          <w:sz w:val="20"/>
          <w:szCs w:val="20"/>
          <w:highlight w:val="none"/>
        </w:rPr>
      </w:pPr>
    </w:p>
    <w:p w14:paraId="7684AF1A">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38F23D2A">
      <w:pPr>
        <w:autoSpaceDE w:val="0"/>
        <w:autoSpaceDN w:val="0"/>
        <w:adjustRightInd w:val="0"/>
        <w:snapToGrid w:val="0"/>
        <w:spacing w:line="360" w:lineRule="auto"/>
        <w:jc w:val="left"/>
        <w:rPr>
          <w:rFonts w:ascii="宋体" w:hAnsi="宋体"/>
          <w:color w:val="auto"/>
          <w:kern w:val="0"/>
          <w:highlight w:val="none"/>
        </w:rPr>
      </w:pPr>
    </w:p>
    <w:p w14:paraId="0D87F54F">
      <w:pPr>
        <w:autoSpaceDE w:val="0"/>
        <w:autoSpaceDN w:val="0"/>
        <w:adjustRightInd w:val="0"/>
        <w:snapToGrid w:val="0"/>
        <w:spacing w:line="360" w:lineRule="auto"/>
        <w:jc w:val="left"/>
        <w:rPr>
          <w:rFonts w:ascii="宋体" w:hAnsi="宋体"/>
          <w:color w:val="auto"/>
          <w:kern w:val="0"/>
          <w:highlight w:val="none"/>
        </w:rPr>
      </w:pPr>
    </w:p>
    <w:p w14:paraId="67013C95">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14:paraId="5090B645">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p>
    <w:p w14:paraId="44BCE4C2">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43CF05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243F6F4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8E3546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BEF5BA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527CE97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50AA497">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0E22646B">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87C03B9">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hint="eastAsia" w:ascii="宋体" w:hAnsi="宋体"/>
          <w:color w:val="auto"/>
          <w:spacing w:val="-1"/>
          <w:kern w:val="0"/>
          <w:szCs w:val="21"/>
          <w:highlight w:val="none"/>
        </w:rPr>
        <w:t>）</w:t>
      </w:r>
    </w:p>
    <w:p w14:paraId="49E0B24A">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11B3941">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0E5CA3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16DDA565">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025A0CA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666E63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DB1B96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24D07F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ABAA57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5249C6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5AE1430">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6642FF0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31EE7C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0FEF27C0">
      <w:pPr>
        <w:tabs>
          <w:tab w:val="left" w:pos="5760"/>
        </w:tabs>
        <w:autoSpaceDE w:val="0"/>
        <w:autoSpaceDN w:val="0"/>
        <w:adjustRightInd w:val="0"/>
        <w:spacing w:line="360" w:lineRule="auto"/>
        <w:ind w:firstLine="420" w:firstLineChars="200"/>
        <w:rPr>
          <w:rFonts w:ascii="宋体" w:hAnsi="宋体"/>
          <w:color w:val="auto"/>
          <w:kern w:val="0"/>
          <w:highlight w:val="none"/>
        </w:rPr>
      </w:pPr>
    </w:p>
    <w:p w14:paraId="03EFF567">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10668E9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309476BE">
      <w:pPr>
        <w:spacing w:line="360" w:lineRule="auto"/>
        <w:ind w:firstLine="420" w:firstLineChars="200"/>
        <w:rPr>
          <w:rFonts w:ascii="宋体" w:hAnsi="宋体"/>
          <w:color w:val="auto"/>
          <w:highlight w:val="none"/>
        </w:rPr>
      </w:pPr>
    </w:p>
    <w:p w14:paraId="5E9E4257">
      <w:pPr>
        <w:pStyle w:val="3"/>
        <w:rPr>
          <w:color w:val="auto"/>
          <w:highlight w:val="none"/>
        </w:rPr>
      </w:pPr>
    </w:p>
    <w:p w14:paraId="34A5FCC8">
      <w:pPr>
        <w:pStyle w:val="6"/>
        <w:spacing w:before="0" w:after="0" w:line="240" w:lineRule="auto"/>
        <w:jc w:val="center"/>
        <w:rPr>
          <w:rFonts w:ascii="宋体" w:hAnsi="宋体"/>
          <w:color w:val="auto"/>
          <w:highlight w:val="none"/>
        </w:rPr>
      </w:pPr>
      <w:r>
        <w:rPr>
          <w:rFonts w:hint="eastAsia" w:ascii="宋体" w:hAnsi="宋体"/>
          <w:b w:val="0"/>
          <w:bCs w:val="0"/>
          <w:color w:val="auto"/>
          <w:highlight w:val="none"/>
        </w:rPr>
        <w:t>（二）竞选人基本情况表</w:t>
      </w:r>
      <w:bookmarkEnd w:id="837"/>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4BFF3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7ECBBA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竞选人</w:t>
            </w:r>
          </w:p>
        </w:tc>
        <w:tc>
          <w:tcPr>
            <w:tcW w:w="7607" w:type="dxa"/>
            <w:gridSpan w:val="9"/>
            <w:vAlign w:val="center"/>
          </w:tcPr>
          <w:p w14:paraId="2D8A3151">
            <w:pPr>
              <w:autoSpaceDE w:val="0"/>
              <w:autoSpaceDN w:val="0"/>
              <w:adjustRightInd w:val="0"/>
              <w:snapToGrid w:val="0"/>
              <w:jc w:val="center"/>
              <w:rPr>
                <w:rFonts w:ascii="宋体" w:hAnsi="宋体"/>
                <w:color w:val="auto"/>
                <w:kern w:val="0"/>
                <w:szCs w:val="21"/>
                <w:highlight w:val="none"/>
              </w:rPr>
            </w:pPr>
          </w:p>
        </w:tc>
      </w:tr>
      <w:tr w14:paraId="31C2AD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732FD5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5E47EC1C">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2F3287B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65DB9C45">
            <w:pPr>
              <w:autoSpaceDE w:val="0"/>
              <w:autoSpaceDN w:val="0"/>
              <w:adjustRightInd w:val="0"/>
              <w:snapToGrid w:val="0"/>
              <w:jc w:val="center"/>
              <w:rPr>
                <w:rFonts w:ascii="宋体" w:hAnsi="宋体"/>
                <w:color w:val="auto"/>
                <w:kern w:val="0"/>
                <w:szCs w:val="21"/>
                <w:highlight w:val="none"/>
              </w:rPr>
            </w:pPr>
          </w:p>
        </w:tc>
      </w:tr>
      <w:tr w14:paraId="2A6893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6FF60F1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67A7296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4BCDA03C">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2B00056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6638CF2D">
            <w:pPr>
              <w:autoSpaceDE w:val="0"/>
              <w:autoSpaceDN w:val="0"/>
              <w:adjustRightInd w:val="0"/>
              <w:snapToGrid w:val="0"/>
              <w:jc w:val="center"/>
              <w:rPr>
                <w:rFonts w:ascii="宋体" w:hAnsi="宋体"/>
                <w:color w:val="auto"/>
                <w:kern w:val="0"/>
                <w:szCs w:val="21"/>
                <w:highlight w:val="none"/>
              </w:rPr>
            </w:pPr>
          </w:p>
        </w:tc>
      </w:tr>
      <w:tr w14:paraId="74FB8F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35C8C439">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4DDB042E">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5E5E27C3">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7116675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7B5729C1">
            <w:pPr>
              <w:autoSpaceDE w:val="0"/>
              <w:autoSpaceDN w:val="0"/>
              <w:adjustRightInd w:val="0"/>
              <w:snapToGrid w:val="0"/>
              <w:jc w:val="center"/>
              <w:rPr>
                <w:rFonts w:ascii="宋体" w:hAnsi="宋体"/>
                <w:color w:val="auto"/>
                <w:kern w:val="0"/>
                <w:szCs w:val="21"/>
                <w:highlight w:val="none"/>
              </w:rPr>
            </w:pPr>
          </w:p>
        </w:tc>
      </w:tr>
      <w:tr w14:paraId="1E2115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621765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6F7A51B3">
            <w:pPr>
              <w:autoSpaceDE w:val="0"/>
              <w:autoSpaceDN w:val="0"/>
              <w:adjustRightInd w:val="0"/>
              <w:snapToGrid w:val="0"/>
              <w:jc w:val="center"/>
              <w:rPr>
                <w:rFonts w:ascii="宋体" w:hAnsi="宋体"/>
                <w:color w:val="auto"/>
                <w:kern w:val="0"/>
                <w:szCs w:val="21"/>
                <w:highlight w:val="none"/>
              </w:rPr>
            </w:pPr>
          </w:p>
        </w:tc>
      </w:tr>
      <w:tr w14:paraId="2DF611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335A11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36DE0F7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445F101A">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6F6A6E2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5D2DCDEB">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2F37442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1256C8A4">
            <w:pPr>
              <w:autoSpaceDE w:val="0"/>
              <w:autoSpaceDN w:val="0"/>
              <w:adjustRightInd w:val="0"/>
              <w:snapToGrid w:val="0"/>
              <w:jc w:val="center"/>
              <w:rPr>
                <w:rFonts w:ascii="宋体" w:hAnsi="宋体"/>
                <w:color w:val="auto"/>
                <w:kern w:val="0"/>
                <w:szCs w:val="21"/>
                <w:highlight w:val="none"/>
              </w:rPr>
            </w:pPr>
          </w:p>
        </w:tc>
      </w:tr>
      <w:tr w14:paraId="07B770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2241A8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7B6777D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4D6576F5">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58B44F1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73D781CD">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78BB02F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052D89F5">
            <w:pPr>
              <w:autoSpaceDE w:val="0"/>
              <w:autoSpaceDN w:val="0"/>
              <w:adjustRightInd w:val="0"/>
              <w:snapToGrid w:val="0"/>
              <w:jc w:val="center"/>
              <w:rPr>
                <w:rFonts w:ascii="宋体" w:hAnsi="宋体"/>
                <w:color w:val="auto"/>
                <w:kern w:val="0"/>
                <w:szCs w:val="21"/>
                <w:highlight w:val="none"/>
              </w:rPr>
            </w:pPr>
          </w:p>
        </w:tc>
      </w:tr>
      <w:tr w14:paraId="0594FC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143BDC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604FFD77">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2C153DD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5EC7A0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AAFE59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1D22F6BC">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4427BD2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7535588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353F3D12">
            <w:pPr>
              <w:autoSpaceDE w:val="0"/>
              <w:autoSpaceDN w:val="0"/>
              <w:adjustRightInd w:val="0"/>
              <w:snapToGrid w:val="0"/>
              <w:jc w:val="center"/>
              <w:rPr>
                <w:rFonts w:ascii="宋体" w:hAnsi="宋体"/>
                <w:color w:val="auto"/>
                <w:kern w:val="0"/>
                <w:szCs w:val="21"/>
                <w:highlight w:val="none"/>
              </w:rPr>
            </w:pPr>
          </w:p>
        </w:tc>
      </w:tr>
      <w:tr w14:paraId="50A8A4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6AC03B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2553CB43">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2A8FEF0">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1AF138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B10EA1A">
            <w:pPr>
              <w:autoSpaceDE w:val="0"/>
              <w:autoSpaceDN w:val="0"/>
              <w:adjustRightInd w:val="0"/>
              <w:snapToGrid w:val="0"/>
              <w:jc w:val="center"/>
              <w:rPr>
                <w:rFonts w:ascii="宋体" w:hAnsi="宋体"/>
                <w:color w:val="auto"/>
                <w:kern w:val="0"/>
                <w:szCs w:val="21"/>
                <w:highlight w:val="none"/>
              </w:rPr>
            </w:pPr>
          </w:p>
        </w:tc>
      </w:tr>
      <w:tr w14:paraId="50CBEC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0D9BA6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30881E33">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748C054C">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6659B4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46792E98">
            <w:pPr>
              <w:autoSpaceDE w:val="0"/>
              <w:autoSpaceDN w:val="0"/>
              <w:adjustRightInd w:val="0"/>
              <w:snapToGrid w:val="0"/>
              <w:jc w:val="center"/>
              <w:rPr>
                <w:rFonts w:ascii="宋体" w:hAnsi="宋体"/>
                <w:color w:val="auto"/>
                <w:kern w:val="0"/>
                <w:szCs w:val="21"/>
                <w:highlight w:val="none"/>
              </w:rPr>
            </w:pPr>
          </w:p>
        </w:tc>
      </w:tr>
      <w:tr w14:paraId="0632C2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7AB244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1B312ACC">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915BB45">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31EB2B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4B5AF705">
            <w:pPr>
              <w:autoSpaceDE w:val="0"/>
              <w:autoSpaceDN w:val="0"/>
              <w:adjustRightInd w:val="0"/>
              <w:snapToGrid w:val="0"/>
              <w:jc w:val="center"/>
              <w:rPr>
                <w:rFonts w:ascii="宋体" w:hAnsi="宋体"/>
                <w:color w:val="auto"/>
                <w:kern w:val="0"/>
                <w:szCs w:val="21"/>
                <w:highlight w:val="none"/>
              </w:rPr>
            </w:pPr>
          </w:p>
        </w:tc>
      </w:tr>
      <w:tr w14:paraId="48293E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17C9F7A">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442EA3CD">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680420F7">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8EA2386">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28A5C74F">
            <w:pPr>
              <w:autoSpaceDE w:val="0"/>
              <w:autoSpaceDN w:val="0"/>
              <w:adjustRightInd w:val="0"/>
              <w:snapToGrid w:val="0"/>
              <w:jc w:val="center"/>
              <w:rPr>
                <w:rFonts w:ascii="宋体" w:hAnsi="宋体"/>
                <w:color w:val="auto"/>
                <w:kern w:val="0"/>
                <w:szCs w:val="21"/>
                <w:highlight w:val="none"/>
              </w:rPr>
            </w:pPr>
          </w:p>
        </w:tc>
      </w:tr>
      <w:tr w14:paraId="3D091D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3A956B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7C65CE8A">
            <w:pPr>
              <w:autoSpaceDE w:val="0"/>
              <w:autoSpaceDN w:val="0"/>
              <w:adjustRightInd w:val="0"/>
              <w:snapToGrid w:val="0"/>
              <w:jc w:val="center"/>
              <w:rPr>
                <w:rFonts w:ascii="宋体" w:hAnsi="宋体"/>
                <w:color w:val="auto"/>
                <w:kern w:val="0"/>
                <w:szCs w:val="21"/>
                <w:highlight w:val="none"/>
              </w:rPr>
            </w:pPr>
          </w:p>
        </w:tc>
      </w:tr>
      <w:tr w14:paraId="033FDD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C21E52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7BF9E0D6">
            <w:pPr>
              <w:autoSpaceDE w:val="0"/>
              <w:autoSpaceDN w:val="0"/>
              <w:adjustRightInd w:val="0"/>
              <w:snapToGrid w:val="0"/>
              <w:jc w:val="center"/>
              <w:rPr>
                <w:rFonts w:ascii="宋体" w:hAnsi="宋体"/>
                <w:color w:val="auto"/>
                <w:kern w:val="0"/>
                <w:szCs w:val="21"/>
                <w:highlight w:val="none"/>
              </w:rPr>
            </w:pPr>
          </w:p>
        </w:tc>
      </w:tr>
    </w:tbl>
    <w:p w14:paraId="2A56B5F1">
      <w:pPr>
        <w:pStyle w:val="6"/>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840" w:name="_Toc534185840"/>
      <w:bookmarkStart w:id="841" w:name="_Toc509218863"/>
      <w:bookmarkStart w:id="842" w:name="_Toc57905932"/>
      <w:r>
        <w:rPr>
          <w:rFonts w:hint="eastAsia" w:ascii="宋体" w:hAnsi="宋体"/>
          <w:b w:val="0"/>
          <w:bCs w:val="0"/>
          <w:color w:val="auto"/>
          <w:highlight w:val="none"/>
        </w:rPr>
        <w:t>（三）项目管理机构</w:t>
      </w:r>
      <w:bookmarkEnd w:id="840"/>
      <w:bookmarkEnd w:id="841"/>
      <w:bookmarkEnd w:id="842"/>
    </w:p>
    <w:p w14:paraId="064FC3F4">
      <w:pPr>
        <w:spacing w:line="360" w:lineRule="auto"/>
        <w:rPr>
          <w:rFonts w:ascii="宋体" w:hAnsi="宋体"/>
          <w:color w:val="auto"/>
          <w:highlight w:val="none"/>
        </w:rPr>
      </w:pPr>
    </w:p>
    <w:p w14:paraId="4BF33322">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34620A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751453B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263A3D8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327C532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6466245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63A83CF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0CE1F4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62F67E27">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6C1088DF">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1418746E">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6FA9C64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47C245E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0F682C5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0038088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1C264B5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4748AAAD">
            <w:pPr>
              <w:autoSpaceDE w:val="0"/>
              <w:autoSpaceDN w:val="0"/>
              <w:adjustRightInd w:val="0"/>
              <w:snapToGrid w:val="0"/>
              <w:jc w:val="left"/>
              <w:rPr>
                <w:rFonts w:ascii="宋体" w:hAnsi="宋体"/>
                <w:color w:val="auto"/>
                <w:kern w:val="0"/>
                <w:szCs w:val="21"/>
                <w:highlight w:val="none"/>
              </w:rPr>
            </w:pPr>
          </w:p>
        </w:tc>
      </w:tr>
      <w:tr w14:paraId="45BA4C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7135F577">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0DC6A834">
            <w:pPr>
              <w:autoSpaceDE w:val="0"/>
              <w:autoSpaceDN w:val="0"/>
              <w:adjustRightInd w:val="0"/>
              <w:snapToGrid w:val="0"/>
              <w:jc w:val="left"/>
              <w:rPr>
                <w:rFonts w:ascii="宋体" w:hAnsi="宋体"/>
                <w:color w:val="auto"/>
                <w:kern w:val="0"/>
                <w:szCs w:val="21"/>
                <w:highlight w:val="none"/>
              </w:rPr>
            </w:pPr>
          </w:p>
        </w:tc>
        <w:tc>
          <w:tcPr>
            <w:tcW w:w="776" w:type="dxa"/>
          </w:tcPr>
          <w:p w14:paraId="6CB12518">
            <w:pPr>
              <w:autoSpaceDE w:val="0"/>
              <w:autoSpaceDN w:val="0"/>
              <w:adjustRightInd w:val="0"/>
              <w:snapToGrid w:val="0"/>
              <w:jc w:val="left"/>
              <w:rPr>
                <w:rFonts w:ascii="宋体" w:hAnsi="宋体"/>
                <w:color w:val="auto"/>
                <w:kern w:val="0"/>
                <w:szCs w:val="21"/>
                <w:highlight w:val="none"/>
              </w:rPr>
            </w:pPr>
          </w:p>
        </w:tc>
        <w:tc>
          <w:tcPr>
            <w:tcW w:w="1167" w:type="dxa"/>
          </w:tcPr>
          <w:p w14:paraId="2309ADCC">
            <w:pPr>
              <w:autoSpaceDE w:val="0"/>
              <w:autoSpaceDN w:val="0"/>
              <w:adjustRightInd w:val="0"/>
              <w:snapToGrid w:val="0"/>
              <w:jc w:val="left"/>
              <w:rPr>
                <w:rFonts w:ascii="宋体" w:hAnsi="宋体"/>
                <w:color w:val="auto"/>
                <w:kern w:val="0"/>
                <w:szCs w:val="21"/>
                <w:highlight w:val="none"/>
              </w:rPr>
            </w:pPr>
          </w:p>
        </w:tc>
        <w:tc>
          <w:tcPr>
            <w:tcW w:w="776" w:type="dxa"/>
          </w:tcPr>
          <w:p w14:paraId="56EEA62E">
            <w:pPr>
              <w:autoSpaceDE w:val="0"/>
              <w:autoSpaceDN w:val="0"/>
              <w:adjustRightInd w:val="0"/>
              <w:snapToGrid w:val="0"/>
              <w:jc w:val="left"/>
              <w:rPr>
                <w:rFonts w:ascii="宋体" w:hAnsi="宋体"/>
                <w:color w:val="auto"/>
                <w:kern w:val="0"/>
                <w:szCs w:val="21"/>
                <w:highlight w:val="none"/>
              </w:rPr>
            </w:pPr>
          </w:p>
        </w:tc>
        <w:tc>
          <w:tcPr>
            <w:tcW w:w="778" w:type="dxa"/>
          </w:tcPr>
          <w:p w14:paraId="5EFF888D">
            <w:pPr>
              <w:autoSpaceDE w:val="0"/>
              <w:autoSpaceDN w:val="0"/>
              <w:adjustRightInd w:val="0"/>
              <w:snapToGrid w:val="0"/>
              <w:jc w:val="left"/>
              <w:rPr>
                <w:rFonts w:ascii="宋体" w:hAnsi="宋体"/>
                <w:color w:val="auto"/>
                <w:kern w:val="0"/>
                <w:szCs w:val="21"/>
                <w:highlight w:val="none"/>
              </w:rPr>
            </w:pPr>
          </w:p>
        </w:tc>
        <w:tc>
          <w:tcPr>
            <w:tcW w:w="776" w:type="dxa"/>
          </w:tcPr>
          <w:p w14:paraId="090A4AEE">
            <w:pPr>
              <w:autoSpaceDE w:val="0"/>
              <w:autoSpaceDN w:val="0"/>
              <w:adjustRightInd w:val="0"/>
              <w:snapToGrid w:val="0"/>
              <w:jc w:val="left"/>
              <w:rPr>
                <w:rFonts w:ascii="宋体" w:hAnsi="宋体"/>
                <w:color w:val="auto"/>
                <w:kern w:val="0"/>
                <w:szCs w:val="21"/>
                <w:highlight w:val="none"/>
              </w:rPr>
            </w:pPr>
          </w:p>
        </w:tc>
        <w:tc>
          <w:tcPr>
            <w:tcW w:w="2723" w:type="dxa"/>
          </w:tcPr>
          <w:p w14:paraId="6DD46CAA">
            <w:pPr>
              <w:autoSpaceDE w:val="0"/>
              <w:autoSpaceDN w:val="0"/>
              <w:adjustRightInd w:val="0"/>
              <w:snapToGrid w:val="0"/>
              <w:jc w:val="left"/>
              <w:rPr>
                <w:rFonts w:ascii="宋体" w:hAnsi="宋体"/>
                <w:color w:val="auto"/>
                <w:kern w:val="0"/>
                <w:szCs w:val="21"/>
                <w:highlight w:val="none"/>
              </w:rPr>
            </w:pPr>
          </w:p>
        </w:tc>
        <w:tc>
          <w:tcPr>
            <w:tcW w:w="896" w:type="dxa"/>
          </w:tcPr>
          <w:p w14:paraId="57174A95">
            <w:pPr>
              <w:autoSpaceDE w:val="0"/>
              <w:autoSpaceDN w:val="0"/>
              <w:adjustRightInd w:val="0"/>
              <w:snapToGrid w:val="0"/>
              <w:jc w:val="left"/>
              <w:rPr>
                <w:rFonts w:ascii="宋体" w:hAnsi="宋体"/>
                <w:color w:val="auto"/>
                <w:kern w:val="0"/>
                <w:szCs w:val="21"/>
                <w:highlight w:val="none"/>
              </w:rPr>
            </w:pPr>
          </w:p>
        </w:tc>
      </w:tr>
      <w:tr w14:paraId="69CE94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385E92F9">
            <w:pPr>
              <w:autoSpaceDE w:val="0"/>
              <w:autoSpaceDN w:val="0"/>
              <w:adjustRightInd w:val="0"/>
              <w:snapToGrid w:val="0"/>
              <w:jc w:val="center"/>
              <w:rPr>
                <w:rFonts w:ascii="宋体" w:hAnsi="宋体"/>
                <w:color w:val="auto"/>
                <w:kern w:val="0"/>
                <w:szCs w:val="21"/>
                <w:highlight w:val="none"/>
              </w:rPr>
            </w:pPr>
          </w:p>
        </w:tc>
        <w:tc>
          <w:tcPr>
            <w:tcW w:w="734" w:type="dxa"/>
          </w:tcPr>
          <w:p w14:paraId="6491158A">
            <w:pPr>
              <w:autoSpaceDE w:val="0"/>
              <w:autoSpaceDN w:val="0"/>
              <w:adjustRightInd w:val="0"/>
              <w:snapToGrid w:val="0"/>
              <w:jc w:val="left"/>
              <w:rPr>
                <w:rFonts w:ascii="宋体" w:hAnsi="宋体"/>
                <w:color w:val="auto"/>
                <w:kern w:val="0"/>
                <w:szCs w:val="21"/>
                <w:highlight w:val="none"/>
              </w:rPr>
            </w:pPr>
          </w:p>
        </w:tc>
        <w:tc>
          <w:tcPr>
            <w:tcW w:w="776" w:type="dxa"/>
          </w:tcPr>
          <w:p w14:paraId="6F4A144B">
            <w:pPr>
              <w:autoSpaceDE w:val="0"/>
              <w:autoSpaceDN w:val="0"/>
              <w:adjustRightInd w:val="0"/>
              <w:snapToGrid w:val="0"/>
              <w:jc w:val="left"/>
              <w:rPr>
                <w:rFonts w:ascii="宋体" w:hAnsi="宋体"/>
                <w:color w:val="auto"/>
                <w:kern w:val="0"/>
                <w:szCs w:val="21"/>
                <w:highlight w:val="none"/>
              </w:rPr>
            </w:pPr>
          </w:p>
        </w:tc>
        <w:tc>
          <w:tcPr>
            <w:tcW w:w="1167" w:type="dxa"/>
          </w:tcPr>
          <w:p w14:paraId="4232B782">
            <w:pPr>
              <w:autoSpaceDE w:val="0"/>
              <w:autoSpaceDN w:val="0"/>
              <w:adjustRightInd w:val="0"/>
              <w:snapToGrid w:val="0"/>
              <w:jc w:val="left"/>
              <w:rPr>
                <w:rFonts w:ascii="宋体" w:hAnsi="宋体"/>
                <w:color w:val="auto"/>
                <w:kern w:val="0"/>
                <w:szCs w:val="21"/>
                <w:highlight w:val="none"/>
              </w:rPr>
            </w:pPr>
          </w:p>
        </w:tc>
        <w:tc>
          <w:tcPr>
            <w:tcW w:w="776" w:type="dxa"/>
          </w:tcPr>
          <w:p w14:paraId="4679157F">
            <w:pPr>
              <w:autoSpaceDE w:val="0"/>
              <w:autoSpaceDN w:val="0"/>
              <w:adjustRightInd w:val="0"/>
              <w:snapToGrid w:val="0"/>
              <w:jc w:val="left"/>
              <w:rPr>
                <w:rFonts w:ascii="宋体" w:hAnsi="宋体"/>
                <w:color w:val="auto"/>
                <w:kern w:val="0"/>
                <w:szCs w:val="21"/>
                <w:highlight w:val="none"/>
              </w:rPr>
            </w:pPr>
          </w:p>
        </w:tc>
        <w:tc>
          <w:tcPr>
            <w:tcW w:w="778" w:type="dxa"/>
          </w:tcPr>
          <w:p w14:paraId="1E702156">
            <w:pPr>
              <w:autoSpaceDE w:val="0"/>
              <w:autoSpaceDN w:val="0"/>
              <w:adjustRightInd w:val="0"/>
              <w:snapToGrid w:val="0"/>
              <w:jc w:val="left"/>
              <w:rPr>
                <w:rFonts w:ascii="宋体" w:hAnsi="宋体"/>
                <w:color w:val="auto"/>
                <w:kern w:val="0"/>
                <w:szCs w:val="21"/>
                <w:highlight w:val="none"/>
              </w:rPr>
            </w:pPr>
          </w:p>
        </w:tc>
        <w:tc>
          <w:tcPr>
            <w:tcW w:w="776" w:type="dxa"/>
          </w:tcPr>
          <w:p w14:paraId="3611101E">
            <w:pPr>
              <w:autoSpaceDE w:val="0"/>
              <w:autoSpaceDN w:val="0"/>
              <w:adjustRightInd w:val="0"/>
              <w:snapToGrid w:val="0"/>
              <w:jc w:val="left"/>
              <w:rPr>
                <w:rFonts w:ascii="宋体" w:hAnsi="宋体"/>
                <w:color w:val="auto"/>
                <w:kern w:val="0"/>
                <w:szCs w:val="21"/>
                <w:highlight w:val="none"/>
              </w:rPr>
            </w:pPr>
          </w:p>
        </w:tc>
        <w:tc>
          <w:tcPr>
            <w:tcW w:w="2723" w:type="dxa"/>
          </w:tcPr>
          <w:p w14:paraId="43350110">
            <w:pPr>
              <w:autoSpaceDE w:val="0"/>
              <w:autoSpaceDN w:val="0"/>
              <w:adjustRightInd w:val="0"/>
              <w:snapToGrid w:val="0"/>
              <w:jc w:val="left"/>
              <w:rPr>
                <w:rFonts w:ascii="宋体" w:hAnsi="宋体"/>
                <w:color w:val="auto"/>
                <w:kern w:val="0"/>
                <w:szCs w:val="21"/>
                <w:highlight w:val="none"/>
              </w:rPr>
            </w:pPr>
          </w:p>
        </w:tc>
        <w:tc>
          <w:tcPr>
            <w:tcW w:w="896" w:type="dxa"/>
          </w:tcPr>
          <w:p w14:paraId="04583226">
            <w:pPr>
              <w:autoSpaceDE w:val="0"/>
              <w:autoSpaceDN w:val="0"/>
              <w:adjustRightInd w:val="0"/>
              <w:snapToGrid w:val="0"/>
              <w:jc w:val="left"/>
              <w:rPr>
                <w:rFonts w:ascii="宋体" w:hAnsi="宋体"/>
                <w:color w:val="auto"/>
                <w:kern w:val="0"/>
                <w:szCs w:val="21"/>
                <w:highlight w:val="none"/>
              </w:rPr>
            </w:pPr>
          </w:p>
        </w:tc>
      </w:tr>
      <w:tr w14:paraId="1AB6FC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E680D13">
            <w:pPr>
              <w:autoSpaceDE w:val="0"/>
              <w:autoSpaceDN w:val="0"/>
              <w:adjustRightInd w:val="0"/>
              <w:snapToGrid w:val="0"/>
              <w:jc w:val="left"/>
              <w:rPr>
                <w:rFonts w:ascii="宋体" w:hAnsi="宋体"/>
                <w:color w:val="auto"/>
                <w:kern w:val="0"/>
                <w:szCs w:val="21"/>
                <w:highlight w:val="none"/>
              </w:rPr>
            </w:pPr>
          </w:p>
        </w:tc>
        <w:tc>
          <w:tcPr>
            <w:tcW w:w="734" w:type="dxa"/>
          </w:tcPr>
          <w:p w14:paraId="712E7882">
            <w:pPr>
              <w:autoSpaceDE w:val="0"/>
              <w:autoSpaceDN w:val="0"/>
              <w:adjustRightInd w:val="0"/>
              <w:snapToGrid w:val="0"/>
              <w:jc w:val="left"/>
              <w:rPr>
                <w:rFonts w:ascii="宋体" w:hAnsi="宋体"/>
                <w:color w:val="auto"/>
                <w:kern w:val="0"/>
                <w:szCs w:val="21"/>
                <w:highlight w:val="none"/>
              </w:rPr>
            </w:pPr>
          </w:p>
        </w:tc>
        <w:tc>
          <w:tcPr>
            <w:tcW w:w="776" w:type="dxa"/>
          </w:tcPr>
          <w:p w14:paraId="04862D9E">
            <w:pPr>
              <w:autoSpaceDE w:val="0"/>
              <w:autoSpaceDN w:val="0"/>
              <w:adjustRightInd w:val="0"/>
              <w:snapToGrid w:val="0"/>
              <w:jc w:val="left"/>
              <w:rPr>
                <w:rFonts w:ascii="宋体" w:hAnsi="宋体"/>
                <w:color w:val="auto"/>
                <w:kern w:val="0"/>
                <w:szCs w:val="21"/>
                <w:highlight w:val="none"/>
              </w:rPr>
            </w:pPr>
          </w:p>
        </w:tc>
        <w:tc>
          <w:tcPr>
            <w:tcW w:w="1167" w:type="dxa"/>
          </w:tcPr>
          <w:p w14:paraId="3E6A0C69">
            <w:pPr>
              <w:autoSpaceDE w:val="0"/>
              <w:autoSpaceDN w:val="0"/>
              <w:adjustRightInd w:val="0"/>
              <w:snapToGrid w:val="0"/>
              <w:jc w:val="left"/>
              <w:rPr>
                <w:rFonts w:ascii="宋体" w:hAnsi="宋体"/>
                <w:color w:val="auto"/>
                <w:kern w:val="0"/>
                <w:szCs w:val="21"/>
                <w:highlight w:val="none"/>
              </w:rPr>
            </w:pPr>
          </w:p>
        </w:tc>
        <w:tc>
          <w:tcPr>
            <w:tcW w:w="776" w:type="dxa"/>
          </w:tcPr>
          <w:p w14:paraId="7888F98C">
            <w:pPr>
              <w:autoSpaceDE w:val="0"/>
              <w:autoSpaceDN w:val="0"/>
              <w:adjustRightInd w:val="0"/>
              <w:snapToGrid w:val="0"/>
              <w:jc w:val="left"/>
              <w:rPr>
                <w:rFonts w:ascii="宋体" w:hAnsi="宋体"/>
                <w:color w:val="auto"/>
                <w:kern w:val="0"/>
                <w:szCs w:val="21"/>
                <w:highlight w:val="none"/>
              </w:rPr>
            </w:pPr>
          </w:p>
        </w:tc>
        <w:tc>
          <w:tcPr>
            <w:tcW w:w="778" w:type="dxa"/>
          </w:tcPr>
          <w:p w14:paraId="7B9F185B">
            <w:pPr>
              <w:autoSpaceDE w:val="0"/>
              <w:autoSpaceDN w:val="0"/>
              <w:adjustRightInd w:val="0"/>
              <w:snapToGrid w:val="0"/>
              <w:jc w:val="left"/>
              <w:rPr>
                <w:rFonts w:ascii="宋体" w:hAnsi="宋体"/>
                <w:color w:val="auto"/>
                <w:kern w:val="0"/>
                <w:szCs w:val="21"/>
                <w:highlight w:val="none"/>
              </w:rPr>
            </w:pPr>
          </w:p>
        </w:tc>
        <w:tc>
          <w:tcPr>
            <w:tcW w:w="776" w:type="dxa"/>
          </w:tcPr>
          <w:p w14:paraId="6DF0C857">
            <w:pPr>
              <w:autoSpaceDE w:val="0"/>
              <w:autoSpaceDN w:val="0"/>
              <w:adjustRightInd w:val="0"/>
              <w:snapToGrid w:val="0"/>
              <w:jc w:val="left"/>
              <w:rPr>
                <w:rFonts w:ascii="宋体" w:hAnsi="宋体"/>
                <w:color w:val="auto"/>
                <w:kern w:val="0"/>
                <w:szCs w:val="21"/>
                <w:highlight w:val="none"/>
              </w:rPr>
            </w:pPr>
          </w:p>
        </w:tc>
        <w:tc>
          <w:tcPr>
            <w:tcW w:w="2723" w:type="dxa"/>
          </w:tcPr>
          <w:p w14:paraId="710BCC8A">
            <w:pPr>
              <w:autoSpaceDE w:val="0"/>
              <w:autoSpaceDN w:val="0"/>
              <w:adjustRightInd w:val="0"/>
              <w:snapToGrid w:val="0"/>
              <w:jc w:val="left"/>
              <w:rPr>
                <w:rFonts w:ascii="宋体" w:hAnsi="宋体"/>
                <w:color w:val="auto"/>
                <w:kern w:val="0"/>
                <w:szCs w:val="21"/>
                <w:highlight w:val="none"/>
              </w:rPr>
            </w:pPr>
          </w:p>
        </w:tc>
        <w:tc>
          <w:tcPr>
            <w:tcW w:w="896" w:type="dxa"/>
          </w:tcPr>
          <w:p w14:paraId="724ACC2F">
            <w:pPr>
              <w:autoSpaceDE w:val="0"/>
              <w:autoSpaceDN w:val="0"/>
              <w:adjustRightInd w:val="0"/>
              <w:snapToGrid w:val="0"/>
              <w:jc w:val="left"/>
              <w:rPr>
                <w:rFonts w:ascii="宋体" w:hAnsi="宋体"/>
                <w:color w:val="auto"/>
                <w:kern w:val="0"/>
                <w:szCs w:val="21"/>
                <w:highlight w:val="none"/>
              </w:rPr>
            </w:pPr>
          </w:p>
        </w:tc>
      </w:tr>
      <w:tr w14:paraId="306A60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77E2BF9">
            <w:pPr>
              <w:autoSpaceDE w:val="0"/>
              <w:autoSpaceDN w:val="0"/>
              <w:adjustRightInd w:val="0"/>
              <w:snapToGrid w:val="0"/>
              <w:jc w:val="left"/>
              <w:rPr>
                <w:rFonts w:ascii="宋体" w:hAnsi="宋体"/>
                <w:color w:val="auto"/>
                <w:kern w:val="0"/>
                <w:szCs w:val="21"/>
                <w:highlight w:val="none"/>
              </w:rPr>
            </w:pPr>
          </w:p>
        </w:tc>
        <w:tc>
          <w:tcPr>
            <w:tcW w:w="734" w:type="dxa"/>
          </w:tcPr>
          <w:p w14:paraId="53DFA610">
            <w:pPr>
              <w:autoSpaceDE w:val="0"/>
              <w:autoSpaceDN w:val="0"/>
              <w:adjustRightInd w:val="0"/>
              <w:snapToGrid w:val="0"/>
              <w:jc w:val="left"/>
              <w:rPr>
                <w:rFonts w:ascii="宋体" w:hAnsi="宋体"/>
                <w:color w:val="auto"/>
                <w:kern w:val="0"/>
                <w:szCs w:val="21"/>
                <w:highlight w:val="none"/>
              </w:rPr>
            </w:pPr>
          </w:p>
        </w:tc>
        <w:tc>
          <w:tcPr>
            <w:tcW w:w="776" w:type="dxa"/>
          </w:tcPr>
          <w:p w14:paraId="5573912F">
            <w:pPr>
              <w:autoSpaceDE w:val="0"/>
              <w:autoSpaceDN w:val="0"/>
              <w:adjustRightInd w:val="0"/>
              <w:snapToGrid w:val="0"/>
              <w:jc w:val="left"/>
              <w:rPr>
                <w:rFonts w:ascii="宋体" w:hAnsi="宋体"/>
                <w:color w:val="auto"/>
                <w:kern w:val="0"/>
                <w:szCs w:val="21"/>
                <w:highlight w:val="none"/>
              </w:rPr>
            </w:pPr>
          </w:p>
        </w:tc>
        <w:tc>
          <w:tcPr>
            <w:tcW w:w="1167" w:type="dxa"/>
          </w:tcPr>
          <w:p w14:paraId="2F3FCD3C">
            <w:pPr>
              <w:autoSpaceDE w:val="0"/>
              <w:autoSpaceDN w:val="0"/>
              <w:adjustRightInd w:val="0"/>
              <w:snapToGrid w:val="0"/>
              <w:jc w:val="left"/>
              <w:rPr>
                <w:rFonts w:ascii="宋体" w:hAnsi="宋体"/>
                <w:color w:val="auto"/>
                <w:kern w:val="0"/>
                <w:szCs w:val="21"/>
                <w:highlight w:val="none"/>
              </w:rPr>
            </w:pPr>
          </w:p>
        </w:tc>
        <w:tc>
          <w:tcPr>
            <w:tcW w:w="776" w:type="dxa"/>
          </w:tcPr>
          <w:p w14:paraId="7B7A939E">
            <w:pPr>
              <w:autoSpaceDE w:val="0"/>
              <w:autoSpaceDN w:val="0"/>
              <w:adjustRightInd w:val="0"/>
              <w:snapToGrid w:val="0"/>
              <w:jc w:val="left"/>
              <w:rPr>
                <w:rFonts w:ascii="宋体" w:hAnsi="宋体"/>
                <w:color w:val="auto"/>
                <w:kern w:val="0"/>
                <w:szCs w:val="21"/>
                <w:highlight w:val="none"/>
              </w:rPr>
            </w:pPr>
          </w:p>
        </w:tc>
        <w:tc>
          <w:tcPr>
            <w:tcW w:w="778" w:type="dxa"/>
          </w:tcPr>
          <w:p w14:paraId="0C16D29E">
            <w:pPr>
              <w:autoSpaceDE w:val="0"/>
              <w:autoSpaceDN w:val="0"/>
              <w:adjustRightInd w:val="0"/>
              <w:snapToGrid w:val="0"/>
              <w:jc w:val="left"/>
              <w:rPr>
                <w:rFonts w:ascii="宋体" w:hAnsi="宋体"/>
                <w:color w:val="auto"/>
                <w:kern w:val="0"/>
                <w:szCs w:val="21"/>
                <w:highlight w:val="none"/>
              </w:rPr>
            </w:pPr>
          </w:p>
        </w:tc>
        <w:tc>
          <w:tcPr>
            <w:tcW w:w="776" w:type="dxa"/>
          </w:tcPr>
          <w:p w14:paraId="50E53244">
            <w:pPr>
              <w:autoSpaceDE w:val="0"/>
              <w:autoSpaceDN w:val="0"/>
              <w:adjustRightInd w:val="0"/>
              <w:snapToGrid w:val="0"/>
              <w:jc w:val="left"/>
              <w:rPr>
                <w:rFonts w:ascii="宋体" w:hAnsi="宋体"/>
                <w:color w:val="auto"/>
                <w:kern w:val="0"/>
                <w:szCs w:val="21"/>
                <w:highlight w:val="none"/>
              </w:rPr>
            </w:pPr>
          </w:p>
        </w:tc>
        <w:tc>
          <w:tcPr>
            <w:tcW w:w="2723" w:type="dxa"/>
          </w:tcPr>
          <w:p w14:paraId="68076B59">
            <w:pPr>
              <w:autoSpaceDE w:val="0"/>
              <w:autoSpaceDN w:val="0"/>
              <w:adjustRightInd w:val="0"/>
              <w:snapToGrid w:val="0"/>
              <w:jc w:val="left"/>
              <w:rPr>
                <w:rFonts w:ascii="宋体" w:hAnsi="宋体"/>
                <w:color w:val="auto"/>
                <w:kern w:val="0"/>
                <w:szCs w:val="21"/>
                <w:highlight w:val="none"/>
              </w:rPr>
            </w:pPr>
          </w:p>
        </w:tc>
        <w:tc>
          <w:tcPr>
            <w:tcW w:w="896" w:type="dxa"/>
          </w:tcPr>
          <w:p w14:paraId="59641330">
            <w:pPr>
              <w:autoSpaceDE w:val="0"/>
              <w:autoSpaceDN w:val="0"/>
              <w:adjustRightInd w:val="0"/>
              <w:snapToGrid w:val="0"/>
              <w:jc w:val="left"/>
              <w:rPr>
                <w:rFonts w:ascii="宋体" w:hAnsi="宋体"/>
                <w:color w:val="auto"/>
                <w:kern w:val="0"/>
                <w:szCs w:val="21"/>
                <w:highlight w:val="none"/>
              </w:rPr>
            </w:pPr>
          </w:p>
        </w:tc>
      </w:tr>
      <w:tr w14:paraId="23E1C8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ED2D9C7">
            <w:pPr>
              <w:autoSpaceDE w:val="0"/>
              <w:autoSpaceDN w:val="0"/>
              <w:adjustRightInd w:val="0"/>
              <w:snapToGrid w:val="0"/>
              <w:jc w:val="left"/>
              <w:rPr>
                <w:rFonts w:ascii="宋体" w:hAnsi="宋体"/>
                <w:color w:val="auto"/>
                <w:kern w:val="0"/>
                <w:szCs w:val="21"/>
                <w:highlight w:val="none"/>
              </w:rPr>
            </w:pPr>
          </w:p>
        </w:tc>
        <w:tc>
          <w:tcPr>
            <w:tcW w:w="734" w:type="dxa"/>
          </w:tcPr>
          <w:p w14:paraId="08AABC8F">
            <w:pPr>
              <w:autoSpaceDE w:val="0"/>
              <w:autoSpaceDN w:val="0"/>
              <w:adjustRightInd w:val="0"/>
              <w:snapToGrid w:val="0"/>
              <w:jc w:val="left"/>
              <w:rPr>
                <w:rFonts w:ascii="宋体" w:hAnsi="宋体"/>
                <w:color w:val="auto"/>
                <w:kern w:val="0"/>
                <w:szCs w:val="21"/>
                <w:highlight w:val="none"/>
              </w:rPr>
            </w:pPr>
          </w:p>
        </w:tc>
        <w:tc>
          <w:tcPr>
            <w:tcW w:w="776" w:type="dxa"/>
          </w:tcPr>
          <w:p w14:paraId="5CCD75B0">
            <w:pPr>
              <w:autoSpaceDE w:val="0"/>
              <w:autoSpaceDN w:val="0"/>
              <w:adjustRightInd w:val="0"/>
              <w:snapToGrid w:val="0"/>
              <w:jc w:val="left"/>
              <w:rPr>
                <w:rFonts w:ascii="宋体" w:hAnsi="宋体"/>
                <w:color w:val="auto"/>
                <w:kern w:val="0"/>
                <w:szCs w:val="21"/>
                <w:highlight w:val="none"/>
              </w:rPr>
            </w:pPr>
          </w:p>
        </w:tc>
        <w:tc>
          <w:tcPr>
            <w:tcW w:w="1167" w:type="dxa"/>
          </w:tcPr>
          <w:p w14:paraId="763943FC">
            <w:pPr>
              <w:autoSpaceDE w:val="0"/>
              <w:autoSpaceDN w:val="0"/>
              <w:adjustRightInd w:val="0"/>
              <w:snapToGrid w:val="0"/>
              <w:jc w:val="left"/>
              <w:rPr>
                <w:rFonts w:ascii="宋体" w:hAnsi="宋体"/>
                <w:color w:val="auto"/>
                <w:kern w:val="0"/>
                <w:szCs w:val="21"/>
                <w:highlight w:val="none"/>
              </w:rPr>
            </w:pPr>
          </w:p>
        </w:tc>
        <w:tc>
          <w:tcPr>
            <w:tcW w:w="776" w:type="dxa"/>
          </w:tcPr>
          <w:p w14:paraId="22C79A87">
            <w:pPr>
              <w:autoSpaceDE w:val="0"/>
              <w:autoSpaceDN w:val="0"/>
              <w:adjustRightInd w:val="0"/>
              <w:snapToGrid w:val="0"/>
              <w:jc w:val="left"/>
              <w:rPr>
                <w:rFonts w:ascii="宋体" w:hAnsi="宋体"/>
                <w:color w:val="auto"/>
                <w:kern w:val="0"/>
                <w:szCs w:val="21"/>
                <w:highlight w:val="none"/>
              </w:rPr>
            </w:pPr>
          </w:p>
        </w:tc>
        <w:tc>
          <w:tcPr>
            <w:tcW w:w="778" w:type="dxa"/>
          </w:tcPr>
          <w:p w14:paraId="713DB897">
            <w:pPr>
              <w:autoSpaceDE w:val="0"/>
              <w:autoSpaceDN w:val="0"/>
              <w:adjustRightInd w:val="0"/>
              <w:snapToGrid w:val="0"/>
              <w:jc w:val="left"/>
              <w:rPr>
                <w:rFonts w:ascii="宋体" w:hAnsi="宋体"/>
                <w:color w:val="auto"/>
                <w:kern w:val="0"/>
                <w:szCs w:val="21"/>
                <w:highlight w:val="none"/>
              </w:rPr>
            </w:pPr>
          </w:p>
        </w:tc>
        <w:tc>
          <w:tcPr>
            <w:tcW w:w="776" w:type="dxa"/>
          </w:tcPr>
          <w:p w14:paraId="0E8A7FA8">
            <w:pPr>
              <w:autoSpaceDE w:val="0"/>
              <w:autoSpaceDN w:val="0"/>
              <w:adjustRightInd w:val="0"/>
              <w:snapToGrid w:val="0"/>
              <w:jc w:val="left"/>
              <w:rPr>
                <w:rFonts w:ascii="宋体" w:hAnsi="宋体"/>
                <w:color w:val="auto"/>
                <w:kern w:val="0"/>
                <w:szCs w:val="21"/>
                <w:highlight w:val="none"/>
              </w:rPr>
            </w:pPr>
          </w:p>
        </w:tc>
        <w:tc>
          <w:tcPr>
            <w:tcW w:w="2723" w:type="dxa"/>
          </w:tcPr>
          <w:p w14:paraId="446D3337">
            <w:pPr>
              <w:autoSpaceDE w:val="0"/>
              <w:autoSpaceDN w:val="0"/>
              <w:adjustRightInd w:val="0"/>
              <w:snapToGrid w:val="0"/>
              <w:jc w:val="left"/>
              <w:rPr>
                <w:rFonts w:ascii="宋体" w:hAnsi="宋体"/>
                <w:color w:val="auto"/>
                <w:kern w:val="0"/>
                <w:szCs w:val="21"/>
                <w:highlight w:val="none"/>
              </w:rPr>
            </w:pPr>
          </w:p>
        </w:tc>
        <w:tc>
          <w:tcPr>
            <w:tcW w:w="896" w:type="dxa"/>
          </w:tcPr>
          <w:p w14:paraId="75E661F7">
            <w:pPr>
              <w:autoSpaceDE w:val="0"/>
              <w:autoSpaceDN w:val="0"/>
              <w:adjustRightInd w:val="0"/>
              <w:snapToGrid w:val="0"/>
              <w:jc w:val="left"/>
              <w:rPr>
                <w:rFonts w:ascii="宋体" w:hAnsi="宋体"/>
                <w:color w:val="auto"/>
                <w:kern w:val="0"/>
                <w:szCs w:val="21"/>
                <w:highlight w:val="none"/>
              </w:rPr>
            </w:pPr>
          </w:p>
        </w:tc>
      </w:tr>
      <w:tr w14:paraId="53FFEA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F68787B">
            <w:pPr>
              <w:autoSpaceDE w:val="0"/>
              <w:autoSpaceDN w:val="0"/>
              <w:adjustRightInd w:val="0"/>
              <w:snapToGrid w:val="0"/>
              <w:jc w:val="left"/>
              <w:rPr>
                <w:rFonts w:ascii="宋体" w:hAnsi="宋体"/>
                <w:color w:val="auto"/>
                <w:kern w:val="0"/>
                <w:szCs w:val="21"/>
                <w:highlight w:val="none"/>
              </w:rPr>
            </w:pPr>
          </w:p>
        </w:tc>
        <w:tc>
          <w:tcPr>
            <w:tcW w:w="734" w:type="dxa"/>
          </w:tcPr>
          <w:p w14:paraId="1FEA7B5B">
            <w:pPr>
              <w:autoSpaceDE w:val="0"/>
              <w:autoSpaceDN w:val="0"/>
              <w:adjustRightInd w:val="0"/>
              <w:snapToGrid w:val="0"/>
              <w:jc w:val="left"/>
              <w:rPr>
                <w:rFonts w:ascii="宋体" w:hAnsi="宋体"/>
                <w:color w:val="auto"/>
                <w:kern w:val="0"/>
                <w:szCs w:val="21"/>
                <w:highlight w:val="none"/>
              </w:rPr>
            </w:pPr>
          </w:p>
        </w:tc>
        <w:tc>
          <w:tcPr>
            <w:tcW w:w="776" w:type="dxa"/>
          </w:tcPr>
          <w:p w14:paraId="416ABB07">
            <w:pPr>
              <w:autoSpaceDE w:val="0"/>
              <w:autoSpaceDN w:val="0"/>
              <w:adjustRightInd w:val="0"/>
              <w:snapToGrid w:val="0"/>
              <w:jc w:val="left"/>
              <w:rPr>
                <w:rFonts w:ascii="宋体" w:hAnsi="宋体"/>
                <w:color w:val="auto"/>
                <w:kern w:val="0"/>
                <w:szCs w:val="21"/>
                <w:highlight w:val="none"/>
              </w:rPr>
            </w:pPr>
          </w:p>
        </w:tc>
        <w:tc>
          <w:tcPr>
            <w:tcW w:w="1167" w:type="dxa"/>
          </w:tcPr>
          <w:p w14:paraId="1785E63A">
            <w:pPr>
              <w:autoSpaceDE w:val="0"/>
              <w:autoSpaceDN w:val="0"/>
              <w:adjustRightInd w:val="0"/>
              <w:snapToGrid w:val="0"/>
              <w:jc w:val="left"/>
              <w:rPr>
                <w:rFonts w:ascii="宋体" w:hAnsi="宋体"/>
                <w:color w:val="auto"/>
                <w:kern w:val="0"/>
                <w:szCs w:val="21"/>
                <w:highlight w:val="none"/>
              </w:rPr>
            </w:pPr>
          </w:p>
        </w:tc>
        <w:tc>
          <w:tcPr>
            <w:tcW w:w="776" w:type="dxa"/>
          </w:tcPr>
          <w:p w14:paraId="68550DC1">
            <w:pPr>
              <w:autoSpaceDE w:val="0"/>
              <w:autoSpaceDN w:val="0"/>
              <w:adjustRightInd w:val="0"/>
              <w:snapToGrid w:val="0"/>
              <w:jc w:val="left"/>
              <w:rPr>
                <w:rFonts w:ascii="宋体" w:hAnsi="宋体"/>
                <w:color w:val="auto"/>
                <w:kern w:val="0"/>
                <w:szCs w:val="21"/>
                <w:highlight w:val="none"/>
              </w:rPr>
            </w:pPr>
          </w:p>
        </w:tc>
        <w:tc>
          <w:tcPr>
            <w:tcW w:w="778" w:type="dxa"/>
          </w:tcPr>
          <w:p w14:paraId="32E03725">
            <w:pPr>
              <w:autoSpaceDE w:val="0"/>
              <w:autoSpaceDN w:val="0"/>
              <w:adjustRightInd w:val="0"/>
              <w:snapToGrid w:val="0"/>
              <w:jc w:val="left"/>
              <w:rPr>
                <w:rFonts w:ascii="宋体" w:hAnsi="宋体"/>
                <w:color w:val="auto"/>
                <w:kern w:val="0"/>
                <w:szCs w:val="21"/>
                <w:highlight w:val="none"/>
              </w:rPr>
            </w:pPr>
          </w:p>
        </w:tc>
        <w:tc>
          <w:tcPr>
            <w:tcW w:w="776" w:type="dxa"/>
          </w:tcPr>
          <w:p w14:paraId="781B57EF">
            <w:pPr>
              <w:autoSpaceDE w:val="0"/>
              <w:autoSpaceDN w:val="0"/>
              <w:adjustRightInd w:val="0"/>
              <w:snapToGrid w:val="0"/>
              <w:jc w:val="left"/>
              <w:rPr>
                <w:rFonts w:ascii="宋体" w:hAnsi="宋体"/>
                <w:color w:val="auto"/>
                <w:kern w:val="0"/>
                <w:szCs w:val="21"/>
                <w:highlight w:val="none"/>
              </w:rPr>
            </w:pPr>
          </w:p>
        </w:tc>
        <w:tc>
          <w:tcPr>
            <w:tcW w:w="2723" w:type="dxa"/>
          </w:tcPr>
          <w:p w14:paraId="30455D46">
            <w:pPr>
              <w:autoSpaceDE w:val="0"/>
              <w:autoSpaceDN w:val="0"/>
              <w:adjustRightInd w:val="0"/>
              <w:snapToGrid w:val="0"/>
              <w:jc w:val="left"/>
              <w:rPr>
                <w:rFonts w:ascii="宋体" w:hAnsi="宋体"/>
                <w:color w:val="auto"/>
                <w:kern w:val="0"/>
                <w:szCs w:val="21"/>
                <w:highlight w:val="none"/>
              </w:rPr>
            </w:pPr>
          </w:p>
        </w:tc>
        <w:tc>
          <w:tcPr>
            <w:tcW w:w="896" w:type="dxa"/>
          </w:tcPr>
          <w:p w14:paraId="4EC744A3">
            <w:pPr>
              <w:autoSpaceDE w:val="0"/>
              <w:autoSpaceDN w:val="0"/>
              <w:adjustRightInd w:val="0"/>
              <w:snapToGrid w:val="0"/>
              <w:jc w:val="left"/>
              <w:rPr>
                <w:rFonts w:ascii="宋体" w:hAnsi="宋体"/>
                <w:color w:val="auto"/>
                <w:kern w:val="0"/>
                <w:szCs w:val="21"/>
                <w:highlight w:val="none"/>
              </w:rPr>
            </w:pPr>
          </w:p>
        </w:tc>
      </w:tr>
      <w:tr w14:paraId="58D632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98E6CCC">
            <w:pPr>
              <w:autoSpaceDE w:val="0"/>
              <w:autoSpaceDN w:val="0"/>
              <w:adjustRightInd w:val="0"/>
              <w:snapToGrid w:val="0"/>
              <w:jc w:val="left"/>
              <w:rPr>
                <w:rFonts w:ascii="宋体" w:hAnsi="宋体"/>
                <w:color w:val="auto"/>
                <w:kern w:val="0"/>
                <w:szCs w:val="21"/>
                <w:highlight w:val="none"/>
              </w:rPr>
            </w:pPr>
          </w:p>
        </w:tc>
        <w:tc>
          <w:tcPr>
            <w:tcW w:w="734" w:type="dxa"/>
          </w:tcPr>
          <w:p w14:paraId="781363BF">
            <w:pPr>
              <w:autoSpaceDE w:val="0"/>
              <w:autoSpaceDN w:val="0"/>
              <w:adjustRightInd w:val="0"/>
              <w:snapToGrid w:val="0"/>
              <w:jc w:val="left"/>
              <w:rPr>
                <w:rFonts w:ascii="宋体" w:hAnsi="宋体"/>
                <w:color w:val="auto"/>
                <w:kern w:val="0"/>
                <w:szCs w:val="21"/>
                <w:highlight w:val="none"/>
              </w:rPr>
            </w:pPr>
          </w:p>
        </w:tc>
        <w:tc>
          <w:tcPr>
            <w:tcW w:w="776" w:type="dxa"/>
          </w:tcPr>
          <w:p w14:paraId="3BE690A6">
            <w:pPr>
              <w:autoSpaceDE w:val="0"/>
              <w:autoSpaceDN w:val="0"/>
              <w:adjustRightInd w:val="0"/>
              <w:snapToGrid w:val="0"/>
              <w:jc w:val="left"/>
              <w:rPr>
                <w:rFonts w:ascii="宋体" w:hAnsi="宋体"/>
                <w:color w:val="auto"/>
                <w:kern w:val="0"/>
                <w:szCs w:val="21"/>
                <w:highlight w:val="none"/>
              </w:rPr>
            </w:pPr>
          </w:p>
        </w:tc>
        <w:tc>
          <w:tcPr>
            <w:tcW w:w="1167" w:type="dxa"/>
          </w:tcPr>
          <w:p w14:paraId="73B6945B">
            <w:pPr>
              <w:autoSpaceDE w:val="0"/>
              <w:autoSpaceDN w:val="0"/>
              <w:adjustRightInd w:val="0"/>
              <w:snapToGrid w:val="0"/>
              <w:jc w:val="left"/>
              <w:rPr>
                <w:rFonts w:ascii="宋体" w:hAnsi="宋体"/>
                <w:color w:val="auto"/>
                <w:kern w:val="0"/>
                <w:szCs w:val="21"/>
                <w:highlight w:val="none"/>
              </w:rPr>
            </w:pPr>
          </w:p>
        </w:tc>
        <w:tc>
          <w:tcPr>
            <w:tcW w:w="776" w:type="dxa"/>
          </w:tcPr>
          <w:p w14:paraId="3479119F">
            <w:pPr>
              <w:autoSpaceDE w:val="0"/>
              <w:autoSpaceDN w:val="0"/>
              <w:adjustRightInd w:val="0"/>
              <w:snapToGrid w:val="0"/>
              <w:jc w:val="left"/>
              <w:rPr>
                <w:rFonts w:ascii="宋体" w:hAnsi="宋体"/>
                <w:color w:val="auto"/>
                <w:kern w:val="0"/>
                <w:szCs w:val="21"/>
                <w:highlight w:val="none"/>
              </w:rPr>
            </w:pPr>
          </w:p>
        </w:tc>
        <w:tc>
          <w:tcPr>
            <w:tcW w:w="778" w:type="dxa"/>
          </w:tcPr>
          <w:p w14:paraId="2677CDF7">
            <w:pPr>
              <w:autoSpaceDE w:val="0"/>
              <w:autoSpaceDN w:val="0"/>
              <w:adjustRightInd w:val="0"/>
              <w:snapToGrid w:val="0"/>
              <w:jc w:val="left"/>
              <w:rPr>
                <w:rFonts w:ascii="宋体" w:hAnsi="宋体"/>
                <w:color w:val="auto"/>
                <w:kern w:val="0"/>
                <w:szCs w:val="21"/>
                <w:highlight w:val="none"/>
              </w:rPr>
            </w:pPr>
          </w:p>
        </w:tc>
        <w:tc>
          <w:tcPr>
            <w:tcW w:w="776" w:type="dxa"/>
          </w:tcPr>
          <w:p w14:paraId="1A5C23CB">
            <w:pPr>
              <w:autoSpaceDE w:val="0"/>
              <w:autoSpaceDN w:val="0"/>
              <w:adjustRightInd w:val="0"/>
              <w:snapToGrid w:val="0"/>
              <w:jc w:val="left"/>
              <w:rPr>
                <w:rFonts w:ascii="宋体" w:hAnsi="宋体"/>
                <w:color w:val="auto"/>
                <w:kern w:val="0"/>
                <w:szCs w:val="21"/>
                <w:highlight w:val="none"/>
              </w:rPr>
            </w:pPr>
          </w:p>
        </w:tc>
        <w:tc>
          <w:tcPr>
            <w:tcW w:w="2723" w:type="dxa"/>
          </w:tcPr>
          <w:p w14:paraId="3E9F47AB">
            <w:pPr>
              <w:autoSpaceDE w:val="0"/>
              <w:autoSpaceDN w:val="0"/>
              <w:adjustRightInd w:val="0"/>
              <w:snapToGrid w:val="0"/>
              <w:jc w:val="left"/>
              <w:rPr>
                <w:rFonts w:ascii="宋体" w:hAnsi="宋体"/>
                <w:color w:val="auto"/>
                <w:kern w:val="0"/>
                <w:szCs w:val="21"/>
                <w:highlight w:val="none"/>
              </w:rPr>
            </w:pPr>
          </w:p>
        </w:tc>
        <w:tc>
          <w:tcPr>
            <w:tcW w:w="896" w:type="dxa"/>
          </w:tcPr>
          <w:p w14:paraId="347885D1">
            <w:pPr>
              <w:autoSpaceDE w:val="0"/>
              <w:autoSpaceDN w:val="0"/>
              <w:adjustRightInd w:val="0"/>
              <w:snapToGrid w:val="0"/>
              <w:jc w:val="left"/>
              <w:rPr>
                <w:rFonts w:ascii="宋体" w:hAnsi="宋体"/>
                <w:color w:val="auto"/>
                <w:kern w:val="0"/>
                <w:szCs w:val="21"/>
                <w:highlight w:val="none"/>
              </w:rPr>
            </w:pPr>
          </w:p>
        </w:tc>
      </w:tr>
      <w:tr w14:paraId="086561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FD3D3BD">
            <w:pPr>
              <w:autoSpaceDE w:val="0"/>
              <w:autoSpaceDN w:val="0"/>
              <w:adjustRightInd w:val="0"/>
              <w:snapToGrid w:val="0"/>
              <w:jc w:val="left"/>
              <w:rPr>
                <w:rFonts w:ascii="宋体" w:hAnsi="宋体"/>
                <w:color w:val="auto"/>
                <w:kern w:val="0"/>
                <w:szCs w:val="21"/>
                <w:highlight w:val="none"/>
              </w:rPr>
            </w:pPr>
          </w:p>
        </w:tc>
        <w:tc>
          <w:tcPr>
            <w:tcW w:w="734" w:type="dxa"/>
          </w:tcPr>
          <w:p w14:paraId="75D2D768">
            <w:pPr>
              <w:autoSpaceDE w:val="0"/>
              <w:autoSpaceDN w:val="0"/>
              <w:adjustRightInd w:val="0"/>
              <w:snapToGrid w:val="0"/>
              <w:jc w:val="left"/>
              <w:rPr>
                <w:rFonts w:ascii="宋体" w:hAnsi="宋体"/>
                <w:color w:val="auto"/>
                <w:kern w:val="0"/>
                <w:szCs w:val="21"/>
                <w:highlight w:val="none"/>
              </w:rPr>
            </w:pPr>
          </w:p>
        </w:tc>
        <w:tc>
          <w:tcPr>
            <w:tcW w:w="776" w:type="dxa"/>
          </w:tcPr>
          <w:p w14:paraId="4D5F988A">
            <w:pPr>
              <w:autoSpaceDE w:val="0"/>
              <w:autoSpaceDN w:val="0"/>
              <w:adjustRightInd w:val="0"/>
              <w:snapToGrid w:val="0"/>
              <w:jc w:val="left"/>
              <w:rPr>
                <w:rFonts w:ascii="宋体" w:hAnsi="宋体"/>
                <w:color w:val="auto"/>
                <w:kern w:val="0"/>
                <w:szCs w:val="21"/>
                <w:highlight w:val="none"/>
              </w:rPr>
            </w:pPr>
          </w:p>
        </w:tc>
        <w:tc>
          <w:tcPr>
            <w:tcW w:w="1167" w:type="dxa"/>
          </w:tcPr>
          <w:p w14:paraId="25881650">
            <w:pPr>
              <w:autoSpaceDE w:val="0"/>
              <w:autoSpaceDN w:val="0"/>
              <w:adjustRightInd w:val="0"/>
              <w:snapToGrid w:val="0"/>
              <w:jc w:val="left"/>
              <w:rPr>
                <w:rFonts w:ascii="宋体" w:hAnsi="宋体"/>
                <w:color w:val="auto"/>
                <w:kern w:val="0"/>
                <w:szCs w:val="21"/>
                <w:highlight w:val="none"/>
              </w:rPr>
            </w:pPr>
          </w:p>
        </w:tc>
        <w:tc>
          <w:tcPr>
            <w:tcW w:w="776" w:type="dxa"/>
          </w:tcPr>
          <w:p w14:paraId="3C9F856E">
            <w:pPr>
              <w:autoSpaceDE w:val="0"/>
              <w:autoSpaceDN w:val="0"/>
              <w:adjustRightInd w:val="0"/>
              <w:snapToGrid w:val="0"/>
              <w:jc w:val="left"/>
              <w:rPr>
                <w:rFonts w:ascii="宋体" w:hAnsi="宋体"/>
                <w:color w:val="auto"/>
                <w:kern w:val="0"/>
                <w:szCs w:val="21"/>
                <w:highlight w:val="none"/>
              </w:rPr>
            </w:pPr>
          </w:p>
        </w:tc>
        <w:tc>
          <w:tcPr>
            <w:tcW w:w="778" w:type="dxa"/>
          </w:tcPr>
          <w:p w14:paraId="4F9D6921">
            <w:pPr>
              <w:autoSpaceDE w:val="0"/>
              <w:autoSpaceDN w:val="0"/>
              <w:adjustRightInd w:val="0"/>
              <w:snapToGrid w:val="0"/>
              <w:jc w:val="left"/>
              <w:rPr>
                <w:rFonts w:ascii="宋体" w:hAnsi="宋体"/>
                <w:color w:val="auto"/>
                <w:kern w:val="0"/>
                <w:szCs w:val="21"/>
                <w:highlight w:val="none"/>
              </w:rPr>
            </w:pPr>
          </w:p>
        </w:tc>
        <w:tc>
          <w:tcPr>
            <w:tcW w:w="776" w:type="dxa"/>
          </w:tcPr>
          <w:p w14:paraId="3D9E8CE2">
            <w:pPr>
              <w:autoSpaceDE w:val="0"/>
              <w:autoSpaceDN w:val="0"/>
              <w:adjustRightInd w:val="0"/>
              <w:snapToGrid w:val="0"/>
              <w:jc w:val="left"/>
              <w:rPr>
                <w:rFonts w:ascii="宋体" w:hAnsi="宋体"/>
                <w:color w:val="auto"/>
                <w:kern w:val="0"/>
                <w:szCs w:val="21"/>
                <w:highlight w:val="none"/>
              </w:rPr>
            </w:pPr>
          </w:p>
        </w:tc>
        <w:tc>
          <w:tcPr>
            <w:tcW w:w="2723" w:type="dxa"/>
          </w:tcPr>
          <w:p w14:paraId="4700522C">
            <w:pPr>
              <w:autoSpaceDE w:val="0"/>
              <w:autoSpaceDN w:val="0"/>
              <w:adjustRightInd w:val="0"/>
              <w:snapToGrid w:val="0"/>
              <w:jc w:val="left"/>
              <w:rPr>
                <w:rFonts w:ascii="宋体" w:hAnsi="宋体"/>
                <w:color w:val="auto"/>
                <w:kern w:val="0"/>
                <w:szCs w:val="21"/>
                <w:highlight w:val="none"/>
              </w:rPr>
            </w:pPr>
          </w:p>
        </w:tc>
        <w:tc>
          <w:tcPr>
            <w:tcW w:w="896" w:type="dxa"/>
          </w:tcPr>
          <w:p w14:paraId="1724E5A1">
            <w:pPr>
              <w:autoSpaceDE w:val="0"/>
              <w:autoSpaceDN w:val="0"/>
              <w:adjustRightInd w:val="0"/>
              <w:snapToGrid w:val="0"/>
              <w:jc w:val="left"/>
              <w:rPr>
                <w:rFonts w:ascii="宋体" w:hAnsi="宋体"/>
                <w:color w:val="auto"/>
                <w:kern w:val="0"/>
                <w:szCs w:val="21"/>
                <w:highlight w:val="none"/>
              </w:rPr>
            </w:pPr>
          </w:p>
        </w:tc>
      </w:tr>
      <w:tr w14:paraId="54663B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421D4FF">
            <w:pPr>
              <w:autoSpaceDE w:val="0"/>
              <w:autoSpaceDN w:val="0"/>
              <w:adjustRightInd w:val="0"/>
              <w:snapToGrid w:val="0"/>
              <w:jc w:val="left"/>
              <w:rPr>
                <w:rFonts w:ascii="宋体" w:hAnsi="宋体"/>
                <w:color w:val="auto"/>
                <w:kern w:val="0"/>
                <w:szCs w:val="21"/>
                <w:highlight w:val="none"/>
              </w:rPr>
            </w:pPr>
          </w:p>
        </w:tc>
        <w:tc>
          <w:tcPr>
            <w:tcW w:w="734" w:type="dxa"/>
          </w:tcPr>
          <w:p w14:paraId="53C1B264">
            <w:pPr>
              <w:autoSpaceDE w:val="0"/>
              <w:autoSpaceDN w:val="0"/>
              <w:adjustRightInd w:val="0"/>
              <w:snapToGrid w:val="0"/>
              <w:jc w:val="left"/>
              <w:rPr>
                <w:rFonts w:ascii="宋体" w:hAnsi="宋体"/>
                <w:color w:val="auto"/>
                <w:kern w:val="0"/>
                <w:szCs w:val="21"/>
                <w:highlight w:val="none"/>
              </w:rPr>
            </w:pPr>
          </w:p>
        </w:tc>
        <w:tc>
          <w:tcPr>
            <w:tcW w:w="776" w:type="dxa"/>
          </w:tcPr>
          <w:p w14:paraId="2C3F354B">
            <w:pPr>
              <w:autoSpaceDE w:val="0"/>
              <w:autoSpaceDN w:val="0"/>
              <w:adjustRightInd w:val="0"/>
              <w:snapToGrid w:val="0"/>
              <w:jc w:val="left"/>
              <w:rPr>
                <w:rFonts w:ascii="宋体" w:hAnsi="宋体"/>
                <w:color w:val="auto"/>
                <w:kern w:val="0"/>
                <w:szCs w:val="21"/>
                <w:highlight w:val="none"/>
              </w:rPr>
            </w:pPr>
          </w:p>
        </w:tc>
        <w:tc>
          <w:tcPr>
            <w:tcW w:w="1167" w:type="dxa"/>
          </w:tcPr>
          <w:p w14:paraId="200EA58B">
            <w:pPr>
              <w:autoSpaceDE w:val="0"/>
              <w:autoSpaceDN w:val="0"/>
              <w:adjustRightInd w:val="0"/>
              <w:snapToGrid w:val="0"/>
              <w:jc w:val="left"/>
              <w:rPr>
                <w:rFonts w:ascii="宋体" w:hAnsi="宋体"/>
                <w:color w:val="auto"/>
                <w:kern w:val="0"/>
                <w:szCs w:val="21"/>
                <w:highlight w:val="none"/>
              </w:rPr>
            </w:pPr>
          </w:p>
        </w:tc>
        <w:tc>
          <w:tcPr>
            <w:tcW w:w="776" w:type="dxa"/>
          </w:tcPr>
          <w:p w14:paraId="338EDE2B">
            <w:pPr>
              <w:autoSpaceDE w:val="0"/>
              <w:autoSpaceDN w:val="0"/>
              <w:adjustRightInd w:val="0"/>
              <w:snapToGrid w:val="0"/>
              <w:jc w:val="left"/>
              <w:rPr>
                <w:rFonts w:ascii="宋体" w:hAnsi="宋体"/>
                <w:color w:val="auto"/>
                <w:kern w:val="0"/>
                <w:szCs w:val="21"/>
                <w:highlight w:val="none"/>
              </w:rPr>
            </w:pPr>
          </w:p>
        </w:tc>
        <w:tc>
          <w:tcPr>
            <w:tcW w:w="778" w:type="dxa"/>
          </w:tcPr>
          <w:p w14:paraId="4C31C0E6">
            <w:pPr>
              <w:autoSpaceDE w:val="0"/>
              <w:autoSpaceDN w:val="0"/>
              <w:adjustRightInd w:val="0"/>
              <w:snapToGrid w:val="0"/>
              <w:jc w:val="left"/>
              <w:rPr>
                <w:rFonts w:ascii="宋体" w:hAnsi="宋体"/>
                <w:color w:val="auto"/>
                <w:kern w:val="0"/>
                <w:szCs w:val="21"/>
                <w:highlight w:val="none"/>
              </w:rPr>
            </w:pPr>
          </w:p>
        </w:tc>
        <w:tc>
          <w:tcPr>
            <w:tcW w:w="776" w:type="dxa"/>
          </w:tcPr>
          <w:p w14:paraId="1DA3E98C">
            <w:pPr>
              <w:autoSpaceDE w:val="0"/>
              <w:autoSpaceDN w:val="0"/>
              <w:adjustRightInd w:val="0"/>
              <w:snapToGrid w:val="0"/>
              <w:jc w:val="left"/>
              <w:rPr>
                <w:rFonts w:ascii="宋体" w:hAnsi="宋体"/>
                <w:color w:val="auto"/>
                <w:kern w:val="0"/>
                <w:szCs w:val="21"/>
                <w:highlight w:val="none"/>
              </w:rPr>
            </w:pPr>
          </w:p>
        </w:tc>
        <w:tc>
          <w:tcPr>
            <w:tcW w:w="2723" w:type="dxa"/>
          </w:tcPr>
          <w:p w14:paraId="026DC591">
            <w:pPr>
              <w:autoSpaceDE w:val="0"/>
              <w:autoSpaceDN w:val="0"/>
              <w:adjustRightInd w:val="0"/>
              <w:snapToGrid w:val="0"/>
              <w:jc w:val="left"/>
              <w:rPr>
                <w:rFonts w:ascii="宋体" w:hAnsi="宋体"/>
                <w:color w:val="auto"/>
                <w:kern w:val="0"/>
                <w:szCs w:val="21"/>
                <w:highlight w:val="none"/>
              </w:rPr>
            </w:pPr>
          </w:p>
        </w:tc>
        <w:tc>
          <w:tcPr>
            <w:tcW w:w="896" w:type="dxa"/>
          </w:tcPr>
          <w:p w14:paraId="00AB7466">
            <w:pPr>
              <w:autoSpaceDE w:val="0"/>
              <w:autoSpaceDN w:val="0"/>
              <w:adjustRightInd w:val="0"/>
              <w:snapToGrid w:val="0"/>
              <w:jc w:val="left"/>
              <w:rPr>
                <w:rFonts w:ascii="宋体" w:hAnsi="宋体"/>
                <w:color w:val="auto"/>
                <w:kern w:val="0"/>
                <w:szCs w:val="21"/>
                <w:highlight w:val="none"/>
              </w:rPr>
            </w:pPr>
          </w:p>
        </w:tc>
      </w:tr>
      <w:tr w14:paraId="331F82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6819397">
            <w:pPr>
              <w:autoSpaceDE w:val="0"/>
              <w:autoSpaceDN w:val="0"/>
              <w:adjustRightInd w:val="0"/>
              <w:snapToGrid w:val="0"/>
              <w:jc w:val="left"/>
              <w:rPr>
                <w:rFonts w:ascii="宋体" w:hAnsi="宋体"/>
                <w:color w:val="auto"/>
                <w:kern w:val="0"/>
                <w:szCs w:val="21"/>
                <w:highlight w:val="none"/>
              </w:rPr>
            </w:pPr>
          </w:p>
        </w:tc>
        <w:tc>
          <w:tcPr>
            <w:tcW w:w="734" w:type="dxa"/>
          </w:tcPr>
          <w:p w14:paraId="757D8BB4">
            <w:pPr>
              <w:autoSpaceDE w:val="0"/>
              <w:autoSpaceDN w:val="0"/>
              <w:adjustRightInd w:val="0"/>
              <w:snapToGrid w:val="0"/>
              <w:jc w:val="left"/>
              <w:rPr>
                <w:rFonts w:ascii="宋体" w:hAnsi="宋体"/>
                <w:color w:val="auto"/>
                <w:kern w:val="0"/>
                <w:szCs w:val="21"/>
                <w:highlight w:val="none"/>
              </w:rPr>
            </w:pPr>
          </w:p>
        </w:tc>
        <w:tc>
          <w:tcPr>
            <w:tcW w:w="776" w:type="dxa"/>
          </w:tcPr>
          <w:p w14:paraId="1F8E5428">
            <w:pPr>
              <w:autoSpaceDE w:val="0"/>
              <w:autoSpaceDN w:val="0"/>
              <w:adjustRightInd w:val="0"/>
              <w:snapToGrid w:val="0"/>
              <w:jc w:val="left"/>
              <w:rPr>
                <w:rFonts w:ascii="宋体" w:hAnsi="宋体"/>
                <w:color w:val="auto"/>
                <w:kern w:val="0"/>
                <w:szCs w:val="21"/>
                <w:highlight w:val="none"/>
              </w:rPr>
            </w:pPr>
          </w:p>
        </w:tc>
        <w:tc>
          <w:tcPr>
            <w:tcW w:w="1167" w:type="dxa"/>
          </w:tcPr>
          <w:p w14:paraId="62B448AC">
            <w:pPr>
              <w:autoSpaceDE w:val="0"/>
              <w:autoSpaceDN w:val="0"/>
              <w:adjustRightInd w:val="0"/>
              <w:snapToGrid w:val="0"/>
              <w:jc w:val="left"/>
              <w:rPr>
                <w:rFonts w:ascii="宋体" w:hAnsi="宋体"/>
                <w:color w:val="auto"/>
                <w:kern w:val="0"/>
                <w:szCs w:val="21"/>
                <w:highlight w:val="none"/>
              </w:rPr>
            </w:pPr>
          </w:p>
        </w:tc>
        <w:tc>
          <w:tcPr>
            <w:tcW w:w="776" w:type="dxa"/>
          </w:tcPr>
          <w:p w14:paraId="648A88CB">
            <w:pPr>
              <w:autoSpaceDE w:val="0"/>
              <w:autoSpaceDN w:val="0"/>
              <w:adjustRightInd w:val="0"/>
              <w:snapToGrid w:val="0"/>
              <w:jc w:val="left"/>
              <w:rPr>
                <w:rFonts w:ascii="宋体" w:hAnsi="宋体"/>
                <w:color w:val="auto"/>
                <w:kern w:val="0"/>
                <w:szCs w:val="21"/>
                <w:highlight w:val="none"/>
              </w:rPr>
            </w:pPr>
          </w:p>
        </w:tc>
        <w:tc>
          <w:tcPr>
            <w:tcW w:w="778" w:type="dxa"/>
          </w:tcPr>
          <w:p w14:paraId="5CAD67D3">
            <w:pPr>
              <w:autoSpaceDE w:val="0"/>
              <w:autoSpaceDN w:val="0"/>
              <w:adjustRightInd w:val="0"/>
              <w:snapToGrid w:val="0"/>
              <w:jc w:val="left"/>
              <w:rPr>
                <w:rFonts w:ascii="宋体" w:hAnsi="宋体"/>
                <w:color w:val="auto"/>
                <w:kern w:val="0"/>
                <w:szCs w:val="21"/>
                <w:highlight w:val="none"/>
              </w:rPr>
            </w:pPr>
          </w:p>
        </w:tc>
        <w:tc>
          <w:tcPr>
            <w:tcW w:w="776" w:type="dxa"/>
          </w:tcPr>
          <w:p w14:paraId="18EFCD3C">
            <w:pPr>
              <w:autoSpaceDE w:val="0"/>
              <w:autoSpaceDN w:val="0"/>
              <w:adjustRightInd w:val="0"/>
              <w:snapToGrid w:val="0"/>
              <w:jc w:val="left"/>
              <w:rPr>
                <w:rFonts w:ascii="宋体" w:hAnsi="宋体"/>
                <w:color w:val="auto"/>
                <w:kern w:val="0"/>
                <w:szCs w:val="21"/>
                <w:highlight w:val="none"/>
              </w:rPr>
            </w:pPr>
          </w:p>
        </w:tc>
        <w:tc>
          <w:tcPr>
            <w:tcW w:w="2723" w:type="dxa"/>
          </w:tcPr>
          <w:p w14:paraId="00AD08E4">
            <w:pPr>
              <w:autoSpaceDE w:val="0"/>
              <w:autoSpaceDN w:val="0"/>
              <w:adjustRightInd w:val="0"/>
              <w:snapToGrid w:val="0"/>
              <w:jc w:val="left"/>
              <w:rPr>
                <w:rFonts w:ascii="宋体" w:hAnsi="宋体"/>
                <w:color w:val="auto"/>
                <w:kern w:val="0"/>
                <w:szCs w:val="21"/>
                <w:highlight w:val="none"/>
              </w:rPr>
            </w:pPr>
          </w:p>
        </w:tc>
        <w:tc>
          <w:tcPr>
            <w:tcW w:w="896" w:type="dxa"/>
          </w:tcPr>
          <w:p w14:paraId="487C49DC">
            <w:pPr>
              <w:autoSpaceDE w:val="0"/>
              <w:autoSpaceDN w:val="0"/>
              <w:adjustRightInd w:val="0"/>
              <w:snapToGrid w:val="0"/>
              <w:jc w:val="left"/>
              <w:rPr>
                <w:rFonts w:ascii="宋体" w:hAnsi="宋体"/>
                <w:color w:val="auto"/>
                <w:kern w:val="0"/>
                <w:szCs w:val="21"/>
                <w:highlight w:val="none"/>
              </w:rPr>
            </w:pPr>
          </w:p>
        </w:tc>
      </w:tr>
      <w:tr w14:paraId="221A5B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3AC8E83">
            <w:pPr>
              <w:autoSpaceDE w:val="0"/>
              <w:autoSpaceDN w:val="0"/>
              <w:adjustRightInd w:val="0"/>
              <w:snapToGrid w:val="0"/>
              <w:jc w:val="left"/>
              <w:rPr>
                <w:rFonts w:ascii="宋体" w:hAnsi="宋体"/>
                <w:color w:val="auto"/>
                <w:kern w:val="0"/>
                <w:szCs w:val="21"/>
                <w:highlight w:val="none"/>
              </w:rPr>
            </w:pPr>
          </w:p>
        </w:tc>
        <w:tc>
          <w:tcPr>
            <w:tcW w:w="734" w:type="dxa"/>
          </w:tcPr>
          <w:p w14:paraId="28CBC3ED">
            <w:pPr>
              <w:autoSpaceDE w:val="0"/>
              <w:autoSpaceDN w:val="0"/>
              <w:adjustRightInd w:val="0"/>
              <w:snapToGrid w:val="0"/>
              <w:jc w:val="left"/>
              <w:rPr>
                <w:rFonts w:ascii="宋体" w:hAnsi="宋体"/>
                <w:color w:val="auto"/>
                <w:kern w:val="0"/>
                <w:szCs w:val="21"/>
                <w:highlight w:val="none"/>
              </w:rPr>
            </w:pPr>
          </w:p>
        </w:tc>
        <w:tc>
          <w:tcPr>
            <w:tcW w:w="776" w:type="dxa"/>
          </w:tcPr>
          <w:p w14:paraId="02DF0230">
            <w:pPr>
              <w:autoSpaceDE w:val="0"/>
              <w:autoSpaceDN w:val="0"/>
              <w:adjustRightInd w:val="0"/>
              <w:snapToGrid w:val="0"/>
              <w:jc w:val="left"/>
              <w:rPr>
                <w:rFonts w:ascii="宋体" w:hAnsi="宋体"/>
                <w:color w:val="auto"/>
                <w:kern w:val="0"/>
                <w:szCs w:val="21"/>
                <w:highlight w:val="none"/>
              </w:rPr>
            </w:pPr>
          </w:p>
        </w:tc>
        <w:tc>
          <w:tcPr>
            <w:tcW w:w="1167" w:type="dxa"/>
          </w:tcPr>
          <w:p w14:paraId="5491083E">
            <w:pPr>
              <w:autoSpaceDE w:val="0"/>
              <w:autoSpaceDN w:val="0"/>
              <w:adjustRightInd w:val="0"/>
              <w:snapToGrid w:val="0"/>
              <w:jc w:val="left"/>
              <w:rPr>
                <w:rFonts w:ascii="宋体" w:hAnsi="宋体"/>
                <w:color w:val="auto"/>
                <w:kern w:val="0"/>
                <w:szCs w:val="21"/>
                <w:highlight w:val="none"/>
              </w:rPr>
            </w:pPr>
          </w:p>
        </w:tc>
        <w:tc>
          <w:tcPr>
            <w:tcW w:w="776" w:type="dxa"/>
          </w:tcPr>
          <w:p w14:paraId="19E323C3">
            <w:pPr>
              <w:autoSpaceDE w:val="0"/>
              <w:autoSpaceDN w:val="0"/>
              <w:adjustRightInd w:val="0"/>
              <w:snapToGrid w:val="0"/>
              <w:jc w:val="left"/>
              <w:rPr>
                <w:rFonts w:ascii="宋体" w:hAnsi="宋体"/>
                <w:color w:val="auto"/>
                <w:kern w:val="0"/>
                <w:szCs w:val="21"/>
                <w:highlight w:val="none"/>
              </w:rPr>
            </w:pPr>
          </w:p>
        </w:tc>
        <w:tc>
          <w:tcPr>
            <w:tcW w:w="778" w:type="dxa"/>
          </w:tcPr>
          <w:p w14:paraId="37821576">
            <w:pPr>
              <w:autoSpaceDE w:val="0"/>
              <w:autoSpaceDN w:val="0"/>
              <w:adjustRightInd w:val="0"/>
              <w:snapToGrid w:val="0"/>
              <w:jc w:val="left"/>
              <w:rPr>
                <w:rFonts w:ascii="宋体" w:hAnsi="宋体"/>
                <w:color w:val="auto"/>
                <w:kern w:val="0"/>
                <w:szCs w:val="21"/>
                <w:highlight w:val="none"/>
              </w:rPr>
            </w:pPr>
          </w:p>
        </w:tc>
        <w:tc>
          <w:tcPr>
            <w:tcW w:w="776" w:type="dxa"/>
          </w:tcPr>
          <w:p w14:paraId="1685D18F">
            <w:pPr>
              <w:autoSpaceDE w:val="0"/>
              <w:autoSpaceDN w:val="0"/>
              <w:adjustRightInd w:val="0"/>
              <w:snapToGrid w:val="0"/>
              <w:jc w:val="left"/>
              <w:rPr>
                <w:rFonts w:ascii="宋体" w:hAnsi="宋体"/>
                <w:color w:val="auto"/>
                <w:kern w:val="0"/>
                <w:szCs w:val="21"/>
                <w:highlight w:val="none"/>
              </w:rPr>
            </w:pPr>
          </w:p>
        </w:tc>
        <w:tc>
          <w:tcPr>
            <w:tcW w:w="2723" w:type="dxa"/>
          </w:tcPr>
          <w:p w14:paraId="4791C2D2">
            <w:pPr>
              <w:autoSpaceDE w:val="0"/>
              <w:autoSpaceDN w:val="0"/>
              <w:adjustRightInd w:val="0"/>
              <w:snapToGrid w:val="0"/>
              <w:jc w:val="left"/>
              <w:rPr>
                <w:rFonts w:ascii="宋体" w:hAnsi="宋体"/>
                <w:color w:val="auto"/>
                <w:kern w:val="0"/>
                <w:szCs w:val="21"/>
                <w:highlight w:val="none"/>
              </w:rPr>
            </w:pPr>
          </w:p>
        </w:tc>
        <w:tc>
          <w:tcPr>
            <w:tcW w:w="896" w:type="dxa"/>
          </w:tcPr>
          <w:p w14:paraId="267B8784">
            <w:pPr>
              <w:autoSpaceDE w:val="0"/>
              <w:autoSpaceDN w:val="0"/>
              <w:adjustRightInd w:val="0"/>
              <w:snapToGrid w:val="0"/>
              <w:jc w:val="left"/>
              <w:rPr>
                <w:rFonts w:ascii="宋体" w:hAnsi="宋体"/>
                <w:color w:val="auto"/>
                <w:kern w:val="0"/>
                <w:szCs w:val="21"/>
                <w:highlight w:val="none"/>
              </w:rPr>
            </w:pPr>
          </w:p>
        </w:tc>
      </w:tr>
      <w:tr w14:paraId="71B41B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C3B8572">
            <w:pPr>
              <w:autoSpaceDE w:val="0"/>
              <w:autoSpaceDN w:val="0"/>
              <w:adjustRightInd w:val="0"/>
              <w:snapToGrid w:val="0"/>
              <w:jc w:val="left"/>
              <w:rPr>
                <w:rFonts w:ascii="宋体" w:hAnsi="宋体"/>
                <w:color w:val="auto"/>
                <w:kern w:val="0"/>
                <w:szCs w:val="21"/>
                <w:highlight w:val="none"/>
              </w:rPr>
            </w:pPr>
          </w:p>
        </w:tc>
        <w:tc>
          <w:tcPr>
            <w:tcW w:w="734" w:type="dxa"/>
          </w:tcPr>
          <w:p w14:paraId="07256D94">
            <w:pPr>
              <w:autoSpaceDE w:val="0"/>
              <w:autoSpaceDN w:val="0"/>
              <w:adjustRightInd w:val="0"/>
              <w:snapToGrid w:val="0"/>
              <w:jc w:val="left"/>
              <w:rPr>
                <w:rFonts w:ascii="宋体" w:hAnsi="宋体"/>
                <w:color w:val="auto"/>
                <w:kern w:val="0"/>
                <w:szCs w:val="21"/>
                <w:highlight w:val="none"/>
              </w:rPr>
            </w:pPr>
          </w:p>
        </w:tc>
        <w:tc>
          <w:tcPr>
            <w:tcW w:w="776" w:type="dxa"/>
          </w:tcPr>
          <w:p w14:paraId="756B504D">
            <w:pPr>
              <w:autoSpaceDE w:val="0"/>
              <w:autoSpaceDN w:val="0"/>
              <w:adjustRightInd w:val="0"/>
              <w:snapToGrid w:val="0"/>
              <w:jc w:val="left"/>
              <w:rPr>
                <w:rFonts w:ascii="宋体" w:hAnsi="宋体"/>
                <w:color w:val="auto"/>
                <w:kern w:val="0"/>
                <w:szCs w:val="21"/>
                <w:highlight w:val="none"/>
              </w:rPr>
            </w:pPr>
          </w:p>
        </w:tc>
        <w:tc>
          <w:tcPr>
            <w:tcW w:w="1167" w:type="dxa"/>
          </w:tcPr>
          <w:p w14:paraId="646B5793">
            <w:pPr>
              <w:autoSpaceDE w:val="0"/>
              <w:autoSpaceDN w:val="0"/>
              <w:adjustRightInd w:val="0"/>
              <w:snapToGrid w:val="0"/>
              <w:jc w:val="left"/>
              <w:rPr>
                <w:rFonts w:ascii="宋体" w:hAnsi="宋体"/>
                <w:color w:val="auto"/>
                <w:kern w:val="0"/>
                <w:szCs w:val="21"/>
                <w:highlight w:val="none"/>
              </w:rPr>
            </w:pPr>
          </w:p>
        </w:tc>
        <w:tc>
          <w:tcPr>
            <w:tcW w:w="776" w:type="dxa"/>
          </w:tcPr>
          <w:p w14:paraId="014D06CF">
            <w:pPr>
              <w:autoSpaceDE w:val="0"/>
              <w:autoSpaceDN w:val="0"/>
              <w:adjustRightInd w:val="0"/>
              <w:snapToGrid w:val="0"/>
              <w:jc w:val="left"/>
              <w:rPr>
                <w:rFonts w:ascii="宋体" w:hAnsi="宋体"/>
                <w:color w:val="auto"/>
                <w:kern w:val="0"/>
                <w:szCs w:val="21"/>
                <w:highlight w:val="none"/>
              </w:rPr>
            </w:pPr>
          </w:p>
        </w:tc>
        <w:tc>
          <w:tcPr>
            <w:tcW w:w="778" w:type="dxa"/>
          </w:tcPr>
          <w:p w14:paraId="3425B568">
            <w:pPr>
              <w:autoSpaceDE w:val="0"/>
              <w:autoSpaceDN w:val="0"/>
              <w:adjustRightInd w:val="0"/>
              <w:snapToGrid w:val="0"/>
              <w:jc w:val="left"/>
              <w:rPr>
                <w:rFonts w:ascii="宋体" w:hAnsi="宋体"/>
                <w:color w:val="auto"/>
                <w:kern w:val="0"/>
                <w:szCs w:val="21"/>
                <w:highlight w:val="none"/>
              </w:rPr>
            </w:pPr>
          </w:p>
        </w:tc>
        <w:tc>
          <w:tcPr>
            <w:tcW w:w="776" w:type="dxa"/>
          </w:tcPr>
          <w:p w14:paraId="68A782D6">
            <w:pPr>
              <w:autoSpaceDE w:val="0"/>
              <w:autoSpaceDN w:val="0"/>
              <w:adjustRightInd w:val="0"/>
              <w:snapToGrid w:val="0"/>
              <w:jc w:val="left"/>
              <w:rPr>
                <w:rFonts w:ascii="宋体" w:hAnsi="宋体"/>
                <w:color w:val="auto"/>
                <w:kern w:val="0"/>
                <w:szCs w:val="21"/>
                <w:highlight w:val="none"/>
              </w:rPr>
            </w:pPr>
          </w:p>
        </w:tc>
        <w:tc>
          <w:tcPr>
            <w:tcW w:w="2723" w:type="dxa"/>
          </w:tcPr>
          <w:p w14:paraId="135384FF">
            <w:pPr>
              <w:autoSpaceDE w:val="0"/>
              <w:autoSpaceDN w:val="0"/>
              <w:adjustRightInd w:val="0"/>
              <w:snapToGrid w:val="0"/>
              <w:jc w:val="left"/>
              <w:rPr>
                <w:rFonts w:ascii="宋体" w:hAnsi="宋体"/>
                <w:color w:val="auto"/>
                <w:kern w:val="0"/>
                <w:szCs w:val="21"/>
                <w:highlight w:val="none"/>
              </w:rPr>
            </w:pPr>
          </w:p>
        </w:tc>
        <w:tc>
          <w:tcPr>
            <w:tcW w:w="896" w:type="dxa"/>
          </w:tcPr>
          <w:p w14:paraId="2A4736DE">
            <w:pPr>
              <w:autoSpaceDE w:val="0"/>
              <w:autoSpaceDN w:val="0"/>
              <w:adjustRightInd w:val="0"/>
              <w:snapToGrid w:val="0"/>
              <w:jc w:val="left"/>
              <w:rPr>
                <w:rFonts w:ascii="宋体" w:hAnsi="宋体"/>
                <w:color w:val="auto"/>
                <w:kern w:val="0"/>
                <w:szCs w:val="21"/>
                <w:highlight w:val="none"/>
              </w:rPr>
            </w:pPr>
          </w:p>
        </w:tc>
      </w:tr>
      <w:tr w14:paraId="781EA8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EC555F4">
            <w:pPr>
              <w:autoSpaceDE w:val="0"/>
              <w:autoSpaceDN w:val="0"/>
              <w:adjustRightInd w:val="0"/>
              <w:snapToGrid w:val="0"/>
              <w:jc w:val="left"/>
              <w:rPr>
                <w:rFonts w:ascii="宋体" w:hAnsi="宋体"/>
                <w:color w:val="auto"/>
                <w:kern w:val="0"/>
                <w:szCs w:val="21"/>
                <w:highlight w:val="none"/>
              </w:rPr>
            </w:pPr>
          </w:p>
        </w:tc>
        <w:tc>
          <w:tcPr>
            <w:tcW w:w="734" w:type="dxa"/>
          </w:tcPr>
          <w:p w14:paraId="49BDA548">
            <w:pPr>
              <w:autoSpaceDE w:val="0"/>
              <w:autoSpaceDN w:val="0"/>
              <w:adjustRightInd w:val="0"/>
              <w:snapToGrid w:val="0"/>
              <w:jc w:val="left"/>
              <w:rPr>
                <w:rFonts w:ascii="宋体" w:hAnsi="宋体"/>
                <w:color w:val="auto"/>
                <w:kern w:val="0"/>
                <w:szCs w:val="21"/>
                <w:highlight w:val="none"/>
              </w:rPr>
            </w:pPr>
          </w:p>
        </w:tc>
        <w:tc>
          <w:tcPr>
            <w:tcW w:w="776" w:type="dxa"/>
          </w:tcPr>
          <w:p w14:paraId="2798839B">
            <w:pPr>
              <w:autoSpaceDE w:val="0"/>
              <w:autoSpaceDN w:val="0"/>
              <w:adjustRightInd w:val="0"/>
              <w:snapToGrid w:val="0"/>
              <w:jc w:val="left"/>
              <w:rPr>
                <w:rFonts w:ascii="宋体" w:hAnsi="宋体"/>
                <w:color w:val="auto"/>
                <w:kern w:val="0"/>
                <w:szCs w:val="21"/>
                <w:highlight w:val="none"/>
              </w:rPr>
            </w:pPr>
          </w:p>
        </w:tc>
        <w:tc>
          <w:tcPr>
            <w:tcW w:w="1167" w:type="dxa"/>
          </w:tcPr>
          <w:p w14:paraId="2975AD41">
            <w:pPr>
              <w:autoSpaceDE w:val="0"/>
              <w:autoSpaceDN w:val="0"/>
              <w:adjustRightInd w:val="0"/>
              <w:snapToGrid w:val="0"/>
              <w:jc w:val="left"/>
              <w:rPr>
                <w:rFonts w:ascii="宋体" w:hAnsi="宋体"/>
                <w:color w:val="auto"/>
                <w:kern w:val="0"/>
                <w:szCs w:val="21"/>
                <w:highlight w:val="none"/>
              </w:rPr>
            </w:pPr>
          </w:p>
        </w:tc>
        <w:tc>
          <w:tcPr>
            <w:tcW w:w="776" w:type="dxa"/>
          </w:tcPr>
          <w:p w14:paraId="6F695E1B">
            <w:pPr>
              <w:autoSpaceDE w:val="0"/>
              <w:autoSpaceDN w:val="0"/>
              <w:adjustRightInd w:val="0"/>
              <w:snapToGrid w:val="0"/>
              <w:jc w:val="left"/>
              <w:rPr>
                <w:rFonts w:ascii="宋体" w:hAnsi="宋体"/>
                <w:color w:val="auto"/>
                <w:kern w:val="0"/>
                <w:szCs w:val="21"/>
                <w:highlight w:val="none"/>
              </w:rPr>
            </w:pPr>
          </w:p>
        </w:tc>
        <w:tc>
          <w:tcPr>
            <w:tcW w:w="778" w:type="dxa"/>
          </w:tcPr>
          <w:p w14:paraId="7424CD90">
            <w:pPr>
              <w:autoSpaceDE w:val="0"/>
              <w:autoSpaceDN w:val="0"/>
              <w:adjustRightInd w:val="0"/>
              <w:snapToGrid w:val="0"/>
              <w:jc w:val="left"/>
              <w:rPr>
                <w:rFonts w:ascii="宋体" w:hAnsi="宋体"/>
                <w:color w:val="auto"/>
                <w:kern w:val="0"/>
                <w:szCs w:val="21"/>
                <w:highlight w:val="none"/>
              </w:rPr>
            </w:pPr>
          </w:p>
        </w:tc>
        <w:tc>
          <w:tcPr>
            <w:tcW w:w="776" w:type="dxa"/>
          </w:tcPr>
          <w:p w14:paraId="69608F4D">
            <w:pPr>
              <w:autoSpaceDE w:val="0"/>
              <w:autoSpaceDN w:val="0"/>
              <w:adjustRightInd w:val="0"/>
              <w:snapToGrid w:val="0"/>
              <w:jc w:val="left"/>
              <w:rPr>
                <w:rFonts w:ascii="宋体" w:hAnsi="宋体"/>
                <w:color w:val="auto"/>
                <w:kern w:val="0"/>
                <w:szCs w:val="21"/>
                <w:highlight w:val="none"/>
              </w:rPr>
            </w:pPr>
          </w:p>
        </w:tc>
        <w:tc>
          <w:tcPr>
            <w:tcW w:w="2723" w:type="dxa"/>
          </w:tcPr>
          <w:p w14:paraId="1C717892">
            <w:pPr>
              <w:autoSpaceDE w:val="0"/>
              <w:autoSpaceDN w:val="0"/>
              <w:adjustRightInd w:val="0"/>
              <w:snapToGrid w:val="0"/>
              <w:jc w:val="left"/>
              <w:rPr>
                <w:rFonts w:ascii="宋体" w:hAnsi="宋体"/>
                <w:color w:val="auto"/>
                <w:kern w:val="0"/>
                <w:szCs w:val="21"/>
                <w:highlight w:val="none"/>
              </w:rPr>
            </w:pPr>
          </w:p>
        </w:tc>
        <w:tc>
          <w:tcPr>
            <w:tcW w:w="896" w:type="dxa"/>
          </w:tcPr>
          <w:p w14:paraId="624DF08F">
            <w:pPr>
              <w:autoSpaceDE w:val="0"/>
              <w:autoSpaceDN w:val="0"/>
              <w:adjustRightInd w:val="0"/>
              <w:snapToGrid w:val="0"/>
              <w:jc w:val="left"/>
              <w:rPr>
                <w:rFonts w:ascii="宋体" w:hAnsi="宋体"/>
                <w:color w:val="auto"/>
                <w:kern w:val="0"/>
                <w:szCs w:val="21"/>
                <w:highlight w:val="none"/>
              </w:rPr>
            </w:pPr>
          </w:p>
        </w:tc>
      </w:tr>
      <w:tr w14:paraId="70B161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05CE258">
            <w:pPr>
              <w:autoSpaceDE w:val="0"/>
              <w:autoSpaceDN w:val="0"/>
              <w:adjustRightInd w:val="0"/>
              <w:snapToGrid w:val="0"/>
              <w:jc w:val="left"/>
              <w:rPr>
                <w:rFonts w:ascii="宋体" w:hAnsi="宋体"/>
                <w:color w:val="auto"/>
                <w:kern w:val="0"/>
                <w:szCs w:val="21"/>
                <w:highlight w:val="none"/>
              </w:rPr>
            </w:pPr>
          </w:p>
        </w:tc>
        <w:tc>
          <w:tcPr>
            <w:tcW w:w="734" w:type="dxa"/>
          </w:tcPr>
          <w:p w14:paraId="1AA40FD5">
            <w:pPr>
              <w:autoSpaceDE w:val="0"/>
              <w:autoSpaceDN w:val="0"/>
              <w:adjustRightInd w:val="0"/>
              <w:snapToGrid w:val="0"/>
              <w:jc w:val="left"/>
              <w:rPr>
                <w:rFonts w:ascii="宋体" w:hAnsi="宋体"/>
                <w:color w:val="auto"/>
                <w:kern w:val="0"/>
                <w:szCs w:val="21"/>
                <w:highlight w:val="none"/>
              </w:rPr>
            </w:pPr>
          </w:p>
        </w:tc>
        <w:tc>
          <w:tcPr>
            <w:tcW w:w="776" w:type="dxa"/>
          </w:tcPr>
          <w:p w14:paraId="5D36B027">
            <w:pPr>
              <w:autoSpaceDE w:val="0"/>
              <w:autoSpaceDN w:val="0"/>
              <w:adjustRightInd w:val="0"/>
              <w:snapToGrid w:val="0"/>
              <w:jc w:val="left"/>
              <w:rPr>
                <w:rFonts w:ascii="宋体" w:hAnsi="宋体"/>
                <w:color w:val="auto"/>
                <w:kern w:val="0"/>
                <w:szCs w:val="21"/>
                <w:highlight w:val="none"/>
              </w:rPr>
            </w:pPr>
          </w:p>
        </w:tc>
        <w:tc>
          <w:tcPr>
            <w:tcW w:w="1167" w:type="dxa"/>
          </w:tcPr>
          <w:p w14:paraId="0B24C1D6">
            <w:pPr>
              <w:autoSpaceDE w:val="0"/>
              <w:autoSpaceDN w:val="0"/>
              <w:adjustRightInd w:val="0"/>
              <w:snapToGrid w:val="0"/>
              <w:jc w:val="left"/>
              <w:rPr>
                <w:rFonts w:ascii="宋体" w:hAnsi="宋体"/>
                <w:color w:val="auto"/>
                <w:kern w:val="0"/>
                <w:szCs w:val="21"/>
                <w:highlight w:val="none"/>
              </w:rPr>
            </w:pPr>
          </w:p>
        </w:tc>
        <w:tc>
          <w:tcPr>
            <w:tcW w:w="776" w:type="dxa"/>
          </w:tcPr>
          <w:p w14:paraId="54810661">
            <w:pPr>
              <w:autoSpaceDE w:val="0"/>
              <w:autoSpaceDN w:val="0"/>
              <w:adjustRightInd w:val="0"/>
              <w:snapToGrid w:val="0"/>
              <w:jc w:val="left"/>
              <w:rPr>
                <w:rFonts w:ascii="宋体" w:hAnsi="宋体"/>
                <w:color w:val="auto"/>
                <w:kern w:val="0"/>
                <w:szCs w:val="21"/>
                <w:highlight w:val="none"/>
              </w:rPr>
            </w:pPr>
          </w:p>
        </w:tc>
        <w:tc>
          <w:tcPr>
            <w:tcW w:w="778" w:type="dxa"/>
          </w:tcPr>
          <w:p w14:paraId="52504FA5">
            <w:pPr>
              <w:autoSpaceDE w:val="0"/>
              <w:autoSpaceDN w:val="0"/>
              <w:adjustRightInd w:val="0"/>
              <w:snapToGrid w:val="0"/>
              <w:jc w:val="left"/>
              <w:rPr>
                <w:rFonts w:ascii="宋体" w:hAnsi="宋体"/>
                <w:color w:val="auto"/>
                <w:kern w:val="0"/>
                <w:szCs w:val="21"/>
                <w:highlight w:val="none"/>
              </w:rPr>
            </w:pPr>
          </w:p>
        </w:tc>
        <w:tc>
          <w:tcPr>
            <w:tcW w:w="776" w:type="dxa"/>
          </w:tcPr>
          <w:p w14:paraId="6215E62B">
            <w:pPr>
              <w:autoSpaceDE w:val="0"/>
              <w:autoSpaceDN w:val="0"/>
              <w:adjustRightInd w:val="0"/>
              <w:snapToGrid w:val="0"/>
              <w:jc w:val="left"/>
              <w:rPr>
                <w:rFonts w:ascii="宋体" w:hAnsi="宋体"/>
                <w:color w:val="auto"/>
                <w:kern w:val="0"/>
                <w:szCs w:val="21"/>
                <w:highlight w:val="none"/>
              </w:rPr>
            </w:pPr>
          </w:p>
        </w:tc>
        <w:tc>
          <w:tcPr>
            <w:tcW w:w="2723" w:type="dxa"/>
          </w:tcPr>
          <w:p w14:paraId="017679B8">
            <w:pPr>
              <w:autoSpaceDE w:val="0"/>
              <w:autoSpaceDN w:val="0"/>
              <w:adjustRightInd w:val="0"/>
              <w:snapToGrid w:val="0"/>
              <w:jc w:val="left"/>
              <w:rPr>
                <w:rFonts w:ascii="宋体" w:hAnsi="宋体"/>
                <w:color w:val="auto"/>
                <w:kern w:val="0"/>
                <w:szCs w:val="21"/>
                <w:highlight w:val="none"/>
              </w:rPr>
            </w:pPr>
          </w:p>
        </w:tc>
        <w:tc>
          <w:tcPr>
            <w:tcW w:w="896" w:type="dxa"/>
          </w:tcPr>
          <w:p w14:paraId="0E2826EA">
            <w:pPr>
              <w:autoSpaceDE w:val="0"/>
              <w:autoSpaceDN w:val="0"/>
              <w:adjustRightInd w:val="0"/>
              <w:snapToGrid w:val="0"/>
              <w:jc w:val="left"/>
              <w:rPr>
                <w:rFonts w:ascii="宋体" w:hAnsi="宋体"/>
                <w:color w:val="auto"/>
                <w:kern w:val="0"/>
                <w:szCs w:val="21"/>
                <w:highlight w:val="none"/>
              </w:rPr>
            </w:pPr>
          </w:p>
        </w:tc>
      </w:tr>
      <w:tr w14:paraId="289ADB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6A88DF3">
            <w:pPr>
              <w:autoSpaceDE w:val="0"/>
              <w:autoSpaceDN w:val="0"/>
              <w:adjustRightInd w:val="0"/>
              <w:snapToGrid w:val="0"/>
              <w:jc w:val="left"/>
              <w:rPr>
                <w:rFonts w:ascii="宋体" w:hAnsi="宋体"/>
                <w:color w:val="auto"/>
                <w:kern w:val="0"/>
                <w:szCs w:val="21"/>
                <w:highlight w:val="none"/>
              </w:rPr>
            </w:pPr>
          </w:p>
        </w:tc>
        <w:tc>
          <w:tcPr>
            <w:tcW w:w="734" w:type="dxa"/>
          </w:tcPr>
          <w:p w14:paraId="4B70303E">
            <w:pPr>
              <w:autoSpaceDE w:val="0"/>
              <w:autoSpaceDN w:val="0"/>
              <w:adjustRightInd w:val="0"/>
              <w:snapToGrid w:val="0"/>
              <w:jc w:val="left"/>
              <w:rPr>
                <w:rFonts w:ascii="宋体" w:hAnsi="宋体"/>
                <w:color w:val="auto"/>
                <w:kern w:val="0"/>
                <w:szCs w:val="21"/>
                <w:highlight w:val="none"/>
              </w:rPr>
            </w:pPr>
          </w:p>
        </w:tc>
        <w:tc>
          <w:tcPr>
            <w:tcW w:w="776" w:type="dxa"/>
          </w:tcPr>
          <w:p w14:paraId="2B62C5F6">
            <w:pPr>
              <w:autoSpaceDE w:val="0"/>
              <w:autoSpaceDN w:val="0"/>
              <w:adjustRightInd w:val="0"/>
              <w:snapToGrid w:val="0"/>
              <w:jc w:val="left"/>
              <w:rPr>
                <w:rFonts w:ascii="宋体" w:hAnsi="宋体"/>
                <w:color w:val="auto"/>
                <w:kern w:val="0"/>
                <w:szCs w:val="21"/>
                <w:highlight w:val="none"/>
              </w:rPr>
            </w:pPr>
          </w:p>
        </w:tc>
        <w:tc>
          <w:tcPr>
            <w:tcW w:w="1167" w:type="dxa"/>
          </w:tcPr>
          <w:p w14:paraId="4CE8DBA7">
            <w:pPr>
              <w:autoSpaceDE w:val="0"/>
              <w:autoSpaceDN w:val="0"/>
              <w:adjustRightInd w:val="0"/>
              <w:snapToGrid w:val="0"/>
              <w:jc w:val="left"/>
              <w:rPr>
                <w:rFonts w:ascii="宋体" w:hAnsi="宋体"/>
                <w:color w:val="auto"/>
                <w:kern w:val="0"/>
                <w:szCs w:val="21"/>
                <w:highlight w:val="none"/>
              </w:rPr>
            </w:pPr>
          </w:p>
        </w:tc>
        <w:tc>
          <w:tcPr>
            <w:tcW w:w="776" w:type="dxa"/>
          </w:tcPr>
          <w:p w14:paraId="77A6078D">
            <w:pPr>
              <w:autoSpaceDE w:val="0"/>
              <w:autoSpaceDN w:val="0"/>
              <w:adjustRightInd w:val="0"/>
              <w:snapToGrid w:val="0"/>
              <w:jc w:val="left"/>
              <w:rPr>
                <w:rFonts w:ascii="宋体" w:hAnsi="宋体"/>
                <w:color w:val="auto"/>
                <w:kern w:val="0"/>
                <w:szCs w:val="21"/>
                <w:highlight w:val="none"/>
              </w:rPr>
            </w:pPr>
          </w:p>
        </w:tc>
        <w:tc>
          <w:tcPr>
            <w:tcW w:w="778" w:type="dxa"/>
          </w:tcPr>
          <w:p w14:paraId="49C5E79F">
            <w:pPr>
              <w:autoSpaceDE w:val="0"/>
              <w:autoSpaceDN w:val="0"/>
              <w:adjustRightInd w:val="0"/>
              <w:snapToGrid w:val="0"/>
              <w:jc w:val="left"/>
              <w:rPr>
                <w:rFonts w:ascii="宋体" w:hAnsi="宋体"/>
                <w:color w:val="auto"/>
                <w:kern w:val="0"/>
                <w:szCs w:val="21"/>
                <w:highlight w:val="none"/>
              </w:rPr>
            </w:pPr>
          </w:p>
        </w:tc>
        <w:tc>
          <w:tcPr>
            <w:tcW w:w="776" w:type="dxa"/>
          </w:tcPr>
          <w:p w14:paraId="58595E8D">
            <w:pPr>
              <w:autoSpaceDE w:val="0"/>
              <w:autoSpaceDN w:val="0"/>
              <w:adjustRightInd w:val="0"/>
              <w:snapToGrid w:val="0"/>
              <w:jc w:val="left"/>
              <w:rPr>
                <w:rFonts w:ascii="宋体" w:hAnsi="宋体"/>
                <w:color w:val="auto"/>
                <w:kern w:val="0"/>
                <w:szCs w:val="21"/>
                <w:highlight w:val="none"/>
              </w:rPr>
            </w:pPr>
          </w:p>
        </w:tc>
        <w:tc>
          <w:tcPr>
            <w:tcW w:w="2723" w:type="dxa"/>
          </w:tcPr>
          <w:p w14:paraId="219FF713">
            <w:pPr>
              <w:autoSpaceDE w:val="0"/>
              <w:autoSpaceDN w:val="0"/>
              <w:adjustRightInd w:val="0"/>
              <w:snapToGrid w:val="0"/>
              <w:jc w:val="left"/>
              <w:rPr>
                <w:rFonts w:ascii="宋体" w:hAnsi="宋体"/>
                <w:color w:val="auto"/>
                <w:kern w:val="0"/>
                <w:szCs w:val="21"/>
                <w:highlight w:val="none"/>
              </w:rPr>
            </w:pPr>
          </w:p>
        </w:tc>
        <w:tc>
          <w:tcPr>
            <w:tcW w:w="896" w:type="dxa"/>
          </w:tcPr>
          <w:p w14:paraId="4483C072">
            <w:pPr>
              <w:autoSpaceDE w:val="0"/>
              <w:autoSpaceDN w:val="0"/>
              <w:adjustRightInd w:val="0"/>
              <w:snapToGrid w:val="0"/>
              <w:jc w:val="left"/>
              <w:rPr>
                <w:rFonts w:ascii="宋体" w:hAnsi="宋体"/>
                <w:color w:val="auto"/>
                <w:kern w:val="0"/>
                <w:szCs w:val="21"/>
                <w:highlight w:val="none"/>
              </w:rPr>
            </w:pPr>
          </w:p>
        </w:tc>
      </w:tr>
      <w:tr w14:paraId="370A49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B781707">
            <w:pPr>
              <w:autoSpaceDE w:val="0"/>
              <w:autoSpaceDN w:val="0"/>
              <w:adjustRightInd w:val="0"/>
              <w:snapToGrid w:val="0"/>
              <w:jc w:val="left"/>
              <w:rPr>
                <w:rFonts w:ascii="宋体" w:hAnsi="宋体"/>
                <w:color w:val="auto"/>
                <w:kern w:val="0"/>
                <w:szCs w:val="21"/>
                <w:highlight w:val="none"/>
              </w:rPr>
            </w:pPr>
          </w:p>
        </w:tc>
        <w:tc>
          <w:tcPr>
            <w:tcW w:w="734" w:type="dxa"/>
          </w:tcPr>
          <w:p w14:paraId="06846428">
            <w:pPr>
              <w:autoSpaceDE w:val="0"/>
              <w:autoSpaceDN w:val="0"/>
              <w:adjustRightInd w:val="0"/>
              <w:snapToGrid w:val="0"/>
              <w:jc w:val="left"/>
              <w:rPr>
                <w:rFonts w:ascii="宋体" w:hAnsi="宋体"/>
                <w:color w:val="auto"/>
                <w:kern w:val="0"/>
                <w:szCs w:val="21"/>
                <w:highlight w:val="none"/>
              </w:rPr>
            </w:pPr>
          </w:p>
        </w:tc>
        <w:tc>
          <w:tcPr>
            <w:tcW w:w="776" w:type="dxa"/>
          </w:tcPr>
          <w:p w14:paraId="36A934B6">
            <w:pPr>
              <w:autoSpaceDE w:val="0"/>
              <w:autoSpaceDN w:val="0"/>
              <w:adjustRightInd w:val="0"/>
              <w:snapToGrid w:val="0"/>
              <w:jc w:val="left"/>
              <w:rPr>
                <w:rFonts w:ascii="宋体" w:hAnsi="宋体"/>
                <w:color w:val="auto"/>
                <w:kern w:val="0"/>
                <w:szCs w:val="21"/>
                <w:highlight w:val="none"/>
              </w:rPr>
            </w:pPr>
          </w:p>
        </w:tc>
        <w:tc>
          <w:tcPr>
            <w:tcW w:w="1167" w:type="dxa"/>
          </w:tcPr>
          <w:p w14:paraId="2D0AFD10">
            <w:pPr>
              <w:autoSpaceDE w:val="0"/>
              <w:autoSpaceDN w:val="0"/>
              <w:adjustRightInd w:val="0"/>
              <w:snapToGrid w:val="0"/>
              <w:jc w:val="left"/>
              <w:rPr>
                <w:rFonts w:ascii="宋体" w:hAnsi="宋体"/>
                <w:color w:val="auto"/>
                <w:kern w:val="0"/>
                <w:szCs w:val="21"/>
                <w:highlight w:val="none"/>
              </w:rPr>
            </w:pPr>
          </w:p>
        </w:tc>
        <w:tc>
          <w:tcPr>
            <w:tcW w:w="776" w:type="dxa"/>
          </w:tcPr>
          <w:p w14:paraId="311C7856">
            <w:pPr>
              <w:autoSpaceDE w:val="0"/>
              <w:autoSpaceDN w:val="0"/>
              <w:adjustRightInd w:val="0"/>
              <w:snapToGrid w:val="0"/>
              <w:jc w:val="left"/>
              <w:rPr>
                <w:rFonts w:ascii="宋体" w:hAnsi="宋体"/>
                <w:color w:val="auto"/>
                <w:kern w:val="0"/>
                <w:szCs w:val="21"/>
                <w:highlight w:val="none"/>
              </w:rPr>
            </w:pPr>
          </w:p>
        </w:tc>
        <w:tc>
          <w:tcPr>
            <w:tcW w:w="778" w:type="dxa"/>
          </w:tcPr>
          <w:p w14:paraId="79467861">
            <w:pPr>
              <w:autoSpaceDE w:val="0"/>
              <w:autoSpaceDN w:val="0"/>
              <w:adjustRightInd w:val="0"/>
              <w:snapToGrid w:val="0"/>
              <w:jc w:val="left"/>
              <w:rPr>
                <w:rFonts w:ascii="宋体" w:hAnsi="宋体"/>
                <w:color w:val="auto"/>
                <w:kern w:val="0"/>
                <w:szCs w:val="21"/>
                <w:highlight w:val="none"/>
              </w:rPr>
            </w:pPr>
          </w:p>
        </w:tc>
        <w:tc>
          <w:tcPr>
            <w:tcW w:w="776" w:type="dxa"/>
          </w:tcPr>
          <w:p w14:paraId="6385A2A1">
            <w:pPr>
              <w:autoSpaceDE w:val="0"/>
              <w:autoSpaceDN w:val="0"/>
              <w:adjustRightInd w:val="0"/>
              <w:snapToGrid w:val="0"/>
              <w:jc w:val="left"/>
              <w:rPr>
                <w:rFonts w:ascii="宋体" w:hAnsi="宋体"/>
                <w:color w:val="auto"/>
                <w:kern w:val="0"/>
                <w:szCs w:val="21"/>
                <w:highlight w:val="none"/>
              </w:rPr>
            </w:pPr>
          </w:p>
        </w:tc>
        <w:tc>
          <w:tcPr>
            <w:tcW w:w="2723" w:type="dxa"/>
          </w:tcPr>
          <w:p w14:paraId="2DFBB538">
            <w:pPr>
              <w:autoSpaceDE w:val="0"/>
              <w:autoSpaceDN w:val="0"/>
              <w:adjustRightInd w:val="0"/>
              <w:snapToGrid w:val="0"/>
              <w:jc w:val="left"/>
              <w:rPr>
                <w:rFonts w:ascii="宋体" w:hAnsi="宋体"/>
                <w:color w:val="auto"/>
                <w:kern w:val="0"/>
                <w:szCs w:val="21"/>
                <w:highlight w:val="none"/>
              </w:rPr>
            </w:pPr>
          </w:p>
        </w:tc>
        <w:tc>
          <w:tcPr>
            <w:tcW w:w="896" w:type="dxa"/>
          </w:tcPr>
          <w:p w14:paraId="61427184">
            <w:pPr>
              <w:autoSpaceDE w:val="0"/>
              <w:autoSpaceDN w:val="0"/>
              <w:adjustRightInd w:val="0"/>
              <w:snapToGrid w:val="0"/>
              <w:jc w:val="left"/>
              <w:rPr>
                <w:rFonts w:ascii="宋体" w:hAnsi="宋体"/>
                <w:color w:val="auto"/>
                <w:kern w:val="0"/>
                <w:szCs w:val="21"/>
                <w:highlight w:val="none"/>
              </w:rPr>
            </w:pPr>
          </w:p>
        </w:tc>
      </w:tr>
      <w:tr w14:paraId="57B1C9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DDDE139">
            <w:pPr>
              <w:autoSpaceDE w:val="0"/>
              <w:autoSpaceDN w:val="0"/>
              <w:adjustRightInd w:val="0"/>
              <w:snapToGrid w:val="0"/>
              <w:jc w:val="left"/>
              <w:rPr>
                <w:rFonts w:ascii="宋体" w:hAnsi="宋体"/>
                <w:color w:val="auto"/>
                <w:kern w:val="0"/>
                <w:szCs w:val="21"/>
                <w:highlight w:val="none"/>
              </w:rPr>
            </w:pPr>
          </w:p>
        </w:tc>
        <w:tc>
          <w:tcPr>
            <w:tcW w:w="734" w:type="dxa"/>
          </w:tcPr>
          <w:p w14:paraId="752B0CE5">
            <w:pPr>
              <w:autoSpaceDE w:val="0"/>
              <w:autoSpaceDN w:val="0"/>
              <w:adjustRightInd w:val="0"/>
              <w:snapToGrid w:val="0"/>
              <w:jc w:val="left"/>
              <w:rPr>
                <w:rFonts w:ascii="宋体" w:hAnsi="宋体"/>
                <w:color w:val="auto"/>
                <w:kern w:val="0"/>
                <w:szCs w:val="21"/>
                <w:highlight w:val="none"/>
              </w:rPr>
            </w:pPr>
          </w:p>
        </w:tc>
        <w:tc>
          <w:tcPr>
            <w:tcW w:w="776" w:type="dxa"/>
          </w:tcPr>
          <w:p w14:paraId="45147B26">
            <w:pPr>
              <w:autoSpaceDE w:val="0"/>
              <w:autoSpaceDN w:val="0"/>
              <w:adjustRightInd w:val="0"/>
              <w:snapToGrid w:val="0"/>
              <w:jc w:val="left"/>
              <w:rPr>
                <w:rFonts w:ascii="宋体" w:hAnsi="宋体"/>
                <w:color w:val="auto"/>
                <w:kern w:val="0"/>
                <w:szCs w:val="21"/>
                <w:highlight w:val="none"/>
              </w:rPr>
            </w:pPr>
          </w:p>
        </w:tc>
        <w:tc>
          <w:tcPr>
            <w:tcW w:w="1167" w:type="dxa"/>
          </w:tcPr>
          <w:p w14:paraId="616C1A12">
            <w:pPr>
              <w:autoSpaceDE w:val="0"/>
              <w:autoSpaceDN w:val="0"/>
              <w:adjustRightInd w:val="0"/>
              <w:snapToGrid w:val="0"/>
              <w:jc w:val="left"/>
              <w:rPr>
                <w:rFonts w:ascii="宋体" w:hAnsi="宋体"/>
                <w:color w:val="auto"/>
                <w:kern w:val="0"/>
                <w:szCs w:val="21"/>
                <w:highlight w:val="none"/>
              </w:rPr>
            </w:pPr>
          </w:p>
        </w:tc>
        <w:tc>
          <w:tcPr>
            <w:tcW w:w="776" w:type="dxa"/>
          </w:tcPr>
          <w:p w14:paraId="602089E8">
            <w:pPr>
              <w:autoSpaceDE w:val="0"/>
              <w:autoSpaceDN w:val="0"/>
              <w:adjustRightInd w:val="0"/>
              <w:snapToGrid w:val="0"/>
              <w:jc w:val="left"/>
              <w:rPr>
                <w:rFonts w:ascii="宋体" w:hAnsi="宋体"/>
                <w:color w:val="auto"/>
                <w:kern w:val="0"/>
                <w:szCs w:val="21"/>
                <w:highlight w:val="none"/>
              </w:rPr>
            </w:pPr>
          </w:p>
        </w:tc>
        <w:tc>
          <w:tcPr>
            <w:tcW w:w="778" w:type="dxa"/>
          </w:tcPr>
          <w:p w14:paraId="3BF597AE">
            <w:pPr>
              <w:autoSpaceDE w:val="0"/>
              <w:autoSpaceDN w:val="0"/>
              <w:adjustRightInd w:val="0"/>
              <w:snapToGrid w:val="0"/>
              <w:jc w:val="left"/>
              <w:rPr>
                <w:rFonts w:ascii="宋体" w:hAnsi="宋体"/>
                <w:color w:val="auto"/>
                <w:kern w:val="0"/>
                <w:szCs w:val="21"/>
                <w:highlight w:val="none"/>
              </w:rPr>
            </w:pPr>
          </w:p>
        </w:tc>
        <w:tc>
          <w:tcPr>
            <w:tcW w:w="776" w:type="dxa"/>
          </w:tcPr>
          <w:p w14:paraId="2E47D2CA">
            <w:pPr>
              <w:autoSpaceDE w:val="0"/>
              <w:autoSpaceDN w:val="0"/>
              <w:adjustRightInd w:val="0"/>
              <w:snapToGrid w:val="0"/>
              <w:jc w:val="left"/>
              <w:rPr>
                <w:rFonts w:ascii="宋体" w:hAnsi="宋体"/>
                <w:color w:val="auto"/>
                <w:kern w:val="0"/>
                <w:szCs w:val="21"/>
                <w:highlight w:val="none"/>
              </w:rPr>
            </w:pPr>
          </w:p>
        </w:tc>
        <w:tc>
          <w:tcPr>
            <w:tcW w:w="2723" w:type="dxa"/>
          </w:tcPr>
          <w:p w14:paraId="680CF481">
            <w:pPr>
              <w:autoSpaceDE w:val="0"/>
              <w:autoSpaceDN w:val="0"/>
              <w:adjustRightInd w:val="0"/>
              <w:snapToGrid w:val="0"/>
              <w:jc w:val="left"/>
              <w:rPr>
                <w:rFonts w:ascii="宋体" w:hAnsi="宋体"/>
                <w:color w:val="auto"/>
                <w:kern w:val="0"/>
                <w:szCs w:val="21"/>
                <w:highlight w:val="none"/>
              </w:rPr>
            </w:pPr>
          </w:p>
        </w:tc>
        <w:tc>
          <w:tcPr>
            <w:tcW w:w="896" w:type="dxa"/>
          </w:tcPr>
          <w:p w14:paraId="2D7A901A">
            <w:pPr>
              <w:autoSpaceDE w:val="0"/>
              <w:autoSpaceDN w:val="0"/>
              <w:adjustRightInd w:val="0"/>
              <w:snapToGrid w:val="0"/>
              <w:jc w:val="left"/>
              <w:rPr>
                <w:rFonts w:ascii="宋体" w:hAnsi="宋体"/>
                <w:color w:val="auto"/>
                <w:kern w:val="0"/>
                <w:szCs w:val="21"/>
                <w:highlight w:val="none"/>
              </w:rPr>
            </w:pPr>
          </w:p>
        </w:tc>
      </w:tr>
      <w:tr w14:paraId="125D0A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9684C9D">
            <w:pPr>
              <w:autoSpaceDE w:val="0"/>
              <w:autoSpaceDN w:val="0"/>
              <w:adjustRightInd w:val="0"/>
              <w:snapToGrid w:val="0"/>
              <w:jc w:val="left"/>
              <w:rPr>
                <w:rFonts w:ascii="宋体" w:hAnsi="宋体"/>
                <w:color w:val="auto"/>
                <w:kern w:val="0"/>
                <w:szCs w:val="21"/>
                <w:highlight w:val="none"/>
              </w:rPr>
            </w:pPr>
          </w:p>
        </w:tc>
        <w:tc>
          <w:tcPr>
            <w:tcW w:w="734" w:type="dxa"/>
          </w:tcPr>
          <w:p w14:paraId="015723EB">
            <w:pPr>
              <w:autoSpaceDE w:val="0"/>
              <w:autoSpaceDN w:val="0"/>
              <w:adjustRightInd w:val="0"/>
              <w:snapToGrid w:val="0"/>
              <w:jc w:val="left"/>
              <w:rPr>
                <w:rFonts w:ascii="宋体" w:hAnsi="宋体"/>
                <w:color w:val="auto"/>
                <w:kern w:val="0"/>
                <w:szCs w:val="21"/>
                <w:highlight w:val="none"/>
              </w:rPr>
            </w:pPr>
          </w:p>
        </w:tc>
        <w:tc>
          <w:tcPr>
            <w:tcW w:w="776" w:type="dxa"/>
          </w:tcPr>
          <w:p w14:paraId="39579D40">
            <w:pPr>
              <w:autoSpaceDE w:val="0"/>
              <w:autoSpaceDN w:val="0"/>
              <w:adjustRightInd w:val="0"/>
              <w:snapToGrid w:val="0"/>
              <w:jc w:val="left"/>
              <w:rPr>
                <w:rFonts w:ascii="宋体" w:hAnsi="宋体"/>
                <w:color w:val="auto"/>
                <w:kern w:val="0"/>
                <w:szCs w:val="21"/>
                <w:highlight w:val="none"/>
              </w:rPr>
            </w:pPr>
          </w:p>
        </w:tc>
        <w:tc>
          <w:tcPr>
            <w:tcW w:w="1167" w:type="dxa"/>
          </w:tcPr>
          <w:p w14:paraId="32F44750">
            <w:pPr>
              <w:autoSpaceDE w:val="0"/>
              <w:autoSpaceDN w:val="0"/>
              <w:adjustRightInd w:val="0"/>
              <w:snapToGrid w:val="0"/>
              <w:jc w:val="left"/>
              <w:rPr>
                <w:rFonts w:ascii="宋体" w:hAnsi="宋体"/>
                <w:color w:val="auto"/>
                <w:kern w:val="0"/>
                <w:szCs w:val="21"/>
                <w:highlight w:val="none"/>
              </w:rPr>
            </w:pPr>
          </w:p>
        </w:tc>
        <w:tc>
          <w:tcPr>
            <w:tcW w:w="776" w:type="dxa"/>
          </w:tcPr>
          <w:p w14:paraId="78D298D5">
            <w:pPr>
              <w:autoSpaceDE w:val="0"/>
              <w:autoSpaceDN w:val="0"/>
              <w:adjustRightInd w:val="0"/>
              <w:snapToGrid w:val="0"/>
              <w:jc w:val="left"/>
              <w:rPr>
                <w:rFonts w:ascii="宋体" w:hAnsi="宋体"/>
                <w:color w:val="auto"/>
                <w:kern w:val="0"/>
                <w:szCs w:val="21"/>
                <w:highlight w:val="none"/>
              </w:rPr>
            </w:pPr>
          </w:p>
        </w:tc>
        <w:tc>
          <w:tcPr>
            <w:tcW w:w="778" w:type="dxa"/>
          </w:tcPr>
          <w:p w14:paraId="1F52ED55">
            <w:pPr>
              <w:autoSpaceDE w:val="0"/>
              <w:autoSpaceDN w:val="0"/>
              <w:adjustRightInd w:val="0"/>
              <w:snapToGrid w:val="0"/>
              <w:jc w:val="left"/>
              <w:rPr>
                <w:rFonts w:ascii="宋体" w:hAnsi="宋体"/>
                <w:color w:val="auto"/>
                <w:kern w:val="0"/>
                <w:szCs w:val="21"/>
                <w:highlight w:val="none"/>
              </w:rPr>
            </w:pPr>
          </w:p>
        </w:tc>
        <w:tc>
          <w:tcPr>
            <w:tcW w:w="776" w:type="dxa"/>
          </w:tcPr>
          <w:p w14:paraId="1DC7A362">
            <w:pPr>
              <w:autoSpaceDE w:val="0"/>
              <w:autoSpaceDN w:val="0"/>
              <w:adjustRightInd w:val="0"/>
              <w:snapToGrid w:val="0"/>
              <w:jc w:val="left"/>
              <w:rPr>
                <w:rFonts w:ascii="宋体" w:hAnsi="宋体"/>
                <w:color w:val="auto"/>
                <w:kern w:val="0"/>
                <w:szCs w:val="21"/>
                <w:highlight w:val="none"/>
              </w:rPr>
            </w:pPr>
          </w:p>
        </w:tc>
        <w:tc>
          <w:tcPr>
            <w:tcW w:w="2723" w:type="dxa"/>
          </w:tcPr>
          <w:p w14:paraId="42AFF2B2">
            <w:pPr>
              <w:autoSpaceDE w:val="0"/>
              <w:autoSpaceDN w:val="0"/>
              <w:adjustRightInd w:val="0"/>
              <w:snapToGrid w:val="0"/>
              <w:jc w:val="left"/>
              <w:rPr>
                <w:rFonts w:ascii="宋体" w:hAnsi="宋体"/>
                <w:color w:val="auto"/>
                <w:kern w:val="0"/>
                <w:szCs w:val="21"/>
                <w:highlight w:val="none"/>
              </w:rPr>
            </w:pPr>
          </w:p>
        </w:tc>
        <w:tc>
          <w:tcPr>
            <w:tcW w:w="896" w:type="dxa"/>
          </w:tcPr>
          <w:p w14:paraId="20ADD7D9">
            <w:pPr>
              <w:autoSpaceDE w:val="0"/>
              <w:autoSpaceDN w:val="0"/>
              <w:adjustRightInd w:val="0"/>
              <w:snapToGrid w:val="0"/>
              <w:jc w:val="left"/>
              <w:rPr>
                <w:rFonts w:ascii="宋体" w:hAnsi="宋体"/>
                <w:color w:val="auto"/>
                <w:kern w:val="0"/>
                <w:szCs w:val="21"/>
                <w:highlight w:val="none"/>
              </w:rPr>
            </w:pPr>
          </w:p>
        </w:tc>
      </w:tr>
    </w:tbl>
    <w:p w14:paraId="1F8FB295">
      <w:pPr>
        <w:spacing w:line="20" w:lineRule="exact"/>
        <w:jc w:val="center"/>
        <w:rPr>
          <w:rFonts w:ascii="宋体" w:hAnsi="宋体"/>
          <w:color w:val="auto"/>
          <w:szCs w:val="21"/>
          <w:highlight w:val="none"/>
        </w:rPr>
      </w:pPr>
    </w:p>
    <w:p w14:paraId="696F4AD2">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备注：本表仅填项目经理相关信息</w:t>
      </w:r>
      <w:r>
        <w:rPr>
          <w:rFonts w:ascii="宋体" w:hAnsi="宋体"/>
          <w:color w:val="auto"/>
          <w:sz w:val="32"/>
          <w:szCs w:val="32"/>
          <w:highlight w:val="none"/>
        </w:rPr>
        <w:br w:type="page"/>
      </w:r>
      <w:r>
        <w:rPr>
          <w:rFonts w:hint="eastAsia" w:ascii="宋体" w:hAnsi="宋体"/>
          <w:color w:val="auto"/>
          <w:sz w:val="32"/>
          <w:szCs w:val="32"/>
          <w:highlight w:val="none"/>
        </w:rPr>
        <w:t>项目经理简历表</w:t>
      </w:r>
      <w:bookmarkEnd w:id="838"/>
      <w:bookmarkEnd w:id="839"/>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516084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CA506EE">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601DC12D">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1686182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7C30FB80">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2439D46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4BFFE53E">
            <w:pPr>
              <w:autoSpaceDE w:val="0"/>
              <w:autoSpaceDN w:val="0"/>
              <w:adjustRightInd w:val="0"/>
              <w:snapToGrid w:val="0"/>
              <w:jc w:val="center"/>
              <w:rPr>
                <w:rFonts w:ascii="宋体" w:hAnsi="宋体"/>
                <w:color w:val="auto"/>
                <w:kern w:val="0"/>
                <w:szCs w:val="21"/>
                <w:highlight w:val="none"/>
              </w:rPr>
            </w:pPr>
          </w:p>
        </w:tc>
      </w:tr>
      <w:tr w14:paraId="4490B4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DB48643">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613665B8">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097DAC5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295B51ED">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50E2725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6A873423">
            <w:pPr>
              <w:autoSpaceDE w:val="0"/>
              <w:autoSpaceDN w:val="0"/>
              <w:adjustRightInd w:val="0"/>
              <w:snapToGrid w:val="0"/>
              <w:jc w:val="center"/>
              <w:rPr>
                <w:rFonts w:ascii="宋体" w:hAnsi="宋体"/>
                <w:color w:val="auto"/>
                <w:kern w:val="0"/>
                <w:szCs w:val="21"/>
                <w:highlight w:val="none"/>
              </w:rPr>
            </w:pPr>
          </w:p>
        </w:tc>
      </w:tr>
      <w:tr w14:paraId="0FCD03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8A85C4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0B1BBCC5">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260141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0B4DC6D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5E25FA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7D0A4A9">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30A1DA7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4C56F28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6A8327C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28D77D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AF86FC4">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3BEC8D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CE2BC8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851F139">
            <w:pPr>
              <w:autoSpaceDE w:val="0"/>
              <w:autoSpaceDN w:val="0"/>
              <w:adjustRightInd w:val="0"/>
              <w:snapToGrid w:val="0"/>
              <w:jc w:val="center"/>
              <w:rPr>
                <w:rFonts w:ascii="宋体" w:hAnsi="宋体"/>
                <w:color w:val="auto"/>
                <w:kern w:val="0"/>
                <w:szCs w:val="21"/>
                <w:highlight w:val="none"/>
              </w:rPr>
            </w:pPr>
          </w:p>
        </w:tc>
      </w:tr>
      <w:tr w14:paraId="7F8A07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DE5AAB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0514FA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22E069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A1E2C30">
            <w:pPr>
              <w:autoSpaceDE w:val="0"/>
              <w:autoSpaceDN w:val="0"/>
              <w:adjustRightInd w:val="0"/>
              <w:snapToGrid w:val="0"/>
              <w:jc w:val="center"/>
              <w:rPr>
                <w:rFonts w:ascii="宋体" w:hAnsi="宋体"/>
                <w:color w:val="auto"/>
                <w:kern w:val="0"/>
                <w:szCs w:val="21"/>
                <w:highlight w:val="none"/>
              </w:rPr>
            </w:pPr>
          </w:p>
        </w:tc>
      </w:tr>
      <w:tr w14:paraId="4C9511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BECB46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26416E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EF1C1E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FF26DAB">
            <w:pPr>
              <w:autoSpaceDE w:val="0"/>
              <w:autoSpaceDN w:val="0"/>
              <w:adjustRightInd w:val="0"/>
              <w:snapToGrid w:val="0"/>
              <w:jc w:val="center"/>
              <w:rPr>
                <w:rFonts w:ascii="宋体" w:hAnsi="宋体"/>
                <w:color w:val="auto"/>
                <w:kern w:val="0"/>
                <w:szCs w:val="21"/>
                <w:highlight w:val="none"/>
              </w:rPr>
            </w:pPr>
          </w:p>
        </w:tc>
      </w:tr>
      <w:tr w14:paraId="4DFB61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DFB9A0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932139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9A8A1DC">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B325943">
            <w:pPr>
              <w:autoSpaceDE w:val="0"/>
              <w:autoSpaceDN w:val="0"/>
              <w:adjustRightInd w:val="0"/>
              <w:snapToGrid w:val="0"/>
              <w:jc w:val="center"/>
              <w:rPr>
                <w:rFonts w:ascii="宋体" w:hAnsi="宋体"/>
                <w:color w:val="auto"/>
                <w:kern w:val="0"/>
                <w:szCs w:val="21"/>
                <w:highlight w:val="none"/>
              </w:rPr>
            </w:pPr>
          </w:p>
        </w:tc>
      </w:tr>
      <w:tr w14:paraId="2EE383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2B30DD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335687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9A212A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4691E58">
            <w:pPr>
              <w:autoSpaceDE w:val="0"/>
              <w:autoSpaceDN w:val="0"/>
              <w:adjustRightInd w:val="0"/>
              <w:snapToGrid w:val="0"/>
              <w:jc w:val="center"/>
              <w:rPr>
                <w:rFonts w:ascii="宋体" w:hAnsi="宋体"/>
                <w:color w:val="auto"/>
                <w:kern w:val="0"/>
                <w:szCs w:val="21"/>
                <w:highlight w:val="none"/>
              </w:rPr>
            </w:pPr>
          </w:p>
        </w:tc>
      </w:tr>
      <w:tr w14:paraId="6E7545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241DED1">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C553DC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238F3A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FD89606">
            <w:pPr>
              <w:autoSpaceDE w:val="0"/>
              <w:autoSpaceDN w:val="0"/>
              <w:adjustRightInd w:val="0"/>
              <w:snapToGrid w:val="0"/>
              <w:jc w:val="center"/>
              <w:rPr>
                <w:rFonts w:ascii="宋体" w:hAnsi="宋体"/>
                <w:color w:val="auto"/>
                <w:kern w:val="0"/>
                <w:szCs w:val="21"/>
                <w:highlight w:val="none"/>
              </w:rPr>
            </w:pPr>
          </w:p>
        </w:tc>
      </w:tr>
      <w:tr w14:paraId="73CAB2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77BDCD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3F31D2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2EE1E5F">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69122EA">
            <w:pPr>
              <w:autoSpaceDE w:val="0"/>
              <w:autoSpaceDN w:val="0"/>
              <w:adjustRightInd w:val="0"/>
              <w:snapToGrid w:val="0"/>
              <w:jc w:val="center"/>
              <w:rPr>
                <w:rFonts w:ascii="宋体" w:hAnsi="宋体"/>
                <w:color w:val="auto"/>
                <w:kern w:val="0"/>
                <w:szCs w:val="21"/>
                <w:highlight w:val="none"/>
              </w:rPr>
            </w:pPr>
          </w:p>
        </w:tc>
      </w:tr>
      <w:tr w14:paraId="091419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9DB0AA0">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67001E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C0F867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DA6D012">
            <w:pPr>
              <w:autoSpaceDE w:val="0"/>
              <w:autoSpaceDN w:val="0"/>
              <w:adjustRightInd w:val="0"/>
              <w:snapToGrid w:val="0"/>
              <w:jc w:val="center"/>
              <w:rPr>
                <w:rFonts w:ascii="宋体" w:hAnsi="宋体"/>
                <w:color w:val="auto"/>
                <w:kern w:val="0"/>
                <w:szCs w:val="21"/>
                <w:highlight w:val="none"/>
              </w:rPr>
            </w:pPr>
          </w:p>
        </w:tc>
      </w:tr>
      <w:tr w14:paraId="2C8089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5713C6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CBFB3E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AE6BB8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5FA3034">
            <w:pPr>
              <w:autoSpaceDE w:val="0"/>
              <w:autoSpaceDN w:val="0"/>
              <w:adjustRightInd w:val="0"/>
              <w:snapToGrid w:val="0"/>
              <w:jc w:val="center"/>
              <w:rPr>
                <w:rFonts w:ascii="宋体" w:hAnsi="宋体"/>
                <w:color w:val="auto"/>
                <w:kern w:val="0"/>
                <w:szCs w:val="21"/>
                <w:highlight w:val="none"/>
              </w:rPr>
            </w:pPr>
          </w:p>
        </w:tc>
      </w:tr>
      <w:tr w14:paraId="7AEB45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523299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41377D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82D364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0705D5D">
            <w:pPr>
              <w:autoSpaceDE w:val="0"/>
              <w:autoSpaceDN w:val="0"/>
              <w:adjustRightInd w:val="0"/>
              <w:snapToGrid w:val="0"/>
              <w:jc w:val="center"/>
              <w:rPr>
                <w:rFonts w:ascii="宋体" w:hAnsi="宋体"/>
                <w:color w:val="auto"/>
                <w:kern w:val="0"/>
                <w:szCs w:val="21"/>
                <w:highlight w:val="none"/>
              </w:rPr>
            </w:pPr>
          </w:p>
        </w:tc>
      </w:tr>
      <w:tr w14:paraId="23856E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F8CEA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B166C2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642D13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CA6C83A">
            <w:pPr>
              <w:autoSpaceDE w:val="0"/>
              <w:autoSpaceDN w:val="0"/>
              <w:adjustRightInd w:val="0"/>
              <w:snapToGrid w:val="0"/>
              <w:jc w:val="center"/>
              <w:rPr>
                <w:rFonts w:ascii="宋体" w:hAnsi="宋体"/>
                <w:color w:val="auto"/>
                <w:kern w:val="0"/>
                <w:szCs w:val="21"/>
                <w:highlight w:val="none"/>
              </w:rPr>
            </w:pPr>
          </w:p>
        </w:tc>
      </w:tr>
      <w:tr w14:paraId="719A6D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F28D39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C7B30E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94E251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E30AF0F">
            <w:pPr>
              <w:autoSpaceDE w:val="0"/>
              <w:autoSpaceDN w:val="0"/>
              <w:adjustRightInd w:val="0"/>
              <w:snapToGrid w:val="0"/>
              <w:jc w:val="center"/>
              <w:rPr>
                <w:rFonts w:ascii="宋体" w:hAnsi="宋体"/>
                <w:color w:val="auto"/>
                <w:kern w:val="0"/>
                <w:szCs w:val="21"/>
                <w:highlight w:val="none"/>
              </w:rPr>
            </w:pPr>
          </w:p>
        </w:tc>
      </w:tr>
      <w:tr w14:paraId="195BEF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A42B8F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8EE9F9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9F05D07">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AF5DC4E">
            <w:pPr>
              <w:autoSpaceDE w:val="0"/>
              <w:autoSpaceDN w:val="0"/>
              <w:adjustRightInd w:val="0"/>
              <w:snapToGrid w:val="0"/>
              <w:jc w:val="center"/>
              <w:rPr>
                <w:rFonts w:ascii="宋体" w:hAnsi="宋体"/>
                <w:color w:val="auto"/>
                <w:kern w:val="0"/>
                <w:szCs w:val="21"/>
                <w:highlight w:val="none"/>
              </w:rPr>
            </w:pPr>
          </w:p>
        </w:tc>
      </w:tr>
    </w:tbl>
    <w:p w14:paraId="7A457822">
      <w:pPr>
        <w:spacing w:line="360" w:lineRule="auto"/>
        <w:rPr>
          <w:rFonts w:ascii="宋体" w:hAnsi="宋体"/>
          <w:color w:val="auto"/>
          <w:highlight w:val="none"/>
        </w:rPr>
      </w:pPr>
      <w:bookmarkStart w:id="843" w:name="_Toc224103515"/>
    </w:p>
    <w:p w14:paraId="766F1F43">
      <w:pPr>
        <w:pStyle w:val="6"/>
        <w:spacing w:before="0" w:line="240" w:lineRule="auto"/>
        <w:jc w:val="center"/>
        <w:rPr>
          <w:rFonts w:ascii="宋体" w:hAnsi="宋体"/>
          <w:b w:val="0"/>
          <w:color w:val="auto"/>
          <w:highlight w:val="none"/>
        </w:rPr>
      </w:pPr>
      <w:bookmarkStart w:id="844" w:name="_Toc509218864"/>
      <w:bookmarkStart w:id="845" w:name="_Toc57905933"/>
      <w:bookmarkStart w:id="846" w:name="_Toc430530550"/>
      <w:bookmarkStart w:id="847" w:name="_Toc277082660"/>
      <w:bookmarkStart w:id="848" w:name="_Toc534185841"/>
      <w:bookmarkStart w:id="849" w:name="_Toc287620834"/>
      <w:bookmarkStart w:id="850" w:name="_Toc287607888"/>
      <w:r>
        <w:rPr>
          <w:rFonts w:hint="eastAsia" w:ascii="宋体" w:hAnsi="宋体"/>
          <w:b w:val="0"/>
          <w:color w:val="auto"/>
          <w:highlight w:val="none"/>
        </w:rPr>
        <w:t>（四）</w:t>
      </w:r>
      <w:bookmarkEnd w:id="843"/>
      <w:bookmarkEnd w:id="844"/>
      <w:bookmarkEnd w:id="845"/>
      <w:bookmarkEnd w:id="846"/>
      <w:bookmarkEnd w:id="847"/>
      <w:bookmarkEnd w:id="848"/>
      <w:bookmarkEnd w:id="849"/>
      <w:bookmarkEnd w:id="850"/>
      <w:bookmarkStart w:id="851" w:name="_Toc57905936"/>
      <w:r>
        <w:rPr>
          <w:rFonts w:hint="eastAsia" w:ascii="宋体" w:hAnsi="宋体"/>
          <w:b w:val="0"/>
          <w:color w:val="auto"/>
          <w:highlight w:val="none"/>
        </w:rPr>
        <w:t>承诺</w:t>
      </w:r>
    </w:p>
    <w:p w14:paraId="75AB22CB">
      <w:pPr>
        <w:pStyle w:val="6"/>
        <w:spacing w:before="0" w:line="360" w:lineRule="auto"/>
        <w:rPr>
          <w:rFonts w:ascii="宋体" w:hAnsi="宋体"/>
          <w:b w:val="0"/>
          <w:color w:val="auto"/>
          <w:highlight w:val="none"/>
        </w:rPr>
      </w:pPr>
    </w:p>
    <w:p w14:paraId="2C5A4917">
      <w:pPr>
        <w:pStyle w:val="6"/>
        <w:spacing w:before="0" w:line="360" w:lineRule="auto"/>
        <w:rPr>
          <w:rFonts w:ascii="宋体" w:hAnsi="宋体"/>
          <w:b w:val="0"/>
          <w:color w:val="auto"/>
          <w:highlight w:val="none"/>
        </w:rPr>
      </w:pPr>
    </w:p>
    <w:p w14:paraId="4295A11B">
      <w:pPr>
        <w:pStyle w:val="6"/>
        <w:spacing w:before="0" w:line="360" w:lineRule="auto"/>
        <w:rPr>
          <w:rFonts w:ascii="宋体" w:hAnsi="宋体"/>
          <w:b w:val="0"/>
          <w:color w:val="auto"/>
          <w:highlight w:val="none"/>
        </w:rPr>
      </w:pPr>
    </w:p>
    <w:p w14:paraId="052A21DA">
      <w:pPr>
        <w:pStyle w:val="6"/>
        <w:spacing w:before="0" w:line="360" w:lineRule="auto"/>
        <w:rPr>
          <w:rFonts w:ascii="宋体" w:hAnsi="宋体"/>
          <w:b w:val="0"/>
          <w:color w:val="auto"/>
          <w:highlight w:val="none"/>
        </w:rPr>
      </w:pPr>
    </w:p>
    <w:p w14:paraId="0CD9F7B5">
      <w:pPr>
        <w:pStyle w:val="6"/>
        <w:spacing w:before="0" w:line="360" w:lineRule="auto"/>
        <w:rPr>
          <w:rFonts w:ascii="宋体" w:hAnsi="宋体"/>
          <w:b w:val="0"/>
          <w:color w:val="auto"/>
          <w:highlight w:val="none"/>
        </w:rPr>
      </w:pPr>
    </w:p>
    <w:p w14:paraId="3D1FE8A5">
      <w:pPr>
        <w:pStyle w:val="6"/>
        <w:spacing w:before="0" w:line="360" w:lineRule="auto"/>
        <w:rPr>
          <w:rFonts w:ascii="宋体" w:hAnsi="宋体"/>
          <w:b w:val="0"/>
          <w:color w:val="auto"/>
          <w:highlight w:val="none"/>
        </w:rPr>
      </w:pPr>
    </w:p>
    <w:p w14:paraId="522D56DC">
      <w:pPr>
        <w:pStyle w:val="6"/>
        <w:spacing w:before="0" w:line="360" w:lineRule="auto"/>
        <w:rPr>
          <w:rFonts w:ascii="宋体" w:hAnsi="宋体"/>
          <w:b w:val="0"/>
          <w:color w:val="auto"/>
          <w:highlight w:val="none"/>
        </w:rPr>
      </w:pPr>
    </w:p>
    <w:p w14:paraId="39FDF4BE">
      <w:pPr>
        <w:pStyle w:val="6"/>
        <w:spacing w:before="0" w:line="360" w:lineRule="auto"/>
        <w:rPr>
          <w:rFonts w:hint="eastAsia" w:ascii="宋体" w:hAnsi="宋体" w:eastAsia="宋体"/>
          <w:b w:val="0"/>
          <w:color w:val="auto"/>
          <w:highlight w:val="none"/>
          <w:lang w:val="en-US" w:eastAsia="zh-CN"/>
        </w:rPr>
      </w:pPr>
      <w:r>
        <w:rPr>
          <w:rFonts w:hint="eastAsia" w:ascii="宋体" w:hAnsi="宋体"/>
          <w:b w:val="0"/>
          <w:color w:val="auto"/>
          <w:highlight w:val="none"/>
          <w:lang w:val="en-US" w:eastAsia="zh-CN"/>
        </w:rPr>
        <w:t xml:space="preserve"> </w:t>
      </w:r>
    </w:p>
    <w:p w14:paraId="4D43B12F">
      <w:pPr>
        <w:pStyle w:val="6"/>
        <w:spacing w:before="0" w:line="360" w:lineRule="auto"/>
        <w:rPr>
          <w:rFonts w:ascii="宋体" w:hAnsi="宋体"/>
          <w:b w:val="0"/>
          <w:color w:val="auto"/>
          <w:highlight w:val="none"/>
        </w:rPr>
      </w:pPr>
    </w:p>
    <w:p w14:paraId="0A072E97">
      <w:pPr>
        <w:pStyle w:val="6"/>
        <w:spacing w:before="0" w:line="360" w:lineRule="auto"/>
        <w:rPr>
          <w:rFonts w:ascii="宋体" w:hAnsi="宋体"/>
          <w:b w:val="0"/>
          <w:color w:val="auto"/>
          <w:highlight w:val="none"/>
        </w:rPr>
      </w:pPr>
    </w:p>
    <w:p w14:paraId="0E71CEBA">
      <w:pPr>
        <w:pStyle w:val="6"/>
        <w:spacing w:before="0" w:line="360" w:lineRule="auto"/>
        <w:rPr>
          <w:rFonts w:ascii="宋体" w:hAnsi="宋体"/>
          <w:b w:val="0"/>
          <w:color w:val="auto"/>
          <w:highlight w:val="none"/>
        </w:rPr>
      </w:pPr>
    </w:p>
    <w:p w14:paraId="71C51D74">
      <w:pPr>
        <w:pStyle w:val="6"/>
        <w:spacing w:before="0" w:line="360" w:lineRule="auto"/>
        <w:rPr>
          <w:rFonts w:ascii="宋体" w:hAnsi="宋体"/>
          <w:b w:val="0"/>
          <w:color w:val="auto"/>
          <w:highlight w:val="none"/>
        </w:rPr>
      </w:pPr>
    </w:p>
    <w:p w14:paraId="5409EFF4">
      <w:pPr>
        <w:pStyle w:val="6"/>
        <w:spacing w:before="0" w:line="360" w:lineRule="auto"/>
        <w:rPr>
          <w:rFonts w:ascii="宋体" w:hAnsi="宋体"/>
          <w:b w:val="0"/>
          <w:color w:val="auto"/>
          <w:highlight w:val="none"/>
        </w:rPr>
      </w:pPr>
    </w:p>
    <w:p w14:paraId="3F178AB0">
      <w:pPr>
        <w:pStyle w:val="6"/>
        <w:spacing w:before="0" w:line="360" w:lineRule="auto"/>
        <w:rPr>
          <w:rFonts w:ascii="宋体" w:hAnsi="宋体"/>
          <w:b w:val="0"/>
          <w:color w:val="auto"/>
          <w:highlight w:val="none"/>
        </w:rPr>
      </w:pPr>
    </w:p>
    <w:p w14:paraId="500609C8">
      <w:pPr>
        <w:pStyle w:val="6"/>
        <w:spacing w:before="0" w:line="360" w:lineRule="auto"/>
        <w:rPr>
          <w:rFonts w:ascii="宋体" w:hAnsi="宋体"/>
          <w:b w:val="0"/>
          <w:color w:val="auto"/>
          <w:highlight w:val="none"/>
        </w:rPr>
      </w:pPr>
    </w:p>
    <w:p w14:paraId="77B53BB5">
      <w:pPr>
        <w:pStyle w:val="6"/>
        <w:spacing w:before="0" w:line="360" w:lineRule="auto"/>
        <w:ind w:firstLine="3520" w:firstLineChars="1100"/>
        <w:rPr>
          <w:rFonts w:ascii="宋体" w:hAnsi="宋体"/>
          <w:b w:val="0"/>
          <w:color w:val="auto"/>
          <w:highlight w:val="none"/>
        </w:rPr>
      </w:pPr>
      <w:r>
        <w:rPr>
          <w:rFonts w:hint="eastAsia" w:ascii="宋体" w:hAnsi="宋体"/>
          <w:b w:val="0"/>
          <w:color w:val="auto"/>
          <w:highlight w:val="none"/>
        </w:rPr>
        <w:t>（</w:t>
      </w:r>
      <w:r>
        <w:rPr>
          <w:rFonts w:hint="eastAsia" w:ascii="宋体" w:hAnsi="宋体"/>
          <w:b w:val="0"/>
          <w:color w:val="auto"/>
          <w:highlight w:val="none"/>
          <w:lang w:val="en-US" w:eastAsia="zh-CN"/>
        </w:rPr>
        <w:t>五</w:t>
      </w:r>
      <w:r>
        <w:rPr>
          <w:rFonts w:hint="eastAsia" w:ascii="宋体" w:hAnsi="宋体"/>
          <w:b w:val="0"/>
          <w:color w:val="auto"/>
          <w:highlight w:val="none"/>
        </w:rPr>
        <w:t>）其他资料</w:t>
      </w:r>
      <w:bookmarkEnd w:id="851"/>
    </w:p>
    <w:p w14:paraId="29BD70E1">
      <w:pPr>
        <w:spacing w:line="360" w:lineRule="auto"/>
        <w:ind w:firstLine="420" w:firstLineChars="200"/>
        <w:rPr>
          <w:rFonts w:ascii="宋体" w:hAnsi="宋体"/>
          <w:color w:val="auto"/>
          <w:szCs w:val="21"/>
          <w:highlight w:val="none"/>
        </w:rPr>
      </w:pPr>
    </w:p>
    <w:p w14:paraId="3D1CEF98">
      <w:pPr>
        <w:spacing w:line="360" w:lineRule="auto"/>
        <w:ind w:firstLine="420" w:firstLineChars="200"/>
        <w:rPr>
          <w:rFonts w:ascii="宋体" w:hAnsi="宋体"/>
          <w:color w:val="auto"/>
          <w:szCs w:val="21"/>
          <w:highlight w:val="none"/>
        </w:rPr>
      </w:pPr>
    </w:p>
    <w:p w14:paraId="4326AC52">
      <w:pPr>
        <w:spacing w:line="360" w:lineRule="auto"/>
        <w:ind w:firstLine="420" w:firstLineChars="200"/>
        <w:rPr>
          <w:rFonts w:ascii="宋体" w:hAnsi="宋体"/>
          <w:color w:val="auto"/>
          <w:szCs w:val="21"/>
          <w:highlight w:val="none"/>
        </w:rPr>
      </w:pPr>
    </w:p>
    <w:p w14:paraId="5871D88D">
      <w:pPr>
        <w:spacing w:line="360" w:lineRule="auto"/>
        <w:ind w:firstLine="420" w:firstLineChars="200"/>
        <w:rPr>
          <w:rFonts w:ascii="宋体" w:hAnsi="宋体"/>
          <w:color w:val="auto"/>
          <w:szCs w:val="21"/>
          <w:highlight w:val="none"/>
        </w:rPr>
      </w:pPr>
    </w:p>
    <w:p w14:paraId="49009942">
      <w:pPr>
        <w:spacing w:line="360" w:lineRule="auto"/>
        <w:ind w:firstLine="420" w:firstLineChars="200"/>
        <w:rPr>
          <w:rFonts w:ascii="宋体" w:hAnsi="宋体"/>
          <w:color w:val="auto"/>
          <w:szCs w:val="21"/>
          <w:highlight w:val="none"/>
        </w:rPr>
      </w:pPr>
    </w:p>
    <w:p w14:paraId="1A5D70AF">
      <w:pPr>
        <w:spacing w:line="360" w:lineRule="auto"/>
        <w:ind w:firstLine="420" w:firstLineChars="200"/>
        <w:rPr>
          <w:rFonts w:ascii="宋体" w:hAnsi="宋体"/>
          <w:color w:val="auto"/>
          <w:szCs w:val="21"/>
          <w:highlight w:val="none"/>
        </w:rPr>
      </w:pPr>
    </w:p>
    <w:p w14:paraId="4D1B06EE">
      <w:pPr>
        <w:spacing w:line="360" w:lineRule="auto"/>
        <w:ind w:firstLine="420" w:firstLineChars="200"/>
        <w:rPr>
          <w:rFonts w:ascii="宋体" w:hAnsi="宋体"/>
          <w:color w:val="auto"/>
          <w:szCs w:val="21"/>
          <w:highlight w:val="none"/>
        </w:rPr>
      </w:pPr>
    </w:p>
    <w:p w14:paraId="7937EC99">
      <w:pPr>
        <w:spacing w:line="360" w:lineRule="auto"/>
        <w:ind w:firstLine="420" w:firstLineChars="200"/>
        <w:rPr>
          <w:rFonts w:ascii="宋体" w:hAnsi="宋体"/>
          <w:color w:val="auto"/>
          <w:szCs w:val="21"/>
          <w:highlight w:val="none"/>
        </w:rPr>
      </w:pPr>
    </w:p>
    <w:p w14:paraId="3FFEC127">
      <w:pPr>
        <w:spacing w:line="360" w:lineRule="auto"/>
        <w:ind w:firstLine="420" w:firstLineChars="200"/>
        <w:rPr>
          <w:rFonts w:ascii="宋体" w:hAnsi="宋体"/>
          <w:color w:val="auto"/>
          <w:szCs w:val="21"/>
          <w:highlight w:val="none"/>
        </w:rPr>
      </w:pPr>
    </w:p>
    <w:p w14:paraId="6BA171FB">
      <w:pPr>
        <w:spacing w:line="360" w:lineRule="auto"/>
        <w:ind w:firstLine="420" w:firstLineChars="200"/>
        <w:rPr>
          <w:rFonts w:ascii="宋体" w:hAnsi="宋体"/>
          <w:color w:val="auto"/>
          <w:szCs w:val="21"/>
          <w:highlight w:val="none"/>
        </w:rPr>
      </w:pPr>
    </w:p>
    <w:p w14:paraId="0D536375">
      <w:pPr>
        <w:spacing w:line="360" w:lineRule="auto"/>
        <w:ind w:firstLine="420" w:firstLineChars="200"/>
        <w:rPr>
          <w:rFonts w:ascii="宋体" w:hAnsi="宋体"/>
          <w:color w:val="auto"/>
          <w:szCs w:val="21"/>
          <w:highlight w:val="none"/>
        </w:rPr>
      </w:pPr>
    </w:p>
    <w:p w14:paraId="681427DF">
      <w:pPr>
        <w:spacing w:line="360" w:lineRule="auto"/>
        <w:ind w:firstLine="420" w:firstLineChars="200"/>
        <w:rPr>
          <w:rFonts w:ascii="宋体" w:hAnsi="宋体"/>
          <w:color w:val="auto"/>
          <w:szCs w:val="21"/>
          <w:highlight w:val="none"/>
        </w:rPr>
      </w:pPr>
    </w:p>
    <w:p w14:paraId="7BF9F850">
      <w:pPr>
        <w:spacing w:line="360" w:lineRule="auto"/>
        <w:ind w:firstLine="420" w:firstLineChars="200"/>
        <w:rPr>
          <w:rFonts w:ascii="宋体" w:hAnsi="宋体"/>
          <w:color w:val="auto"/>
          <w:szCs w:val="21"/>
          <w:highlight w:val="none"/>
        </w:rPr>
      </w:pPr>
      <w:bookmarkStart w:id="852" w:name="_GoBack"/>
      <w:bookmarkEnd w:id="852"/>
    </w:p>
    <w:bookmarkEnd w:id="622"/>
    <w:bookmarkEnd w:id="623"/>
    <w:bookmarkEnd w:id="624"/>
    <w:p w14:paraId="56209F45">
      <w:pPr>
        <w:spacing w:line="360" w:lineRule="auto"/>
        <w:ind w:firstLine="420" w:firstLineChars="200"/>
        <w:rPr>
          <w:rFonts w:ascii="宋体" w:hAnsi="宋体"/>
          <w:b/>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14:paraId="49109BC9">
                            <w:pPr>
                              <w:jc w:val="center"/>
                              <w:rPr>
                                <w:rFonts w:ascii="仿宋" w:hAnsi="仿宋" w:eastAsia="仿宋" w:cs="仿宋"/>
                                <w:sz w:val="84"/>
                                <w:szCs w:val="84"/>
                              </w:rPr>
                            </w:pP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59264;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fill on="f" focussize="0,0"/>
                <v:stroke on="f"/>
                <v:imagedata o:title=""/>
                <o:lock v:ext="edit" aspectratio="f"/>
                <v:textbox inset="0mm,0mm,0mm,0mm" style="mso-fit-shape-to-text:t;">
                  <w:txbxContent>
                    <w:p w14:paraId="49109BC9">
                      <w:pPr>
                        <w:jc w:val="center"/>
                        <w:rPr>
                          <w:rFonts w:ascii="仿宋" w:hAnsi="仿宋" w:eastAsia="仿宋" w:cs="仿宋"/>
                          <w:sz w:val="84"/>
                          <w:szCs w:val="84"/>
                        </w:rPr>
                      </w:pPr>
                    </w:p>
                  </w:txbxContent>
                </v:textbox>
              </v:rect>
            </w:pict>
          </mc:Fallback>
        </mc:AlternateContent>
      </w:r>
    </w:p>
    <w:sectPr>
      <w:footerReference r:id="rId7"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panose1 w:val="020B0504020202030204"/>
    <w:charset w:val="00"/>
    <w:family w:val="swiss"/>
    <w:pitch w:val="default"/>
    <w:sig w:usb0="00000007" w:usb1="00000000" w:usb2="00000000" w:usb3="00000000" w:csb0="00000093"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21FC7">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- 1 -</w:t>
    </w:r>
    <w:r>
      <w:fldChar w:fldCharType="end"/>
    </w:r>
  </w:p>
  <w:p w14:paraId="3A2568F8">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9D63C">
    <w:pPr>
      <w:pStyle w:val="30"/>
      <w:jc w:val="center"/>
    </w:pPr>
    <w:r>
      <w:t xml:space="preserve">- </w:t>
    </w:r>
    <w:r>
      <w:fldChar w:fldCharType="begin"/>
    </w:r>
    <w:r>
      <w:instrText xml:space="preserve"> PAGE </w:instrText>
    </w:r>
    <w:r>
      <w:fldChar w:fldCharType="separate"/>
    </w:r>
    <w:r>
      <w:t>27</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C17A3">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236EA42B">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6F13E">
    <w:pPr>
      <w:pStyle w:val="30"/>
      <w:jc w:val="center"/>
    </w:pPr>
    <w:r>
      <w:t xml:space="preserve">- </w:t>
    </w:r>
    <w:r>
      <w:fldChar w:fldCharType="begin"/>
    </w:r>
    <w:r>
      <w:instrText xml:space="preserve"> PAGE </w:instrText>
    </w:r>
    <w:r>
      <w:fldChar w:fldCharType="separate"/>
    </w:r>
    <w:r>
      <w:t>73</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75D5A">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EA195"/>
    <w:multiLevelType w:val="singleLevel"/>
    <w:tmpl w:val="675EA195"/>
    <w:lvl w:ilvl="0" w:tentative="0">
      <w:start w:val="2"/>
      <w:numFmt w:val="decimal"/>
      <w:suff w:val="nothing"/>
      <w:lvlText w:val="（%1）"/>
      <w:lvlJc w:val="left"/>
    </w:lvl>
  </w:abstractNum>
  <w:abstractNum w:abstractNumId="1">
    <w:nsid w:val="677E2226"/>
    <w:multiLevelType w:val="multilevel"/>
    <w:tmpl w:val="677E2226"/>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mirrorMargin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ZjRkODgyNTQwNGZmOWZlYzg5ODc4YmU2MzY4MTcifQ=="/>
  </w:docVars>
  <w:rsids>
    <w:rsidRoot w:val="00172A27"/>
    <w:rsid w:val="00001B1E"/>
    <w:rsid w:val="000027C8"/>
    <w:rsid w:val="00003A3F"/>
    <w:rsid w:val="00005E79"/>
    <w:rsid w:val="000067A3"/>
    <w:rsid w:val="000133A8"/>
    <w:rsid w:val="00014AC1"/>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211"/>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006"/>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49E8"/>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674"/>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565D"/>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4A4"/>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119"/>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5431"/>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156"/>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274"/>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3FE"/>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180"/>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1A6E"/>
    <w:rsid w:val="003030A6"/>
    <w:rsid w:val="003059F4"/>
    <w:rsid w:val="0030689E"/>
    <w:rsid w:val="003068D7"/>
    <w:rsid w:val="00306CC7"/>
    <w:rsid w:val="003071B2"/>
    <w:rsid w:val="00307599"/>
    <w:rsid w:val="00307AAC"/>
    <w:rsid w:val="00310399"/>
    <w:rsid w:val="00310D8D"/>
    <w:rsid w:val="00311A5F"/>
    <w:rsid w:val="00313909"/>
    <w:rsid w:val="0031445A"/>
    <w:rsid w:val="003149F6"/>
    <w:rsid w:val="00316368"/>
    <w:rsid w:val="00316AB8"/>
    <w:rsid w:val="00316FD7"/>
    <w:rsid w:val="003174B4"/>
    <w:rsid w:val="00317994"/>
    <w:rsid w:val="0032047A"/>
    <w:rsid w:val="00320939"/>
    <w:rsid w:val="00320F9D"/>
    <w:rsid w:val="00321B76"/>
    <w:rsid w:val="00321BBE"/>
    <w:rsid w:val="0032332D"/>
    <w:rsid w:val="00323813"/>
    <w:rsid w:val="00325077"/>
    <w:rsid w:val="0032515F"/>
    <w:rsid w:val="003253BE"/>
    <w:rsid w:val="0032679D"/>
    <w:rsid w:val="00327D78"/>
    <w:rsid w:val="00327E48"/>
    <w:rsid w:val="003302F7"/>
    <w:rsid w:val="00332379"/>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0EF"/>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690B"/>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1CB5"/>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29F"/>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5935"/>
    <w:rsid w:val="00436264"/>
    <w:rsid w:val="0043688D"/>
    <w:rsid w:val="00436F12"/>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9FB"/>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068"/>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3C42"/>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1FB0"/>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80"/>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0FD1"/>
    <w:rsid w:val="0055222E"/>
    <w:rsid w:val="00552364"/>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32CE"/>
    <w:rsid w:val="005A4A58"/>
    <w:rsid w:val="005A4C07"/>
    <w:rsid w:val="005A5F3A"/>
    <w:rsid w:val="005A7422"/>
    <w:rsid w:val="005A76AD"/>
    <w:rsid w:val="005A79D6"/>
    <w:rsid w:val="005B1372"/>
    <w:rsid w:val="005B1ECD"/>
    <w:rsid w:val="005B3807"/>
    <w:rsid w:val="005B43D5"/>
    <w:rsid w:val="005B4F87"/>
    <w:rsid w:val="005B542D"/>
    <w:rsid w:val="005B5D9A"/>
    <w:rsid w:val="005B60A3"/>
    <w:rsid w:val="005B677B"/>
    <w:rsid w:val="005B724F"/>
    <w:rsid w:val="005C2504"/>
    <w:rsid w:val="005C41C5"/>
    <w:rsid w:val="005C5B5C"/>
    <w:rsid w:val="005C7004"/>
    <w:rsid w:val="005D07CD"/>
    <w:rsid w:val="005D1A4D"/>
    <w:rsid w:val="005D213D"/>
    <w:rsid w:val="005D22BA"/>
    <w:rsid w:val="005D2E9B"/>
    <w:rsid w:val="005D35F9"/>
    <w:rsid w:val="005D46FC"/>
    <w:rsid w:val="005D4D8B"/>
    <w:rsid w:val="005D5BBA"/>
    <w:rsid w:val="005D629A"/>
    <w:rsid w:val="005D6E66"/>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07FB4"/>
    <w:rsid w:val="00610ED1"/>
    <w:rsid w:val="006132AB"/>
    <w:rsid w:val="00613EE3"/>
    <w:rsid w:val="00613FE1"/>
    <w:rsid w:val="006140DF"/>
    <w:rsid w:val="00614799"/>
    <w:rsid w:val="00615A2B"/>
    <w:rsid w:val="00615DDA"/>
    <w:rsid w:val="00616CC2"/>
    <w:rsid w:val="00616DC1"/>
    <w:rsid w:val="00617545"/>
    <w:rsid w:val="00621192"/>
    <w:rsid w:val="00621B25"/>
    <w:rsid w:val="00621F6E"/>
    <w:rsid w:val="0062287B"/>
    <w:rsid w:val="00623C2F"/>
    <w:rsid w:val="006242A7"/>
    <w:rsid w:val="0062464B"/>
    <w:rsid w:val="00624C04"/>
    <w:rsid w:val="00624DAE"/>
    <w:rsid w:val="00625243"/>
    <w:rsid w:val="00626A94"/>
    <w:rsid w:val="006276E7"/>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08AB"/>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3A86"/>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4F"/>
    <w:rsid w:val="00764085"/>
    <w:rsid w:val="0076426C"/>
    <w:rsid w:val="00767B35"/>
    <w:rsid w:val="007709C0"/>
    <w:rsid w:val="00770CBC"/>
    <w:rsid w:val="00770D17"/>
    <w:rsid w:val="00771A5F"/>
    <w:rsid w:val="00771BA2"/>
    <w:rsid w:val="00771EA2"/>
    <w:rsid w:val="00772D14"/>
    <w:rsid w:val="0077354E"/>
    <w:rsid w:val="00773BCE"/>
    <w:rsid w:val="00773CAD"/>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08EC"/>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1773"/>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6E69"/>
    <w:rsid w:val="008C741E"/>
    <w:rsid w:val="008C74AC"/>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0F1"/>
    <w:rsid w:val="008F156B"/>
    <w:rsid w:val="008F191F"/>
    <w:rsid w:val="008F2F0A"/>
    <w:rsid w:val="008F36AE"/>
    <w:rsid w:val="008F55C0"/>
    <w:rsid w:val="008F5751"/>
    <w:rsid w:val="008F594D"/>
    <w:rsid w:val="008F5EA9"/>
    <w:rsid w:val="008F7C2F"/>
    <w:rsid w:val="00900130"/>
    <w:rsid w:val="00901034"/>
    <w:rsid w:val="009024D7"/>
    <w:rsid w:val="0090253B"/>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5D92"/>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6D49"/>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E7BC5"/>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7B4"/>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2544"/>
    <w:rsid w:val="00B333E1"/>
    <w:rsid w:val="00B33DB2"/>
    <w:rsid w:val="00B33F8E"/>
    <w:rsid w:val="00B3407F"/>
    <w:rsid w:val="00B345D2"/>
    <w:rsid w:val="00B34F25"/>
    <w:rsid w:val="00B35148"/>
    <w:rsid w:val="00B35EAB"/>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3DB6"/>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5ED7"/>
    <w:rsid w:val="00B8726C"/>
    <w:rsid w:val="00B87793"/>
    <w:rsid w:val="00B87875"/>
    <w:rsid w:val="00B879AD"/>
    <w:rsid w:val="00B915B7"/>
    <w:rsid w:val="00B91C34"/>
    <w:rsid w:val="00B9224A"/>
    <w:rsid w:val="00B9228D"/>
    <w:rsid w:val="00B9249D"/>
    <w:rsid w:val="00B928A6"/>
    <w:rsid w:val="00B92B28"/>
    <w:rsid w:val="00B941DA"/>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773"/>
    <w:rsid w:val="00BA789B"/>
    <w:rsid w:val="00BA7CA7"/>
    <w:rsid w:val="00BA7F0D"/>
    <w:rsid w:val="00BB0786"/>
    <w:rsid w:val="00BB1C58"/>
    <w:rsid w:val="00BB2296"/>
    <w:rsid w:val="00BB43C3"/>
    <w:rsid w:val="00BB639A"/>
    <w:rsid w:val="00BB65C9"/>
    <w:rsid w:val="00BB6CDC"/>
    <w:rsid w:val="00BB6F16"/>
    <w:rsid w:val="00BC0025"/>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17D56"/>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97A"/>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87DBC"/>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2D09"/>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0EDF"/>
    <w:rsid w:val="00DE1CDF"/>
    <w:rsid w:val="00DE2F78"/>
    <w:rsid w:val="00DE2FA9"/>
    <w:rsid w:val="00DE35EE"/>
    <w:rsid w:val="00DE3C25"/>
    <w:rsid w:val="00DE3CF2"/>
    <w:rsid w:val="00DE44F7"/>
    <w:rsid w:val="00DE462E"/>
    <w:rsid w:val="00DE4FF7"/>
    <w:rsid w:val="00DE5652"/>
    <w:rsid w:val="00DE66F2"/>
    <w:rsid w:val="00DF0D48"/>
    <w:rsid w:val="00DF188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0C4E"/>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3C4B"/>
    <w:rsid w:val="00E94F81"/>
    <w:rsid w:val="00E952F3"/>
    <w:rsid w:val="00E95876"/>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5179"/>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3BD8"/>
    <w:rsid w:val="00ED438A"/>
    <w:rsid w:val="00ED43AC"/>
    <w:rsid w:val="00ED4A2E"/>
    <w:rsid w:val="00ED68E8"/>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15FA1"/>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5C62"/>
    <w:rsid w:val="00F460E0"/>
    <w:rsid w:val="00F47378"/>
    <w:rsid w:val="00F50CDA"/>
    <w:rsid w:val="00F50D4E"/>
    <w:rsid w:val="00F50E87"/>
    <w:rsid w:val="00F51638"/>
    <w:rsid w:val="00F51D1E"/>
    <w:rsid w:val="00F52610"/>
    <w:rsid w:val="00F528BE"/>
    <w:rsid w:val="00F52B6A"/>
    <w:rsid w:val="00F52FA7"/>
    <w:rsid w:val="00F5316C"/>
    <w:rsid w:val="00F53389"/>
    <w:rsid w:val="00F542AD"/>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16A3"/>
    <w:rsid w:val="00F92653"/>
    <w:rsid w:val="00F92C69"/>
    <w:rsid w:val="00F92CC0"/>
    <w:rsid w:val="00F92ECA"/>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283"/>
    <w:rsid w:val="00FE65F9"/>
    <w:rsid w:val="00FE7764"/>
    <w:rsid w:val="00FE7F8D"/>
    <w:rsid w:val="00FF249C"/>
    <w:rsid w:val="00FF2EA1"/>
    <w:rsid w:val="00FF35F6"/>
    <w:rsid w:val="00FF5C39"/>
    <w:rsid w:val="00FF6321"/>
    <w:rsid w:val="00FF67D2"/>
    <w:rsid w:val="00FF7622"/>
    <w:rsid w:val="013F4369"/>
    <w:rsid w:val="01541EA9"/>
    <w:rsid w:val="0166040E"/>
    <w:rsid w:val="01AC5842"/>
    <w:rsid w:val="01B01DDA"/>
    <w:rsid w:val="01C060FF"/>
    <w:rsid w:val="01D63112"/>
    <w:rsid w:val="01D84888"/>
    <w:rsid w:val="020E3E06"/>
    <w:rsid w:val="02197498"/>
    <w:rsid w:val="021E7C7C"/>
    <w:rsid w:val="023B364D"/>
    <w:rsid w:val="02895B83"/>
    <w:rsid w:val="029B4824"/>
    <w:rsid w:val="029B6737"/>
    <w:rsid w:val="029E16D8"/>
    <w:rsid w:val="02B27165"/>
    <w:rsid w:val="02BE4B54"/>
    <w:rsid w:val="02D3433D"/>
    <w:rsid w:val="02D445C7"/>
    <w:rsid w:val="02D9654A"/>
    <w:rsid w:val="02E1776D"/>
    <w:rsid w:val="02E7478A"/>
    <w:rsid w:val="02EA6802"/>
    <w:rsid w:val="02F82E8B"/>
    <w:rsid w:val="03000A08"/>
    <w:rsid w:val="032633D2"/>
    <w:rsid w:val="03454DED"/>
    <w:rsid w:val="03525F75"/>
    <w:rsid w:val="03800395"/>
    <w:rsid w:val="03C545D6"/>
    <w:rsid w:val="03D0225E"/>
    <w:rsid w:val="03E20752"/>
    <w:rsid w:val="03F84E1E"/>
    <w:rsid w:val="04117BDE"/>
    <w:rsid w:val="04335709"/>
    <w:rsid w:val="044E0E32"/>
    <w:rsid w:val="046D5737"/>
    <w:rsid w:val="047455B3"/>
    <w:rsid w:val="04CD1034"/>
    <w:rsid w:val="04D56E5D"/>
    <w:rsid w:val="04D60BAA"/>
    <w:rsid w:val="04F33554"/>
    <w:rsid w:val="050353E6"/>
    <w:rsid w:val="05393890"/>
    <w:rsid w:val="054A784B"/>
    <w:rsid w:val="054E0D55"/>
    <w:rsid w:val="0553526D"/>
    <w:rsid w:val="05992CCB"/>
    <w:rsid w:val="059B00A7"/>
    <w:rsid w:val="05AB059E"/>
    <w:rsid w:val="05B11678"/>
    <w:rsid w:val="05C74A0B"/>
    <w:rsid w:val="05DC71B6"/>
    <w:rsid w:val="062F0019"/>
    <w:rsid w:val="06665122"/>
    <w:rsid w:val="06744DA3"/>
    <w:rsid w:val="069F7723"/>
    <w:rsid w:val="06C43DE0"/>
    <w:rsid w:val="06C64491"/>
    <w:rsid w:val="06EB0BBA"/>
    <w:rsid w:val="06F85085"/>
    <w:rsid w:val="07284FD1"/>
    <w:rsid w:val="074A1FE5"/>
    <w:rsid w:val="07594C1D"/>
    <w:rsid w:val="077305E3"/>
    <w:rsid w:val="078D1C71"/>
    <w:rsid w:val="079B5995"/>
    <w:rsid w:val="07AD022C"/>
    <w:rsid w:val="07B67425"/>
    <w:rsid w:val="0803445D"/>
    <w:rsid w:val="080A078A"/>
    <w:rsid w:val="080A52B6"/>
    <w:rsid w:val="081B70BB"/>
    <w:rsid w:val="08227656"/>
    <w:rsid w:val="083128FA"/>
    <w:rsid w:val="08331B4D"/>
    <w:rsid w:val="087871D0"/>
    <w:rsid w:val="08932320"/>
    <w:rsid w:val="08974ADA"/>
    <w:rsid w:val="08B82D1E"/>
    <w:rsid w:val="08BB7EF0"/>
    <w:rsid w:val="08BF2B0B"/>
    <w:rsid w:val="08C178DA"/>
    <w:rsid w:val="08C6368D"/>
    <w:rsid w:val="09276A74"/>
    <w:rsid w:val="09546BD6"/>
    <w:rsid w:val="0A092310"/>
    <w:rsid w:val="0A5C2EEF"/>
    <w:rsid w:val="0A682522"/>
    <w:rsid w:val="0A93506B"/>
    <w:rsid w:val="0ACB4F8A"/>
    <w:rsid w:val="0B0E131B"/>
    <w:rsid w:val="0B6723DD"/>
    <w:rsid w:val="0B6902FF"/>
    <w:rsid w:val="0B754EF6"/>
    <w:rsid w:val="0B9D61FB"/>
    <w:rsid w:val="0B9E48FD"/>
    <w:rsid w:val="0BAB4DBC"/>
    <w:rsid w:val="0BB622A7"/>
    <w:rsid w:val="0BCA58DD"/>
    <w:rsid w:val="0C255E4C"/>
    <w:rsid w:val="0C3C77C2"/>
    <w:rsid w:val="0C3E353A"/>
    <w:rsid w:val="0C3E42BE"/>
    <w:rsid w:val="0C4565F8"/>
    <w:rsid w:val="0C7C2962"/>
    <w:rsid w:val="0C8C699B"/>
    <w:rsid w:val="0CF559D4"/>
    <w:rsid w:val="0D116EA1"/>
    <w:rsid w:val="0D27488F"/>
    <w:rsid w:val="0D3F1874"/>
    <w:rsid w:val="0D4806BF"/>
    <w:rsid w:val="0D683DAC"/>
    <w:rsid w:val="0DEF6094"/>
    <w:rsid w:val="0E024D74"/>
    <w:rsid w:val="0E0B0A7A"/>
    <w:rsid w:val="0E484301"/>
    <w:rsid w:val="0E5F1249"/>
    <w:rsid w:val="0E721BC1"/>
    <w:rsid w:val="0EA0228A"/>
    <w:rsid w:val="0EC304F3"/>
    <w:rsid w:val="0EDB7DAA"/>
    <w:rsid w:val="0EFF9F09"/>
    <w:rsid w:val="0F364EA2"/>
    <w:rsid w:val="0F442F95"/>
    <w:rsid w:val="0F4C41C0"/>
    <w:rsid w:val="0F517A28"/>
    <w:rsid w:val="0F5C0078"/>
    <w:rsid w:val="0F6A32B4"/>
    <w:rsid w:val="0F8F00B0"/>
    <w:rsid w:val="0FC83EDC"/>
    <w:rsid w:val="102B5AE8"/>
    <w:rsid w:val="10396936"/>
    <w:rsid w:val="10611A0A"/>
    <w:rsid w:val="106410E6"/>
    <w:rsid w:val="10794E66"/>
    <w:rsid w:val="10AC5059"/>
    <w:rsid w:val="1110155A"/>
    <w:rsid w:val="11252F1A"/>
    <w:rsid w:val="115D26B4"/>
    <w:rsid w:val="11673533"/>
    <w:rsid w:val="11A958FA"/>
    <w:rsid w:val="11C30232"/>
    <w:rsid w:val="11E15093"/>
    <w:rsid w:val="120B0362"/>
    <w:rsid w:val="125F0A18"/>
    <w:rsid w:val="127A292F"/>
    <w:rsid w:val="12817388"/>
    <w:rsid w:val="1282121E"/>
    <w:rsid w:val="128C4DB6"/>
    <w:rsid w:val="12985543"/>
    <w:rsid w:val="129F0AAB"/>
    <w:rsid w:val="12DF0227"/>
    <w:rsid w:val="12EF0C7D"/>
    <w:rsid w:val="13012641"/>
    <w:rsid w:val="132D4308"/>
    <w:rsid w:val="13405DEA"/>
    <w:rsid w:val="13533D6F"/>
    <w:rsid w:val="13620456"/>
    <w:rsid w:val="13D03611"/>
    <w:rsid w:val="13E23345"/>
    <w:rsid w:val="13FD7A4B"/>
    <w:rsid w:val="14326BF7"/>
    <w:rsid w:val="14741FA9"/>
    <w:rsid w:val="14787805"/>
    <w:rsid w:val="149A304D"/>
    <w:rsid w:val="14AB7BDB"/>
    <w:rsid w:val="14CA62B3"/>
    <w:rsid w:val="14DC6FEA"/>
    <w:rsid w:val="15201D1B"/>
    <w:rsid w:val="15273705"/>
    <w:rsid w:val="152F2422"/>
    <w:rsid w:val="15400323"/>
    <w:rsid w:val="1561362C"/>
    <w:rsid w:val="158A5A42"/>
    <w:rsid w:val="158A77F0"/>
    <w:rsid w:val="159D39C7"/>
    <w:rsid w:val="159D6495"/>
    <w:rsid w:val="15F30CAA"/>
    <w:rsid w:val="15F36B10"/>
    <w:rsid w:val="15F67B8F"/>
    <w:rsid w:val="15F873A5"/>
    <w:rsid w:val="163611FB"/>
    <w:rsid w:val="163A6417"/>
    <w:rsid w:val="16473933"/>
    <w:rsid w:val="168E5B5C"/>
    <w:rsid w:val="16CD33F4"/>
    <w:rsid w:val="16E1457B"/>
    <w:rsid w:val="16F26FDC"/>
    <w:rsid w:val="17063ECA"/>
    <w:rsid w:val="173B6587"/>
    <w:rsid w:val="174F0CF1"/>
    <w:rsid w:val="175B4245"/>
    <w:rsid w:val="17721137"/>
    <w:rsid w:val="178A237C"/>
    <w:rsid w:val="17967DB8"/>
    <w:rsid w:val="17A252C5"/>
    <w:rsid w:val="17A6096F"/>
    <w:rsid w:val="17C46C36"/>
    <w:rsid w:val="17DD45CE"/>
    <w:rsid w:val="17E75995"/>
    <w:rsid w:val="17EF6030"/>
    <w:rsid w:val="1811715F"/>
    <w:rsid w:val="1816035C"/>
    <w:rsid w:val="182061EA"/>
    <w:rsid w:val="183A68C5"/>
    <w:rsid w:val="183D4FEE"/>
    <w:rsid w:val="18624D77"/>
    <w:rsid w:val="188806C2"/>
    <w:rsid w:val="18AD6BE6"/>
    <w:rsid w:val="18BB6798"/>
    <w:rsid w:val="190470B1"/>
    <w:rsid w:val="19355CC5"/>
    <w:rsid w:val="193F02ED"/>
    <w:rsid w:val="19450E59"/>
    <w:rsid w:val="19801636"/>
    <w:rsid w:val="19813FB0"/>
    <w:rsid w:val="19AF3BD0"/>
    <w:rsid w:val="19C86B39"/>
    <w:rsid w:val="19E129B3"/>
    <w:rsid w:val="1A02029D"/>
    <w:rsid w:val="1A3D4C07"/>
    <w:rsid w:val="1A442393"/>
    <w:rsid w:val="1A654388"/>
    <w:rsid w:val="1A870CEE"/>
    <w:rsid w:val="1AAE3F81"/>
    <w:rsid w:val="1ACE63D1"/>
    <w:rsid w:val="1AFD1164"/>
    <w:rsid w:val="1B0F5899"/>
    <w:rsid w:val="1B2554B9"/>
    <w:rsid w:val="1B5A4D98"/>
    <w:rsid w:val="1B610368"/>
    <w:rsid w:val="1B610FF3"/>
    <w:rsid w:val="1B71201D"/>
    <w:rsid w:val="1B7B0307"/>
    <w:rsid w:val="1B866CAC"/>
    <w:rsid w:val="1B8847D2"/>
    <w:rsid w:val="1B950C9D"/>
    <w:rsid w:val="1B9B5921"/>
    <w:rsid w:val="1BA96B88"/>
    <w:rsid w:val="1BAB7FCF"/>
    <w:rsid w:val="1BE136FF"/>
    <w:rsid w:val="1C082585"/>
    <w:rsid w:val="1C0D4CD7"/>
    <w:rsid w:val="1C355D33"/>
    <w:rsid w:val="1C640D9B"/>
    <w:rsid w:val="1C6A496F"/>
    <w:rsid w:val="1C9130CA"/>
    <w:rsid w:val="1C93342E"/>
    <w:rsid w:val="1CCD1549"/>
    <w:rsid w:val="1CEC0D90"/>
    <w:rsid w:val="1D097B94"/>
    <w:rsid w:val="1D484219"/>
    <w:rsid w:val="1D596426"/>
    <w:rsid w:val="1D7768AC"/>
    <w:rsid w:val="1D856E95"/>
    <w:rsid w:val="1D911EEE"/>
    <w:rsid w:val="1D9F41BB"/>
    <w:rsid w:val="1DA1128F"/>
    <w:rsid w:val="1DA43487"/>
    <w:rsid w:val="1DD063A3"/>
    <w:rsid w:val="1DF060B4"/>
    <w:rsid w:val="1E1054AB"/>
    <w:rsid w:val="1E1B4EB4"/>
    <w:rsid w:val="1E546BED"/>
    <w:rsid w:val="1EAE09F3"/>
    <w:rsid w:val="1EB4768C"/>
    <w:rsid w:val="1EC376B6"/>
    <w:rsid w:val="1F125176"/>
    <w:rsid w:val="1F2C0DB3"/>
    <w:rsid w:val="1F374DC3"/>
    <w:rsid w:val="1F3F712C"/>
    <w:rsid w:val="1F663BBC"/>
    <w:rsid w:val="1F885A3E"/>
    <w:rsid w:val="1F8B663F"/>
    <w:rsid w:val="1F901EA7"/>
    <w:rsid w:val="1F9A3494"/>
    <w:rsid w:val="1FA0658E"/>
    <w:rsid w:val="1FA53BA4"/>
    <w:rsid w:val="1FCB7383"/>
    <w:rsid w:val="1FEF7406"/>
    <w:rsid w:val="1FFE6BEE"/>
    <w:rsid w:val="200C59D1"/>
    <w:rsid w:val="201814EC"/>
    <w:rsid w:val="201E74B3"/>
    <w:rsid w:val="201F2707"/>
    <w:rsid w:val="209239FD"/>
    <w:rsid w:val="20A6668D"/>
    <w:rsid w:val="20BA340F"/>
    <w:rsid w:val="20C237BE"/>
    <w:rsid w:val="20E029BA"/>
    <w:rsid w:val="20E57FD0"/>
    <w:rsid w:val="21402E17"/>
    <w:rsid w:val="216F7993"/>
    <w:rsid w:val="21825E03"/>
    <w:rsid w:val="21926351"/>
    <w:rsid w:val="21A068A5"/>
    <w:rsid w:val="21BB220E"/>
    <w:rsid w:val="21FC3824"/>
    <w:rsid w:val="220B1CB9"/>
    <w:rsid w:val="221D5633"/>
    <w:rsid w:val="223C6316"/>
    <w:rsid w:val="22596952"/>
    <w:rsid w:val="228D59D1"/>
    <w:rsid w:val="228F4698"/>
    <w:rsid w:val="22CD65DD"/>
    <w:rsid w:val="23201794"/>
    <w:rsid w:val="2334252E"/>
    <w:rsid w:val="238A6812"/>
    <w:rsid w:val="23A26A2A"/>
    <w:rsid w:val="23B5012E"/>
    <w:rsid w:val="23D07150"/>
    <w:rsid w:val="23DD3661"/>
    <w:rsid w:val="23EC55B2"/>
    <w:rsid w:val="241235EB"/>
    <w:rsid w:val="24233A89"/>
    <w:rsid w:val="244D480A"/>
    <w:rsid w:val="244F44E0"/>
    <w:rsid w:val="248C4339"/>
    <w:rsid w:val="24AA2893"/>
    <w:rsid w:val="24B44889"/>
    <w:rsid w:val="250411D2"/>
    <w:rsid w:val="254730BF"/>
    <w:rsid w:val="254A0D4A"/>
    <w:rsid w:val="25CF61E0"/>
    <w:rsid w:val="25D33B58"/>
    <w:rsid w:val="25FF7094"/>
    <w:rsid w:val="261467A0"/>
    <w:rsid w:val="261F5D33"/>
    <w:rsid w:val="262E6D99"/>
    <w:rsid w:val="266F2816"/>
    <w:rsid w:val="26974590"/>
    <w:rsid w:val="26B24123"/>
    <w:rsid w:val="26B648E9"/>
    <w:rsid w:val="26C0090A"/>
    <w:rsid w:val="26C171CB"/>
    <w:rsid w:val="26C3198C"/>
    <w:rsid w:val="26EB042A"/>
    <w:rsid w:val="26F853F3"/>
    <w:rsid w:val="2744185D"/>
    <w:rsid w:val="27466615"/>
    <w:rsid w:val="278F3E9A"/>
    <w:rsid w:val="27A6495D"/>
    <w:rsid w:val="27BB0DA8"/>
    <w:rsid w:val="27FE316E"/>
    <w:rsid w:val="28025A1A"/>
    <w:rsid w:val="2805374C"/>
    <w:rsid w:val="28054429"/>
    <w:rsid w:val="285A1251"/>
    <w:rsid w:val="286E52FC"/>
    <w:rsid w:val="28842EFE"/>
    <w:rsid w:val="289C7B0E"/>
    <w:rsid w:val="28CC7EB7"/>
    <w:rsid w:val="28D9041B"/>
    <w:rsid w:val="28E13773"/>
    <w:rsid w:val="29192F0D"/>
    <w:rsid w:val="29561D08"/>
    <w:rsid w:val="2A0E67EA"/>
    <w:rsid w:val="2A613A5E"/>
    <w:rsid w:val="2A657012"/>
    <w:rsid w:val="2A6B49DD"/>
    <w:rsid w:val="2A720B27"/>
    <w:rsid w:val="2ABB7DF2"/>
    <w:rsid w:val="2ADE448E"/>
    <w:rsid w:val="2B361B54"/>
    <w:rsid w:val="2B3C1135"/>
    <w:rsid w:val="2B8723B0"/>
    <w:rsid w:val="2B9C5F09"/>
    <w:rsid w:val="2BAD0C2F"/>
    <w:rsid w:val="2BD44E15"/>
    <w:rsid w:val="2BD902EC"/>
    <w:rsid w:val="2C3B021E"/>
    <w:rsid w:val="2C4A2F8C"/>
    <w:rsid w:val="2C534988"/>
    <w:rsid w:val="2C6F6E59"/>
    <w:rsid w:val="2CBD0053"/>
    <w:rsid w:val="2CEF46B1"/>
    <w:rsid w:val="2CF3116E"/>
    <w:rsid w:val="2CF55A3F"/>
    <w:rsid w:val="2D1265F1"/>
    <w:rsid w:val="2D80355B"/>
    <w:rsid w:val="2D9214E0"/>
    <w:rsid w:val="2DFB1A7F"/>
    <w:rsid w:val="2E004E92"/>
    <w:rsid w:val="2E135BB8"/>
    <w:rsid w:val="2E386092"/>
    <w:rsid w:val="2E402CEA"/>
    <w:rsid w:val="2ED31DB0"/>
    <w:rsid w:val="2EE737A0"/>
    <w:rsid w:val="2EF21CAB"/>
    <w:rsid w:val="2EFD3928"/>
    <w:rsid w:val="2F1F5FD6"/>
    <w:rsid w:val="2F2A5E74"/>
    <w:rsid w:val="2F324D29"/>
    <w:rsid w:val="2F3841ED"/>
    <w:rsid w:val="2F394D63"/>
    <w:rsid w:val="2F3C6F86"/>
    <w:rsid w:val="2F6202E1"/>
    <w:rsid w:val="2FB91C21"/>
    <w:rsid w:val="30067807"/>
    <w:rsid w:val="30106A56"/>
    <w:rsid w:val="301C2C39"/>
    <w:rsid w:val="301F52AD"/>
    <w:rsid w:val="302E3742"/>
    <w:rsid w:val="304A7AF5"/>
    <w:rsid w:val="308E6EED"/>
    <w:rsid w:val="308F74C4"/>
    <w:rsid w:val="309D4C1F"/>
    <w:rsid w:val="30B1408E"/>
    <w:rsid w:val="30B874AF"/>
    <w:rsid w:val="30C3032E"/>
    <w:rsid w:val="30CE71F9"/>
    <w:rsid w:val="30EF67E5"/>
    <w:rsid w:val="30FF2925"/>
    <w:rsid w:val="310311E3"/>
    <w:rsid w:val="310F22F6"/>
    <w:rsid w:val="3166421D"/>
    <w:rsid w:val="318A0E4C"/>
    <w:rsid w:val="31AD044B"/>
    <w:rsid w:val="31B21DED"/>
    <w:rsid w:val="31E910AF"/>
    <w:rsid w:val="31F2259F"/>
    <w:rsid w:val="31F42769"/>
    <w:rsid w:val="31F4722E"/>
    <w:rsid w:val="320E382B"/>
    <w:rsid w:val="322C5A5F"/>
    <w:rsid w:val="323207A8"/>
    <w:rsid w:val="3240775C"/>
    <w:rsid w:val="324F79A0"/>
    <w:rsid w:val="32535008"/>
    <w:rsid w:val="32825CC9"/>
    <w:rsid w:val="328D7DE2"/>
    <w:rsid w:val="32BA571C"/>
    <w:rsid w:val="32BD2B5B"/>
    <w:rsid w:val="32DA4C6B"/>
    <w:rsid w:val="32EE6C13"/>
    <w:rsid w:val="332B1863"/>
    <w:rsid w:val="33705E1F"/>
    <w:rsid w:val="33821944"/>
    <w:rsid w:val="33F34DFC"/>
    <w:rsid w:val="33FD3B57"/>
    <w:rsid w:val="340A0022"/>
    <w:rsid w:val="340F73E6"/>
    <w:rsid w:val="341474A9"/>
    <w:rsid w:val="34190265"/>
    <w:rsid w:val="341C5AEC"/>
    <w:rsid w:val="342866FA"/>
    <w:rsid w:val="344D3544"/>
    <w:rsid w:val="3476188B"/>
    <w:rsid w:val="350D3DD6"/>
    <w:rsid w:val="35226149"/>
    <w:rsid w:val="35401F9A"/>
    <w:rsid w:val="354D466A"/>
    <w:rsid w:val="35576893"/>
    <w:rsid w:val="35585D13"/>
    <w:rsid w:val="355F0FF2"/>
    <w:rsid w:val="35660174"/>
    <w:rsid w:val="3578720D"/>
    <w:rsid w:val="35BA127A"/>
    <w:rsid w:val="35BA15D4"/>
    <w:rsid w:val="35CA5DCC"/>
    <w:rsid w:val="35DB1C68"/>
    <w:rsid w:val="35E01A7F"/>
    <w:rsid w:val="35F40F8A"/>
    <w:rsid w:val="360B0814"/>
    <w:rsid w:val="36195514"/>
    <w:rsid w:val="36251143"/>
    <w:rsid w:val="363E3FB3"/>
    <w:rsid w:val="36992FA1"/>
    <w:rsid w:val="369B41E7"/>
    <w:rsid w:val="369D3BA6"/>
    <w:rsid w:val="36BA5F23"/>
    <w:rsid w:val="36F136C6"/>
    <w:rsid w:val="36F4767F"/>
    <w:rsid w:val="36F7741C"/>
    <w:rsid w:val="37113475"/>
    <w:rsid w:val="37152F66"/>
    <w:rsid w:val="371849E9"/>
    <w:rsid w:val="374075D4"/>
    <w:rsid w:val="375D069B"/>
    <w:rsid w:val="378418A7"/>
    <w:rsid w:val="37BD6E10"/>
    <w:rsid w:val="37CB4218"/>
    <w:rsid w:val="37D3697D"/>
    <w:rsid w:val="381470E3"/>
    <w:rsid w:val="383C09C6"/>
    <w:rsid w:val="383C102E"/>
    <w:rsid w:val="386709AA"/>
    <w:rsid w:val="38756DE3"/>
    <w:rsid w:val="387D642F"/>
    <w:rsid w:val="38B92CAA"/>
    <w:rsid w:val="38C5276A"/>
    <w:rsid w:val="38F201D7"/>
    <w:rsid w:val="3919772A"/>
    <w:rsid w:val="39226DDC"/>
    <w:rsid w:val="392C1EBE"/>
    <w:rsid w:val="39557F91"/>
    <w:rsid w:val="398E5251"/>
    <w:rsid w:val="39C46EC5"/>
    <w:rsid w:val="39FD355A"/>
    <w:rsid w:val="3A0333D1"/>
    <w:rsid w:val="3A310809"/>
    <w:rsid w:val="3A63048C"/>
    <w:rsid w:val="3A7645E5"/>
    <w:rsid w:val="3AA60379"/>
    <w:rsid w:val="3AB363E3"/>
    <w:rsid w:val="3AC705C2"/>
    <w:rsid w:val="3AD9074E"/>
    <w:rsid w:val="3B3339E2"/>
    <w:rsid w:val="3B4130B9"/>
    <w:rsid w:val="3B56644C"/>
    <w:rsid w:val="3B7641EF"/>
    <w:rsid w:val="3B804990"/>
    <w:rsid w:val="3B9E1D10"/>
    <w:rsid w:val="3BA5185A"/>
    <w:rsid w:val="3BAC7A40"/>
    <w:rsid w:val="3BBF0327"/>
    <w:rsid w:val="3BD01B51"/>
    <w:rsid w:val="3C2A7205"/>
    <w:rsid w:val="3C666012"/>
    <w:rsid w:val="3C6E4EC6"/>
    <w:rsid w:val="3C7B5B5E"/>
    <w:rsid w:val="3C936C1A"/>
    <w:rsid w:val="3C9B0B8C"/>
    <w:rsid w:val="3CE84C78"/>
    <w:rsid w:val="3CEE591F"/>
    <w:rsid w:val="3CF254D7"/>
    <w:rsid w:val="3CFE624A"/>
    <w:rsid w:val="3D1117D8"/>
    <w:rsid w:val="3D324D36"/>
    <w:rsid w:val="3D3954D4"/>
    <w:rsid w:val="3D4027C3"/>
    <w:rsid w:val="3D4A76E1"/>
    <w:rsid w:val="3D5B544A"/>
    <w:rsid w:val="3DA70690"/>
    <w:rsid w:val="3DB46376"/>
    <w:rsid w:val="3DC7526A"/>
    <w:rsid w:val="3DEB4A20"/>
    <w:rsid w:val="3E0F671B"/>
    <w:rsid w:val="3E287CA5"/>
    <w:rsid w:val="3E4D417B"/>
    <w:rsid w:val="3E715C42"/>
    <w:rsid w:val="3E9055C8"/>
    <w:rsid w:val="3E952BDE"/>
    <w:rsid w:val="3E971150"/>
    <w:rsid w:val="3EB56C9C"/>
    <w:rsid w:val="3ECC729E"/>
    <w:rsid w:val="3ECF7E9E"/>
    <w:rsid w:val="3ED16F9F"/>
    <w:rsid w:val="3ED95EA9"/>
    <w:rsid w:val="3EDE6333"/>
    <w:rsid w:val="3EEA07FE"/>
    <w:rsid w:val="3EEA2F2A"/>
    <w:rsid w:val="3EFE309E"/>
    <w:rsid w:val="3EFF3505"/>
    <w:rsid w:val="3F0165C0"/>
    <w:rsid w:val="3F512870"/>
    <w:rsid w:val="3F5605BF"/>
    <w:rsid w:val="3F6236D0"/>
    <w:rsid w:val="3F7E3672"/>
    <w:rsid w:val="3F94702A"/>
    <w:rsid w:val="3F99207A"/>
    <w:rsid w:val="3FB70C8B"/>
    <w:rsid w:val="3FC574F3"/>
    <w:rsid w:val="3FE06D3B"/>
    <w:rsid w:val="3FE2521F"/>
    <w:rsid w:val="3FFC1590"/>
    <w:rsid w:val="400065AB"/>
    <w:rsid w:val="402E5098"/>
    <w:rsid w:val="40332B8E"/>
    <w:rsid w:val="40493C80"/>
    <w:rsid w:val="404F3FFC"/>
    <w:rsid w:val="4061277B"/>
    <w:rsid w:val="408F2D31"/>
    <w:rsid w:val="40A31C65"/>
    <w:rsid w:val="40A92971"/>
    <w:rsid w:val="40D309FB"/>
    <w:rsid w:val="40E56603"/>
    <w:rsid w:val="41326E0A"/>
    <w:rsid w:val="413E130B"/>
    <w:rsid w:val="41436921"/>
    <w:rsid w:val="415B75FC"/>
    <w:rsid w:val="415C4DA1"/>
    <w:rsid w:val="419161BF"/>
    <w:rsid w:val="41D1217F"/>
    <w:rsid w:val="41D71CA1"/>
    <w:rsid w:val="41EF2605"/>
    <w:rsid w:val="420935C8"/>
    <w:rsid w:val="42114C71"/>
    <w:rsid w:val="422E70E8"/>
    <w:rsid w:val="4233454F"/>
    <w:rsid w:val="42397786"/>
    <w:rsid w:val="426254CD"/>
    <w:rsid w:val="42925DB2"/>
    <w:rsid w:val="42957651"/>
    <w:rsid w:val="42A53DAE"/>
    <w:rsid w:val="42A77BCB"/>
    <w:rsid w:val="42B850ED"/>
    <w:rsid w:val="42D552D2"/>
    <w:rsid w:val="432149A7"/>
    <w:rsid w:val="432873DF"/>
    <w:rsid w:val="434150E2"/>
    <w:rsid w:val="43527DA5"/>
    <w:rsid w:val="438F47B6"/>
    <w:rsid w:val="43913C42"/>
    <w:rsid w:val="43A538C3"/>
    <w:rsid w:val="43B9111D"/>
    <w:rsid w:val="442B71EE"/>
    <w:rsid w:val="445D7CFA"/>
    <w:rsid w:val="44623562"/>
    <w:rsid w:val="446B0669"/>
    <w:rsid w:val="44760195"/>
    <w:rsid w:val="44A32723"/>
    <w:rsid w:val="44AB6087"/>
    <w:rsid w:val="44B3529E"/>
    <w:rsid w:val="44BC1922"/>
    <w:rsid w:val="44DF0DD1"/>
    <w:rsid w:val="45093CD4"/>
    <w:rsid w:val="450D7972"/>
    <w:rsid w:val="4517259F"/>
    <w:rsid w:val="45363217"/>
    <w:rsid w:val="454D7023"/>
    <w:rsid w:val="4567117E"/>
    <w:rsid w:val="45725A27"/>
    <w:rsid w:val="457B2B2E"/>
    <w:rsid w:val="4581318A"/>
    <w:rsid w:val="459B517B"/>
    <w:rsid w:val="45FA1E8C"/>
    <w:rsid w:val="45FB2527"/>
    <w:rsid w:val="46244F73"/>
    <w:rsid w:val="46280613"/>
    <w:rsid w:val="466C06C8"/>
    <w:rsid w:val="46767799"/>
    <w:rsid w:val="46EF7A87"/>
    <w:rsid w:val="46F07AD6"/>
    <w:rsid w:val="47075FD3"/>
    <w:rsid w:val="478B1F55"/>
    <w:rsid w:val="47953C4F"/>
    <w:rsid w:val="47A3636C"/>
    <w:rsid w:val="47AF4D11"/>
    <w:rsid w:val="47C01D0E"/>
    <w:rsid w:val="47C367C3"/>
    <w:rsid w:val="47CD33E9"/>
    <w:rsid w:val="47D31AAF"/>
    <w:rsid w:val="47E86474"/>
    <w:rsid w:val="480C3F11"/>
    <w:rsid w:val="481D4A12"/>
    <w:rsid w:val="483039B0"/>
    <w:rsid w:val="4839282C"/>
    <w:rsid w:val="48751F9C"/>
    <w:rsid w:val="48793E84"/>
    <w:rsid w:val="48814A9E"/>
    <w:rsid w:val="48821F18"/>
    <w:rsid w:val="48826C2D"/>
    <w:rsid w:val="489108BA"/>
    <w:rsid w:val="489573EB"/>
    <w:rsid w:val="48DA4B73"/>
    <w:rsid w:val="49576B1C"/>
    <w:rsid w:val="495F1411"/>
    <w:rsid w:val="497F5CC7"/>
    <w:rsid w:val="49A308A5"/>
    <w:rsid w:val="49A569D0"/>
    <w:rsid w:val="49A8370C"/>
    <w:rsid w:val="49BF3C56"/>
    <w:rsid w:val="49C5081B"/>
    <w:rsid w:val="49CF100D"/>
    <w:rsid w:val="49DA7FCB"/>
    <w:rsid w:val="49FB23D1"/>
    <w:rsid w:val="4A126974"/>
    <w:rsid w:val="4A3516E6"/>
    <w:rsid w:val="4A370FED"/>
    <w:rsid w:val="4A4C6847"/>
    <w:rsid w:val="4A841F27"/>
    <w:rsid w:val="4A8E0ED8"/>
    <w:rsid w:val="4AA236DF"/>
    <w:rsid w:val="4AF55130"/>
    <w:rsid w:val="4AF83480"/>
    <w:rsid w:val="4B743FB4"/>
    <w:rsid w:val="4B85051F"/>
    <w:rsid w:val="4B9F6E4A"/>
    <w:rsid w:val="4BDA0C60"/>
    <w:rsid w:val="4BF84389"/>
    <w:rsid w:val="4C257ABA"/>
    <w:rsid w:val="4C7C6E9E"/>
    <w:rsid w:val="4C7F7A44"/>
    <w:rsid w:val="4C800A2A"/>
    <w:rsid w:val="4C806421"/>
    <w:rsid w:val="4C8E1936"/>
    <w:rsid w:val="4CA0475B"/>
    <w:rsid w:val="4CDF4A30"/>
    <w:rsid w:val="4D0E1A0D"/>
    <w:rsid w:val="4D450A84"/>
    <w:rsid w:val="4D467EC5"/>
    <w:rsid w:val="4D533318"/>
    <w:rsid w:val="4D6C09DB"/>
    <w:rsid w:val="4D702F51"/>
    <w:rsid w:val="4DA92202"/>
    <w:rsid w:val="4DB34D18"/>
    <w:rsid w:val="4DD42C7F"/>
    <w:rsid w:val="4DFB11F6"/>
    <w:rsid w:val="4E0829D5"/>
    <w:rsid w:val="4E12475B"/>
    <w:rsid w:val="4E2B16EB"/>
    <w:rsid w:val="4E4B2B03"/>
    <w:rsid w:val="4E774DAA"/>
    <w:rsid w:val="4E8F31A6"/>
    <w:rsid w:val="4EB84871"/>
    <w:rsid w:val="4EF13B48"/>
    <w:rsid w:val="4F424676"/>
    <w:rsid w:val="4F4C553B"/>
    <w:rsid w:val="4F6756AE"/>
    <w:rsid w:val="4F702FD7"/>
    <w:rsid w:val="4F7D0FFE"/>
    <w:rsid w:val="4F9E4C18"/>
    <w:rsid w:val="4FB76013"/>
    <w:rsid w:val="4FB8672C"/>
    <w:rsid w:val="4FDC066D"/>
    <w:rsid w:val="50075927"/>
    <w:rsid w:val="500841C5"/>
    <w:rsid w:val="500A342C"/>
    <w:rsid w:val="50416722"/>
    <w:rsid w:val="5051105B"/>
    <w:rsid w:val="505446A7"/>
    <w:rsid w:val="505F4DFA"/>
    <w:rsid w:val="506E456B"/>
    <w:rsid w:val="509461CB"/>
    <w:rsid w:val="50A42C70"/>
    <w:rsid w:val="50A54F03"/>
    <w:rsid w:val="50C51101"/>
    <w:rsid w:val="50D46A3E"/>
    <w:rsid w:val="50EB36A6"/>
    <w:rsid w:val="50EF3C05"/>
    <w:rsid w:val="50FD4353"/>
    <w:rsid w:val="510D0622"/>
    <w:rsid w:val="5193540F"/>
    <w:rsid w:val="5201085F"/>
    <w:rsid w:val="5208025E"/>
    <w:rsid w:val="521427AA"/>
    <w:rsid w:val="52157E66"/>
    <w:rsid w:val="52263E21"/>
    <w:rsid w:val="5239284C"/>
    <w:rsid w:val="528A2602"/>
    <w:rsid w:val="529C0587"/>
    <w:rsid w:val="52BC4786"/>
    <w:rsid w:val="52EC07D2"/>
    <w:rsid w:val="53057EDB"/>
    <w:rsid w:val="53067DB3"/>
    <w:rsid w:val="53193986"/>
    <w:rsid w:val="531B14AC"/>
    <w:rsid w:val="53442939"/>
    <w:rsid w:val="535E567A"/>
    <w:rsid w:val="5367649F"/>
    <w:rsid w:val="537F7C8D"/>
    <w:rsid w:val="538928D5"/>
    <w:rsid w:val="53894668"/>
    <w:rsid w:val="53971593"/>
    <w:rsid w:val="53DA13C3"/>
    <w:rsid w:val="53ED0749"/>
    <w:rsid w:val="54150444"/>
    <w:rsid w:val="546B6E19"/>
    <w:rsid w:val="54787715"/>
    <w:rsid w:val="547A0454"/>
    <w:rsid w:val="548254F0"/>
    <w:rsid w:val="5485514F"/>
    <w:rsid w:val="548D558B"/>
    <w:rsid w:val="549A6C2B"/>
    <w:rsid w:val="54F87C64"/>
    <w:rsid w:val="550348EE"/>
    <w:rsid w:val="55082A65"/>
    <w:rsid w:val="551B5793"/>
    <w:rsid w:val="55515659"/>
    <w:rsid w:val="5552317F"/>
    <w:rsid w:val="557430F6"/>
    <w:rsid w:val="55915A56"/>
    <w:rsid w:val="55B47996"/>
    <w:rsid w:val="55BA485F"/>
    <w:rsid w:val="55BD3DEC"/>
    <w:rsid w:val="55C53EA6"/>
    <w:rsid w:val="562E3F3A"/>
    <w:rsid w:val="562E5948"/>
    <w:rsid w:val="56372AA1"/>
    <w:rsid w:val="56494582"/>
    <w:rsid w:val="565B7FD3"/>
    <w:rsid w:val="565E627F"/>
    <w:rsid w:val="56666EE2"/>
    <w:rsid w:val="56813D1C"/>
    <w:rsid w:val="56D57BC4"/>
    <w:rsid w:val="56EA18C1"/>
    <w:rsid w:val="57272B15"/>
    <w:rsid w:val="5737262D"/>
    <w:rsid w:val="57C57A95"/>
    <w:rsid w:val="57D4668D"/>
    <w:rsid w:val="57DE6F4C"/>
    <w:rsid w:val="57EA2486"/>
    <w:rsid w:val="58022C3B"/>
    <w:rsid w:val="583848AE"/>
    <w:rsid w:val="589C6BEB"/>
    <w:rsid w:val="58A14202"/>
    <w:rsid w:val="58AE4B70"/>
    <w:rsid w:val="58B55EFF"/>
    <w:rsid w:val="58C223CA"/>
    <w:rsid w:val="58C779E0"/>
    <w:rsid w:val="58D02CAE"/>
    <w:rsid w:val="59016536"/>
    <w:rsid w:val="590C29FE"/>
    <w:rsid w:val="59116657"/>
    <w:rsid w:val="59142C25"/>
    <w:rsid w:val="591470C9"/>
    <w:rsid w:val="591841FF"/>
    <w:rsid w:val="59202D11"/>
    <w:rsid w:val="5921119F"/>
    <w:rsid w:val="59370A3C"/>
    <w:rsid w:val="593F3A1A"/>
    <w:rsid w:val="596672DF"/>
    <w:rsid w:val="5999137D"/>
    <w:rsid w:val="599C04BB"/>
    <w:rsid w:val="59A537CB"/>
    <w:rsid w:val="59D800F7"/>
    <w:rsid w:val="59F26FCA"/>
    <w:rsid w:val="5A032C9A"/>
    <w:rsid w:val="5A075206"/>
    <w:rsid w:val="5A2B7E5E"/>
    <w:rsid w:val="5A2E41BB"/>
    <w:rsid w:val="5A4A7BDB"/>
    <w:rsid w:val="5A5A2A73"/>
    <w:rsid w:val="5A6A4AC7"/>
    <w:rsid w:val="5A8D7133"/>
    <w:rsid w:val="5A9B2ED2"/>
    <w:rsid w:val="5AA07F40"/>
    <w:rsid w:val="5AA20705"/>
    <w:rsid w:val="5AFA72D3"/>
    <w:rsid w:val="5B071AB3"/>
    <w:rsid w:val="5B1033B0"/>
    <w:rsid w:val="5B3A093D"/>
    <w:rsid w:val="5B433536"/>
    <w:rsid w:val="5B650D9F"/>
    <w:rsid w:val="5B6E1487"/>
    <w:rsid w:val="5B7C4A30"/>
    <w:rsid w:val="5B85605C"/>
    <w:rsid w:val="5BA11B8F"/>
    <w:rsid w:val="5BC22E0D"/>
    <w:rsid w:val="5BDE0537"/>
    <w:rsid w:val="5BE91892"/>
    <w:rsid w:val="5BFC6336"/>
    <w:rsid w:val="5C0A36B6"/>
    <w:rsid w:val="5C4D364E"/>
    <w:rsid w:val="5C5D48E3"/>
    <w:rsid w:val="5C665CD5"/>
    <w:rsid w:val="5C71213D"/>
    <w:rsid w:val="5C96018D"/>
    <w:rsid w:val="5CE63E5A"/>
    <w:rsid w:val="5D063421"/>
    <w:rsid w:val="5D2C7541"/>
    <w:rsid w:val="5D2D075A"/>
    <w:rsid w:val="5D3970FE"/>
    <w:rsid w:val="5D4D387D"/>
    <w:rsid w:val="5D5A52C7"/>
    <w:rsid w:val="5D6851F5"/>
    <w:rsid w:val="5DC73D3A"/>
    <w:rsid w:val="5DD0565B"/>
    <w:rsid w:val="5DD45079"/>
    <w:rsid w:val="5DDB1F64"/>
    <w:rsid w:val="5E056FE1"/>
    <w:rsid w:val="5E3478C6"/>
    <w:rsid w:val="5E525F9E"/>
    <w:rsid w:val="5E531B97"/>
    <w:rsid w:val="5E6E102A"/>
    <w:rsid w:val="5E8910F1"/>
    <w:rsid w:val="5E914D18"/>
    <w:rsid w:val="5E9B254F"/>
    <w:rsid w:val="5EA22A81"/>
    <w:rsid w:val="5EBD3A80"/>
    <w:rsid w:val="5EDD7F5D"/>
    <w:rsid w:val="5EE4348B"/>
    <w:rsid w:val="5EE94B54"/>
    <w:rsid w:val="5EF332DD"/>
    <w:rsid w:val="5F0B54F2"/>
    <w:rsid w:val="5F144DEA"/>
    <w:rsid w:val="5F3062DF"/>
    <w:rsid w:val="5F427DC1"/>
    <w:rsid w:val="5F736319"/>
    <w:rsid w:val="5F7A369E"/>
    <w:rsid w:val="5F7E3018"/>
    <w:rsid w:val="5F8403D9"/>
    <w:rsid w:val="5F9855A6"/>
    <w:rsid w:val="5FF83899"/>
    <w:rsid w:val="60067040"/>
    <w:rsid w:val="60114363"/>
    <w:rsid w:val="60161979"/>
    <w:rsid w:val="60274C30"/>
    <w:rsid w:val="60404B53"/>
    <w:rsid w:val="60522285"/>
    <w:rsid w:val="60A54AAB"/>
    <w:rsid w:val="60EE0200"/>
    <w:rsid w:val="60F1388E"/>
    <w:rsid w:val="616109D2"/>
    <w:rsid w:val="61660994"/>
    <w:rsid w:val="61A77079"/>
    <w:rsid w:val="61AB60F1"/>
    <w:rsid w:val="61C97908"/>
    <w:rsid w:val="61CD6067"/>
    <w:rsid w:val="61D2367E"/>
    <w:rsid w:val="61E928E8"/>
    <w:rsid w:val="621A1E84"/>
    <w:rsid w:val="62233ED9"/>
    <w:rsid w:val="622A5268"/>
    <w:rsid w:val="622C5484"/>
    <w:rsid w:val="62500A46"/>
    <w:rsid w:val="627C16B4"/>
    <w:rsid w:val="62816E52"/>
    <w:rsid w:val="629D1EDE"/>
    <w:rsid w:val="62CE653B"/>
    <w:rsid w:val="62D6732E"/>
    <w:rsid w:val="63293771"/>
    <w:rsid w:val="63351D7C"/>
    <w:rsid w:val="633609DD"/>
    <w:rsid w:val="635527B8"/>
    <w:rsid w:val="63724100"/>
    <w:rsid w:val="637E76F5"/>
    <w:rsid w:val="638279B4"/>
    <w:rsid w:val="63905BCB"/>
    <w:rsid w:val="63950E07"/>
    <w:rsid w:val="639C64A0"/>
    <w:rsid w:val="63B26FF6"/>
    <w:rsid w:val="63B81954"/>
    <w:rsid w:val="63E6017A"/>
    <w:rsid w:val="641A7272"/>
    <w:rsid w:val="64205247"/>
    <w:rsid w:val="642F125B"/>
    <w:rsid w:val="643C5ECA"/>
    <w:rsid w:val="647645FA"/>
    <w:rsid w:val="6477675E"/>
    <w:rsid w:val="64791387"/>
    <w:rsid w:val="648F2DE1"/>
    <w:rsid w:val="649410BE"/>
    <w:rsid w:val="64AF0038"/>
    <w:rsid w:val="64C574CA"/>
    <w:rsid w:val="64E63914"/>
    <w:rsid w:val="64F63E90"/>
    <w:rsid w:val="650E40A1"/>
    <w:rsid w:val="65424019"/>
    <w:rsid w:val="65454382"/>
    <w:rsid w:val="654B3E73"/>
    <w:rsid w:val="65507082"/>
    <w:rsid w:val="655D7FBE"/>
    <w:rsid w:val="65730E6D"/>
    <w:rsid w:val="65945255"/>
    <w:rsid w:val="65A73073"/>
    <w:rsid w:val="65BB65D9"/>
    <w:rsid w:val="65CD2ADA"/>
    <w:rsid w:val="65D72A63"/>
    <w:rsid w:val="65FF1E91"/>
    <w:rsid w:val="660109D5"/>
    <w:rsid w:val="660D1128"/>
    <w:rsid w:val="664E1BF5"/>
    <w:rsid w:val="665054B9"/>
    <w:rsid w:val="66644AC0"/>
    <w:rsid w:val="66682803"/>
    <w:rsid w:val="669E4EAC"/>
    <w:rsid w:val="669E7FD2"/>
    <w:rsid w:val="66AB26EF"/>
    <w:rsid w:val="66B250A2"/>
    <w:rsid w:val="66BC0A8B"/>
    <w:rsid w:val="66C20165"/>
    <w:rsid w:val="677B35DA"/>
    <w:rsid w:val="678702E2"/>
    <w:rsid w:val="67B51A77"/>
    <w:rsid w:val="67BF46A4"/>
    <w:rsid w:val="67D92D19"/>
    <w:rsid w:val="67E13E5B"/>
    <w:rsid w:val="6841155D"/>
    <w:rsid w:val="684F6779"/>
    <w:rsid w:val="68581629"/>
    <w:rsid w:val="685A52BC"/>
    <w:rsid w:val="6863085B"/>
    <w:rsid w:val="68A90854"/>
    <w:rsid w:val="68A90D75"/>
    <w:rsid w:val="68B03FED"/>
    <w:rsid w:val="68BB4E93"/>
    <w:rsid w:val="69292330"/>
    <w:rsid w:val="693D0BB5"/>
    <w:rsid w:val="69676DA1"/>
    <w:rsid w:val="69801C11"/>
    <w:rsid w:val="69A461F8"/>
    <w:rsid w:val="69E37BE3"/>
    <w:rsid w:val="69FC4283"/>
    <w:rsid w:val="6A470981"/>
    <w:rsid w:val="6A657322"/>
    <w:rsid w:val="6A6634FD"/>
    <w:rsid w:val="6ABD617F"/>
    <w:rsid w:val="6AC25622"/>
    <w:rsid w:val="6AC826F6"/>
    <w:rsid w:val="6AEC3960"/>
    <w:rsid w:val="6B0D5727"/>
    <w:rsid w:val="6B402F34"/>
    <w:rsid w:val="6B4151C7"/>
    <w:rsid w:val="6B4E646B"/>
    <w:rsid w:val="6B57195A"/>
    <w:rsid w:val="6B601CFA"/>
    <w:rsid w:val="6B8320C0"/>
    <w:rsid w:val="6BD154CC"/>
    <w:rsid w:val="6C2D6C9C"/>
    <w:rsid w:val="6C3C7DA0"/>
    <w:rsid w:val="6CA1081C"/>
    <w:rsid w:val="6CC92D08"/>
    <w:rsid w:val="6CD04C5E"/>
    <w:rsid w:val="6CFE3ADA"/>
    <w:rsid w:val="6D016945"/>
    <w:rsid w:val="6D2531FB"/>
    <w:rsid w:val="6D2B6CCF"/>
    <w:rsid w:val="6D8F4B19"/>
    <w:rsid w:val="6DC04CD2"/>
    <w:rsid w:val="6DD54C21"/>
    <w:rsid w:val="6DD84C4B"/>
    <w:rsid w:val="6DED0970"/>
    <w:rsid w:val="6E032E11"/>
    <w:rsid w:val="6E071562"/>
    <w:rsid w:val="6E296D1B"/>
    <w:rsid w:val="6E3000AA"/>
    <w:rsid w:val="6E425E03"/>
    <w:rsid w:val="6E986470"/>
    <w:rsid w:val="6ECE131C"/>
    <w:rsid w:val="6ED30E36"/>
    <w:rsid w:val="6ED749C9"/>
    <w:rsid w:val="6EDF73DA"/>
    <w:rsid w:val="6F083740"/>
    <w:rsid w:val="6F174DC6"/>
    <w:rsid w:val="6F4C343F"/>
    <w:rsid w:val="6F631DB9"/>
    <w:rsid w:val="6F6D475E"/>
    <w:rsid w:val="6FE74798"/>
    <w:rsid w:val="70394621"/>
    <w:rsid w:val="70571E0B"/>
    <w:rsid w:val="70B14DA6"/>
    <w:rsid w:val="70C31D6B"/>
    <w:rsid w:val="70CE181E"/>
    <w:rsid w:val="70EE7DA8"/>
    <w:rsid w:val="70F74CDB"/>
    <w:rsid w:val="710D6480"/>
    <w:rsid w:val="7143360A"/>
    <w:rsid w:val="71904B0C"/>
    <w:rsid w:val="71AA0173"/>
    <w:rsid w:val="71C73801"/>
    <w:rsid w:val="71F32ED4"/>
    <w:rsid w:val="71F44E84"/>
    <w:rsid w:val="72255A4C"/>
    <w:rsid w:val="72272B5E"/>
    <w:rsid w:val="7233601F"/>
    <w:rsid w:val="725B279B"/>
    <w:rsid w:val="727B0D14"/>
    <w:rsid w:val="729329B5"/>
    <w:rsid w:val="72B837DC"/>
    <w:rsid w:val="72BF19FC"/>
    <w:rsid w:val="72E74AAF"/>
    <w:rsid w:val="730833A3"/>
    <w:rsid w:val="731D40E5"/>
    <w:rsid w:val="73264B85"/>
    <w:rsid w:val="73463ECB"/>
    <w:rsid w:val="734E4B2E"/>
    <w:rsid w:val="736507F6"/>
    <w:rsid w:val="73700F48"/>
    <w:rsid w:val="73765A25"/>
    <w:rsid w:val="73767BF9"/>
    <w:rsid w:val="73880040"/>
    <w:rsid w:val="73995CEB"/>
    <w:rsid w:val="73A0557B"/>
    <w:rsid w:val="73C05A2C"/>
    <w:rsid w:val="73C80D84"/>
    <w:rsid w:val="73D77352"/>
    <w:rsid w:val="73DC649E"/>
    <w:rsid w:val="742A7349"/>
    <w:rsid w:val="74416441"/>
    <w:rsid w:val="74533F62"/>
    <w:rsid w:val="74891E24"/>
    <w:rsid w:val="74F1522D"/>
    <w:rsid w:val="74F31E31"/>
    <w:rsid w:val="74F738B6"/>
    <w:rsid w:val="74FC7E3C"/>
    <w:rsid w:val="750951B1"/>
    <w:rsid w:val="75167C7E"/>
    <w:rsid w:val="75371D1E"/>
    <w:rsid w:val="754B4C1D"/>
    <w:rsid w:val="75501031"/>
    <w:rsid w:val="75CD4430"/>
    <w:rsid w:val="75D23758"/>
    <w:rsid w:val="75E60A64"/>
    <w:rsid w:val="76465F91"/>
    <w:rsid w:val="765F2D31"/>
    <w:rsid w:val="766B0D4A"/>
    <w:rsid w:val="76C667BC"/>
    <w:rsid w:val="76C83DFF"/>
    <w:rsid w:val="76D417EE"/>
    <w:rsid w:val="76D57A40"/>
    <w:rsid w:val="76DB2B7D"/>
    <w:rsid w:val="76E934EC"/>
    <w:rsid w:val="77230A61"/>
    <w:rsid w:val="7746169E"/>
    <w:rsid w:val="774E77F3"/>
    <w:rsid w:val="775871DA"/>
    <w:rsid w:val="776F0CF3"/>
    <w:rsid w:val="77BC29AE"/>
    <w:rsid w:val="77F6460A"/>
    <w:rsid w:val="77FC724F"/>
    <w:rsid w:val="781E0F73"/>
    <w:rsid w:val="781E71C5"/>
    <w:rsid w:val="78206F11"/>
    <w:rsid w:val="78210A63"/>
    <w:rsid w:val="782F1CEE"/>
    <w:rsid w:val="78A1669D"/>
    <w:rsid w:val="78C908BE"/>
    <w:rsid w:val="78DB67FF"/>
    <w:rsid w:val="790C110E"/>
    <w:rsid w:val="790E0FE8"/>
    <w:rsid w:val="790F22CB"/>
    <w:rsid w:val="791505C8"/>
    <w:rsid w:val="79181E66"/>
    <w:rsid w:val="792627D5"/>
    <w:rsid w:val="796D6A88"/>
    <w:rsid w:val="79C618C2"/>
    <w:rsid w:val="79CE4C1B"/>
    <w:rsid w:val="79D815F5"/>
    <w:rsid w:val="79FE79DA"/>
    <w:rsid w:val="7A052269"/>
    <w:rsid w:val="7A21492B"/>
    <w:rsid w:val="7A316DFD"/>
    <w:rsid w:val="7A7009F4"/>
    <w:rsid w:val="7A735C17"/>
    <w:rsid w:val="7A8800A9"/>
    <w:rsid w:val="7A88301C"/>
    <w:rsid w:val="7A887546"/>
    <w:rsid w:val="7A99341A"/>
    <w:rsid w:val="7AA71D7C"/>
    <w:rsid w:val="7AAD5FEE"/>
    <w:rsid w:val="7AD54B92"/>
    <w:rsid w:val="7AE244DA"/>
    <w:rsid w:val="7B191EC6"/>
    <w:rsid w:val="7B3D30D5"/>
    <w:rsid w:val="7B4C5DF7"/>
    <w:rsid w:val="7B6C0247"/>
    <w:rsid w:val="7B7336E0"/>
    <w:rsid w:val="7B745B1A"/>
    <w:rsid w:val="7B95779E"/>
    <w:rsid w:val="7BA9149B"/>
    <w:rsid w:val="7BBF2A6D"/>
    <w:rsid w:val="7C2C718A"/>
    <w:rsid w:val="7C3E7221"/>
    <w:rsid w:val="7C440E4A"/>
    <w:rsid w:val="7C5336C2"/>
    <w:rsid w:val="7C671AA5"/>
    <w:rsid w:val="7C7E5CAE"/>
    <w:rsid w:val="7CB974BC"/>
    <w:rsid w:val="7CDE33C7"/>
    <w:rsid w:val="7CEE6886"/>
    <w:rsid w:val="7CF130FA"/>
    <w:rsid w:val="7CF312BE"/>
    <w:rsid w:val="7D220DCD"/>
    <w:rsid w:val="7D3C766F"/>
    <w:rsid w:val="7D4551F4"/>
    <w:rsid w:val="7D9120E2"/>
    <w:rsid w:val="7D946B16"/>
    <w:rsid w:val="7DB008BF"/>
    <w:rsid w:val="7DBF46FC"/>
    <w:rsid w:val="7DC0487A"/>
    <w:rsid w:val="7DDD71DA"/>
    <w:rsid w:val="7E30258F"/>
    <w:rsid w:val="7E42241D"/>
    <w:rsid w:val="7E447259"/>
    <w:rsid w:val="7E61605D"/>
    <w:rsid w:val="7E695E0F"/>
    <w:rsid w:val="7E910D86"/>
    <w:rsid w:val="7EB268B9"/>
    <w:rsid w:val="7ED06D3F"/>
    <w:rsid w:val="7EE11568"/>
    <w:rsid w:val="7F113BA9"/>
    <w:rsid w:val="7F196938"/>
    <w:rsid w:val="7F3379FA"/>
    <w:rsid w:val="7F3B68AE"/>
    <w:rsid w:val="7F607B23"/>
    <w:rsid w:val="7F651B7D"/>
    <w:rsid w:val="7F7B314F"/>
    <w:rsid w:val="7FCF1D13"/>
    <w:rsid w:val="7FF97519"/>
    <w:rsid w:val="9BE72EF0"/>
    <w:rsid w:val="DE7D851A"/>
    <w:rsid w:val="DEEE8342"/>
    <w:rsid w:val="F5F74222"/>
    <w:rsid w:val="F759E733"/>
    <w:rsid w:val="FBFD8B32"/>
    <w:rsid w:val="FE6B2F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5"/>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05"/>
    <w:autoRedefine/>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326"/>
    <w:autoRedefine/>
    <w:qFormat/>
    <w:uiPriority w:val="99"/>
    <w:pPr>
      <w:keepNext/>
      <w:keepLines/>
      <w:spacing w:before="260" w:after="260" w:line="416" w:lineRule="auto"/>
      <w:outlineLvl w:val="2"/>
    </w:pPr>
    <w:rPr>
      <w:b/>
      <w:bCs/>
      <w:sz w:val="32"/>
      <w:szCs w:val="32"/>
    </w:rPr>
  </w:style>
  <w:style w:type="paragraph" w:styleId="7">
    <w:name w:val="heading 4"/>
    <w:basedOn w:val="1"/>
    <w:next w:val="1"/>
    <w:link w:val="190"/>
    <w:autoRedefine/>
    <w:qFormat/>
    <w:uiPriority w:val="99"/>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303"/>
    <w:autoRedefine/>
    <w:qFormat/>
    <w:uiPriority w:val="99"/>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206"/>
    <w:qFormat/>
    <w:uiPriority w:val="0"/>
    <w:pPr>
      <w:keepNext/>
      <w:keepLines/>
      <w:ind w:firstLine="200" w:firstLineChars="200"/>
      <w:outlineLvl w:val="5"/>
    </w:pPr>
    <w:rPr>
      <w:rFonts w:hAnsi="Arial"/>
    </w:rPr>
  </w:style>
  <w:style w:type="paragraph" w:styleId="11">
    <w:name w:val="heading 7"/>
    <w:basedOn w:val="1"/>
    <w:next w:val="1"/>
    <w:link w:val="283"/>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27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20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sz w:val="21"/>
    </w:rPr>
  </w:style>
  <w:style w:type="paragraph" w:styleId="3">
    <w:name w:val="Body Text"/>
    <w:basedOn w:val="1"/>
    <w:next w:val="1"/>
    <w:link w:val="225"/>
    <w:autoRedefine/>
    <w:qFormat/>
    <w:uiPriority w:val="99"/>
    <w:pPr>
      <w:spacing w:after="120"/>
    </w:pPr>
  </w:style>
  <w:style w:type="paragraph" w:styleId="10">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autoRedefine/>
    <w:qFormat/>
    <w:uiPriority w:val="39"/>
    <w:pPr>
      <w:ind w:left="1260"/>
      <w:jc w:val="left"/>
    </w:pPr>
    <w:rPr>
      <w:sz w:val="18"/>
      <w:szCs w:val="18"/>
    </w:r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215"/>
    <w:autoRedefine/>
    <w:qFormat/>
    <w:uiPriority w:val="0"/>
    <w:pPr>
      <w:shd w:val="clear" w:color="auto" w:fill="000080"/>
    </w:pPr>
  </w:style>
  <w:style w:type="paragraph" w:styleId="17">
    <w:name w:val="annotation text"/>
    <w:basedOn w:val="1"/>
    <w:link w:val="300"/>
    <w:autoRedefine/>
    <w:qFormat/>
    <w:uiPriority w:val="99"/>
    <w:pPr>
      <w:jc w:val="left"/>
    </w:pPr>
  </w:style>
  <w:style w:type="paragraph" w:styleId="18">
    <w:name w:val="Body Text 3"/>
    <w:basedOn w:val="1"/>
    <w:link w:val="319"/>
    <w:autoRedefine/>
    <w:qFormat/>
    <w:uiPriority w:val="0"/>
    <w:pPr>
      <w:spacing w:after="120"/>
    </w:pPr>
    <w:rPr>
      <w:sz w:val="16"/>
      <w:szCs w:val="16"/>
    </w:rPr>
  </w:style>
  <w:style w:type="paragraph" w:styleId="19">
    <w:name w:val="Body Text Indent"/>
    <w:basedOn w:val="1"/>
    <w:link w:val="280"/>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6"/>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15"/>
    <w:autoRedefine/>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68"/>
    <w:qFormat/>
    <w:uiPriority w:val="0"/>
    <w:pPr>
      <w:ind w:left="100" w:leftChars="2500"/>
    </w:pPr>
  </w:style>
  <w:style w:type="paragraph" w:styleId="27">
    <w:name w:val="Body Text Indent 2"/>
    <w:basedOn w:val="1"/>
    <w:link w:val="282"/>
    <w:autoRedefine/>
    <w:qFormat/>
    <w:uiPriority w:val="0"/>
    <w:pPr>
      <w:widowControl/>
      <w:spacing w:line="480" w:lineRule="auto"/>
      <w:ind w:firstLine="560"/>
      <w:jc w:val="left"/>
    </w:pPr>
    <w:rPr>
      <w:kern w:val="0"/>
      <w:sz w:val="28"/>
    </w:rPr>
  </w:style>
  <w:style w:type="paragraph" w:styleId="28">
    <w:name w:val="endnote text"/>
    <w:basedOn w:val="1"/>
    <w:link w:val="192"/>
    <w:autoRedefine/>
    <w:qFormat/>
    <w:uiPriority w:val="0"/>
    <w:pPr>
      <w:widowControl/>
      <w:snapToGrid w:val="0"/>
      <w:jc w:val="left"/>
    </w:pPr>
    <w:rPr>
      <w:rFonts w:ascii="Arial" w:hAnsi="Arial" w:cs="Arial"/>
      <w:kern w:val="0"/>
      <w:sz w:val="20"/>
      <w:lang w:eastAsia="en-US"/>
    </w:rPr>
  </w:style>
  <w:style w:type="paragraph" w:styleId="29">
    <w:name w:val="Balloon Text"/>
    <w:basedOn w:val="1"/>
    <w:link w:val="219"/>
    <w:autoRedefine/>
    <w:qFormat/>
    <w:uiPriority w:val="0"/>
    <w:rPr>
      <w:sz w:val="18"/>
      <w:szCs w:val="18"/>
    </w:rPr>
  </w:style>
  <w:style w:type="paragraph" w:styleId="30">
    <w:name w:val="footer"/>
    <w:basedOn w:val="1"/>
    <w:link w:val="207"/>
    <w:autoRedefine/>
    <w:qFormat/>
    <w:uiPriority w:val="99"/>
    <w:pPr>
      <w:tabs>
        <w:tab w:val="center" w:pos="4153"/>
        <w:tab w:val="right" w:pos="8306"/>
      </w:tabs>
      <w:snapToGrid w:val="0"/>
      <w:jc w:val="left"/>
    </w:pPr>
    <w:rPr>
      <w:sz w:val="18"/>
      <w:szCs w:val="18"/>
    </w:rPr>
  </w:style>
  <w:style w:type="paragraph" w:styleId="31">
    <w:name w:val="header"/>
    <w:basedOn w:val="1"/>
    <w:link w:val="247"/>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4"/>
    <w:next w:val="1"/>
    <w:autoRedefine/>
    <w:qFormat/>
    <w:uiPriority w:val="39"/>
    <w:pPr>
      <w:keepNext w:val="0"/>
      <w:keepLines w:val="0"/>
      <w:spacing w:before="120" w:after="120" w:line="240" w:lineRule="auto"/>
      <w:jc w:val="left"/>
      <w:outlineLvl w:val="9"/>
    </w:pPr>
    <w:rPr>
      <w:caps/>
      <w:kern w:val="2"/>
      <w:sz w:val="20"/>
      <w:szCs w:val="20"/>
    </w:rPr>
  </w:style>
  <w:style w:type="paragraph" w:styleId="33">
    <w:name w:val="toc 4"/>
    <w:basedOn w:val="7"/>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12"/>
    <w:autoRedefine/>
    <w:qFormat/>
    <w:uiPriority w:val="99"/>
    <w:pPr>
      <w:widowControl/>
      <w:jc w:val="center"/>
    </w:pPr>
    <w:rPr>
      <w:kern w:val="0"/>
      <w:sz w:val="20"/>
      <w:u w:val="single"/>
      <w:lang w:eastAsia="en-US"/>
    </w:rPr>
  </w:style>
  <w:style w:type="paragraph" w:styleId="35">
    <w:name w:val="footnote text"/>
    <w:basedOn w:val="1"/>
    <w:link w:val="227"/>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79"/>
    <w:autoRedefine/>
    <w:qFormat/>
    <w:uiPriority w:val="0"/>
    <w:pPr>
      <w:spacing w:line="360" w:lineRule="auto"/>
      <w:ind w:firstLine="280" w:firstLineChars="100"/>
    </w:pPr>
    <w:rPr>
      <w:rFonts w:ascii="宋体" w:hAnsi="宋体"/>
      <w:sz w:val="28"/>
      <w:szCs w:val="28"/>
    </w:rPr>
  </w:style>
  <w:style w:type="paragraph" w:styleId="38">
    <w:name w:val="toc 2"/>
    <w:basedOn w:val="5"/>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75"/>
    <w:autoRedefine/>
    <w:qFormat/>
    <w:uiPriority w:val="0"/>
    <w:rPr>
      <w:i/>
      <w:iCs/>
      <w:sz w:val="26"/>
    </w:rPr>
  </w:style>
  <w:style w:type="paragraph" w:styleId="41">
    <w:name w:val="HTML Preformatted"/>
    <w:basedOn w:val="1"/>
    <w:link w:val="180"/>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next w:val="1"/>
    <w:link w:val="222"/>
    <w:autoRedefine/>
    <w:qFormat/>
    <w:uiPriority w:val="0"/>
    <w:pPr>
      <w:widowControl/>
      <w:jc w:val="center"/>
    </w:pPr>
    <w:rPr>
      <w:kern w:val="0"/>
      <w:sz w:val="20"/>
      <w:u w:val="single"/>
      <w:lang w:eastAsia="en-US"/>
    </w:rPr>
  </w:style>
  <w:style w:type="paragraph" w:styleId="45">
    <w:name w:val="annotation subject"/>
    <w:basedOn w:val="17"/>
    <w:next w:val="17"/>
    <w:link w:val="274"/>
    <w:autoRedefine/>
    <w:qFormat/>
    <w:uiPriority w:val="0"/>
    <w:rPr>
      <w:b/>
      <w:bCs/>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basedOn w:val="48"/>
    <w:qFormat/>
    <w:uiPriority w:val="0"/>
    <w:rPr>
      <w:color w:val="800080"/>
      <w:u w:val="none"/>
    </w:rPr>
  </w:style>
  <w:style w:type="character" w:styleId="53">
    <w:name w:val="Emphasis"/>
    <w:autoRedefine/>
    <w:qFormat/>
    <w:uiPriority w:val="0"/>
    <w:rPr>
      <w:i/>
      <w:iCs/>
    </w:rPr>
  </w:style>
  <w:style w:type="character" w:styleId="54">
    <w:name w:val="HTML Definition"/>
    <w:basedOn w:val="48"/>
    <w:qFormat/>
    <w:uiPriority w:val="0"/>
  </w:style>
  <w:style w:type="character" w:styleId="55">
    <w:name w:val="HTML Typewriter"/>
    <w:basedOn w:val="48"/>
    <w:qFormat/>
    <w:uiPriority w:val="0"/>
    <w:rPr>
      <w:rFonts w:ascii="monospace" w:hAnsi="monospace" w:eastAsia="monospace" w:cs="monospace"/>
      <w:sz w:val="20"/>
    </w:rPr>
  </w:style>
  <w:style w:type="character" w:styleId="56">
    <w:name w:val="HTML Acronym"/>
    <w:basedOn w:val="48"/>
    <w:qFormat/>
    <w:uiPriority w:val="0"/>
  </w:style>
  <w:style w:type="character" w:styleId="57">
    <w:name w:val="HTML Variable"/>
    <w:basedOn w:val="48"/>
    <w:qFormat/>
    <w:uiPriority w:val="0"/>
  </w:style>
  <w:style w:type="character" w:styleId="58">
    <w:name w:val="Hyperlink"/>
    <w:basedOn w:val="48"/>
    <w:autoRedefine/>
    <w:qFormat/>
    <w:uiPriority w:val="99"/>
    <w:rPr>
      <w:color w:val="0000FF"/>
      <w:u w:val="none"/>
    </w:rPr>
  </w:style>
  <w:style w:type="character" w:styleId="59">
    <w:name w:val="HTML Code"/>
    <w:basedOn w:val="48"/>
    <w:qFormat/>
    <w:uiPriority w:val="0"/>
    <w:rPr>
      <w:rFonts w:hint="default" w:ascii="monospace" w:hAnsi="monospace" w:eastAsia="monospace" w:cs="monospace"/>
      <w:sz w:val="20"/>
    </w:rPr>
  </w:style>
  <w:style w:type="character" w:styleId="60">
    <w:name w:val="annotation reference"/>
    <w:autoRedefine/>
    <w:qFormat/>
    <w:uiPriority w:val="0"/>
    <w:rPr>
      <w:sz w:val="21"/>
      <w:szCs w:val="21"/>
    </w:rPr>
  </w:style>
  <w:style w:type="character" w:styleId="61">
    <w:name w:val="HTML Cite"/>
    <w:basedOn w:val="48"/>
    <w:qFormat/>
    <w:uiPriority w:val="0"/>
  </w:style>
  <w:style w:type="character" w:styleId="62">
    <w:name w:val="footnote reference"/>
    <w:qFormat/>
    <w:uiPriority w:val="0"/>
    <w:rPr>
      <w:vertAlign w:val="superscript"/>
    </w:rPr>
  </w:style>
  <w:style w:type="character" w:styleId="63">
    <w:name w:val="HTML Keyboard"/>
    <w:basedOn w:val="48"/>
    <w:qFormat/>
    <w:uiPriority w:val="0"/>
    <w:rPr>
      <w:rFonts w:hint="default" w:ascii="monospace" w:hAnsi="monospace" w:eastAsia="monospace" w:cs="monospace"/>
      <w:sz w:val="20"/>
    </w:rPr>
  </w:style>
  <w:style w:type="character" w:styleId="64">
    <w:name w:val="HTML Sample"/>
    <w:basedOn w:val="48"/>
    <w:qFormat/>
    <w:uiPriority w:val="0"/>
    <w:rPr>
      <w:rFonts w:hint="default" w:ascii="monospace" w:hAnsi="monospace" w:eastAsia="monospace" w:cs="monospace"/>
    </w:rPr>
  </w:style>
  <w:style w:type="paragraph" w:customStyle="1" w:styleId="65">
    <w:name w:val="默认"/>
    <w:autoRedefine/>
    <w:qFormat/>
    <w:uiPriority w:val="0"/>
    <w:rPr>
      <w:rFonts w:ascii="Helvetica" w:hAnsi="Helvetica" w:eastAsia="Helvetica" w:cs="Times New Roman"/>
      <w:color w:val="000000"/>
      <w:sz w:val="22"/>
      <w:szCs w:val="22"/>
      <w:lang w:val="en-US" w:eastAsia="zh-CN" w:bidi="ar-SA"/>
    </w:rPr>
  </w:style>
  <w:style w:type="paragraph" w:customStyle="1" w:styleId="66">
    <w:name w:val="目录 53"/>
    <w:next w:val="1"/>
    <w:autoRedefine/>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67">
    <w:name w:val="标书正文1"/>
    <w:basedOn w:val="1"/>
    <w:autoRedefine/>
    <w:qFormat/>
    <w:uiPriority w:val="0"/>
    <w:pPr>
      <w:spacing w:line="520" w:lineRule="exact"/>
      <w:ind w:firstLine="640" w:firstLineChars="200"/>
    </w:pPr>
  </w:style>
  <w:style w:type="paragraph" w:customStyle="1" w:styleId="68">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69">
    <w:name w:val="_Style 101"/>
    <w:basedOn w:val="1"/>
    <w:autoRedefine/>
    <w:qFormat/>
    <w:uiPriority w:val="99"/>
    <w:pPr>
      <w:ind w:firstLine="420" w:firstLineChars="200"/>
    </w:pPr>
    <w:rPr>
      <w:sz w:val="28"/>
      <w:szCs w:val="28"/>
    </w:rPr>
  </w:style>
  <w:style w:type="paragraph" w:customStyle="1" w:styleId="70">
    <w:name w:val="表格标题"/>
    <w:basedOn w:val="71"/>
    <w:autoRedefine/>
    <w:qFormat/>
    <w:uiPriority w:val="0"/>
  </w:style>
  <w:style w:type="paragraph" w:customStyle="1" w:styleId="71">
    <w:name w:val="表格内容"/>
    <w:basedOn w:val="1"/>
    <w:qFormat/>
    <w:uiPriority w:val="0"/>
    <w:pPr>
      <w:suppressLineNumbers/>
      <w:suppressAutoHyphens/>
    </w:pPr>
  </w:style>
  <w:style w:type="paragraph" w:customStyle="1" w:styleId="72">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73">
    <w:name w:val="修订1"/>
    <w:qFormat/>
    <w:uiPriority w:val="0"/>
    <w:rPr>
      <w:rFonts w:ascii="Times New Roman" w:hAnsi="Times New Roman" w:eastAsia="宋体" w:cs="Times New Roman"/>
      <w:kern w:val="2"/>
      <w:sz w:val="21"/>
      <w:szCs w:val="24"/>
      <w:lang w:val="en-US" w:eastAsia="zh-CN" w:bidi="ar-SA"/>
    </w:rPr>
  </w:style>
  <w:style w:type="paragraph" w:customStyle="1" w:styleId="74">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75">
    <w:name w:val="标准样式1"/>
    <w:basedOn w:val="1"/>
    <w:autoRedefine/>
    <w:qFormat/>
    <w:uiPriority w:val="0"/>
    <w:pPr>
      <w:spacing w:line="600" w:lineRule="exact"/>
      <w:ind w:firstLine="567"/>
    </w:pPr>
    <w:rPr>
      <w:rFonts w:ascii="Calibri" w:hAnsi="Calibri"/>
      <w:sz w:val="28"/>
    </w:rPr>
  </w:style>
  <w:style w:type="paragraph" w:customStyle="1" w:styleId="76">
    <w:name w:val="列出段落11"/>
    <w:basedOn w:val="1"/>
    <w:autoRedefine/>
    <w:qFormat/>
    <w:uiPriority w:val="0"/>
    <w:pPr>
      <w:ind w:firstLine="420" w:firstLineChars="200"/>
    </w:pPr>
    <w:rPr>
      <w:sz w:val="28"/>
      <w:szCs w:val="28"/>
    </w:rPr>
  </w:style>
  <w:style w:type="paragraph" w:customStyle="1" w:styleId="77">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78">
    <w:name w:val="WW-表格标题"/>
    <w:basedOn w:val="79"/>
    <w:autoRedefine/>
    <w:qFormat/>
    <w:uiPriority w:val="0"/>
  </w:style>
  <w:style w:type="paragraph" w:customStyle="1" w:styleId="79">
    <w:name w:val="WW-表格内容"/>
    <w:basedOn w:val="1"/>
    <w:autoRedefine/>
    <w:qFormat/>
    <w:uiPriority w:val="0"/>
    <w:pPr>
      <w:suppressLineNumbers/>
      <w:suppressAutoHyphens/>
    </w:pPr>
  </w:style>
  <w:style w:type="paragraph" w:customStyle="1" w:styleId="80">
    <w:name w:val="引用2"/>
    <w:basedOn w:val="1"/>
    <w:next w:val="1"/>
    <w:link w:val="311"/>
    <w:autoRedefine/>
    <w:qFormat/>
    <w:uiPriority w:val="0"/>
    <w:rPr>
      <w:i/>
      <w:iCs/>
      <w:color w:val="000000"/>
    </w:rPr>
  </w:style>
  <w:style w:type="paragraph" w:customStyle="1" w:styleId="81">
    <w:name w:val="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3">
    <w:name w:val="Char Char Char Char"/>
    <w:basedOn w:val="16"/>
    <w:autoRedefine/>
    <w:qFormat/>
    <w:uiPriority w:val="0"/>
    <w:pPr>
      <w:spacing w:line="360" w:lineRule="auto"/>
      <w:ind w:firstLine="200" w:firstLineChars="200"/>
    </w:pPr>
    <w:rPr>
      <w:rFonts w:ascii="Tahoma" w:hAnsi="Tahoma"/>
      <w:sz w:val="24"/>
    </w:rPr>
  </w:style>
  <w:style w:type="paragraph" w:customStyle="1" w:styleId="84">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86">
    <w:name w:val="p16"/>
    <w:basedOn w:val="1"/>
    <w:autoRedefine/>
    <w:qFormat/>
    <w:uiPriority w:val="0"/>
    <w:pPr>
      <w:widowControl/>
    </w:pPr>
    <w:rPr>
      <w:rFonts w:ascii="Calibri" w:hAnsi="Calibri" w:cs="宋体"/>
      <w:kern w:val="0"/>
      <w:szCs w:val="21"/>
    </w:rPr>
  </w:style>
  <w:style w:type="paragraph" w:customStyle="1" w:styleId="87">
    <w:name w:val="列出段落1"/>
    <w:basedOn w:val="1"/>
    <w:autoRedefine/>
    <w:qFormat/>
    <w:uiPriority w:val="0"/>
    <w:pPr>
      <w:ind w:firstLine="420" w:firstLineChars="200"/>
    </w:pPr>
    <w:rPr>
      <w:sz w:val="28"/>
      <w:szCs w:val="28"/>
    </w:rPr>
  </w:style>
  <w:style w:type="paragraph" w:customStyle="1" w:styleId="88">
    <w:name w:val="样式1"/>
    <w:basedOn w:val="1"/>
    <w:next w:val="7"/>
    <w:autoRedefine/>
    <w:qFormat/>
    <w:uiPriority w:val="0"/>
    <w:pPr>
      <w:spacing w:line="360" w:lineRule="auto"/>
      <w:ind w:firstLine="420" w:firstLineChars="200"/>
    </w:pPr>
    <w:rPr>
      <w:rFonts w:ascii="宋体" w:hAnsi="宋体"/>
      <w:szCs w:val="21"/>
    </w:rPr>
  </w:style>
  <w:style w:type="paragraph" w:customStyle="1" w:styleId="89">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0">
    <w:name w:val="Char9 Char Char Char Char Char Char"/>
    <w:basedOn w:val="16"/>
    <w:autoRedefine/>
    <w:qFormat/>
    <w:uiPriority w:val="0"/>
    <w:pPr>
      <w:spacing w:line="360" w:lineRule="auto"/>
      <w:ind w:firstLine="200" w:firstLineChars="200"/>
    </w:pPr>
    <w:rPr>
      <w:rFonts w:ascii="Tahoma" w:hAnsi="Tahoma"/>
      <w:sz w:val="24"/>
    </w:rPr>
  </w:style>
  <w:style w:type="paragraph" w:customStyle="1" w:styleId="91">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92">
    <w:name w:val="引用1"/>
    <w:basedOn w:val="1"/>
    <w:next w:val="1"/>
    <w:link w:val="161"/>
    <w:autoRedefine/>
    <w:qFormat/>
    <w:uiPriority w:val="29"/>
    <w:rPr>
      <w:i/>
      <w:iCs/>
      <w:color w:val="000000"/>
      <w:szCs w:val="20"/>
    </w:rPr>
  </w:style>
  <w:style w:type="paragraph" w:customStyle="1" w:styleId="93">
    <w:name w:val="表格文字"/>
    <w:basedOn w:val="1"/>
    <w:autoRedefine/>
    <w:qFormat/>
    <w:uiPriority w:val="0"/>
    <w:pPr>
      <w:adjustRightInd w:val="0"/>
      <w:spacing w:line="420" w:lineRule="atLeast"/>
      <w:jc w:val="left"/>
      <w:textAlignment w:val="baseline"/>
    </w:pPr>
    <w:rPr>
      <w:kern w:val="0"/>
      <w:szCs w:val="20"/>
    </w:rPr>
  </w:style>
  <w:style w:type="paragraph" w:customStyle="1" w:styleId="94">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9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96">
    <w:name w:val="_Style 105"/>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7">
    <w:name w:val="正  文"/>
    <w:basedOn w:val="1"/>
    <w:autoRedefine/>
    <w:qFormat/>
    <w:uiPriority w:val="0"/>
    <w:pPr>
      <w:spacing w:line="360" w:lineRule="auto"/>
      <w:ind w:firstLine="200" w:firstLineChars="200"/>
    </w:pPr>
    <w:rPr>
      <w:rFonts w:ascii="宋体" w:hAnsi="Calibri"/>
      <w:sz w:val="24"/>
    </w:rPr>
  </w:style>
  <w:style w:type="paragraph" w:customStyle="1" w:styleId="98">
    <w:name w:val="标题4"/>
    <w:basedOn w:val="5"/>
    <w:next w:val="21"/>
    <w:link w:val="254"/>
    <w:autoRedefine/>
    <w:qFormat/>
    <w:uiPriority w:val="0"/>
    <w:pPr>
      <w:spacing w:line="413" w:lineRule="auto"/>
    </w:pPr>
    <w:rPr>
      <w:rFonts w:ascii="Arial" w:hAnsi="Arial"/>
      <w:kern w:val="0"/>
      <w:sz w:val="24"/>
    </w:rPr>
  </w:style>
  <w:style w:type="paragraph" w:customStyle="1" w:styleId="99">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0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03">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04">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5">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106">
    <w:name w:val="1 Char"/>
    <w:basedOn w:val="1"/>
    <w:autoRedefine/>
    <w:qFormat/>
    <w:uiPriority w:val="0"/>
    <w:pPr>
      <w:widowControl/>
      <w:spacing w:after="160" w:line="240" w:lineRule="exact"/>
      <w:jc w:val="left"/>
    </w:pPr>
    <w:rPr>
      <w:rFonts w:ascii="Calibri" w:hAnsi="Calibri"/>
      <w:szCs w:val="20"/>
    </w:rPr>
  </w:style>
  <w:style w:type="paragraph" w:customStyle="1" w:styleId="10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08">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109">
    <w:name w:val="TOC 标题1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0">
    <w:name w:val="p15"/>
    <w:basedOn w:val="1"/>
    <w:autoRedefine/>
    <w:qFormat/>
    <w:uiPriority w:val="0"/>
    <w:pPr>
      <w:widowControl/>
      <w:spacing w:after="120"/>
    </w:pPr>
    <w:rPr>
      <w:kern w:val="0"/>
      <w:szCs w:val="21"/>
    </w:rPr>
  </w:style>
  <w:style w:type="paragraph" w:customStyle="1" w:styleId="11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2">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13">
    <w:name w:val="_Style 124"/>
    <w:basedOn w:val="1"/>
    <w:next w:val="1"/>
    <w:link w:val="208"/>
    <w:autoRedefine/>
    <w:qFormat/>
    <w:uiPriority w:val="0"/>
    <w:rPr>
      <w:i/>
      <w:iCs/>
      <w:color w:val="000000"/>
      <w:szCs w:val="22"/>
    </w:rPr>
  </w:style>
  <w:style w:type="paragraph" w:customStyle="1" w:styleId="114">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1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16">
    <w:name w:val="Char Char"/>
    <w:basedOn w:val="1"/>
    <w:qFormat/>
    <w:uiPriority w:val="0"/>
    <w:pPr>
      <w:widowControl/>
      <w:jc w:val="left"/>
    </w:pPr>
    <w:rPr>
      <w:rFonts w:ascii="Verdana" w:hAnsi="Verdana" w:eastAsia="Times New Roman"/>
      <w:kern w:val="0"/>
      <w:sz w:val="16"/>
      <w:szCs w:val="20"/>
      <w:lang w:eastAsia="en-US"/>
    </w:rPr>
  </w:style>
  <w:style w:type="paragraph" w:customStyle="1" w:styleId="117">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8">
    <w:name w:val="pa-27"/>
    <w:basedOn w:val="1"/>
    <w:autoRedefine/>
    <w:qFormat/>
    <w:uiPriority w:val="0"/>
    <w:pPr>
      <w:widowControl/>
      <w:spacing w:line="360" w:lineRule="atLeast"/>
      <w:ind w:firstLine="420"/>
    </w:pPr>
    <w:rPr>
      <w:rFonts w:ascii="宋体" w:hAnsi="宋体" w:cs="宋体"/>
      <w:kern w:val="0"/>
      <w:sz w:val="24"/>
    </w:rPr>
  </w:style>
  <w:style w:type="paragraph" w:customStyle="1" w:styleId="119">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1">
    <w:name w:val="表格"/>
    <w:basedOn w:val="1"/>
    <w:autoRedefine/>
    <w:qFormat/>
    <w:uiPriority w:val="0"/>
    <w:pPr>
      <w:jc w:val="center"/>
      <w:textAlignment w:val="center"/>
    </w:pPr>
    <w:rPr>
      <w:rFonts w:ascii="华文细黑" w:hAnsi="华文细黑"/>
      <w:kern w:val="0"/>
      <w:szCs w:val="20"/>
    </w:rPr>
  </w:style>
  <w:style w:type="paragraph" w:customStyle="1" w:styleId="122">
    <w:name w:val="明显引用1"/>
    <w:basedOn w:val="1"/>
    <w:next w:val="1"/>
    <w:link w:val="309"/>
    <w:qFormat/>
    <w:uiPriority w:val="30"/>
    <w:pPr>
      <w:pBdr>
        <w:bottom w:val="single" w:color="4F81BD" w:sz="4" w:space="4"/>
      </w:pBdr>
      <w:spacing w:before="200" w:after="280"/>
      <w:ind w:left="936" w:right="936"/>
    </w:pPr>
    <w:rPr>
      <w:b/>
      <w:bCs/>
      <w:i/>
      <w:iCs/>
      <w:color w:val="4F81BD"/>
      <w:szCs w:val="20"/>
    </w:rPr>
  </w:style>
  <w:style w:type="paragraph" w:customStyle="1" w:styleId="123">
    <w:name w:val="样式15"/>
    <w:basedOn w:val="6"/>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24">
    <w:name w:val="TOC 标题2"/>
    <w:basedOn w:val="4"/>
    <w:next w:val="1"/>
    <w:autoRedefine/>
    <w:unhideWhenUsed/>
    <w:qFormat/>
    <w:uiPriority w:val="0"/>
    <w:pPr>
      <w:outlineLvl w:val="9"/>
    </w:pPr>
    <w:rPr>
      <w:rFonts w:ascii="Calibri" w:hAnsi="Calibri"/>
    </w:rPr>
  </w:style>
  <w:style w:type="paragraph" w:customStyle="1" w:styleId="125">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标题5"/>
    <w:basedOn w:val="6"/>
    <w:link w:val="176"/>
    <w:autoRedefine/>
    <w:qFormat/>
    <w:uiPriority w:val="0"/>
    <w:pPr>
      <w:spacing w:line="413" w:lineRule="auto"/>
    </w:pPr>
    <w:rPr>
      <w:rFonts w:ascii="Arial" w:hAnsi="Arial"/>
      <w:kern w:val="0"/>
      <w:sz w:val="24"/>
    </w:rPr>
  </w:style>
  <w:style w:type="paragraph" w:customStyle="1" w:styleId="128">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29">
    <w:name w:val="_Style 64"/>
    <w:basedOn w:val="1"/>
    <w:next w:val="1"/>
    <w:link w:val="308"/>
    <w:autoRedefine/>
    <w:qFormat/>
    <w:uiPriority w:val="0"/>
    <w:pPr>
      <w:pBdr>
        <w:bottom w:val="single" w:color="4F81BD" w:sz="4" w:space="4"/>
      </w:pBdr>
      <w:spacing w:before="200" w:after="280"/>
      <w:ind w:left="936" w:right="936"/>
    </w:pPr>
    <w:rPr>
      <w:b/>
      <w:bCs/>
      <w:i/>
      <w:iCs/>
      <w:color w:val="4F81BD"/>
      <w:szCs w:val="22"/>
    </w:rPr>
  </w:style>
  <w:style w:type="paragraph" w:customStyle="1" w:styleId="130">
    <w:name w:val="_Style 128"/>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1">
    <w:name w:val="Char2"/>
    <w:basedOn w:val="1"/>
    <w:qFormat/>
    <w:uiPriority w:val="0"/>
    <w:rPr>
      <w:rFonts w:ascii="Calibri" w:hAnsi="Calibri"/>
    </w:rPr>
  </w:style>
  <w:style w:type="paragraph" w:customStyle="1" w:styleId="132">
    <w:name w:val="_Style 87"/>
    <w:basedOn w:val="1"/>
    <w:qFormat/>
    <w:uiPriority w:val="99"/>
    <w:pPr>
      <w:ind w:firstLine="420" w:firstLineChars="200"/>
    </w:pPr>
    <w:rPr>
      <w:rFonts w:ascii="Calibri" w:hAnsi="Calibri"/>
      <w:sz w:val="28"/>
      <w:szCs w:val="28"/>
    </w:rPr>
  </w:style>
  <w:style w:type="paragraph" w:customStyle="1" w:styleId="133">
    <w:name w:val="自定样式1"/>
    <w:basedOn w:val="1"/>
    <w:autoRedefine/>
    <w:qFormat/>
    <w:uiPriority w:val="0"/>
    <w:pPr>
      <w:suppressAutoHyphens/>
      <w:jc w:val="center"/>
    </w:pPr>
    <w:rPr>
      <w:rFonts w:ascii="宋体" w:hAnsi="宋体"/>
      <w:color w:val="000000"/>
      <w:sz w:val="18"/>
    </w:rPr>
  </w:style>
  <w:style w:type="paragraph" w:customStyle="1" w:styleId="134">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Char"/>
    <w:basedOn w:val="1"/>
    <w:autoRedefine/>
    <w:qFormat/>
    <w:uiPriority w:val="0"/>
  </w:style>
  <w:style w:type="paragraph" w:customStyle="1" w:styleId="136">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7">
    <w:name w:val="列表段落1"/>
    <w:basedOn w:val="1"/>
    <w:autoRedefine/>
    <w:qFormat/>
    <w:uiPriority w:val="34"/>
    <w:pPr>
      <w:ind w:firstLine="420" w:firstLineChars="200"/>
    </w:pPr>
    <w:rPr>
      <w:rFonts w:ascii="Calibri" w:hAnsi="Calibri"/>
    </w:rPr>
  </w:style>
  <w:style w:type="paragraph" w:customStyle="1" w:styleId="138">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9">
    <w:name w:val="表体"/>
    <w:basedOn w:val="1"/>
    <w:next w:val="1"/>
    <w:autoRedefine/>
    <w:qFormat/>
    <w:uiPriority w:val="0"/>
    <w:pPr>
      <w:spacing w:line="0" w:lineRule="atLeast"/>
    </w:pPr>
    <w:rPr>
      <w:rFonts w:ascii="Calibri" w:hAnsi="Calibri"/>
      <w:b/>
      <w:snapToGrid w:val="0"/>
      <w:szCs w:val="20"/>
    </w:rPr>
  </w:style>
  <w:style w:type="paragraph" w:customStyle="1" w:styleId="140">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42">
    <w:name w:val="Char Char1 Char Char"/>
    <w:basedOn w:val="16"/>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43">
    <w:name w:val="Char11"/>
    <w:basedOn w:val="1"/>
    <w:qFormat/>
    <w:uiPriority w:val="0"/>
  </w:style>
  <w:style w:type="paragraph" w:customStyle="1" w:styleId="144">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45">
    <w:name w:val="样式 标题 3 + (中文) 黑体 小四 非加粗 段前: 7.8 磅 段后: 0 磅 行距: 固定值 20 磅"/>
    <w:basedOn w:val="6"/>
    <w:next w:val="1"/>
    <w:autoRedefine/>
    <w:qFormat/>
    <w:uiPriority w:val="0"/>
    <w:pPr>
      <w:spacing w:before="0" w:after="0" w:line="400" w:lineRule="exact"/>
    </w:pPr>
    <w:rPr>
      <w:rFonts w:eastAsia="黑体" w:cs="宋体"/>
      <w:b w:val="0"/>
      <w:bCs w:val="0"/>
      <w:sz w:val="24"/>
      <w:szCs w:val="20"/>
    </w:rPr>
  </w:style>
  <w:style w:type="paragraph" w:customStyle="1" w:styleId="146">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47">
    <w:name w:val="Char1"/>
    <w:basedOn w:val="1"/>
    <w:qFormat/>
    <w:uiPriority w:val="0"/>
  </w:style>
  <w:style w:type="paragraph" w:customStyle="1" w:styleId="148">
    <w:name w:val="TOC 标题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9">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5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5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3">
    <w:name w:val="正文文本 Char2"/>
    <w:autoRedefine/>
    <w:qFormat/>
    <w:uiPriority w:val="99"/>
    <w:rPr>
      <w:kern w:val="2"/>
      <w:sz w:val="21"/>
      <w:szCs w:val="24"/>
    </w:rPr>
  </w:style>
  <w:style w:type="character" w:customStyle="1" w:styleId="154">
    <w:name w:val="尾注文本 Char1"/>
    <w:autoRedefine/>
    <w:qFormat/>
    <w:uiPriority w:val="0"/>
    <w:rPr>
      <w:rFonts w:ascii="Arial" w:hAnsi="Arial" w:cs="Arial"/>
      <w:szCs w:val="24"/>
      <w:lang w:eastAsia="en-US"/>
    </w:rPr>
  </w:style>
  <w:style w:type="character" w:customStyle="1" w:styleId="155">
    <w:name w:val="脚注文本 Char"/>
    <w:autoRedefine/>
    <w:qFormat/>
    <w:uiPriority w:val="0"/>
    <w:rPr>
      <w:rFonts w:ascii="Arial" w:hAnsi="Arial" w:eastAsia="宋体" w:cs="Arial"/>
      <w:sz w:val="18"/>
      <w:szCs w:val="18"/>
      <w:lang w:eastAsia="en-US"/>
    </w:rPr>
  </w:style>
  <w:style w:type="character" w:customStyle="1" w:styleId="156">
    <w:name w:val="Char Char17"/>
    <w:autoRedefine/>
    <w:qFormat/>
    <w:uiPriority w:val="0"/>
    <w:rPr>
      <w:kern w:val="2"/>
      <w:sz w:val="26"/>
      <w:szCs w:val="24"/>
    </w:rPr>
  </w:style>
  <w:style w:type="character" w:customStyle="1" w:styleId="157">
    <w:name w:val="副标题 Char1"/>
    <w:autoRedefine/>
    <w:qFormat/>
    <w:uiPriority w:val="0"/>
    <w:rPr>
      <w:szCs w:val="24"/>
      <w:u w:val="single"/>
      <w:lang w:eastAsia="en-US"/>
    </w:rPr>
  </w:style>
  <w:style w:type="character" w:customStyle="1" w:styleId="158">
    <w:name w:val="标题 Char1"/>
    <w:qFormat/>
    <w:uiPriority w:val="10"/>
    <w:rPr>
      <w:szCs w:val="24"/>
      <w:u w:val="single"/>
      <w:lang w:eastAsia="en-US"/>
    </w:rPr>
  </w:style>
  <w:style w:type="character" w:customStyle="1" w:styleId="159">
    <w:name w:val="Char Char24"/>
    <w:autoRedefine/>
    <w:qFormat/>
    <w:uiPriority w:val="0"/>
    <w:rPr>
      <w:b/>
      <w:bCs/>
      <w:kern w:val="44"/>
      <w:sz w:val="44"/>
      <w:szCs w:val="44"/>
    </w:rPr>
  </w:style>
  <w:style w:type="character" w:customStyle="1" w:styleId="160">
    <w:name w:val="批注主题 Char"/>
    <w:autoRedefine/>
    <w:qFormat/>
    <w:uiPriority w:val="0"/>
    <w:rPr>
      <w:rFonts w:ascii="宋体" w:hAnsi="宋体" w:eastAsia="宋体"/>
      <w:kern w:val="2"/>
      <w:sz w:val="24"/>
      <w:szCs w:val="28"/>
      <w:lang w:val="en-US" w:eastAsia="zh-CN" w:bidi="ar-SA"/>
    </w:rPr>
  </w:style>
  <w:style w:type="character" w:customStyle="1" w:styleId="161">
    <w:name w:val="引用 Char1"/>
    <w:link w:val="92"/>
    <w:autoRedefine/>
    <w:qFormat/>
    <w:uiPriority w:val="29"/>
    <w:rPr>
      <w:i/>
      <w:iCs/>
      <w:color w:val="000000"/>
      <w:kern w:val="2"/>
      <w:sz w:val="21"/>
    </w:rPr>
  </w:style>
  <w:style w:type="character" w:customStyle="1" w:styleId="162">
    <w:name w:val="Char Char23"/>
    <w:autoRedefine/>
    <w:qFormat/>
    <w:uiPriority w:val="0"/>
    <w:rPr>
      <w:rFonts w:ascii="Cambria" w:hAnsi="Cambria" w:eastAsia="宋体" w:cs="Times New Roman"/>
      <w:b/>
      <w:bCs/>
      <w:kern w:val="2"/>
      <w:sz w:val="32"/>
      <w:szCs w:val="32"/>
    </w:rPr>
  </w:style>
  <w:style w:type="character" w:customStyle="1" w:styleId="163">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64">
    <w:name w:val="标题 9 Char1"/>
    <w:autoRedefine/>
    <w:qFormat/>
    <w:uiPriority w:val="0"/>
    <w:rPr>
      <w:rFonts w:ascii="Times New Roman" w:hAnsi="Times New Roman" w:eastAsia="仿宋_GB2312" w:cs="Times New Roman"/>
      <w:sz w:val="30"/>
      <w:szCs w:val="20"/>
    </w:rPr>
  </w:style>
  <w:style w:type="character" w:customStyle="1" w:styleId="165">
    <w:name w:val="正文文本 Char1"/>
    <w:autoRedefine/>
    <w:qFormat/>
    <w:uiPriority w:val="0"/>
    <w:rPr>
      <w:kern w:val="2"/>
      <w:sz w:val="21"/>
      <w:szCs w:val="22"/>
    </w:rPr>
  </w:style>
  <w:style w:type="character" w:customStyle="1" w:styleId="166">
    <w:name w:val="引用 Char2"/>
    <w:autoRedefine/>
    <w:qFormat/>
    <w:uiPriority w:val="99"/>
    <w:rPr>
      <w:i/>
      <w:iCs/>
      <w:color w:val="000000"/>
      <w:kern w:val="2"/>
      <w:sz w:val="21"/>
      <w:szCs w:val="24"/>
    </w:rPr>
  </w:style>
  <w:style w:type="character" w:customStyle="1" w:styleId="167">
    <w:name w:val="正文文本 Char3"/>
    <w:autoRedefine/>
    <w:semiHidden/>
    <w:qFormat/>
    <w:uiPriority w:val="99"/>
    <w:rPr>
      <w:rFonts w:ascii="Calibri" w:hAnsi="Calibri" w:eastAsia="宋体" w:cs="Times New Roman"/>
      <w:szCs w:val="24"/>
    </w:rPr>
  </w:style>
  <w:style w:type="character" w:customStyle="1" w:styleId="168">
    <w:name w:val="日期 Char4"/>
    <w:link w:val="26"/>
    <w:autoRedefine/>
    <w:qFormat/>
    <w:uiPriority w:val="0"/>
    <w:rPr>
      <w:rFonts w:eastAsia="宋体"/>
      <w:kern w:val="2"/>
      <w:sz w:val="21"/>
      <w:szCs w:val="24"/>
      <w:lang w:val="en-US" w:eastAsia="zh-CN" w:bidi="ar-SA"/>
    </w:rPr>
  </w:style>
  <w:style w:type="character" w:customStyle="1" w:styleId="169">
    <w:name w:val="标题 2 Char"/>
    <w:autoRedefine/>
    <w:qFormat/>
    <w:uiPriority w:val="0"/>
    <w:rPr>
      <w:rFonts w:ascii="仿宋_GB2312" w:hAnsi="Calibri" w:eastAsia="仿宋_GB2312" w:cs="Times New Roman"/>
      <w:b/>
      <w:spacing w:val="1"/>
      <w:w w:val="99"/>
      <w:kern w:val="0"/>
      <w:sz w:val="28"/>
      <w:szCs w:val="32"/>
    </w:rPr>
  </w:style>
  <w:style w:type="character" w:customStyle="1" w:styleId="170">
    <w:name w:val="标题 7 Char"/>
    <w:autoRedefine/>
    <w:qFormat/>
    <w:uiPriority w:val="0"/>
    <w:rPr>
      <w:rFonts w:ascii="Calibri" w:hAnsi="Calibri" w:eastAsia="宋体" w:cs="Times New Roman"/>
      <w:b/>
      <w:bCs/>
      <w:sz w:val="24"/>
      <w:szCs w:val="24"/>
    </w:rPr>
  </w:style>
  <w:style w:type="character" w:customStyle="1" w:styleId="171">
    <w:name w:val="批注框文本 Char1"/>
    <w:autoRedefine/>
    <w:qFormat/>
    <w:uiPriority w:val="0"/>
    <w:rPr>
      <w:kern w:val="2"/>
      <w:sz w:val="18"/>
      <w:szCs w:val="18"/>
    </w:rPr>
  </w:style>
  <w:style w:type="character" w:customStyle="1" w:styleId="172">
    <w:name w:val="日期 Char1"/>
    <w:autoRedefine/>
    <w:qFormat/>
    <w:uiPriority w:val="0"/>
    <w:rPr>
      <w:kern w:val="2"/>
      <w:sz w:val="21"/>
      <w:szCs w:val="22"/>
    </w:rPr>
  </w:style>
  <w:style w:type="character" w:customStyle="1" w:styleId="173">
    <w:name w:val="_Style 171"/>
    <w:autoRedefine/>
    <w:qFormat/>
    <w:uiPriority w:val="0"/>
    <w:rPr>
      <w:b/>
      <w:bCs/>
      <w:i/>
      <w:iCs/>
      <w:color w:val="4F81BD"/>
    </w:rPr>
  </w:style>
  <w:style w:type="character" w:customStyle="1" w:styleId="174">
    <w:name w:val="Char Char22"/>
    <w:autoRedefine/>
    <w:qFormat/>
    <w:uiPriority w:val="0"/>
    <w:rPr>
      <w:b/>
      <w:bCs/>
      <w:kern w:val="2"/>
      <w:sz w:val="32"/>
      <w:szCs w:val="32"/>
    </w:rPr>
  </w:style>
  <w:style w:type="character" w:customStyle="1" w:styleId="175">
    <w:name w:val="标题 6 Char1"/>
    <w:autoRedefine/>
    <w:qFormat/>
    <w:uiPriority w:val="0"/>
    <w:rPr>
      <w:rFonts w:ascii="Times New Roman" w:hAnsi="Arial" w:eastAsia="仿宋_GB2312" w:cs="Times New Roman"/>
      <w:sz w:val="30"/>
      <w:szCs w:val="20"/>
    </w:rPr>
  </w:style>
  <w:style w:type="character" w:customStyle="1" w:styleId="176">
    <w:name w:val="标题5 Char Char"/>
    <w:link w:val="127"/>
    <w:autoRedefine/>
    <w:qFormat/>
    <w:uiPriority w:val="0"/>
    <w:rPr>
      <w:rFonts w:ascii="Arial" w:hAnsi="Arial"/>
      <w:b/>
      <w:bCs/>
      <w:sz w:val="24"/>
      <w:szCs w:val="32"/>
      <w:lang w:bidi="ar-SA"/>
    </w:rPr>
  </w:style>
  <w:style w:type="character" w:customStyle="1" w:styleId="177">
    <w:name w:val="正文文本缩进 Char1"/>
    <w:autoRedefine/>
    <w:qFormat/>
    <w:uiPriority w:val="0"/>
    <w:rPr>
      <w:kern w:val="2"/>
      <w:sz w:val="21"/>
      <w:szCs w:val="24"/>
    </w:rPr>
  </w:style>
  <w:style w:type="character" w:customStyle="1" w:styleId="178">
    <w:name w:val="标题 4 Char1"/>
    <w:autoRedefine/>
    <w:qFormat/>
    <w:uiPriority w:val="0"/>
    <w:rPr>
      <w:rFonts w:ascii="宋体" w:hAnsi="宋体" w:eastAsia="宋体" w:cs="宋体"/>
      <w:b/>
      <w:bCs/>
      <w:sz w:val="24"/>
      <w:szCs w:val="24"/>
    </w:rPr>
  </w:style>
  <w:style w:type="character" w:customStyle="1" w:styleId="179">
    <w:name w:val="尾注文本 Char"/>
    <w:autoRedefine/>
    <w:qFormat/>
    <w:uiPriority w:val="0"/>
    <w:rPr>
      <w:kern w:val="2"/>
      <w:sz w:val="21"/>
      <w:szCs w:val="24"/>
    </w:rPr>
  </w:style>
  <w:style w:type="character" w:customStyle="1" w:styleId="180">
    <w:name w:val="HTML 预设格式 Char3"/>
    <w:link w:val="41"/>
    <w:autoRedefine/>
    <w:qFormat/>
    <w:uiPriority w:val="0"/>
    <w:rPr>
      <w:rFonts w:ascii="宋体" w:hAnsi="宋体" w:eastAsia="宋体" w:cs="宋体"/>
      <w:color w:val="000000"/>
      <w:sz w:val="24"/>
      <w:szCs w:val="24"/>
      <w:lang w:val="en-US" w:eastAsia="zh-CN" w:bidi="ar-SA"/>
    </w:rPr>
  </w:style>
  <w:style w:type="character" w:customStyle="1" w:styleId="181">
    <w:name w:val="尾注文本 Char2"/>
    <w:autoRedefine/>
    <w:semiHidden/>
    <w:qFormat/>
    <w:uiPriority w:val="99"/>
    <w:rPr>
      <w:rFonts w:ascii="Calibri" w:hAnsi="Calibri" w:eastAsia="宋体" w:cs="Times New Roman"/>
      <w:szCs w:val="24"/>
    </w:rPr>
  </w:style>
  <w:style w:type="character" w:customStyle="1" w:styleId="182">
    <w:name w:val="明显强调1"/>
    <w:autoRedefine/>
    <w:qFormat/>
    <w:uiPriority w:val="0"/>
    <w:rPr>
      <w:b/>
      <w:bCs/>
      <w:i/>
      <w:iCs/>
      <w:color w:val="4F81BD"/>
    </w:rPr>
  </w:style>
  <w:style w:type="character" w:customStyle="1" w:styleId="183">
    <w:name w:val="正文文本 Char"/>
    <w:autoRedefine/>
    <w:qFormat/>
    <w:uiPriority w:val="99"/>
    <w:rPr>
      <w:sz w:val="26"/>
      <w:szCs w:val="24"/>
    </w:rPr>
  </w:style>
  <w:style w:type="character" w:customStyle="1" w:styleId="184">
    <w:name w:val="脚注文本 Char2"/>
    <w:autoRedefine/>
    <w:semiHidden/>
    <w:qFormat/>
    <w:uiPriority w:val="99"/>
    <w:rPr>
      <w:rFonts w:ascii="Calibri" w:hAnsi="Calibri" w:eastAsia="宋体" w:cs="Times New Roman"/>
      <w:sz w:val="18"/>
      <w:szCs w:val="18"/>
    </w:rPr>
  </w:style>
  <w:style w:type="character" w:customStyle="1" w:styleId="185">
    <w:name w:val="正文文本 2 Char1"/>
    <w:autoRedefine/>
    <w:semiHidden/>
    <w:qFormat/>
    <w:uiPriority w:val="99"/>
    <w:rPr>
      <w:rFonts w:ascii="Calibri" w:hAnsi="Calibri" w:eastAsia="宋体" w:cs="Times New Roman"/>
      <w:szCs w:val="24"/>
    </w:rPr>
  </w:style>
  <w:style w:type="character" w:customStyle="1" w:styleId="186">
    <w:name w:val="_Style 248"/>
    <w:autoRedefine/>
    <w:qFormat/>
    <w:uiPriority w:val="0"/>
    <w:rPr>
      <w:b/>
      <w:bCs/>
      <w:smallCaps/>
      <w:spacing w:val="5"/>
    </w:rPr>
  </w:style>
  <w:style w:type="character" w:customStyle="1" w:styleId="187">
    <w:name w:val="明显引用 Char3"/>
    <w:autoRedefine/>
    <w:qFormat/>
    <w:uiPriority w:val="30"/>
    <w:rPr>
      <w:rFonts w:ascii="Calibri" w:hAnsi="Calibri" w:eastAsia="宋体" w:cs="Times New Roman"/>
      <w:b/>
      <w:bCs/>
      <w:i/>
      <w:iCs/>
      <w:color w:val="4F81BD"/>
      <w:szCs w:val="24"/>
    </w:rPr>
  </w:style>
  <w:style w:type="character" w:customStyle="1" w:styleId="188">
    <w:name w:val="_Style 254"/>
    <w:autoRedefine/>
    <w:qFormat/>
    <w:uiPriority w:val="0"/>
    <w:rPr>
      <w:b/>
      <w:bCs/>
      <w:smallCaps/>
      <w:color w:val="C0504D"/>
      <w:spacing w:val="5"/>
      <w:u w:val="single"/>
    </w:rPr>
  </w:style>
  <w:style w:type="character" w:customStyle="1" w:styleId="189">
    <w:name w:val="正文文本缩进 Char2"/>
    <w:autoRedefine/>
    <w:semiHidden/>
    <w:qFormat/>
    <w:uiPriority w:val="99"/>
    <w:rPr>
      <w:rFonts w:ascii="Calibri" w:hAnsi="Calibri" w:eastAsia="宋体" w:cs="Times New Roman"/>
      <w:szCs w:val="24"/>
    </w:rPr>
  </w:style>
  <w:style w:type="character" w:customStyle="1" w:styleId="190">
    <w:name w:val="标题 4 Char2"/>
    <w:link w:val="7"/>
    <w:autoRedefine/>
    <w:qFormat/>
    <w:uiPriority w:val="0"/>
    <w:rPr>
      <w:rFonts w:ascii="宋体" w:hAnsi="宋体" w:eastAsia="宋体" w:cs="宋体"/>
      <w:b/>
      <w:bCs/>
      <w:sz w:val="24"/>
      <w:szCs w:val="24"/>
      <w:lang w:val="en-US" w:eastAsia="zh-CN" w:bidi="ar-SA"/>
    </w:rPr>
  </w:style>
  <w:style w:type="character" w:customStyle="1" w:styleId="191">
    <w:name w:val="正文文本缩进 3 Char"/>
    <w:autoRedefine/>
    <w:qFormat/>
    <w:uiPriority w:val="0"/>
    <w:rPr>
      <w:kern w:val="2"/>
      <w:sz w:val="16"/>
      <w:szCs w:val="16"/>
    </w:rPr>
  </w:style>
  <w:style w:type="character" w:customStyle="1" w:styleId="192">
    <w:name w:val="尾注文本 Char3"/>
    <w:link w:val="28"/>
    <w:autoRedefine/>
    <w:qFormat/>
    <w:uiPriority w:val="0"/>
    <w:rPr>
      <w:rFonts w:ascii="Arial" w:hAnsi="Arial" w:eastAsia="宋体" w:cs="Arial"/>
      <w:szCs w:val="24"/>
      <w:lang w:val="en-US" w:eastAsia="en-US" w:bidi="ar-SA"/>
    </w:rPr>
  </w:style>
  <w:style w:type="character" w:customStyle="1" w:styleId="193">
    <w:name w:val="引用 Char3"/>
    <w:autoRedefine/>
    <w:qFormat/>
    <w:uiPriority w:val="29"/>
    <w:rPr>
      <w:rFonts w:ascii="Calibri" w:hAnsi="Calibri" w:eastAsia="宋体" w:cs="Times New Roman"/>
      <w:i/>
      <w:iCs/>
      <w:color w:val="000000"/>
      <w:szCs w:val="24"/>
    </w:rPr>
  </w:style>
  <w:style w:type="character" w:customStyle="1" w:styleId="194">
    <w:name w:val="Char Char32"/>
    <w:autoRedefine/>
    <w:qFormat/>
    <w:uiPriority w:val="0"/>
    <w:rPr>
      <w:rFonts w:ascii="仿宋_GB2312" w:eastAsia="仿宋_GB2312" w:cs="MingLiU"/>
      <w:b/>
      <w:spacing w:val="1"/>
      <w:w w:val="99"/>
      <w:sz w:val="28"/>
      <w:szCs w:val="32"/>
    </w:rPr>
  </w:style>
  <w:style w:type="character" w:customStyle="1" w:styleId="195">
    <w:name w:val="日期 Char"/>
    <w:autoRedefine/>
    <w:qFormat/>
    <w:uiPriority w:val="0"/>
    <w:rPr>
      <w:rFonts w:eastAsia="宋体"/>
      <w:szCs w:val="24"/>
    </w:rPr>
  </w:style>
  <w:style w:type="character" w:customStyle="1" w:styleId="196">
    <w:name w:val="页脚 Char"/>
    <w:autoRedefine/>
    <w:qFormat/>
    <w:uiPriority w:val="99"/>
    <w:rPr>
      <w:sz w:val="18"/>
      <w:szCs w:val="18"/>
    </w:rPr>
  </w:style>
  <w:style w:type="character" w:customStyle="1" w:styleId="197">
    <w:name w:val="style121"/>
    <w:autoRedefine/>
    <w:qFormat/>
    <w:uiPriority w:val="0"/>
    <w:rPr>
      <w:rFonts w:hint="eastAsia" w:ascii="宋体" w:hAnsi="宋体" w:eastAsia="宋体"/>
      <w:sz w:val="18"/>
      <w:szCs w:val="18"/>
    </w:rPr>
  </w:style>
  <w:style w:type="character" w:customStyle="1" w:styleId="198">
    <w:name w:val="ss16"/>
    <w:autoRedefine/>
    <w:qFormat/>
    <w:uiPriority w:val="0"/>
    <w:rPr>
      <w:rFonts w:hint="eastAsia" w:ascii="宋体" w:hAnsi="宋体" w:eastAsia="宋体"/>
      <w:color w:val="000000"/>
      <w:sz w:val="9"/>
      <w:szCs w:val="9"/>
    </w:rPr>
  </w:style>
  <w:style w:type="character" w:customStyle="1" w:styleId="199">
    <w:name w:val="textcontents"/>
    <w:autoRedefine/>
    <w:qFormat/>
    <w:uiPriority w:val="0"/>
    <w:rPr>
      <w:rFonts w:cs="Times New Roman"/>
    </w:rPr>
  </w:style>
  <w:style w:type="character" w:customStyle="1" w:styleId="200">
    <w:name w:val="14t1"/>
    <w:autoRedefine/>
    <w:qFormat/>
    <w:uiPriority w:val="0"/>
    <w:rPr>
      <w:rFonts w:hint="eastAsia" w:ascii="宋体" w:hAnsi="宋体" w:eastAsia="宋体"/>
      <w:sz w:val="11"/>
      <w:szCs w:val="11"/>
    </w:rPr>
  </w:style>
  <w:style w:type="character" w:customStyle="1" w:styleId="201">
    <w:name w:val="不明显参考1"/>
    <w:autoRedefine/>
    <w:qFormat/>
    <w:uiPriority w:val="0"/>
    <w:rPr>
      <w:smallCaps/>
      <w:color w:val="C0504D"/>
      <w:u w:val="single"/>
    </w:rPr>
  </w:style>
  <w:style w:type="character" w:customStyle="1" w:styleId="202">
    <w:name w:val="unnamed1"/>
    <w:basedOn w:val="48"/>
    <w:autoRedefine/>
    <w:qFormat/>
    <w:uiPriority w:val="0"/>
  </w:style>
  <w:style w:type="character" w:customStyle="1" w:styleId="203">
    <w:name w:val="批注主题 Char3"/>
    <w:autoRedefine/>
    <w:semiHidden/>
    <w:qFormat/>
    <w:uiPriority w:val="99"/>
    <w:rPr>
      <w:rFonts w:ascii="Calibri" w:hAnsi="Calibri" w:eastAsia="宋体" w:cs="Times New Roman"/>
      <w:b/>
      <w:bCs/>
      <w:szCs w:val="24"/>
    </w:rPr>
  </w:style>
  <w:style w:type="character" w:customStyle="1" w:styleId="204">
    <w:name w:val="标题 3 字符"/>
    <w:autoRedefine/>
    <w:qFormat/>
    <w:uiPriority w:val="0"/>
    <w:rPr>
      <w:rFonts w:eastAsia="宋体"/>
      <w:b/>
      <w:bCs/>
      <w:kern w:val="2"/>
      <w:sz w:val="32"/>
      <w:szCs w:val="32"/>
      <w:lang w:val="en-US" w:eastAsia="zh-CN" w:bidi="ar-SA"/>
    </w:rPr>
  </w:style>
  <w:style w:type="character" w:customStyle="1" w:styleId="205">
    <w:name w:val="标题 2 Char2"/>
    <w:link w:val="5"/>
    <w:autoRedefine/>
    <w:qFormat/>
    <w:uiPriority w:val="0"/>
    <w:rPr>
      <w:rFonts w:ascii="Cambria" w:hAnsi="Cambria" w:eastAsia="宋体"/>
      <w:b/>
      <w:bCs/>
      <w:kern w:val="2"/>
      <w:sz w:val="32"/>
      <w:szCs w:val="32"/>
      <w:lang w:val="en-US" w:eastAsia="zh-CN" w:bidi="ar-SA"/>
    </w:rPr>
  </w:style>
  <w:style w:type="character" w:customStyle="1" w:styleId="206">
    <w:name w:val="标题 6 Char2"/>
    <w:link w:val="9"/>
    <w:autoRedefine/>
    <w:qFormat/>
    <w:uiPriority w:val="0"/>
    <w:rPr>
      <w:rFonts w:hAnsi="Arial" w:eastAsia="仿宋_GB2312"/>
      <w:sz w:val="30"/>
      <w:lang w:val="en-US" w:eastAsia="zh-CN" w:bidi="ar-SA"/>
    </w:rPr>
  </w:style>
  <w:style w:type="character" w:customStyle="1" w:styleId="207">
    <w:name w:val="页脚 Char2"/>
    <w:link w:val="30"/>
    <w:autoRedefine/>
    <w:qFormat/>
    <w:uiPriority w:val="0"/>
    <w:rPr>
      <w:rFonts w:eastAsia="宋体"/>
      <w:kern w:val="2"/>
      <w:sz w:val="18"/>
      <w:szCs w:val="18"/>
      <w:lang w:val="en-US" w:eastAsia="zh-CN" w:bidi="ar-SA"/>
    </w:rPr>
  </w:style>
  <w:style w:type="character" w:customStyle="1" w:styleId="208">
    <w:name w:val="引用 Char4"/>
    <w:link w:val="113"/>
    <w:autoRedefine/>
    <w:qFormat/>
    <w:uiPriority w:val="0"/>
    <w:rPr>
      <w:i/>
      <w:iCs/>
      <w:color w:val="000000"/>
      <w:kern w:val="2"/>
      <w:sz w:val="21"/>
      <w:szCs w:val="22"/>
      <w:lang w:bidi="ar-SA"/>
    </w:rPr>
  </w:style>
  <w:style w:type="character" w:customStyle="1" w:styleId="209">
    <w:name w:val="标题 9 Char2"/>
    <w:link w:val="13"/>
    <w:autoRedefine/>
    <w:qFormat/>
    <w:uiPriority w:val="0"/>
    <w:rPr>
      <w:rFonts w:eastAsia="仿宋_GB2312"/>
      <w:sz w:val="30"/>
      <w:lang w:val="en-US" w:eastAsia="zh-CN" w:bidi="ar-SA"/>
    </w:rPr>
  </w:style>
  <w:style w:type="character" w:customStyle="1" w:styleId="210">
    <w:name w:val="标题 3 Char"/>
    <w:autoRedefine/>
    <w:qFormat/>
    <w:uiPriority w:val="99"/>
    <w:rPr>
      <w:rFonts w:ascii="仿宋_GB2312" w:hAnsi="Calibri" w:eastAsia="仿宋_GB2312" w:cs="Times New Roman"/>
      <w:b/>
      <w:kern w:val="0"/>
      <w:sz w:val="24"/>
      <w:szCs w:val="28"/>
    </w:rPr>
  </w:style>
  <w:style w:type="character" w:customStyle="1" w:styleId="211">
    <w:name w:val="批注文字 Char2"/>
    <w:autoRedefine/>
    <w:qFormat/>
    <w:uiPriority w:val="0"/>
    <w:rPr>
      <w:rFonts w:ascii="Calibri" w:hAnsi="Calibri" w:eastAsia="宋体" w:cs="Times New Roman"/>
      <w:szCs w:val="24"/>
    </w:rPr>
  </w:style>
  <w:style w:type="character" w:customStyle="1" w:styleId="212">
    <w:name w:val="normaltext1"/>
    <w:autoRedefine/>
    <w:qFormat/>
    <w:uiPriority w:val="0"/>
    <w:rPr>
      <w:rFonts w:hint="default" w:ascii="ˎ̥" w:hAnsi="ˎ̥"/>
      <w:sz w:val="9"/>
      <w:szCs w:val="9"/>
    </w:rPr>
  </w:style>
  <w:style w:type="character" w:customStyle="1" w:styleId="213">
    <w:name w:val="ca-141"/>
    <w:autoRedefine/>
    <w:qFormat/>
    <w:uiPriority w:val="0"/>
    <w:rPr>
      <w:rFonts w:hint="eastAsia" w:ascii="仿宋_GB2312" w:eastAsia="仿宋_GB2312"/>
      <w:sz w:val="21"/>
      <w:szCs w:val="21"/>
    </w:rPr>
  </w:style>
  <w:style w:type="character" w:customStyle="1" w:styleId="214">
    <w:name w:val="main_tdbg_7601"/>
    <w:autoRedefine/>
    <w:qFormat/>
    <w:uiPriority w:val="0"/>
    <w:rPr>
      <w:sz w:val="14"/>
      <w:szCs w:val="14"/>
    </w:rPr>
  </w:style>
  <w:style w:type="character" w:customStyle="1" w:styleId="215">
    <w:name w:val="文档结构图 Char4"/>
    <w:link w:val="16"/>
    <w:autoRedefine/>
    <w:qFormat/>
    <w:uiPriority w:val="0"/>
    <w:rPr>
      <w:rFonts w:eastAsia="宋体"/>
      <w:kern w:val="2"/>
      <w:sz w:val="21"/>
      <w:szCs w:val="24"/>
      <w:lang w:val="en-US" w:eastAsia="zh-CN" w:bidi="ar-SA"/>
    </w:rPr>
  </w:style>
  <w:style w:type="character" w:customStyle="1" w:styleId="216">
    <w:name w:val="批注框文本 Char3"/>
    <w:autoRedefine/>
    <w:semiHidden/>
    <w:qFormat/>
    <w:uiPriority w:val="99"/>
    <w:rPr>
      <w:rFonts w:ascii="Calibri" w:hAnsi="Calibri" w:eastAsia="宋体" w:cs="Times New Roman"/>
      <w:sz w:val="18"/>
      <w:szCs w:val="18"/>
    </w:rPr>
  </w:style>
  <w:style w:type="character" w:customStyle="1" w:styleId="217">
    <w:name w:val="Char Char9"/>
    <w:autoRedefine/>
    <w:qFormat/>
    <w:locked/>
    <w:uiPriority w:val="0"/>
    <w:rPr>
      <w:rFonts w:ascii="仿宋_GB2312" w:eastAsia="仿宋_GB2312" w:cs="MingLiU"/>
      <w:b/>
      <w:sz w:val="24"/>
      <w:szCs w:val="28"/>
      <w:lang w:val="en-US" w:eastAsia="zh-CN" w:bidi="ar-SA"/>
    </w:rPr>
  </w:style>
  <w:style w:type="character" w:customStyle="1" w:styleId="218">
    <w:name w:val="title11"/>
    <w:autoRedefine/>
    <w:qFormat/>
    <w:uiPriority w:val="0"/>
    <w:rPr>
      <w:b/>
      <w:bCs/>
      <w:color w:val="FFFFFF"/>
      <w:sz w:val="11"/>
      <w:szCs w:val="11"/>
    </w:rPr>
  </w:style>
  <w:style w:type="character" w:customStyle="1" w:styleId="219">
    <w:name w:val="批注框文本 Char4"/>
    <w:link w:val="29"/>
    <w:autoRedefine/>
    <w:qFormat/>
    <w:uiPriority w:val="0"/>
    <w:rPr>
      <w:rFonts w:eastAsia="宋体"/>
      <w:kern w:val="2"/>
      <w:sz w:val="18"/>
      <w:szCs w:val="18"/>
      <w:lang w:val="en-US" w:eastAsia="zh-CN" w:bidi="ar-SA"/>
    </w:rPr>
  </w:style>
  <w:style w:type="character" w:customStyle="1" w:styleId="220">
    <w:name w:val="标题 8 Char1"/>
    <w:autoRedefine/>
    <w:qFormat/>
    <w:uiPriority w:val="0"/>
    <w:rPr>
      <w:rFonts w:ascii="Times New Roman" w:hAnsi="Arial" w:eastAsia="仿宋_GB2312" w:cs="Times New Roman"/>
      <w:sz w:val="30"/>
      <w:szCs w:val="20"/>
    </w:rPr>
  </w:style>
  <w:style w:type="character" w:customStyle="1" w:styleId="221">
    <w:name w:val="标题 Char2"/>
    <w:autoRedefine/>
    <w:qFormat/>
    <w:uiPriority w:val="10"/>
    <w:rPr>
      <w:rFonts w:ascii="Cambria" w:hAnsi="Cambria" w:eastAsia="宋体" w:cs="Times New Roman"/>
      <w:b/>
      <w:bCs/>
      <w:sz w:val="32"/>
      <w:szCs w:val="32"/>
    </w:rPr>
  </w:style>
  <w:style w:type="character" w:customStyle="1" w:styleId="222">
    <w:name w:val="标题 Char3"/>
    <w:link w:val="44"/>
    <w:autoRedefine/>
    <w:qFormat/>
    <w:uiPriority w:val="0"/>
    <w:rPr>
      <w:rFonts w:eastAsia="宋体"/>
      <w:szCs w:val="24"/>
      <w:u w:val="single"/>
      <w:lang w:val="en-US" w:eastAsia="en-US" w:bidi="ar-SA"/>
    </w:rPr>
  </w:style>
  <w:style w:type="character" w:customStyle="1" w:styleId="223">
    <w:name w:val="批注主题 Char1"/>
    <w:autoRedefine/>
    <w:qFormat/>
    <w:uiPriority w:val="0"/>
    <w:rPr>
      <w:b/>
      <w:bCs/>
      <w:kern w:val="2"/>
      <w:sz w:val="21"/>
      <w:szCs w:val="22"/>
    </w:rPr>
  </w:style>
  <w:style w:type="character" w:customStyle="1" w:styleId="224">
    <w:name w:val="副标题 Char"/>
    <w:autoRedefine/>
    <w:qFormat/>
    <w:uiPriority w:val="99"/>
    <w:rPr>
      <w:rFonts w:ascii="Cambria" w:hAnsi="Cambria" w:eastAsia="宋体" w:cs="Times New Roman"/>
      <w:b/>
      <w:bCs/>
      <w:kern w:val="28"/>
      <w:sz w:val="32"/>
      <w:szCs w:val="32"/>
    </w:rPr>
  </w:style>
  <w:style w:type="character" w:customStyle="1" w:styleId="225">
    <w:name w:val="正文文本 Char4"/>
    <w:link w:val="3"/>
    <w:autoRedefine/>
    <w:qFormat/>
    <w:uiPriority w:val="0"/>
    <w:rPr>
      <w:rFonts w:eastAsia="宋体"/>
      <w:kern w:val="2"/>
      <w:sz w:val="21"/>
      <w:szCs w:val="24"/>
      <w:lang w:val="en-US" w:eastAsia="zh-CN" w:bidi="ar-SA"/>
    </w:rPr>
  </w:style>
  <w:style w:type="character" w:customStyle="1" w:styleId="226">
    <w:name w:val="纯文本 Char1"/>
    <w:autoRedefine/>
    <w:qFormat/>
    <w:uiPriority w:val="0"/>
    <w:rPr>
      <w:rFonts w:ascii="宋体" w:hAnsi="Courier New" w:cs="Courier New"/>
      <w:kern w:val="2"/>
      <w:sz w:val="21"/>
      <w:szCs w:val="21"/>
    </w:rPr>
  </w:style>
  <w:style w:type="character" w:customStyle="1" w:styleId="227">
    <w:name w:val="脚注文本 Char3"/>
    <w:link w:val="35"/>
    <w:autoRedefine/>
    <w:qFormat/>
    <w:uiPriority w:val="0"/>
    <w:rPr>
      <w:rFonts w:ascii="Arial" w:hAnsi="Arial" w:eastAsia="宋体" w:cs="Arial"/>
      <w:sz w:val="18"/>
      <w:szCs w:val="18"/>
      <w:lang w:val="en-US" w:eastAsia="en-US" w:bidi="ar-SA"/>
    </w:rPr>
  </w:style>
  <w:style w:type="character" w:customStyle="1" w:styleId="228">
    <w:name w:val="标题 2 Char1"/>
    <w:autoRedefine/>
    <w:qFormat/>
    <w:uiPriority w:val="0"/>
    <w:rPr>
      <w:rFonts w:ascii="Cambria" w:hAnsi="Cambria" w:eastAsia="宋体" w:cs="Times New Roman"/>
      <w:b/>
      <w:bCs/>
      <w:kern w:val="2"/>
      <w:sz w:val="32"/>
      <w:szCs w:val="32"/>
    </w:rPr>
  </w:style>
  <w:style w:type="character" w:customStyle="1" w:styleId="229">
    <w:name w:val="脚注文本 Char1"/>
    <w:autoRedefine/>
    <w:qFormat/>
    <w:uiPriority w:val="0"/>
    <w:rPr>
      <w:rFonts w:ascii="Arial" w:hAnsi="Arial" w:cs="Arial"/>
      <w:sz w:val="18"/>
      <w:szCs w:val="18"/>
      <w:lang w:eastAsia="en-US"/>
    </w:rPr>
  </w:style>
  <w:style w:type="character" w:customStyle="1" w:styleId="230">
    <w:name w:val="HTML 预设格式 Char2"/>
    <w:autoRedefine/>
    <w:semiHidden/>
    <w:qFormat/>
    <w:uiPriority w:val="99"/>
    <w:rPr>
      <w:rFonts w:ascii="Courier New" w:hAnsi="Courier New" w:eastAsia="宋体" w:cs="Courier New"/>
      <w:sz w:val="20"/>
      <w:szCs w:val="20"/>
    </w:rPr>
  </w:style>
  <w:style w:type="character" w:customStyle="1" w:styleId="231">
    <w:name w:val="标题 8 Char"/>
    <w:autoRedefine/>
    <w:qFormat/>
    <w:uiPriority w:val="0"/>
    <w:rPr>
      <w:rFonts w:ascii="Arial" w:hAnsi="Arial" w:eastAsia="黑体" w:cs="Times New Roman"/>
      <w:sz w:val="24"/>
      <w:szCs w:val="24"/>
    </w:rPr>
  </w:style>
  <w:style w:type="character" w:customStyle="1" w:styleId="232">
    <w:name w:val="s3"/>
    <w:autoRedefine/>
    <w:qFormat/>
    <w:uiPriority w:val="0"/>
  </w:style>
  <w:style w:type="character" w:customStyle="1" w:styleId="233">
    <w:name w:val="标题 4 Char"/>
    <w:autoRedefine/>
    <w:qFormat/>
    <w:uiPriority w:val="99"/>
    <w:rPr>
      <w:rFonts w:ascii="仿宋_GB2312" w:hAnsi="Calibri" w:eastAsia="仿宋_GB2312" w:cs="Times New Roman"/>
      <w:b/>
      <w:kern w:val="0"/>
      <w:sz w:val="24"/>
      <w:szCs w:val="28"/>
    </w:rPr>
  </w:style>
  <w:style w:type="character" w:customStyle="1" w:styleId="234">
    <w:name w:val="正文文本缩进 2 Char"/>
    <w:autoRedefine/>
    <w:qFormat/>
    <w:uiPriority w:val="0"/>
    <w:rPr>
      <w:kern w:val="2"/>
      <w:sz w:val="21"/>
      <w:szCs w:val="24"/>
    </w:rPr>
  </w:style>
  <w:style w:type="character" w:customStyle="1" w:styleId="235">
    <w:name w:val="style21"/>
    <w:autoRedefine/>
    <w:qFormat/>
    <w:uiPriority w:val="0"/>
    <w:rPr>
      <w:b/>
      <w:bCs/>
      <w:sz w:val="28"/>
      <w:szCs w:val="28"/>
    </w:rPr>
  </w:style>
  <w:style w:type="character" w:customStyle="1" w:styleId="236">
    <w:name w:val="正文文本缩进 2 Char2"/>
    <w:autoRedefine/>
    <w:semiHidden/>
    <w:qFormat/>
    <w:uiPriority w:val="99"/>
    <w:rPr>
      <w:rFonts w:ascii="Calibri" w:hAnsi="Calibri" w:eastAsia="宋体" w:cs="Times New Roman"/>
      <w:szCs w:val="24"/>
    </w:rPr>
  </w:style>
  <w:style w:type="character" w:customStyle="1" w:styleId="237">
    <w:name w:val="ht1"/>
    <w:autoRedefine/>
    <w:qFormat/>
    <w:uiPriority w:val="0"/>
    <w:rPr>
      <w:rFonts w:ascii="黑体" w:eastAsia="黑体"/>
      <w:b/>
      <w:bCs/>
    </w:rPr>
  </w:style>
  <w:style w:type="character" w:customStyle="1" w:styleId="238">
    <w:name w:val="文档结构图 Char3"/>
    <w:autoRedefine/>
    <w:semiHidden/>
    <w:qFormat/>
    <w:uiPriority w:val="99"/>
    <w:rPr>
      <w:rFonts w:ascii="宋体" w:hAnsi="Calibri" w:eastAsia="宋体" w:cs="Times New Roman"/>
      <w:sz w:val="18"/>
      <w:szCs w:val="18"/>
    </w:rPr>
  </w:style>
  <w:style w:type="character" w:customStyle="1" w:styleId="239">
    <w:name w:val="书籍标题1"/>
    <w:autoRedefine/>
    <w:qFormat/>
    <w:uiPriority w:val="0"/>
    <w:rPr>
      <w:b/>
      <w:bCs/>
      <w:smallCaps/>
      <w:spacing w:val="5"/>
    </w:rPr>
  </w:style>
  <w:style w:type="character" w:customStyle="1" w:styleId="240">
    <w:name w:val="标题 7 Char1"/>
    <w:autoRedefine/>
    <w:qFormat/>
    <w:uiPriority w:val="0"/>
    <w:rPr>
      <w:rFonts w:ascii="Times New Roman" w:hAnsi="Times New Roman" w:eastAsia="仿宋_GB2312" w:cs="Times New Roman"/>
      <w:sz w:val="30"/>
      <w:szCs w:val="20"/>
    </w:rPr>
  </w:style>
  <w:style w:type="character" w:customStyle="1" w:styleId="241">
    <w:name w:val="明显引用 Char2"/>
    <w:autoRedefine/>
    <w:qFormat/>
    <w:uiPriority w:val="99"/>
    <w:rPr>
      <w:b/>
      <w:bCs/>
      <w:i/>
      <w:iCs/>
      <w:color w:val="4F81BD"/>
      <w:kern w:val="2"/>
      <w:sz w:val="21"/>
      <w:szCs w:val="24"/>
    </w:rPr>
  </w:style>
  <w:style w:type="character" w:customStyle="1" w:styleId="242">
    <w:name w:val="不明显强调1"/>
    <w:autoRedefine/>
    <w:qFormat/>
    <w:uiPriority w:val="0"/>
    <w:rPr>
      <w:i/>
      <w:iCs/>
      <w:color w:val="808080"/>
    </w:rPr>
  </w:style>
  <w:style w:type="character" w:customStyle="1" w:styleId="243">
    <w:name w:val="普通文字 Char Char2"/>
    <w:autoRedefine/>
    <w:qFormat/>
    <w:uiPriority w:val="0"/>
    <w:rPr>
      <w:rFonts w:ascii="宋体" w:hAnsi="Courier New"/>
      <w:kern w:val="2"/>
      <w:sz w:val="28"/>
      <w:szCs w:val="28"/>
    </w:rPr>
  </w:style>
  <w:style w:type="character" w:customStyle="1" w:styleId="244">
    <w:name w:val="标题 6 Char"/>
    <w:autoRedefine/>
    <w:qFormat/>
    <w:uiPriority w:val="0"/>
    <w:rPr>
      <w:rFonts w:ascii="Arial" w:hAnsi="Arial" w:eastAsia="黑体" w:cs="Times New Roman"/>
      <w:b/>
      <w:bCs/>
      <w:sz w:val="24"/>
      <w:szCs w:val="24"/>
    </w:rPr>
  </w:style>
  <w:style w:type="character" w:customStyle="1" w:styleId="245">
    <w:name w:val="l1"/>
    <w:basedOn w:val="48"/>
    <w:autoRedefine/>
    <w:qFormat/>
    <w:uiPriority w:val="0"/>
  </w:style>
  <w:style w:type="character" w:customStyle="1" w:styleId="246">
    <w:name w:val="未处理的提及1"/>
    <w:autoRedefine/>
    <w:unhideWhenUsed/>
    <w:qFormat/>
    <w:uiPriority w:val="99"/>
    <w:rPr>
      <w:color w:val="808080"/>
      <w:shd w:val="clear" w:color="auto" w:fill="E6E6E6"/>
    </w:rPr>
  </w:style>
  <w:style w:type="character" w:customStyle="1" w:styleId="247">
    <w:name w:val="页眉 Char2"/>
    <w:link w:val="31"/>
    <w:autoRedefine/>
    <w:qFormat/>
    <w:uiPriority w:val="0"/>
    <w:rPr>
      <w:rFonts w:eastAsia="宋体"/>
      <w:kern w:val="2"/>
      <w:sz w:val="18"/>
      <w:szCs w:val="18"/>
      <w:lang w:val="en-US" w:eastAsia="zh-CN" w:bidi="ar-SA"/>
    </w:rPr>
  </w:style>
  <w:style w:type="character" w:customStyle="1" w:styleId="248">
    <w:name w:val="Char Char35"/>
    <w:autoRedefine/>
    <w:qFormat/>
    <w:uiPriority w:val="0"/>
    <w:rPr>
      <w:rFonts w:ascii="仿宋_GB2312" w:eastAsia="仿宋_GB2312" w:cs="MingLiU"/>
      <w:b/>
      <w:sz w:val="24"/>
      <w:szCs w:val="28"/>
    </w:rPr>
  </w:style>
  <w:style w:type="character" w:customStyle="1" w:styleId="249">
    <w:name w:val="Char Char11"/>
    <w:autoRedefine/>
    <w:qFormat/>
    <w:locked/>
    <w:uiPriority w:val="0"/>
    <w:rPr>
      <w:rFonts w:eastAsia="黑体"/>
      <w:kern w:val="2"/>
      <w:sz w:val="44"/>
      <w:szCs w:val="44"/>
      <w:lang w:val="en-US" w:eastAsia="zh-CN" w:bidi="ar-SA"/>
    </w:rPr>
  </w:style>
  <w:style w:type="character" w:customStyle="1" w:styleId="250">
    <w:name w:val="style31"/>
    <w:autoRedefine/>
    <w:qFormat/>
    <w:uiPriority w:val="0"/>
    <w:rPr>
      <w:sz w:val="10"/>
      <w:szCs w:val="10"/>
    </w:rPr>
  </w:style>
  <w:style w:type="character" w:customStyle="1" w:styleId="251">
    <w:name w:val="0d1471"/>
    <w:autoRedefine/>
    <w:qFormat/>
    <w:uiPriority w:val="0"/>
    <w:rPr>
      <w:color w:val="000000"/>
      <w:sz w:val="11"/>
      <w:szCs w:val="11"/>
      <w:u w:val="none"/>
    </w:rPr>
  </w:style>
  <w:style w:type="character" w:customStyle="1" w:styleId="252">
    <w:name w:val="标题 9 Char"/>
    <w:autoRedefine/>
    <w:qFormat/>
    <w:uiPriority w:val="0"/>
    <w:rPr>
      <w:rFonts w:ascii="Arial" w:hAnsi="Arial" w:eastAsia="黑体" w:cs="Times New Roman"/>
      <w:szCs w:val="21"/>
    </w:rPr>
  </w:style>
  <w:style w:type="character" w:customStyle="1" w:styleId="253">
    <w:name w:val="标题 3 Char1"/>
    <w:autoRedefine/>
    <w:qFormat/>
    <w:uiPriority w:val="0"/>
    <w:rPr>
      <w:rFonts w:ascii="Times New Roman" w:hAnsi="Times New Roman" w:eastAsia="宋体" w:cs="Times New Roman"/>
      <w:b/>
      <w:bCs/>
      <w:kern w:val="2"/>
      <w:sz w:val="32"/>
      <w:szCs w:val="32"/>
    </w:rPr>
  </w:style>
  <w:style w:type="character" w:customStyle="1" w:styleId="254">
    <w:name w:val="标题4 Char Char"/>
    <w:link w:val="98"/>
    <w:autoRedefine/>
    <w:qFormat/>
    <w:uiPriority w:val="0"/>
    <w:rPr>
      <w:rFonts w:ascii="Arial" w:hAnsi="Arial"/>
      <w:b/>
      <w:bCs/>
      <w:sz w:val="24"/>
      <w:szCs w:val="32"/>
      <w:lang w:bidi="ar-SA"/>
    </w:rPr>
  </w:style>
  <w:style w:type="character" w:customStyle="1" w:styleId="255">
    <w:name w:val="标题 5 Char1"/>
    <w:autoRedefine/>
    <w:qFormat/>
    <w:uiPriority w:val="0"/>
    <w:rPr>
      <w:rFonts w:ascii="宋体" w:hAnsi="宋体" w:eastAsia="宋体" w:cs="宋体"/>
      <w:b/>
      <w:bCs/>
      <w:sz w:val="20"/>
      <w:szCs w:val="20"/>
    </w:rPr>
  </w:style>
  <w:style w:type="character" w:customStyle="1" w:styleId="256">
    <w:name w:val="正文文本缩进 3 Char1"/>
    <w:autoRedefine/>
    <w:qFormat/>
    <w:uiPriority w:val="0"/>
    <w:rPr>
      <w:rFonts w:ascii="宋体" w:hAnsi="宋体"/>
      <w:kern w:val="2"/>
      <w:sz w:val="28"/>
      <w:szCs w:val="28"/>
    </w:rPr>
  </w:style>
  <w:style w:type="character" w:customStyle="1" w:styleId="257">
    <w:name w:val="Char Char33"/>
    <w:autoRedefine/>
    <w:qFormat/>
    <w:uiPriority w:val="0"/>
    <w:rPr>
      <w:rFonts w:ascii="仿宋_GB2312" w:eastAsia="仿宋_GB2312" w:cs="MingLiU"/>
      <w:b/>
      <w:sz w:val="24"/>
      <w:szCs w:val="28"/>
    </w:rPr>
  </w:style>
  <w:style w:type="character" w:customStyle="1" w:styleId="258">
    <w:name w:val="批注文字 Char1"/>
    <w:autoRedefine/>
    <w:qFormat/>
    <w:uiPriority w:val="99"/>
    <w:rPr>
      <w:rFonts w:ascii="Times New Roman" w:hAnsi="Times New Roman" w:eastAsia="宋体" w:cs="Times New Roman"/>
      <w:szCs w:val="24"/>
    </w:rPr>
  </w:style>
  <w:style w:type="character" w:customStyle="1" w:styleId="259">
    <w:name w:val="正文文本 3 Char1"/>
    <w:autoRedefine/>
    <w:qFormat/>
    <w:uiPriority w:val="0"/>
    <w:rPr>
      <w:kern w:val="2"/>
      <w:sz w:val="16"/>
      <w:szCs w:val="16"/>
    </w:rPr>
  </w:style>
  <w:style w:type="character" w:customStyle="1" w:styleId="260">
    <w:name w:val="页眉 Char"/>
    <w:autoRedefine/>
    <w:qFormat/>
    <w:uiPriority w:val="0"/>
    <w:rPr>
      <w:sz w:val="18"/>
      <w:szCs w:val="18"/>
    </w:rPr>
  </w:style>
  <w:style w:type="character" w:customStyle="1" w:styleId="261">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62">
    <w:name w:val="color_red1"/>
    <w:autoRedefine/>
    <w:qFormat/>
    <w:uiPriority w:val="0"/>
    <w:rPr>
      <w:color w:val="FA0004"/>
    </w:rPr>
  </w:style>
  <w:style w:type="character" w:customStyle="1" w:styleId="263">
    <w:name w:val="批注主题 Char2"/>
    <w:autoRedefine/>
    <w:qFormat/>
    <w:uiPriority w:val="99"/>
    <w:rPr>
      <w:b/>
      <w:bCs/>
      <w:kern w:val="2"/>
      <w:sz w:val="21"/>
      <w:szCs w:val="24"/>
    </w:rPr>
  </w:style>
  <w:style w:type="character" w:customStyle="1" w:styleId="264">
    <w:name w:val="Char Char34"/>
    <w:autoRedefine/>
    <w:qFormat/>
    <w:uiPriority w:val="0"/>
    <w:rPr>
      <w:rFonts w:ascii="仿宋_GB2312" w:eastAsia="仿宋_GB2312" w:cs="MingLiU"/>
      <w:b/>
      <w:spacing w:val="1"/>
      <w:w w:val="99"/>
      <w:sz w:val="28"/>
      <w:szCs w:val="32"/>
    </w:rPr>
  </w:style>
  <w:style w:type="character" w:customStyle="1" w:styleId="265">
    <w:name w:val="标题 1 Char"/>
    <w:autoRedefine/>
    <w:qFormat/>
    <w:uiPriority w:val="0"/>
    <w:rPr>
      <w:rFonts w:ascii="Times New Roman" w:hAnsi="Times New Roman" w:eastAsia="宋体" w:cs="Times New Roman"/>
      <w:b/>
      <w:bCs/>
      <w:kern w:val="44"/>
      <w:sz w:val="44"/>
      <w:szCs w:val="44"/>
    </w:rPr>
  </w:style>
  <w:style w:type="character" w:customStyle="1" w:styleId="266">
    <w:name w:val="docpro"/>
    <w:basedOn w:val="48"/>
    <w:autoRedefine/>
    <w:qFormat/>
    <w:uiPriority w:val="0"/>
  </w:style>
  <w:style w:type="character" w:customStyle="1" w:styleId="267">
    <w:name w:val="正文文本 3 Char"/>
    <w:autoRedefine/>
    <w:qFormat/>
    <w:uiPriority w:val="0"/>
    <w:rPr>
      <w:kern w:val="2"/>
      <w:sz w:val="16"/>
      <w:szCs w:val="16"/>
    </w:rPr>
  </w:style>
  <w:style w:type="character" w:customStyle="1" w:styleId="268">
    <w:name w:val="标题 5 Char"/>
    <w:autoRedefine/>
    <w:qFormat/>
    <w:uiPriority w:val="99"/>
    <w:rPr>
      <w:rFonts w:ascii="Calibri" w:hAnsi="Calibri" w:eastAsia="宋体" w:cs="Times New Roman"/>
      <w:b/>
      <w:bCs/>
      <w:sz w:val="28"/>
      <w:szCs w:val="28"/>
    </w:rPr>
  </w:style>
  <w:style w:type="character" w:customStyle="1" w:styleId="269">
    <w:name w:val="style161"/>
    <w:autoRedefine/>
    <w:qFormat/>
    <w:uiPriority w:val="0"/>
    <w:rPr>
      <w:b/>
      <w:bCs/>
      <w:color w:val="333333"/>
    </w:rPr>
  </w:style>
  <w:style w:type="character" w:customStyle="1" w:styleId="270">
    <w:name w:val="文档结构图 Char2"/>
    <w:autoRedefine/>
    <w:qFormat/>
    <w:uiPriority w:val="99"/>
    <w:rPr>
      <w:kern w:val="2"/>
      <w:sz w:val="21"/>
      <w:szCs w:val="24"/>
      <w:shd w:val="clear" w:color="auto" w:fill="000080"/>
    </w:rPr>
  </w:style>
  <w:style w:type="character" w:customStyle="1" w:styleId="271">
    <w:name w:val="页脚 Char1"/>
    <w:autoRedefine/>
    <w:semiHidden/>
    <w:qFormat/>
    <w:uiPriority w:val="99"/>
    <w:rPr>
      <w:kern w:val="2"/>
      <w:sz w:val="18"/>
      <w:szCs w:val="18"/>
    </w:rPr>
  </w:style>
  <w:style w:type="character" w:customStyle="1" w:styleId="272">
    <w:name w:val="日期 Char2"/>
    <w:autoRedefine/>
    <w:qFormat/>
    <w:uiPriority w:val="99"/>
    <w:rPr>
      <w:kern w:val="2"/>
      <w:sz w:val="21"/>
      <w:szCs w:val="24"/>
    </w:rPr>
  </w:style>
  <w:style w:type="character" w:customStyle="1" w:styleId="273">
    <w:name w:val="HTML 预设格式 Char"/>
    <w:autoRedefine/>
    <w:qFormat/>
    <w:uiPriority w:val="0"/>
    <w:rPr>
      <w:rFonts w:ascii="宋体" w:hAnsi="宋体" w:eastAsia="宋体" w:cs="宋体"/>
      <w:color w:val="000000"/>
      <w:sz w:val="24"/>
      <w:szCs w:val="24"/>
    </w:rPr>
  </w:style>
  <w:style w:type="character" w:customStyle="1" w:styleId="274">
    <w:name w:val="批注主题 Char4"/>
    <w:link w:val="45"/>
    <w:autoRedefine/>
    <w:qFormat/>
    <w:uiPriority w:val="0"/>
    <w:rPr>
      <w:rFonts w:eastAsia="宋体"/>
      <w:b/>
      <w:bCs/>
      <w:kern w:val="2"/>
      <w:sz w:val="21"/>
      <w:szCs w:val="24"/>
      <w:lang w:val="en-US" w:eastAsia="zh-CN" w:bidi="ar-SA"/>
    </w:rPr>
  </w:style>
  <w:style w:type="character" w:customStyle="1" w:styleId="275">
    <w:name w:val="正文文本 2 Char"/>
    <w:link w:val="40"/>
    <w:autoRedefine/>
    <w:qFormat/>
    <w:uiPriority w:val="0"/>
    <w:rPr>
      <w:i/>
      <w:iCs/>
      <w:kern w:val="2"/>
      <w:sz w:val="26"/>
      <w:szCs w:val="24"/>
    </w:rPr>
  </w:style>
  <w:style w:type="character" w:customStyle="1" w:styleId="276">
    <w:name w:val="批注框文本 Char"/>
    <w:autoRedefine/>
    <w:qFormat/>
    <w:uiPriority w:val="0"/>
    <w:rPr>
      <w:sz w:val="18"/>
      <w:szCs w:val="18"/>
    </w:rPr>
  </w:style>
  <w:style w:type="character" w:customStyle="1" w:styleId="277">
    <w:name w:val="文档结构图 Char"/>
    <w:autoRedefine/>
    <w:qFormat/>
    <w:uiPriority w:val="0"/>
    <w:rPr>
      <w:rFonts w:ascii="宋体"/>
      <w:kern w:val="2"/>
      <w:sz w:val="18"/>
      <w:szCs w:val="18"/>
    </w:rPr>
  </w:style>
  <w:style w:type="character" w:customStyle="1" w:styleId="278">
    <w:name w:val="标题 8 Char2"/>
    <w:link w:val="12"/>
    <w:autoRedefine/>
    <w:qFormat/>
    <w:uiPriority w:val="0"/>
    <w:rPr>
      <w:rFonts w:hAnsi="Arial" w:eastAsia="仿宋_GB2312"/>
      <w:sz w:val="30"/>
      <w:lang w:val="en-US" w:eastAsia="zh-CN" w:bidi="ar-SA"/>
    </w:rPr>
  </w:style>
  <w:style w:type="character" w:customStyle="1" w:styleId="279">
    <w:name w:val="正文文本缩进 3 Char3"/>
    <w:link w:val="37"/>
    <w:autoRedefine/>
    <w:qFormat/>
    <w:uiPriority w:val="0"/>
    <w:rPr>
      <w:rFonts w:ascii="宋体" w:hAnsi="宋体" w:eastAsia="宋体"/>
      <w:kern w:val="2"/>
      <w:sz w:val="28"/>
      <w:szCs w:val="28"/>
      <w:lang w:val="en-US" w:eastAsia="zh-CN" w:bidi="ar-SA"/>
    </w:rPr>
  </w:style>
  <w:style w:type="character" w:customStyle="1" w:styleId="280">
    <w:name w:val="正文文本缩进 Char3"/>
    <w:link w:val="19"/>
    <w:autoRedefine/>
    <w:qFormat/>
    <w:uiPriority w:val="0"/>
    <w:rPr>
      <w:rFonts w:eastAsia="宋体"/>
      <w:kern w:val="2"/>
      <w:sz w:val="21"/>
      <w:szCs w:val="24"/>
      <w:lang w:val="en-US" w:eastAsia="zh-CN" w:bidi="ar-SA"/>
    </w:rPr>
  </w:style>
  <w:style w:type="character" w:customStyle="1" w:styleId="281">
    <w:name w:val="_Style 196"/>
    <w:autoRedefine/>
    <w:qFormat/>
    <w:uiPriority w:val="0"/>
    <w:rPr>
      <w:i/>
      <w:iCs/>
      <w:color w:val="808080"/>
    </w:rPr>
  </w:style>
  <w:style w:type="character" w:customStyle="1" w:styleId="282">
    <w:name w:val="正文文本缩进 2 Char3"/>
    <w:link w:val="27"/>
    <w:autoRedefine/>
    <w:qFormat/>
    <w:uiPriority w:val="0"/>
    <w:rPr>
      <w:rFonts w:eastAsia="宋体"/>
      <w:sz w:val="28"/>
      <w:szCs w:val="24"/>
      <w:lang w:val="en-US" w:eastAsia="zh-CN" w:bidi="ar-SA"/>
    </w:rPr>
  </w:style>
  <w:style w:type="character" w:customStyle="1" w:styleId="283">
    <w:name w:val="标题 7 Char2"/>
    <w:link w:val="11"/>
    <w:autoRedefine/>
    <w:qFormat/>
    <w:uiPriority w:val="0"/>
    <w:rPr>
      <w:rFonts w:eastAsia="仿宋_GB2312"/>
      <w:sz w:val="30"/>
      <w:lang w:val="en-US" w:eastAsia="zh-CN" w:bidi="ar-SA"/>
    </w:rPr>
  </w:style>
  <w:style w:type="character" w:customStyle="1" w:styleId="284">
    <w:name w:val="Char Char13"/>
    <w:autoRedefine/>
    <w:qFormat/>
    <w:uiPriority w:val="0"/>
    <w:rPr>
      <w:kern w:val="2"/>
      <w:sz w:val="18"/>
      <w:szCs w:val="18"/>
    </w:rPr>
  </w:style>
  <w:style w:type="character" w:customStyle="1" w:styleId="285">
    <w:name w:val="正文文本缩进 2 Char1"/>
    <w:autoRedefine/>
    <w:qFormat/>
    <w:uiPriority w:val="0"/>
    <w:rPr>
      <w:sz w:val="28"/>
      <w:szCs w:val="24"/>
    </w:rPr>
  </w:style>
  <w:style w:type="character" w:customStyle="1" w:styleId="286">
    <w:name w:val="Char Char21"/>
    <w:autoRedefine/>
    <w:qFormat/>
    <w:uiPriority w:val="0"/>
    <w:rPr>
      <w:rFonts w:ascii="宋体" w:hAnsi="宋体" w:cs="宋体"/>
      <w:b/>
      <w:bCs/>
      <w:sz w:val="24"/>
      <w:szCs w:val="24"/>
    </w:rPr>
  </w:style>
  <w:style w:type="character" w:customStyle="1" w:styleId="287">
    <w:name w:val="文档结构图 Char1"/>
    <w:autoRedefine/>
    <w:qFormat/>
    <w:uiPriority w:val="0"/>
    <w:rPr>
      <w:rFonts w:ascii="宋体"/>
      <w:kern w:val="2"/>
      <w:sz w:val="18"/>
      <w:szCs w:val="18"/>
    </w:rPr>
  </w:style>
  <w:style w:type="character" w:customStyle="1" w:styleId="288">
    <w:name w:val="标题 Char"/>
    <w:autoRedefine/>
    <w:qFormat/>
    <w:uiPriority w:val="0"/>
    <w:rPr>
      <w:rFonts w:ascii="Cambria" w:hAnsi="Cambria" w:eastAsia="宋体" w:cs="Times New Roman"/>
      <w:b/>
      <w:bCs/>
      <w:kern w:val="2"/>
      <w:sz w:val="32"/>
      <w:szCs w:val="32"/>
    </w:rPr>
  </w:style>
  <w:style w:type="character" w:customStyle="1" w:styleId="289">
    <w:name w:val="_Style 275"/>
    <w:autoRedefine/>
    <w:qFormat/>
    <w:uiPriority w:val="0"/>
    <w:rPr>
      <w:smallCaps/>
      <w:color w:val="C0504D"/>
      <w:u w:val="single"/>
    </w:rPr>
  </w:style>
  <w:style w:type="character" w:customStyle="1" w:styleId="290">
    <w:name w:val="Char Char12"/>
    <w:autoRedefine/>
    <w:qFormat/>
    <w:uiPriority w:val="0"/>
    <w:rPr>
      <w:rFonts w:eastAsia="黑体"/>
      <w:kern w:val="2"/>
      <w:sz w:val="44"/>
      <w:szCs w:val="44"/>
      <w:lang w:val="en-US" w:eastAsia="zh-CN" w:bidi="ar-SA"/>
    </w:rPr>
  </w:style>
  <w:style w:type="character" w:customStyle="1" w:styleId="291">
    <w:name w:val="明显参考1"/>
    <w:autoRedefine/>
    <w:qFormat/>
    <w:uiPriority w:val="0"/>
    <w:rPr>
      <w:b/>
      <w:bCs/>
      <w:smallCaps/>
      <w:color w:val="C0504D"/>
      <w:spacing w:val="5"/>
      <w:u w:val="single"/>
    </w:rPr>
  </w:style>
  <w:style w:type="character" w:customStyle="1" w:styleId="292">
    <w:name w:val="Char Char36"/>
    <w:autoRedefine/>
    <w:qFormat/>
    <w:uiPriority w:val="0"/>
    <w:rPr>
      <w:rFonts w:ascii="仿宋_GB2312" w:eastAsia="仿宋_GB2312" w:cs="MingLiU"/>
      <w:b/>
      <w:sz w:val="24"/>
      <w:szCs w:val="28"/>
    </w:rPr>
  </w:style>
  <w:style w:type="character" w:customStyle="1" w:styleId="293">
    <w:name w:val="批注框文本 Char2"/>
    <w:autoRedefine/>
    <w:qFormat/>
    <w:uiPriority w:val="99"/>
    <w:rPr>
      <w:kern w:val="2"/>
      <w:sz w:val="18"/>
      <w:szCs w:val="18"/>
    </w:rPr>
  </w:style>
  <w:style w:type="character" w:customStyle="1" w:styleId="294">
    <w:name w:val="subhead1"/>
    <w:autoRedefine/>
    <w:qFormat/>
    <w:uiPriority w:val="0"/>
    <w:rPr>
      <w:rFonts w:hint="default" w:ascii="Tahoma" w:hAnsi="Tahoma" w:cs="Tahoma"/>
      <w:color w:val="000000"/>
      <w:sz w:val="18"/>
      <w:szCs w:val="18"/>
      <w:u w:val="none"/>
      <w:shd w:val="clear" w:color="auto" w:fill="FFFFFF"/>
    </w:rPr>
  </w:style>
  <w:style w:type="character" w:customStyle="1" w:styleId="295">
    <w:name w:val="正文文本缩进 3 Char2"/>
    <w:autoRedefine/>
    <w:semiHidden/>
    <w:qFormat/>
    <w:uiPriority w:val="99"/>
    <w:rPr>
      <w:rFonts w:ascii="Calibri" w:hAnsi="Calibri" w:eastAsia="宋体" w:cs="Times New Roman"/>
      <w:sz w:val="16"/>
      <w:szCs w:val="16"/>
    </w:rPr>
  </w:style>
  <w:style w:type="character" w:customStyle="1" w:styleId="296">
    <w:name w:val="纯文本 Char"/>
    <w:autoRedefine/>
    <w:qFormat/>
    <w:uiPriority w:val="0"/>
    <w:rPr>
      <w:rFonts w:ascii="宋体" w:hAnsi="Courier New"/>
      <w:sz w:val="28"/>
      <w:szCs w:val="28"/>
    </w:rPr>
  </w:style>
  <w:style w:type="character" w:customStyle="1" w:styleId="297">
    <w:name w:val="纯文本 Char2"/>
    <w:autoRedefine/>
    <w:semiHidden/>
    <w:qFormat/>
    <w:uiPriority w:val="99"/>
    <w:rPr>
      <w:rFonts w:ascii="宋体" w:hAnsi="Courier New" w:eastAsia="宋体" w:cs="Courier New"/>
      <w:szCs w:val="21"/>
    </w:rPr>
  </w:style>
  <w:style w:type="character" w:customStyle="1" w:styleId="298">
    <w:name w:val="页眉 Char1"/>
    <w:autoRedefine/>
    <w:qFormat/>
    <w:uiPriority w:val="99"/>
    <w:rPr>
      <w:kern w:val="2"/>
      <w:sz w:val="18"/>
      <w:szCs w:val="18"/>
    </w:rPr>
  </w:style>
  <w:style w:type="character" w:customStyle="1" w:styleId="299">
    <w:name w:val="Char Char14"/>
    <w:autoRedefine/>
    <w:qFormat/>
    <w:uiPriority w:val="0"/>
    <w:rPr>
      <w:kern w:val="2"/>
      <w:sz w:val="18"/>
      <w:szCs w:val="18"/>
    </w:rPr>
  </w:style>
  <w:style w:type="character" w:customStyle="1" w:styleId="300">
    <w:name w:val="批注文字 Char3"/>
    <w:link w:val="17"/>
    <w:autoRedefine/>
    <w:qFormat/>
    <w:uiPriority w:val="99"/>
    <w:rPr>
      <w:rFonts w:eastAsia="宋体"/>
      <w:kern w:val="2"/>
      <w:sz w:val="21"/>
      <w:szCs w:val="24"/>
      <w:lang w:val="en-US" w:eastAsia="zh-CN" w:bidi="ar-SA"/>
    </w:rPr>
  </w:style>
  <w:style w:type="character" w:customStyle="1" w:styleId="301">
    <w:name w:val="批注文字 Char Char"/>
    <w:autoRedefine/>
    <w:qFormat/>
    <w:uiPriority w:val="0"/>
    <w:rPr>
      <w:rFonts w:ascii="宋体" w:hAnsi="Times New Roman" w:eastAsia="宋体" w:cs="Times New Roman"/>
      <w:sz w:val="28"/>
      <w:szCs w:val="20"/>
    </w:rPr>
  </w:style>
  <w:style w:type="character" w:customStyle="1" w:styleId="302">
    <w:name w:val="标题 1 Char1"/>
    <w:autoRedefine/>
    <w:qFormat/>
    <w:uiPriority w:val="0"/>
    <w:rPr>
      <w:rFonts w:ascii="Times New Roman" w:hAnsi="Times New Roman" w:eastAsia="宋体" w:cs="Times New Roman"/>
      <w:b/>
      <w:bCs/>
      <w:kern w:val="44"/>
      <w:sz w:val="44"/>
      <w:szCs w:val="44"/>
    </w:rPr>
  </w:style>
  <w:style w:type="character" w:customStyle="1" w:styleId="303">
    <w:name w:val="标题 5 Char2"/>
    <w:link w:val="8"/>
    <w:autoRedefine/>
    <w:qFormat/>
    <w:uiPriority w:val="0"/>
    <w:rPr>
      <w:rFonts w:ascii="宋体" w:hAnsi="宋体" w:eastAsia="宋体" w:cs="宋体"/>
      <w:b/>
      <w:bCs/>
      <w:lang w:val="en-US" w:eastAsia="zh-CN" w:bidi="ar-SA"/>
    </w:rPr>
  </w:style>
  <w:style w:type="character" w:customStyle="1" w:styleId="304">
    <w:name w:val="手改 Char Char"/>
    <w:autoRedefine/>
    <w:qFormat/>
    <w:uiPriority w:val="0"/>
    <w:rPr>
      <w:kern w:val="2"/>
      <w:sz w:val="21"/>
      <w:szCs w:val="24"/>
    </w:rPr>
  </w:style>
  <w:style w:type="character" w:customStyle="1" w:styleId="305">
    <w:name w:val="标题 1 Char2"/>
    <w:link w:val="4"/>
    <w:autoRedefine/>
    <w:qFormat/>
    <w:uiPriority w:val="0"/>
    <w:rPr>
      <w:rFonts w:eastAsia="宋体"/>
      <w:b/>
      <w:bCs/>
      <w:kern w:val="44"/>
      <w:sz w:val="44"/>
      <w:szCs w:val="44"/>
      <w:lang w:val="en-US" w:eastAsia="zh-CN" w:bidi="ar-SA"/>
    </w:rPr>
  </w:style>
  <w:style w:type="character" w:customStyle="1" w:styleId="306">
    <w:name w:val="intel3"/>
    <w:basedOn w:val="48"/>
    <w:autoRedefine/>
    <w:qFormat/>
    <w:uiPriority w:val="0"/>
  </w:style>
  <w:style w:type="character" w:customStyle="1" w:styleId="307">
    <w:name w:val="副标题 Char2"/>
    <w:autoRedefine/>
    <w:qFormat/>
    <w:uiPriority w:val="11"/>
    <w:rPr>
      <w:rFonts w:ascii="Cambria" w:hAnsi="Cambria" w:eastAsia="宋体" w:cs="Times New Roman"/>
      <w:b/>
      <w:bCs/>
      <w:kern w:val="28"/>
      <w:sz w:val="32"/>
      <w:szCs w:val="32"/>
    </w:rPr>
  </w:style>
  <w:style w:type="character" w:customStyle="1" w:styleId="308">
    <w:name w:val="明显引用 Char4"/>
    <w:link w:val="129"/>
    <w:autoRedefine/>
    <w:qFormat/>
    <w:uiPriority w:val="0"/>
    <w:rPr>
      <w:b/>
      <w:bCs/>
      <w:i/>
      <w:iCs/>
      <w:color w:val="4F81BD"/>
      <w:kern w:val="2"/>
      <w:sz w:val="21"/>
      <w:szCs w:val="22"/>
      <w:lang w:bidi="ar-SA"/>
    </w:rPr>
  </w:style>
  <w:style w:type="character" w:customStyle="1" w:styleId="309">
    <w:name w:val="明显引用 Char1"/>
    <w:link w:val="122"/>
    <w:autoRedefine/>
    <w:qFormat/>
    <w:uiPriority w:val="30"/>
    <w:rPr>
      <w:b/>
      <w:bCs/>
      <w:i/>
      <w:iCs/>
      <w:color w:val="4F81BD"/>
      <w:kern w:val="2"/>
      <w:sz w:val="21"/>
    </w:rPr>
  </w:style>
  <w:style w:type="character" w:customStyle="1" w:styleId="310">
    <w:name w:val="HTML 预设格式 Char1"/>
    <w:autoRedefine/>
    <w:qFormat/>
    <w:uiPriority w:val="0"/>
    <w:rPr>
      <w:rFonts w:ascii="宋体" w:hAnsi="宋体" w:cs="宋体"/>
      <w:color w:val="000000"/>
      <w:sz w:val="24"/>
      <w:szCs w:val="24"/>
    </w:rPr>
  </w:style>
  <w:style w:type="character" w:customStyle="1" w:styleId="311">
    <w:name w:val="引用 Char"/>
    <w:link w:val="80"/>
    <w:autoRedefine/>
    <w:qFormat/>
    <w:uiPriority w:val="0"/>
    <w:rPr>
      <w:rFonts w:ascii="Times New Roman" w:hAnsi="Times New Roman" w:eastAsia="宋体" w:cs="Times New Roman"/>
      <w:i/>
      <w:iCs/>
      <w:color w:val="000000"/>
      <w:kern w:val="2"/>
      <w:sz w:val="21"/>
      <w:szCs w:val="24"/>
    </w:rPr>
  </w:style>
  <w:style w:type="character" w:customStyle="1" w:styleId="312">
    <w:name w:val="副标题 Char3"/>
    <w:link w:val="34"/>
    <w:autoRedefine/>
    <w:qFormat/>
    <w:uiPriority w:val="0"/>
    <w:rPr>
      <w:rFonts w:eastAsia="宋体"/>
      <w:szCs w:val="24"/>
      <w:u w:val="single"/>
      <w:lang w:val="en-US" w:eastAsia="en-US" w:bidi="ar-SA"/>
    </w:rPr>
  </w:style>
  <w:style w:type="character" w:customStyle="1" w:styleId="313">
    <w:name w:val="ITTHEADER1 Char"/>
    <w:autoRedefine/>
    <w:qFormat/>
    <w:uiPriority w:val="0"/>
    <w:rPr>
      <w:rFonts w:eastAsia="黑体"/>
      <w:kern w:val="2"/>
      <w:sz w:val="44"/>
      <w:szCs w:val="44"/>
      <w:lang w:val="en-US" w:eastAsia="zh-CN" w:bidi="ar-SA"/>
    </w:rPr>
  </w:style>
  <w:style w:type="character" w:customStyle="1" w:styleId="314">
    <w:name w:val="日期 Char3"/>
    <w:autoRedefine/>
    <w:semiHidden/>
    <w:qFormat/>
    <w:uiPriority w:val="99"/>
    <w:rPr>
      <w:rFonts w:ascii="Calibri" w:hAnsi="Calibri" w:eastAsia="宋体" w:cs="Times New Roman"/>
      <w:szCs w:val="24"/>
    </w:rPr>
  </w:style>
  <w:style w:type="character" w:customStyle="1" w:styleId="315">
    <w:name w:val="纯文本 Char3"/>
    <w:link w:val="24"/>
    <w:autoRedefine/>
    <w:qFormat/>
    <w:uiPriority w:val="0"/>
    <w:rPr>
      <w:rFonts w:ascii="宋体" w:hAnsi="Courier New" w:eastAsia="宋体" w:cs="Courier New"/>
      <w:kern w:val="2"/>
      <w:sz w:val="21"/>
      <w:szCs w:val="21"/>
      <w:lang w:val="en-US" w:eastAsia="zh-CN" w:bidi="ar-SA"/>
    </w:rPr>
  </w:style>
  <w:style w:type="character" w:customStyle="1" w:styleId="316">
    <w:name w:val="批注文字 Char"/>
    <w:autoRedefine/>
    <w:qFormat/>
    <w:uiPriority w:val="0"/>
    <w:rPr>
      <w:rFonts w:ascii="Times New Roman" w:hAnsi="Times New Roman" w:eastAsia="宋体" w:cs="Times New Roman"/>
      <w:kern w:val="2"/>
      <w:sz w:val="21"/>
      <w:szCs w:val="24"/>
    </w:rPr>
  </w:style>
  <w:style w:type="character" w:customStyle="1" w:styleId="317">
    <w:name w:val="Section Char"/>
    <w:autoRedefine/>
    <w:qFormat/>
    <w:uiPriority w:val="0"/>
    <w:rPr>
      <w:rFonts w:ascii="仿宋_GB2312" w:eastAsia="仿宋_GB2312" w:cs="MingLiU"/>
      <w:b/>
      <w:sz w:val="24"/>
      <w:szCs w:val="28"/>
      <w:lang w:val="en-US" w:eastAsia="zh-CN" w:bidi="ar-SA"/>
    </w:rPr>
  </w:style>
  <w:style w:type="character" w:customStyle="1" w:styleId="318">
    <w:name w:val="正文文本 3 Char2"/>
    <w:autoRedefine/>
    <w:semiHidden/>
    <w:qFormat/>
    <w:uiPriority w:val="99"/>
    <w:rPr>
      <w:rFonts w:ascii="Calibri" w:hAnsi="Calibri" w:eastAsia="宋体" w:cs="Times New Roman"/>
      <w:sz w:val="16"/>
      <w:szCs w:val="16"/>
    </w:rPr>
  </w:style>
  <w:style w:type="character" w:customStyle="1" w:styleId="319">
    <w:name w:val="正文文本 3 Char3"/>
    <w:link w:val="18"/>
    <w:autoRedefine/>
    <w:qFormat/>
    <w:uiPriority w:val="0"/>
    <w:rPr>
      <w:rFonts w:eastAsia="宋体"/>
      <w:kern w:val="2"/>
      <w:sz w:val="16"/>
      <w:szCs w:val="16"/>
      <w:lang w:val="en-US" w:eastAsia="zh-CN" w:bidi="ar-SA"/>
    </w:rPr>
  </w:style>
  <w:style w:type="character" w:customStyle="1" w:styleId="320">
    <w:name w:val="普通文字 Char Char1"/>
    <w:autoRedefine/>
    <w:qFormat/>
    <w:uiPriority w:val="0"/>
    <w:rPr>
      <w:rFonts w:ascii="宋体" w:hAnsi="Courier New"/>
      <w:kern w:val="2"/>
      <w:sz w:val="28"/>
      <w:szCs w:val="28"/>
    </w:rPr>
  </w:style>
  <w:style w:type="character" w:customStyle="1" w:styleId="321">
    <w:name w:val="正文文本缩进 Char"/>
    <w:autoRedefine/>
    <w:qFormat/>
    <w:uiPriority w:val="0"/>
    <w:rPr>
      <w:rFonts w:ascii="黑体" w:hAnsi="宋体" w:eastAsia="黑体"/>
      <w:color w:val="000000"/>
      <w:sz w:val="28"/>
      <w:szCs w:val="32"/>
    </w:rPr>
  </w:style>
  <w:style w:type="character" w:customStyle="1" w:styleId="322">
    <w:name w:val="font161"/>
    <w:autoRedefine/>
    <w:qFormat/>
    <w:uiPriority w:val="0"/>
    <w:rPr>
      <w:b/>
      <w:bCs/>
      <w:sz w:val="32"/>
      <w:szCs w:val="32"/>
    </w:rPr>
  </w:style>
  <w:style w:type="paragraph" w:customStyle="1" w:styleId="323">
    <w:name w:val="列表段落2"/>
    <w:basedOn w:val="1"/>
    <w:autoRedefine/>
    <w:qFormat/>
    <w:uiPriority w:val="99"/>
    <w:pPr>
      <w:ind w:firstLine="420" w:firstLineChars="200"/>
    </w:pPr>
    <w:rPr>
      <w:sz w:val="28"/>
      <w:szCs w:val="28"/>
    </w:rPr>
  </w:style>
  <w:style w:type="paragraph" w:customStyle="1" w:styleId="324">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25">
    <w:name w:val="NormalCharacter"/>
    <w:autoRedefine/>
    <w:semiHidden/>
    <w:qFormat/>
    <w:uiPriority w:val="0"/>
  </w:style>
  <w:style w:type="character" w:customStyle="1" w:styleId="326">
    <w:name w:val="标题 3 Char2"/>
    <w:link w:val="6"/>
    <w:autoRedefine/>
    <w:qFormat/>
    <w:uiPriority w:val="0"/>
    <w:rPr>
      <w:rFonts w:eastAsia="宋体"/>
      <w:b/>
      <w:bCs/>
      <w:kern w:val="2"/>
      <w:sz w:val="32"/>
      <w:szCs w:val="32"/>
      <w:lang w:val="en-US" w:eastAsia="zh-CN" w:bidi="ar-SA"/>
    </w:rPr>
  </w:style>
  <w:style w:type="paragraph" w:customStyle="1" w:styleId="327">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28">
    <w:name w:val="15"/>
    <w:basedOn w:val="48"/>
    <w:qFormat/>
    <w:uiPriority w:val="0"/>
    <w:rPr>
      <w:rFonts w:hint="default" w:ascii="Verdana" w:hAnsi="Verdana" w:eastAsia="仿宋_GB231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146</Pages>
  <Words>17750</Words>
  <Characters>19015</Characters>
  <Lines>606</Lines>
  <Paragraphs>170</Paragraphs>
  <TotalTime>18</TotalTime>
  <ScaleCrop>false</ScaleCrop>
  <LinksUpToDate>false</LinksUpToDate>
  <CharactersWithSpaces>19561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2024-12-16T07:08:00Z</dcterms:created>
  <dc:creator>USER</dc:creator>
  <cp:lastModifiedBy>WPS_1718942810</cp:lastModifiedBy>
  <cp:lastPrinted>2024-12-23T03:15:00Z</cp:lastPrinted>
  <dcterms:modified xsi:type="dcterms:W3CDTF">2025-04-11T01:34:39Z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6190358881FC4CF5A16FE807EA4B0474_13</vt:lpwstr>
  </property>
  <property fmtid="{D5CDD505-2E9C-101B-9397-08002B2CF9AE}" pid="4" name="KSOTemplateDocerSaveRecord">
    <vt:lpwstr>eyJoZGlkIjoiNjJiZDMxZDUzNTMzNmRmZmI5YWI2ODIzZjIwOWE5NDIiLCJ1c2VySWQiOiIxNjA5NTgzNDE3In0=</vt:lpwstr>
  </property>
</Properties>
</file>