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36435">
      <w:pPr>
        <w:outlineLvl w:val="0"/>
        <w:rPr>
          <w:rFonts w:hint="eastAsia" w:ascii="仿宋" w:hAnsi="仿宋" w:eastAsia="仿宋" w:cs="仿宋"/>
          <w:b/>
          <w:bCs/>
          <w:color w:val="auto"/>
          <w:spacing w:val="80"/>
          <w:sz w:val="112"/>
          <w:szCs w:val="112"/>
        </w:rPr>
      </w:pPr>
    </w:p>
    <w:p w14:paraId="350DE73B">
      <w:pPr>
        <w:jc w:val="center"/>
        <w:outlineLvl w:val="0"/>
        <w:rPr>
          <w:rFonts w:hint="eastAsia" w:ascii="仿宋" w:hAnsi="仿宋" w:eastAsia="仿宋" w:cs="仿宋"/>
          <w:b/>
          <w:bCs/>
          <w:color w:val="auto"/>
          <w:spacing w:val="80"/>
          <w:sz w:val="112"/>
          <w:szCs w:val="112"/>
        </w:rPr>
      </w:pPr>
      <w:bookmarkStart w:id="0" w:name="_Toc10796"/>
      <w:bookmarkStart w:id="1" w:name="_Toc7408"/>
      <w:bookmarkStart w:id="2" w:name="_Toc16779"/>
      <w:bookmarkStart w:id="3" w:name="_Toc17591"/>
      <w:bookmarkStart w:id="4" w:name="_Toc19609"/>
      <w:r>
        <w:rPr>
          <w:rFonts w:hint="eastAsia" w:ascii="仿宋" w:hAnsi="仿宋" w:eastAsia="仿宋" w:cs="仿宋"/>
          <w:b/>
          <w:bCs/>
          <w:color w:val="auto"/>
          <w:spacing w:val="80"/>
          <w:sz w:val="112"/>
          <w:szCs w:val="112"/>
        </w:rPr>
        <w:t>竞争性比选</w:t>
      </w:r>
      <w:bookmarkEnd w:id="0"/>
    </w:p>
    <w:p w14:paraId="17D40A33">
      <w:pPr>
        <w:jc w:val="center"/>
        <w:outlineLvl w:val="0"/>
        <w:rPr>
          <w:rFonts w:hint="eastAsia" w:ascii="仿宋" w:hAnsi="仿宋" w:eastAsia="仿宋" w:cs="仿宋"/>
          <w:b/>
          <w:bCs/>
          <w:color w:val="auto"/>
          <w:spacing w:val="80"/>
          <w:sz w:val="112"/>
          <w:szCs w:val="112"/>
        </w:rPr>
      </w:pPr>
      <w:bookmarkStart w:id="5" w:name="_Toc14329"/>
      <w:r>
        <w:rPr>
          <w:rFonts w:hint="eastAsia" w:ascii="仿宋" w:hAnsi="仿宋" w:eastAsia="仿宋" w:cs="仿宋"/>
          <w:b/>
          <w:bCs/>
          <w:color w:val="auto"/>
          <w:spacing w:val="80"/>
          <w:sz w:val="112"/>
          <w:szCs w:val="112"/>
        </w:rPr>
        <w:t>采购文件</w:t>
      </w:r>
      <w:bookmarkEnd w:id="1"/>
      <w:bookmarkEnd w:id="2"/>
      <w:bookmarkEnd w:id="3"/>
      <w:bookmarkEnd w:id="4"/>
      <w:bookmarkEnd w:id="5"/>
    </w:p>
    <w:p w14:paraId="7E57F574">
      <w:pPr>
        <w:jc w:val="center"/>
        <w:rPr>
          <w:rFonts w:hint="eastAsia" w:ascii="仿宋" w:hAnsi="仿宋" w:eastAsia="仿宋" w:cs="仿宋"/>
          <w:color w:val="auto"/>
        </w:rPr>
      </w:pPr>
      <w:r>
        <w:rPr>
          <w:rFonts w:hint="eastAsia" w:ascii="仿宋" w:hAnsi="仿宋" w:eastAsia="仿宋" w:cs="仿宋"/>
          <w:b/>
          <w:bCs/>
          <w:color w:val="auto"/>
          <w:spacing w:val="80"/>
          <w:sz w:val="48"/>
          <w:szCs w:val="48"/>
        </w:rPr>
        <w:t>（综合评分法）</w:t>
      </w:r>
    </w:p>
    <w:p w14:paraId="1FE7A09C">
      <w:pPr>
        <w:pStyle w:val="17"/>
        <w:rPr>
          <w:rFonts w:hint="eastAsia" w:ascii="仿宋" w:hAnsi="仿宋" w:eastAsia="仿宋" w:cs="仿宋"/>
          <w:color w:val="auto"/>
        </w:rPr>
      </w:pPr>
    </w:p>
    <w:p w14:paraId="408808A6">
      <w:pPr>
        <w:pStyle w:val="17"/>
        <w:rPr>
          <w:rFonts w:hint="eastAsia" w:ascii="仿宋" w:hAnsi="仿宋" w:eastAsia="仿宋" w:cs="仿宋"/>
          <w:color w:val="auto"/>
        </w:rPr>
      </w:pPr>
    </w:p>
    <w:p w14:paraId="0F95E14C">
      <w:pPr>
        <w:pStyle w:val="17"/>
        <w:rPr>
          <w:rFonts w:hint="eastAsia" w:ascii="仿宋" w:hAnsi="仿宋" w:eastAsia="仿宋" w:cs="仿宋"/>
          <w:color w:val="auto"/>
        </w:rPr>
      </w:pPr>
    </w:p>
    <w:p w14:paraId="7F60F04A">
      <w:pPr>
        <w:pStyle w:val="17"/>
        <w:rPr>
          <w:rFonts w:hint="eastAsia" w:ascii="仿宋" w:hAnsi="仿宋" w:eastAsia="仿宋" w:cs="仿宋"/>
          <w:color w:val="auto"/>
        </w:rPr>
      </w:pPr>
    </w:p>
    <w:p w14:paraId="3CD9B730">
      <w:pPr>
        <w:pStyle w:val="17"/>
        <w:rPr>
          <w:rFonts w:hint="eastAsia" w:ascii="仿宋" w:hAnsi="仿宋" w:eastAsia="仿宋" w:cs="仿宋"/>
          <w:color w:val="auto"/>
        </w:rPr>
      </w:pPr>
    </w:p>
    <w:p w14:paraId="6FD5BF6D">
      <w:pPr>
        <w:ind w:firstLine="1446" w:firstLineChars="400"/>
        <w:rPr>
          <w:rFonts w:hint="default" w:ascii="仿宋" w:hAnsi="仿宋" w:eastAsia="仿宋" w:cs="仿宋"/>
          <w:b/>
          <w:color w:val="auto"/>
          <w:sz w:val="36"/>
          <w:lang w:val="en-US" w:eastAsia="zh-CN"/>
        </w:rPr>
      </w:pPr>
      <w:r>
        <w:rPr>
          <w:rFonts w:hint="eastAsia" w:ascii="仿宋" w:hAnsi="仿宋" w:eastAsia="仿宋" w:cs="仿宋"/>
          <w:b/>
          <w:color w:val="auto"/>
          <w:sz w:val="36"/>
        </w:rPr>
        <w:t>采购计划编号：KB2</w:t>
      </w:r>
      <w:r>
        <w:rPr>
          <w:rFonts w:hint="eastAsia" w:ascii="仿宋" w:hAnsi="仿宋" w:eastAsia="仿宋" w:cs="仿宋"/>
          <w:b/>
          <w:color w:val="auto"/>
          <w:sz w:val="36"/>
          <w:lang w:val="en-US" w:eastAsia="zh-CN"/>
        </w:rPr>
        <w:t>6</w:t>
      </w:r>
      <w:r>
        <w:rPr>
          <w:rFonts w:hint="eastAsia" w:ascii="仿宋" w:hAnsi="仿宋" w:eastAsia="仿宋" w:cs="仿宋"/>
          <w:b/>
          <w:color w:val="auto"/>
          <w:sz w:val="36"/>
        </w:rPr>
        <w:t>0</w:t>
      </w:r>
      <w:r>
        <w:rPr>
          <w:rFonts w:hint="eastAsia" w:ascii="仿宋" w:hAnsi="仿宋" w:eastAsia="仿宋" w:cs="仿宋"/>
          <w:b/>
          <w:color w:val="auto"/>
          <w:sz w:val="36"/>
          <w:lang w:val="en-US" w:eastAsia="zh-CN"/>
        </w:rPr>
        <w:t>5020</w:t>
      </w:r>
    </w:p>
    <w:p w14:paraId="7DE62ACF">
      <w:pPr>
        <w:ind w:firstLine="1446" w:firstLineChars="400"/>
        <w:jc w:val="both"/>
        <w:rPr>
          <w:rFonts w:hint="eastAsia" w:ascii="仿宋" w:hAnsi="仿宋" w:eastAsia="仿宋" w:cs="仿宋"/>
          <w:b/>
          <w:color w:val="auto"/>
          <w:sz w:val="36"/>
          <w:lang w:val="en-US" w:eastAsia="zh-CN"/>
        </w:rPr>
      </w:pPr>
      <w:r>
        <w:rPr>
          <w:rFonts w:hint="eastAsia" w:ascii="仿宋" w:hAnsi="仿宋" w:eastAsia="仿宋" w:cs="仿宋"/>
          <w:b/>
          <w:color w:val="auto"/>
          <w:sz w:val="36"/>
        </w:rPr>
        <w:t>项目名称：</w:t>
      </w:r>
      <w:r>
        <w:rPr>
          <w:rFonts w:hint="eastAsia" w:ascii="仿宋" w:hAnsi="仿宋" w:eastAsia="仿宋" w:cs="仿宋"/>
          <w:b/>
          <w:color w:val="auto"/>
          <w:sz w:val="36"/>
          <w:lang w:eastAsia="zh-CN"/>
        </w:rPr>
        <w:t>马嘴实验学校围墙等附属设施维修项目</w:t>
      </w:r>
    </w:p>
    <w:p w14:paraId="3F563F3B">
      <w:pPr>
        <w:pStyle w:val="17"/>
        <w:rPr>
          <w:rFonts w:hint="eastAsia" w:ascii="仿宋" w:hAnsi="仿宋" w:eastAsia="仿宋" w:cs="仿宋"/>
          <w:color w:val="auto"/>
        </w:rPr>
      </w:pPr>
    </w:p>
    <w:p w14:paraId="4603B388">
      <w:pPr>
        <w:rPr>
          <w:rFonts w:hint="eastAsia" w:ascii="仿宋" w:hAnsi="仿宋" w:eastAsia="仿宋" w:cs="仿宋"/>
          <w:color w:val="auto"/>
        </w:rPr>
      </w:pPr>
    </w:p>
    <w:p w14:paraId="506F6340">
      <w:pPr>
        <w:pStyle w:val="17"/>
        <w:rPr>
          <w:rFonts w:hint="eastAsia" w:ascii="仿宋" w:hAnsi="仿宋" w:eastAsia="仿宋" w:cs="仿宋"/>
          <w:color w:val="auto"/>
        </w:rPr>
      </w:pPr>
    </w:p>
    <w:p w14:paraId="380E56DA">
      <w:pPr>
        <w:pStyle w:val="17"/>
        <w:rPr>
          <w:rFonts w:hint="eastAsia" w:ascii="仿宋" w:hAnsi="仿宋" w:eastAsia="仿宋" w:cs="仿宋"/>
          <w:color w:val="auto"/>
        </w:rPr>
      </w:pPr>
    </w:p>
    <w:p w14:paraId="7FDB3893">
      <w:pPr>
        <w:rPr>
          <w:rFonts w:hint="eastAsia" w:ascii="仿宋" w:hAnsi="仿宋" w:eastAsia="仿宋" w:cs="仿宋"/>
          <w:color w:val="auto"/>
        </w:rPr>
      </w:pPr>
    </w:p>
    <w:p w14:paraId="171BDF83">
      <w:pPr>
        <w:pStyle w:val="17"/>
        <w:rPr>
          <w:rFonts w:hint="eastAsia" w:ascii="仿宋" w:hAnsi="仿宋" w:eastAsia="仿宋" w:cs="仿宋"/>
          <w:color w:val="auto"/>
        </w:rPr>
      </w:pPr>
    </w:p>
    <w:p w14:paraId="33C115BA">
      <w:pPr>
        <w:jc w:val="center"/>
        <w:rPr>
          <w:rFonts w:hint="eastAsia" w:ascii="仿宋" w:hAnsi="仿宋" w:eastAsia="仿宋" w:cs="仿宋"/>
          <w:b/>
          <w:color w:val="auto"/>
          <w:kern w:val="2"/>
          <w:sz w:val="36"/>
          <w:szCs w:val="28"/>
          <w:lang w:eastAsia="zh-CN"/>
        </w:rPr>
      </w:pPr>
      <w:r>
        <w:rPr>
          <w:rFonts w:hint="eastAsia" w:ascii="仿宋" w:hAnsi="仿宋" w:eastAsia="仿宋" w:cs="仿宋"/>
          <w:b/>
          <w:color w:val="auto"/>
          <w:kern w:val="2"/>
          <w:sz w:val="36"/>
        </w:rPr>
        <w:t>采购人：</w:t>
      </w:r>
      <w:r>
        <w:rPr>
          <w:rFonts w:hint="eastAsia" w:ascii="仿宋" w:hAnsi="仿宋" w:eastAsia="仿宋" w:cs="仿宋"/>
          <w:b/>
          <w:color w:val="auto"/>
          <w:sz w:val="36"/>
          <w:lang w:eastAsia="zh-CN"/>
        </w:rPr>
        <w:t>重庆市南川区马嘴实验学校</w:t>
      </w:r>
    </w:p>
    <w:p w14:paraId="246C2CE6">
      <w:pPr>
        <w:spacing w:line="360" w:lineRule="auto"/>
        <w:jc w:val="center"/>
        <w:rPr>
          <w:rFonts w:hint="eastAsia" w:ascii="仿宋" w:hAnsi="仿宋" w:eastAsia="仿宋" w:cs="仿宋"/>
          <w:b/>
          <w:color w:val="auto"/>
          <w:sz w:val="36"/>
        </w:rPr>
      </w:pPr>
      <w:r>
        <w:rPr>
          <w:rFonts w:hint="eastAsia" w:ascii="仿宋" w:hAnsi="仿宋" w:eastAsia="仿宋" w:cs="仿宋"/>
          <w:b/>
          <w:color w:val="auto"/>
          <w:sz w:val="36"/>
        </w:rPr>
        <w:t>采购代理机构：坤博工程咨询（重庆）有限公司</w:t>
      </w:r>
    </w:p>
    <w:p w14:paraId="53563CD3">
      <w:pPr>
        <w:pStyle w:val="17"/>
        <w:rPr>
          <w:rFonts w:hint="eastAsia" w:ascii="仿宋" w:hAnsi="仿宋" w:eastAsia="仿宋" w:cs="仿宋"/>
          <w:color w:val="auto"/>
        </w:rPr>
      </w:pPr>
    </w:p>
    <w:p w14:paraId="525631CB">
      <w:pPr>
        <w:spacing w:line="360" w:lineRule="auto"/>
        <w:jc w:val="center"/>
        <w:rPr>
          <w:rFonts w:hint="eastAsia" w:ascii="仿宋" w:hAnsi="仿宋" w:eastAsia="仿宋" w:cs="仿宋"/>
          <w:b/>
          <w:color w:val="auto"/>
          <w:sz w:val="36"/>
        </w:rPr>
      </w:pPr>
      <w:r>
        <w:rPr>
          <w:rFonts w:hint="eastAsia" w:ascii="仿宋" w:hAnsi="仿宋" w:eastAsia="仿宋" w:cs="仿宋"/>
          <w:b/>
          <w:color w:val="auto"/>
          <w:sz w:val="36"/>
        </w:rPr>
        <w:t>二〇二</w:t>
      </w:r>
      <w:r>
        <w:rPr>
          <w:rFonts w:hint="eastAsia" w:ascii="仿宋" w:hAnsi="仿宋" w:eastAsia="仿宋" w:cs="仿宋"/>
          <w:b/>
          <w:color w:val="auto"/>
          <w:sz w:val="36"/>
          <w:lang w:val="en-US" w:eastAsia="zh-CN"/>
        </w:rPr>
        <w:t>六</w:t>
      </w:r>
      <w:r>
        <w:rPr>
          <w:rFonts w:hint="eastAsia" w:ascii="仿宋" w:hAnsi="仿宋" w:eastAsia="仿宋" w:cs="仿宋"/>
          <w:b/>
          <w:color w:val="auto"/>
          <w:sz w:val="36"/>
        </w:rPr>
        <w:t>年</w:t>
      </w:r>
      <w:r>
        <w:rPr>
          <w:rFonts w:hint="eastAsia" w:ascii="仿宋" w:hAnsi="仿宋" w:eastAsia="仿宋" w:cs="仿宋"/>
          <w:b/>
          <w:color w:val="auto"/>
          <w:sz w:val="36"/>
          <w:lang w:val="en-US" w:eastAsia="zh-CN"/>
        </w:rPr>
        <w:t>五</w:t>
      </w:r>
      <w:r>
        <w:rPr>
          <w:rFonts w:hint="eastAsia" w:ascii="仿宋" w:hAnsi="仿宋" w:eastAsia="仿宋" w:cs="仿宋"/>
          <w:b/>
          <w:color w:val="auto"/>
          <w:sz w:val="36"/>
        </w:rPr>
        <w:t>月</w:t>
      </w:r>
    </w:p>
    <w:p w14:paraId="5A922C35">
      <w:pPr>
        <w:tabs>
          <w:tab w:val="left" w:pos="1185"/>
          <w:tab w:val="center" w:pos="4156"/>
          <w:tab w:val="left" w:pos="7095"/>
        </w:tabs>
        <w:spacing w:line="700" w:lineRule="exact"/>
        <w:rPr>
          <w:rFonts w:hint="eastAsia" w:ascii="仿宋" w:hAnsi="仿宋" w:eastAsia="仿宋" w:cs="仿宋"/>
          <w:color w:val="auto"/>
        </w:rPr>
        <w:sectPr>
          <w:headerReference r:id="rId4" w:type="first"/>
          <w:headerReference r:id="rId3" w:type="default"/>
          <w:footerReference r:id="rId5" w:type="default"/>
          <w:pgSz w:w="11907" w:h="16840"/>
          <w:pgMar w:top="1440" w:right="1797" w:bottom="1440" w:left="1797" w:header="454" w:footer="567" w:gutter="0"/>
          <w:pgNumType w:fmt="numberInDash" w:start="1"/>
          <w:cols w:space="720" w:num="1"/>
          <w:titlePg/>
          <w:docGrid w:type="lines" w:linePitch="381" w:charSpace="-5735"/>
        </w:sectPr>
      </w:pPr>
    </w:p>
    <w:p w14:paraId="55C97074">
      <w:pPr>
        <w:tabs>
          <w:tab w:val="left" w:pos="1185"/>
          <w:tab w:val="center" w:pos="4156"/>
          <w:tab w:val="left" w:pos="7095"/>
        </w:tabs>
        <w:spacing w:line="700" w:lineRule="exact"/>
        <w:rPr>
          <w:rFonts w:hint="eastAsia" w:ascii="仿宋" w:hAnsi="仿宋" w:eastAsia="仿宋" w:cs="仿宋"/>
          <w:b/>
          <w:bCs/>
          <w:color w:val="auto"/>
          <w:sz w:val="40"/>
          <w:szCs w:val="40"/>
        </w:rPr>
      </w:pP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b/>
          <w:bCs/>
          <w:color w:val="auto"/>
          <w:sz w:val="40"/>
          <w:szCs w:val="40"/>
        </w:rPr>
        <w:t>目  录</w:t>
      </w:r>
    </w:p>
    <w:p w14:paraId="08C7E975">
      <w:pPr>
        <w:pStyle w:val="17"/>
        <w:tabs>
          <w:tab w:val="right" w:leader="dot" w:pos="8313"/>
          <w:tab w:val="clear" w:pos="8303"/>
        </w:tabs>
      </w:pPr>
      <w:r>
        <w:rPr>
          <w:rFonts w:hint="eastAsia" w:ascii="仿宋" w:hAnsi="仿宋" w:eastAsia="仿宋" w:cs="仿宋"/>
          <w:b w:val="0"/>
          <w:bCs w:val="0"/>
          <w:color w:val="auto"/>
        </w:rPr>
        <w:fldChar w:fldCharType="begin"/>
      </w:r>
      <w:r>
        <w:rPr>
          <w:rFonts w:hint="eastAsia" w:ascii="仿宋" w:hAnsi="仿宋" w:eastAsia="仿宋" w:cs="仿宋"/>
          <w:b w:val="0"/>
          <w:bCs w:val="0"/>
          <w:color w:val="auto"/>
        </w:rPr>
        <w:instrText xml:space="preserve"> TOC \o "1-3" \h \z \u </w:instrText>
      </w:r>
      <w:r>
        <w:rPr>
          <w:rFonts w:hint="eastAsia" w:ascii="仿宋" w:hAnsi="仿宋" w:eastAsia="仿宋" w:cs="仿宋"/>
          <w:b w:val="0"/>
          <w:bCs w:val="0"/>
          <w:color w:val="auto"/>
        </w:rPr>
        <w:fldChar w:fldCharType="separate"/>
      </w:r>
      <w:r>
        <w:rPr>
          <w:rFonts w:hint="eastAsia" w:ascii="仿宋" w:hAnsi="仿宋" w:eastAsia="仿宋" w:cs="仿宋"/>
          <w:bCs w:val="0"/>
          <w:color w:val="auto"/>
        </w:rPr>
        <w:fldChar w:fldCharType="begin"/>
      </w:r>
      <w:r>
        <w:rPr>
          <w:rFonts w:hint="eastAsia" w:ascii="仿宋" w:hAnsi="仿宋" w:eastAsia="仿宋" w:cs="仿宋"/>
          <w:bCs w:val="0"/>
        </w:rPr>
        <w:instrText xml:space="preserve"> HYPERLINK \l _Toc10796 </w:instrText>
      </w:r>
      <w:r>
        <w:rPr>
          <w:rFonts w:hint="eastAsia" w:ascii="仿宋" w:hAnsi="仿宋" w:eastAsia="仿宋" w:cs="仿宋"/>
          <w:bCs w:val="0"/>
        </w:rPr>
        <w:fldChar w:fldCharType="separate"/>
      </w:r>
      <w:r>
        <w:rPr>
          <w:rFonts w:hint="eastAsia" w:ascii="仿宋" w:hAnsi="仿宋" w:eastAsia="仿宋" w:cs="仿宋"/>
          <w:bCs/>
          <w:spacing w:val="80"/>
          <w:szCs w:val="112"/>
        </w:rPr>
        <w:t>竞争性比选</w:t>
      </w:r>
      <w:r>
        <w:tab/>
      </w:r>
      <w:r>
        <w:fldChar w:fldCharType="begin"/>
      </w:r>
      <w:r>
        <w:instrText xml:space="preserve"> PAGEREF _Toc10796 \h </w:instrText>
      </w:r>
      <w:r>
        <w:fldChar w:fldCharType="separate"/>
      </w:r>
      <w:r>
        <w:t>- 1 -</w:t>
      </w:r>
      <w:r>
        <w:fldChar w:fldCharType="end"/>
      </w:r>
      <w:r>
        <w:rPr>
          <w:rFonts w:hint="eastAsia" w:ascii="仿宋" w:hAnsi="仿宋" w:eastAsia="仿宋" w:cs="仿宋"/>
          <w:bCs w:val="0"/>
          <w:color w:val="auto"/>
        </w:rPr>
        <w:fldChar w:fldCharType="end"/>
      </w:r>
    </w:p>
    <w:p w14:paraId="43850037">
      <w:pPr>
        <w:pStyle w:val="17"/>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_Toc14329 </w:instrText>
      </w:r>
      <w:r>
        <w:rPr>
          <w:rFonts w:hint="eastAsia" w:ascii="仿宋" w:hAnsi="仿宋" w:eastAsia="仿宋" w:cs="仿宋"/>
          <w:bCs/>
        </w:rPr>
        <w:fldChar w:fldCharType="separate"/>
      </w:r>
      <w:r>
        <w:rPr>
          <w:rFonts w:hint="eastAsia" w:ascii="仿宋" w:hAnsi="仿宋" w:eastAsia="仿宋" w:cs="仿宋"/>
          <w:bCs/>
          <w:spacing w:val="80"/>
          <w:szCs w:val="112"/>
        </w:rPr>
        <w:t>采购文件</w:t>
      </w:r>
      <w:r>
        <w:tab/>
      </w:r>
      <w:r>
        <w:fldChar w:fldCharType="begin"/>
      </w:r>
      <w:r>
        <w:instrText xml:space="preserve"> PAGEREF _Toc14329 \h </w:instrText>
      </w:r>
      <w:r>
        <w:fldChar w:fldCharType="separate"/>
      </w:r>
      <w:r>
        <w:t>- 1 -</w:t>
      </w:r>
      <w:r>
        <w:fldChar w:fldCharType="end"/>
      </w:r>
      <w:r>
        <w:rPr>
          <w:rFonts w:hint="eastAsia" w:ascii="仿宋" w:hAnsi="仿宋" w:eastAsia="仿宋" w:cs="仿宋"/>
          <w:bCs/>
          <w:color w:val="auto"/>
        </w:rPr>
        <w:fldChar w:fldCharType="end"/>
      </w:r>
    </w:p>
    <w:p w14:paraId="65577ED2">
      <w:pPr>
        <w:pStyle w:val="17"/>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_Toc15252 </w:instrText>
      </w:r>
      <w:r>
        <w:rPr>
          <w:rFonts w:hint="eastAsia" w:ascii="仿宋" w:hAnsi="仿宋" w:eastAsia="仿宋" w:cs="仿宋"/>
          <w:bCs/>
        </w:rPr>
        <w:fldChar w:fldCharType="separate"/>
      </w:r>
      <w:r>
        <w:rPr>
          <w:rFonts w:hint="eastAsia" w:ascii="仿宋" w:hAnsi="仿宋" w:eastAsia="仿宋" w:cs="仿宋"/>
          <w:szCs w:val="36"/>
        </w:rPr>
        <w:t>第一篇  比选邀请书</w:t>
      </w:r>
      <w:r>
        <w:tab/>
      </w:r>
      <w:r>
        <w:fldChar w:fldCharType="begin"/>
      </w:r>
      <w:r>
        <w:instrText xml:space="preserve"> PAGEREF _Toc15252 \h </w:instrText>
      </w:r>
      <w:r>
        <w:fldChar w:fldCharType="separate"/>
      </w:r>
      <w:r>
        <w:t>- 3 -</w:t>
      </w:r>
      <w:r>
        <w:fldChar w:fldCharType="end"/>
      </w:r>
      <w:r>
        <w:rPr>
          <w:rFonts w:hint="eastAsia" w:ascii="仿宋" w:hAnsi="仿宋" w:eastAsia="仿宋" w:cs="仿宋"/>
          <w:bCs/>
          <w:color w:val="auto"/>
        </w:rPr>
        <w:fldChar w:fldCharType="end"/>
      </w:r>
    </w:p>
    <w:p w14:paraId="38C90E44">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_Toc13362 </w:instrText>
      </w:r>
      <w:r>
        <w:rPr>
          <w:rFonts w:hint="eastAsia" w:ascii="仿宋" w:hAnsi="仿宋" w:eastAsia="仿宋" w:cs="仿宋"/>
          <w:bCs/>
        </w:rPr>
        <w:fldChar w:fldCharType="separate"/>
      </w:r>
      <w:r>
        <w:rPr>
          <w:rFonts w:hint="eastAsia" w:ascii="仿宋" w:hAnsi="仿宋" w:eastAsia="仿宋" w:cs="仿宋"/>
          <w:szCs w:val="24"/>
        </w:rPr>
        <w:t>一、比选项目内容</w:t>
      </w:r>
      <w:r>
        <w:tab/>
      </w:r>
      <w:r>
        <w:fldChar w:fldCharType="begin"/>
      </w:r>
      <w:r>
        <w:instrText xml:space="preserve"> PAGEREF _Toc13362 \h </w:instrText>
      </w:r>
      <w:r>
        <w:fldChar w:fldCharType="separate"/>
      </w:r>
      <w:r>
        <w:t>- 3 -</w:t>
      </w:r>
      <w:r>
        <w:fldChar w:fldCharType="end"/>
      </w:r>
      <w:r>
        <w:rPr>
          <w:rFonts w:hint="eastAsia" w:ascii="仿宋" w:hAnsi="仿宋" w:eastAsia="仿宋" w:cs="仿宋"/>
          <w:bCs/>
          <w:color w:val="auto"/>
        </w:rPr>
        <w:fldChar w:fldCharType="end"/>
      </w:r>
    </w:p>
    <w:p w14:paraId="11FE080F">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_Toc24758 </w:instrText>
      </w:r>
      <w:r>
        <w:rPr>
          <w:rFonts w:hint="eastAsia" w:ascii="仿宋" w:hAnsi="仿宋" w:eastAsia="仿宋" w:cs="仿宋"/>
          <w:bCs/>
        </w:rPr>
        <w:fldChar w:fldCharType="separate"/>
      </w:r>
      <w:r>
        <w:rPr>
          <w:rFonts w:hint="eastAsia" w:ascii="仿宋" w:hAnsi="仿宋" w:eastAsia="仿宋" w:cs="仿宋"/>
          <w:szCs w:val="24"/>
        </w:rPr>
        <w:t>二、资金来源</w:t>
      </w:r>
      <w:r>
        <w:tab/>
      </w:r>
      <w:r>
        <w:fldChar w:fldCharType="begin"/>
      </w:r>
      <w:r>
        <w:instrText xml:space="preserve"> PAGEREF _Toc24758 \h </w:instrText>
      </w:r>
      <w:r>
        <w:fldChar w:fldCharType="separate"/>
      </w:r>
      <w:r>
        <w:t>- 3 -</w:t>
      </w:r>
      <w:r>
        <w:fldChar w:fldCharType="end"/>
      </w:r>
      <w:r>
        <w:rPr>
          <w:rFonts w:hint="eastAsia" w:ascii="仿宋" w:hAnsi="仿宋" w:eastAsia="仿宋" w:cs="仿宋"/>
          <w:bCs/>
          <w:color w:val="auto"/>
        </w:rPr>
        <w:fldChar w:fldCharType="end"/>
      </w:r>
    </w:p>
    <w:p w14:paraId="36DFBF2E">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_Toc30206 </w:instrText>
      </w:r>
      <w:r>
        <w:rPr>
          <w:rFonts w:hint="eastAsia" w:ascii="仿宋" w:hAnsi="仿宋" w:eastAsia="仿宋" w:cs="仿宋"/>
          <w:bCs/>
        </w:rPr>
        <w:fldChar w:fldCharType="separate"/>
      </w:r>
      <w:r>
        <w:rPr>
          <w:rFonts w:hint="eastAsia" w:ascii="仿宋" w:hAnsi="仿宋" w:eastAsia="仿宋" w:cs="仿宋"/>
          <w:szCs w:val="24"/>
        </w:rPr>
        <w:t>三、资格要求</w:t>
      </w:r>
      <w:r>
        <w:tab/>
      </w:r>
      <w:r>
        <w:fldChar w:fldCharType="begin"/>
      </w:r>
      <w:r>
        <w:instrText xml:space="preserve"> PAGEREF _Toc30206 \h </w:instrText>
      </w:r>
      <w:r>
        <w:fldChar w:fldCharType="separate"/>
      </w:r>
      <w:r>
        <w:t>- 3 -</w:t>
      </w:r>
      <w:r>
        <w:fldChar w:fldCharType="end"/>
      </w:r>
      <w:r>
        <w:rPr>
          <w:rFonts w:hint="eastAsia" w:ascii="仿宋" w:hAnsi="仿宋" w:eastAsia="仿宋" w:cs="仿宋"/>
          <w:bCs/>
          <w:color w:val="auto"/>
        </w:rPr>
        <w:fldChar w:fldCharType="end"/>
      </w:r>
    </w:p>
    <w:p w14:paraId="49195F7C">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_Toc3036 </w:instrText>
      </w:r>
      <w:r>
        <w:rPr>
          <w:rFonts w:hint="eastAsia" w:ascii="仿宋" w:hAnsi="仿宋" w:eastAsia="仿宋" w:cs="仿宋"/>
          <w:bCs/>
        </w:rPr>
        <w:fldChar w:fldCharType="separate"/>
      </w:r>
      <w:r>
        <w:rPr>
          <w:rFonts w:hint="eastAsia" w:ascii="仿宋" w:hAnsi="仿宋" w:eastAsia="仿宋" w:cs="仿宋"/>
          <w:szCs w:val="24"/>
        </w:rPr>
        <w:t>四、比选有关说明</w:t>
      </w:r>
      <w:r>
        <w:tab/>
      </w:r>
      <w:r>
        <w:fldChar w:fldCharType="begin"/>
      </w:r>
      <w:r>
        <w:instrText xml:space="preserve"> PAGEREF _Toc3036 \h </w:instrText>
      </w:r>
      <w:r>
        <w:fldChar w:fldCharType="separate"/>
      </w:r>
      <w:r>
        <w:t>- 3 -</w:t>
      </w:r>
      <w:r>
        <w:fldChar w:fldCharType="end"/>
      </w:r>
      <w:r>
        <w:rPr>
          <w:rFonts w:hint="eastAsia" w:ascii="仿宋" w:hAnsi="仿宋" w:eastAsia="仿宋" w:cs="仿宋"/>
          <w:bCs/>
          <w:color w:val="auto"/>
        </w:rPr>
        <w:fldChar w:fldCharType="end"/>
      </w:r>
    </w:p>
    <w:p w14:paraId="76166F3C">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_Toc5778 </w:instrText>
      </w:r>
      <w:r>
        <w:rPr>
          <w:rFonts w:hint="eastAsia" w:ascii="仿宋" w:hAnsi="仿宋" w:eastAsia="仿宋" w:cs="仿宋"/>
          <w:bCs/>
        </w:rPr>
        <w:fldChar w:fldCharType="separate"/>
      </w:r>
      <w:r>
        <w:rPr>
          <w:rFonts w:hint="eastAsia" w:ascii="仿宋" w:hAnsi="仿宋" w:eastAsia="仿宋" w:cs="仿宋"/>
          <w:szCs w:val="24"/>
        </w:rPr>
        <w:t>五、比选保证金</w:t>
      </w:r>
      <w:r>
        <w:tab/>
      </w:r>
      <w:r>
        <w:fldChar w:fldCharType="begin"/>
      </w:r>
      <w:r>
        <w:instrText xml:space="preserve"> PAGEREF _Toc5778 \h </w:instrText>
      </w:r>
      <w:r>
        <w:fldChar w:fldCharType="separate"/>
      </w:r>
      <w:r>
        <w:t>- 5 -</w:t>
      </w:r>
      <w:r>
        <w:fldChar w:fldCharType="end"/>
      </w:r>
      <w:r>
        <w:rPr>
          <w:rFonts w:hint="eastAsia" w:ascii="仿宋" w:hAnsi="仿宋" w:eastAsia="仿宋" w:cs="仿宋"/>
          <w:bCs/>
          <w:color w:val="auto"/>
        </w:rPr>
        <w:fldChar w:fldCharType="end"/>
      </w:r>
    </w:p>
    <w:p w14:paraId="74019AC2">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_Toc26922 </w:instrText>
      </w:r>
      <w:r>
        <w:rPr>
          <w:rFonts w:hint="eastAsia" w:ascii="仿宋" w:hAnsi="仿宋" w:eastAsia="仿宋" w:cs="仿宋"/>
          <w:bCs/>
        </w:rPr>
        <w:fldChar w:fldCharType="separate"/>
      </w:r>
      <w:r>
        <w:rPr>
          <w:rFonts w:hint="eastAsia" w:ascii="仿宋" w:hAnsi="仿宋" w:eastAsia="仿宋" w:cs="仿宋"/>
          <w:szCs w:val="24"/>
        </w:rPr>
        <w:t>六、比选有关规定</w:t>
      </w:r>
      <w:r>
        <w:tab/>
      </w:r>
      <w:r>
        <w:fldChar w:fldCharType="begin"/>
      </w:r>
      <w:r>
        <w:instrText xml:space="preserve"> PAGEREF _Toc26922 \h </w:instrText>
      </w:r>
      <w:r>
        <w:fldChar w:fldCharType="separate"/>
      </w:r>
      <w:r>
        <w:t>- 5 -</w:t>
      </w:r>
      <w:r>
        <w:fldChar w:fldCharType="end"/>
      </w:r>
      <w:r>
        <w:rPr>
          <w:rFonts w:hint="eastAsia" w:ascii="仿宋" w:hAnsi="仿宋" w:eastAsia="仿宋" w:cs="仿宋"/>
          <w:bCs/>
          <w:color w:val="auto"/>
        </w:rPr>
        <w:fldChar w:fldCharType="end"/>
      </w:r>
    </w:p>
    <w:p w14:paraId="6CB2A3E5">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_Toc21031 </w:instrText>
      </w:r>
      <w:r>
        <w:rPr>
          <w:rFonts w:hint="eastAsia" w:ascii="仿宋" w:hAnsi="仿宋" w:eastAsia="仿宋" w:cs="仿宋"/>
          <w:bCs/>
        </w:rPr>
        <w:fldChar w:fldCharType="separate"/>
      </w:r>
      <w:r>
        <w:rPr>
          <w:rFonts w:hint="eastAsia" w:ascii="仿宋" w:hAnsi="仿宋" w:eastAsia="仿宋" w:cs="仿宋"/>
          <w:szCs w:val="24"/>
        </w:rPr>
        <w:t>七、联系方式</w:t>
      </w:r>
      <w:r>
        <w:tab/>
      </w:r>
      <w:r>
        <w:fldChar w:fldCharType="begin"/>
      </w:r>
      <w:r>
        <w:instrText xml:space="preserve"> PAGEREF _Toc21031 \h </w:instrText>
      </w:r>
      <w:r>
        <w:fldChar w:fldCharType="separate"/>
      </w:r>
      <w:r>
        <w:t>- 5 -</w:t>
      </w:r>
      <w:r>
        <w:fldChar w:fldCharType="end"/>
      </w:r>
      <w:r>
        <w:rPr>
          <w:rFonts w:hint="eastAsia" w:ascii="仿宋" w:hAnsi="仿宋" w:eastAsia="仿宋" w:cs="仿宋"/>
          <w:bCs/>
          <w:color w:val="auto"/>
        </w:rPr>
        <w:fldChar w:fldCharType="end"/>
      </w:r>
    </w:p>
    <w:p w14:paraId="3EF99A93">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_Toc2580 </w:instrText>
      </w:r>
      <w:r>
        <w:rPr>
          <w:rFonts w:hint="eastAsia" w:ascii="仿宋" w:hAnsi="仿宋" w:eastAsia="仿宋" w:cs="仿宋"/>
          <w:bCs/>
        </w:rPr>
        <w:fldChar w:fldCharType="separate"/>
      </w:r>
      <w:r>
        <w:rPr>
          <w:rFonts w:hint="eastAsia" w:ascii="仿宋" w:hAnsi="仿宋" w:eastAsia="仿宋" w:cs="仿宋"/>
          <w:bCs/>
        </w:rPr>
        <w:t>第二篇  供应商须知</w:t>
      </w:r>
      <w:r>
        <w:tab/>
      </w:r>
      <w:r>
        <w:fldChar w:fldCharType="begin"/>
      </w:r>
      <w:r>
        <w:instrText xml:space="preserve"> PAGEREF _Toc2580 \h </w:instrText>
      </w:r>
      <w:r>
        <w:fldChar w:fldCharType="separate"/>
      </w:r>
      <w:r>
        <w:t>- 7 -</w:t>
      </w:r>
      <w:r>
        <w:fldChar w:fldCharType="end"/>
      </w:r>
      <w:r>
        <w:rPr>
          <w:rFonts w:hint="eastAsia" w:ascii="仿宋" w:hAnsi="仿宋" w:eastAsia="仿宋" w:cs="仿宋"/>
          <w:bCs/>
          <w:color w:val="auto"/>
        </w:rPr>
        <w:fldChar w:fldCharType="end"/>
      </w:r>
    </w:p>
    <w:p w14:paraId="3E46F303">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_Toc2573 </w:instrText>
      </w:r>
      <w:r>
        <w:rPr>
          <w:rFonts w:hint="eastAsia" w:ascii="仿宋" w:hAnsi="仿宋" w:eastAsia="仿宋" w:cs="仿宋"/>
          <w:bCs/>
        </w:rPr>
        <w:fldChar w:fldCharType="separate"/>
      </w:r>
      <w:r>
        <w:rPr>
          <w:rFonts w:hint="eastAsia" w:ascii="仿宋" w:hAnsi="仿宋" w:eastAsia="仿宋" w:cs="仿宋"/>
          <w:szCs w:val="24"/>
        </w:rPr>
        <w:t>一、比选费用</w:t>
      </w:r>
      <w:r>
        <w:tab/>
      </w:r>
      <w:r>
        <w:fldChar w:fldCharType="begin"/>
      </w:r>
      <w:r>
        <w:instrText xml:space="preserve"> PAGEREF _Toc2573 \h </w:instrText>
      </w:r>
      <w:r>
        <w:fldChar w:fldCharType="separate"/>
      </w:r>
      <w:r>
        <w:t>- 7 -</w:t>
      </w:r>
      <w:r>
        <w:fldChar w:fldCharType="end"/>
      </w:r>
      <w:r>
        <w:rPr>
          <w:rFonts w:hint="eastAsia" w:ascii="仿宋" w:hAnsi="仿宋" w:eastAsia="仿宋" w:cs="仿宋"/>
          <w:bCs/>
          <w:color w:val="auto"/>
        </w:rPr>
        <w:fldChar w:fldCharType="end"/>
      </w:r>
    </w:p>
    <w:p w14:paraId="7A8DB34D">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_Toc20884 </w:instrText>
      </w:r>
      <w:r>
        <w:rPr>
          <w:rFonts w:hint="eastAsia" w:ascii="仿宋" w:hAnsi="仿宋" w:eastAsia="仿宋" w:cs="仿宋"/>
          <w:bCs/>
        </w:rPr>
        <w:fldChar w:fldCharType="separate"/>
      </w:r>
      <w:r>
        <w:rPr>
          <w:rFonts w:hint="eastAsia" w:ascii="仿宋" w:hAnsi="仿宋" w:eastAsia="仿宋" w:cs="仿宋"/>
          <w:szCs w:val="24"/>
        </w:rPr>
        <w:t>二、比选通知书</w:t>
      </w:r>
      <w:r>
        <w:tab/>
      </w:r>
      <w:r>
        <w:fldChar w:fldCharType="begin"/>
      </w:r>
      <w:r>
        <w:instrText xml:space="preserve"> PAGEREF _Toc20884 \h </w:instrText>
      </w:r>
      <w:r>
        <w:fldChar w:fldCharType="separate"/>
      </w:r>
      <w:r>
        <w:t>- 7 -</w:t>
      </w:r>
      <w:r>
        <w:fldChar w:fldCharType="end"/>
      </w:r>
      <w:r>
        <w:rPr>
          <w:rFonts w:hint="eastAsia" w:ascii="仿宋" w:hAnsi="仿宋" w:eastAsia="仿宋" w:cs="仿宋"/>
          <w:bCs/>
          <w:color w:val="auto"/>
        </w:rPr>
        <w:fldChar w:fldCharType="end"/>
      </w:r>
    </w:p>
    <w:p w14:paraId="44C0C83B">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_Toc10397 </w:instrText>
      </w:r>
      <w:r>
        <w:rPr>
          <w:rFonts w:hint="eastAsia" w:ascii="仿宋" w:hAnsi="仿宋" w:eastAsia="仿宋" w:cs="仿宋"/>
          <w:bCs/>
        </w:rPr>
        <w:fldChar w:fldCharType="separate"/>
      </w:r>
      <w:r>
        <w:rPr>
          <w:rFonts w:hint="eastAsia" w:ascii="仿宋" w:hAnsi="仿宋" w:eastAsia="仿宋" w:cs="仿宋"/>
          <w:szCs w:val="24"/>
        </w:rPr>
        <w:t>三、比选要求</w:t>
      </w:r>
      <w:r>
        <w:tab/>
      </w:r>
      <w:r>
        <w:fldChar w:fldCharType="begin"/>
      </w:r>
      <w:r>
        <w:instrText xml:space="preserve"> PAGEREF _Toc10397 \h </w:instrText>
      </w:r>
      <w:r>
        <w:fldChar w:fldCharType="separate"/>
      </w:r>
      <w:r>
        <w:t>- 7 -</w:t>
      </w:r>
      <w:r>
        <w:fldChar w:fldCharType="end"/>
      </w:r>
      <w:r>
        <w:rPr>
          <w:rFonts w:hint="eastAsia" w:ascii="仿宋" w:hAnsi="仿宋" w:eastAsia="仿宋" w:cs="仿宋"/>
          <w:bCs/>
          <w:color w:val="auto"/>
        </w:rPr>
        <w:fldChar w:fldCharType="end"/>
      </w:r>
    </w:p>
    <w:p w14:paraId="2319555C">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_Toc20180 </w:instrText>
      </w:r>
      <w:r>
        <w:rPr>
          <w:rFonts w:hint="eastAsia" w:ascii="仿宋" w:hAnsi="仿宋" w:eastAsia="仿宋" w:cs="仿宋"/>
          <w:bCs/>
        </w:rPr>
        <w:fldChar w:fldCharType="separate"/>
      </w:r>
      <w:r>
        <w:rPr>
          <w:rFonts w:hint="eastAsia" w:ascii="仿宋" w:hAnsi="仿宋" w:eastAsia="仿宋" w:cs="仿宋"/>
          <w:szCs w:val="24"/>
        </w:rPr>
        <w:t>四、比选程序及成交标准</w:t>
      </w:r>
      <w:r>
        <w:tab/>
      </w:r>
      <w:r>
        <w:fldChar w:fldCharType="begin"/>
      </w:r>
      <w:r>
        <w:instrText xml:space="preserve"> PAGEREF _Toc20180 \h </w:instrText>
      </w:r>
      <w:r>
        <w:fldChar w:fldCharType="separate"/>
      </w:r>
      <w:r>
        <w:t>- 10 -</w:t>
      </w:r>
      <w:r>
        <w:fldChar w:fldCharType="end"/>
      </w:r>
      <w:r>
        <w:rPr>
          <w:rFonts w:hint="eastAsia" w:ascii="仿宋" w:hAnsi="仿宋" w:eastAsia="仿宋" w:cs="仿宋"/>
          <w:bCs/>
          <w:color w:val="auto"/>
        </w:rPr>
        <w:fldChar w:fldCharType="end"/>
      </w:r>
    </w:p>
    <w:p w14:paraId="4E93AAB8">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_Toc32169 </w:instrText>
      </w:r>
      <w:r>
        <w:rPr>
          <w:rFonts w:hint="eastAsia" w:ascii="仿宋" w:hAnsi="仿宋" w:eastAsia="仿宋" w:cs="仿宋"/>
          <w:bCs/>
        </w:rPr>
        <w:fldChar w:fldCharType="separate"/>
      </w:r>
      <w:r>
        <w:rPr>
          <w:rFonts w:hint="eastAsia" w:ascii="仿宋" w:hAnsi="仿宋" w:eastAsia="仿宋" w:cs="仿宋"/>
          <w:szCs w:val="24"/>
        </w:rPr>
        <w:t>五、评审标准</w:t>
      </w:r>
      <w:r>
        <w:tab/>
      </w:r>
      <w:r>
        <w:fldChar w:fldCharType="begin"/>
      </w:r>
      <w:r>
        <w:instrText xml:space="preserve"> PAGEREF _Toc32169 \h </w:instrText>
      </w:r>
      <w:r>
        <w:fldChar w:fldCharType="separate"/>
      </w:r>
      <w:r>
        <w:t>- 12 -</w:t>
      </w:r>
      <w:r>
        <w:fldChar w:fldCharType="end"/>
      </w:r>
      <w:r>
        <w:rPr>
          <w:rFonts w:hint="eastAsia" w:ascii="仿宋" w:hAnsi="仿宋" w:eastAsia="仿宋" w:cs="仿宋"/>
          <w:bCs/>
          <w:color w:val="auto"/>
        </w:rPr>
        <w:fldChar w:fldCharType="end"/>
      </w:r>
    </w:p>
    <w:p w14:paraId="78FD7498">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_Toc25197 </w:instrText>
      </w:r>
      <w:r>
        <w:rPr>
          <w:rFonts w:hint="eastAsia" w:ascii="仿宋" w:hAnsi="仿宋" w:eastAsia="仿宋" w:cs="仿宋"/>
          <w:bCs/>
        </w:rPr>
        <w:fldChar w:fldCharType="separate"/>
      </w:r>
      <w:r>
        <w:rPr>
          <w:rFonts w:hint="eastAsia" w:ascii="仿宋" w:hAnsi="仿宋" w:eastAsia="仿宋" w:cs="仿宋"/>
          <w:szCs w:val="24"/>
        </w:rPr>
        <w:t>六、评审依据</w:t>
      </w:r>
      <w:r>
        <w:tab/>
      </w:r>
      <w:r>
        <w:fldChar w:fldCharType="begin"/>
      </w:r>
      <w:r>
        <w:instrText xml:space="preserve"> PAGEREF _Toc25197 \h </w:instrText>
      </w:r>
      <w:r>
        <w:fldChar w:fldCharType="separate"/>
      </w:r>
      <w:r>
        <w:t>- 15 -</w:t>
      </w:r>
      <w:r>
        <w:fldChar w:fldCharType="end"/>
      </w:r>
      <w:r>
        <w:rPr>
          <w:rFonts w:hint="eastAsia" w:ascii="仿宋" w:hAnsi="仿宋" w:eastAsia="仿宋" w:cs="仿宋"/>
          <w:bCs/>
          <w:color w:val="auto"/>
        </w:rPr>
        <w:fldChar w:fldCharType="end"/>
      </w:r>
    </w:p>
    <w:p w14:paraId="0085013A">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_Toc8009 </w:instrText>
      </w:r>
      <w:r>
        <w:rPr>
          <w:rFonts w:hint="eastAsia" w:ascii="仿宋" w:hAnsi="仿宋" w:eastAsia="仿宋" w:cs="仿宋"/>
          <w:bCs/>
        </w:rPr>
        <w:fldChar w:fldCharType="separate"/>
      </w:r>
      <w:r>
        <w:rPr>
          <w:rFonts w:hint="eastAsia" w:ascii="仿宋" w:hAnsi="仿宋" w:eastAsia="仿宋" w:cs="仿宋"/>
          <w:szCs w:val="24"/>
        </w:rPr>
        <w:t>七、成交通知</w:t>
      </w:r>
      <w:r>
        <w:tab/>
      </w:r>
      <w:r>
        <w:fldChar w:fldCharType="begin"/>
      </w:r>
      <w:r>
        <w:instrText xml:space="preserve"> PAGEREF _Toc8009 \h </w:instrText>
      </w:r>
      <w:r>
        <w:fldChar w:fldCharType="separate"/>
      </w:r>
      <w:r>
        <w:t>- 15 -</w:t>
      </w:r>
      <w:r>
        <w:fldChar w:fldCharType="end"/>
      </w:r>
      <w:r>
        <w:rPr>
          <w:rFonts w:hint="eastAsia" w:ascii="仿宋" w:hAnsi="仿宋" w:eastAsia="仿宋" w:cs="仿宋"/>
          <w:bCs/>
          <w:color w:val="auto"/>
        </w:rPr>
        <w:fldChar w:fldCharType="end"/>
      </w:r>
    </w:p>
    <w:p w14:paraId="2840CCB1">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_Toc10863 </w:instrText>
      </w:r>
      <w:r>
        <w:rPr>
          <w:rFonts w:hint="eastAsia" w:ascii="仿宋" w:hAnsi="仿宋" w:eastAsia="仿宋" w:cs="仿宋"/>
          <w:bCs/>
        </w:rPr>
        <w:fldChar w:fldCharType="separate"/>
      </w:r>
      <w:r>
        <w:rPr>
          <w:rFonts w:hint="eastAsia" w:ascii="仿宋" w:hAnsi="仿宋" w:eastAsia="仿宋" w:cs="仿宋"/>
          <w:szCs w:val="24"/>
        </w:rPr>
        <w:t>八、关于质疑和投诉</w:t>
      </w:r>
      <w:r>
        <w:tab/>
      </w:r>
      <w:r>
        <w:fldChar w:fldCharType="begin"/>
      </w:r>
      <w:r>
        <w:instrText xml:space="preserve"> PAGEREF _Toc10863 \h </w:instrText>
      </w:r>
      <w:r>
        <w:fldChar w:fldCharType="separate"/>
      </w:r>
      <w:r>
        <w:t>- 15 -</w:t>
      </w:r>
      <w:r>
        <w:fldChar w:fldCharType="end"/>
      </w:r>
      <w:r>
        <w:rPr>
          <w:rFonts w:hint="eastAsia" w:ascii="仿宋" w:hAnsi="仿宋" w:eastAsia="仿宋" w:cs="仿宋"/>
          <w:bCs/>
          <w:color w:val="auto"/>
        </w:rPr>
        <w:fldChar w:fldCharType="end"/>
      </w:r>
    </w:p>
    <w:p w14:paraId="3073194D">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_Toc31291 </w:instrText>
      </w:r>
      <w:r>
        <w:rPr>
          <w:rFonts w:hint="eastAsia" w:ascii="仿宋" w:hAnsi="仿宋" w:eastAsia="仿宋" w:cs="仿宋"/>
          <w:bCs/>
        </w:rPr>
        <w:fldChar w:fldCharType="separate"/>
      </w:r>
      <w:r>
        <w:rPr>
          <w:rFonts w:hint="eastAsia" w:ascii="仿宋" w:hAnsi="仿宋" w:eastAsia="仿宋" w:cs="仿宋"/>
          <w:szCs w:val="24"/>
        </w:rPr>
        <w:t>九、签订合同</w:t>
      </w:r>
      <w:r>
        <w:tab/>
      </w:r>
      <w:r>
        <w:fldChar w:fldCharType="begin"/>
      </w:r>
      <w:r>
        <w:instrText xml:space="preserve"> PAGEREF _Toc31291 \h </w:instrText>
      </w:r>
      <w:r>
        <w:fldChar w:fldCharType="separate"/>
      </w:r>
      <w:r>
        <w:t>- 15 -</w:t>
      </w:r>
      <w:r>
        <w:fldChar w:fldCharType="end"/>
      </w:r>
      <w:r>
        <w:rPr>
          <w:rFonts w:hint="eastAsia" w:ascii="仿宋" w:hAnsi="仿宋" w:eastAsia="仿宋" w:cs="仿宋"/>
          <w:bCs/>
          <w:color w:val="auto"/>
        </w:rPr>
        <w:fldChar w:fldCharType="end"/>
      </w:r>
    </w:p>
    <w:p w14:paraId="346BD38F">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_Toc21450 </w:instrText>
      </w:r>
      <w:r>
        <w:rPr>
          <w:rFonts w:hint="eastAsia" w:ascii="仿宋" w:hAnsi="仿宋" w:eastAsia="仿宋" w:cs="仿宋"/>
          <w:bCs/>
        </w:rPr>
        <w:fldChar w:fldCharType="separate"/>
      </w:r>
      <w:r>
        <w:rPr>
          <w:rFonts w:hint="eastAsia" w:ascii="仿宋" w:hAnsi="仿宋" w:eastAsia="仿宋" w:cs="仿宋"/>
          <w:bCs w:val="0"/>
        </w:rPr>
        <w:t>第三篇  比选采购服务需求</w:t>
      </w:r>
      <w:r>
        <w:tab/>
      </w:r>
      <w:r>
        <w:fldChar w:fldCharType="begin"/>
      </w:r>
      <w:r>
        <w:instrText xml:space="preserve"> PAGEREF _Toc21450 \h </w:instrText>
      </w:r>
      <w:r>
        <w:fldChar w:fldCharType="separate"/>
      </w:r>
      <w:r>
        <w:t>- 17 -</w:t>
      </w:r>
      <w:r>
        <w:fldChar w:fldCharType="end"/>
      </w:r>
      <w:r>
        <w:rPr>
          <w:rFonts w:hint="eastAsia" w:ascii="仿宋" w:hAnsi="仿宋" w:eastAsia="仿宋" w:cs="仿宋"/>
          <w:bCs/>
          <w:color w:val="auto"/>
        </w:rPr>
        <w:fldChar w:fldCharType="end"/>
      </w:r>
    </w:p>
    <w:p w14:paraId="53137F15">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_Toc22073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eastAsia="zh-CN"/>
        </w:rPr>
        <w:t>一、</w:t>
      </w:r>
      <w:r>
        <w:rPr>
          <w:rFonts w:hint="eastAsia" w:ascii="仿宋" w:hAnsi="仿宋" w:eastAsia="仿宋" w:cs="方正仿宋_GBK"/>
          <w:bCs/>
          <w:kern w:val="2"/>
          <w:szCs w:val="24"/>
        </w:rPr>
        <w:t>项目</w:t>
      </w:r>
      <w:r>
        <w:rPr>
          <w:rFonts w:hint="eastAsia" w:ascii="仿宋" w:hAnsi="仿宋" w:eastAsia="仿宋" w:cs="方正仿宋_GBK"/>
          <w:bCs/>
          <w:kern w:val="2"/>
          <w:szCs w:val="24"/>
          <w:lang w:val="en-US" w:eastAsia="zh-CN"/>
        </w:rPr>
        <w:t>基本情况介绍</w:t>
      </w:r>
      <w:r>
        <w:tab/>
      </w:r>
      <w:r>
        <w:fldChar w:fldCharType="begin"/>
      </w:r>
      <w:r>
        <w:instrText xml:space="preserve"> PAGEREF _Toc22073 \h </w:instrText>
      </w:r>
      <w:r>
        <w:fldChar w:fldCharType="separate"/>
      </w:r>
      <w:r>
        <w:t>- 17 -</w:t>
      </w:r>
      <w:r>
        <w:fldChar w:fldCharType="end"/>
      </w:r>
      <w:r>
        <w:rPr>
          <w:rFonts w:hint="eastAsia" w:ascii="仿宋" w:hAnsi="仿宋" w:eastAsia="仿宋" w:cs="仿宋"/>
          <w:bCs/>
          <w:color w:val="auto"/>
        </w:rPr>
        <w:fldChar w:fldCharType="end"/>
      </w:r>
    </w:p>
    <w:p w14:paraId="48EA8E4C">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_Toc9163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方正仿宋_GBK"/>
          <w:bCs/>
          <w:kern w:val="2"/>
          <w:szCs w:val="24"/>
          <w:lang w:val="en-US" w:eastAsia="zh-CN"/>
        </w:rPr>
        <w:t>二、项目技术要求</w:t>
      </w:r>
      <w:r>
        <w:tab/>
      </w:r>
      <w:r>
        <w:fldChar w:fldCharType="begin"/>
      </w:r>
      <w:r>
        <w:instrText xml:space="preserve"> PAGEREF _Toc9163 \h </w:instrText>
      </w:r>
      <w:r>
        <w:fldChar w:fldCharType="separate"/>
      </w:r>
      <w:r>
        <w:t>- 17 -</w:t>
      </w:r>
      <w:r>
        <w:fldChar w:fldCharType="end"/>
      </w:r>
      <w:r>
        <w:rPr>
          <w:rFonts w:hint="eastAsia" w:ascii="仿宋" w:hAnsi="仿宋" w:eastAsia="仿宋" w:cs="仿宋"/>
          <w:bCs/>
          <w:color w:val="auto"/>
        </w:rPr>
        <w:fldChar w:fldCharType="end"/>
      </w:r>
    </w:p>
    <w:p w14:paraId="6D478A78">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_Toc30181 </w:instrText>
      </w:r>
      <w:r>
        <w:rPr>
          <w:rFonts w:hint="eastAsia" w:ascii="仿宋" w:hAnsi="仿宋" w:eastAsia="仿宋" w:cs="仿宋"/>
          <w:bCs/>
        </w:rPr>
        <w:fldChar w:fldCharType="separate"/>
      </w:r>
      <w:r>
        <w:rPr>
          <w:rFonts w:hint="eastAsia" w:ascii="仿宋" w:hAnsi="仿宋" w:eastAsia="仿宋" w:cs="方正仿宋_GBK"/>
          <w:bCs/>
          <w:kern w:val="2"/>
          <w:szCs w:val="24"/>
          <w:lang w:val="en-US" w:eastAsia="zh-CN"/>
        </w:rPr>
        <w:t>※三、项目要求</w:t>
      </w:r>
      <w:r>
        <w:tab/>
      </w:r>
      <w:r>
        <w:fldChar w:fldCharType="begin"/>
      </w:r>
      <w:r>
        <w:instrText xml:space="preserve"> PAGEREF _Toc30181 \h </w:instrText>
      </w:r>
      <w:r>
        <w:fldChar w:fldCharType="separate"/>
      </w:r>
      <w:r>
        <w:t>- 18 -</w:t>
      </w:r>
      <w:r>
        <w:fldChar w:fldCharType="end"/>
      </w:r>
      <w:r>
        <w:rPr>
          <w:rFonts w:hint="eastAsia" w:ascii="仿宋" w:hAnsi="仿宋" w:eastAsia="仿宋" w:cs="仿宋"/>
          <w:bCs/>
          <w:color w:val="auto"/>
        </w:rPr>
        <w:fldChar w:fldCharType="end"/>
      </w:r>
    </w:p>
    <w:p w14:paraId="661DBAA2">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_Toc25299 </w:instrText>
      </w:r>
      <w:r>
        <w:rPr>
          <w:rFonts w:hint="eastAsia" w:ascii="仿宋" w:hAnsi="仿宋" w:eastAsia="仿宋" w:cs="仿宋"/>
          <w:bCs/>
        </w:rPr>
        <w:fldChar w:fldCharType="separate"/>
      </w:r>
      <w:r>
        <w:rPr>
          <w:rFonts w:hint="eastAsia" w:ascii="仿宋" w:hAnsi="仿宋" w:eastAsia="仿宋" w:cs="方正仿宋_GBK"/>
          <w:bCs/>
          <w:kern w:val="2"/>
          <w:szCs w:val="24"/>
          <w:lang w:val="en-US" w:eastAsia="zh-CN"/>
        </w:rPr>
        <w:t>※四、安全与文明施工</w:t>
      </w:r>
      <w:r>
        <w:tab/>
      </w:r>
      <w:r>
        <w:fldChar w:fldCharType="begin"/>
      </w:r>
      <w:r>
        <w:instrText xml:space="preserve"> PAGEREF _Toc25299 \h </w:instrText>
      </w:r>
      <w:r>
        <w:fldChar w:fldCharType="separate"/>
      </w:r>
      <w:r>
        <w:t>- 19 -</w:t>
      </w:r>
      <w:r>
        <w:fldChar w:fldCharType="end"/>
      </w:r>
      <w:r>
        <w:rPr>
          <w:rFonts w:hint="eastAsia" w:ascii="仿宋" w:hAnsi="仿宋" w:eastAsia="仿宋" w:cs="仿宋"/>
          <w:bCs/>
          <w:color w:val="auto"/>
        </w:rPr>
        <w:fldChar w:fldCharType="end"/>
      </w:r>
    </w:p>
    <w:p w14:paraId="2CAD2B87">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_Toc30533 </w:instrText>
      </w:r>
      <w:r>
        <w:rPr>
          <w:rFonts w:hint="eastAsia" w:ascii="仿宋" w:hAnsi="仿宋" w:eastAsia="仿宋" w:cs="仿宋"/>
          <w:bCs/>
        </w:rPr>
        <w:fldChar w:fldCharType="separate"/>
      </w:r>
      <w:r>
        <w:rPr>
          <w:rFonts w:hint="eastAsia" w:ascii="仿宋" w:hAnsi="仿宋" w:eastAsia="仿宋" w:cs="方正仿宋_GBK"/>
          <w:bCs/>
          <w:kern w:val="2"/>
          <w:szCs w:val="24"/>
          <w:lang w:val="en-US" w:eastAsia="zh-CN"/>
        </w:rPr>
        <w:t>※五、踏勘现场</w:t>
      </w:r>
      <w:r>
        <w:tab/>
      </w:r>
      <w:r>
        <w:fldChar w:fldCharType="begin"/>
      </w:r>
      <w:r>
        <w:instrText xml:space="preserve"> PAGEREF _Toc30533 \h </w:instrText>
      </w:r>
      <w:r>
        <w:fldChar w:fldCharType="separate"/>
      </w:r>
      <w:r>
        <w:t>- 19 -</w:t>
      </w:r>
      <w:r>
        <w:fldChar w:fldCharType="end"/>
      </w:r>
      <w:r>
        <w:rPr>
          <w:rFonts w:hint="eastAsia" w:ascii="仿宋" w:hAnsi="仿宋" w:eastAsia="仿宋" w:cs="仿宋"/>
          <w:bCs/>
          <w:color w:val="auto"/>
        </w:rPr>
        <w:fldChar w:fldCharType="end"/>
      </w:r>
    </w:p>
    <w:p w14:paraId="01A5D602">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_Toc22896 </w:instrText>
      </w:r>
      <w:r>
        <w:rPr>
          <w:rFonts w:hint="eastAsia" w:ascii="仿宋" w:hAnsi="仿宋" w:eastAsia="仿宋" w:cs="仿宋"/>
          <w:bCs/>
        </w:rPr>
        <w:fldChar w:fldCharType="separate"/>
      </w:r>
      <w:r>
        <w:rPr>
          <w:rFonts w:hint="eastAsia" w:ascii="仿宋" w:hAnsi="仿宋" w:eastAsia="仿宋" w:cs="方正仿宋_GBK"/>
          <w:bCs/>
          <w:kern w:val="2"/>
          <w:szCs w:val="24"/>
          <w:lang w:val="en-US" w:eastAsia="zh-CN"/>
        </w:rPr>
        <w:t>※六、其他要求</w:t>
      </w:r>
      <w:r>
        <w:tab/>
      </w:r>
      <w:r>
        <w:fldChar w:fldCharType="begin"/>
      </w:r>
      <w:r>
        <w:instrText xml:space="preserve"> PAGEREF _Toc22896 \h </w:instrText>
      </w:r>
      <w:r>
        <w:fldChar w:fldCharType="separate"/>
      </w:r>
      <w:r>
        <w:t>- 19 -</w:t>
      </w:r>
      <w:r>
        <w:fldChar w:fldCharType="end"/>
      </w:r>
      <w:r>
        <w:rPr>
          <w:rFonts w:hint="eastAsia" w:ascii="仿宋" w:hAnsi="仿宋" w:eastAsia="仿宋" w:cs="仿宋"/>
          <w:bCs/>
          <w:color w:val="auto"/>
        </w:rPr>
        <w:fldChar w:fldCharType="end"/>
      </w:r>
    </w:p>
    <w:p w14:paraId="1BD2B96E">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_Toc222 </w:instrText>
      </w:r>
      <w:r>
        <w:rPr>
          <w:rFonts w:hint="eastAsia" w:ascii="仿宋" w:hAnsi="仿宋" w:eastAsia="仿宋" w:cs="仿宋"/>
          <w:bCs/>
        </w:rPr>
        <w:fldChar w:fldCharType="separate"/>
      </w:r>
      <w:r>
        <w:rPr>
          <w:rFonts w:hint="eastAsia" w:ascii="仿宋" w:hAnsi="仿宋" w:eastAsia="仿宋" w:cs="仿宋"/>
          <w:bCs/>
        </w:rPr>
        <w:t>第四篇  商务要求</w:t>
      </w:r>
      <w:r>
        <w:tab/>
      </w:r>
      <w:r>
        <w:fldChar w:fldCharType="begin"/>
      </w:r>
      <w:r>
        <w:instrText xml:space="preserve"> PAGEREF _Toc222 \h </w:instrText>
      </w:r>
      <w:r>
        <w:fldChar w:fldCharType="separate"/>
      </w:r>
      <w:r>
        <w:t>- 21 -</w:t>
      </w:r>
      <w:r>
        <w:fldChar w:fldCharType="end"/>
      </w:r>
      <w:r>
        <w:rPr>
          <w:rFonts w:hint="eastAsia" w:ascii="仿宋" w:hAnsi="仿宋" w:eastAsia="仿宋" w:cs="仿宋"/>
          <w:bCs/>
          <w:color w:val="auto"/>
        </w:rPr>
        <w:fldChar w:fldCharType="end"/>
      </w:r>
    </w:p>
    <w:p w14:paraId="52FEBAC4">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_Toc23415 </w:instrText>
      </w:r>
      <w:r>
        <w:rPr>
          <w:rFonts w:hint="eastAsia" w:ascii="仿宋" w:hAnsi="仿宋" w:eastAsia="仿宋" w:cs="仿宋"/>
          <w:bCs/>
        </w:rPr>
        <w:fldChar w:fldCharType="separate"/>
      </w:r>
      <w:r>
        <w:rPr>
          <w:rFonts w:hint="eastAsia" w:ascii="仿宋" w:hAnsi="仿宋" w:eastAsia="仿宋" w:cs="仿宋"/>
          <w:szCs w:val="24"/>
        </w:rPr>
        <w:t>※一、</w:t>
      </w:r>
      <w:r>
        <w:rPr>
          <w:rFonts w:hint="eastAsia" w:ascii="仿宋" w:hAnsi="仿宋" w:eastAsia="仿宋" w:cs="仿宋"/>
          <w:szCs w:val="24"/>
          <w:lang w:val="en-US" w:eastAsia="zh-CN"/>
        </w:rPr>
        <w:t>工期</w:t>
      </w:r>
      <w:r>
        <w:rPr>
          <w:rFonts w:hint="eastAsia" w:ascii="仿宋" w:hAnsi="仿宋" w:eastAsia="仿宋" w:cs="仿宋"/>
          <w:szCs w:val="24"/>
        </w:rPr>
        <w:t>时间、地点及验收方式</w:t>
      </w:r>
      <w:r>
        <w:tab/>
      </w:r>
      <w:r>
        <w:fldChar w:fldCharType="begin"/>
      </w:r>
      <w:r>
        <w:instrText xml:space="preserve"> PAGEREF _Toc23415 \h </w:instrText>
      </w:r>
      <w:r>
        <w:fldChar w:fldCharType="separate"/>
      </w:r>
      <w:r>
        <w:t>- 21 -</w:t>
      </w:r>
      <w:r>
        <w:fldChar w:fldCharType="end"/>
      </w:r>
      <w:r>
        <w:rPr>
          <w:rFonts w:hint="eastAsia" w:ascii="仿宋" w:hAnsi="仿宋" w:eastAsia="仿宋" w:cs="仿宋"/>
          <w:bCs/>
          <w:color w:val="auto"/>
        </w:rPr>
        <w:fldChar w:fldCharType="end"/>
      </w:r>
    </w:p>
    <w:p w14:paraId="615BE562">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_Toc26866 </w:instrText>
      </w:r>
      <w:r>
        <w:rPr>
          <w:rFonts w:hint="eastAsia" w:ascii="仿宋" w:hAnsi="仿宋" w:eastAsia="仿宋" w:cs="仿宋"/>
          <w:bCs/>
        </w:rPr>
        <w:fldChar w:fldCharType="separate"/>
      </w:r>
      <w:r>
        <w:rPr>
          <w:rFonts w:hint="eastAsia" w:ascii="仿宋" w:hAnsi="仿宋" w:eastAsia="仿宋" w:cs="仿宋"/>
          <w:szCs w:val="24"/>
          <w:lang w:val="en-US" w:eastAsia="zh-CN"/>
        </w:rPr>
        <w:t>※二、缺陷责任期、售后服务要求</w:t>
      </w:r>
      <w:r>
        <w:tab/>
      </w:r>
      <w:r>
        <w:fldChar w:fldCharType="begin"/>
      </w:r>
      <w:r>
        <w:instrText xml:space="preserve"> PAGEREF _Toc26866 \h </w:instrText>
      </w:r>
      <w:r>
        <w:fldChar w:fldCharType="separate"/>
      </w:r>
      <w:r>
        <w:t>- 23 -</w:t>
      </w:r>
      <w:r>
        <w:fldChar w:fldCharType="end"/>
      </w:r>
      <w:r>
        <w:rPr>
          <w:rFonts w:hint="eastAsia" w:ascii="仿宋" w:hAnsi="仿宋" w:eastAsia="仿宋" w:cs="仿宋"/>
          <w:bCs/>
          <w:color w:val="auto"/>
        </w:rPr>
        <w:fldChar w:fldCharType="end"/>
      </w:r>
    </w:p>
    <w:p w14:paraId="3B4FF4A3">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_Toc30942 </w:instrText>
      </w:r>
      <w:r>
        <w:rPr>
          <w:rFonts w:hint="eastAsia" w:ascii="仿宋" w:hAnsi="仿宋" w:eastAsia="仿宋" w:cs="仿宋"/>
          <w:bCs/>
        </w:rPr>
        <w:fldChar w:fldCharType="separate"/>
      </w:r>
      <w:r>
        <w:rPr>
          <w:rFonts w:hint="eastAsia" w:ascii="仿宋" w:hAnsi="仿宋" w:eastAsia="仿宋" w:cs="仿宋"/>
          <w:szCs w:val="24"/>
          <w:lang w:val="en-US" w:eastAsia="zh-CN"/>
        </w:rPr>
        <w:t>※三、报价要求</w:t>
      </w:r>
      <w:r>
        <w:tab/>
      </w:r>
      <w:r>
        <w:fldChar w:fldCharType="begin"/>
      </w:r>
      <w:r>
        <w:instrText xml:space="preserve"> PAGEREF _Toc30942 \h </w:instrText>
      </w:r>
      <w:r>
        <w:fldChar w:fldCharType="separate"/>
      </w:r>
      <w:r>
        <w:t>- 24 -</w:t>
      </w:r>
      <w:r>
        <w:fldChar w:fldCharType="end"/>
      </w:r>
      <w:r>
        <w:rPr>
          <w:rFonts w:hint="eastAsia" w:ascii="仿宋" w:hAnsi="仿宋" w:eastAsia="仿宋" w:cs="仿宋"/>
          <w:bCs/>
          <w:color w:val="auto"/>
        </w:rPr>
        <w:fldChar w:fldCharType="end"/>
      </w:r>
    </w:p>
    <w:p w14:paraId="6F93E4BB">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_Toc12145 </w:instrText>
      </w:r>
      <w:r>
        <w:rPr>
          <w:rFonts w:hint="eastAsia" w:ascii="仿宋" w:hAnsi="仿宋" w:eastAsia="仿宋" w:cs="仿宋"/>
          <w:bCs/>
        </w:rPr>
        <w:fldChar w:fldCharType="separate"/>
      </w:r>
      <w:r>
        <w:rPr>
          <w:rFonts w:hint="eastAsia" w:ascii="仿宋" w:hAnsi="仿宋" w:eastAsia="仿宋" w:cs="仿宋"/>
          <w:szCs w:val="24"/>
          <w:lang w:val="en-US" w:eastAsia="zh-CN"/>
        </w:rPr>
        <w:t>※四</w:t>
      </w:r>
      <w:r>
        <w:rPr>
          <w:rFonts w:hint="eastAsia" w:ascii="仿宋" w:hAnsi="仿宋" w:eastAsia="仿宋" w:cs="仿宋"/>
          <w:szCs w:val="24"/>
          <w:lang w:val="zh-CN" w:eastAsia="zh-CN"/>
        </w:rPr>
        <w:t>、履约保证金</w:t>
      </w:r>
      <w:r>
        <w:tab/>
      </w:r>
      <w:r>
        <w:fldChar w:fldCharType="begin"/>
      </w:r>
      <w:r>
        <w:instrText xml:space="preserve"> PAGEREF _Toc12145 \h </w:instrText>
      </w:r>
      <w:r>
        <w:fldChar w:fldCharType="separate"/>
      </w:r>
      <w:r>
        <w:t>- 24 -</w:t>
      </w:r>
      <w:r>
        <w:fldChar w:fldCharType="end"/>
      </w:r>
      <w:r>
        <w:rPr>
          <w:rFonts w:hint="eastAsia" w:ascii="仿宋" w:hAnsi="仿宋" w:eastAsia="仿宋" w:cs="仿宋"/>
          <w:bCs/>
          <w:color w:val="auto"/>
        </w:rPr>
        <w:fldChar w:fldCharType="end"/>
      </w:r>
    </w:p>
    <w:p w14:paraId="78A979FE">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_Toc27230 </w:instrText>
      </w:r>
      <w:r>
        <w:rPr>
          <w:rFonts w:hint="eastAsia" w:ascii="仿宋" w:hAnsi="仿宋" w:eastAsia="仿宋" w:cs="仿宋"/>
          <w:bCs/>
        </w:rPr>
        <w:fldChar w:fldCharType="separate"/>
      </w:r>
      <w:r>
        <w:rPr>
          <w:rFonts w:hint="eastAsia" w:ascii="仿宋" w:hAnsi="仿宋" w:eastAsia="仿宋" w:cs="仿宋"/>
          <w:szCs w:val="24"/>
          <w:lang w:val="en-US" w:eastAsia="zh-CN"/>
        </w:rPr>
        <w:t>※五、付款方式</w:t>
      </w:r>
      <w:r>
        <w:tab/>
      </w:r>
      <w:r>
        <w:fldChar w:fldCharType="begin"/>
      </w:r>
      <w:r>
        <w:instrText xml:space="preserve"> PAGEREF _Toc27230 \h </w:instrText>
      </w:r>
      <w:r>
        <w:fldChar w:fldCharType="separate"/>
      </w:r>
      <w:r>
        <w:t>- 24 -</w:t>
      </w:r>
      <w:r>
        <w:fldChar w:fldCharType="end"/>
      </w:r>
      <w:r>
        <w:rPr>
          <w:rFonts w:hint="eastAsia" w:ascii="仿宋" w:hAnsi="仿宋" w:eastAsia="仿宋" w:cs="仿宋"/>
          <w:bCs/>
          <w:color w:val="auto"/>
        </w:rPr>
        <w:fldChar w:fldCharType="end"/>
      </w:r>
    </w:p>
    <w:p w14:paraId="363E1C05">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_Toc10390 </w:instrText>
      </w:r>
      <w:r>
        <w:rPr>
          <w:rFonts w:hint="eastAsia" w:ascii="仿宋" w:hAnsi="仿宋" w:eastAsia="仿宋" w:cs="仿宋"/>
          <w:bCs/>
        </w:rPr>
        <w:fldChar w:fldCharType="separate"/>
      </w:r>
      <w:r>
        <w:rPr>
          <w:rFonts w:hint="eastAsia" w:ascii="仿宋" w:hAnsi="仿宋" w:eastAsia="仿宋" w:cs="仿宋"/>
          <w:szCs w:val="24"/>
          <w:lang w:val="en-US" w:eastAsia="zh-CN"/>
        </w:rPr>
        <w:t>※六、违约责任</w:t>
      </w:r>
      <w:r>
        <w:tab/>
      </w:r>
      <w:r>
        <w:fldChar w:fldCharType="begin"/>
      </w:r>
      <w:r>
        <w:instrText xml:space="preserve"> PAGEREF _Toc10390 \h </w:instrText>
      </w:r>
      <w:r>
        <w:fldChar w:fldCharType="separate"/>
      </w:r>
      <w:r>
        <w:t>- 25 -</w:t>
      </w:r>
      <w:r>
        <w:fldChar w:fldCharType="end"/>
      </w:r>
      <w:r>
        <w:rPr>
          <w:rFonts w:hint="eastAsia" w:ascii="仿宋" w:hAnsi="仿宋" w:eastAsia="仿宋" w:cs="仿宋"/>
          <w:bCs/>
          <w:color w:val="auto"/>
        </w:rPr>
        <w:fldChar w:fldCharType="end"/>
      </w:r>
    </w:p>
    <w:p w14:paraId="0598C7FF">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_Toc16420 </w:instrText>
      </w:r>
      <w:r>
        <w:rPr>
          <w:rFonts w:hint="eastAsia" w:ascii="仿宋" w:hAnsi="仿宋" w:eastAsia="仿宋" w:cs="仿宋"/>
          <w:bCs/>
        </w:rPr>
        <w:fldChar w:fldCharType="separate"/>
      </w:r>
      <w:r>
        <w:rPr>
          <w:rFonts w:hint="eastAsia" w:ascii="仿宋" w:hAnsi="仿宋" w:eastAsia="仿宋" w:cs="仿宋"/>
          <w:szCs w:val="24"/>
          <w:lang w:val="en-US" w:eastAsia="zh-CN"/>
        </w:rPr>
        <w:t>※七、转包、分包</w:t>
      </w:r>
      <w:r>
        <w:tab/>
      </w:r>
      <w:r>
        <w:fldChar w:fldCharType="begin"/>
      </w:r>
      <w:r>
        <w:instrText xml:space="preserve"> PAGEREF _Toc16420 \h </w:instrText>
      </w:r>
      <w:r>
        <w:fldChar w:fldCharType="separate"/>
      </w:r>
      <w:r>
        <w:t>- 25 -</w:t>
      </w:r>
      <w:r>
        <w:fldChar w:fldCharType="end"/>
      </w:r>
      <w:r>
        <w:rPr>
          <w:rFonts w:hint="eastAsia" w:ascii="仿宋" w:hAnsi="仿宋" w:eastAsia="仿宋" w:cs="仿宋"/>
          <w:bCs/>
          <w:color w:val="auto"/>
        </w:rPr>
        <w:fldChar w:fldCharType="end"/>
      </w:r>
    </w:p>
    <w:p w14:paraId="7C333484">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_Toc25929 </w:instrText>
      </w:r>
      <w:r>
        <w:rPr>
          <w:rFonts w:hint="eastAsia" w:ascii="仿宋" w:hAnsi="仿宋" w:eastAsia="仿宋" w:cs="仿宋"/>
          <w:bCs/>
        </w:rPr>
        <w:fldChar w:fldCharType="separate"/>
      </w:r>
      <w:r>
        <w:rPr>
          <w:rFonts w:hint="eastAsia" w:ascii="仿宋" w:hAnsi="仿宋" w:eastAsia="仿宋" w:cs="仿宋"/>
          <w:szCs w:val="24"/>
          <w:lang w:val="en-US" w:eastAsia="zh-CN"/>
        </w:rPr>
        <w:t>※八、知识产权</w:t>
      </w:r>
      <w:r>
        <w:tab/>
      </w:r>
      <w:r>
        <w:fldChar w:fldCharType="begin"/>
      </w:r>
      <w:r>
        <w:instrText xml:space="preserve"> PAGEREF _Toc25929 \h </w:instrText>
      </w:r>
      <w:r>
        <w:fldChar w:fldCharType="separate"/>
      </w:r>
      <w:r>
        <w:t>- 26 -</w:t>
      </w:r>
      <w:r>
        <w:fldChar w:fldCharType="end"/>
      </w:r>
      <w:r>
        <w:rPr>
          <w:rFonts w:hint="eastAsia" w:ascii="仿宋" w:hAnsi="仿宋" w:eastAsia="仿宋" w:cs="仿宋"/>
          <w:bCs/>
          <w:color w:val="auto"/>
        </w:rPr>
        <w:fldChar w:fldCharType="end"/>
      </w:r>
    </w:p>
    <w:p w14:paraId="55B3AC60">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_Toc19231 </w:instrText>
      </w:r>
      <w:r>
        <w:rPr>
          <w:rFonts w:hint="eastAsia" w:ascii="仿宋" w:hAnsi="仿宋" w:eastAsia="仿宋" w:cs="仿宋"/>
          <w:bCs/>
        </w:rPr>
        <w:fldChar w:fldCharType="separate"/>
      </w:r>
      <w:r>
        <w:rPr>
          <w:rFonts w:hint="eastAsia" w:ascii="仿宋" w:hAnsi="仿宋" w:eastAsia="仿宋" w:cs="仿宋"/>
          <w:szCs w:val="24"/>
          <w:lang w:val="en-US" w:eastAsia="zh-CN"/>
        </w:rPr>
        <w:t>※九、其他</w:t>
      </w:r>
      <w:r>
        <w:tab/>
      </w:r>
      <w:r>
        <w:fldChar w:fldCharType="begin"/>
      </w:r>
      <w:r>
        <w:instrText xml:space="preserve"> PAGEREF _Toc19231 \h </w:instrText>
      </w:r>
      <w:r>
        <w:fldChar w:fldCharType="separate"/>
      </w:r>
      <w:r>
        <w:t>- 26 -</w:t>
      </w:r>
      <w:r>
        <w:fldChar w:fldCharType="end"/>
      </w:r>
      <w:r>
        <w:rPr>
          <w:rFonts w:hint="eastAsia" w:ascii="仿宋" w:hAnsi="仿宋" w:eastAsia="仿宋" w:cs="仿宋"/>
          <w:bCs/>
          <w:color w:val="auto"/>
        </w:rPr>
        <w:fldChar w:fldCharType="end"/>
      </w:r>
    </w:p>
    <w:p w14:paraId="66CB365B">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_Toc4029 </w:instrText>
      </w:r>
      <w:r>
        <w:rPr>
          <w:rFonts w:hint="eastAsia" w:ascii="仿宋" w:hAnsi="仿宋" w:eastAsia="仿宋" w:cs="仿宋"/>
          <w:bCs/>
        </w:rPr>
        <w:fldChar w:fldCharType="separate"/>
      </w:r>
      <w:r>
        <w:rPr>
          <w:rFonts w:hint="eastAsia" w:ascii="仿宋" w:hAnsi="仿宋" w:eastAsia="仿宋" w:cs="仿宋"/>
          <w:bCs w:val="0"/>
        </w:rPr>
        <w:t>第五篇  合同草案</w:t>
      </w:r>
      <w:r>
        <w:tab/>
      </w:r>
      <w:r>
        <w:fldChar w:fldCharType="begin"/>
      </w:r>
      <w:r>
        <w:instrText xml:space="preserve"> PAGEREF _Toc4029 \h </w:instrText>
      </w:r>
      <w:r>
        <w:fldChar w:fldCharType="separate"/>
      </w:r>
      <w:r>
        <w:t>- 27 -</w:t>
      </w:r>
      <w:r>
        <w:fldChar w:fldCharType="end"/>
      </w:r>
      <w:r>
        <w:rPr>
          <w:rFonts w:hint="eastAsia" w:ascii="仿宋" w:hAnsi="仿宋" w:eastAsia="仿宋" w:cs="仿宋"/>
          <w:bCs/>
          <w:color w:val="auto"/>
        </w:rPr>
        <w:fldChar w:fldCharType="end"/>
      </w:r>
    </w:p>
    <w:p w14:paraId="4C1421C0">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_Toc15790 </w:instrText>
      </w:r>
      <w:r>
        <w:rPr>
          <w:rFonts w:hint="eastAsia" w:ascii="仿宋" w:hAnsi="仿宋" w:eastAsia="仿宋" w:cs="仿宋"/>
          <w:bCs/>
        </w:rPr>
        <w:fldChar w:fldCharType="separate"/>
      </w:r>
      <w:r>
        <w:rPr>
          <w:rFonts w:hint="eastAsia" w:ascii="方正仿宋_GBK" w:hAnsi="方正仿宋_GBK" w:eastAsia="方正仿宋_GBK" w:cs="方正仿宋_GBK"/>
          <w:szCs w:val="24"/>
        </w:rPr>
        <w:t>第一部分 合同协议书</w:t>
      </w:r>
      <w:r>
        <w:tab/>
      </w:r>
      <w:r>
        <w:fldChar w:fldCharType="begin"/>
      </w:r>
      <w:r>
        <w:instrText xml:space="preserve"> PAGEREF _Toc15790 \h </w:instrText>
      </w:r>
      <w:r>
        <w:fldChar w:fldCharType="separate"/>
      </w:r>
      <w:r>
        <w:t>- 27 -</w:t>
      </w:r>
      <w:r>
        <w:fldChar w:fldCharType="end"/>
      </w:r>
      <w:r>
        <w:rPr>
          <w:rFonts w:hint="eastAsia" w:ascii="仿宋" w:hAnsi="仿宋" w:eastAsia="仿宋" w:cs="仿宋"/>
          <w:bCs/>
          <w:color w:val="auto"/>
        </w:rPr>
        <w:fldChar w:fldCharType="end"/>
      </w:r>
    </w:p>
    <w:p w14:paraId="189AF0A8">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_Toc26091 </w:instrText>
      </w:r>
      <w:r>
        <w:rPr>
          <w:rFonts w:hint="eastAsia" w:ascii="仿宋" w:hAnsi="仿宋" w:eastAsia="仿宋" w:cs="仿宋"/>
          <w:bCs/>
        </w:rPr>
        <w:fldChar w:fldCharType="separate"/>
      </w:r>
      <w:r>
        <w:rPr>
          <w:rFonts w:hint="eastAsia" w:ascii="方正仿宋_GBK" w:hAnsi="方正仿宋_GBK" w:eastAsia="方正仿宋_GBK" w:cs="方正仿宋_GBK"/>
          <w:bCs/>
          <w:szCs w:val="24"/>
        </w:rPr>
        <w:t>第二部分 通用合同条款</w:t>
      </w:r>
      <w:r>
        <w:tab/>
      </w:r>
      <w:r>
        <w:fldChar w:fldCharType="begin"/>
      </w:r>
      <w:r>
        <w:instrText xml:space="preserve"> PAGEREF _Toc26091 \h </w:instrText>
      </w:r>
      <w:r>
        <w:fldChar w:fldCharType="separate"/>
      </w:r>
      <w:r>
        <w:t>- 31 -</w:t>
      </w:r>
      <w:r>
        <w:fldChar w:fldCharType="end"/>
      </w:r>
      <w:r>
        <w:rPr>
          <w:rFonts w:hint="eastAsia" w:ascii="仿宋" w:hAnsi="仿宋" w:eastAsia="仿宋" w:cs="仿宋"/>
          <w:bCs/>
          <w:color w:val="auto"/>
        </w:rPr>
        <w:fldChar w:fldCharType="end"/>
      </w:r>
    </w:p>
    <w:p w14:paraId="72BCE8F9">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_Toc9908 </w:instrText>
      </w:r>
      <w:r>
        <w:rPr>
          <w:rFonts w:hint="eastAsia" w:ascii="仿宋" w:hAnsi="仿宋" w:eastAsia="仿宋" w:cs="仿宋"/>
          <w:bCs/>
        </w:rPr>
        <w:fldChar w:fldCharType="separate"/>
      </w:r>
      <w:r>
        <w:rPr>
          <w:rFonts w:hint="eastAsia" w:ascii="方正仿宋_GBK" w:hAnsi="方正仿宋_GBK" w:eastAsia="方正仿宋_GBK" w:cs="方正仿宋_GBK"/>
          <w:bCs/>
          <w:szCs w:val="24"/>
        </w:rPr>
        <w:t>第三部分 专用合同条款</w:t>
      </w:r>
      <w:r>
        <w:tab/>
      </w:r>
      <w:r>
        <w:fldChar w:fldCharType="begin"/>
      </w:r>
      <w:r>
        <w:instrText xml:space="preserve"> PAGEREF _Toc9908 \h </w:instrText>
      </w:r>
      <w:r>
        <w:fldChar w:fldCharType="separate"/>
      </w:r>
      <w:r>
        <w:t>- 32 -</w:t>
      </w:r>
      <w:r>
        <w:fldChar w:fldCharType="end"/>
      </w:r>
      <w:r>
        <w:rPr>
          <w:rFonts w:hint="eastAsia" w:ascii="仿宋" w:hAnsi="仿宋" w:eastAsia="仿宋" w:cs="仿宋"/>
          <w:bCs/>
          <w:color w:val="auto"/>
        </w:rPr>
        <w:fldChar w:fldCharType="end"/>
      </w:r>
    </w:p>
    <w:p w14:paraId="5798A606">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_Toc2252 </w:instrText>
      </w:r>
      <w:r>
        <w:rPr>
          <w:rFonts w:hint="eastAsia" w:ascii="仿宋" w:hAnsi="仿宋" w:eastAsia="仿宋" w:cs="仿宋"/>
          <w:bCs/>
        </w:rPr>
        <w:fldChar w:fldCharType="separate"/>
      </w:r>
      <w:r>
        <w:rPr>
          <w:rFonts w:hint="eastAsia" w:ascii="仿宋" w:hAnsi="仿宋" w:eastAsia="仿宋" w:cs="仿宋"/>
          <w:bCs w:val="0"/>
        </w:rPr>
        <w:t>第六篇  响应文件格式要求</w:t>
      </w:r>
      <w:r>
        <w:tab/>
      </w:r>
      <w:r>
        <w:fldChar w:fldCharType="begin"/>
      </w:r>
      <w:r>
        <w:instrText xml:space="preserve"> PAGEREF _Toc2252 \h </w:instrText>
      </w:r>
      <w:r>
        <w:fldChar w:fldCharType="separate"/>
      </w:r>
      <w:r>
        <w:t>- 43 -</w:t>
      </w:r>
      <w:r>
        <w:fldChar w:fldCharType="end"/>
      </w:r>
      <w:r>
        <w:rPr>
          <w:rFonts w:hint="eastAsia" w:ascii="仿宋" w:hAnsi="仿宋" w:eastAsia="仿宋" w:cs="仿宋"/>
          <w:bCs/>
          <w:color w:val="auto"/>
        </w:rPr>
        <w:fldChar w:fldCharType="end"/>
      </w:r>
    </w:p>
    <w:p w14:paraId="13BF302D">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_Toc16991 </w:instrText>
      </w:r>
      <w:r>
        <w:rPr>
          <w:rFonts w:hint="eastAsia" w:ascii="仿宋" w:hAnsi="仿宋" w:eastAsia="仿宋" w:cs="仿宋"/>
          <w:bCs/>
        </w:rPr>
        <w:fldChar w:fldCharType="separate"/>
      </w:r>
      <w:r>
        <w:rPr>
          <w:rFonts w:hint="eastAsia" w:ascii="仿宋" w:hAnsi="仿宋" w:eastAsia="仿宋" w:cs="仿宋"/>
          <w:szCs w:val="24"/>
        </w:rPr>
        <w:t>一、经济部分</w:t>
      </w:r>
      <w:r>
        <w:tab/>
      </w:r>
      <w:r>
        <w:fldChar w:fldCharType="begin"/>
      </w:r>
      <w:r>
        <w:instrText xml:space="preserve"> PAGEREF _Toc16991 \h </w:instrText>
      </w:r>
      <w:r>
        <w:fldChar w:fldCharType="separate"/>
      </w:r>
      <w:r>
        <w:t>- 44 -</w:t>
      </w:r>
      <w:r>
        <w:fldChar w:fldCharType="end"/>
      </w:r>
      <w:r>
        <w:rPr>
          <w:rFonts w:hint="eastAsia" w:ascii="仿宋" w:hAnsi="仿宋" w:eastAsia="仿宋" w:cs="仿宋"/>
          <w:bCs/>
          <w:color w:val="auto"/>
        </w:rPr>
        <w:fldChar w:fldCharType="end"/>
      </w:r>
    </w:p>
    <w:p w14:paraId="1806251C">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_Toc20100 </w:instrText>
      </w:r>
      <w:r>
        <w:rPr>
          <w:rFonts w:hint="eastAsia" w:ascii="仿宋" w:hAnsi="仿宋" w:eastAsia="仿宋" w:cs="仿宋"/>
          <w:bCs/>
        </w:rPr>
        <w:fldChar w:fldCharType="separate"/>
      </w:r>
      <w:r>
        <w:rPr>
          <w:rFonts w:hint="eastAsia" w:ascii="仿宋" w:hAnsi="仿宋" w:eastAsia="仿宋" w:cs="仿宋"/>
          <w:szCs w:val="24"/>
        </w:rPr>
        <w:t>二、技术部分</w:t>
      </w:r>
      <w:r>
        <w:tab/>
      </w:r>
      <w:r>
        <w:fldChar w:fldCharType="begin"/>
      </w:r>
      <w:r>
        <w:instrText xml:space="preserve"> PAGEREF _Toc20100 \h </w:instrText>
      </w:r>
      <w:r>
        <w:fldChar w:fldCharType="separate"/>
      </w:r>
      <w:r>
        <w:t>- 46 -</w:t>
      </w:r>
      <w:r>
        <w:fldChar w:fldCharType="end"/>
      </w:r>
      <w:r>
        <w:rPr>
          <w:rFonts w:hint="eastAsia" w:ascii="仿宋" w:hAnsi="仿宋" w:eastAsia="仿宋" w:cs="仿宋"/>
          <w:bCs/>
          <w:color w:val="auto"/>
        </w:rPr>
        <w:fldChar w:fldCharType="end"/>
      </w:r>
    </w:p>
    <w:p w14:paraId="64DF42E8">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_Toc13867 </w:instrText>
      </w:r>
      <w:r>
        <w:rPr>
          <w:rFonts w:hint="eastAsia" w:ascii="仿宋" w:hAnsi="仿宋" w:eastAsia="仿宋" w:cs="仿宋"/>
          <w:bCs/>
        </w:rPr>
        <w:fldChar w:fldCharType="separate"/>
      </w:r>
      <w:r>
        <w:rPr>
          <w:rFonts w:hint="eastAsia" w:ascii="仿宋" w:hAnsi="仿宋" w:eastAsia="仿宋" w:cs="仿宋"/>
          <w:szCs w:val="24"/>
        </w:rPr>
        <w:t>三、商务部分</w:t>
      </w:r>
      <w:r>
        <w:tab/>
      </w:r>
      <w:r>
        <w:fldChar w:fldCharType="begin"/>
      </w:r>
      <w:r>
        <w:instrText xml:space="preserve"> PAGEREF _Toc13867 \h </w:instrText>
      </w:r>
      <w:r>
        <w:fldChar w:fldCharType="separate"/>
      </w:r>
      <w:r>
        <w:t>- 48 -</w:t>
      </w:r>
      <w:r>
        <w:fldChar w:fldCharType="end"/>
      </w:r>
      <w:r>
        <w:rPr>
          <w:rFonts w:hint="eastAsia" w:ascii="仿宋" w:hAnsi="仿宋" w:eastAsia="仿宋" w:cs="仿宋"/>
          <w:bCs/>
          <w:color w:val="auto"/>
        </w:rPr>
        <w:fldChar w:fldCharType="end"/>
      </w:r>
    </w:p>
    <w:p w14:paraId="10C88D8D">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_Toc30436 </w:instrText>
      </w:r>
      <w:r>
        <w:rPr>
          <w:rFonts w:hint="eastAsia" w:ascii="仿宋" w:hAnsi="仿宋" w:eastAsia="仿宋" w:cs="仿宋"/>
          <w:bCs/>
        </w:rPr>
        <w:fldChar w:fldCharType="separate"/>
      </w:r>
      <w:r>
        <w:rPr>
          <w:rFonts w:hint="eastAsia" w:ascii="仿宋" w:hAnsi="仿宋" w:eastAsia="仿宋" w:cs="仿宋"/>
          <w:szCs w:val="24"/>
        </w:rPr>
        <w:t>四、资格条件及其他</w:t>
      </w:r>
      <w:r>
        <w:tab/>
      </w:r>
      <w:r>
        <w:fldChar w:fldCharType="begin"/>
      </w:r>
      <w:r>
        <w:instrText xml:space="preserve"> PAGEREF _Toc30436 \h </w:instrText>
      </w:r>
      <w:r>
        <w:fldChar w:fldCharType="separate"/>
      </w:r>
      <w:r>
        <w:t>- 51 -</w:t>
      </w:r>
      <w:r>
        <w:fldChar w:fldCharType="end"/>
      </w:r>
      <w:r>
        <w:rPr>
          <w:rFonts w:hint="eastAsia" w:ascii="仿宋" w:hAnsi="仿宋" w:eastAsia="仿宋" w:cs="仿宋"/>
          <w:bCs/>
          <w:color w:val="auto"/>
        </w:rPr>
        <w:fldChar w:fldCharType="end"/>
      </w:r>
    </w:p>
    <w:p w14:paraId="714D95BE">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_Toc14816 </w:instrText>
      </w:r>
      <w:r>
        <w:rPr>
          <w:rFonts w:hint="eastAsia" w:ascii="仿宋" w:hAnsi="仿宋" w:eastAsia="仿宋" w:cs="仿宋"/>
          <w:bCs/>
        </w:rPr>
        <w:fldChar w:fldCharType="separate"/>
      </w:r>
      <w:r>
        <w:rPr>
          <w:rFonts w:hint="eastAsia" w:ascii="仿宋" w:hAnsi="仿宋" w:eastAsia="仿宋" w:cs="仿宋"/>
          <w:szCs w:val="24"/>
        </w:rPr>
        <w:t>五、其他应提供的资料</w:t>
      </w:r>
      <w:r>
        <w:tab/>
      </w:r>
      <w:r>
        <w:fldChar w:fldCharType="begin"/>
      </w:r>
      <w:r>
        <w:instrText xml:space="preserve"> PAGEREF _Toc14816 \h </w:instrText>
      </w:r>
      <w:r>
        <w:fldChar w:fldCharType="separate"/>
      </w:r>
      <w:r>
        <w:t>- 55 -</w:t>
      </w:r>
      <w:r>
        <w:fldChar w:fldCharType="end"/>
      </w:r>
      <w:r>
        <w:rPr>
          <w:rFonts w:hint="eastAsia" w:ascii="仿宋" w:hAnsi="仿宋" w:eastAsia="仿宋" w:cs="仿宋"/>
          <w:bCs/>
          <w:color w:val="auto"/>
        </w:rPr>
        <w:fldChar w:fldCharType="end"/>
      </w:r>
    </w:p>
    <w:p w14:paraId="7ED3DA90">
      <w:pPr>
        <w:pStyle w:val="17"/>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_Toc23781 </w:instrText>
      </w:r>
      <w:r>
        <w:rPr>
          <w:rFonts w:hint="eastAsia" w:ascii="仿宋" w:hAnsi="仿宋" w:eastAsia="仿宋" w:cs="仿宋"/>
          <w:bCs/>
        </w:rPr>
        <w:fldChar w:fldCharType="separate"/>
      </w:r>
      <w:r>
        <w:rPr>
          <w:rFonts w:hint="eastAsia" w:ascii="仿宋" w:hAnsi="仿宋" w:eastAsia="仿宋" w:cs="仿宋"/>
          <w:szCs w:val="36"/>
        </w:rPr>
        <w:t>附件：</w:t>
      </w:r>
      <w:r>
        <w:tab/>
      </w:r>
      <w:r>
        <w:fldChar w:fldCharType="begin"/>
      </w:r>
      <w:r>
        <w:instrText xml:space="preserve"> PAGEREF _Toc23781 \h </w:instrText>
      </w:r>
      <w:r>
        <w:fldChar w:fldCharType="separate"/>
      </w:r>
      <w:r>
        <w:t>- 56 -</w:t>
      </w:r>
      <w:r>
        <w:fldChar w:fldCharType="end"/>
      </w:r>
      <w:r>
        <w:rPr>
          <w:rFonts w:hint="eastAsia" w:ascii="仿宋" w:hAnsi="仿宋" w:eastAsia="仿宋" w:cs="仿宋"/>
          <w:bCs/>
          <w:color w:val="auto"/>
        </w:rPr>
        <w:fldChar w:fldCharType="end"/>
      </w:r>
    </w:p>
    <w:p w14:paraId="257095B5">
      <w:pPr>
        <w:spacing w:line="360" w:lineRule="exact"/>
        <w:rPr>
          <w:rFonts w:hint="eastAsia" w:ascii="仿宋" w:hAnsi="仿宋" w:eastAsia="仿宋" w:cs="仿宋"/>
          <w:color w:val="auto"/>
        </w:rPr>
        <w:sectPr>
          <w:footerReference r:id="rId8" w:type="first"/>
          <w:headerReference r:id="rId6" w:type="default"/>
          <w:footerReference r:id="rId7"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仿宋" w:hAnsi="仿宋" w:eastAsia="仿宋" w:cs="仿宋"/>
          <w:bCs/>
          <w:color w:val="auto"/>
        </w:rPr>
        <w:fldChar w:fldCharType="end"/>
      </w:r>
    </w:p>
    <w:p w14:paraId="75D78A56">
      <w:pPr>
        <w:pStyle w:val="2"/>
        <w:jc w:val="center"/>
        <w:rPr>
          <w:rFonts w:hint="eastAsia" w:ascii="仿宋" w:hAnsi="仿宋" w:eastAsia="仿宋" w:cs="仿宋"/>
          <w:color w:val="auto"/>
          <w:sz w:val="36"/>
          <w:szCs w:val="36"/>
        </w:rPr>
      </w:pPr>
      <w:bookmarkStart w:id="6" w:name="_Toc152480139"/>
      <w:bookmarkStart w:id="7" w:name="_Toc15252"/>
      <w:bookmarkStart w:id="8" w:name="_Toc11641050"/>
      <w:bookmarkStart w:id="9" w:name="_Toc128744981"/>
      <w:bookmarkStart w:id="10" w:name="_Toc12789052"/>
      <w:r>
        <w:rPr>
          <w:rFonts w:hint="eastAsia" w:ascii="仿宋" w:hAnsi="仿宋" w:eastAsia="仿宋" w:cs="仿宋"/>
          <w:color w:val="auto"/>
          <w:sz w:val="36"/>
          <w:szCs w:val="36"/>
        </w:rPr>
        <w:t>第一篇  比选邀请书</w:t>
      </w:r>
      <w:bookmarkEnd w:id="6"/>
      <w:bookmarkEnd w:id="7"/>
    </w:p>
    <w:p w14:paraId="3311BE83">
      <w:pPr>
        <w:snapToGrid w:val="0"/>
        <w:spacing w:line="360" w:lineRule="auto"/>
        <w:rPr>
          <w:rFonts w:hint="eastAsia" w:ascii="仿宋" w:hAnsi="仿宋" w:eastAsia="仿宋" w:cs="仿宋"/>
          <w:color w:val="auto"/>
        </w:rPr>
      </w:pPr>
    </w:p>
    <w:p w14:paraId="527DD456">
      <w:pPr>
        <w:snapToGrid w:val="0"/>
        <w:spacing w:line="360" w:lineRule="auto"/>
        <w:ind w:firstLine="480" w:firstLineChars="200"/>
        <w:rPr>
          <w:rFonts w:hint="eastAsia" w:ascii="仿宋" w:hAnsi="仿宋" w:eastAsia="仿宋" w:cs="仿宋"/>
          <w:color w:val="auto"/>
        </w:rPr>
      </w:pPr>
      <w:bookmarkStart w:id="11" w:name="_Toc379619850"/>
      <w:r>
        <w:rPr>
          <w:rFonts w:hint="eastAsia" w:ascii="仿宋" w:hAnsi="仿宋" w:eastAsia="仿宋" w:cs="仿宋"/>
          <w:color w:val="auto"/>
        </w:rPr>
        <w:t>受</w:t>
      </w:r>
      <w:r>
        <w:rPr>
          <w:rFonts w:hint="eastAsia" w:ascii="仿宋" w:hAnsi="仿宋" w:eastAsia="仿宋" w:cs="仿宋"/>
          <w:color w:val="auto"/>
          <w:u w:val="single"/>
          <w:lang w:eastAsia="zh-CN"/>
        </w:rPr>
        <w:t>重庆市南川区马嘴实验学校</w:t>
      </w:r>
      <w:r>
        <w:rPr>
          <w:rFonts w:hint="eastAsia" w:ascii="仿宋" w:hAnsi="仿宋" w:eastAsia="仿宋" w:cs="仿宋"/>
          <w:color w:val="auto"/>
        </w:rPr>
        <w:t>的委托，我公司组织对</w:t>
      </w:r>
      <w:r>
        <w:rPr>
          <w:rFonts w:hint="eastAsia" w:ascii="仿宋" w:hAnsi="仿宋" w:eastAsia="仿宋" w:cs="仿宋"/>
          <w:color w:val="auto"/>
          <w:u w:val="single"/>
          <w:lang w:eastAsia="zh-CN"/>
        </w:rPr>
        <w:t>马嘴实验学校围墙等附属设施维修项目</w:t>
      </w:r>
      <w:r>
        <w:rPr>
          <w:rFonts w:hint="eastAsia" w:ascii="仿宋" w:hAnsi="仿宋" w:eastAsia="仿宋" w:cs="仿宋"/>
          <w:color w:val="auto"/>
        </w:rPr>
        <w:t>进行比选采购。欢迎具备相关资质的供应商参加报价。</w:t>
      </w:r>
    </w:p>
    <w:p w14:paraId="3C3879FC">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2" w:name="_Toc13362"/>
      <w:r>
        <w:rPr>
          <w:rFonts w:hint="eastAsia" w:ascii="仿宋" w:hAnsi="仿宋" w:eastAsia="仿宋" w:cs="仿宋"/>
          <w:color w:val="auto"/>
          <w:sz w:val="24"/>
          <w:szCs w:val="24"/>
        </w:rPr>
        <w:t>一、比选项目内容</w:t>
      </w:r>
      <w:bookmarkEnd w:id="11"/>
      <w:bookmarkEnd w:id="12"/>
    </w:p>
    <w:tbl>
      <w:tblPr>
        <w:tblStyle w:val="26"/>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3"/>
        <w:gridCol w:w="2160"/>
        <w:gridCol w:w="1900"/>
        <w:gridCol w:w="1559"/>
      </w:tblGrid>
      <w:tr w14:paraId="2786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833" w:type="dxa"/>
            <w:vAlign w:val="center"/>
          </w:tcPr>
          <w:p w14:paraId="72CE6128">
            <w:pPr>
              <w:spacing w:line="380" w:lineRule="exact"/>
              <w:jc w:val="center"/>
              <w:rPr>
                <w:rFonts w:hint="eastAsia" w:ascii="仿宋" w:hAnsi="仿宋" w:eastAsia="仿宋" w:cs="仿宋"/>
                <w:b/>
                <w:bCs/>
                <w:color w:val="auto"/>
              </w:rPr>
            </w:pPr>
            <w:bookmarkStart w:id="13" w:name="_Toc378251877"/>
            <w:bookmarkStart w:id="14" w:name="_Toc152480140"/>
            <w:r>
              <w:rPr>
                <w:rFonts w:hint="eastAsia" w:ascii="仿宋" w:hAnsi="仿宋" w:eastAsia="仿宋" w:cs="仿宋"/>
                <w:b/>
                <w:bCs/>
                <w:color w:val="auto"/>
              </w:rPr>
              <w:t>项目名称</w:t>
            </w:r>
          </w:p>
        </w:tc>
        <w:tc>
          <w:tcPr>
            <w:tcW w:w="2160" w:type="dxa"/>
            <w:vAlign w:val="center"/>
          </w:tcPr>
          <w:p w14:paraId="18EFC00F">
            <w:pPr>
              <w:spacing w:line="380" w:lineRule="exact"/>
              <w:jc w:val="center"/>
              <w:rPr>
                <w:rFonts w:hint="eastAsia" w:ascii="仿宋" w:hAnsi="仿宋" w:eastAsia="仿宋" w:cs="仿宋"/>
                <w:b/>
                <w:bCs/>
                <w:color w:val="auto"/>
              </w:rPr>
            </w:pPr>
            <w:r>
              <w:rPr>
                <w:rFonts w:hint="eastAsia" w:ascii="仿宋" w:hAnsi="仿宋" w:eastAsia="仿宋" w:cs="仿宋"/>
                <w:b/>
                <w:bCs/>
                <w:color w:val="auto"/>
              </w:rPr>
              <w:t>预算金额</w:t>
            </w:r>
          </w:p>
          <w:p w14:paraId="624E4E73">
            <w:pPr>
              <w:spacing w:line="380" w:lineRule="exact"/>
              <w:jc w:val="center"/>
              <w:rPr>
                <w:rFonts w:hint="eastAsia" w:ascii="仿宋" w:hAnsi="仿宋" w:eastAsia="仿宋" w:cs="仿宋"/>
                <w:b/>
                <w:bCs/>
                <w:color w:val="auto"/>
              </w:rPr>
            </w:pPr>
            <w:r>
              <w:rPr>
                <w:rFonts w:hint="eastAsia" w:ascii="仿宋" w:hAnsi="仿宋" w:eastAsia="仿宋" w:cs="仿宋"/>
                <w:b/>
                <w:bCs/>
                <w:color w:val="auto"/>
              </w:rPr>
              <w:t>（元）</w:t>
            </w:r>
          </w:p>
        </w:tc>
        <w:tc>
          <w:tcPr>
            <w:tcW w:w="1900" w:type="dxa"/>
            <w:vAlign w:val="center"/>
          </w:tcPr>
          <w:p w14:paraId="76CB2477">
            <w:pPr>
              <w:spacing w:line="380" w:lineRule="exact"/>
              <w:jc w:val="center"/>
              <w:rPr>
                <w:rFonts w:hint="eastAsia" w:ascii="仿宋" w:hAnsi="仿宋" w:eastAsia="仿宋" w:cs="仿宋"/>
                <w:b/>
                <w:bCs/>
                <w:color w:val="auto"/>
              </w:rPr>
            </w:pPr>
            <w:r>
              <w:rPr>
                <w:rFonts w:hint="eastAsia" w:ascii="仿宋" w:hAnsi="仿宋" w:eastAsia="仿宋" w:cs="仿宋"/>
                <w:b/>
                <w:bCs/>
                <w:color w:val="auto"/>
              </w:rPr>
              <w:t>最高限价</w:t>
            </w:r>
          </w:p>
          <w:p w14:paraId="329913C1">
            <w:pPr>
              <w:jc w:val="center"/>
              <w:rPr>
                <w:rFonts w:hint="eastAsia" w:ascii="仿宋" w:hAnsi="仿宋" w:eastAsia="仿宋" w:cs="仿宋"/>
                <w:b/>
                <w:bCs/>
                <w:color w:val="auto"/>
              </w:rPr>
            </w:pPr>
            <w:r>
              <w:rPr>
                <w:rFonts w:hint="eastAsia" w:ascii="仿宋" w:hAnsi="仿宋" w:eastAsia="仿宋" w:cs="仿宋"/>
                <w:b/>
                <w:bCs/>
                <w:color w:val="auto"/>
              </w:rPr>
              <w:t>（元）</w:t>
            </w:r>
          </w:p>
        </w:tc>
        <w:tc>
          <w:tcPr>
            <w:tcW w:w="1559" w:type="dxa"/>
            <w:vAlign w:val="center"/>
          </w:tcPr>
          <w:p w14:paraId="08F79901">
            <w:pPr>
              <w:jc w:val="center"/>
              <w:rPr>
                <w:rFonts w:hint="eastAsia" w:ascii="仿宋" w:hAnsi="仿宋" w:eastAsia="仿宋" w:cs="仿宋"/>
                <w:b/>
                <w:bCs/>
                <w:color w:val="auto"/>
              </w:rPr>
            </w:pPr>
            <w:r>
              <w:rPr>
                <w:rFonts w:hint="eastAsia" w:ascii="仿宋" w:hAnsi="仿宋" w:eastAsia="仿宋" w:cs="仿宋"/>
                <w:b/>
                <w:bCs/>
                <w:color w:val="auto"/>
              </w:rPr>
              <w:t>成交供应商</w:t>
            </w:r>
          </w:p>
          <w:p w14:paraId="31D9B532">
            <w:pPr>
              <w:jc w:val="center"/>
              <w:rPr>
                <w:rFonts w:hint="eastAsia" w:ascii="仿宋" w:hAnsi="仿宋" w:eastAsia="仿宋" w:cs="仿宋"/>
                <w:b/>
                <w:bCs/>
                <w:color w:val="auto"/>
              </w:rPr>
            </w:pPr>
            <w:r>
              <w:rPr>
                <w:rFonts w:hint="eastAsia" w:ascii="仿宋" w:hAnsi="仿宋" w:eastAsia="仿宋" w:cs="仿宋"/>
                <w:b/>
                <w:bCs/>
                <w:color w:val="auto"/>
              </w:rPr>
              <w:t>数量（名）</w:t>
            </w:r>
          </w:p>
        </w:tc>
      </w:tr>
      <w:tr w14:paraId="1DAB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3833" w:type="dxa"/>
            <w:vAlign w:val="center"/>
          </w:tcPr>
          <w:p w14:paraId="3F8604B8">
            <w:pPr>
              <w:spacing w:line="38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马嘴实验学校围墙等附属设施维修项目</w:t>
            </w:r>
          </w:p>
        </w:tc>
        <w:tc>
          <w:tcPr>
            <w:tcW w:w="2160" w:type="dxa"/>
            <w:shd w:val="clear" w:color="auto" w:fill="auto"/>
            <w:vAlign w:val="center"/>
          </w:tcPr>
          <w:p w14:paraId="6F5FBAB2">
            <w:pPr>
              <w:spacing w:line="380" w:lineRule="exact"/>
              <w:jc w:val="center"/>
              <w:rPr>
                <w:rFonts w:hint="default" w:ascii="仿宋" w:hAnsi="仿宋" w:eastAsia="仿宋" w:cs="仿宋"/>
                <w:color w:val="auto"/>
                <w:lang w:val="en-US" w:eastAsia="zh-CN"/>
              </w:rPr>
            </w:pPr>
            <w:r>
              <w:rPr>
                <w:rFonts w:hint="default" w:ascii="仿宋" w:hAnsi="仿宋" w:eastAsia="仿宋" w:cs="仿宋"/>
                <w:color w:val="auto"/>
                <w:lang w:val="en-US" w:eastAsia="zh-CN"/>
              </w:rPr>
              <w:t>108070.37</w:t>
            </w:r>
          </w:p>
        </w:tc>
        <w:tc>
          <w:tcPr>
            <w:tcW w:w="1900" w:type="dxa"/>
            <w:shd w:val="clear" w:color="auto" w:fill="auto"/>
            <w:vAlign w:val="center"/>
          </w:tcPr>
          <w:p w14:paraId="4DE978C9">
            <w:pPr>
              <w:spacing w:line="380" w:lineRule="exact"/>
              <w:jc w:val="center"/>
              <w:rPr>
                <w:rFonts w:hint="eastAsia" w:ascii="仿宋" w:hAnsi="仿宋" w:eastAsia="仿宋" w:cs="仿宋"/>
                <w:color w:val="auto"/>
                <w:lang w:val="en-US" w:eastAsia="zh-CN"/>
              </w:rPr>
            </w:pPr>
            <w:r>
              <w:rPr>
                <w:rFonts w:hint="default" w:ascii="仿宋" w:hAnsi="仿宋" w:eastAsia="仿宋" w:cs="仿宋"/>
                <w:color w:val="auto"/>
                <w:lang w:val="en-US" w:eastAsia="zh-CN"/>
              </w:rPr>
              <w:t>108070.37</w:t>
            </w:r>
          </w:p>
        </w:tc>
        <w:tc>
          <w:tcPr>
            <w:tcW w:w="1559" w:type="dxa"/>
            <w:vAlign w:val="center"/>
          </w:tcPr>
          <w:p w14:paraId="7429ECC5">
            <w:pPr>
              <w:jc w:val="center"/>
              <w:rPr>
                <w:rFonts w:hint="eastAsia" w:ascii="仿宋" w:hAnsi="仿宋" w:eastAsia="仿宋" w:cs="仿宋"/>
                <w:color w:val="auto"/>
              </w:rPr>
            </w:pPr>
            <w:r>
              <w:rPr>
                <w:rFonts w:hint="eastAsia" w:ascii="仿宋" w:hAnsi="仿宋" w:eastAsia="仿宋" w:cs="仿宋"/>
                <w:color w:val="auto"/>
              </w:rPr>
              <w:t>1</w:t>
            </w:r>
          </w:p>
        </w:tc>
      </w:tr>
    </w:tbl>
    <w:p w14:paraId="465E9C27">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5" w:name="_Toc24758"/>
      <w:r>
        <w:rPr>
          <w:rFonts w:hint="eastAsia" w:ascii="仿宋" w:hAnsi="仿宋" w:eastAsia="仿宋" w:cs="仿宋"/>
          <w:color w:val="auto"/>
          <w:sz w:val="24"/>
          <w:szCs w:val="24"/>
        </w:rPr>
        <w:t>二、资金来源</w:t>
      </w:r>
      <w:bookmarkEnd w:id="13"/>
      <w:bookmarkEnd w:id="15"/>
    </w:p>
    <w:p w14:paraId="1864246C">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财政资金。</w:t>
      </w:r>
    </w:p>
    <w:p w14:paraId="156531C7">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6" w:name="_Toc30206"/>
      <w:r>
        <w:rPr>
          <w:rFonts w:hint="eastAsia" w:ascii="仿宋" w:hAnsi="仿宋" w:eastAsia="仿宋" w:cs="仿宋"/>
          <w:color w:val="auto"/>
          <w:sz w:val="24"/>
          <w:szCs w:val="24"/>
        </w:rPr>
        <w:t>三、资格要求</w:t>
      </w:r>
      <w:bookmarkEnd w:id="16"/>
    </w:p>
    <w:p w14:paraId="457B25F8">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比选供应商是指向采购人提供货物、工程或者服务的法人、其他组织或者自然人。以下简称供应商。</w:t>
      </w:r>
    </w:p>
    <w:p w14:paraId="5B22EDF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合格的供应商应符合下列条件：</w:t>
      </w:r>
    </w:p>
    <w:p w14:paraId="17F2A81B">
      <w:pPr>
        <w:snapToGrid w:val="0"/>
        <w:spacing w:line="360" w:lineRule="auto"/>
        <w:ind w:firstLine="480" w:firstLineChars="200"/>
        <w:rPr>
          <w:rFonts w:hint="eastAsia" w:ascii="仿宋" w:hAnsi="仿宋" w:eastAsia="仿宋" w:cs="仿宋"/>
          <w:color w:val="auto"/>
        </w:rPr>
      </w:pPr>
      <w:bookmarkStart w:id="17" w:name="_Toc1359"/>
      <w:bookmarkStart w:id="18" w:name="_Toc487204774"/>
      <w:r>
        <w:rPr>
          <w:rFonts w:hint="eastAsia" w:ascii="仿宋" w:hAnsi="仿宋" w:eastAsia="仿宋" w:cs="仿宋"/>
          <w:color w:val="auto"/>
        </w:rPr>
        <w:t>（一）基本条件</w:t>
      </w:r>
    </w:p>
    <w:p w14:paraId="6546785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1、具有独立承担民事责任的能力；</w:t>
      </w:r>
    </w:p>
    <w:p w14:paraId="4755656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2、具有良好的商业信誉和健全的财务会计制度；</w:t>
      </w:r>
    </w:p>
    <w:p w14:paraId="15A8C41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3、具有履行合同所必需的设备和专业技术能力；</w:t>
      </w:r>
    </w:p>
    <w:p w14:paraId="0917298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4、有依法缴纳税收和社会保障资金的良好记录；</w:t>
      </w:r>
    </w:p>
    <w:p w14:paraId="33A9EE1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5、参加政府采购活动前三年内，在经营活动中没有重大违法记录。</w:t>
      </w:r>
    </w:p>
    <w:p w14:paraId="5C04C16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（二）特定资格条件</w:t>
      </w:r>
    </w:p>
    <w:p w14:paraId="358D87C3">
      <w:pPr>
        <w:snapToGrid w:val="0"/>
        <w:spacing w:line="360" w:lineRule="auto"/>
        <w:ind w:firstLine="480" w:firstLineChars="200"/>
        <w:rPr>
          <w:rFonts w:ascii="仿宋" w:hAnsi="仿宋" w:eastAsia="仿宋" w:cs="仿宋_GB2312"/>
          <w:color w:val="auto"/>
          <w:highlight w:val="none"/>
        </w:rPr>
      </w:pPr>
      <w:r>
        <w:rPr>
          <w:rFonts w:ascii="仿宋" w:hAnsi="仿宋" w:eastAsia="仿宋" w:cs="仿宋_GB2312"/>
          <w:color w:val="auto"/>
          <w:highlight w:val="none"/>
        </w:rPr>
        <w:t>1、供应商需具备建设行政主管部门颁发的有效的建筑工程施工总承包三级及以上资质；（提供有效的证明材料复印件并加盖供应商公章）</w:t>
      </w:r>
    </w:p>
    <w:p w14:paraId="5160694C">
      <w:pPr>
        <w:pStyle w:val="25"/>
        <w:ind w:left="0" w:leftChars="0" w:firstLine="480" w:firstLineChars="200"/>
        <w:rPr>
          <w:rFonts w:hint="eastAsia" w:ascii="仿宋" w:hAnsi="仿宋" w:eastAsia="仿宋" w:cs="仿宋"/>
          <w:color w:val="auto"/>
        </w:rPr>
      </w:pPr>
      <w:r>
        <w:rPr>
          <w:rFonts w:hint="eastAsia" w:ascii="仿宋" w:hAnsi="仿宋" w:eastAsia="仿宋" w:cs="仿宋_GB2312"/>
          <w:color w:val="auto"/>
          <w:sz w:val="24"/>
          <w:szCs w:val="24"/>
          <w:highlight w:val="none"/>
          <w:lang w:val="en-US" w:eastAsia="zh-CN" w:bidi="ar-SA"/>
        </w:rPr>
        <w:t>2、具备建设行政主管部门颁发的安全生产许可证。（提供有效期内的、加盖公章的安全生产许可证复印件）</w:t>
      </w:r>
    </w:p>
    <w:p w14:paraId="47929E03">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en-US"/>
        </w:rPr>
      </w:pPr>
      <w:bookmarkStart w:id="19" w:name="_Toc3036"/>
      <w:r>
        <w:rPr>
          <w:rFonts w:hint="eastAsia" w:ascii="仿宋" w:hAnsi="仿宋" w:eastAsia="仿宋" w:cs="仿宋"/>
          <w:color w:val="auto"/>
          <w:sz w:val="24"/>
          <w:szCs w:val="24"/>
        </w:rPr>
        <w:t>四、比选有关说明</w:t>
      </w:r>
      <w:bookmarkEnd w:id="17"/>
      <w:bookmarkEnd w:id="18"/>
      <w:bookmarkEnd w:id="19"/>
    </w:p>
    <w:p w14:paraId="61D6843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（一）凡有意参加比选的供应商，请于公告发布之日起至提交首次响应文件截止时间之前，在“行采家(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）”上下载或到采购代理机构领取本项目比选文件以及图纸、补遗等比选前公布的所有项目资料，无论供应商下载或领取与否，均视为已知晓所有比选实质性要求内容。</w:t>
      </w:r>
    </w:p>
    <w:p w14:paraId="695172D7">
      <w:pPr>
        <w:snapToGrid w:val="0"/>
        <w:spacing w:after="0" w:line="360" w:lineRule="auto"/>
        <w:ind w:firstLine="480" w:firstLineChars="200"/>
        <w:rPr>
          <w:rFonts w:hint="eastAsia" w:ascii="仿宋" w:hAnsi="仿宋" w:eastAsia="仿宋" w:cs="仿宋"/>
          <w:color w:val="auto"/>
        </w:rPr>
      </w:pPr>
      <w:bookmarkStart w:id="20" w:name="_Toc22356"/>
      <w:bookmarkStart w:id="21" w:name="_Toc487204775"/>
      <w:r>
        <w:rPr>
          <w:rFonts w:hint="eastAsia" w:ascii="仿宋" w:hAnsi="仿宋" w:eastAsia="仿宋" w:cs="仿宋"/>
          <w:color w:val="auto"/>
        </w:rPr>
        <w:t>（二）比选文件公告期限：</w:t>
      </w:r>
      <w:r>
        <w:rPr>
          <w:rFonts w:hint="eastAsia" w:ascii="仿宋" w:hAnsi="仿宋" w:eastAsia="仿宋" w:cs="仿宋"/>
          <w:color w:val="auto"/>
          <w:lang w:eastAsia="zh-CN"/>
        </w:rPr>
        <w:t>2026年</w:t>
      </w:r>
      <w:r>
        <w:rPr>
          <w:rFonts w:hint="eastAsia" w:ascii="仿宋" w:hAnsi="仿宋" w:eastAsia="仿宋" w:cs="仿宋"/>
          <w:color w:val="auto"/>
          <w:lang w:val="en-US" w:eastAsia="zh-CN"/>
        </w:rPr>
        <w:t>5</w:t>
      </w:r>
      <w:r>
        <w:rPr>
          <w:rFonts w:hint="eastAsia" w:ascii="仿宋" w:hAnsi="仿宋" w:eastAsia="仿宋" w:cs="仿宋"/>
          <w:color w:val="auto"/>
        </w:rPr>
        <w:t>月</w:t>
      </w:r>
      <w:r>
        <w:rPr>
          <w:rFonts w:hint="eastAsia" w:ascii="仿宋" w:hAnsi="仿宋" w:eastAsia="仿宋" w:cs="仿宋"/>
          <w:color w:val="auto"/>
          <w:lang w:val="en-US" w:eastAsia="zh-CN"/>
        </w:rPr>
        <w:t>28</w:t>
      </w:r>
      <w:r>
        <w:rPr>
          <w:rFonts w:hint="eastAsia" w:ascii="仿宋" w:hAnsi="仿宋" w:eastAsia="仿宋" w:cs="仿宋"/>
          <w:color w:val="auto"/>
        </w:rPr>
        <w:t>日-</w:t>
      </w:r>
      <w:r>
        <w:rPr>
          <w:rFonts w:hint="eastAsia" w:ascii="仿宋" w:hAnsi="仿宋" w:eastAsia="仿宋" w:cs="仿宋"/>
          <w:color w:val="auto"/>
          <w:lang w:eastAsia="zh-CN"/>
        </w:rPr>
        <w:t>2026年</w:t>
      </w:r>
      <w:r>
        <w:rPr>
          <w:rFonts w:hint="eastAsia" w:ascii="仿宋" w:hAnsi="仿宋" w:eastAsia="仿宋" w:cs="仿宋"/>
          <w:color w:val="auto"/>
          <w:lang w:val="en-US" w:eastAsia="zh-CN"/>
        </w:rPr>
        <w:t>6月3日</w:t>
      </w:r>
      <w:r>
        <w:rPr>
          <w:rFonts w:hint="eastAsia" w:ascii="仿宋" w:hAnsi="仿宋" w:eastAsia="仿宋" w:cs="仿宋"/>
          <w:color w:val="auto"/>
        </w:rPr>
        <w:t>（开标前，工作时间）。</w:t>
      </w:r>
    </w:p>
    <w:p w14:paraId="30E1763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（三）文件购买费：招标文件购买费为</w:t>
      </w:r>
      <w:r>
        <w:rPr>
          <w:rFonts w:hint="eastAsia" w:ascii="仿宋" w:hAnsi="仿宋" w:eastAsia="仿宋" w:cs="仿宋"/>
          <w:color w:val="auto"/>
          <w:lang w:val="en-US" w:eastAsia="zh-CN"/>
        </w:rPr>
        <w:t>3</w:t>
      </w:r>
      <w:r>
        <w:rPr>
          <w:rFonts w:hint="eastAsia" w:ascii="仿宋" w:hAnsi="仿宋" w:eastAsia="仿宋" w:cs="仿宋"/>
          <w:color w:val="auto"/>
        </w:rPr>
        <w:t>00元/份（售后不退）。</w:t>
      </w:r>
    </w:p>
    <w:p w14:paraId="5956732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1.招标文件购买方式</w:t>
      </w:r>
    </w:p>
    <w:p w14:paraId="0D8C976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1.1汇款购买</w:t>
      </w:r>
    </w:p>
    <w:p w14:paraId="469FC97B">
      <w:pPr>
        <w:snapToGrid w:val="0"/>
        <w:spacing w:after="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rPr>
        <w:t>在比选文件发售期内，供应商将比选文件购买费用汇至以下账户内进行购买。通过汇款方式购买比选文件的，将比选文件汇款凭证（注明项目编号）、《比选文件发售登记表》（加盖供应商公章）扫描后发</w:t>
      </w:r>
      <w:r>
        <w:rPr>
          <w:rFonts w:hint="eastAsia" w:ascii="仿宋" w:hAnsi="仿宋" w:eastAsia="仿宋" w:cs="仿宋"/>
          <w:color w:val="auto"/>
          <w:highlight w:val="none"/>
        </w:rPr>
        <w:t>送至</w:t>
      </w:r>
      <w:r>
        <w:rPr>
          <w:rFonts w:hint="eastAsia" w:ascii="仿宋" w:hAnsi="仿宋" w:eastAsia="仿宋" w:cs="仿宋"/>
          <w:color w:val="auto"/>
          <w:highlight w:val="none"/>
          <w:lang w:val="en-US" w:eastAsia="zh-CN"/>
        </w:rPr>
        <w:t>1137228856</w:t>
      </w:r>
      <w:r>
        <w:rPr>
          <w:rFonts w:hint="eastAsia" w:ascii="仿宋" w:hAnsi="仿宋" w:eastAsia="仿宋" w:cs="仿宋"/>
          <w:color w:val="auto"/>
          <w:highlight w:val="none"/>
        </w:rPr>
        <w:t>@qq.com</w:t>
      </w:r>
    </w:p>
    <w:p w14:paraId="3B26DD2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户  名：坤博工程咨询（重庆）有限公司</w:t>
      </w:r>
    </w:p>
    <w:p w14:paraId="6C46ADF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开户行：中国工商银行股份有限公司重庆石桥铺支行</w:t>
      </w:r>
    </w:p>
    <w:p w14:paraId="3CD0570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账  号：3100024409200129605</w:t>
      </w:r>
    </w:p>
    <w:p w14:paraId="4169980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现金及微信转账</w:t>
      </w:r>
    </w:p>
    <w:p w14:paraId="3A8292F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2.1在比选文件发售期内[</w:t>
      </w:r>
      <w:r>
        <w:rPr>
          <w:rFonts w:hint="eastAsia" w:ascii="仿宋" w:hAnsi="仿宋" w:eastAsia="仿宋" w:cs="仿宋"/>
          <w:color w:val="auto"/>
          <w:lang w:eastAsia="zh-CN"/>
        </w:rPr>
        <w:t>2026年</w:t>
      </w:r>
      <w:r>
        <w:rPr>
          <w:rFonts w:hint="eastAsia" w:ascii="仿宋" w:hAnsi="仿宋" w:eastAsia="仿宋" w:cs="仿宋"/>
          <w:color w:val="auto"/>
          <w:lang w:val="en-US" w:eastAsia="zh-CN"/>
        </w:rPr>
        <w:t>5</w:t>
      </w:r>
      <w:r>
        <w:rPr>
          <w:rFonts w:hint="eastAsia" w:ascii="仿宋" w:hAnsi="仿宋" w:eastAsia="仿宋" w:cs="仿宋"/>
          <w:color w:val="auto"/>
        </w:rPr>
        <w:t>月</w:t>
      </w:r>
      <w:r>
        <w:rPr>
          <w:rFonts w:hint="eastAsia" w:ascii="仿宋" w:hAnsi="仿宋" w:eastAsia="仿宋" w:cs="仿宋"/>
          <w:color w:val="auto"/>
          <w:lang w:val="en-US" w:eastAsia="zh-CN"/>
        </w:rPr>
        <w:t>28</w:t>
      </w:r>
      <w:r>
        <w:rPr>
          <w:rFonts w:hint="eastAsia" w:ascii="仿宋" w:hAnsi="仿宋" w:eastAsia="仿宋" w:cs="仿宋"/>
          <w:color w:val="auto"/>
        </w:rPr>
        <w:t>日-</w:t>
      </w:r>
      <w:r>
        <w:rPr>
          <w:rFonts w:hint="eastAsia" w:ascii="仿宋" w:hAnsi="仿宋" w:eastAsia="仿宋" w:cs="仿宋"/>
          <w:color w:val="auto"/>
          <w:lang w:eastAsia="zh-CN"/>
        </w:rPr>
        <w:t>2026年</w:t>
      </w:r>
      <w:r>
        <w:rPr>
          <w:rFonts w:hint="eastAsia" w:ascii="仿宋" w:hAnsi="仿宋" w:eastAsia="仿宋" w:cs="仿宋"/>
          <w:color w:val="auto"/>
          <w:lang w:val="en-US" w:eastAsia="zh-CN"/>
        </w:rPr>
        <w:t>6月3日</w:t>
      </w:r>
      <w:r>
        <w:rPr>
          <w:rFonts w:hint="eastAsia" w:ascii="仿宋" w:hAnsi="仿宋" w:eastAsia="仿宋" w:cs="仿宋"/>
          <w:color w:val="auto"/>
        </w:rPr>
        <w:t>（开标前，工作时间）],供应商到代理机构处，递交《比选文件发售登记表》（加盖供应商公章）并购买比选文件。</w:t>
      </w:r>
    </w:p>
    <w:p w14:paraId="2DEE91D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（四）供应商须满足以下三种要件，其响应文件才被接受：</w:t>
      </w:r>
    </w:p>
    <w:p w14:paraId="08E7EFD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1.按时递交并上传了响应文件；</w:t>
      </w:r>
    </w:p>
    <w:p w14:paraId="235CB7C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2.按时报名签到；</w:t>
      </w:r>
    </w:p>
    <w:p w14:paraId="515A1F0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3.缴纳了文件购买费并登记递交《比选文件发售登记表》加盖供应商公章（《比选文件发售登记表》见文件最后页附件）。</w:t>
      </w:r>
    </w:p>
    <w:p w14:paraId="3322D7DB">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rPr>
        <w:t>（五）线下投标开始时间：</w:t>
      </w:r>
      <w:r>
        <w:rPr>
          <w:rFonts w:hint="eastAsia" w:ascii="仿宋" w:hAnsi="仿宋" w:eastAsia="仿宋" w:cs="仿宋"/>
          <w:color w:val="auto"/>
          <w:lang w:eastAsia="zh-CN"/>
        </w:rPr>
        <w:t>2026年</w:t>
      </w:r>
      <w:r>
        <w:rPr>
          <w:rFonts w:hint="eastAsia" w:ascii="仿宋" w:hAnsi="仿宋" w:eastAsia="仿宋" w:cs="仿宋"/>
          <w:color w:val="auto"/>
          <w:lang w:val="en-US" w:eastAsia="zh-CN"/>
        </w:rPr>
        <w:t>6月3日</w:t>
      </w:r>
      <w:r>
        <w:rPr>
          <w:rFonts w:hint="eastAsia" w:ascii="仿宋" w:hAnsi="仿宋" w:eastAsia="仿宋" w:cs="仿宋"/>
          <w:color w:val="auto"/>
        </w:rPr>
        <w:t>北京时间</w:t>
      </w:r>
      <w:r>
        <w:rPr>
          <w:rFonts w:hint="eastAsia" w:ascii="仿宋" w:hAnsi="仿宋" w:eastAsia="仿宋" w:cs="仿宋"/>
          <w:color w:val="auto"/>
          <w:lang w:val="en-US" w:eastAsia="zh-CN"/>
        </w:rPr>
        <w:t>14:30</w:t>
      </w:r>
    </w:p>
    <w:p w14:paraId="71EFD0E6">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rPr>
        <w:t>（六）线下投标截止时间：</w:t>
      </w:r>
      <w:r>
        <w:rPr>
          <w:rFonts w:hint="eastAsia" w:ascii="仿宋" w:hAnsi="仿宋" w:eastAsia="仿宋" w:cs="仿宋"/>
          <w:color w:val="auto"/>
          <w:lang w:eastAsia="zh-CN"/>
        </w:rPr>
        <w:t>2026年</w:t>
      </w:r>
      <w:r>
        <w:rPr>
          <w:rFonts w:hint="eastAsia" w:ascii="仿宋" w:hAnsi="仿宋" w:eastAsia="仿宋" w:cs="仿宋"/>
          <w:color w:val="auto"/>
          <w:lang w:val="en-US" w:eastAsia="zh-CN"/>
        </w:rPr>
        <w:t>6月3日</w:t>
      </w:r>
      <w:r>
        <w:rPr>
          <w:rFonts w:hint="eastAsia" w:ascii="仿宋" w:hAnsi="仿宋" w:eastAsia="仿宋" w:cs="仿宋"/>
          <w:color w:val="auto"/>
        </w:rPr>
        <w:t>北京时间</w:t>
      </w:r>
      <w:r>
        <w:rPr>
          <w:rFonts w:hint="eastAsia" w:ascii="仿宋" w:hAnsi="仿宋" w:eastAsia="仿宋" w:cs="仿宋"/>
          <w:color w:val="auto"/>
          <w:lang w:val="en-US" w:eastAsia="zh-CN"/>
        </w:rPr>
        <w:t>15:00</w:t>
      </w:r>
    </w:p>
    <w:p w14:paraId="474180E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（七）评审时间：</w:t>
      </w:r>
      <w:r>
        <w:rPr>
          <w:rFonts w:hint="eastAsia" w:ascii="仿宋" w:hAnsi="仿宋" w:eastAsia="仿宋" w:cs="仿宋"/>
          <w:color w:val="auto"/>
          <w:lang w:eastAsia="zh-CN"/>
        </w:rPr>
        <w:t>2026年</w:t>
      </w:r>
      <w:r>
        <w:rPr>
          <w:rFonts w:hint="eastAsia" w:ascii="仿宋" w:hAnsi="仿宋" w:eastAsia="仿宋" w:cs="仿宋"/>
          <w:color w:val="auto"/>
          <w:lang w:val="en-US" w:eastAsia="zh-CN"/>
        </w:rPr>
        <w:t>6月3日</w:t>
      </w:r>
      <w:r>
        <w:rPr>
          <w:rFonts w:hint="eastAsia" w:ascii="仿宋" w:hAnsi="仿宋" w:eastAsia="仿宋" w:cs="仿宋"/>
          <w:color w:val="auto"/>
        </w:rPr>
        <w:t>北京时间</w:t>
      </w:r>
      <w:r>
        <w:rPr>
          <w:rFonts w:hint="eastAsia" w:ascii="仿宋" w:hAnsi="仿宋" w:eastAsia="仿宋" w:cs="仿宋"/>
          <w:color w:val="auto"/>
          <w:lang w:val="en-US" w:eastAsia="zh-CN"/>
        </w:rPr>
        <w:t>15</w:t>
      </w:r>
      <w:r>
        <w:rPr>
          <w:rFonts w:hint="eastAsia" w:ascii="仿宋" w:hAnsi="仿宋" w:eastAsia="仿宋" w:cs="仿宋"/>
          <w:color w:val="auto"/>
        </w:rPr>
        <w:t>:</w:t>
      </w:r>
      <w:r>
        <w:rPr>
          <w:rFonts w:hint="eastAsia" w:ascii="仿宋" w:hAnsi="仿宋" w:eastAsia="仿宋" w:cs="仿宋"/>
          <w:color w:val="auto"/>
          <w:lang w:val="en-US" w:eastAsia="zh-CN"/>
        </w:rPr>
        <w:t>0</w:t>
      </w:r>
      <w:r>
        <w:rPr>
          <w:rFonts w:hint="eastAsia" w:ascii="仿宋" w:hAnsi="仿宋" w:eastAsia="仿宋" w:cs="仿宋"/>
          <w:color w:val="auto"/>
        </w:rPr>
        <w:t>0</w:t>
      </w:r>
    </w:p>
    <w:p w14:paraId="7D035513">
      <w:pPr>
        <w:snapToGrid w:val="0"/>
        <w:spacing w:after="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u w:val="none"/>
        </w:rPr>
        <w:t>（八）投标及开标地点：</w:t>
      </w:r>
      <w:r>
        <w:rPr>
          <w:rFonts w:hint="eastAsia" w:ascii="仿宋" w:hAnsi="仿宋" w:eastAsia="仿宋" w:cs="仿宋"/>
          <w:color w:val="auto"/>
        </w:rPr>
        <w:t>重庆市南川区金川路168号汇昊招标</w:t>
      </w:r>
      <w:r>
        <w:rPr>
          <w:rFonts w:hint="eastAsia" w:ascii="仿宋" w:hAnsi="仿宋" w:eastAsia="仿宋" w:cs="仿宋"/>
          <w:color w:val="auto"/>
          <w:lang w:eastAsia="zh-CN"/>
        </w:rPr>
        <w:t>（</w:t>
      </w:r>
      <w:r>
        <w:rPr>
          <w:rFonts w:hint="eastAsia" w:ascii="仿宋" w:hAnsi="仿宋" w:eastAsia="仿宋" w:cs="仿宋"/>
          <w:color w:val="auto"/>
          <w:lang w:val="en-US" w:eastAsia="zh-CN"/>
        </w:rPr>
        <w:t>借用场地</w:t>
      </w:r>
      <w:r>
        <w:rPr>
          <w:rFonts w:hint="eastAsia" w:ascii="仿宋" w:hAnsi="仿宋" w:eastAsia="仿宋" w:cs="仿宋"/>
          <w:color w:val="auto"/>
          <w:lang w:eastAsia="zh-CN"/>
        </w:rPr>
        <w:t>）</w:t>
      </w:r>
    </w:p>
    <w:p w14:paraId="2E280752">
      <w:pPr>
        <w:snapToGrid w:val="0"/>
        <w:spacing w:after="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rPr>
        <w:t>（九）特别说明：供应商应按规定的时间在“行采家”（https://www.gec123.com/）进行网上报价，并上传签字盖章后的投标文件电子文档PDF格式一份。（注：电子文档内容应与纸质文件正本一致，如不一致以纸质文件正本为准）并在规定时间内进行线下投标；未在规定时间内进行线上报价和线下投标的供应商其投标无效。</w:t>
      </w:r>
    </w:p>
    <w:p w14:paraId="331FC4F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highlight w:val="none"/>
        </w:rPr>
        <w:t>（十）网上报价时间段：比选公告发布之日起至</w:t>
      </w:r>
      <w:r>
        <w:rPr>
          <w:rFonts w:hint="eastAsia" w:ascii="仿宋" w:hAnsi="仿宋" w:eastAsia="仿宋" w:cs="仿宋"/>
          <w:color w:val="auto"/>
          <w:lang w:eastAsia="zh-CN"/>
        </w:rPr>
        <w:t>2026年</w:t>
      </w:r>
      <w:r>
        <w:rPr>
          <w:rFonts w:hint="eastAsia" w:ascii="仿宋" w:hAnsi="仿宋" w:eastAsia="仿宋" w:cs="仿宋"/>
          <w:color w:val="auto"/>
          <w:lang w:val="en-US" w:eastAsia="zh-CN"/>
        </w:rPr>
        <w:t>6月3日</w:t>
      </w:r>
      <w:r>
        <w:rPr>
          <w:rFonts w:hint="eastAsia" w:ascii="仿宋" w:hAnsi="仿宋" w:eastAsia="仿宋" w:cs="仿宋"/>
          <w:color w:val="auto"/>
          <w:highlight w:val="none"/>
        </w:rPr>
        <w:t>北京时</w:t>
      </w:r>
      <w:r>
        <w:rPr>
          <w:rFonts w:hint="eastAsia" w:ascii="仿宋" w:hAnsi="仿宋" w:eastAsia="仿宋" w:cs="仿宋"/>
          <w:color w:val="auto"/>
        </w:rPr>
        <w:t>间</w:t>
      </w:r>
      <w:r>
        <w:rPr>
          <w:rFonts w:hint="eastAsia" w:ascii="仿宋" w:hAnsi="仿宋" w:eastAsia="仿宋" w:cs="仿宋"/>
          <w:color w:val="auto"/>
          <w:lang w:val="en-US" w:eastAsia="zh-CN"/>
        </w:rPr>
        <w:t>9</w:t>
      </w:r>
      <w:r>
        <w:rPr>
          <w:rFonts w:hint="eastAsia" w:ascii="仿宋" w:hAnsi="仿宋" w:eastAsia="仿宋" w:cs="仿宋"/>
          <w:color w:val="auto"/>
        </w:rPr>
        <w:t>:00止</w:t>
      </w:r>
    </w:p>
    <w:p w14:paraId="74354586">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22" w:name="_Toc5778"/>
      <w:r>
        <w:rPr>
          <w:rFonts w:hint="eastAsia" w:ascii="仿宋" w:hAnsi="仿宋" w:eastAsia="仿宋" w:cs="仿宋"/>
          <w:color w:val="auto"/>
          <w:sz w:val="24"/>
          <w:szCs w:val="24"/>
        </w:rPr>
        <w:t>五、比选保证金</w:t>
      </w:r>
      <w:bookmarkEnd w:id="20"/>
      <w:bookmarkEnd w:id="21"/>
      <w:bookmarkEnd w:id="22"/>
    </w:p>
    <w:p w14:paraId="58AE58BB">
      <w:pPr>
        <w:snapToGrid w:val="0"/>
        <w:spacing w:line="360" w:lineRule="auto"/>
        <w:ind w:firstLine="480" w:firstLineChars="200"/>
        <w:rPr>
          <w:rFonts w:hint="eastAsia" w:ascii="仿宋" w:hAnsi="仿宋" w:eastAsia="仿宋" w:cs="仿宋"/>
          <w:color w:val="auto"/>
        </w:rPr>
      </w:pPr>
      <w:bookmarkStart w:id="23" w:name="_Toc487204776"/>
      <w:bookmarkStart w:id="24" w:name="_Toc24666"/>
      <w:r>
        <w:rPr>
          <w:rFonts w:hint="eastAsia" w:ascii="仿宋" w:hAnsi="仿宋" w:eastAsia="仿宋" w:cs="仿宋"/>
          <w:color w:val="auto"/>
        </w:rPr>
        <w:t>本次采购不设置。</w:t>
      </w:r>
    </w:p>
    <w:p w14:paraId="2DED495C">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25" w:name="_Toc26922"/>
      <w:r>
        <w:rPr>
          <w:rFonts w:hint="eastAsia" w:ascii="仿宋" w:hAnsi="仿宋" w:eastAsia="仿宋" w:cs="仿宋"/>
          <w:color w:val="auto"/>
          <w:sz w:val="24"/>
          <w:szCs w:val="24"/>
        </w:rPr>
        <w:t>六、比选有关规定</w:t>
      </w:r>
      <w:bookmarkEnd w:id="23"/>
      <w:bookmarkEnd w:id="24"/>
      <w:bookmarkEnd w:id="25"/>
    </w:p>
    <w:p w14:paraId="2F350BA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（一）单位负责人为同一人或者存在直接控股、管理关系的不同供应商，不得参加同一合同项下的采购活动，否则均为无效响应。</w:t>
      </w:r>
    </w:p>
    <w:p w14:paraId="76E1B9F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（二）为采购项目提供整体设计、规范编制或者项目管理、监理、检测等服务的供应商，不得再参加该采购项目的其他采购活动，否则均为无效响应。</w:t>
      </w:r>
    </w:p>
    <w:p w14:paraId="11B6A25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（三）同一项目的货物，制造商参与比选的，不得再委托代理商参与比选，否则均为无效响应。</w:t>
      </w:r>
    </w:p>
    <w:p w14:paraId="13753DB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（四）本项目的补遗文件（如果有）一律在“行采家(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）”上发布，请各供应商注意下载或到代理机构处领取；无论供应商下载或领取与否，均视同供应商已知晓本项目补遗文件（如果有）的内容。</w:t>
      </w:r>
    </w:p>
    <w:p w14:paraId="3DB889D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（五）超过响应文件截止时间递交的响应文件，恕不接收。</w:t>
      </w:r>
    </w:p>
    <w:p w14:paraId="56C3E3DE">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（六）比选费用：无论比选结果如何，供应商参与本项目比选的所有费用均应由供应商自行承担。</w:t>
      </w:r>
    </w:p>
    <w:p w14:paraId="04CBB7C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20EC9B55">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26" w:name="_Toc76462321"/>
      <w:bookmarkStart w:id="27" w:name="_Toc373860294"/>
      <w:bookmarkStart w:id="28" w:name="_Toc21031"/>
      <w:r>
        <w:rPr>
          <w:rFonts w:hint="eastAsia" w:ascii="仿宋" w:hAnsi="仿宋" w:eastAsia="仿宋" w:cs="仿宋"/>
          <w:color w:val="auto"/>
          <w:sz w:val="24"/>
          <w:szCs w:val="24"/>
        </w:rPr>
        <w:t>七</w:t>
      </w:r>
      <w:bookmarkEnd w:id="26"/>
      <w:bookmarkEnd w:id="27"/>
      <w:r>
        <w:rPr>
          <w:rFonts w:hint="eastAsia" w:ascii="仿宋" w:hAnsi="仿宋" w:eastAsia="仿宋" w:cs="仿宋"/>
          <w:color w:val="auto"/>
          <w:sz w:val="24"/>
          <w:szCs w:val="24"/>
        </w:rPr>
        <w:t>、联系方式</w:t>
      </w:r>
      <w:bookmarkEnd w:id="28"/>
    </w:p>
    <w:p w14:paraId="2601588A">
      <w:pPr>
        <w:snapToGrid w:val="0"/>
        <w:spacing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（一）采购人：</w:t>
      </w:r>
      <w:r>
        <w:rPr>
          <w:rFonts w:hint="eastAsia" w:ascii="仿宋" w:hAnsi="仿宋" w:eastAsia="仿宋" w:cs="仿宋"/>
          <w:color w:val="auto"/>
          <w:lang w:eastAsia="zh-CN"/>
        </w:rPr>
        <w:t>重庆市南川区马嘴实验学校</w:t>
      </w:r>
    </w:p>
    <w:p w14:paraId="3F5FA460">
      <w:pPr>
        <w:snapToGrid w:val="0"/>
        <w:spacing w:line="360" w:lineRule="auto"/>
        <w:ind w:firstLine="480" w:firstLineChars="200"/>
        <w:rPr>
          <w:rFonts w:hint="default" w:ascii="仿宋" w:hAnsi="仿宋" w:eastAsia="仿宋" w:cs="仿宋"/>
          <w:color w:val="auto"/>
          <w:lang w:val="en-US" w:eastAsia="zh-CN"/>
        </w:rPr>
      </w:pPr>
      <w:r>
        <w:rPr>
          <w:rFonts w:hint="eastAsia" w:ascii="仿宋" w:hAnsi="仿宋" w:eastAsia="仿宋" w:cs="仿宋"/>
          <w:color w:val="auto"/>
        </w:rPr>
        <w:t>联系人：王老师</w:t>
      </w:r>
    </w:p>
    <w:p w14:paraId="0928D0A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联系方式：13896588042</w:t>
      </w:r>
    </w:p>
    <w:p w14:paraId="228B0E32">
      <w:pPr>
        <w:snapToGrid w:val="0"/>
        <w:spacing w:line="360" w:lineRule="auto"/>
        <w:ind w:firstLine="480" w:firstLineChars="200"/>
        <w:rPr>
          <w:rFonts w:hint="default" w:ascii="仿宋" w:hAnsi="仿宋" w:eastAsia="仿宋" w:cs="仿宋"/>
          <w:color w:val="auto"/>
          <w:lang w:val="en-US" w:eastAsia="zh-CN"/>
        </w:rPr>
      </w:pPr>
      <w:r>
        <w:rPr>
          <w:rFonts w:hint="eastAsia" w:ascii="仿宋" w:hAnsi="仿宋" w:eastAsia="仿宋" w:cs="仿宋"/>
          <w:color w:val="auto"/>
        </w:rPr>
        <w:t>地  址：重庆市南川区三泉镇马嘴村</w:t>
      </w:r>
      <w:r>
        <w:rPr>
          <w:rFonts w:hint="eastAsia" w:ascii="仿宋" w:hAnsi="仿宋" w:eastAsia="仿宋" w:cs="仿宋"/>
          <w:color w:val="auto"/>
          <w:lang w:val="en-US" w:eastAsia="zh-CN"/>
        </w:rPr>
        <w:t>5</w:t>
      </w:r>
      <w:r>
        <w:rPr>
          <w:rFonts w:hint="eastAsia" w:ascii="仿宋" w:hAnsi="仿宋" w:eastAsia="仿宋" w:cs="仿宋"/>
          <w:color w:val="auto"/>
        </w:rPr>
        <w:t>社</w:t>
      </w:r>
      <w:r>
        <w:rPr>
          <w:rFonts w:hint="eastAsia" w:ascii="仿宋" w:hAnsi="仿宋" w:eastAsia="仿宋" w:cs="仿宋"/>
          <w:color w:val="auto"/>
          <w:lang w:val="en-US" w:eastAsia="zh-CN"/>
        </w:rPr>
        <w:t>33</w:t>
      </w:r>
      <w:r>
        <w:rPr>
          <w:rFonts w:hint="eastAsia" w:ascii="仿宋" w:hAnsi="仿宋" w:eastAsia="仿宋" w:cs="仿宋"/>
          <w:color w:val="auto"/>
        </w:rPr>
        <w:t>号</w:t>
      </w:r>
    </w:p>
    <w:p w14:paraId="29C88F89">
      <w:pPr>
        <w:snapToGrid w:val="0"/>
        <w:spacing w:line="360" w:lineRule="auto"/>
        <w:ind w:firstLine="480" w:firstLineChars="200"/>
        <w:rPr>
          <w:rFonts w:hint="eastAsia" w:ascii="仿宋" w:hAnsi="仿宋" w:eastAsia="仿宋" w:cs="仿宋"/>
          <w:color w:val="auto"/>
        </w:rPr>
      </w:pPr>
    </w:p>
    <w:p w14:paraId="54D27CAD">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（二）采购代理机构：坤博工程咨询（重庆）有限公司</w:t>
      </w:r>
    </w:p>
    <w:p w14:paraId="044A04E7">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联系人：张先生</w:t>
      </w:r>
    </w:p>
    <w:p w14:paraId="056C1CD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电  话：17323468801</w:t>
      </w:r>
    </w:p>
    <w:p w14:paraId="51BB681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地  址：</w:t>
      </w:r>
      <w:r>
        <w:rPr>
          <w:rFonts w:hint="eastAsia" w:ascii="仿宋" w:hAnsi="仿宋" w:eastAsia="仿宋" w:cs="仿宋"/>
          <w:color w:val="auto"/>
          <w:lang w:val="en-US" w:eastAsia="zh-CN"/>
        </w:rPr>
        <w:t>重庆市渝北区仙桃街道锦熙街88号1幢18-9（龙湖天际1号楼1809）</w:t>
      </w:r>
    </w:p>
    <w:bookmarkEnd w:id="14"/>
    <w:p w14:paraId="5FD10DA4">
      <w:pPr>
        <w:pStyle w:val="2"/>
        <w:rPr>
          <w:rFonts w:hint="eastAsia" w:ascii="仿宋" w:hAnsi="仿宋" w:eastAsia="仿宋" w:cs="仿宋"/>
          <w:b w:val="0"/>
          <w:bCs w:val="0"/>
          <w:color w:val="auto"/>
        </w:rPr>
        <w:sectPr>
          <w:pgSz w:w="11907" w:h="16840"/>
          <w:pgMar w:top="1440" w:right="1797" w:bottom="1440" w:left="1797" w:header="454" w:footer="567" w:gutter="0"/>
          <w:pgNumType w:fmt="numberInDash"/>
          <w:cols w:space="720" w:num="1"/>
          <w:docGrid w:type="linesAndChars" w:linePitch="381" w:charSpace="0"/>
        </w:sectPr>
      </w:pPr>
      <w:bookmarkStart w:id="29" w:name="_Toc376349875"/>
      <w:bookmarkStart w:id="30" w:name="_Toc152480141"/>
      <w:bookmarkStart w:id="31" w:name="_Toc102227313"/>
    </w:p>
    <w:bookmarkEnd w:id="8"/>
    <w:bookmarkEnd w:id="9"/>
    <w:bookmarkEnd w:id="10"/>
    <w:bookmarkEnd w:id="29"/>
    <w:bookmarkEnd w:id="30"/>
    <w:bookmarkEnd w:id="31"/>
    <w:p w14:paraId="1B9ECB71">
      <w:pPr>
        <w:pStyle w:val="3"/>
        <w:jc w:val="center"/>
        <w:rPr>
          <w:rFonts w:hint="eastAsia" w:ascii="仿宋" w:hAnsi="仿宋" w:eastAsia="仿宋" w:cs="仿宋"/>
          <w:b w:val="0"/>
          <w:bCs w:val="0"/>
          <w:color w:val="auto"/>
        </w:rPr>
      </w:pPr>
      <w:bookmarkStart w:id="32" w:name="_Toc487204778"/>
      <w:bookmarkStart w:id="33" w:name="_Toc6453"/>
      <w:bookmarkStart w:id="34" w:name="_Toc2580"/>
      <w:bookmarkStart w:id="35" w:name="_Toc128744991"/>
      <w:r>
        <w:rPr>
          <w:rStyle w:val="35"/>
          <w:rFonts w:hint="eastAsia" w:ascii="仿宋" w:hAnsi="仿宋" w:eastAsia="仿宋" w:cs="仿宋"/>
          <w:b/>
          <w:bCs/>
          <w:color w:val="auto"/>
        </w:rPr>
        <w:t>第二篇  供应商须知</w:t>
      </w:r>
      <w:bookmarkEnd w:id="32"/>
      <w:bookmarkEnd w:id="33"/>
      <w:bookmarkEnd w:id="34"/>
    </w:p>
    <w:p w14:paraId="07AA435B">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36" w:name="_Toc20643"/>
      <w:bookmarkStart w:id="37" w:name="_Toc426965630"/>
      <w:bookmarkStart w:id="38" w:name="_Toc342913389"/>
      <w:bookmarkStart w:id="39" w:name="_Toc487204779"/>
      <w:bookmarkStart w:id="40" w:name="_Toc2573"/>
      <w:r>
        <w:rPr>
          <w:rFonts w:hint="eastAsia" w:ascii="仿宋" w:hAnsi="仿宋" w:eastAsia="仿宋" w:cs="仿宋"/>
          <w:color w:val="auto"/>
          <w:sz w:val="24"/>
          <w:szCs w:val="24"/>
        </w:rPr>
        <w:t>一、比选费用</w:t>
      </w:r>
      <w:bookmarkEnd w:id="36"/>
      <w:bookmarkEnd w:id="37"/>
      <w:bookmarkEnd w:id="38"/>
      <w:bookmarkEnd w:id="39"/>
      <w:bookmarkEnd w:id="40"/>
    </w:p>
    <w:p w14:paraId="087847F2">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参与比选的供应商应承担其编制响应文件与递交响应文件所涉及的一切费用，不论比选结果如何，采购人和采购代理机构在任何情况下无义务也无责任承担这些费用。</w:t>
      </w:r>
    </w:p>
    <w:p w14:paraId="49FA7A02">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41" w:name="_Toc426965631"/>
      <w:bookmarkStart w:id="42" w:name="_Toc487204780"/>
      <w:bookmarkStart w:id="43" w:name="_Toc342913391"/>
      <w:bookmarkStart w:id="44" w:name="_Toc7850"/>
      <w:bookmarkStart w:id="45" w:name="_Toc20884"/>
      <w:r>
        <w:rPr>
          <w:rFonts w:hint="eastAsia" w:ascii="仿宋" w:hAnsi="仿宋" w:eastAsia="仿宋" w:cs="仿宋"/>
          <w:color w:val="auto"/>
          <w:sz w:val="24"/>
          <w:szCs w:val="24"/>
        </w:rPr>
        <w:t>二、</w:t>
      </w:r>
      <w:bookmarkEnd w:id="41"/>
      <w:bookmarkEnd w:id="42"/>
      <w:bookmarkEnd w:id="43"/>
      <w:r>
        <w:rPr>
          <w:rFonts w:hint="eastAsia" w:ascii="仿宋" w:hAnsi="仿宋" w:eastAsia="仿宋" w:cs="仿宋"/>
          <w:color w:val="auto"/>
          <w:sz w:val="24"/>
          <w:szCs w:val="24"/>
        </w:rPr>
        <w:t>比选通知书</w:t>
      </w:r>
      <w:bookmarkEnd w:id="44"/>
      <w:bookmarkEnd w:id="45"/>
      <w:r>
        <w:rPr>
          <w:rFonts w:hint="eastAsia" w:ascii="仿宋" w:hAnsi="仿宋" w:eastAsia="仿宋" w:cs="仿宋"/>
          <w:color w:val="auto"/>
          <w:sz w:val="24"/>
          <w:szCs w:val="24"/>
        </w:rPr>
        <w:tab/>
      </w:r>
    </w:p>
    <w:p w14:paraId="728B71B5">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（一）比选通知书由比选邀请书、供应商须知、比选项目技术需求、比选项目商务需求、响应文件格式要求五部分组成。</w:t>
      </w:r>
    </w:p>
    <w:p w14:paraId="53A5497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（二）采购人（或采购代理机构）所作的一切有效的书面通知、修改及补充，都是比选通知书不可分割的部分。</w:t>
      </w:r>
    </w:p>
    <w:p w14:paraId="7A33659D">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（三）比选通知书的解释</w:t>
      </w:r>
    </w:p>
    <w:p w14:paraId="263784D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如对比选通知书有疑问，必须以书面形式在提交响应文件截止时间1个工作日前向采购人（或采购代理机构）要求澄清，采购人（或采购代理机构）可视具体情况做出处理或答复。如供应商未提出疑问，视为完全理解并同意本比选通知书。一经进入比选程序，即视为供应商已详细阅读全部文件资料，完全理解比选通知书所有条款内容并同意放弃对这方面有不明白及误解的权利。</w:t>
      </w:r>
      <w:bookmarkStart w:id="46" w:name="_Toc318159160"/>
      <w:bookmarkStart w:id="47" w:name="_Toc318159780"/>
      <w:bookmarkStart w:id="48" w:name="_Toc318166429"/>
      <w:bookmarkStart w:id="49" w:name="_Toc318159349"/>
    </w:p>
    <w:bookmarkEnd w:id="46"/>
    <w:bookmarkEnd w:id="47"/>
    <w:bookmarkEnd w:id="48"/>
    <w:bookmarkEnd w:id="49"/>
    <w:p w14:paraId="452B52A7">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50" w:name="_Toc102227318"/>
      <w:bookmarkStart w:id="51" w:name="_Toc426965632"/>
      <w:bookmarkStart w:id="52" w:name="_Toc342913392"/>
      <w:bookmarkStart w:id="53" w:name="_Toc179714297"/>
      <w:bookmarkStart w:id="54" w:name="_Toc487204781"/>
      <w:bookmarkStart w:id="55" w:name="_Toc26774"/>
      <w:bookmarkStart w:id="56" w:name="_Toc10397"/>
      <w:r>
        <w:rPr>
          <w:rFonts w:hint="eastAsia" w:ascii="仿宋" w:hAnsi="仿宋" w:eastAsia="仿宋" w:cs="仿宋"/>
          <w:color w:val="auto"/>
          <w:sz w:val="24"/>
          <w:szCs w:val="24"/>
        </w:rPr>
        <w:t>三、比选要求</w:t>
      </w:r>
      <w:bookmarkEnd w:id="50"/>
      <w:bookmarkEnd w:id="51"/>
      <w:bookmarkEnd w:id="52"/>
      <w:bookmarkEnd w:id="53"/>
      <w:bookmarkEnd w:id="54"/>
      <w:bookmarkEnd w:id="55"/>
      <w:bookmarkEnd w:id="56"/>
    </w:p>
    <w:p w14:paraId="0310FB1D">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（一）响应文件</w:t>
      </w:r>
    </w:p>
    <w:p w14:paraId="75E8C534">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供应商应当按照比选通知书的要求编制响应文件，并对比选通知书提出的要求和条件作出实质性响应，响应文件原则上采用软面订本，同时应编制完整的页码、目录。</w:t>
      </w:r>
    </w:p>
    <w:p w14:paraId="67443141">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w:t>
      </w:r>
      <w:r>
        <w:rPr>
          <w:rFonts w:hint="eastAsia" w:ascii="仿宋" w:hAnsi="仿宋" w:eastAsia="仿宋" w:cs="仿宋"/>
          <w:color w:val="auto"/>
        </w:rPr>
        <w:t>响应文件组成</w:t>
      </w:r>
    </w:p>
    <w:p w14:paraId="31899515">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7B14E499">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联合体</w:t>
      </w:r>
    </w:p>
    <w:p w14:paraId="090FB85F">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本项目不接受联合体竞标。</w:t>
      </w:r>
    </w:p>
    <w:p w14:paraId="093481C9">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w:t>
      </w:r>
      <w:r>
        <w:rPr>
          <w:rFonts w:hint="eastAsia" w:ascii="仿宋" w:hAnsi="仿宋" w:eastAsia="仿宋" w:cs="仿宋"/>
          <w:color w:val="auto"/>
        </w:rPr>
        <w:t>比选有效期：响应文件及有关承诺文件有效期为比选开始时间起90天。</w:t>
      </w:r>
    </w:p>
    <w:p w14:paraId="7F60A5E5">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二</w:t>
      </w:r>
      <w:r>
        <w:rPr>
          <w:rFonts w:hint="eastAsia" w:ascii="仿宋" w:hAnsi="仿宋" w:eastAsia="仿宋" w:cs="仿宋"/>
          <w:color w:val="auto"/>
        </w:rPr>
        <w:t>）修正错误</w:t>
      </w:r>
    </w:p>
    <w:p w14:paraId="5E0DEE6E">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若响应文件出现计算或表达上的错误，修正错误的原则如下：</w:t>
      </w:r>
    </w:p>
    <w:p w14:paraId="0995680D">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1.响应文件中报价函的内容与响应文件中相应内容不一致的，以报价函为准；</w:t>
      </w:r>
    </w:p>
    <w:p w14:paraId="3598E61E">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2.大写金额和小写金额不一致的，以大写金额为准；</w:t>
      </w:r>
    </w:p>
    <w:p w14:paraId="0EAEF237">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3.单价金额小数点或者百分比有明显错位的，以报价函总价为准，并修改单价；</w:t>
      </w:r>
    </w:p>
    <w:p w14:paraId="18F9F653">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4.总价金额与按单价汇总金额不一致的，以单价金额计算结果为准。</w:t>
      </w:r>
    </w:p>
    <w:p w14:paraId="2648DBFF">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比选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442534A9">
      <w:pPr>
        <w:snapToGrid w:val="0"/>
        <w:spacing w:after="0" w:line="360" w:lineRule="auto"/>
        <w:ind w:firstLine="360" w:firstLineChars="15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三</w:t>
      </w:r>
      <w:r>
        <w:rPr>
          <w:rFonts w:hint="eastAsia" w:ascii="仿宋" w:hAnsi="仿宋" w:eastAsia="仿宋" w:cs="仿宋"/>
          <w:color w:val="auto"/>
        </w:rPr>
        <w:t>）提交响应文件的份数和签署和递交</w:t>
      </w:r>
    </w:p>
    <w:p w14:paraId="3D72E698">
      <w:pPr>
        <w:snapToGrid w:val="0"/>
        <w:spacing w:after="0" w:line="360" w:lineRule="auto"/>
        <w:ind w:firstLine="480" w:firstLineChars="200"/>
        <w:rPr>
          <w:rFonts w:hint="eastAsia" w:ascii="仿宋" w:hAnsi="仿宋" w:eastAsia="仿宋" w:cs="仿宋"/>
          <w:b/>
          <w:bCs/>
          <w:color w:val="auto"/>
        </w:rPr>
      </w:pPr>
      <w:r>
        <w:rPr>
          <w:rFonts w:hint="eastAsia" w:ascii="仿宋" w:hAnsi="仿宋" w:eastAsia="仿宋" w:cs="仿宋"/>
          <w:b/>
          <w:bCs/>
          <w:color w:val="auto"/>
        </w:rPr>
        <w:t>投标现场响应文件提交规则：</w:t>
      </w:r>
    </w:p>
    <w:p w14:paraId="63BA37F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w:t>
      </w:r>
      <w:r>
        <w:rPr>
          <w:rFonts w:hint="eastAsia" w:ascii="仿宋" w:hAnsi="仿宋" w:eastAsia="仿宋" w:cs="仿宋"/>
          <w:b/>
          <w:bCs/>
          <w:color w:val="auto"/>
        </w:rPr>
        <w:t>响应文件一式三份，其中正本一份，副本两份</w:t>
      </w:r>
      <w:r>
        <w:rPr>
          <w:rFonts w:hint="eastAsia" w:ascii="仿宋" w:hAnsi="仿宋" w:eastAsia="仿宋" w:cs="仿宋"/>
          <w:color w:val="auto"/>
        </w:rPr>
        <w:t>；副本可为正本的复印件，应与正本一致，如出现不一致情况以正本为准。</w:t>
      </w:r>
    </w:p>
    <w:p w14:paraId="2E165B5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在响应文件正本中，比选通知书第六篇响应文件格式中规定签字、盖章的地方必须按其规定签字、盖章。</w:t>
      </w:r>
    </w:p>
    <w:p w14:paraId="3FBBC24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w:t>
      </w:r>
      <w:r>
        <w:rPr>
          <w:rFonts w:hint="eastAsia" w:ascii="仿宋" w:hAnsi="仿宋" w:eastAsia="仿宋" w:cs="仿宋"/>
          <w:color w:val="auto"/>
        </w:rPr>
        <w:t>响应文件的密封与标记</w:t>
      </w:r>
    </w:p>
    <w:p w14:paraId="22C248D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响应文件的正本、副本均应密封送达比选地点，应在封套上注明项目名称、供应商名称。若正本、副本分别进行密封的，还应在封套上注明“正本”、“副本”字样。</w:t>
      </w:r>
    </w:p>
    <w:p w14:paraId="6373BAD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val="en-US" w:eastAsia="zh-CN"/>
        </w:rPr>
        <w:t>.</w:t>
      </w:r>
      <w:r>
        <w:rPr>
          <w:rFonts w:hint="eastAsia" w:ascii="仿宋" w:hAnsi="仿宋" w:eastAsia="仿宋" w:cs="仿宋"/>
          <w:color w:val="auto"/>
        </w:rPr>
        <w:t>如果未按上述规定进行密封的，采购人、采购代理机构将拒收其响应文件。</w:t>
      </w:r>
    </w:p>
    <w:p w14:paraId="1519BBF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val="en-US" w:eastAsia="zh-CN"/>
        </w:rPr>
        <w:t>.</w:t>
      </w:r>
      <w:r>
        <w:rPr>
          <w:rFonts w:hint="eastAsia" w:ascii="仿宋" w:hAnsi="仿宋" w:eastAsia="仿宋" w:cs="仿宋"/>
          <w:color w:val="auto"/>
        </w:rPr>
        <w:t>响应文件投递截止时间：见比选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2FD04988">
      <w:pPr>
        <w:snapToGrid w:val="0"/>
        <w:spacing w:after="0" w:line="360" w:lineRule="auto"/>
        <w:ind w:firstLine="480" w:firstLineChars="200"/>
        <w:rPr>
          <w:rFonts w:hint="eastAsia" w:ascii="仿宋" w:hAnsi="仿宋" w:eastAsia="仿宋" w:cs="仿宋"/>
          <w:b/>
          <w:bCs/>
          <w:color w:val="auto"/>
          <w:u w:val="single"/>
        </w:rPr>
      </w:pPr>
      <w:r>
        <w:rPr>
          <w:rFonts w:hint="eastAsia" w:ascii="仿宋" w:hAnsi="仿宋" w:eastAsia="仿宋" w:cs="仿宋"/>
          <w:b/>
          <w:bCs/>
          <w:color w:val="auto"/>
          <w:u w:val="single"/>
        </w:rPr>
        <w:t>行采家平台响应文件提交规则：</w:t>
      </w:r>
    </w:p>
    <w:p w14:paraId="3CFEF465">
      <w:pPr>
        <w:snapToGrid w:val="0"/>
        <w:spacing w:after="0" w:line="360" w:lineRule="auto"/>
        <w:ind w:firstLine="480" w:firstLineChars="200"/>
        <w:rPr>
          <w:rFonts w:hint="eastAsia" w:ascii="仿宋" w:hAnsi="仿宋" w:eastAsia="仿宋" w:cs="仿宋"/>
          <w:b/>
          <w:bCs/>
          <w:color w:val="auto"/>
          <w:highlight w:val="yellow"/>
          <w:u w:val="single"/>
        </w:rPr>
      </w:pPr>
      <w:r>
        <w:rPr>
          <w:rFonts w:hint="eastAsia" w:ascii="仿宋" w:hAnsi="仿宋" w:eastAsia="仿宋" w:cs="仿宋"/>
          <w:b/>
          <w:bCs/>
          <w:color w:val="auto"/>
          <w:u w:val="single"/>
        </w:rPr>
        <w:t>供应商需在规定的时间内在行采家平台上传签字盖章后的投标文件电子文档PDF格式一份（如投标文件电子档内容与纸质投标文件不一致时，则以线下文件为准）。</w:t>
      </w:r>
    </w:p>
    <w:p w14:paraId="5741075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四</w:t>
      </w:r>
      <w:r>
        <w:rPr>
          <w:rFonts w:hint="eastAsia" w:ascii="仿宋" w:hAnsi="仿宋" w:eastAsia="仿宋" w:cs="仿宋"/>
          <w:color w:val="auto"/>
        </w:rPr>
        <w:t>）响应文件语言：简体中文</w:t>
      </w:r>
    </w:p>
    <w:p w14:paraId="29D28F6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五</w:t>
      </w:r>
      <w:r>
        <w:rPr>
          <w:rFonts w:hint="eastAsia" w:ascii="仿宋" w:hAnsi="仿宋" w:eastAsia="仿宋" w:cs="仿宋"/>
          <w:color w:val="auto"/>
        </w:rPr>
        <w:t>）供应商参与人员</w:t>
      </w:r>
    </w:p>
    <w:p w14:paraId="64F8BEC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各个供应商可派1-2名代表参与比选，至少1人应为法定代表人或具有法定代表人授权委托书的授权代表。</w:t>
      </w:r>
    </w:p>
    <w:p w14:paraId="066AE6C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六</w:t>
      </w:r>
      <w:r>
        <w:rPr>
          <w:rFonts w:hint="eastAsia" w:ascii="仿宋" w:hAnsi="仿宋" w:eastAsia="仿宋" w:cs="仿宋"/>
          <w:color w:val="auto"/>
        </w:rPr>
        <w:t>）无效响应</w:t>
      </w:r>
    </w:p>
    <w:p w14:paraId="3FB9009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供应商发生以下条款情况之一者，视为无效响应，其响应文件将被拒绝：</w:t>
      </w:r>
    </w:p>
    <w:p w14:paraId="64334B0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w:t>
      </w:r>
      <w:r>
        <w:rPr>
          <w:rFonts w:hint="eastAsia" w:ascii="仿宋" w:hAnsi="仿宋" w:eastAsia="仿宋" w:cs="仿宋"/>
          <w:color w:val="auto"/>
        </w:rPr>
        <w:t>供应商不符合资格要求的；</w:t>
      </w:r>
    </w:p>
    <w:p w14:paraId="61554A3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供应商未按照比选通知书的要求缴纳保证金的；</w:t>
      </w:r>
    </w:p>
    <w:p w14:paraId="6FC3F9C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w:t>
      </w:r>
      <w:r>
        <w:rPr>
          <w:rFonts w:hint="eastAsia" w:ascii="仿宋" w:hAnsi="仿宋" w:eastAsia="仿宋" w:cs="仿宋"/>
          <w:color w:val="auto"/>
        </w:rPr>
        <w:t>供应商所提交的响应文件不按规定签字、盖章的；</w:t>
      </w:r>
    </w:p>
    <w:p w14:paraId="1B8DEF9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val="en-US" w:eastAsia="zh-CN"/>
        </w:rPr>
        <w:t>.</w:t>
      </w:r>
      <w:r>
        <w:rPr>
          <w:rFonts w:hint="eastAsia" w:ascii="仿宋" w:hAnsi="仿宋" w:eastAsia="仿宋" w:cs="仿宋"/>
          <w:color w:val="auto"/>
        </w:rPr>
        <w:t>供应商的报价超过采购预算（若有采购预算单价，则含采购预算单价）的；</w:t>
      </w:r>
    </w:p>
    <w:p w14:paraId="2666170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val="en-US" w:eastAsia="zh-CN"/>
        </w:rPr>
        <w:t>.</w:t>
      </w:r>
      <w:r>
        <w:rPr>
          <w:rFonts w:hint="eastAsia" w:ascii="仿宋" w:hAnsi="仿宋" w:eastAsia="仿宋" w:cs="仿宋"/>
          <w:color w:val="auto"/>
        </w:rPr>
        <w:t>供应商响应文件附有采购人无法接受的条件的；</w:t>
      </w:r>
    </w:p>
    <w:p w14:paraId="2B3A550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val="en-US" w:eastAsia="zh-CN"/>
        </w:rPr>
        <w:t>.</w:t>
      </w:r>
      <w:r>
        <w:rPr>
          <w:rFonts w:hint="eastAsia" w:ascii="仿宋" w:hAnsi="仿宋" w:eastAsia="仿宋" w:cs="仿宋"/>
          <w:color w:val="auto"/>
        </w:rPr>
        <w:t>供应商串通投标的；</w:t>
      </w:r>
    </w:p>
    <w:p w14:paraId="693D028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7</w:t>
      </w:r>
      <w:r>
        <w:rPr>
          <w:rFonts w:hint="eastAsia" w:ascii="仿宋" w:hAnsi="仿宋" w:eastAsia="仿宋" w:cs="仿宋"/>
          <w:color w:val="auto"/>
          <w:lang w:val="en-US" w:eastAsia="zh-CN"/>
        </w:rPr>
        <w:t>.</w:t>
      </w:r>
      <w:r>
        <w:rPr>
          <w:rFonts w:hint="eastAsia" w:ascii="仿宋" w:hAnsi="仿宋" w:eastAsia="仿宋" w:cs="仿宋"/>
          <w:color w:val="auto"/>
        </w:rPr>
        <w:t>供应商组成联合体投标的；</w:t>
      </w:r>
    </w:p>
    <w:p w14:paraId="6669962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u w:val="single"/>
        </w:rPr>
        <w:t>8</w:t>
      </w:r>
      <w:r>
        <w:rPr>
          <w:rFonts w:hint="eastAsia" w:ascii="仿宋" w:hAnsi="仿宋" w:eastAsia="仿宋" w:cs="仿宋"/>
          <w:color w:val="auto"/>
          <w:u w:val="single"/>
          <w:lang w:val="en-US" w:eastAsia="zh-CN"/>
        </w:rPr>
        <w:t>.</w:t>
      </w:r>
      <w:r>
        <w:rPr>
          <w:rFonts w:hint="eastAsia" w:ascii="仿宋" w:hAnsi="仿宋" w:eastAsia="仿宋" w:cs="仿宋"/>
          <w:color w:val="auto"/>
          <w:u w:val="single"/>
        </w:rPr>
        <w:t>供应商网上报价和线下报价不一致的；</w:t>
      </w:r>
    </w:p>
    <w:p w14:paraId="333F7FF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9</w:t>
      </w:r>
      <w:r>
        <w:rPr>
          <w:rFonts w:hint="eastAsia" w:ascii="仿宋" w:hAnsi="仿宋" w:eastAsia="仿宋" w:cs="仿宋"/>
          <w:color w:val="auto"/>
          <w:lang w:val="en-US" w:eastAsia="zh-CN"/>
        </w:rPr>
        <w:t>.</w:t>
      </w:r>
      <w:r>
        <w:rPr>
          <w:rFonts w:hint="eastAsia" w:ascii="仿宋" w:hAnsi="仿宋" w:eastAsia="仿宋" w:cs="仿宋"/>
          <w:color w:val="auto"/>
        </w:rPr>
        <w:t>法律、法规和比选通知书规定的其他无效情形。</w:t>
      </w:r>
    </w:p>
    <w:p w14:paraId="2414F7F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七</w:t>
      </w:r>
      <w:r>
        <w:rPr>
          <w:rFonts w:hint="eastAsia" w:ascii="仿宋" w:hAnsi="仿宋" w:eastAsia="仿宋" w:cs="仿宋"/>
          <w:color w:val="auto"/>
        </w:rPr>
        <w:t>）废标条款</w:t>
      </w:r>
    </w:p>
    <w:p w14:paraId="23DD679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出现下列情形之一的，采购人或者采购代理机构应当终止比选采购活动，发布项目终止公告并说明原因，重新开展采购活动：</w:t>
      </w:r>
    </w:p>
    <w:p w14:paraId="322F28E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w:t>
      </w:r>
      <w:r>
        <w:rPr>
          <w:rFonts w:hint="eastAsia" w:ascii="仿宋" w:hAnsi="仿宋" w:eastAsia="仿宋" w:cs="仿宋"/>
          <w:color w:val="auto"/>
        </w:rPr>
        <w:t>因情况变化，不再符合规定的比选采购方式适用情形的；</w:t>
      </w:r>
    </w:p>
    <w:p w14:paraId="18BF7B3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出现影响采购公正的违法、违规行为的；</w:t>
      </w:r>
    </w:p>
    <w:p w14:paraId="7A5412A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w:t>
      </w:r>
      <w:r>
        <w:rPr>
          <w:rFonts w:hint="eastAsia" w:ascii="仿宋" w:hAnsi="仿宋" w:eastAsia="仿宋" w:cs="仿宋"/>
          <w:color w:val="auto"/>
        </w:rPr>
        <w:t>在采购过程中符合竞争要求的供应商或者报价未超过采购预算的供应商不足3家的。</w:t>
      </w:r>
    </w:p>
    <w:p w14:paraId="74C75C02">
      <w:pPr>
        <w:snapToGrid w:val="0"/>
        <w:spacing w:after="0" w:line="360" w:lineRule="auto"/>
        <w:ind w:firstLine="480" w:firstLineChars="200"/>
        <w:rPr>
          <w:rFonts w:hint="eastAsia" w:ascii="仿宋" w:hAnsi="仿宋" w:eastAsia="仿宋" w:cs="仿宋"/>
          <w:color w:val="auto"/>
        </w:rPr>
      </w:pPr>
      <w:bookmarkStart w:id="57" w:name="_Toc179714298"/>
      <w:bookmarkStart w:id="58" w:name="_Toc487204782"/>
      <w:bookmarkStart w:id="59" w:name="_Toc342913393"/>
      <w:bookmarkStart w:id="60" w:name="_Toc102227319"/>
      <w:bookmarkStart w:id="61" w:name="_Toc426965633"/>
      <w:bookmarkStart w:id="62" w:name="_Toc31741"/>
      <w:r>
        <w:rPr>
          <w:rFonts w:hint="eastAsia" w:ascii="仿宋" w:hAnsi="仿宋" w:eastAsia="仿宋" w:cs="仿宋"/>
          <w:color w:val="auto"/>
        </w:rPr>
        <w:t>（</w:t>
      </w:r>
      <w:r>
        <w:rPr>
          <w:rFonts w:hint="eastAsia" w:ascii="仿宋" w:hAnsi="仿宋" w:eastAsia="仿宋" w:cs="仿宋"/>
          <w:color w:val="auto"/>
          <w:lang w:val="en-US" w:eastAsia="zh-CN"/>
        </w:rPr>
        <w:t>八</w:t>
      </w:r>
      <w:r>
        <w:rPr>
          <w:rFonts w:hint="eastAsia" w:ascii="仿宋" w:hAnsi="仿宋" w:eastAsia="仿宋" w:cs="仿宋"/>
          <w:color w:val="auto"/>
        </w:rPr>
        <w:t>）采购代理服务费</w:t>
      </w:r>
    </w:p>
    <w:p w14:paraId="29E84C9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highlight w:val="none"/>
        </w:rPr>
        <w:t>1．</w:t>
      </w:r>
      <w:r>
        <w:rPr>
          <w:rFonts w:ascii="仿宋" w:hAnsi="仿宋" w:eastAsia="仿宋" w:cs="仿宋_GB2312"/>
          <w:color w:val="auto"/>
        </w:rPr>
        <w:t>成交供应商需向采购代理机构缴纳采购代理服务费，</w:t>
      </w:r>
      <w:r>
        <w:rPr>
          <w:rFonts w:hint="eastAsia" w:ascii="仿宋" w:hAnsi="仿宋" w:eastAsia="仿宋" w:cs="仿宋_GB2312"/>
          <w:color w:val="auto"/>
          <w:highlight w:val="none"/>
          <w:lang w:val="en-US" w:eastAsia="zh-CN"/>
        </w:rPr>
        <w:t>代理服务费为3000.00元（大写：叁仟元整）</w:t>
      </w:r>
    </w:p>
    <w:p w14:paraId="36F7514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2．代理服务费以转帐或者现金形式支付。</w:t>
      </w:r>
    </w:p>
    <w:p w14:paraId="4758258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3．费用缴纳账号：</w:t>
      </w:r>
    </w:p>
    <w:p w14:paraId="137AC05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户  名：坤博工程咨询（重庆）有限公司</w:t>
      </w:r>
    </w:p>
    <w:p w14:paraId="660E88E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开户行：中国工商银行股份有限公司重庆石桥铺支行</w:t>
      </w:r>
    </w:p>
    <w:p w14:paraId="3203982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账  号：3100024409200129605</w:t>
      </w:r>
    </w:p>
    <w:p w14:paraId="319AF24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九</w:t>
      </w:r>
      <w:r>
        <w:rPr>
          <w:rFonts w:hint="eastAsia" w:ascii="仿宋" w:hAnsi="仿宋" w:eastAsia="仿宋" w:cs="仿宋"/>
          <w:color w:val="auto"/>
        </w:rPr>
        <w:t>）技术服务费</w:t>
      </w:r>
    </w:p>
    <w:p w14:paraId="76ABECBF">
      <w:pPr>
        <w:snapToGrid w:val="0"/>
        <w:spacing w:after="0"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该费用由行采家平台（www.gec123.com）收取，成交供应商需向行采家平台缴纳技术服务费。行采家平台的收费规则如下：总价类项目：100万以内按预算金额的0.3%。具体收费标准、收费方式等，请咨询网站服务支持电话023-88158017(工作日)、18183107831(节假日)。</w:t>
      </w:r>
    </w:p>
    <w:p w14:paraId="19AF04B4">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63" w:name="_Toc20180"/>
      <w:r>
        <w:rPr>
          <w:rFonts w:hint="eastAsia" w:ascii="仿宋" w:hAnsi="仿宋" w:eastAsia="仿宋" w:cs="仿宋"/>
          <w:color w:val="auto"/>
          <w:sz w:val="24"/>
          <w:szCs w:val="24"/>
        </w:rPr>
        <w:t>四、</w:t>
      </w:r>
      <w:bookmarkEnd w:id="57"/>
      <w:bookmarkEnd w:id="58"/>
      <w:bookmarkEnd w:id="59"/>
      <w:bookmarkEnd w:id="60"/>
      <w:bookmarkEnd w:id="61"/>
      <w:r>
        <w:rPr>
          <w:rFonts w:hint="eastAsia" w:ascii="仿宋" w:hAnsi="仿宋" w:eastAsia="仿宋" w:cs="仿宋"/>
          <w:color w:val="auto"/>
          <w:sz w:val="24"/>
          <w:szCs w:val="24"/>
        </w:rPr>
        <w:t>比选程序及成交标准</w:t>
      </w:r>
      <w:bookmarkEnd w:id="62"/>
      <w:bookmarkEnd w:id="63"/>
    </w:p>
    <w:p w14:paraId="052642B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（一）本项目比选按照比选通知书规定的时间和地点进行。供应商须有法定代表人或其授权代表参加并签到。</w:t>
      </w:r>
    </w:p>
    <w:p w14:paraId="4A7E597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（二）资格性符合性检查</w:t>
      </w:r>
    </w:p>
    <w:p w14:paraId="23799B1B">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1.资格性检查。依据法律法规和比选通知书的规定，对响应文件中的资格证明、保证金等进行审查，以确定供应商是否具备比选资格。资格性检查资料表如下：</w:t>
      </w:r>
    </w:p>
    <w:tbl>
      <w:tblPr>
        <w:tblStyle w:val="26"/>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434B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5254CB13">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3800" w:type="dxa"/>
            <w:gridSpan w:val="2"/>
            <w:vAlign w:val="center"/>
          </w:tcPr>
          <w:p w14:paraId="4C70435E">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检查因素</w:t>
            </w:r>
          </w:p>
        </w:tc>
        <w:tc>
          <w:tcPr>
            <w:tcW w:w="5812" w:type="dxa"/>
            <w:vAlign w:val="center"/>
          </w:tcPr>
          <w:p w14:paraId="5FA8E4EA">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检查内容</w:t>
            </w:r>
          </w:p>
        </w:tc>
      </w:tr>
      <w:tr w14:paraId="1FF9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6A2D274F">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965" w:type="dxa"/>
            <w:vMerge w:val="restart"/>
            <w:vAlign w:val="center"/>
          </w:tcPr>
          <w:p w14:paraId="4D7049B8">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供应商</w:t>
            </w:r>
            <w:r>
              <w:rPr>
                <w:rFonts w:hint="eastAsia" w:ascii="仿宋" w:hAnsi="仿宋" w:eastAsia="仿宋" w:cs="仿宋"/>
                <w:color w:val="auto"/>
                <w:sz w:val="21"/>
                <w:szCs w:val="21"/>
                <w:lang w:val="zh-CN"/>
              </w:rPr>
              <w:t>应符合的基本资格条件</w:t>
            </w:r>
          </w:p>
        </w:tc>
        <w:tc>
          <w:tcPr>
            <w:tcW w:w="2835" w:type="dxa"/>
            <w:vAlign w:val="center"/>
          </w:tcPr>
          <w:p w14:paraId="008A7E1B">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5812" w:type="dxa"/>
            <w:vAlign w:val="center"/>
          </w:tcPr>
          <w:p w14:paraId="199CDD60">
            <w:pPr>
              <w:rPr>
                <w:rFonts w:ascii="仿宋" w:hAnsi="仿宋" w:eastAsia="仿宋"/>
                <w:color w:val="auto"/>
                <w:sz w:val="21"/>
                <w:szCs w:val="21"/>
              </w:rPr>
            </w:pPr>
            <w:r>
              <w:rPr>
                <w:rFonts w:hint="eastAsia" w:ascii="仿宋" w:hAnsi="仿宋" w:eastAsia="仿宋"/>
                <w:color w:val="auto"/>
                <w:sz w:val="21"/>
                <w:szCs w:val="21"/>
              </w:rPr>
              <w:t>1.供应商</w:t>
            </w:r>
            <w:r>
              <w:rPr>
                <w:rFonts w:ascii="仿宋" w:hAnsi="仿宋" w:eastAsia="仿宋"/>
                <w:color w:val="auto"/>
                <w:sz w:val="21"/>
                <w:szCs w:val="21"/>
              </w:rPr>
              <w:t>法人营业执照（副本）或事业单位法人证书（副本）或个体工商户营业执照或有效的自然人身份证明或社会团体法人登记证书复印件</w:t>
            </w:r>
            <w:r>
              <w:rPr>
                <w:rFonts w:hint="eastAsia" w:ascii="仿宋" w:hAnsi="仿宋" w:eastAsia="仿宋"/>
                <w:color w:val="auto"/>
                <w:sz w:val="21"/>
                <w:szCs w:val="21"/>
              </w:rPr>
              <w:t>；</w:t>
            </w:r>
          </w:p>
          <w:p w14:paraId="72553F5D">
            <w:pPr>
              <w:rPr>
                <w:rFonts w:hint="eastAsia" w:ascii="仿宋" w:hAnsi="仿宋" w:eastAsia="仿宋" w:cs="仿宋"/>
                <w:color w:val="auto"/>
                <w:sz w:val="21"/>
                <w:szCs w:val="21"/>
              </w:rPr>
            </w:pPr>
            <w:r>
              <w:rPr>
                <w:rFonts w:hint="eastAsia" w:ascii="仿宋" w:hAnsi="仿宋" w:eastAsia="仿宋"/>
                <w:color w:val="auto"/>
                <w:sz w:val="21"/>
                <w:szCs w:val="21"/>
              </w:rPr>
              <w:t>2.供应商法定代表人身份证明和法定代表人授权代表委托书。</w:t>
            </w:r>
          </w:p>
        </w:tc>
      </w:tr>
      <w:tr w14:paraId="5B57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509F8749">
            <w:pPr>
              <w:keepNext/>
              <w:keepLines/>
              <w:spacing w:before="260" w:after="26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762D398E">
            <w:pPr>
              <w:keepNext/>
              <w:keepLines/>
              <w:spacing w:before="260" w:after="260" w:line="380" w:lineRule="exact"/>
              <w:outlineLvl w:val="2"/>
              <w:rPr>
                <w:rFonts w:hint="eastAsia" w:ascii="仿宋" w:hAnsi="仿宋" w:eastAsia="仿宋" w:cs="仿宋"/>
                <w:color w:val="auto"/>
                <w:sz w:val="21"/>
                <w:szCs w:val="21"/>
                <w:lang w:val="zh-CN"/>
              </w:rPr>
            </w:pPr>
          </w:p>
        </w:tc>
        <w:tc>
          <w:tcPr>
            <w:tcW w:w="2835" w:type="dxa"/>
            <w:vAlign w:val="center"/>
          </w:tcPr>
          <w:p w14:paraId="43E7F860">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（2）</w:t>
            </w:r>
            <w:r>
              <w:rPr>
                <w:rFonts w:hint="eastAsia" w:ascii="仿宋" w:hAnsi="仿宋" w:eastAsia="仿宋" w:cs="仿宋"/>
                <w:color w:val="auto"/>
                <w:sz w:val="21"/>
                <w:szCs w:val="21"/>
              </w:rPr>
              <w:t>具有良好的商业信誉和健全的财务会计制度</w:t>
            </w:r>
          </w:p>
        </w:tc>
        <w:tc>
          <w:tcPr>
            <w:tcW w:w="5812" w:type="dxa"/>
            <w:vMerge w:val="restart"/>
            <w:vAlign w:val="center"/>
          </w:tcPr>
          <w:p w14:paraId="309E4C43">
            <w:pPr>
              <w:rPr>
                <w:rFonts w:hint="eastAsia" w:ascii="仿宋" w:hAnsi="仿宋" w:eastAsia="仿宋" w:cs="仿宋"/>
                <w:color w:val="auto"/>
                <w:sz w:val="21"/>
                <w:szCs w:val="21"/>
              </w:rPr>
            </w:pPr>
            <w:r>
              <w:rPr>
                <w:rFonts w:hint="eastAsia" w:ascii="仿宋" w:hAnsi="仿宋" w:eastAsia="仿宋" w:cs="仿宋"/>
                <w:color w:val="auto"/>
                <w:sz w:val="21"/>
                <w:szCs w:val="21"/>
              </w:rPr>
              <w:t>供应商提供基本资格条件承诺函（见格式文件）</w:t>
            </w:r>
          </w:p>
        </w:tc>
      </w:tr>
      <w:tr w14:paraId="3AAB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0B0FB02">
            <w:pPr>
              <w:keepNext/>
              <w:keepLines/>
              <w:spacing w:before="260" w:after="26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6F1DF7E8">
            <w:pPr>
              <w:keepNext/>
              <w:keepLines/>
              <w:spacing w:before="260" w:after="260" w:line="380" w:lineRule="exact"/>
              <w:outlineLvl w:val="2"/>
              <w:rPr>
                <w:rFonts w:hint="eastAsia" w:ascii="仿宋" w:hAnsi="仿宋" w:eastAsia="仿宋" w:cs="仿宋"/>
                <w:color w:val="auto"/>
                <w:sz w:val="21"/>
                <w:szCs w:val="21"/>
                <w:lang w:val="zh-CN"/>
              </w:rPr>
            </w:pPr>
          </w:p>
        </w:tc>
        <w:tc>
          <w:tcPr>
            <w:tcW w:w="2835" w:type="dxa"/>
            <w:vAlign w:val="center"/>
          </w:tcPr>
          <w:p w14:paraId="3DFD7365">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（3）具有履行合同所必需的设备和专业技术能力</w:t>
            </w:r>
          </w:p>
        </w:tc>
        <w:tc>
          <w:tcPr>
            <w:tcW w:w="5812" w:type="dxa"/>
            <w:vMerge w:val="continue"/>
            <w:vAlign w:val="center"/>
          </w:tcPr>
          <w:p w14:paraId="2FC5B257">
            <w:pPr>
              <w:spacing w:line="380" w:lineRule="exact"/>
              <w:rPr>
                <w:rFonts w:hint="eastAsia" w:ascii="仿宋" w:hAnsi="仿宋" w:eastAsia="仿宋" w:cs="仿宋"/>
                <w:color w:val="auto"/>
                <w:sz w:val="21"/>
                <w:szCs w:val="21"/>
              </w:rPr>
            </w:pPr>
          </w:p>
        </w:tc>
      </w:tr>
      <w:tr w14:paraId="1EC7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FE9CEFF">
            <w:pPr>
              <w:keepNext/>
              <w:keepLines/>
              <w:spacing w:before="260" w:after="26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379812EF">
            <w:pPr>
              <w:keepNext/>
              <w:keepLines/>
              <w:spacing w:before="260" w:after="260" w:line="380" w:lineRule="exact"/>
              <w:outlineLvl w:val="2"/>
              <w:rPr>
                <w:rFonts w:hint="eastAsia" w:ascii="仿宋" w:hAnsi="仿宋" w:eastAsia="仿宋" w:cs="仿宋"/>
                <w:color w:val="auto"/>
                <w:sz w:val="21"/>
                <w:szCs w:val="21"/>
                <w:lang w:val="zh-CN"/>
              </w:rPr>
            </w:pPr>
          </w:p>
        </w:tc>
        <w:tc>
          <w:tcPr>
            <w:tcW w:w="2835" w:type="dxa"/>
            <w:vAlign w:val="center"/>
          </w:tcPr>
          <w:p w14:paraId="7597A977">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（4）有依法缴纳税收和社会保障金的良好记录</w:t>
            </w:r>
          </w:p>
        </w:tc>
        <w:tc>
          <w:tcPr>
            <w:tcW w:w="5812" w:type="dxa"/>
            <w:vMerge w:val="continue"/>
            <w:vAlign w:val="center"/>
          </w:tcPr>
          <w:p w14:paraId="5D91A5A9">
            <w:pPr>
              <w:rPr>
                <w:rFonts w:hint="eastAsia" w:ascii="仿宋" w:hAnsi="仿宋" w:eastAsia="仿宋" w:cs="仿宋"/>
                <w:color w:val="auto"/>
                <w:sz w:val="21"/>
                <w:szCs w:val="21"/>
              </w:rPr>
            </w:pPr>
          </w:p>
        </w:tc>
      </w:tr>
      <w:tr w14:paraId="6C93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71DD4F4F">
            <w:pPr>
              <w:spacing w:line="380" w:lineRule="exact"/>
              <w:jc w:val="center"/>
              <w:rPr>
                <w:rFonts w:hint="eastAsia" w:ascii="仿宋" w:hAnsi="仿宋" w:eastAsia="仿宋" w:cs="仿宋"/>
                <w:color w:val="auto"/>
                <w:sz w:val="21"/>
                <w:szCs w:val="21"/>
              </w:rPr>
            </w:pPr>
          </w:p>
        </w:tc>
        <w:tc>
          <w:tcPr>
            <w:tcW w:w="965" w:type="dxa"/>
            <w:vMerge w:val="continue"/>
            <w:vAlign w:val="center"/>
          </w:tcPr>
          <w:p w14:paraId="39895170">
            <w:pPr>
              <w:spacing w:line="380" w:lineRule="exact"/>
              <w:rPr>
                <w:rFonts w:hint="eastAsia" w:ascii="仿宋" w:hAnsi="仿宋" w:eastAsia="仿宋" w:cs="仿宋"/>
                <w:color w:val="auto"/>
                <w:sz w:val="21"/>
                <w:szCs w:val="21"/>
                <w:lang w:val="zh-CN"/>
              </w:rPr>
            </w:pPr>
          </w:p>
        </w:tc>
        <w:tc>
          <w:tcPr>
            <w:tcW w:w="2835" w:type="dxa"/>
            <w:vAlign w:val="center"/>
          </w:tcPr>
          <w:p w14:paraId="75B4A842">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（5）参加政府采购活动前三年内，在经营活动中没有重大违法记录（注②）</w:t>
            </w:r>
          </w:p>
        </w:tc>
        <w:tc>
          <w:tcPr>
            <w:tcW w:w="5812" w:type="dxa"/>
            <w:vMerge w:val="continue"/>
            <w:vAlign w:val="center"/>
          </w:tcPr>
          <w:p w14:paraId="29B11230">
            <w:pPr>
              <w:spacing w:line="380" w:lineRule="exact"/>
              <w:rPr>
                <w:rFonts w:hint="eastAsia" w:ascii="仿宋" w:hAnsi="仿宋" w:eastAsia="仿宋" w:cs="仿宋"/>
                <w:color w:val="auto"/>
                <w:sz w:val="21"/>
                <w:szCs w:val="21"/>
              </w:rPr>
            </w:pPr>
          </w:p>
        </w:tc>
      </w:tr>
      <w:tr w14:paraId="6B9E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5EDC7B06">
            <w:pPr>
              <w:keepNext/>
              <w:keepLines/>
              <w:spacing w:before="260" w:after="26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0D213A9D">
            <w:pPr>
              <w:keepNext/>
              <w:keepLines/>
              <w:spacing w:before="260" w:after="260" w:line="380" w:lineRule="exact"/>
              <w:outlineLvl w:val="2"/>
              <w:rPr>
                <w:rFonts w:hint="eastAsia" w:ascii="仿宋" w:hAnsi="仿宋" w:eastAsia="仿宋" w:cs="仿宋"/>
                <w:color w:val="auto"/>
                <w:sz w:val="21"/>
                <w:szCs w:val="21"/>
                <w:lang w:val="zh-CN"/>
              </w:rPr>
            </w:pPr>
          </w:p>
        </w:tc>
        <w:tc>
          <w:tcPr>
            <w:tcW w:w="2835" w:type="dxa"/>
            <w:vAlign w:val="center"/>
          </w:tcPr>
          <w:p w14:paraId="4EB73A0C">
            <w:pPr>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5812" w:type="dxa"/>
            <w:vAlign w:val="center"/>
          </w:tcPr>
          <w:p w14:paraId="4ACD33E1">
            <w:pPr>
              <w:keepNext/>
              <w:keepLines/>
              <w:spacing w:before="260" w:after="260"/>
              <w:outlineLvl w:val="2"/>
              <w:rPr>
                <w:rFonts w:hint="eastAsia" w:ascii="仿宋" w:hAnsi="仿宋" w:eastAsia="仿宋" w:cs="仿宋"/>
                <w:color w:val="auto"/>
                <w:sz w:val="21"/>
                <w:szCs w:val="21"/>
              </w:rPr>
            </w:pPr>
          </w:p>
        </w:tc>
      </w:tr>
      <w:tr w14:paraId="2208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30B8440A">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3800" w:type="dxa"/>
            <w:gridSpan w:val="2"/>
            <w:vAlign w:val="center"/>
          </w:tcPr>
          <w:p w14:paraId="3D965E45">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特定资格条件</w:t>
            </w:r>
          </w:p>
        </w:tc>
        <w:tc>
          <w:tcPr>
            <w:tcW w:w="5812" w:type="dxa"/>
            <w:vAlign w:val="center"/>
          </w:tcPr>
          <w:p w14:paraId="4FD76974">
            <w:pPr>
              <w:rPr>
                <w:rFonts w:hint="eastAsia" w:ascii="仿宋" w:hAnsi="仿宋" w:eastAsia="仿宋" w:cs="仿宋"/>
                <w:color w:val="auto"/>
                <w:sz w:val="21"/>
                <w:szCs w:val="21"/>
              </w:rPr>
            </w:pPr>
            <w:bookmarkStart w:id="64" w:name="_Toc11965"/>
            <w:bookmarkStart w:id="65" w:name="_Toc13413"/>
            <w:r>
              <w:rPr>
                <w:rFonts w:hint="eastAsia" w:ascii="仿宋" w:hAnsi="仿宋" w:eastAsia="仿宋" w:cs="仿宋"/>
                <w:color w:val="auto"/>
                <w:sz w:val="22"/>
                <w:szCs w:val="22"/>
              </w:rPr>
              <w:t>按第一篇“比选邀请书（三）特定资格条件”的要求提交证明文件复印件并加盖供应商公章。</w:t>
            </w:r>
            <w:bookmarkEnd w:id="64"/>
            <w:bookmarkEnd w:id="65"/>
          </w:p>
        </w:tc>
      </w:tr>
      <w:tr w14:paraId="6118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2435E0E3">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3800" w:type="dxa"/>
            <w:gridSpan w:val="2"/>
            <w:vAlign w:val="center"/>
          </w:tcPr>
          <w:p w14:paraId="27B0729F">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比选保证金</w:t>
            </w:r>
          </w:p>
        </w:tc>
        <w:tc>
          <w:tcPr>
            <w:tcW w:w="5812" w:type="dxa"/>
            <w:vAlign w:val="center"/>
          </w:tcPr>
          <w:p w14:paraId="54E21EDB">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保证金到账截止时间前提交足额缴纳保证金，且满足比选通知书第一篇五、竞标保证金中的相关规定。</w:t>
            </w:r>
          </w:p>
        </w:tc>
      </w:tr>
    </w:tbl>
    <w:p w14:paraId="52490C15">
      <w:pPr>
        <w:snapToGrid w:val="0"/>
        <w:spacing w:line="380" w:lineRule="exact"/>
        <w:rPr>
          <w:rFonts w:hint="eastAsia" w:ascii="仿宋" w:hAnsi="仿宋" w:eastAsia="仿宋" w:cs="仿宋"/>
          <w:color w:val="auto"/>
        </w:rPr>
      </w:pPr>
      <w:r>
        <w:rPr>
          <w:rFonts w:hint="eastAsia" w:ascii="仿宋" w:hAnsi="仿宋" w:eastAsia="仿宋" w:cs="仿宋"/>
          <w:color w:val="auto"/>
        </w:rPr>
        <w:t>注：</w:t>
      </w:r>
    </w:p>
    <w:p w14:paraId="09A61EE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sym w:font="Wingdings" w:char="F081"/>
      </w:r>
      <w:r>
        <w:rPr>
          <w:rFonts w:hint="eastAsia" w:ascii="仿宋" w:hAnsi="仿宋" w:eastAsia="仿宋" w:cs="仿宋"/>
          <w:color w:val="auto"/>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投标文件递交时间前通过 “信用中国”网站(www.creditchina.gov.cn)、"中国政府采购网"(www.ccgp.gov.cn)等渠道查询信用记录。</w:t>
      </w:r>
    </w:p>
    <w:p w14:paraId="4162494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符合性检查。依据比选通知书的规定，从响应文件的有效性、完整性和对比选通知书的响应程度进行审查，以确定是否对比选通知书的实质性要求作出响应。符合性检查资料表如下：</w:t>
      </w:r>
    </w:p>
    <w:tbl>
      <w:tblPr>
        <w:tblStyle w:val="26"/>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450"/>
        <w:gridCol w:w="1900"/>
        <w:gridCol w:w="6025"/>
      </w:tblGrid>
      <w:tr w14:paraId="4279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484" w:type="dxa"/>
            <w:tcBorders>
              <w:top w:val="single" w:color="auto" w:sz="4" w:space="0"/>
              <w:left w:val="single" w:color="auto" w:sz="4" w:space="0"/>
              <w:bottom w:val="single" w:color="auto" w:sz="4" w:space="0"/>
              <w:right w:val="single" w:color="auto" w:sz="4" w:space="0"/>
            </w:tcBorders>
            <w:vAlign w:val="center"/>
          </w:tcPr>
          <w:p w14:paraId="727A8AB7">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3350" w:type="dxa"/>
            <w:gridSpan w:val="2"/>
            <w:tcBorders>
              <w:top w:val="single" w:color="auto" w:sz="4" w:space="0"/>
              <w:left w:val="single" w:color="auto" w:sz="4" w:space="0"/>
              <w:bottom w:val="single" w:color="auto" w:sz="4" w:space="0"/>
              <w:right w:val="single" w:color="auto" w:sz="4" w:space="0"/>
            </w:tcBorders>
            <w:vAlign w:val="center"/>
          </w:tcPr>
          <w:p w14:paraId="641220F7">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评审因素</w:t>
            </w:r>
          </w:p>
        </w:tc>
        <w:tc>
          <w:tcPr>
            <w:tcW w:w="6025" w:type="dxa"/>
            <w:tcBorders>
              <w:top w:val="single" w:color="auto" w:sz="4" w:space="0"/>
              <w:left w:val="single" w:color="auto" w:sz="4" w:space="0"/>
              <w:bottom w:val="single" w:color="auto" w:sz="4" w:space="0"/>
              <w:right w:val="single" w:color="auto" w:sz="4" w:space="0"/>
            </w:tcBorders>
            <w:vAlign w:val="center"/>
          </w:tcPr>
          <w:p w14:paraId="6854A9BF">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评审标准</w:t>
            </w:r>
          </w:p>
        </w:tc>
      </w:tr>
      <w:tr w14:paraId="3376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484" w:type="dxa"/>
            <w:vMerge w:val="restart"/>
            <w:tcBorders>
              <w:top w:val="single" w:color="auto" w:sz="4" w:space="0"/>
              <w:left w:val="single" w:color="auto" w:sz="4" w:space="0"/>
              <w:bottom w:val="single" w:color="auto" w:sz="4" w:space="0"/>
              <w:right w:val="single" w:color="auto" w:sz="4" w:space="0"/>
            </w:tcBorders>
            <w:vAlign w:val="center"/>
          </w:tcPr>
          <w:p w14:paraId="79A673B9">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450" w:type="dxa"/>
            <w:vMerge w:val="restart"/>
            <w:tcBorders>
              <w:top w:val="single" w:color="auto" w:sz="4" w:space="0"/>
              <w:left w:val="single" w:color="auto" w:sz="4" w:space="0"/>
              <w:bottom w:val="single" w:color="auto" w:sz="4" w:space="0"/>
              <w:right w:val="single" w:color="auto" w:sz="4" w:space="0"/>
            </w:tcBorders>
            <w:vAlign w:val="center"/>
          </w:tcPr>
          <w:p w14:paraId="5320FBB1">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有效性审查</w:t>
            </w:r>
          </w:p>
        </w:tc>
        <w:tc>
          <w:tcPr>
            <w:tcW w:w="1900" w:type="dxa"/>
            <w:tcBorders>
              <w:top w:val="single" w:color="auto" w:sz="4" w:space="0"/>
              <w:left w:val="single" w:color="auto" w:sz="4" w:space="0"/>
              <w:bottom w:val="single" w:color="auto" w:sz="4" w:space="0"/>
              <w:right w:val="single" w:color="auto" w:sz="4" w:space="0"/>
            </w:tcBorders>
            <w:vAlign w:val="center"/>
          </w:tcPr>
          <w:p w14:paraId="38B979B4">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响应文件签署或盖章</w:t>
            </w:r>
          </w:p>
        </w:tc>
        <w:tc>
          <w:tcPr>
            <w:tcW w:w="6025" w:type="dxa"/>
            <w:tcBorders>
              <w:top w:val="single" w:color="auto" w:sz="4" w:space="0"/>
              <w:left w:val="single" w:color="auto" w:sz="4" w:space="0"/>
              <w:bottom w:val="single" w:color="auto" w:sz="4" w:space="0"/>
              <w:right w:val="single" w:color="auto" w:sz="4" w:space="0"/>
            </w:tcBorders>
            <w:vAlign w:val="center"/>
          </w:tcPr>
          <w:p w14:paraId="69881E9B">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投标文件上法定代表人（或其授权代表人）或自然人（供应商为自然人）的签署或盖章齐全</w:t>
            </w:r>
          </w:p>
        </w:tc>
      </w:tr>
      <w:tr w14:paraId="61DB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484" w:type="dxa"/>
            <w:vMerge w:val="continue"/>
            <w:tcBorders>
              <w:top w:val="single" w:color="auto" w:sz="4" w:space="0"/>
              <w:left w:val="single" w:color="auto" w:sz="4" w:space="0"/>
              <w:bottom w:val="single" w:color="auto" w:sz="4" w:space="0"/>
              <w:right w:val="single" w:color="auto" w:sz="4" w:space="0"/>
            </w:tcBorders>
            <w:vAlign w:val="center"/>
          </w:tcPr>
          <w:p w14:paraId="5421769D">
            <w:pPr>
              <w:keepNext/>
              <w:keepLines/>
              <w:spacing w:before="260" w:after="260" w:line="380" w:lineRule="exact"/>
              <w:outlineLvl w:val="2"/>
              <w:rPr>
                <w:rFonts w:hint="eastAsia" w:ascii="仿宋" w:hAnsi="仿宋" w:eastAsia="仿宋" w:cs="仿宋"/>
                <w:color w:val="auto"/>
                <w:sz w:val="21"/>
                <w:szCs w:val="21"/>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336D996A">
            <w:pPr>
              <w:keepNext/>
              <w:keepLines/>
              <w:spacing w:before="260" w:after="260" w:line="380" w:lineRule="exact"/>
              <w:outlineLvl w:val="2"/>
              <w:rPr>
                <w:rFonts w:hint="eastAsia" w:ascii="仿宋" w:hAnsi="仿宋" w:eastAsia="仿宋" w:cs="仿宋"/>
                <w:color w:val="auto"/>
                <w:sz w:val="21"/>
                <w:szCs w:val="21"/>
              </w:rPr>
            </w:pPr>
          </w:p>
        </w:tc>
        <w:tc>
          <w:tcPr>
            <w:tcW w:w="1900" w:type="dxa"/>
            <w:tcBorders>
              <w:top w:val="single" w:color="auto" w:sz="4" w:space="0"/>
              <w:left w:val="single" w:color="auto" w:sz="4" w:space="0"/>
              <w:bottom w:val="single" w:color="auto" w:sz="4" w:space="0"/>
              <w:right w:val="single" w:color="auto" w:sz="4" w:space="0"/>
            </w:tcBorders>
            <w:vAlign w:val="center"/>
          </w:tcPr>
          <w:p w14:paraId="233DCA5B">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w:t>
            </w:r>
          </w:p>
        </w:tc>
        <w:tc>
          <w:tcPr>
            <w:tcW w:w="6025" w:type="dxa"/>
            <w:tcBorders>
              <w:top w:val="single" w:color="auto" w:sz="4" w:space="0"/>
              <w:left w:val="single" w:color="auto" w:sz="4" w:space="0"/>
              <w:bottom w:val="single" w:color="auto" w:sz="4" w:space="0"/>
              <w:right w:val="single" w:color="auto" w:sz="4" w:space="0"/>
            </w:tcBorders>
            <w:vAlign w:val="center"/>
          </w:tcPr>
          <w:p w14:paraId="0EC276E9">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法定代表人身份证明及授权委托书有效，符合比选通知书规定的格式，签字或盖章齐全。</w:t>
            </w:r>
          </w:p>
        </w:tc>
      </w:tr>
      <w:tr w14:paraId="6F6C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84" w:type="dxa"/>
            <w:vMerge w:val="continue"/>
            <w:tcBorders>
              <w:top w:val="single" w:color="auto" w:sz="4" w:space="0"/>
              <w:left w:val="single" w:color="auto" w:sz="4" w:space="0"/>
              <w:bottom w:val="single" w:color="auto" w:sz="4" w:space="0"/>
              <w:right w:val="single" w:color="auto" w:sz="4" w:space="0"/>
            </w:tcBorders>
            <w:vAlign w:val="center"/>
          </w:tcPr>
          <w:p w14:paraId="58E740B4">
            <w:pPr>
              <w:keepNext/>
              <w:keepLines/>
              <w:spacing w:before="260" w:after="260" w:line="380" w:lineRule="exact"/>
              <w:outlineLvl w:val="2"/>
              <w:rPr>
                <w:rFonts w:hint="eastAsia" w:ascii="仿宋" w:hAnsi="仿宋" w:eastAsia="仿宋" w:cs="仿宋"/>
                <w:color w:val="auto"/>
                <w:sz w:val="21"/>
                <w:szCs w:val="21"/>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099EA080">
            <w:pPr>
              <w:keepNext/>
              <w:keepLines/>
              <w:spacing w:before="260" w:after="260" w:line="380" w:lineRule="exact"/>
              <w:outlineLvl w:val="2"/>
              <w:rPr>
                <w:rFonts w:hint="eastAsia" w:ascii="仿宋" w:hAnsi="仿宋" w:eastAsia="仿宋" w:cs="仿宋"/>
                <w:color w:val="auto"/>
                <w:sz w:val="21"/>
                <w:szCs w:val="21"/>
              </w:rPr>
            </w:pPr>
          </w:p>
        </w:tc>
        <w:tc>
          <w:tcPr>
            <w:tcW w:w="1900" w:type="dxa"/>
            <w:tcBorders>
              <w:top w:val="single" w:color="auto" w:sz="4" w:space="0"/>
              <w:left w:val="single" w:color="auto" w:sz="4" w:space="0"/>
              <w:bottom w:val="single" w:color="auto" w:sz="4" w:space="0"/>
              <w:right w:val="single" w:color="auto" w:sz="4" w:space="0"/>
            </w:tcBorders>
            <w:vAlign w:val="center"/>
          </w:tcPr>
          <w:p w14:paraId="6ACFB218">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c>
          <w:tcPr>
            <w:tcW w:w="6025" w:type="dxa"/>
            <w:tcBorders>
              <w:top w:val="single" w:color="auto" w:sz="4" w:space="0"/>
              <w:left w:val="single" w:color="auto" w:sz="4" w:space="0"/>
              <w:bottom w:val="single" w:color="auto" w:sz="4" w:space="0"/>
              <w:right w:val="single" w:color="auto" w:sz="4" w:space="0"/>
            </w:tcBorders>
            <w:vAlign w:val="center"/>
          </w:tcPr>
          <w:p w14:paraId="0428A157">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每个分包只能有一个</w:t>
            </w: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r>
      <w:tr w14:paraId="3246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84" w:type="dxa"/>
            <w:vMerge w:val="continue"/>
            <w:tcBorders>
              <w:top w:val="single" w:color="auto" w:sz="4" w:space="0"/>
              <w:left w:val="single" w:color="auto" w:sz="4" w:space="0"/>
              <w:bottom w:val="single" w:color="auto" w:sz="4" w:space="0"/>
              <w:right w:val="single" w:color="auto" w:sz="4" w:space="0"/>
            </w:tcBorders>
            <w:vAlign w:val="center"/>
          </w:tcPr>
          <w:p w14:paraId="51D967C5">
            <w:pPr>
              <w:keepNext/>
              <w:keepLines/>
              <w:spacing w:before="260" w:after="260" w:line="380" w:lineRule="exact"/>
              <w:outlineLvl w:val="2"/>
              <w:rPr>
                <w:rFonts w:hint="eastAsia" w:ascii="仿宋" w:hAnsi="仿宋" w:eastAsia="仿宋" w:cs="仿宋"/>
                <w:color w:val="auto"/>
                <w:sz w:val="21"/>
                <w:szCs w:val="21"/>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43721974">
            <w:pPr>
              <w:keepNext/>
              <w:keepLines/>
              <w:spacing w:before="260" w:after="260" w:line="380" w:lineRule="exact"/>
              <w:outlineLvl w:val="2"/>
              <w:rPr>
                <w:rFonts w:hint="eastAsia" w:ascii="仿宋" w:hAnsi="仿宋" w:eastAsia="仿宋" w:cs="仿宋"/>
                <w:color w:val="auto"/>
                <w:sz w:val="21"/>
                <w:szCs w:val="21"/>
              </w:rPr>
            </w:pPr>
          </w:p>
        </w:tc>
        <w:tc>
          <w:tcPr>
            <w:tcW w:w="1900" w:type="dxa"/>
            <w:tcBorders>
              <w:top w:val="single" w:color="auto" w:sz="4" w:space="0"/>
              <w:left w:val="single" w:color="auto" w:sz="4" w:space="0"/>
              <w:bottom w:val="single" w:color="auto" w:sz="4" w:space="0"/>
              <w:right w:val="single" w:color="auto" w:sz="4" w:space="0"/>
            </w:tcBorders>
            <w:vAlign w:val="center"/>
          </w:tcPr>
          <w:p w14:paraId="02085C50">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报价唯一</w:t>
            </w:r>
          </w:p>
        </w:tc>
        <w:tc>
          <w:tcPr>
            <w:tcW w:w="6025" w:type="dxa"/>
            <w:tcBorders>
              <w:top w:val="single" w:color="auto" w:sz="4" w:space="0"/>
              <w:left w:val="single" w:color="auto" w:sz="4" w:space="0"/>
              <w:bottom w:val="single" w:color="auto" w:sz="4" w:space="0"/>
              <w:right w:val="single" w:color="auto" w:sz="4" w:space="0"/>
            </w:tcBorders>
            <w:vAlign w:val="center"/>
          </w:tcPr>
          <w:p w14:paraId="67F8941E">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只能有一个有效报价，不得提交选择性报价。</w:t>
            </w:r>
          </w:p>
        </w:tc>
      </w:tr>
      <w:tr w14:paraId="2FCA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84" w:type="dxa"/>
            <w:tcBorders>
              <w:top w:val="single" w:color="auto" w:sz="4" w:space="0"/>
              <w:left w:val="single" w:color="auto" w:sz="4" w:space="0"/>
              <w:bottom w:val="single" w:color="auto" w:sz="4" w:space="0"/>
              <w:right w:val="single" w:color="auto" w:sz="4" w:space="0"/>
            </w:tcBorders>
            <w:vAlign w:val="center"/>
          </w:tcPr>
          <w:p w14:paraId="433C8914">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450" w:type="dxa"/>
            <w:tcBorders>
              <w:top w:val="single" w:color="auto" w:sz="4" w:space="0"/>
              <w:left w:val="single" w:color="auto" w:sz="4" w:space="0"/>
              <w:bottom w:val="single" w:color="auto" w:sz="4" w:space="0"/>
              <w:right w:val="single" w:color="auto" w:sz="4" w:space="0"/>
            </w:tcBorders>
            <w:vAlign w:val="center"/>
          </w:tcPr>
          <w:p w14:paraId="2DD3D464">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完整性审查</w:t>
            </w:r>
          </w:p>
        </w:tc>
        <w:tc>
          <w:tcPr>
            <w:tcW w:w="1900" w:type="dxa"/>
            <w:tcBorders>
              <w:top w:val="single" w:color="auto" w:sz="4" w:space="0"/>
              <w:left w:val="single" w:color="auto" w:sz="4" w:space="0"/>
              <w:bottom w:val="single" w:color="auto" w:sz="4" w:space="0"/>
              <w:right w:val="single" w:color="auto" w:sz="4" w:space="0"/>
            </w:tcBorders>
            <w:vAlign w:val="center"/>
          </w:tcPr>
          <w:p w14:paraId="0FFBB658">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文件份数</w:t>
            </w:r>
          </w:p>
        </w:tc>
        <w:tc>
          <w:tcPr>
            <w:tcW w:w="6025" w:type="dxa"/>
            <w:tcBorders>
              <w:top w:val="single" w:color="auto" w:sz="4" w:space="0"/>
              <w:left w:val="single" w:color="auto" w:sz="4" w:space="0"/>
              <w:bottom w:val="single" w:color="auto" w:sz="4" w:space="0"/>
              <w:right w:val="single" w:color="auto" w:sz="4" w:space="0"/>
            </w:tcBorders>
            <w:vAlign w:val="center"/>
          </w:tcPr>
          <w:p w14:paraId="310AACD3">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响应文件正、副本数量符合投标文件要求。</w:t>
            </w:r>
          </w:p>
        </w:tc>
      </w:tr>
      <w:tr w14:paraId="5C17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84" w:type="dxa"/>
            <w:vMerge w:val="restart"/>
            <w:tcBorders>
              <w:top w:val="single" w:color="auto" w:sz="4" w:space="0"/>
              <w:left w:val="single" w:color="auto" w:sz="4" w:space="0"/>
              <w:bottom w:val="single" w:color="auto" w:sz="4" w:space="0"/>
              <w:right w:val="single" w:color="auto" w:sz="4" w:space="0"/>
            </w:tcBorders>
            <w:vAlign w:val="center"/>
          </w:tcPr>
          <w:p w14:paraId="1E3C65D0">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1450" w:type="dxa"/>
            <w:vMerge w:val="restart"/>
            <w:tcBorders>
              <w:top w:val="single" w:color="auto" w:sz="4" w:space="0"/>
              <w:left w:val="single" w:color="auto" w:sz="4" w:space="0"/>
              <w:bottom w:val="single" w:color="auto" w:sz="4" w:space="0"/>
              <w:right w:val="single" w:color="auto" w:sz="4" w:space="0"/>
            </w:tcBorders>
            <w:vAlign w:val="center"/>
          </w:tcPr>
          <w:p w14:paraId="674B2393">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比选通知书的响应程度审查</w:t>
            </w:r>
          </w:p>
        </w:tc>
        <w:tc>
          <w:tcPr>
            <w:tcW w:w="1900" w:type="dxa"/>
            <w:tcBorders>
              <w:top w:val="single" w:color="auto" w:sz="4" w:space="0"/>
              <w:left w:val="single" w:color="auto" w:sz="4" w:space="0"/>
              <w:bottom w:val="single" w:color="auto" w:sz="4" w:space="0"/>
              <w:right w:val="single" w:color="auto" w:sz="4" w:space="0"/>
            </w:tcBorders>
            <w:vAlign w:val="center"/>
          </w:tcPr>
          <w:p w14:paraId="3250CDBD">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响应文件内容</w:t>
            </w:r>
          </w:p>
        </w:tc>
        <w:tc>
          <w:tcPr>
            <w:tcW w:w="6025" w:type="dxa"/>
            <w:tcBorders>
              <w:top w:val="single" w:color="auto" w:sz="4" w:space="0"/>
              <w:left w:val="single" w:color="auto" w:sz="4" w:space="0"/>
              <w:bottom w:val="single" w:color="auto" w:sz="4" w:space="0"/>
              <w:right w:val="single" w:color="auto" w:sz="4" w:space="0"/>
            </w:tcBorders>
            <w:vAlign w:val="center"/>
          </w:tcPr>
          <w:p w14:paraId="44D63805">
            <w:pPr>
              <w:pStyle w:val="12"/>
              <w:widowControl w:val="0"/>
              <w:spacing w:line="380" w:lineRule="exact"/>
              <w:jc w:val="both"/>
              <w:rPr>
                <w:rFonts w:hint="eastAsia" w:ascii="仿宋" w:hAnsi="仿宋" w:eastAsia="仿宋" w:cs="仿宋"/>
                <w:color w:val="auto"/>
                <w:kern w:val="2"/>
                <w:sz w:val="21"/>
                <w:szCs w:val="21"/>
                <w:lang w:val="en-US"/>
              </w:rPr>
            </w:pPr>
            <w:r>
              <w:rPr>
                <w:rFonts w:hint="eastAsia" w:ascii="仿宋" w:hAnsi="仿宋" w:eastAsia="仿宋" w:cs="仿宋"/>
                <w:color w:val="auto"/>
                <w:kern w:val="2"/>
                <w:sz w:val="21"/>
                <w:szCs w:val="21"/>
                <w:lang w:val="en-US"/>
              </w:rPr>
              <w:t>对比选通知书第三篇、第四篇带</w:t>
            </w:r>
            <w:r>
              <w:rPr>
                <w:rFonts w:hint="eastAsia" w:ascii="仿宋" w:hAnsi="仿宋" w:eastAsia="仿宋" w:cs="仿宋"/>
                <w:color w:val="auto"/>
                <w:sz w:val="21"/>
                <w:szCs w:val="21"/>
              </w:rPr>
              <w:t>“</w:t>
            </w:r>
            <w:r>
              <w:rPr>
                <w:rFonts w:hint="eastAsia" w:ascii="仿宋" w:hAnsi="仿宋" w:eastAsia="仿宋" w:cs="仿宋"/>
                <w:color w:val="auto"/>
                <w:kern w:val="2"/>
              </w:rPr>
              <w:t>※</w:t>
            </w:r>
            <w:r>
              <w:rPr>
                <w:rFonts w:hint="eastAsia" w:ascii="仿宋" w:hAnsi="仿宋" w:eastAsia="仿宋" w:cs="仿宋"/>
                <w:color w:val="auto"/>
                <w:sz w:val="21"/>
                <w:szCs w:val="21"/>
              </w:rPr>
              <w:t>”标注部分</w:t>
            </w:r>
            <w:r>
              <w:rPr>
                <w:rFonts w:hint="eastAsia" w:ascii="仿宋" w:hAnsi="仿宋" w:eastAsia="仿宋" w:cs="仿宋"/>
                <w:color w:val="auto"/>
                <w:kern w:val="2"/>
                <w:sz w:val="21"/>
                <w:szCs w:val="21"/>
                <w:lang w:val="en-US"/>
              </w:rPr>
              <w:t>的内容作出响应。</w:t>
            </w:r>
          </w:p>
        </w:tc>
      </w:tr>
      <w:tr w14:paraId="40CF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484" w:type="dxa"/>
            <w:vMerge w:val="continue"/>
            <w:tcBorders>
              <w:top w:val="single" w:color="auto" w:sz="4" w:space="0"/>
              <w:left w:val="single" w:color="auto" w:sz="4" w:space="0"/>
              <w:bottom w:val="single" w:color="auto" w:sz="4" w:space="0"/>
              <w:right w:val="single" w:color="auto" w:sz="4" w:space="0"/>
            </w:tcBorders>
            <w:vAlign w:val="center"/>
          </w:tcPr>
          <w:p w14:paraId="21E00AE5">
            <w:pPr>
              <w:keepNext/>
              <w:keepLines/>
              <w:spacing w:before="260" w:after="260" w:line="380" w:lineRule="exact"/>
              <w:outlineLvl w:val="2"/>
              <w:rPr>
                <w:rFonts w:hint="eastAsia" w:ascii="仿宋" w:hAnsi="仿宋" w:eastAsia="仿宋" w:cs="仿宋"/>
                <w:color w:val="auto"/>
                <w:sz w:val="21"/>
                <w:szCs w:val="21"/>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2B91B8E0">
            <w:pPr>
              <w:keepNext/>
              <w:keepLines/>
              <w:spacing w:before="260" w:after="260" w:line="380" w:lineRule="exact"/>
              <w:outlineLvl w:val="2"/>
              <w:rPr>
                <w:rFonts w:hint="eastAsia" w:ascii="仿宋" w:hAnsi="仿宋" w:eastAsia="仿宋" w:cs="仿宋"/>
                <w:color w:val="auto"/>
                <w:sz w:val="21"/>
                <w:szCs w:val="21"/>
                <w:lang w:val="zh-CN"/>
              </w:rPr>
            </w:pPr>
          </w:p>
        </w:tc>
        <w:tc>
          <w:tcPr>
            <w:tcW w:w="1900" w:type="dxa"/>
            <w:tcBorders>
              <w:top w:val="single" w:color="auto" w:sz="4" w:space="0"/>
              <w:left w:val="single" w:color="auto" w:sz="4" w:space="0"/>
              <w:bottom w:val="single" w:color="auto" w:sz="4" w:space="0"/>
              <w:right w:val="single" w:color="auto" w:sz="4" w:space="0"/>
            </w:tcBorders>
            <w:vAlign w:val="center"/>
          </w:tcPr>
          <w:p w14:paraId="0C3F3480">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比选有效期</w:t>
            </w:r>
          </w:p>
        </w:tc>
        <w:tc>
          <w:tcPr>
            <w:tcW w:w="6025" w:type="dxa"/>
            <w:tcBorders>
              <w:top w:val="single" w:color="auto" w:sz="4" w:space="0"/>
              <w:left w:val="single" w:color="auto" w:sz="4" w:space="0"/>
              <w:bottom w:val="single" w:color="auto" w:sz="4" w:space="0"/>
              <w:right w:val="single" w:color="auto" w:sz="4" w:space="0"/>
            </w:tcBorders>
            <w:vAlign w:val="center"/>
          </w:tcPr>
          <w:p w14:paraId="29F14147">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满足比选通知书</w:t>
            </w:r>
            <w:r>
              <w:rPr>
                <w:rFonts w:hint="eastAsia" w:ascii="仿宋" w:hAnsi="仿宋" w:eastAsia="仿宋" w:cs="仿宋"/>
                <w:color w:val="auto"/>
                <w:sz w:val="21"/>
                <w:szCs w:val="21"/>
                <w:lang w:val="zh-CN"/>
              </w:rPr>
              <w:t>规定。</w:t>
            </w:r>
          </w:p>
        </w:tc>
      </w:tr>
    </w:tbl>
    <w:p w14:paraId="62C7975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25EB8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比选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8DDDFF8">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（3）在比选过程中比选的任何一方不得向他人透露与比选有关的技术资料、价格或其他信息。</w:t>
      </w:r>
    </w:p>
    <w:p w14:paraId="4FD7473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（4）比选小组采用</w:t>
      </w:r>
      <w:r>
        <w:rPr>
          <w:rFonts w:hint="eastAsia" w:ascii="仿宋" w:hAnsi="仿宋" w:eastAsia="仿宋" w:cs="仿宋"/>
          <w:b/>
          <w:bCs/>
          <w:color w:val="auto"/>
        </w:rPr>
        <w:t>综合评分法</w:t>
      </w:r>
      <w:r>
        <w:rPr>
          <w:rFonts w:hint="eastAsia" w:ascii="仿宋" w:hAnsi="仿宋" w:eastAsia="仿宋" w:cs="仿宋"/>
          <w:color w:val="auto"/>
        </w:rPr>
        <w:t>对供应商的响应文件和报价进行综合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686FCAAC">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比选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46AB0492">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66" w:name="_Toc11594"/>
      <w:bookmarkStart w:id="67" w:name="_Toc32169"/>
      <w:r>
        <w:rPr>
          <w:rFonts w:hint="eastAsia" w:ascii="仿宋" w:hAnsi="仿宋" w:eastAsia="仿宋" w:cs="仿宋"/>
          <w:color w:val="auto"/>
          <w:sz w:val="24"/>
          <w:szCs w:val="24"/>
        </w:rPr>
        <w:t>五、评审标准</w:t>
      </w:r>
      <w:bookmarkEnd w:id="66"/>
      <w:bookmarkEnd w:id="67"/>
    </w:p>
    <w:tbl>
      <w:tblPr>
        <w:tblStyle w:val="26"/>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275"/>
        <w:gridCol w:w="1223"/>
        <w:gridCol w:w="5315"/>
        <w:gridCol w:w="1501"/>
        <w:gridCol w:w="1"/>
      </w:tblGrid>
      <w:tr w14:paraId="68CB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3725FC61">
            <w:pPr>
              <w:spacing w:line="240" w:lineRule="atLeast"/>
              <w:ind w:firstLine="28"/>
              <w:rPr>
                <w:rFonts w:hint="eastAsia" w:ascii="仿宋" w:hAnsi="仿宋" w:eastAsia="仿宋" w:cs="仿宋"/>
                <w:b/>
                <w:bCs/>
                <w:color w:val="auto"/>
                <w:sz w:val="20"/>
                <w:highlight w:val="none"/>
              </w:rPr>
            </w:pPr>
            <w:r>
              <w:rPr>
                <w:rFonts w:hint="eastAsia" w:ascii="仿宋" w:hAnsi="仿宋" w:eastAsia="仿宋" w:cs="仿宋"/>
                <w:b/>
                <w:bCs/>
                <w:color w:val="auto"/>
                <w:sz w:val="20"/>
                <w:highlight w:val="none"/>
              </w:rPr>
              <w:t>序号</w:t>
            </w:r>
          </w:p>
        </w:tc>
        <w:tc>
          <w:tcPr>
            <w:tcW w:w="1275" w:type="dxa"/>
            <w:vAlign w:val="center"/>
          </w:tcPr>
          <w:p w14:paraId="74A04149">
            <w:pPr>
              <w:spacing w:line="240" w:lineRule="atLeast"/>
              <w:ind w:firstLine="28"/>
              <w:jc w:val="center"/>
              <w:rPr>
                <w:rFonts w:hint="eastAsia" w:ascii="仿宋" w:hAnsi="仿宋" w:eastAsia="仿宋" w:cs="仿宋"/>
                <w:b/>
                <w:bCs/>
                <w:color w:val="auto"/>
                <w:sz w:val="20"/>
                <w:highlight w:val="none"/>
              </w:rPr>
            </w:pPr>
            <w:r>
              <w:rPr>
                <w:rFonts w:hint="eastAsia" w:ascii="仿宋" w:hAnsi="仿宋" w:eastAsia="仿宋" w:cs="仿宋"/>
                <w:b/>
                <w:bCs/>
                <w:color w:val="auto"/>
                <w:sz w:val="20"/>
                <w:highlight w:val="none"/>
              </w:rPr>
              <w:t>评分因素及权值</w:t>
            </w:r>
          </w:p>
        </w:tc>
        <w:tc>
          <w:tcPr>
            <w:tcW w:w="1223" w:type="dxa"/>
            <w:vAlign w:val="center"/>
          </w:tcPr>
          <w:p w14:paraId="650CDA80">
            <w:pPr>
              <w:spacing w:line="240" w:lineRule="atLeast"/>
              <w:ind w:firstLine="28"/>
              <w:jc w:val="center"/>
              <w:rPr>
                <w:rFonts w:hint="eastAsia" w:ascii="仿宋" w:hAnsi="仿宋" w:eastAsia="仿宋" w:cs="仿宋"/>
                <w:b/>
                <w:bCs/>
                <w:color w:val="auto"/>
                <w:sz w:val="20"/>
                <w:highlight w:val="none"/>
              </w:rPr>
            </w:pPr>
            <w:r>
              <w:rPr>
                <w:rFonts w:hint="eastAsia" w:ascii="仿宋" w:hAnsi="仿宋" w:eastAsia="仿宋" w:cs="仿宋"/>
                <w:b/>
                <w:bCs/>
                <w:color w:val="auto"/>
                <w:sz w:val="20"/>
                <w:highlight w:val="none"/>
              </w:rPr>
              <w:t>分值</w:t>
            </w:r>
          </w:p>
        </w:tc>
        <w:tc>
          <w:tcPr>
            <w:tcW w:w="5315" w:type="dxa"/>
            <w:vAlign w:val="center"/>
          </w:tcPr>
          <w:p w14:paraId="5971FDE8">
            <w:pPr>
              <w:spacing w:line="240" w:lineRule="atLeast"/>
              <w:ind w:firstLine="28"/>
              <w:jc w:val="center"/>
              <w:rPr>
                <w:rFonts w:hint="eastAsia" w:ascii="仿宋" w:hAnsi="仿宋" w:eastAsia="仿宋" w:cs="仿宋"/>
                <w:b/>
                <w:bCs/>
                <w:color w:val="auto"/>
                <w:sz w:val="20"/>
                <w:highlight w:val="none"/>
              </w:rPr>
            </w:pPr>
            <w:r>
              <w:rPr>
                <w:rFonts w:hint="eastAsia" w:ascii="仿宋" w:hAnsi="仿宋" w:eastAsia="仿宋" w:cs="仿宋"/>
                <w:b/>
                <w:bCs/>
                <w:color w:val="auto"/>
                <w:sz w:val="20"/>
                <w:highlight w:val="none"/>
              </w:rPr>
              <w:t>评分标准</w:t>
            </w:r>
          </w:p>
        </w:tc>
        <w:tc>
          <w:tcPr>
            <w:tcW w:w="1502" w:type="dxa"/>
            <w:gridSpan w:val="2"/>
            <w:vAlign w:val="center"/>
          </w:tcPr>
          <w:p w14:paraId="178C0FE1">
            <w:pPr>
              <w:pStyle w:val="65"/>
              <w:spacing w:before="0" w:after="0" w:line="240" w:lineRule="atLeast"/>
              <w:rPr>
                <w:rFonts w:hint="eastAsia" w:ascii="仿宋" w:hAnsi="仿宋" w:eastAsia="仿宋" w:cs="仿宋"/>
                <w:bCs/>
                <w:color w:val="auto"/>
                <w:sz w:val="20"/>
                <w:highlight w:val="none"/>
              </w:rPr>
            </w:pPr>
            <w:r>
              <w:rPr>
                <w:rFonts w:hint="eastAsia" w:ascii="仿宋" w:hAnsi="仿宋" w:eastAsia="仿宋" w:cs="仿宋"/>
                <w:bCs/>
                <w:color w:val="auto"/>
                <w:sz w:val="20"/>
                <w:highlight w:val="none"/>
              </w:rPr>
              <w:t>说明</w:t>
            </w:r>
          </w:p>
        </w:tc>
      </w:tr>
      <w:tr w14:paraId="343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3BB581D2">
            <w:pPr>
              <w:spacing w:line="276" w:lineRule="auto"/>
              <w:ind w:firstLine="28"/>
              <w:jc w:val="center"/>
              <w:rPr>
                <w:rFonts w:hint="eastAsia" w:ascii="仿宋" w:hAnsi="仿宋" w:eastAsia="仿宋" w:cs="仿宋"/>
                <w:color w:val="auto"/>
                <w:sz w:val="20"/>
                <w:highlight w:val="none"/>
              </w:rPr>
            </w:pPr>
            <w:r>
              <w:rPr>
                <w:rFonts w:hint="eastAsia" w:ascii="仿宋" w:hAnsi="仿宋" w:eastAsia="仿宋" w:cs="仿宋"/>
                <w:color w:val="auto"/>
                <w:sz w:val="20"/>
                <w:highlight w:val="none"/>
              </w:rPr>
              <w:t>1</w:t>
            </w:r>
          </w:p>
        </w:tc>
        <w:tc>
          <w:tcPr>
            <w:tcW w:w="1275" w:type="dxa"/>
            <w:vAlign w:val="center"/>
          </w:tcPr>
          <w:p w14:paraId="39D2BD01">
            <w:pPr>
              <w:spacing w:line="276" w:lineRule="auto"/>
              <w:ind w:firstLine="28"/>
              <w:jc w:val="center"/>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竞选报价</w:t>
            </w:r>
          </w:p>
          <w:p w14:paraId="4930908D">
            <w:pPr>
              <w:spacing w:line="276" w:lineRule="auto"/>
              <w:ind w:firstLine="28"/>
              <w:jc w:val="center"/>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（30%）</w:t>
            </w:r>
          </w:p>
        </w:tc>
        <w:tc>
          <w:tcPr>
            <w:tcW w:w="1223" w:type="dxa"/>
            <w:vAlign w:val="center"/>
          </w:tcPr>
          <w:p w14:paraId="3E44C495">
            <w:pPr>
              <w:spacing w:line="276" w:lineRule="auto"/>
              <w:ind w:firstLine="28"/>
              <w:jc w:val="center"/>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30分</w:t>
            </w:r>
          </w:p>
        </w:tc>
        <w:tc>
          <w:tcPr>
            <w:tcW w:w="6817" w:type="dxa"/>
            <w:gridSpan w:val="3"/>
            <w:vAlign w:val="center"/>
          </w:tcPr>
          <w:p w14:paraId="2401B22E">
            <w:pPr>
              <w:spacing w:line="276" w:lineRule="auto"/>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满足资格性、符合性要求且报价最低的供应商的价格为竞选基准价，其价格分为满分。其他供应商的价格分统一按照下列公式计算：</w:t>
            </w:r>
          </w:p>
          <w:p w14:paraId="41CA51BB">
            <w:pPr>
              <w:spacing w:line="276" w:lineRule="auto"/>
              <w:ind w:left="-38"/>
              <w:jc w:val="center"/>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竞选报价得分=（竞选基准价/竞选报价）×价格权值×100</w:t>
            </w:r>
          </w:p>
        </w:tc>
      </w:tr>
      <w:tr w14:paraId="6A4E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restart"/>
            <w:vAlign w:val="center"/>
          </w:tcPr>
          <w:p w14:paraId="50C533E2">
            <w:pPr>
              <w:spacing w:line="276" w:lineRule="auto"/>
              <w:ind w:firstLine="28"/>
              <w:jc w:val="center"/>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2</w:t>
            </w:r>
          </w:p>
        </w:tc>
        <w:tc>
          <w:tcPr>
            <w:tcW w:w="1275" w:type="dxa"/>
            <w:vMerge w:val="restart"/>
            <w:vAlign w:val="center"/>
          </w:tcPr>
          <w:p w14:paraId="2B63C976">
            <w:pPr>
              <w:spacing w:line="240" w:lineRule="auto"/>
              <w:ind w:firstLine="28"/>
              <w:jc w:val="center"/>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val="en-US" w:eastAsia="zh-CN"/>
              </w:rPr>
              <w:t>技术部分</w:t>
            </w:r>
          </w:p>
          <w:p w14:paraId="66892201">
            <w:pPr>
              <w:bidi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22"/>
                <w:szCs w:val="32"/>
                <w:highlight w:val="none"/>
                <w:lang w:val="en-US" w:eastAsia="zh-CN"/>
              </w:rPr>
              <w:t>（60%）</w:t>
            </w:r>
          </w:p>
        </w:tc>
        <w:tc>
          <w:tcPr>
            <w:tcW w:w="1223" w:type="dxa"/>
            <w:vAlign w:val="center"/>
          </w:tcPr>
          <w:p w14:paraId="31C73720">
            <w:pPr>
              <w:spacing w:line="276" w:lineRule="auto"/>
              <w:ind w:firstLine="28"/>
              <w:jc w:val="center"/>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val="en-US" w:eastAsia="zh-CN"/>
              </w:rPr>
              <w:t>施工方案与技术措施</w:t>
            </w:r>
          </w:p>
          <w:p w14:paraId="0933C897">
            <w:pPr>
              <w:spacing w:line="276" w:lineRule="auto"/>
              <w:ind w:firstLine="28"/>
              <w:jc w:val="center"/>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lang w:val="en-US" w:eastAsia="zh-CN"/>
              </w:rPr>
              <w:t>（15分）</w:t>
            </w:r>
          </w:p>
        </w:tc>
        <w:tc>
          <w:tcPr>
            <w:tcW w:w="5315" w:type="dxa"/>
            <w:vAlign w:val="center"/>
          </w:tcPr>
          <w:p w14:paraId="34F8B7BA">
            <w:pPr>
              <w:spacing w:line="276" w:lineRule="auto"/>
              <w:ind w:left="-38"/>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根据</w:t>
            </w:r>
            <w:r>
              <w:rPr>
                <w:rFonts w:hint="eastAsia" w:ascii="仿宋" w:hAnsi="仿宋" w:eastAsia="仿宋" w:cs="仿宋"/>
                <w:color w:val="auto"/>
                <w:sz w:val="22"/>
                <w:szCs w:val="32"/>
                <w:highlight w:val="none"/>
                <w:lang w:val="en-US" w:eastAsia="zh-CN"/>
              </w:rPr>
              <w:t>供应商</w:t>
            </w:r>
            <w:r>
              <w:rPr>
                <w:rFonts w:hint="eastAsia" w:ascii="仿宋" w:hAnsi="仿宋" w:eastAsia="仿宋" w:cs="仿宋"/>
                <w:color w:val="auto"/>
                <w:sz w:val="22"/>
                <w:szCs w:val="32"/>
                <w:highlight w:val="none"/>
              </w:rPr>
              <w:t>施工方案中的施工</w:t>
            </w:r>
            <w:r>
              <w:rPr>
                <w:rFonts w:hint="eastAsia" w:ascii="仿宋" w:hAnsi="仿宋" w:eastAsia="仿宋" w:cs="仿宋"/>
                <w:color w:val="auto"/>
                <w:sz w:val="22"/>
                <w:szCs w:val="32"/>
                <w:highlight w:val="none"/>
                <w:lang w:val="en-US" w:eastAsia="zh-CN"/>
              </w:rPr>
              <w:t>拆除方案</w:t>
            </w:r>
            <w:r>
              <w:rPr>
                <w:rFonts w:hint="eastAsia" w:ascii="仿宋" w:hAnsi="仿宋" w:eastAsia="仿宋" w:cs="仿宋"/>
                <w:color w:val="auto"/>
                <w:sz w:val="22"/>
                <w:szCs w:val="32"/>
                <w:highlight w:val="none"/>
              </w:rPr>
              <w:t>、施工设备、项目管理机构配备、劳动力计划，确保工程质量、工期、安全和文明施工的技术、组织措施、施工总进度计划等进行评分。</w:t>
            </w:r>
          </w:p>
          <w:p w14:paraId="39D52A30">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1</w:t>
            </w:r>
            <w:r>
              <w:rPr>
                <w:rFonts w:hint="eastAsia" w:ascii="仿宋" w:hAnsi="仿宋" w:eastAsia="仿宋" w:cs="仿宋"/>
                <w:color w:val="auto"/>
                <w:sz w:val="22"/>
                <w:szCs w:val="32"/>
                <w:highlight w:val="none"/>
                <w:lang w:eastAsia="zh-CN"/>
              </w:rPr>
              <w:t>）内容完整，进度计划科学合理，保护措施可操作性强，符合项目实际情况</w:t>
            </w:r>
            <w:r>
              <w:rPr>
                <w:rFonts w:hint="eastAsia" w:ascii="仿宋" w:hAnsi="仿宋" w:eastAsia="仿宋" w:cs="仿宋"/>
                <w:color w:val="auto"/>
                <w:sz w:val="22"/>
                <w:szCs w:val="32"/>
                <w:highlight w:val="none"/>
                <w:lang w:val="en-US" w:eastAsia="zh-CN"/>
              </w:rPr>
              <w:t>得15分；</w:t>
            </w:r>
          </w:p>
          <w:p w14:paraId="3EE359B3">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2</w:t>
            </w:r>
            <w:r>
              <w:rPr>
                <w:rFonts w:hint="eastAsia" w:ascii="仿宋" w:hAnsi="仿宋" w:eastAsia="仿宋" w:cs="仿宋"/>
                <w:color w:val="auto"/>
                <w:sz w:val="22"/>
                <w:szCs w:val="32"/>
                <w:highlight w:val="none"/>
                <w:lang w:eastAsia="zh-CN"/>
              </w:rPr>
              <w:t>）内容较完整，进度计划较科学合理，保护措施可操作性较强，较符合项目实际情况</w:t>
            </w:r>
            <w:r>
              <w:rPr>
                <w:rFonts w:hint="eastAsia" w:ascii="仿宋" w:hAnsi="仿宋" w:eastAsia="仿宋" w:cs="仿宋"/>
                <w:color w:val="auto"/>
                <w:sz w:val="22"/>
                <w:szCs w:val="32"/>
                <w:highlight w:val="none"/>
                <w:lang w:val="en-US" w:eastAsia="zh-CN"/>
              </w:rPr>
              <w:t>得10分；</w:t>
            </w:r>
          </w:p>
          <w:p w14:paraId="3448184A">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3</w:t>
            </w:r>
            <w:r>
              <w:rPr>
                <w:rFonts w:hint="eastAsia" w:ascii="仿宋" w:hAnsi="仿宋" w:eastAsia="仿宋" w:cs="仿宋"/>
                <w:color w:val="auto"/>
                <w:sz w:val="22"/>
                <w:szCs w:val="32"/>
                <w:highlight w:val="none"/>
                <w:lang w:eastAsia="zh-CN"/>
              </w:rPr>
              <w:t>）内容基本完整，进度计划基本科学合理，保护措施可操作性一般，基本符合项目实际情况</w:t>
            </w:r>
            <w:r>
              <w:rPr>
                <w:rFonts w:hint="eastAsia" w:ascii="仿宋" w:hAnsi="仿宋" w:eastAsia="仿宋" w:cs="仿宋"/>
                <w:color w:val="auto"/>
                <w:sz w:val="22"/>
                <w:szCs w:val="32"/>
                <w:highlight w:val="none"/>
                <w:lang w:val="en-US" w:eastAsia="zh-CN"/>
              </w:rPr>
              <w:t>得5分；</w:t>
            </w:r>
          </w:p>
          <w:p w14:paraId="41ACAC6A">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val="en-US" w:eastAsia="zh-CN"/>
              </w:rPr>
              <w:t>（4）内容不完整性，进度计划科学合理性较差，保护措施可操作性较差，方案内容与项目实际情况不符得3分；</w:t>
            </w:r>
          </w:p>
          <w:p w14:paraId="02C0AF13">
            <w:pPr>
              <w:bidi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22"/>
                <w:szCs w:val="32"/>
                <w:highlight w:val="none"/>
                <w:lang w:val="en-US" w:eastAsia="zh-CN"/>
              </w:rPr>
              <w:t>（5</w:t>
            </w: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未提供得0分。</w:t>
            </w:r>
          </w:p>
        </w:tc>
        <w:tc>
          <w:tcPr>
            <w:tcW w:w="1502" w:type="dxa"/>
            <w:gridSpan w:val="2"/>
            <w:vMerge w:val="restart"/>
            <w:vAlign w:val="center"/>
          </w:tcPr>
          <w:p w14:paraId="369BEF8D">
            <w:pPr>
              <w:spacing w:line="276" w:lineRule="auto"/>
              <w:ind w:left="-38"/>
              <w:jc w:val="center"/>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评审小组对供应商方案进行横向对比后打分。</w:t>
            </w:r>
          </w:p>
        </w:tc>
      </w:tr>
      <w:tr w14:paraId="2CDC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jc w:val="center"/>
        </w:trPr>
        <w:tc>
          <w:tcPr>
            <w:tcW w:w="421" w:type="dxa"/>
            <w:vMerge w:val="continue"/>
            <w:vAlign w:val="center"/>
          </w:tcPr>
          <w:p w14:paraId="39F4182D">
            <w:pPr>
              <w:spacing w:line="276" w:lineRule="auto"/>
              <w:ind w:firstLine="28"/>
              <w:jc w:val="center"/>
              <w:rPr>
                <w:rFonts w:hint="eastAsia" w:ascii="仿宋" w:hAnsi="仿宋" w:eastAsia="仿宋" w:cs="仿宋"/>
                <w:color w:val="auto"/>
                <w:sz w:val="20"/>
                <w:highlight w:val="none"/>
                <w:lang w:val="en-US" w:eastAsia="zh-CN"/>
              </w:rPr>
            </w:pPr>
          </w:p>
        </w:tc>
        <w:tc>
          <w:tcPr>
            <w:tcW w:w="1275" w:type="dxa"/>
            <w:vMerge w:val="continue"/>
            <w:vAlign w:val="center"/>
          </w:tcPr>
          <w:p w14:paraId="3179D781">
            <w:pPr>
              <w:spacing w:line="276" w:lineRule="auto"/>
              <w:ind w:firstLine="28"/>
              <w:jc w:val="center"/>
              <w:rPr>
                <w:rFonts w:hint="eastAsia" w:ascii="仿宋" w:hAnsi="仿宋" w:eastAsia="仿宋" w:cs="仿宋"/>
                <w:color w:val="auto"/>
                <w:sz w:val="22"/>
                <w:szCs w:val="32"/>
                <w:highlight w:val="none"/>
                <w:lang w:val="en-US" w:eastAsia="zh-CN"/>
              </w:rPr>
            </w:pPr>
          </w:p>
        </w:tc>
        <w:tc>
          <w:tcPr>
            <w:tcW w:w="1223" w:type="dxa"/>
            <w:vAlign w:val="center"/>
          </w:tcPr>
          <w:p w14:paraId="41AA1010">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val="en-US" w:eastAsia="zh-CN"/>
              </w:rPr>
              <w:t>质量管理体系与措施（15分）</w:t>
            </w:r>
          </w:p>
        </w:tc>
        <w:tc>
          <w:tcPr>
            <w:tcW w:w="5315" w:type="dxa"/>
            <w:vAlign w:val="center"/>
          </w:tcPr>
          <w:p w14:paraId="6DF8CBAE">
            <w:pPr>
              <w:spacing w:line="276" w:lineRule="auto"/>
              <w:ind w:left="-38"/>
              <w:rPr>
                <w:rFonts w:hint="eastAsia" w:ascii="仿宋" w:hAnsi="仿宋" w:eastAsia="仿宋" w:cs="仿宋"/>
                <w:color w:val="auto"/>
                <w:sz w:val="22"/>
                <w:szCs w:val="32"/>
                <w:highlight w:val="none"/>
                <w:lang w:eastAsia="zh-CN"/>
              </w:rPr>
            </w:pPr>
            <w:r>
              <w:rPr>
                <w:rFonts w:hint="eastAsia" w:ascii="仿宋" w:hAnsi="仿宋" w:eastAsia="仿宋" w:cs="仿宋"/>
                <w:color w:val="auto"/>
                <w:sz w:val="22"/>
                <w:szCs w:val="32"/>
                <w:highlight w:val="none"/>
                <w:lang w:eastAsia="zh-CN"/>
              </w:rPr>
              <w:t>质量管理体系是否健全有效，硬性措施是否切实可行。保证措施具有针对性，材料的质量保证措施满足招标文件所要求的工程质量要求。</w:t>
            </w:r>
          </w:p>
          <w:p w14:paraId="308C725A">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1</w:t>
            </w:r>
            <w:r>
              <w:rPr>
                <w:rFonts w:hint="eastAsia" w:ascii="仿宋" w:hAnsi="仿宋" w:eastAsia="仿宋" w:cs="仿宋"/>
                <w:color w:val="auto"/>
                <w:sz w:val="22"/>
                <w:szCs w:val="32"/>
                <w:highlight w:val="none"/>
                <w:lang w:eastAsia="zh-CN"/>
              </w:rPr>
              <w:t>）质量管理内容完整，科学合理，硬性措施切实可行，保证措施针对性强</w:t>
            </w:r>
            <w:r>
              <w:rPr>
                <w:rFonts w:hint="eastAsia" w:ascii="仿宋" w:hAnsi="仿宋" w:eastAsia="仿宋" w:cs="仿宋"/>
                <w:color w:val="auto"/>
                <w:sz w:val="22"/>
                <w:szCs w:val="32"/>
                <w:highlight w:val="none"/>
                <w:lang w:val="en-US" w:eastAsia="zh-CN"/>
              </w:rPr>
              <w:t>得15分；</w:t>
            </w:r>
          </w:p>
          <w:p w14:paraId="4A02EC4F">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2</w:t>
            </w:r>
            <w:r>
              <w:rPr>
                <w:rFonts w:hint="eastAsia" w:ascii="仿宋" w:hAnsi="仿宋" w:eastAsia="仿宋" w:cs="仿宋"/>
                <w:color w:val="auto"/>
                <w:sz w:val="22"/>
                <w:szCs w:val="32"/>
                <w:highlight w:val="none"/>
                <w:lang w:eastAsia="zh-CN"/>
              </w:rPr>
              <w:t>）质量管理内容较完整，较科学合理，硬性措施较切实可行，保证措施针对性较强</w:t>
            </w:r>
            <w:r>
              <w:rPr>
                <w:rFonts w:hint="eastAsia" w:ascii="仿宋" w:hAnsi="仿宋" w:eastAsia="仿宋" w:cs="仿宋"/>
                <w:color w:val="auto"/>
                <w:sz w:val="22"/>
                <w:szCs w:val="32"/>
                <w:highlight w:val="none"/>
                <w:lang w:val="en-US" w:eastAsia="zh-CN"/>
              </w:rPr>
              <w:t>得10分；</w:t>
            </w:r>
          </w:p>
          <w:p w14:paraId="1D4D47C4">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3</w:t>
            </w:r>
            <w:r>
              <w:rPr>
                <w:rFonts w:hint="eastAsia" w:ascii="仿宋" w:hAnsi="仿宋" w:eastAsia="仿宋" w:cs="仿宋"/>
                <w:color w:val="auto"/>
                <w:sz w:val="22"/>
                <w:szCs w:val="32"/>
                <w:highlight w:val="none"/>
                <w:lang w:eastAsia="zh-CN"/>
              </w:rPr>
              <w:t>）质量管理内容基本完整，基本科学合理，硬性措施一般切实可行，保证措施针对性一般</w:t>
            </w:r>
            <w:r>
              <w:rPr>
                <w:rFonts w:hint="eastAsia" w:ascii="仿宋" w:hAnsi="仿宋" w:eastAsia="仿宋" w:cs="仿宋"/>
                <w:color w:val="auto"/>
                <w:sz w:val="22"/>
                <w:szCs w:val="32"/>
                <w:highlight w:val="none"/>
                <w:lang w:val="en-US" w:eastAsia="zh-CN"/>
              </w:rPr>
              <w:t>得5分；</w:t>
            </w:r>
          </w:p>
          <w:p w14:paraId="6722D134">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4</w:t>
            </w:r>
            <w:r>
              <w:rPr>
                <w:rFonts w:hint="eastAsia" w:ascii="仿宋" w:hAnsi="仿宋" w:eastAsia="仿宋" w:cs="仿宋"/>
                <w:color w:val="auto"/>
                <w:sz w:val="22"/>
                <w:szCs w:val="32"/>
                <w:highlight w:val="none"/>
                <w:lang w:eastAsia="zh-CN"/>
              </w:rPr>
              <w:t>）质量管理内容不完整性，科学合理性较差，硬性措施较差，方案内容与项目实际情况不符</w:t>
            </w:r>
            <w:r>
              <w:rPr>
                <w:rFonts w:hint="eastAsia" w:ascii="仿宋" w:hAnsi="仿宋" w:eastAsia="仿宋" w:cs="仿宋"/>
                <w:color w:val="auto"/>
                <w:sz w:val="22"/>
                <w:szCs w:val="32"/>
                <w:highlight w:val="none"/>
                <w:lang w:val="en-US" w:eastAsia="zh-CN"/>
              </w:rPr>
              <w:t>得3分；</w:t>
            </w:r>
          </w:p>
          <w:p w14:paraId="51967E56">
            <w:pPr>
              <w:bidi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22"/>
                <w:szCs w:val="32"/>
                <w:highlight w:val="none"/>
                <w:lang w:val="en-US" w:eastAsia="zh-CN"/>
              </w:rPr>
              <w:t>（5）未提供得0分。</w:t>
            </w:r>
          </w:p>
        </w:tc>
        <w:tc>
          <w:tcPr>
            <w:tcW w:w="1502" w:type="dxa"/>
            <w:gridSpan w:val="2"/>
            <w:vMerge w:val="continue"/>
            <w:vAlign w:val="center"/>
          </w:tcPr>
          <w:p w14:paraId="2FB36C4F">
            <w:pPr>
              <w:spacing w:line="276" w:lineRule="auto"/>
              <w:ind w:left="-38"/>
              <w:jc w:val="center"/>
              <w:rPr>
                <w:rFonts w:hint="eastAsia" w:ascii="仿宋" w:hAnsi="仿宋" w:eastAsia="仿宋" w:cs="仿宋"/>
                <w:color w:val="auto"/>
                <w:sz w:val="22"/>
                <w:szCs w:val="32"/>
                <w:highlight w:val="none"/>
              </w:rPr>
            </w:pPr>
          </w:p>
        </w:tc>
      </w:tr>
      <w:tr w14:paraId="0368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5" w:hRule="atLeast"/>
          <w:jc w:val="center"/>
        </w:trPr>
        <w:tc>
          <w:tcPr>
            <w:tcW w:w="421" w:type="dxa"/>
            <w:vMerge w:val="continue"/>
            <w:vAlign w:val="center"/>
          </w:tcPr>
          <w:p w14:paraId="7B6C5F0B">
            <w:pPr>
              <w:spacing w:line="276" w:lineRule="auto"/>
              <w:ind w:firstLine="28"/>
              <w:jc w:val="center"/>
              <w:rPr>
                <w:rFonts w:hint="eastAsia" w:ascii="仿宋" w:hAnsi="仿宋" w:eastAsia="仿宋" w:cs="仿宋"/>
                <w:color w:val="auto"/>
                <w:sz w:val="20"/>
                <w:highlight w:val="none"/>
                <w:lang w:val="en-US" w:eastAsia="zh-CN"/>
              </w:rPr>
            </w:pPr>
          </w:p>
        </w:tc>
        <w:tc>
          <w:tcPr>
            <w:tcW w:w="1275" w:type="dxa"/>
            <w:vMerge w:val="continue"/>
            <w:vAlign w:val="center"/>
          </w:tcPr>
          <w:p w14:paraId="2A8329F6">
            <w:pPr>
              <w:spacing w:line="276" w:lineRule="auto"/>
              <w:ind w:firstLine="28"/>
              <w:jc w:val="center"/>
              <w:rPr>
                <w:rFonts w:hint="eastAsia" w:ascii="仿宋" w:hAnsi="仿宋" w:eastAsia="仿宋" w:cs="仿宋"/>
                <w:color w:val="auto"/>
                <w:sz w:val="22"/>
                <w:szCs w:val="32"/>
                <w:highlight w:val="none"/>
                <w:lang w:val="en-US" w:eastAsia="zh-CN"/>
              </w:rPr>
            </w:pPr>
          </w:p>
        </w:tc>
        <w:tc>
          <w:tcPr>
            <w:tcW w:w="1223" w:type="dxa"/>
            <w:vAlign w:val="center"/>
          </w:tcPr>
          <w:p w14:paraId="72F9E058">
            <w:pPr>
              <w:spacing w:line="276" w:lineRule="auto"/>
              <w:ind w:left="-38"/>
              <w:rPr>
                <w:rFonts w:hint="default"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val="en-US" w:eastAsia="zh-CN"/>
              </w:rPr>
              <w:t>安全管理体系与环境保护</w:t>
            </w:r>
          </w:p>
          <w:p w14:paraId="36A1269D">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val="en-US" w:eastAsia="zh-CN"/>
              </w:rPr>
              <w:t>（15分）</w:t>
            </w:r>
          </w:p>
        </w:tc>
        <w:tc>
          <w:tcPr>
            <w:tcW w:w="5315" w:type="dxa"/>
            <w:vAlign w:val="center"/>
          </w:tcPr>
          <w:p w14:paraId="661C87A0">
            <w:pPr>
              <w:spacing w:line="276" w:lineRule="auto"/>
              <w:ind w:left="-38"/>
              <w:rPr>
                <w:rFonts w:hint="eastAsia" w:ascii="仿宋" w:hAnsi="仿宋" w:eastAsia="仿宋" w:cs="仿宋"/>
                <w:color w:val="auto"/>
                <w:sz w:val="22"/>
                <w:szCs w:val="32"/>
                <w:highlight w:val="none"/>
                <w:lang w:eastAsia="zh-CN"/>
              </w:rPr>
            </w:pPr>
            <w:r>
              <w:rPr>
                <w:rFonts w:hint="eastAsia" w:ascii="仿宋" w:hAnsi="仿宋" w:eastAsia="仿宋" w:cs="仿宋"/>
                <w:color w:val="auto"/>
                <w:sz w:val="22"/>
                <w:szCs w:val="32"/>
                <w:highlight w:val="none"/>
                <w:lang w:eastAsia="zh-CN"/>
              </w:rPr>
              <w:t>安全管理体系健全有效，施工安全专项方案及安全管理保证措施具有针对性、文明施工是否得当等。环境保护及施工建筑垃圾及时清理措施。</w:t>
            </w:r>
          </w:p>
          <w:p w14:paraId="71DB57CD">
            <w:pPr>
              <w:spacing w:line="276" w:lineRule="auto"/>
              <w:ind w:left="-38"/>
              <w:rPr>
                <w:rFonts w:hint="eastAsia" w:ascii="仿宋" w:hAnsi="仿宋" w:eastAsia="仿宋" w:cs="仿宋"/>
                <w:color w:val="auto"/>
                <w:sz w:val="22"/>
                <w:szCs w:val="32"/>
                <w:highlight w:val="none"/>
                <w:lang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1</w:t>
            </w:r>
            <w:r>
              <w:rPr>
                <w:rFonts w:hint="eastAsia" w:ascii="仿宋" w:hAnsi="仿宋" w:eastAsia="仿宋" w:cs="仿宋"/>
                <w:color w:val="auto"/>
                <w:sz w:val="22"/>
                <w:szCs w:val="32"/>
                <w:highlight w:val="none"/>
                <w:lang w:eastAsia="zh-CN"/>
              </w:rPr>
              <w:t>）安全管理体系内容完整，科学合理，可操作性强，建筑垃圾清理及环境保护措施完善得力，符合项目实际情况</w:t>
            </w:r>
            <w:r>
              <w:rPr>
                <w:rFonts w:hint="eastAsia" w:ascii="仿宋" w:hAnsi="仿宋" w:eastAsia="仿宋" w:cs="仿宋"/>
                <w:color w:val="auto"/>
                <w:sz w:val="22"/>
                <w:szCs w:val="32"/>
                <w:highlight w:val="none"/>
                <w:lang w:val="en-US" w:eastAsia="zh-CN"/>
              </w:rPr>
              <w:t>得15分</w:t>
            </w:r>
            <w:r>
              <w:rPr>
                <w:rFonts w:hint="eastAsia" w:ascii="仿宋" w:hAnsi="仿宋" w:eastAsia="仿宋" w:cs="仿宋"/>
                <w:color w:val="auto"/>
                <w:sz w:val="22"/>
                <w:szCs w:val="32"/>
                <w:highlight w:val="none"/>
                <w:lang w:eastAsia="zh-CN"/>
              </w:rPr>
              <w:t>；</w:t>
            </w:r>
          </w:p>
          <w:p w14:paraId="7CD55B61">
            <w:pPr>
              <w:spacing w:line="276" w:lineRule="auto"/>
              <w:ind w:left="-38"/>
              <w:rPr>
                <w:rFonts w:hint="eastAsia" w:ascii="仿宋" w:hAnsi="仿宋" w:eastAsia="仿宋" w:cs="仿宋"/>
                <w:color w:val="auto"/>
                <w:sz w:val="22"/>
                <w:szCs w:val="32"/>
                <w:highlight w:val="none"/>
                <w:lang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2</w:t>
            </w:r>
            <w:r>
              <w:rPr>
                <w:rFonts w:hint="eastAsia" w:ascii="仿宋" w:hAnsi="仿宋" w:eastAsia="仿宋" w:cs="仿宋"/>
                <w:color w:val="auto"/>
                <w:sz w:val="22"/>
                <w:szCs w:val="32"/>
                <w:highlight w:val="none"/>
                <w:lang w:eastAsia="zh-CN"/>
              </w:rPr>
              <w:t>）安全管理体系内容较完整，较科学合理，可操作性较强，建筑垃圾清理及环境保护措施较完善，较符合项目实际情况</w:t>
            </w:r>
            <w:r>
              <w:rPr>
                <w:rFonts w:hint="eastAsia" w:ascii="仿宋" w:hAnsi="仿宋" w:eastAsia="仿宋" w:cs="仿宋"/>
                <w:color w:val="auto"/>
                <w:sz w:val="22"/>
                <w:szCs w:val="32"/>
                <w:highlight w:val="none"/>
                <w:lang w:val="en-US" w:eastAsia="zh-CN"/>
              </w:rPr>
              <w:t>得10分</w:t>
            </w:r>
            <w:r>
              <w:rPr>
                <w:rFonts w:hint="eastAsia" w:ascii="仿宋" w:hAnsi="仿宋" w:eastAsia="仿宋" w:cs="仿宋"/>
                <w:color w:val="auto"/>
                <w:sz w:val="22"/>
                <w:szCs w:val="32"/>
                <w:highlight w:val="none"/>
                <w:lang w:eastAsia="zh-CN"/>
              </w:rPr>
              <w:t>；</w:t>
            </w:r>
          </w:p>
          <w:p w14:paraId="7136E040">
            <w:pPr>
              <w:spacing w:line="276" w:lineRule="auto"/>
              <w:ind w:left="-38"/>
              <w:rPr>
                <w:rFonts w:hint="eastAsia" w:ascii="仿宋" w:hAnsi="仿宋" w:eastAsia="仿宋" w:cs="仿宋"/>
                <w:color w:val="auto"/>
                <w:sz w:val="22"/>
                <w:szCs w:val="32"/>
                <w:highlight w:val="none"/>
                <w:lang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3</w:t>
            </w:r>
            <w:r>
              <w:rPr>
                <w:rFonts w:hint="eastAsia" w:ascii="仿宋" w:hAnsi="仿宋" w:eastAsia="仿宋" w:cs="仿宋"/>
                <w:color w:val="auto"/>
                <w:sz w:val="22"/>
                <w:szCs w:val="32"/>
                <w:highlight w:val="none"/>
                <w:lang w:eastAsia="zh-CN"/>
              </w:rPr>
              <w:t>）安全管理体系内容基本完整，基本科学合理，可操作性一般，建筑垃圾清理及环境保护措施基本到位，基本符合项目实际情况</w:t>
            </w:r>
            <w:r>
              <w:rPr>
                <w:rFonts w:hint="eastAsia" w:ascii="仿宋" w:hAnsi="仿宋" w:eastAsia="仿宋" w:cs="仿宋"/>
                <w:color w:val="auto"/>
                <w:sz w:val="22"/>
                <w:szCs w:val="32"/>
                <w:highlight w:val="none"/>
                <w:lang w:val="en-US" w:eastAsia="zh-CN"/>
              </w:rPr>
              <w:t>得5分</w:t>
            </w:r>
            <w:r>
              <w:rPr>
                <w:rFonts w:hint="eastAsia" w:ascii="仿宋" w:hAnsi="仿宋" w:eastAsia="仿宋" w:cs="仿宋"/>
                <w:color w:val="auto"/>
                <w:sz w:val="22"/>
                <w:szCs w:val="32"/>
                <w:highlight w:val="none"/>
                <w:lang w:eastAsia="zh-CN"/>
              </w:rPr>
              <w:t>；</w:t>
            </w:r>
          </w:p>
          <w:p w14:paraId="09085026">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4</w:t>
            </w:r>
            <w:r>
              <w:rPr>
                <w:rFonts w:hint="eastAsia" w:ascii="仿宋" w:hAnsi="仿宋" w:eastAsia="仿宋" w:cs="仿宋"/>
                <w:color w:val="auto"/>
                <w:sz w:val="22"/>
                <w:szCs w:val="32"/>
                <w:highlight w:val="none"/>
                <w:lang w:eastAsia="zh-CN"/>
              </w:rPr>
              <w:t>）安全管理体系内容不完整性，科学合理性较差，可操作性较差，建筑垃圾清理及环境保护措施不完善，方案内容与项目实际情况不符</w:t>
            </w:r>
            <w:r>
              <w:rPr>
                <w:rFonts w:hint="eastAsia" w:ascii="仿宋" w:hAnsi="仿宋" w:eastAsia="仿宋" w:cs="仿宋"/>
                <w:color w:val="auto"/>
                <w:sz w:val="22"/>
                <w:szCs w:val="32"/>
                <w:highlight w:val="none"/>
                <w:lang w:val="en-US" w:eastAsia="zh-CN"/>
              </w:rPr>
              <w:t>得3分；</w:t>
            </w:r>
          </w:p>
          <w:p w14:paraId="4AE44AB1">
            <w:pPr>
              <w:bidi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22"/>
                <w:szCs w:val="32"/>
                <w:highlight w:val="none"/>
                <w:lang w:val="en-US" w:eastAsia="zh-CN"/>
              </w:rPr>
              <w:t>（5）未提供得0分。</w:t>
            </w:r>
          </w:p>
        </w:tc>
        <w:tc>
          <w:tcPr>
            <w:tcW w:w="1502" w:type="dxa"/>
            <w:gridSpan w:val="2"/>
            <w:vMerge w:val="continue"/>
            <w:vAlign w:val="center"/>
          </w:tcPr>
          <w:p w14:paraId="0338D7C5">
            <w:pPr>
              <w:spacing w:line="276" w:lineRule="auto"/>
              <w:ind w:left="-38"/>
              <w:jc w:val="center"/>
              <w:rPr>
                <w:rFonts w:hint="eastAsia" w:ascii="仿宋" w:hAnsi="仿宋" w:eastAsia="仿宋" w:cs="仿宋"/>
                <w:color w:val="auto"/>
                <w:sz w:val="22"/>
                <w:szCs w:val="32"/>
                <w:highlight w:val="none"/>
              </w:rPr>
            </w:pPr>
          </w:p>
        </w:tc>
      </w:tr>
      <w:tr w14:paraId="41F5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0" w:hRule="atLeast"/>
          <w:jc w:val="center"/>
        </w:trPr>
        <w:tc>
          <w:tcPr>
            <w:tcW w:w="421" w:type="dxa"/>
            <w:vMerge w:val="continue"/>
            <w:vAlign w:val="center"/>
          </w:tcPr>
          <w:p w14:paraId="5EDB7A27">
            <w:pPr>
              <w:spacing w:line="276" w:lineRule="auto"/>
              <w:ind w:firstLine="28"/>
              <w:jc w:val="center"/>
              <w:rPr>
                <w:rFonts w:hint="eastAsia" w:ascii="仿宋" w:hAnsi="仿宋" w:eastAsia="仿宋" w:cs="仿宋"/>
                <w:color w:val="auto"/>
                <w:sz w:val="20"/>
                <w:highlight w:val="none"/>
                <w:lang w:val="en-US" w:eastAsia="zh-CN"/>
              </w:rPr>
            </w:pPr>
          </w:p>
        </w:tc>
        <w:tc>
          <w:tcPr>
            <w:tcW w:w="1275" w:type="dxa"/>
            <w:vMerge w:val="continue"/>
            <w:vAlign w:val="center"/>
          </w:tcPr>
          <w:p w14:paraId="6D525F68">
            <w:pPr>
              <w:spacing w:line="276" w:lineRule="auto"/>
              <w:ind w:firstLine="28"/>
              <w:jc w:val="center"/>
              <w:rPr>
                <w:rFonts w:hint="eastAsia" w:ascii="仿宋" w:hAnsi="仿宋" w:eastAsia="仿宋" w:cs="仿宋"/>
                <w:color w:val="auto"/>
                <w:sz w:val="22"/>
                <w:szCs w:val="32"/>
                <w:highlight w:val="none"/>
                <w:lang w:val="en-US" w:eastAsia="zh-CN"/>
              </w:rPr>
            </w:pPr>
          </w:p>
        </w:tc>
        <w:tc>
          <w:tcPr>
            <w:tcW w:w="1223" w:type="dxa"/>
            <w:vAlign w:val="center"/>
          </w:tcPr>
          <w:p w14:paraId="2E06829F">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val="en-US" w:eastAsia="zh-CN"/>
              </w:rPr>
              <w:t>工程进度计划与措施（15分）</w:t>
            </w:r>
          </w:p>
        </w:tc>
        <w:tc>
          <w:tcPr>
            <w:tcW w:w="5315" w:type="dxa"/>
            <w:vAlign w:val="center"/>
          </w:tcPr>
          <w:p w14:paraId="11E2602B">
            <w:pPr>
              <w:spacing w:line="276" w:lineRule="auto"/>
              <w:ind w:left="-38"/>
              <w:rPr>
                <w:rFonts w:hint="eastAsia" w:ascii="仿宋" w:hAnsi="仿宋" w:eastAsia="仿宋" w:cs="仿宋"/>
                <w:color w:val="auto"/>
                <w:sz w:val="22"/>
                <w:szCs w:val="32"/>
                <w:highlight w:val="none"/>
                <w:lang w:eastAsia="zh-CN"/>
              </w:rPr>
            </w:pPr>
            <w:r>
              <w:rPr>
                <w:rFonts w:hint="eastAsia" w:ascii="仿宋" w:hAnsi="仿宋" w:eastAsia="仿宋" w:cs="仿宋"/>
                <w:color w:val="auto"/>
                <w:sz w:val="22"/>
                <w:szCs w:val="32"/>
                <w:highlight w:val="none"/>
                <w:lang w:eastAsia="zh-CN"/>
              </w:rPr>
              <w:t>进度安排满足项目进度要求，实现进度安排的保证措施可行，工期安排是否合理可行，在确保质量、提高工效等方面所起的作用进行评审。</w:t>
            </w:r>
          </w:p>
          <w:p w14:paraId="65286022">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1</w:t>
            </w:r>
            <w:r>
              <w:rPr>
                <w:rFonts w:hint="eastAsia" w:ascii="仿宋" w:hAnsi="仿宋" w:eastAsia="仿宋" w:cs="仿宋"/>
                <w:color w:val="auto"/>
                <w:sz w:val="22"/>
                <w:szCs w:val="32"/>
                <w:highlight w:val="none"/>
                <w:lang w:eastAsia="zh-CN"/>
              </w:rPr>
              <w:t>）内容完整，进度安排科学合理，可操作性强，符合项目实际情况</w:t>
            </w:r>
            <w:r>
              <w:rPr>
                <w:rFonts w:hint="eastAsia" w:ascii="仿宋" w:hAnsi="仿宋" w:eastAsia="仿宋" w:cs="仿宋"/>
                <w:color w:val="auto"/>
                <w:sz w:val="22"/>
                <w:szCs w:val="32"/>
                <w:highlight w:val="none"/>
                <w:lang w:val="en-US" w:eastAsia="zh-CN"/>
              </w:rPr>
              <w:t>得15分；</w:t>
            </w:r>
          </w:p>
          <w:p w14:paraId="3C18B200">
            <w:pPr>
              <w:spacing w:line="276" w:lineRule="auto"/>
              <w:ind w:left="-38"/>
              <w:rPr>
                <w:rFonts w:hint="eastAsia" w:ascii="仿宋" w:hAnsi="仿宋" w:eastAsia="仿宋" w:cs="仿宋"/>
                <w:color w:val="auto"/>
                <w:sz w:val="22"/>
                <w:szCs w:val="32"/>
                <w:highlight w:val="none"/>
                <w:lang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2</w:t>
            </w:r>
            <w:r>
              <w:rPr>
                <w:rFonts w:hint="eastAsia" w:ascii="仿宋" w:hAnsi="仿宋" w:eastAsia="仿宋" w:cs="仿宋"/>
                <w:color w:val="auto"/>
                <w:sz w:val="22"/>
                <w:szCs w:val="32"/>
                <w:highlight w:val="none"/>
                <w:lang w:eastAsia="zh-CN"/>
              </w:rPr>
              <w:t>）内容较完整，进度安排较科学合理，可操作性较强，较符合项目实际情况</w:t>
            </w:r>
            <w:r>
              <w:rPr>
                <w:rFonts w:hint="eastAsia" w:ascii="仿宋" w:hAnsi="仿宋" w:eastAsia="仿宋" w:cs="仿宋"/>
                <w:color w:val="auto"/>
                <w:sz w:val="22"/>
                <w:szCs w:val="32"/>
                <w:highlight w:val="none"/>
                <w:lang w:val="en-US" w:eastAsia="zh-CN"/>
              </w:rPr>
              <w:t>得10分</w:t>
            </w:r>
            <w:r>
              <w:rPr>
                <w:rFonts w:hint="eastAsia" w:ascii="仿宋" w:hAnsi="仿宋" w:eastAsia="仿宋" w:cs="仿宋"/>
                <w:color w:val="auto"/>
                <w:sz w:val="22"/>
                <w:szCs w:val="32"/>
                <w:highlight w:val="none"/>
                <w:lang w:eastAsia="zh-CN"/>
              </w:rPr>
              <w:t>；</w:t>
            </w:r>
          </w:p>
          <w:p w14:paraId="5084FEE4">
            <w:pPr>
              <w:spacing w:line="276" w:lineRule="auto"/>
              <w:ind w:left="-38"/>
              <w:rPr>
                <w:rFonts w:hint="eastAsia" w:ascii="仿宋" w:hAnsi="仿宋" w:eastAsia="仿宋" w:cs="仿宋"/>
                <w:color w:val="auto"/>
                <w:sz w:val="22"/>
                <w:szCs w:val="32"/>
                <w:highlight w:val="none"/>
                <w:lang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3</w:t>
            </w:r>
            <w:r>
              <w:rPr>
                <w:rFonts w:hint="eastAsia" w:ascii="仿宋" w:hAnsi="仿宋" w:eastAsia="仿宋" w:cs="仿宋"/>
                <w:color w:val="auto"/>
                <w:sz w:val="22"/>
                <w:szCs w:val="32"/>
                <w:highlight w:val="none"/>
                <w:lang w:eastAsia="zh-CN"/>
              </w:rPr>
              <w:t>）内容基本完整，进度安排基本科学合理，可操作性一般，基本符合项目实际情况</w:t>
            </w:r>
            <w:r>
              <w:rPr>
                <w:rFonts w:hint="eastAsia" w:ascii="仿宋" w:hAnsi="仿宋" w:eastAsia="仿宋" w:cs="仿宋"/>
                <w:color w:val="auto"/>
                <w:sz w:val="22"/>
                <w:szCs w:val="32"/>
                <w:highlight w:val="none"/>
                <w:lang w:val="en-US" w:eastAsia="zh-CN"/>
              </w:rPr>
              <w:t>得5分</w:t>
            </w:r>
            <w:r>
              <w:rPr>
                <w:rFonts w:hint="eastAsia" w:ascii="仿宋" w:hAnsi="仿宋" w:eastAsia="仿宋" w:cs="仿宋"/>
                <w:color w:val="auto"/>
                <w:sz w:val="22"/>
                <w:szCs w:val="32"/>
                <w:highlight w:val="none"/>
                <w:lang w:eastAsia="zh-CN"/>
              </w:rPr>
              <w:t>；</w:t>
            </w:r>
          </w:p>
          <w:p w14:paraId="26B0E69D">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4</w:t>
            </w:r>
            <w:r>
              <w:rPr>
                <w:rFonts w:hint="eastAsia" w:ascii="仿宋" w:hAnsi="仿宋" w:eastAsia="仿宋" w:cs="仿宋"/>
                <w:color w:val="auto"/>
                <w:sz w:val="22"/>
                <w:szCs w:val="32"/>
                <w:highlight w:val="none"/>
                <w:lang w:eastAsia="zh-CN"/>
              </w:rPr>
              <w:t>）内容不完整性，进度安排科学合理性较差，可操作性较差，方案内容与项目实际情况不符</w:t>
            </w:r>
            <w:r>
              <w:rPr>
                <w:rFonts w:hint="eastAsia" w:ascii="仿宋" w:hAnsi="仿宋" w:eastAsia="仿宋" w:cs="仿宋"/>
                <w:color w:val="auto"/>
                <w:sz w:val="22"/>
                <w:szCs w:val="32"/>
                <w:highlight w:val="none"/>
                <w:lang w:val="en-US" w:eastAsia="zh-CN"/>
              </w:rPr>
              <w:t>得3分；</w:t>
            </w:r>
          </w:p>
          <w:p w14:paraId="426F2E86">
            <w:pPr>
              <w:bidi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22"/>
                <w:szCs w:val="32"/>
                <w:highlight w:val="none"/>
                <w:lang w:val="en-US" w:eastAsia="zh-CN"/>
              </w:rPr>
              <w:t>（5）未提供得0分。</w:t>
            </w:r>
          </w:p>
        </w:tc>
        <w:tc>
          <w:tcPr>
            <w:tcW w:w="1502" w:type="dxa"/>
            <w:gridSpan w:val="2"/>
            <w:vMerge w:val="continue"/>
            <w:vAlign w:val="center"/>
          </w:tcPr>
          <w:p w14:paraId="7D7799E9">
            <w:pPr>
              <w:spacing w:line="276" w:lineRule="auto"/>
              <w:ind w:left="-38"/>
              <w:jc w:val="center"/>
              <w:rPr>
                <w:rFonts w:hint="eastAsia" w:ascii="仿宋" w:hAnsi="仿宋" w:eastAsia="仿宋" w:cs="仿宋"/>
                <w:color w:val="auto"/>
                <w:sz w:val="22"/>
                <w:szCs w:val="32"/>
                <w:highlight w:val="none"/>
              </w:rPr>
            </w:pPr>
          </w:p>
        </w:tc>
      </w:tr>
      <w:tr w14:paraId="5DE4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62" w:hRule="atLeast"/>
          <w:jc w:val="center"/>
        </w:trPr>
        <w:tc>
          <w:tcPr>
            <w:tcW w:w="421" w:type="dxa"/>
            <w:vMerge w:val="restart"/>
            <w:vAlign w:val="center"/>
          </w:tcPr>
          <w:p w14:paraId="1AB800D3">
            <w:pPr>
              <w:spacing w:line="276" w:lineRule="auto"/>
              <w:ind w:firstLine="28"/>
              <w:jc w:val="center"/>
              <w:rPr>
                <w:rFonts w:hint="eastAsia" w:ascii="仿宋" w:hAnsi="仿宋" w:eastAsia="仿宋" w:cs="仿宋"/>
                <w:color w:val="auto"/>
                <w:sz w:val="20"/>
                <w:highlight w:val="none"/>
              </w:rPr>
            </w:pPr>
            <w:r>
              <w:rPr>
                <w:rFonts w:hint="eastAsia" w:ascii="仿宋" w:hAnsi="仿宋" w:eastAsia="仿宋" w:cs="仿宋"/>
                <w:color w:val="auto"/>
                <w:sz w:val="20"/>
                <w:highlight w:val="none"/>
              </w:rPr>
              <w:t>3</w:t>
            </w:r>
          </w:p>
        </w:tc>
        <w:tc>
          <w:tcPr>
            <w:tcW w:w="1275" w:type="dxa"/>
            <w:vMerge w:val="restart"/>
            <w:vAlign w:val="center"/>
          </w:tcPr>
          <w:p w14:paraId="4E61B6AE">
            <w:pPr>
              <w:spacing w:line="276" w:lineRule="auto"/>
              <w:ind w:firstLine="28"/>
              <w:jc w:val="center"/>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商务部分</w:t>
            </w:r>
          </w:p>
          <w:p w14:paraId="5F1189F2">
            <w:pPr>
              <w:spacing w:line="276" w:lineRule="auto"/>
              <w:ind w:firstLine="28"/>
              <w:jc w:val="center"/>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（1</w:t>
            </w:r>
            <w:r>
              <w:rPr>
                <w:rFonts w:hint="eastAsia" w:ascii="仿宋" w:hAnsi="仿宋" w:eastAsia="仿宋" w:cs="仿宋"/>
                <w:color w:val="auto"/>
                <w:sz w:val="22"/>
                <w:szCs w:val="32"/>
                <w:highlight w:val="none"/>
                <w:lang w:val="en-US" w:eastAsia="zh-CN"/>
              </w:rPr>
              <w:t>0</w:t>
            </w:r>
            <w:r>
              <w:rPr>
                <w:rFonts w:hint="eastAsia" w:ascii="仿宋" w:hAnsi="仿宋" w:eastAsia="仿宋" w:cs="仿宋"/>
                <w:color w:val="auto"/>
                <w:sz w:val="22"/>
                <w:szCs w:val="32"/>
                <w:highlight w:val="none"/>
              </w:rPr>
              <w:t>%）</w:t>
            </w:r>
          </w:p>
        </w:tc>
        <w:tc>
          <w:tcPr>
            <w:tcW w:w="1223" w:type="dxa"/>
            <w:vAlign w:val="center"/>
          </w:tcPr>
          <w:p w14:paraId="16C2FCD6">
            <w:pPr>
              <w:spacing w:line="276" w:lineRule="auto"/>
              <w:ind w:firstLine="28"/>
              <w:jc w:val="center"/>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售后服务（</w:t>
            </w:r>
            <w:r>
              <w:rPr>
                <w:rFonts w:hint="eastAsia" w:ascii="仿宋" w:hAnsi="仿宋" w:eastAsia="仿宋" w:cs="仿宋"/>
                <w:color w:val="auto"/>
                <w:sz w:val="22"/>
                <w:szCs w:val="32"/>
                <w:highlight w:val="none"/>
                <w:lang w:val="en-US" w:eastAsia="zh-CN"/>
              </w:rPr>
              <w:t>5分</w:t>
            </w:r>
            <w:r>
              <w:rPr>
                <w:rFonts w:hint="eastAsia" w:ascii="仿宋" w:hAnsi="仿宋" w:eastAsia="仿宋" w:cs="仿宋"/>
                <w:color w:val="auto"/>
                <w:sz w:val="22"/>
                <w:szCs w:val="32"/>
                <w:highlight w:val="none"/>
              </w:rPr>
              <w:t>）</w:t>
            </w:r>
          </w:p>
          <w:p w14:paraId="78A97808">
            <w:pPr>
              <w:spacing w:line="276" w:lineRule="auto"/>
              <w:ind w:firstLine="28"/>
              <w:jc w:val="center"/>
              <w:rPr>
                <w:rFonts w:hint="eastAsia" w:ascii="仿宋" w:hAnsi="仿宋" w:eastAsia="仿宋" w:cs="仿宋"/>
                <w:color w:val="auto"/>
                <w:sz w:val="22"/>
                <w:szCs w:val="32"/>
                <w:highlight w:val="none"/>
              </w:rPr>
            </w:pPr>
          </w:p>
        </w:tc>
        <w:tc>
          <w:tcPr>
            <w:tcW w:w="5315" w:type="dxa"/>
            <w:vAlign w:val="center"/>
          </w:tcPr>
          <w:p w14:paraId="1B1F0FC2">
            <w:pPr>
              <w:spacing w:line="276" w:lineRule="auto"/>
              <w:ind w:firstLine="330" w:firstLineChars="150"/>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根据供应商提供的售后服务方案（编制要点：包括但不限于服务保障方案、保障人员）</w:t>
            </w:r>
          </w:p>
          <w:p w14:paraId="469596CC">
            <w:pPr>
              <w:spacing w:line="276" w:lineRule="auto"/>
              <w:ind w:firstLine="28"/>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服务保障方案完善可执行能力强、设置有专门保障人员且合理的，得</w:t>
            </w:r>
            <w:r>
              <w:rPr>
                <w:rFonts w:hint="eastAsia" w:ascii="仿宋" w:hAnsi="仿宋" w:eastAsia="仿宋" w:cs="仿宋"/>
                <w:color w:val="auto"/>
                <w:sz w:val="22"/>
                <w:szCs w:val="32"/>
                <w:highlight w:val="none"/>
                <w:lang w:val="en-US" w:eastAsia="zh-CN"/>
              </w:rPr>
              <w:t>5</w:t>
            </w:r>
            <w:r>
              <w:rPr>
                <w:rFonts w:hint="eastAsia" w:ascii="仿宋" w:hAnsi="仿宋" w:eastAsia="仿宋" w:cs="仿宋"/>
                <w:color w:val="auto"/>
                <w:sz w:val="22"/>
                <w:szCs w:val="32"/>
                <w:highlight w:val="none"/>
              </w:rPr>
              <w:t>分；</w:t>
            </w:r>
          </w:p>
          <w:p w14:paraId="741370A2">
            <w:pPr>
              <w:spacing w:line="276" w:lineRule="auto"/>
              <w:ind w:firstLine="28"/>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服务保障方案不够完善但具备一定执行能力、设置有专门保障人员的，得</w:t>
            </w:r>
            <w:r>
              <w:rPr>
                <w:rFonts w:hint="eastAsia" w:ascii="仿宋" w:hAnsi="仿宋" w:eastAsia="仿宋" w:cs="仿宋"/>
                <w:color w:val="auto"/>
                <w:sz w:val="22"/>
                <w:szCs w:val="32"/>
                <w:highlight w:val="none"/>
                <w:lang w:val="en-US" w:eastAsia="zh-CN"/>
              </w:rPr>
              <w:t>4</w:t>
            </w:r>
            <w:r>
              <w:rPr>
                <w:rFonts w:hint="eastAsia" w:ascii="仿宋" w:hAnsi="仿宋" w:eastAsia="仿宋" w:cs="仿宋"/>
                <w:color w:val="auto"/>
                <w:sz w:val="22"/>
                <w:szCs w:val="32"/>
                <w:highlight w:val="none"/>
              </w:rPr>
              <w:t>分；</w:t>
            </w:r>
          </w:p>
          <w:p w14:paraId="48AF65F1">
            <w:pPr>
              <w:spacing w:line="276" w:lineRule="auto"/>
              <w:ind w:firstLine="28"/>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服务保障方案不够完善可执行能力较差、保障人员不具体的，得</w:t>
            </w:r>
            <w:r>
              <w:rPr>
                <w:rFonts w:hint="eastAsia" w:ascii="仿宋" w:hAnsi="仿宋" w:eastAsia="仿宋" w:cs="仿宋"/>
                <w:color w:val="auto"/>
                <w:sz w:val="22"/>
                <w:szCs w:val="32"/>
                <w:highlight w:val="none"/>
                <w:lang w:val="en-US" w:eastAsia="zh-CN"/>
              </w:rPr>
              <w:t>2</w:t>
            </w:r>
            <w:r>
              <w:rPr>
                <w:rFonts w:hint="eastAsia" w:ascii="仿宋" w:hAnsi="仿宋" w:eastAsia="仿宋" w:cs="仿宋"/>
                <w:color w:val="auto"/>
                <w:sz w:val="22"/>
                <w:szCs w:val="32"/>
                <w:highlight w:val="none"/>
              </w:rPr>
              <w:t>分；</w:t>
            </w:r>
          </w:p>
          <w:p w14:paraId="25199D7E">
            <w:pPr>
              <w:spacing w:line="276" w:lineRule="auto"/>
              <w:ind w:firstLine="28"/>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服务保障方案不完善不具备可执行能力、无保障人员安排的，或未提供的得0分。</w:t>
            </w:r>
          </w:p>
        </w:tc>
        <w:tc>
          <w:tcPr>
            <w:tcW w:w="1501" w:type="dxa"/>
            <w:vAlign w:val="center"/>
          </w:tcPr>
          <w:p w14:paraId="5FF79D95">
            <w:pPr>
              <w:spacing w:line="276" w:lineRule="auto"/>
              <w:ind w:firstLine="2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val="en-US" w:eastAsia="zh-CN"/>
              </w:rPr>
              <w:t>评审小组根据供应商提供的售后服务方案进行评审。</w:t>
            </w:r>
          </w:p>
        </w:tc>
      </w:tr>
      <w:tr w14:paraId="1601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90" w:hRule="atLeast"/>
          <w:jc w:val="center"/>
        </w:trPr>
        <w:tc>
          <w:tcPr>
            <w:tcW w:w="421" w:type="dxa"/>
            <w:vMerge w:val="continue"/>
            <w:vAlign w:val="center"/>
          </w:tcPr>
          <w:p w14:paraId="1C71EDD4">
            <w:pPr>
              <w:spacing w:line="276" w:lineRule="auto"/>
              <w:ind w:firstLine="28"/>
              <w:jc w:val="center"/>
              <w:rPr>
                <w:rFonts w:hint="eastAsia" w:ascii="仿宋" w:hAnsi="仿宋" w:eastAsia="仿宋" w:cs="仿宋"/>
                <w:color w:val="auto"/>
                <w:sz w:val="20"/>
                <w:highlight w:val="none"/>
              </w:rPr>
            </w:pPr>
          </w:p>
        </w:tc>
        <w:tc>
          <w:tcPr>
            <w:tcW w:w="1275" w:type="dxa"/>
            <w:vMerge w:val="continue"/>
            <w:vAlign w:val="center"/>
          </w:tcPr>
          <w:p w14:paraId="6311A6B2">
            <w:pPr>
              <w:spacing w:line="276" w:lineRule="auto"/>
              <w:ind w:firstLine="28"/>
              <w:jc w:val="center"/>
              <w:rPr>
                <w:rFonts w:hint="eastAsia" w:ascii="仿宋" w:hAnsi="仿宋" w:eastAsia="仿宋" w:cs="仿宋"/>
                <w:color w:val="auto"/>
                <w:sz w:val="22"/>
                <w:szCs w:val="32"/>
                <w:highlight w:val="none"/>
              </w:rPr>
            </w:pPr>
          </w:p>
        </w:tc>
        <w:tc>
          <w:tcPr>
            <w:tcW w:w="1223" w:type="dxa"/>
            <w:vAlign w:val="center"/>
          </w:tcPr>
          <w:p w14:paraId="4E46F4EE">
            <w:pPr>
              <w:spacing w:line="276" w:lineRule="auto"/>
              <w:ind w:firstLine="28"/>
              <w:jc w:val="center"/>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val="en-US" w:eastAsia="zh-CN"/>
              </w:rPr>
              <w:t>业绩</w:t>
            </w:r>
          </w:p>
          <w:p w14:paraId="487DE2B2">
            <w:pPr>
              <w:bidi w:val="0"/>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22"/>
                <w:szCs w:val="32"/>
                <w:highlight w:val="none"/>
                <w:lang w:val="en-US" w:eastAsia="zh-CN"/>
              </w:rPr>
              <w:t>（5分）</w:t>
            </w:r>
          </w:p>
        </w:tc>
        <w:tc>
          <w:tcPr>
            <w:tcW w:w="5315" w:type="dxa"/>
            <w:vAlign w:val="center"/>
          </w:tcPr>
          <w:p w14:paraId="6ECAFA21">
            <w:pPr>
              <w:spacing w:line="276" w:lineRule="auto"/>
              <w:ind w:firstLine="28" w:firstLineChars="0"/>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lang w:val="en-US" w:eastAsia="zh-CN"/>
              </w:rPr>
              <w:t>2022年1月1日至投标截止时间</w:t>
            </w:r>
            <w:r>
              <w:rPr>
                <w:rFonts w:hint="eastAsia" w:ascii="仿宋" w:hAnsi="仿宋" w:eastAsia="仿宋" w:cs="仿宋"/>
                <w:color w:val="auto"/>
                <w:sz w:val="22"/>
                <w:szCs w:val="32"/>
                <w:highlight w:val="none"/>
              </w:rPr>
              <w:t>供应商具</w:t>
            </w:r>
            <w:r>
              <w:rPr>
                <w:rFonts w:hint="eastAsia" w:ascii="仿宋" w:hAnsi="仿宋" w:eastAsia="仿宋" w:cs="仿宋"/>
                <w:color w:val="auto"/>
                <w:sz w:val="22"/>
                <w:szCs w:val="32"/>
                <w:highlight w:val="none"/>
                <w:lang w:val="en-US" w:eastAsia="zh-CN"/>
              </w:rPr>
              <w:t>有校园改造</w:t>
            </w:r>
            <w:r>
              <w:rPr>
                <w:rFonts w:hint="eastAsia" w:ascii="仿宋" w:hAnsi="仿宋" w:eastAsia="仿宋" w:cs="仿宋"/>
                <w:color w:val="auto"/>
                <w:sz w:val="22"/>
                <w:szCs w:val="32"/>
                <w:highlight w:val="none"/>
              </w:rPr>
              <w:t>相关业绩的，每</w:t>
            </w:r>
            <w:r>
              <w:rPr>
                <w:rFonts w:hint="eastAsia" w:ascii="仿宋" w:hAnsi="仿宋" w:eastAsia="仿宋" w:cs="仿宋"/>
                <w:color w:val="auto"/>
                <w:sz w:val="22"/>
                <w:szCs w:val="32"/>
                <w:highlight w:val="none"/>
                <w:lang w:val="en-US" w:eastAsia="zh-CN"/>
              </w:rPr>
              <w:t>提供</w:t>
            </w:r>
            <w:r>
              <w:rPr>
                <w:rFonts w:hint="eastAsia" w:ascii="仿宋" w:hAnsi="仿宋" w:eastAsia="仿宋" w:cs="仿宋"/>
                <w:color w:val="auto"/>
                <w:sz w:val="22"/>
                <w:szCs w:val="32"/>
                <w:highlight w:val="none"/>
              </w:rPr>
              <w:t>1个得</w:t>
            </w:r>
            <w:r>
              <w:rPr>
                <w:rFonts w:hint="eastAsia" w:ascii="仿宋" w:hAnsi="仿宋" w:eastAsia="仿宋" w:cs="仿宋"/>
                <w:color w:val="auto"/>
                <w:sz w:val="22"/>
                <w:szCs w:val="32"/>
                <w:highlight w:val="none"/>
                <w:lang w:val="en-US" w:eastAsia="zh-CN"/>
              </w:rPr>
              <w:t>2.5</w:t>
            </w:r>
            <w:r>
              <w:rPr>
                <w:rFonts w:hint="eastAsia" w:ascii="仿宋" w:hAnsi="仿宋" w:eastAsia="仿宋" w:cs="仿宋"/>
                <w:color w:val="auto"/>
                <w:sz w:val="22"/>
                <w:szCs w:val="32"/>
                <w:highlight w:val="none"/>
              </w:rPr>
              <w:t>分，最多得</w:t>
            </w:r>
            <w:r>
              <w:rPr>
                <w:rFonts w:hint="eastAsia" w:ascii="仿宋" w:hAnsi="仿宋" w:eastAsia="仿宋" w:cs="仿宋"/>
                <w:color w:val="auto"/>
                <w:sz w:val="22"/>
                <w:szCs w:val="32"/>
                <w:highlight w:val="none"/>
                <w:lang w:val="en-US" w:eastAsia="zh-CN"/>
              </w:rPr>
              <w:t>5</w:t>
            </w:r>
            <w:r>
              <w:rPr>
                <w:rFonts w:hint="eastAsia" w:ascii="仿宋" w:hAnsi="仿宋" w:eastAsia="仿宋" w:cs="仿宋"/>
                <w:color w:val="auto"/>
                <w:sz w:val="22"/>
                <w:szCs w:val="32"/>
                <w:highlight w:val="none"/>
              </w:rPr>
              <w:t>分</w:t>
            </w:r>
            <w:bookmarkStart w:id="230" w:name="_GoBack"/>
            <w:bookmarkEnd w:id="230"/>
            <w:r>
              <w:rPr>
                <w:rFonts w:hint="eastAsia" w:ascii="仿宋" w:hAnsi="仿宋" w:eastAsia="仿宋" w:cs="仿宋"/>
                <w:color w:val="auto"/>
                <w:sz w:val="22"/>
                <w:szCs w:val="32"/>
                <w:highlight w:val="none"/>
              </w:rPr>
              <w:t>。</w:t>
            </w:r>
          </w:p>
        </w:tc>
        <w:tc>
          <w:tcPr>
            <w:tcW w:w="1501" w:type="dxa"/>
            <w:vAlign w:val="center"/>
          </w:tcPr>
          <w:p w14:paraId="0CC0A137">
            <w:pPr>
              <w:spacing w:line="276" w:lineRule="auto"/>
              <w:ind w:firstLine="28" w:firstLineChars="0"/>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提供合同复印件并加盖公章。</w:t>
            </w:r>
          </w:p>
        </w:tc>
      </w:tr>
    </w:tbl>
    <w:p w14:paraId="6D0B0CF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比选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比选小组应当将其作为无效投标处理。</w:t>
      </w:r>
    </w:p>
    <w:p w14:paraId="3C46DEA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采取采购人确定成交供应商的，采购代理机构应当在评审结束后2个工作日内将评审报告送采购人确认。采购人应当在收到评审报告后5个工作日内，从评审报告提出的成交候选人中，根据质量和服务均能满足比选通知书实质性响应要求且综合得分最高的原则确定成交供应商。采购人逾期未确定成交供应商且不提出异议的，视为确定评审报告提出的得分最高的供应商为成交供应商。采购人也可以授权比选小组直接确定成交供应商。</w:t>
      </w:r>
    </w:p>
    <w:p w14:paraId="0704AAB5">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68" w:name="_Toc1719"/>
      <w:bookmarkStart w:id="69" w:name="_Toc25197"/>
      <w:r>
        <w:rPr>
          <w:rFonts w:hint="eastAsia" w:ascii="仿宋" w:hAnsi="仿宋" w:eastAsia="仿宋" w:cs="仿宋"/>
          <w:color w:val="auto"/>
          <w:sz w:val="24"/>
          <w:szCs w:val="24"/>
        </w:rPr>
        <w:t>六、评审依据</w:t>
      </w:r>
      <w:bookmarkEnd w:id="68"/>
      <w:bookmarkEnd w:id="69"/>
    </w:p>
    <w:p w14:paraId="2DEA11A7">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评审的依据为比选通知书和响应文件（含有效的补充文件）。比选小组判断响应文件对比选通知书的响应，仅基于响应文件本身而不靠外部证据。</w:t>
      </w:r>
    </w:p>
    <w:p w14:paraId="2E48D13E">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en-US"/>
        </w:rPr>
      </w:pPr>
      <w:bookmarkStart w:id="70" w:name="_Toc487204785"/>
      <w:bookmarkStart w:id="71" w:name="_Toc426965636"/>
      <w:bookmarkStart w:id="72" w:name="_Toc342913395"/>
      <w:bookmarkStart w:id="73" w:name="_Toc102227321"/>
      <w:bookmarkStart w:id="74" w:name="_Toc8009"/>
      <w:r>
        <w:rPr>
          <w:rFonts w:hint="eastAsia" w:ascii="仿宋" w:hAnsi="仿宋" w:eastAsia="仿宋" w:cs="仿宋"/>
          <w:color w:val="auto"/>
          <w:sz w:val="24"/>
          <w:szCs w:val="24"/>
        </w:rPr>
        <w:t>七、成交通知</w:t>
      </w:r>
      <w:bookmarkEnd w:id="70"/>
      <w:bookmarkEnd w:id="71"/>
      <w:bookmarkEnd w:id="72"/>
      <w:bookmarkEnd w:id="73"/>
      <w:bookmarkEnd w:id="74"/>
    </w:p>
    <w:p w14:paraId="026631CE">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（一）成交供应商确定后，采购代理机构将在“行采家(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"http://www.cqgp.gov.cn）上发布成交结果公示。" </w:instrText>
      </w:r>
      <w:r>
        <w:rPr>
          <w:rFonts w:hint="eastAsia" w:ascii="仿宋" w:hAnsi="仿宋" w:eastAsia="仿宋" w:cs="仿宋"/>
          <w:color w:val="auto"/>
        </w:rPr>
        <w:fldChar w:fldCharType="separate"/>
      </w:r>
      <w:r>
        <w:rPr>
          <w:rFonts w:hint="eastAsia" w:ascii="仿宋" w:hAnsi="仿宋" w:eastAsia="仿宋" w:cs="仿宋"/>
          <w:color w:val="auto"/>
        </w:rPr>
        <w:t>上发布成交结果公示。</w:t>
      </w:r>
      <w:r>
        <w:rPr>
          <w:rFonts w:hint="eastAsia" w:ascii="仿宋" w:hAnsi="仿宋" w:eastAsia="仿宋" w:cs="仿宋"/>
          <w:color w:val="auto"/>
        </w:rPr>
        <w:fldChar w:fldCharType="end"/>
      </w:r>
    </w:p>
    <w:p w14:paraId="698930E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（二）结果公告发出同时，采购代理机构将以书面形式发出《成交通知书》。《成交通知书》一经发出即发生法律效力。</w:t>
      </w:r>
    </w:p>
    <w:p w14:paraId="3ED023BD">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（三）《成交通知书》将作为签订合同的依据。</w:t>
      </w:r>
    </w:p>
    <w:p w14:paraId="5300125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（四）如有供应商对成交结果提出质疑的，在质疑处理完毕后发出成交通知书。</w:t>
      </w:r>
    </w:p>
    <w:p w14:paraId="4FCB0087">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75" w:name="_Toc426965637"/>
      <w:bookmarkStart w:id="76" w:name="_Toc3695"/>
      <w:bookmarkStart w:id="77" w:name="_Toc487204786"/>
      <w:bookmarkStart w:id="78" w:name="_Toc10863"/>
      <w:r>
        <w:rPr>
          <w:rFonts w:hint="eastAsia" w:ascii="仿宋" w:hAnsi="仿宋" w:eastAsia="仿宋" w:cs="仿宋"/>
          <w:color w:val="auto"/>
          <w:sz w:val="24"/>
          <w:szCs w:val="24"/>
        </w:rPr>
        <w:t>八、关于质疑和投诉</w:t>
      </w:r>
      <w:bookmarkEnd w:id="75"/>
      <w:bookmarkEnd w:id="76"/>
      <w:bookmarkEnd w:id="77"/>
      <w:bookmarkEnd w:id="78"/>
    </w:p>
    <w:p w14:paraId="063A92C5">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（一）质疑内容、时限</w:t>
      </w:r>
    </w:p>
    <w:p w14:paraId="58324E35">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1、供应商对成交结果有异议的，应当在结果预公示发布之日起七个工作日内以书面形式向采购人、采购代理机构提出质疑，并附相关证明材料。</w:t>
      </w:r>
    </w:p>
    <w:p w14:paraId="3A8904C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2、供应商对比选通知书中供应商特定资格条件、技术质量和商务要求、评审标准及评审细则有异议的，应主要向采购人提出质疑，其他问题可向采购代理机构提出质疑。</w:t>
      </w:r>
    </w:p>
    <w:p w14:paraId="59B379B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（二）质疑答复</w:t>
      </w:r>
    </w:p>
    <w:p w14:paraId="0443299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采购人、采购代理机构将参照《重庆市政府采购供应商质疑投诉处理暂行规定》的相关规定对质疑内容作出答复和处理。</w:t>
      </w:r>
    </w:p>
    <w:p w14:paraId="26FB7908">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79" w:name="_Toc102227322"/>
      <w:bookmarkStart w:id="80" w:name="_Toc487204787"/>
      <w:bookmarkStart w:id="81" w:name="_Toc23427"/>
      <w:bookmarkStart w:id="82" w:name="_Toc342913396"/>
      <w:bookmarkStart w:id="83" w:name="_Toc426965638"/>
      <w:bookmarkStart w:id="84" w:name="_Toc31291"/>
      <w:r>
        <w:rPr>
          <w:rFonts w:hint="eastAsia" w:ascii="仿宋" w:hAnsi="仿宋" w:eastAsia="仿宋" w:cs="仿宋"/>
          <w:color w:val="auto"/>
          <w:sz w:val="24"/>
          <w:szCs w:val="24"/>
        </w:rPr>
        <w:t>九、签订</w:t>
      </w:r>
      <w:bookmarkEnd w:id="79"/>
      <w:r>
        <w:rPr>
          <w:rFonts w:hint="eastAsia" w:ascii="仿宋" w:hAnsi="仿宋" w:eastAsia="仿宋" w:cs="仿宋"/>
          <w:color w:val="auto"/>
          <w:sz w:val="24"/>
          <w:szCs w:val="24"/>
        </w:rPr>
        <w:t>合同</w:t>
      </w:r>
      <w:bookmarkEnd w:id="80"/>
      <w:bookmarkEnd w:id="81"/>
      <w:bookmarkEnd w:id="82"/>
      <w:bookmarkEnd w:id="83"/>
      <w:bookmarkEnd w:id="84"/>
    </w:p>
    <w:p w14:paraId="06F9912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（一）采购人与成交供应商应当在成交通知书发出之日起</w:t>
      </w:r>
      <w:r>
        <w:rPr>
          <w:rFonts w:hint="eastAsia" w:ascii="仿宋" w:hAnsi="仿宋" w:eastAsia="仿宋" w:cs="仿宋"/>
          <w:color w:val="auto"/>
          <w:lang w:val="en-US" w:eastAsia="zh-CN"/>
        </w:rPr>
        <w:t>2</w:t>
      </w:r>
      <w:r>
        <w:rPr>
          <w:rFonts w:hint="eastAsia" w:ascii="仿宋" w:hAnsi="仿宋" w:eastAsia="仿宋" w:cs="仿宋"/>
          <w:color w:val="auto"/>
        </w:rPr>
        <w:t>0日内，按照比选文件确定的合同文本以及采购标的、规格型号、采购金额、采购数量、技术和服务要求等事项签订采购合同。</w:t>
      </w:r>
    </w:p>
    <w:p w14:paraId="51804AAD">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（二）比选通知书、成交供应商的响应文件及有效承诺文件等，均为签订合同的依据。</w:t>
      </w:r>
    </w:p>
    <w:p w14:paraId="4E23803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（三）成交供应商未按照比选通知书确定的事项签订合同，或者与采购人另行订立背离合同实质性内容协议的，将承担相关法律责任。</w:t>
      </w:r>
    </w:p>
    <w:p w14:paraId="2AF5CB1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四）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6E23BEBC">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（五）除不可抗力等因素外，成交通知书发出后，采购人改变成交结果，或者成交供应商无正当理由拒绝签订采购合同的，应当承担相应的法律责任。</w:t>
      </w:r>
    </w:p>
    <w:p w14:paraId="120B56DA">
      <w:pPr>
        <w:ind w:firstLine="720" w:firstLineChars="300"/>
        <w:rPr>
          <w:rFonts w:hint="eastAsia" w:ascii="仿宋" w:hAnsi="仿宋" w:eastAsia="仿宋" w:cs="仿宋"/>
          <w:color w:val="auto"/>
        </w:rPr>
        <w:sectPr>
          <w:headerReference r:id="rId9" w:type="default"/>
          <w:pgSz w:w="11907" w:h="16840"/>
          <w:pgMar w:top="1440" w:right="1080" w:bottom="1440" w:left="1080" w:header="454" w:footer="567" w:gutter="0"/>
          <w:pgNumType w:fmt="numberInDash"/>
          <w:cols w:space="720" w:num="1"/>
          <w:docGrid w:type="linesAndChars" w:linePitch="381" w:charSpace="0"/>
        </w:sectPr>
      </w:pPr>
    </w:p>
    <w:p w14:paraId="2F9EE36F">
      <w:pPr>
        <w:rPr>
          <w:rStyle w:val="35"/>
          <w:rFonts w:hint="eastAsia" w:ascii="仿宋" w:hAnsi="仿宋" w:eastAsia="仿宋" w:cs="仿宋"/>
          <w:bCs w:val="0"/>
          <w:color w:val="auto"/>
        </w:rPr>
      </w:pPr>
      <w:r>
        <w:rPr>
          <w:rStyle w:val="35"/>
          <w:rFonts w:hint="eastAsia" w:ascii="仿宋" w:hAnsi="仿宋" w:eastAsia="仿宋" w:cs="仿宋"/>
          <w:bCs w:val="0"/>
          <w:color w:val="auto"/>
        </w:rPr>
        <w:br w:type="page"/>
      </w:r>
    </w:p>
    <w:p w14:paraId="7A64E7FA">
      <w:pPr>
        <w:pStyle w:val="3"/>
        <w:jc w:val="center"/>
        <w:rPr>
          <w:rStyle w:val="35"/>
          <w:rFonts w:hint="eastAsia" w:ascii="仿宋" w:hAnsi="仿宋" w:eastAsia="仿宋" w:cs="仿宋"/>
          <w:b/>
          <w:bCs w:val="0"/>
          <w:color w:val="auto"/>
        </w:rPr>
      </w:pPr>
      <w:bookmarkStart w:id="85" w:name="_Toc21450"/>
      <w:r>
        <w:rPr>
          <w:rStyle w:val="35"/>
          <w:rFonts w:hint="eastAsia" w:ascii="仿宋" w:hAnsi="仿宋" w:eastAsia="仿宋" w:cs="仿宋"/>
          <w:b/>
          <w:bCs w:val="0"/>
          <w:color w:val="auto"/>
        </w:rPr>
        <w:t>第三篇  比选采购服务</w:t>
      </w:r>
      <w:bookmarkEnd w:id="35"/>
      <w:r>
        <w:rPr>
          <w:rStyle w:val="35"/>
          <w:rFonts w:hint="eastAsia" w:ascii="仿宋" w:hAnsi="仿宋" w:eastAsia="仿宋" w:cs="仿宋"/>
          <w:b/>
          <w:bCs w:val="0"/>
          <w:color w:val="auto"/>
        </w:rPr>
        <w:t>需求</w:t>
      </w:r>
      <w:bookmarkEnd w:id="85"/>
    </w:p>
    <w:p w14:paraId="56BE04F5">
      <w:pPr>
        <w:pStyle w:val="3"/>
        <w:widowControl w:val="0"/>
        <w:spacing w:before="0" w:beforeLines="0" w:beforeAutospacing="0" w:after="0" w:afterLines="0" w:afterAutospacing="0" w:line="500" w:lineRule="exact"/>
        <w:jc w:val="both"/>
        <w:rPr>
          <w:rFonts w:hint="eastAsia" w:ascii="仿宋" w:hAnsi="仿宋" w:eastAsia="仿宋" w:cs="方正仿宋_GBK"/>
          <w:bCs/>
          <w:color w:val="auto"/>
          <w:kern w:val="2"/>
          <w:sz w:val="24"/>
          <w:szCs w:val="24"/>
        </w:rPr>
      </w:pPr>
      <w:bookmarkStart w:id="86" w:name="_Toc120894139"/>
      <w:bookmarkStart w:id="87" w:name="_Toc148521461"/>
      <w:bookmarkStart w:id="88" w:name="_Toc149579017"/>
      <w:bookmarkStart w:id="89" w:name="_Toc22073"/>
      <w:bookmarkStart w:id="90" w:name="_Toc54879127"/>
      <w:bookmarkStart w:id="91" w:name="_Toc83805584"/>
      <w:bookmarkStart w:id="92" w:name="_Toc11115"/>
      <w:bookmarkStart w:id="93" w:name="_Toc78793920"/>
      <w:bookmarkStart w:id="94" w:name="_Toc49960014"/>
      <w:bookmarkStart w:id="95" w:name="_Toc91171606"/>
      <w:bookmarkStart w:id="96" w:name="_Toc9220"/>
      <w:bookmarkStart w:id="97" w:name="_Toc55403968"/>
      <w:bookmarkStart w:id="98" w:name="_Toc37860275"/>
      <w:bookmarkStart w:id="99" w:name="_Toc12789058"/>
      <w:bookmarkStart w:id="100" w:name="_Toc128744993"/>
      <w:r>
        <w:rPr>
          <w:rFonts w:hint="eastAsia" w:ascii="仿宋" w:hAnsi="仿宋" w:eastAsia="仿宋" w:cs="仿宋"/>
          <w:color w:val="auto"/>
          <w:sz w:val="24"/>
          <w:szCs w:val="24"/>
        </w:rPr>
        <w:t>※</w:t>
      </w:r>
      <w:bookmarkEnd w:id="86"/>
      <w:bookmarkEnd w:id="87"/>
      <w:bookmarkEnd w:id="88"/>
      <w:bookmarkStart w:id="101" w:name="_Toc76462326"/>
      <w:bookmarkStart w:id="102" w:name="_Toc344475116"/>
      <w:bookmarkStart w:id="103" w:name="_Toc313536013"/>
      <w:bookmarkStart w:id="104" w:name="_Toc106030881"/>
      <w:bookmarkStart w:id="105" w:name="_Toc148521463"/>
      <w:bookmarkStart w:id="106" w:name="_Toc149579019"/>
      <w:bookmarkStart w:id="107" w:name="_Toc55403966"/>
      <w:bookmarkStart w:id="108" w:name="_Toc120894141"/>
      <w:bookmarkStart w:id="109" w:name="_Toc54879125"/>
      <w:r>
        <w:rPr>
          <w:rFonts w:hint="eastAsia" w:ascii="仿宋" w:hAnsi="仿宋" w:eastAsia="仿宋" w:cs="仿宋"/>
          <w:color w:val="auto"/>
          <w:sz w:val="24"/>
          <w:szCs w:val="24"/>
          <w:lang w:val="en-US" w:eastAsia="zh-CN"/>
        </w:rPr>
        <w:t>一、</w:t>
      </w:r>
      <w:r>
        <w:rPr>
          <w:rFonts w:hint="eastAsia" w:ascii="仿宋" w:hAnsi="仿宋" w:eastAsia="仿宋" w:cs="方正仿宋_GBK"/>
          <w:bCs/>
          <w:color w:val="auto"/>
          <w:kern w:val="2"/>
          <w:sz w:val="24"/>
          <w:szCs w:val="24"/>
        </w:rPr>
        <w:t>项目</w:t>
      </w:r>
      <w:r>
        <w:rPr>
          <w:rFonts w:hint="eastAsia" w:ascii="仿宋" w:hAnsi="仿宋" w:eastAsia="仿宋" w:cs="方正仿宋_GBK"/>
          <w:bCs/>
          <w:color w:val="auto"/>
          <w:kern w:val="2"/>
          <w:sz w:val="24"/>
          <w:szCs w:val="24"/>
          <w:lang w:val="en-US" w:eastAsia="zh-CN"/>
        </w:rPr>
        <w:t>基本情况介绍</w:t>
      </w:r>
      <w:bookmarkEnd w:id="89"/>
    </w:p>
    <w:bookmarkEnd w:id="101"/>
    <w:bookmarkEnd w:id="102"/>
    <w:bookmarkEnd w:id="103"/>
    <w:bookmarkEnd w:id="104"/>
    <w:p w14:paraId="39DC7799">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（一）工程名称：马嘴实验学校围墙等附属设施维修项目</w:t>
      </w:r>
    </w:p>
    <w:p w14:paraId="556FB7CD">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（二）工程地址：重庆市南川区马嘴实验学校（采购人指定地点）</w:t>
      </w:r>
    </w:p>
    <w:p w14:paraId="67718560">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（三）服务需求：</w:t>
      </w:r>
    </w:p>
    <w:p w14:paraId="2AE3904F">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本项目为马嘴实验学校围墙等附属设施维修项目，成交供应商须服从采购人管理，严格遵照国家现行质量与安全相关规范及采购人要求，按质、按量、按期完成全部服务内容；具体服务范围及要求详见工程量清单、采购文件、答疑资料、澄清资料等各类补遗资料。</w:t>
      </w:r>
    </w:p>
    <w:p w14:paraId="1F574B21">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2、围墙等附属设施维修</w:t>
      </w:r>
    </w:p>
    <w:p w14:paraId="4E165D31">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2.1施工内容：本项目主要实施校园新建围墙建设及附属设施修缮工程，施工内容包含木栏杆、老旧瓦屋面、舞台区域外墙真石漆等老旧设施拆除及建筑垃圾清运；以及围墙基础开挖、地基夯实、垫层浇筑、基础混凝土浇筑、毛石混凝土施工、红砖墙体砌筑、1.5米高铝合金栏杆安装、外墙饰面铺贴、屋面瓦铺设等全流程施工作业。</w:t>
      </w:r>
    </w:p>
    <w:p w14:paraId="0EB7C33C">
      <w:pPr>
        <w:spacing w:line="560" w:lineRule="exact"/>
        <w:ind w:firstLine="480" w:firstLineChars="200"/>
        <w:rPr>
          <w:rFonts w:hint="default" w:ascii="仿宋" w:hAnsi="仿宋" w:eastAsia="仿宋" w:cs="仿宋"/>
          <w:color w:val="auto"/>
          <w:lang w:val="en-US" w:eastAsia="zh-CN"/>
        </w:rPr>
      </w:pPr>
      <w:r>
        <w:rPr>
          <w:rFonts w:hint="eastAsia" w:ascii="仿宋" w:hAnsi="仿宋" w:eastAsia="仿宋" w:cs="仿宋"/>
          <w:color w:val="auto"/>
          <w:lang w:val="en-US" w:eastAsia="zh-CN"/>
        </w:rPr>
        <w:t>2.3</w:t>
      </w:r>
      <w:r>
        <w:rPr>
          <w:rFonts w:hint="default" w:ascii="仿宋" w:hAnsi="仿宋" w:eastAsia="仿宋" w:cs="仿宋"/>
          <w:color w:val="auto"/>
          <w:lang w:val="en-US" w:eastAsia="zh-CN"/>
        </w:rPr>
        <w:t>其他要求：施工过程中需保护场地周边设施，避免损坏；维修完成后，场地需达到正常使用标准，无安全隐患，确保师生使用安全。</w:t>
      </w:r>
    </w:p>
    <w:p w14:paraId="393AD4E1">
      <w:pPr>
        <w:pStyle w:val="3"/>
        <w:widowControl w:val="0"/>
        <w:spacing w:before="0" w:beforeLines="0" w:beforeAutospacing="0" w:after="0" w:afterLines="0" w:afterAutospacing="0" w:line="500" w:lineRule="exact"/>
        <w:jc w:val="both"/>
        <w:rPr>
          <w:rFonts w:hint="eastAsia" w:ascii="仿宋" w:hAnsi="仿宋" w:eastAsia="仿宋" w:cs="方正仿宋_GBK"/>
          <w:bCs/>
          <w:color w:val="auto"/>
          <w:kern w:val="2"/>
          <w:sz w:val="24"/>
          <w:szCs w:val="24"/>
          <w:lang w:val="en-US" w:eastAsia="zh-CN"/>
        </w:rPr>
      </w:pPr>
      <w:bookmarkStart w:id="110" w:name="_Toc230093190"/>
      <w:bookmarkStart w:id="111" w:name="_Toc203743256"/>
      <w:bookmarkStart w:id="112" w:name="_Toc9163"/>
      <w:r>
        <w:rPr>
          <w:rFonts w:hint="eastAsia" w:ascii="仿宋" w:hAnsi="仿宋" w:eastAsia="仿宋" w:cs="仿宋"/>
          <w:color w:val="auto"/>
          <w:sz w:val="24"/>
          <w:szCs w:val="24"/>
        </w:rPr>
        <w:t>※</w:t>
      </w:r>
      <w:r>
        <w:rPr>
          <w:rFonts w:hint="eastAsia" w:ascii="仿宋" w:hAnsi="仿宋" w:eastAsia="仿宋" w:cs="方正仿宋_GBK"/>
          <w:bCs/>
          <w:color w:val="auto"/>
          <w:kern w:val="2"/>
          <w:sz w:val="24"/>
          <w:szCs w:val="24"/>
          <w:lang w:val="en-US" w:eastAsia="zh-CN"/>
        </w:rPr>
        <w:t>二、项目技术要求</w:t>
      </w:r>
      <w:bookmarkEnd w:id="110"/>
      <w:bookmarkEnd w:id="111"/>
      <w:bookmarkEnd w:id="112"/>
    </w:p>
    <w:p w14:paraId="65B84247">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一）供应商所提供的原材料、施工工艺、技术方案及最终成果，应符合国家现行有效的相关标准，优先执行国家标准，国家标准未作规定的，应执行行业标准。采购人有权在施工实施过程中以及工程验收阶段，对供应商所提供的材料、设备、施工工艺、成果等进行随机抽检，或要求供应商提供相关符合国家或行业标准的有效证明文件，作为验收和支付依据。如供应商未能提供相应合格材料或有效证明，采购人有权拒绝接收并要求更换或整改，由此造成的全部费用和工期延误责任由供应商承担。</w:t>
      </w:r>
    </w:p>
    <w:p w14:paraId="7CDC918E">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（二）主要材料及设备管理要求</w:t>
      </w:r>
    </w:p>
    <w:p w14:paraId="3CAED7AA">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成交供应商用于本项目的主要材料、设备、构配件等，应符合国家现行有关质量、安全、环保、节能等标准规范以及本项目施工图纸、工程量清单和采购文件要求，不得使用国家明令淘汰、禁止使用或不符合质量标准的产品。</w:t>
      </w:r>
    </w:p>
    <w:p w14:paraId="5418A701">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2、项目实施过程中，成交供应商应建立主要材料进场报审制度。涉及主要施工材料、红砖、铝合金栏杆 1.5m、外墙砖及其他对工程质量、安全、环保有重要影响的材料、设备，在采购及进场使用前，成交供应商须向采购人（或监理单位）报送拟使用材料（设备）清单及相关资料，资料应至少包括品牌、规格型号、主要技术参数、质量证明文件、检测报告等内容。</w:t>
      </w:r>
    </w:p>
    <w:p w14:paraId="25668631">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2.1采购人（或监理单位）重点对材料是否符合采购文件及国家现行标准要求进行审核。经审核符合要求后，成交供应商方可组织进场和使用；对不符合要求或资料不完整的材料、设备，成交供应商应及时更换或补充完善相关资料后重新报审。</w:t>
      </w:r>
    </w:p>
    <w:p w14:paraId="7E11FB32">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3、材料、设备进场后，采购人（或监理单位）有权按照国家有关规定及工程管理需要，对进场材料进行抽查、抽检或核验。经检查发现存在质量不合格、与报审内容明显不符、存在以次充好、弄虚作假等情形的，成交供应商应立即无条件退场、更换，并承担由此产生的返工、工期延误、检测及其他相关费用；造成采购人损失的，成交供应商还应依法承担相应赔偿责任。</w:t>
      </w:r>
    </w:p>
    <w:p w14:paraId="47EB68D8">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4、成交供应商应确保所采购、使用的全部材料及设备来源合法、质量合格、资料真实完整，并满足本项目正常使用及验收要求。未经报审或未经同意擅自使用的材料、设备，采购人有权要求停止使用并限期整改。</w:t>
      </w:r>
    </w:p>
    <w:p w14:paraId="13D2B87F">
      <w:pPr>
        <w:pStyle w:val="3"/>
        <w:widowControl w:val="0"/>
        <w:spacing w:before="0" w:beforeLines="0" w:beforeAutospacing="0" w:after="0" w:afterLines="0" w:afterAutospacing="0" w:line="500" w:lineRule="exact"/>
        <w:jc w:val="both"/>
        <w:rPr>
          <w:rFonts w:hint="eastAsia" w:ascii="仿宋" w:hAnsi="仿宋" w:eastAsia="仿宋" w:cs="方正仿宋_GBK"/>
          <w:bCs/>
          <w:color w:val="auto"/>
          <w:kern w:val="2"/>
          <w:sz w:val="24"/>
          <w:szCs w:val="24"/>
          <w:lang w:val="en-US" w:eastAsia="zh-CN"/>
        </w:rPr>
      </w:pPr>
      <w:bookmarkStart w:id="113" w:name="_Toc203743257"/>
      <w:bookmarkStart w:id="114" w:name="_Toc132364641"/>
      <w:bookmarkStart w:id="115" w:name="_Toc230093191"/>
      <w:bookmarkStart w:id="116" w:name="_Toc30181"/>
      <w:r>
        <w:rPr>
          <w:rFonts w:hint="eastAsia" w:ascii="仿宋" w:hAnsi="仿宋" w:eastAsia="仿宋" w:cs="方正仿宋_GBK"/>
          <w:bCs/>
          <w:color w:val="auto"/>
          <w:kern w:val="2"/>
          <w:sz w:val="24"/>
          <w:szCs w:val="24"/>
          <w:lang w:val="en-US" w:eastAsia="zh-CN"/>
        </w:rPr>
        <w:t>※三、项目要求</w:t>
      </w:r>
      <w:bookmarkEnd w:id="113"/>
      <w:bookmarkEnd w:id="114"/>
      <w:bookmarkEnd w:id="115"/>
      <w:bookmarkEnd w:id="116"/>
    </w:p>
    <w:p w14:paraId="50DE3F4A">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详见随本采购文件一并发布的《工程量清单》，供应商需注意下载，无论供应商下载与否，均视同供应商已知晓本项目《工程量清单》所列内容。</w:t>
      </w:r>
    </w:p>
    <w:p w14:paraId="409253B8">
      <w:pPr>
        <w:pStyle w:val="3"/>
        <w:widowControl w:val="0"/>
        <w:spacing w:before="0" w:beforeLines="0" w:beforeAutospacing="0" w:after="0" w:afterLines="0" w:afterAutospacing="0" w:line="500" w:lineRule="exact"/>
        <w:jc w:val="both"/>
        <w:rPr>
          <w:rFonts w:hint="eastAsia" w:ascii="仿宋" w:hAnsi="仿宋" w:eastAsia="仿宋" w:cs="方正仿宋_GBK"/>
          <w:bCs/>
          <w:color w:val="auto"/>
          <w:kern w:val="2"/>
          <w:sz w:val="24"/>
          <w:szCs w:val="24"/>
          <w:lang w:val="en-US" w:eastAsia="zh-CN"/>
        </w:rPr>
      </w:pPr>
      <w:bookmarkStart w:id="117" w:name="_Toc25299"/>
      <w:r>
        <w:rPr>
          <w:rFonts w:hint="eastAsia" w:ascii="仿宋" w:hAnsi="仿宋" w:eastAsia="仿宋" w:cs="方正仿宋_GBK"/>
          <w:bCs/>
          <w:color w:val="auto"/>
          <w:kern w:val="2"/>
          <w:sz w:val="24"/>
          <w:szCs w:val="24"/>
          <w:lang w:val="en-US" w:eastAsia="zh-CN"/>
        </w:rPr>
        <w:t>※四、安全与文明施工</w:t>
      </w:r>
      <w:bookmarkEnd w:id="117"/>
    </w:p>
    <w:p w14:paraId="1CC23DE9">
      <w:pPr>
        <w:spacing w:line="560" w:lineRule="exact"/>
        <w:ind w:firstLine="480" w:firstLineChars="200"/>
        <w:rPr>
          <w:rFonts w:hint="default" w:ascii="仿宋" w:hAnsi="仿宋" w:eastAsia="仿宋" w:cs="仿宋"/>
          <w:color w:val="auto"/>
          <w:lang w:val="en-US" w:eastAsia="zh-CN"/>
        </w:rPr>
      </w:pPr>
      <w:r>
        <w:rPr>
          <w:rFonts w:hint="eastAsia" w:ascii="仿宋" w:hAnsi="仿宋" w:eastAsia="仿宋" w:cs="仿宋"/>
          <w:color w:val="auto"/>
          <w:lang w:val="en-US" w:eastAsia="zh-CN"/>
        </w:rPr>
        <w:t>1、</w:t>
      </w:r>
      <w:r>
        <w:rPr>
          <w:rFonts w:hint="default" w:ascii="仿宋" w:hAnsi="仿宋" w:eastAsia="仿宋" w:cs="仿宋"/>
          <w:color w:val="auto"/>
          <w:lang w:val="en-US" w:eastAsia="zh-CN"/>
        </w:rPr>
        <w:t>施工现场设置警示标识，隔离危险区域，避免师生误入。</w:t>
      </w:r>
    </w:p>
    <w:p w14:paraId="2712E449">
      <w:pPr>
        <w:spacing w:line="560" w:lineRule="exact"/>
        <w:ind w:firstLine="480" w:firstLineChars="200"/>
        <w:rPr>
          <w:rFonts w:hint="default" w:ascii="仿宋" w:hAnsi="仿宋" w:eastAsia="仿宋" w:cs="仿宋"/>
          <w:color w:val="auto"/>
          <w:lang w:val="en-US" w:eastAsia="zh-CN"/>
        </w:rPr>
      </w:pPr>
      <w:r>
        <w:rPr>
          <w:rFonts w:hint="eastAsia" w:ascii="仿宋" w:hAnsi="仿宋" w:eastAsia="仿宋" w:cs="仿宋"/>
          <w:color w:val="auto"/>
          <w:lang w:val="en-US" w:eastAsia="zh-CN"/>
        </w:rPr>
        <w:t>2、</w:t>
      </w:r>
      <w:r>
        <w:rPr>
          <w:rFonts w:hint="default" w:ascii="仿宋" w:hAnsi="仿宋" w:eastAsia="仿宋" w:cs="仿宋"/>
          <w:color w:val="auto"/>
          <w:lang w:val="en-US" w:eastAsia="zh-CN"/>
        </w:rPr>
        <w:t>保护原有设施：施工期间应做好原有设施保护，严禁破坏建筑现有防水层、保温层及其他附属设施；对现场情况不明或涉及结构、管线、防水等隐蔽部位时，须事先与校方沟通确认，经同意后方可施工。</w:t>
      </w:r>
    </w:p>
    <w:p w14:paraId="123C14E6">
      <w:pPr>
        <w:spacing w:line="560" w:lineRule="exact"/>
        <w:ind w:firstLine="480" w:firstLineChars="200"/>
        <w:rPr>
          <w:rFonts w:hint="default" w:ascii="仿宋" w:hAnsi="仿宋" w:eastAsia="仿宋" w:cs="仿宋"/>
          <w:color w:val="auto"/>
          <w:lang w:val="en-US" w:eastAsia="zh-CN"/>
        </w:rPr>
      </w:pPr>
      <w:r>
        <w:rPr>
          <w:rFonts w:hint="eastAsia" w:ascii="仿宋" w:hAnsi="仿宋" w:eastAsia="仿宋" w:cs="仿宋"/>
          <w:color w:val="auto"/>
          <w:lang w:val="en-US" w:eastAsia="zh-CN"/>
        </w:rPr>
        <w:t>4、供应商应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供应商承担赔偿责任。</w:t>
      </w:r>
    </w:p>
    <w:p w14:paraId="0C909005">
      <w:pPr>
        <w:pStyle w:val="3"/>
        <w:widowControl w:val="0"/>
        <w:spacing w:before="0" w:beforeLines="0" w:beforeAutospacing="0" w:after="0" w:afterLines="0" w:afterAutospacing="0" w:line="500" w:lineRule="exact"/>
        <w:jc w:val="both"/>
        <w:rPr>
          <w:rFonts w:hint="eastAsia" w:ascii="仿宋" w:hAnsi="仿宋" w:eastAsia="仿宋" w:cs="方正仿宋_GBK"/>
          <w:bCs/>
          <w:color w:val="auto"/>
          <w:kern w:val="2"/>
          <w:sz w:val="24"/>
          <w:szCs w:val="24"/>
          <w:lang w:val="en-US" w:eastAsia="zh-CN"/>
        </w:rPr>
      </w:pPr>
      <w:bookmarkStart w:id="118" w:name="_Toc30533"/>
      <w:r>
        <w:rPr>
          <w:rFonts w:hint="eastAsia" w:ascii="仿宋" w:hAnsi="仿宋" w:eastAsia="仿宋" w:cs="方正仿宋_GBK"/>
          <w:bCs/>
          <w:color w:val="auto"/>
          <w:kern w:val="2"/>
          <w:sz w:val="24"/>
          <w:szCs w:val="24"/>
          <w:lang w:val="en-US" w:eastAsia="zh-CN"/>
        </w:rPr>
        <w:t>※五、</w:t>
      </w:r>
      <w:bookmarkEnd w:id="105"/>
      <w:bookmarkEnd w:id="106"/>
      <w:bookmarkEnd w:id="107"/>
      <w:bookmarkEnd w:id="108"/>
      <w:bookmarkEnd w:id="109"/>
      <w:r>
        <w:rPr>
          <w:rFonts w:hint="eastAsia" w:ascii="仿宋" w:hAnsi="仿宋" w:eastAsia="仿宋" w:cs="方正仿宋_GBK"/>
          <w:bCs/>
          <w:color w:val="auto"/>
          <w:kern w:val="2"/>
          <w:sz w:val="24"/>
          <w:szCs w:val="24"/>
          <w:lang w:val="en-US" w:eastAsia="zh-CN"/>
        </w:rPr>
        <w:t>踏勘现场</w:t>
      </w:r>
      <w:bookmarkEnd w:id="118"/>
    </w:p>
    <w:p w14:paraId="25FBD3DA">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不组织。各供应商自行现场踏勘，以便获取本项目编制响应文件和签署合同所需的所有数据。踏勘现场所发生的所有费用（包含因踏勘现场而造成的死亡、人身伤害、财产损失和产生的其他费用）均由供应商自行承担。供应商一旦中标，供应商不得以不完全了解施工现场情况为借口而提出额外赔偿，或延长工期等要求。</w:t>
      </w:r>
      <w:bookmarkStart w:id="119" w:name="_Toc148521464"/>
      <w:bookmarkStart w:id="120" w:name="_Toc55403967"/>
      <w:bookmarkStart w:id="121" w:name="_Toc120894142"/>
      <w:bookmarkStart w:id="122" w:name="_Toc54879126"/>
      <w:bookmarkStart w:id="123" w:name="_Toc149579020"/>
    </w:p>
    <w:p w14:paraId="6C881264">
      <w:pPr>
        <w:pStyle w:val="3"/>
        <w:widowControl w:val="0"/>
        <w:spacing w:before="0" w:beforeLines="0" w:beforeAutospacing="0" w:after="0" w:afterLines="0" w:afterAutospacing="0" w:line="500" w:lineRule="exact"/>
        <w:jc w:val="both"/>
        <w:rPr>
          <w:rFonts w:hint="eastAsia" w:ascii="仿宋" w:hAnsi="仿宋" w:eastAsia="仿宋" w:cs="方正仿宋_GBK"/>
          <w:bCs/>
          <w:color w:val="auto"/>
          <w:kern w:val="2"/>
          <w:sz w:val="24"/>
          <w:szCs w:val="24"/>
          <w:lang w:val="en-US" w:eastAsia="zh-CN"/>
        </w:rPr>
      </w:pPr>
      <w:bookmarkStart w:id="124" w:name="_Toc22896"/>
      <w:r>
        <w:rPr>
          <w:rFonts w:hint="eastAsia" w:ascii="仿宋" w:hAnsi="仿宋" w:eastAsia="仿宋" w:cs="方正仿宋_GBK"/>
          <w:bCs/>
          <w:color w:val="auto"/>
          <w:kern w:val="2"/>
          <w:sz w:val="24"/>
          <w:szCs w:val="24"/>
          <w:lang w:val="en-US" w:eastAsia="zh-CN"/>
        </w:rPr>
        <w:t>※六、其他要求</w:t>
      </w:r>
      <w:bookmarkEnd w:id="124"/>
    </w:p>
    <w:p w14:paraId="30ED78A7">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1.成交供应商的工作人员在为采购人的服务期间，因疾病、工伤、意外伤害、疾病传染、劳动保护、职业病等所产生的一切费用，均由成交供应商自行负责。</w:t>
      </w:r>
    </w:p>
    <w:p w14:paraId="3769CFD4">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在履约服务期限内，中标供应商自行组织人员完成合同约定事务，并按国家法律法规的要求完善用工制度，中标供应商为完成合同约定事务自行聘请的人员工资、福利、社保等用工责任由中标供应商自行承担，因中标供应商未完善而引起的劳动争议由中标供应商自行负责。</w:t>
      </w:r>
    </w:p>
    <w:p w14:paraId="6A534A6B">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3.成交供应商人员因自身工作失误造成设备、现场、人员及其他损失由成交供应商自行负责，采购人不承担责任。</w:t>
      </w:r>
    </w:p>
    <w:p w14:paraId="52BC8A5D">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4.供应商若成为成交供应商，施工时必须严格按照采购人提供的工程量清单内容进行施工，不得擅自修改施工内容。若采购人后期对施工内容调整，供应商需严格遵守采购人的调整内容。</w:t>
      </w:r>
      <w:bookmarkEnd w:id="90"/>
      <w:bookmarkEnd w:id="91"/>
      <w:bookmarkEnd w:id="92"/>
      <w:bookmarkEnd w:id="93"/>
      <w:bookmarkEnd w:id="94"/>
      <w:bookmarkEnd w:id="95"/>
      <w:bookmarkEnd w:id="96"/>
      <w:bookmarkEnd w:id="97"/>
      <w:bookmarkEnd w:id="98"/>
      <w:bookmarkEnd w:id="119"/>
      <w:bookmarkEnd w:id="120"/>
      <w:bookmarkEnd w:id="121"/>
      <w:bookmarkEnd w:id="122"/>
      <w:bookmarkEnd w:id="123"/>
    </w:p>
    <w:p w14:paraId="4BB9528A">
      <w:pPr>
        <w:rPr>
          <w:rStyle w:val="35"/>
          <w:rFonts w:hint="eastAsia" w:ascii="仿宋" w:hAnsi="仿宋" w:eastAsia="仿宋" w:cs="仿宋"/>
          <w:b/>
          <w:bCs/>
          <w:color w:val="auto"/>
        </w:rPr>
      </w:pPr>
      <w:r>
        <w:rPr>
          <w:rStyle w:val="35"/>
          <w:rFonts w:hint="eastAsia" w:ascii="仿宋" w:hAnsi="仿宋" w:eastAsia="仿宋" w:cs="仿宋"/>
          <w:b/>
          <w:bCs/>
          <w:color w:val="auto"/>
        </w:rPr>
        <w:br w:type="page"/>
      </w:r>
    </w:p>
    <w:p w14:paraId="3B95CE56">
      <w:pPr>
        <w:pStyle w:val="3"/>
        <w:jc w:val="center"/>
        <w:rPr>
          <w:rStyle w:val="35"/>
          <w:rFonts w:hint="eastAsia" w:ascii="仿宋" w:hAnsi="仿宋" w:eastAsia="仿宋" w:cs="仿宋"/>
          <w:b/>
          <w:bCs/>
          <w:color w:val="auto"/>
        </w:rPr>
      </w:pPr>
      <w:bookmarkStart w:id="125" w:name="_Toc222"/>
      <w:r>
        <w:rPr>
          <w:rStyle w:val="35"/>
          <w:rFonts w:hint="eastAsia" w:ascii="仿宋" w:hAnsi="仿宋" w:eastAsia="仿宋" w:cs="仿宋"/>
          <w:b/>
          <w:bCs/>
          <w:color w:val="auto"/>
        </w:rPr>
        <w:t>第四篇  商务要求</w:t>
      </w:r>
      <w:bookmarkEnd w:id="125"/>
    </w:p>
    <w:p w14:paraId="606FBD92">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26" w:name="_Toc344475120"/>
      <w:bookmarkStart w:id="127" w:name="_Toc120894146"/>
      <w:bookmarkStart w:id="128" w:name="_Toc149579024"/>
      <w:bookmarkStart w:id="129" w:name="_Toc62484881"/>
      <w:bookmarkStart w:id="130" w:name="_Toc148521468"/>
      <w:bookmarkStart w:id="131" w:name="_Toc23415"/>
      <w:bookmarkStart w:id="132" w:name="_Toc344475121"/>
      <w:bookmarkStart w:id="133" w:name="_Toc487204790"/>
      <w:bookmarkStart w:id="134" w:name="_Toc22463"/>
      <w:r>
        <w:rPr>
          <w:rFonts w:hint="eastAsia" w:ascii="仿宋" w:hAnsi="仿宋" w:eastAsia="仿宋" w:cs="仿宋"/>
          <w:color w:val="auto"/>
          <w:sz w:val="24"/>
          <w:szCs w:val="24"/>
        </w:rPr>
        <w:t>※一、</w:t>
      </w:r>
      <w:r>
        <w:rPr>
          <w:rFonts w:hint="eastAsia" w:ascii="仿宋" w:hAnsi="仿宋" w:eastAsia="仿宋" w:cs="仿宋"/>
          <w:color w:val="auto"/>
          <w:sz w:val="24"/>
          <w:szCs w:val="24"/>
          <w:lang w:val="en-US" w:eastAsia="zh-CN"/>
        </w:rPr>
        <w:t>工期</w:t>
      </w:r>
      <w:r>
        <w:rPr>
          <w:rFonts w:hint="eastAsia" w:ascii="仿宋" w:hAnsi="仿宋" w:eastAsia="仿宋" w:cs="仿宋"/>
          <w:color w:val="auto"/>
          <w:sz w:val="24"/>
          <w:szCs w:val="24"/>
        </w:rPr>
        <w:t>时间、地点及验收方式</w:t>
      </w:r>
      <w:bookmarkEnd w:id="126"/>
      <w:bookmarkEnd w:id="127"/>
      <w:bookmarkEnd w:id="128"/>
      <w:bookmarkEnd w:id="129"/>
      <w:bookmarkEnd w:id="130"/>
      <w:bookmarkEnd w:id="131"/>
    </w:p>
    <w:p w14:paraId="65F094AA">
      <w:pPr>
        <w:spacing w:line="560" w:lineRule="exact"/>
        <w:ind w:firstLine="480" w:firstLineChars="200"/>
        <w:rPr>
          <w:rFonts w:hint="eastAsia" w:ascii="仿宋" w:hAnsi="仿宋" w:eastAsia="仿宋" w:cs="仿宋"/>
          <w:color w:val="auto"/>
        </w:rPr>
      </w:pPr>
      <w:bookmarkStart w:id="135" w:name="_Toc148521469"/>
      <w:bookmarkStart w:id="136" w:name="_Toc120894147"/>
      <w:bookmarkStart w:id="137" w:name="_Toc149579025"/>
      <w:r>
        <w:rPr>
          <w:rFonts w:hint="eastAsia" w:ascii="仿宋" w:hAnsi="仿宋" w:eastAsia="仿宋" w:cs="仿宋"/>
          <w:color w:val="auto"/>
        </w:rPr>
        <w:t>（一）</w:t>
      </w:r>
      <w:r>
        <w:rPr>
          <w:rFonts w:hint="eastAsia" w:ascii="仿宋" w:hAnsi="仿宋" w:eastAsia="仿宋" w:cs="仿宋"/>
          <w:color w:val="auto"/>
          <w:lang w:val="en-US" w:eastAsia="zh-CN"/>
        </w:rPr>
        <w:t>工期</w:t>
      </w:r>
      <w:r>
        <w:rPr>
          <w:rFonts w:hint="eastAsia" w:ascii="仿宋" w:hAnsi="仿宋" w:eastAsia="仿宋" w:cs="仿宋"/>
          <w:color w:val="auto"/>
        </w:rPr>
        <w:t>时间</w:t>
      </w:r>
    </w:p>
    <w:p w14:paraId="2A091CAD">
      <w:pPr>
        <w:spacing w:line="560" w:lineRule="exact"/>
        <w:ind w:firstLine="960" w:firstLineChars="400"/>
        <w:rPr>
          <w:rFonts w:hint="eastAsia" w:ascii="仿宋" w:hAnsi="仿宋" w:eastAsia="仿宋" w:cs="仿宋"/>
          <w:color w:val="auto"/>
        </w:rPr>
      </w:pPr>
      <w:r>
        <w:rPr>
          <w:rFonts w:hint="eastAsia" w:ascii="仿宋" w:hAnsi="仿宋" w:eastAsia="仿宋" w:cs="仿宋"/>
          <w:color w:val="auto"/>
        </w:rPr>
        <w:t>工期：成交供应商应在采购合同签订之日起</w:t>
      </w:r>
      <w:r>
        <w:rPr>
          <w:rFonts w:hint="eastAsia" w:ascii="仿宋" w:hAnsi="仿宋" w:eastAsia="仿宋" w:cs="仿宋"/>
          <w:color w:val="auto"/>
        </w:rPr>
        <w:t>2个工作日</w:t>
      </w:r>
      <w:r>
        <w:rPr>
          <w:rFonts w:hint="eastAsia" w:ascii="仿宋" w:hAnsi="仿宋" w:eastAsia="仿宋" w:cs="仿宋"/>
          <w:color w:val="auto"/>
        </w:rPr>
        <w:t>内组织人员进场施工，采购合同签订后</w:t>
      </w:r>
      <w:r>
        <w:rPr>
          <w:rFonts w:hint="eastAsia" w:ascii="仿宋" w:hAnsi="仿宋" w:eastAsia="仿宋" w:cs="仿宋"/>
          <w:color w:val="auto"/>
          <w:lang w:val="en-US" w:eastAsia="zh-CN"/>
        </w:rPr>
        <w:t>25</w:t>
      </w:r>
      <w:r>
        <w:rPr>
          <w:rFonts w:hint="eastAsia" w:ascii="仿宋" w:hAnsi="仿宋" w:eastAsia="仿宋" w:cs="仿宋"/>
          <w:color w:val="auto"/>
        </w:rPr>
        <w:t>个日历日</w:t>
      </w:r>
      <w:r>
        <w:rPr>
          <w:rFonts w:hint="eastAsia" w:ascii="仿宋" w:hAnsi="仿宋" w:eastAsia="仿宋" w:cs="仿宋"/>
          <w:color w:val="auto"/>
        </w:rPr>
        <w:t>内完成工作。</w:t>
      </w:r>
      <w:r>
        <w:rPr>
          <w:rFonts w:hint="eastAsia" w:ascii="仿宋" w:hAnsi="仿宋" w:eastAsia="仿宋" w:cs="仿宋"/>
          <w:color w:val="auto"/>
          <w:lang w:val="en-US" w:eastAsia="zh-CN"/>
        </w:rPr>
        <w:t>如因不可抗力（如自然灾害、战争骚乱、社会异常事件）以及非成交供应商责任出现的断电、停水等造成的停工时间，若出现这类情况由甲方代表签字确认后，工期顺延。若成交供应商未按上述要求按期完工，每逾期1天按1000元标准从合同价款中扣除违约金；因逾期完工给采购人造成的一切损失，由成交供应商全额承担并负责赔偿。</w:t>
      </w:r>
    </w:p>
    <w:p w14:paraId="3989DD60">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（二）服务地点</w:t>
      </w:r>
    </w:p>
    <w:p w14:paraId="1E5C49DC">
      <w:pPr>
        <w:spacing w:line="560" w:lineRule="exact"/>
        <w:ind w:firstLine="960" w:firstLineChars="400"/>
        <w:rPr>
          <w:rFonts w:hint="eastAsia" w:ascii="仿宋" w:hAnsi="仿宋" w:eastAsia="仿宋" w:cs="仿宋"/>
          <w:color w:val="auto"/>
          <w:lang w:val="en-US" w:eastAsia="zh-CN"/>
        </w:rPr>
      </w:pPr>
      <w:r>
        <w:rPr>
          <w:rFonts w:hint="eastAsia" w:ascii="仿宋" w:hAnsi="仿宋" w:eastAsia="仿宋" w:cs="仿宋_GB2312"/>
          <w:color w:val="auto"/>
          <w:lang w:val="en-US" w:eastAsia="zh-CN"/>
        </w:rPr>
        <w:t>本项目地点为重庆市南川区马嘴实验学校区域内，具体实施区域由采购人根据实</w:t>
      </w:r>
      <w:r>
        <w:rPr>
          <w:rFonts w:hint="eastAsia" w:ascii="仿宋" w:hAnsi="仿宋" w:eastAsia="仿宋" w:cs="仿宋"/>
          <w:color w:val="auto"/>
          <w:lang w:val="en-US" w:eastAsia="zh-CN"/>
        </w:rPr>
        <w:t>际情况予以指定。成交供应商须服从采购人安排，在指定区域内开展相关服务工作，确保不影响学校正常教学秩序。</w:t>
      </w:r>
    </w:p>
    <w:p w14:paraId="400380D3">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三）工程说明：供应商须严格按照随采购文件一并发出的分部分项工程项目清单计价表、工程量清单逐项填报清单单价及总价，不得增项、减项，不得修改工程量，且清单单价及总价均不得超出或等于采购人给出的清单限价。违反上述任一要求的，视为对采购文件不作实质性响应，其响应文件按无效处理。</w:t>
      </w:r>
    </w:p>
    <w:p w14:paraId="529EBD09">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(四）验收方式：项目施工完成，质量符合本采购文件、国家及重庆市工程验收规范要求，由成交供应商提出验收申请，由采购人组织开展对项目的验收工作，并形成专门的验收报告。</w:t>
      </w:r>
    </w:p>
    <w:p w14:paraId="1BA1D1DE">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1.验收流程</w:t>
      </w:r>
    </w:p>
    <w:p w14:paraId="23BA6DD9">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初步验收：项目施工完成并具备验收条件后，由成交供应商提出验收申请，采购人组织开展现场初步验收。若初验发现存在质量问题、施工缺陷或未完成事项，成交供应商应按照采购人书面整改要求在规定期限内完成整改；</w:t>
      </w:r>
    </w:p>
    <w:p w14:paraId="1850B1DE">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（2）整改复验：整改完成后，由成交供应商书面申请复验，采购人根据整改情况组织复验；</w:t>
      </w:r>
    </w:p>
    <w:p w14:paraId="21097FAF">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（3）竣工验收：经复验达到验收条件后，采购人组织最终竣工验收。验收合格后，双方办理相关验收手续；</w:t>
      </w:r>
    </w:p>
    <w:p w14:paraId="151C1977">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4）验收不合格处理：经整改后仍无法达到采购文件、施工图纸及国家现行规范要求的，采购人有权要求成交供应商继续整改；因成交供应商原因导致项目无法正常交付使用或造成严重质量问题的，采购人有权依法追究其相应违约责任。</w:t>
      </w:r>
    </w:p>
    <w:p w14:paraId="703E2592">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2.材料设备进场验收</w:t>
      </w:r>
    </w:p>
    <w:p w14:paraId="197F1200">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（1）成交供应商用于本项目的主要材料、设备及构配件进场前，应按要求报送相关质量证明资料，经采购人（或监理单位）核验后方可使用；</w:t>
      </w:r>
    </w:p>
    <w:p w14:paraId="4BB94710">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主要材料、设备进场后，采购人（或监理单位）有权对材料规格、型号、数量、品牌、外观质量及相关证明资料进行检查核验。对存在损坏、质量缺陷、不符合采购文件或施工要求的材料、设备，成交供应商应及时更换并承担相应费用；</w:t>
      </w:r>
    </w:p>
    <w:p w14:paraId="057F7E32">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（3）未经采购人（或监理单位）同意擅自使用不符合要求材料、设备的，采购人有权要求返工、更换，因此产生的一切费用及责任由成交供应商承担。</w:t>
      </w:r>
    </w:p>
    <w:p w14:paraId="3C2F4BAA">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3.第三方检测及专项检测</w:t>
      </w:r>
    </w:p>
    <w:p w14:paraId="7EA75EC7">
      <w:pPr>
        <w:spacing w:line="560" w:lineRule="exact"/>
        <w:ind w:firstLine="480" w:firstLineChars="200"/>
        <w:rPr>
          <w:rFonts w:hint="eastAsia" w:ascii="仿宋" w:hAnsi="仿宋" w:eastAsia="仿宋" w:cs="仿宋"/>
          <w:color w:val="auto"/>
          <w:u w:val="single"/>
          <w:lang w:val="en-US" w:eastAsia="zh-CN"/>
        </w:rPr>
      </w:pPr>
      <w:r>
        <w:rPr>
          <w:rFonts w:hint="eastAsia" w:ascii="仿宋" w:hAnsi="仿宋" w:eastAsia="仿宋" w:cs="仿宋"/>
          <w:color w:val="auto"/>
          <w:u w:val="single"/>
          <w:lang w:val="en-US" w:eastAsia="zh-CN"/>
        </w:rPr>
        <w:t>采购人根据项目质量管理需要，有权委托具备相应资质的第三方检测机构，对涉及工程质量、安全、环保、功能性等关键内容开展抽样检测、专项检测或复核检测。</w:t>
      </w:r>
    </w:p>
    <w:p w14:paraId="76FB7644">
      <w:pPr>
        <w:spacing w:line="560" w:lineRule="exact"/>
        <w:ind w:firstLine="480" w:firstLineChars="200"/>
        <w:rPr>
          <w:rFonts w:hint="eastAsia" w:ascii="仿宋" w:hAnsi="仿宋" w:eastAsia="仿宋" w:cs="仿宋"/>
          <w:color w:val="auto"/>
          <w:u w:val="single"/>
          <w:lang w:val="en-US" w:eastAsia="zh-CN"/>
        </w:rPr>
      </w:pPr>
      <w:r>
        <w:rPr>
          <w:rFonts w:hint="eastAsia" w:ascii="仿宋" w:hAnsi="仿宋" w:eastAsia="仿宋" w:cs="仿宋"/>
          <w:color w:val="auto"/>
          <w:u w:val="single"/>
          <w:lang w:val="en-US" w:eastAsia="zh-CN"/>
        </w:rPr>
        <w:t>依法应由成交供应商完成的材料检测、试验、专项检测及竣工验收相关检测费用，均视为已包含在响应报价中，由成交供应商自行承担。</w:t>
      </w:r>
    </w:p>
    <w:p w14:paraId="53F6594F">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4.工程质量抽查与整改要求</w:t>
      </w:r>
    </w:p>
    <w:p w14:paraId="24B52650">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项目实施过程中及竣工验收前，采购人（或监理单位）有权对工程质量、施工工艺、主要材料及隐蔽工程等进行检查或抽查。</w:t>
      </w:r>
    </w:p>
    <w:p w14:paraId="232E8D5D">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对存在质量问题或不符合要求的内容，成交供应商应及时整改；未经检查确认擅自隐蔽施工的，采购人有权要求返工检查，由此产生的费用及责任由成交供应商承担。</w:t>
      </w:r>
    </w:p>
    <w:p w14:paraId="56681EF7">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5.其他要求</w:t>
      </w:r>
    </w:p>
    <w:p w14:paraId="5281F303">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（1）项目在缺陷责任期内出现非人为原因造成的质量问题，成交供应商应按照合同约定及时进行维修、更换或整改，并承担相应责任；</w:t>
      </w:r>
    </w:p>
    <w:p w14:paraId="6C25BB88">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（2）未经验收合格的工程，不得擅自交付使用。</w:t>
      </w:r>
    </w:p>
    <w:bookmarkEnd w:id="135"/>
    <w:bookmarkEnd w:id="136"/>
    <w:bookmarkEnd w:id="137"/>
    <w:p w14:paraId="3F9D1238">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en-US" w:eastAsia="zh-CN"/>
        </w:rPr>
      </w:pPr>
      <w:bookmarkStart w:id="138" w:name="_Toc26866"/>
      <w:r>
        <w:rPr>
          <w:rFonts w:hint="eastAsia" w:ascii="仿宋" w:hAnsi="仿宋" w:eastAsia="仿宋" w:cs="仿宋"/>
          <w:color w:val="auto"/>
          <w:sz w:val="24"/>
          <w:szCs w:val="24"/>
          <w:lang w:val="en-US" w:eastAsia="zh-CN"/>
        </w:rPr>
        <w:t>※二、缺陷责任期、售后服务要求</w:t>
      </w:r>
      <w:bookmarkEnd w:id="138"/>
    </w:p>
    <w:p w14:paraId="7EAFCE35">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（一）质量保证期</w:t>
      </w:r>
    </w:p>
    <w:p w14:paraId="6F4889B2">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1、自验收合格之日起，提供</w:t>
      </w:r>
      <w:r>
        <w:rPr>
          <w:rFonts w:hint="eastAsia" w:ascii="仿宋" w:hAnsi="仿宋" w:eastAsia="仿宋" w:cs="仿宋"/>
          <w:color w:val="auto"/>
          <w:lang w:val="en-US" w:eastAsia="zh-CN"/>
        </w:rPr>
        <w:t>不低于2年的缺陷责任期</w:t>
      </w:r>
      <w:r>
        <w:rPr>
          <w:rFonts w:hint="eastAsia" w:ascii="仿宋" w:hAnsi="仿宋" w:eastAsia="仿宋" w:cs="仿宋"/>
          <w:color w:val="auto"/>
          <w:lang w:val="en-US" w:eastAsia="zh-CN"/>
        </w:rPr>
        <w:t>（若供应商有更优惠的质保期，请在响应文件中明确应答）。质保期内本工程出现任何问题均由成交供应商承担，费用自理。质保期内供应商需无条件为采购人修复或更换本工程问题部位。</w:t>
      </w:r>
    </w:p>
    <w:p w14:paraId="1BD30563">
      <w:pPr>
        <w:spacing w:line="560" w:lineRule="exact"/>
        <w:ind w:firstLine="480" w:firstLineChars="200"/>
        <w:rPr>
          <w:rFonts w:hint="default" w:ascii="仿宋" w:hAnsi="仿宋" w:eastAsia="仿宋" w:cs="仿宋"/>
          <w:color w:val="auto"/>
          <w:lang w:val="en-US" w:eastAsia="zh-CN"/>
        </w:rPr>
      </w:pPr>
      <w:r>
        <w:rPr>
          <w:rFonts w:hint="default" w:ascii="仿宋" w:hAnsi="仿宋" w:eastAsia="仿宋" w:cs="仿宋_GB2312"/>
          <w:color w:val="auto"/>
          <w:lang w:val="en-US" w:eastAsia="zh-CN"/>
        </w:rPr>
        <w:t>（二）在质量保修期内，由于施工质量问题造成的工程质量缺陷，承包方应当按照合同约</w:t>
      </w:r>
      <w:r>
        <w:rPr>
          <w:rFonts w:hint="default" w:ascii="仿宋" w:hAnsi="仿宋" w:eastAsia="仿宋" w:cs="仿宋"/>
          <w:color w:val="auto"/>
          <w:lang w:val="en-US" w:eastAsia="zh-CN"/>
        </w:rPr>
        <w:t>定负责维修，并承担相应的经济责任。如因维修不及时或维修不合格导致发包方损失的，承包方应承担相应赔偿责任。</w:t>
      </w:r>
    </w:p>
    <w:p w14:paraId="33433855">
      <w:pPr>
        <w:spacing w:line="560" w:lineRule="exact"/>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（三）售后服务要求</w:t>
      </w:r>
    </w:p>
    <w:p w14:paraId="4BE500B6">
      <w:pPr>
        <w:spacing w:line="560" w:lineRule="exact"/>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成交供应商在缺陷责任期内须向采购人提供及时、有效的售后服务：</w:t>
      </w:r>
    </w:p>
    <w:p w14:paraId="4A93E9FD">
      <w:pPr>
        <w:spacing w:line="560" w:lineRule="exact"/>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1、接到采购人维修通知后，30分钟内响应，2小时内电话沟通处置方案；紧急维修事项4小时内到达现场，一般维修事项24小时内到场处理。</w:t>
      </w:r>
    </w:p>
    <w:p w14:paraId="287A833A">
      <w:pPr>
        <w:spacing w:line="560" w:lineRule="exact"/>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2、现场故障维修须48小时内处置完毕；若暂无法当场修复，须第一时间落实临时安全防护保障，并严格按期完成整改修缮，全力保障校园围墙安全稳固、正常使用。</w:t>
      </w:r>
    </w:p>
    <w:p w14:paraId="6A2A936E">
      <w:pPr>
        <w:spacing w:line="560" w:lineRule="exact"/>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3、质保期内建立定期回访巡检机制，针对铝合金护栏、墙体开裂破损、屋面瓦损坏等问题</w:t>
      </w:r>
      <w:r>
        <w:rPr>
          <w:rFonts w:ascii="仿宋" w:hAnsi="仿宋" w:eastAsia="仿宋" w:cs="方正仿宋_GBK"/>
          <w:bCs/>
          <w:color w:val="auto"/>
          <w:sz w:val="24"/>
          <w:szCs w:val="24"/>
        </w:rPr>
        <w:t>无条件免费维修或更换；因维修不及时、维修不合格给采购人造成损失的，由成交供应商承担全部赔偿责任。</w:t>
      </w:r>
    </w:p>
    <w:p w14:paraId="7318100F">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en-US" w:eastAsia="zh-CN"/>
        </w:rPr>
      </w:pPr>
      <w:bookmarkStart w:id="139" w:name="_Toc30942"/>
      <w:r>
        <w:rPr>
          <w:rFonts w:hint="eastAsia" w:ascii="仿宋" w:hAnsi="仿宋" w:eastAsia="仿宋" w:cs="仿宋"/>
          <w:color w:val="auto"/>
          <w:sz w:val="24"/>
          <w:szCs w:val="24"/>
          <w:lang w:val="en-US" w:eastAsia="zh-CN"/>
        </w:rPr>
        <w:t>※三、报价要求</w:t>
      </w:r>
      <w:bookmarkEnd w:id="139"/>
    </w:p>
    <w:p w14:paraId="43A8BAA2">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1.本工程设置总价最高限价，供应商的报价不得超过总价最高限价，总价最高限价为：108070.37元，其中安全文明施工费2547.94元。供应商的报价不得超过本项目设置的最高限价，否则，其响应文件按废标处理。</w:t>
      </w:r>
    </w:p>
    <w:p w14:paraId="3F74B156">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本次报价须为人民币报价，供应商以采购文件、合同条件、工程量清单、图纸等相关文件为依据，由供应商结合自身实力、市场行情自主合理报价。报价应包括完成采购范围内工程项目的人工费、材料费、验收费、检验及试验费、机械费、企业管理费、利润、风险费用、税金、后期服务、保险、采购代理服务费等完成本项目的所有费用。因成交供应商自身原因造成漏报、少报皆由其自行承担责任，采购人不再补偿。</w:t>
      </w:r>
    </w:p>
    <w:p w14:paraId="2FD795C9">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zh-CN" w:eastAsia="zh-CN"/>
        </w:rPr>
      </w:pPr>
      <w:bookmarkStart w:id="140" w:name="_Toc12145"/>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lang w:val="zh-CN" w:eastAsia="zh-CN"/>
        </w:rPr>
        <w:t>、履约保证金</w:t>
      </w:r>
      <w:bookmarkEnd w:id="140"/>
    </w:p>
    <w:p w14:paraId="212AD8E7">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（一）本项目履约保证金为成交金额的10%。</w:t>
      </w:r>
    </w:p>
    <w:p w14:paraId="6BC58139">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（二）缴纳履约保证金方式：成交供应商应在成交通知书发出后三个工作日内、合同签订之前通过支票、汇票、本票或者金融机构、担保机构出具的保函等非现金形式提交履约保证金。</w:t>
      </w:r>
    </w:p>
    <w:p w14:paraId="6F794D50">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（三）履约保证金的退还：履约保证金在竣工验收后退还，履约保证金不计息。</w:t>
      </w:r>
    </w:p>
    <w:p w14:paraId="6BD138FC">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（四）成交供应商提供的货物及服务未达到采购文件规定要求响应文件的响应及承诺，且对采购人造成损失的，由成交供应商承担一切责任的同时，扣除履约保证金，并赔偿所造成的损失。</w:t>
      </w:r>
    </w:p>
    <w:p w14:paraId="64FAEAF2">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en-US" w:eastAsia="zh-CN"/>
        </w:rPr>
      </w:pPr>
      <w:bookmarkStart w:id="141" w:name="_Toc26417"/>
      <w:bookmarkStart w:id="142" w:name="_Toc30491"/>
      <w:bookmarkStart w:id="143" w:name="_Toc21544"/>
      <w:bookmarkStart w:id="144" w:name="_Toc76462330"/>
      <w:bookmarkStart w:id="145" w:name="_Toc26438"/>
      <w:bookmarkStart w:id="146" w:name="_Toc344475122"/>
      <w:bookmarkStart w:id="147" w:name="_Toc27230"/>
      <w:r>
        <w:rPr>
          <w:rFonts w:hint="eastAsia" w:ascii="仿宋" w:hAnsi="仿宋" w:eastAsia="仿宋" w:cs="仿宋"/>
          <w:color w:val="auto"/>
          <w:sz w:val="24"/>
          <w:szCs w:val="24"/>
          <w:lang w:val="en-US" w:eastAsia="zh-CN"/>
        </w:rPr>
        <w:t>※五、付款方式</w:t>
      </w:r>
      <w:bookmarkEnd w:id="141"/>
      <w:bookmarkEnd w:id="142"/>
      <w:bookmarkEnd w:id="143"/>
      <w:bookmarkEnd w:id="144"/>
      <w:bookmarkEnd w:id="145"/>
      <w:bookmarkEnd w:id="146"/>
      <w:bookmarkEnd w:id="147"/>
    </w:p>
    <w:p w14:paraId="5CC884B8">
      <w:pPr>
        <w:spacing w:line="560" w:lineRule="exact"/>
        <w:ind w:firstLine="480" w:firstLineChars="200"/>
        <w:rPr>
          <w:rFonts w:hint="eastAsia" w:ascii="仿宋" w:hAnsi="仿宋" w:eastAsia="仿宋" w:cs="仿宋"/>
          <w:color w:val="auto"/>
          <w:lang w:val="en-US" w:eastAsia="zh-CN"/>
        </w:rPr>
      </w:pPr>
      <w:bookmarkStart w:id="148" w:name="_Toc19173"/>
      <w:bookmarkStart w:id="149" w:name="_Toc21720"/>
      <w:bookmarkStart w:id="150" w:name="_Toc29423"/>
      <w:bookmarkStart w:id="151" w:name="_Toc344475124"/>
      <w:bookmarkStart w:id="152" w:name="_Toc23480"/>
      <w:bookmarkStart w:id="153" w:name="_Toc76462331"/>
      <w:r>
        <w:rPr>
          <w:rFonts w:hint="eastAsia" w:ascii="仿宋" w:hAnsi="仿宋" w:eastAsia="仿宋" w:cs="仿宋"/>
          <w:color w:val="auto"/>
          <w:lang w:val="en-US" w:eastAsia="zh-CN"/>
        </w:rPr>
        <w:t>（一）工程竣工验收合格后，</w:t>
      </w:r>
      <w:r>
        <w:rPr>
          <w:rFonts w:hint="eastAsia" w:ascii="仿宋" w:hAnsi="仿宋" w:eastAsia="仿宋" w:cs="仿宋"/>
          <w:color w:val="auto"/>
          <w:lang w:val="en-US" w:eastAsia="zh-CN"/>
        </w:rPr>
        <w:t>采购人在收到供应商开具的合法有效发票并完成内部付款审批流程后，预计于2026年8月30日（15个工作日内）前完成款项支付。</w:t>
      </w:r>
      <w:r>
        <w:rPr>
          <w:rFonts w:hint="eastAsia" w:ascii="仿宋" w:hAnsi="仿宋" w:eastAsia="仿宋" w:cs="仿宋"/>
          <w:color w:val="auto"/>
          <w:lang w:val="en-US" w:eastAsia="zh-CN"/>
        </w:rPr>
        <w:t>付款前，供应商须先行向采购人支付经审计确认的合同总金额3%作为质量保证金。该保证金在工程竣工验收合格、2年缺陷责任期届满且经确认无质量问题及未发生保修责任后，由采购人在10个工作日内无息退还。</w:t>
      </w:r>
    </w:p>
    <w:p w14:paraId="4A4C321F">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（二）本项目首先保证农民工工资不拖欠，供应商必须及时支付人工费、材料费等费用，如有投诉材料费、人工费未结清的情况，采购单位将暂停余款支付，并有权动用成交供应商一切费用解决属实的投诉纠纷。</w:t>
      </w:r>
    </w:p>
    <w:p w14:paraId="637FC861">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en-US" w:eastAsia="zh-CN"/>
        </w:rPr>
      </w:pPr>
      <w:bookmarkStart w:id="154" w:name="_Toc230093203"/>
      <w:bookmarkStart w:id="155" w:name="_Toc10390"/>
      <w:r>
        <w:rPr>
          <w:rFonts w:hint="eastAsia" w:ascii="仿宋" w:hAnsi="仿宋" w:eastAsia="仿宋" w:cs="仿宋"/>
          <w:color w:val="auto"/>
          <w:sz w:val="24"/>
          <w:szCs w:val="24"/>
          <w:lang w:val="en-US" w:eastAsia="zh-CN"/>
        </w:rPr>
        <w:t>※六、违约责任</w:t>
      </w:r>
      <w:bookmarkEnd w:id="154"/>
      <w:bookmarkEnd w:id="155"/>
    </w:p>
    <w:p w14:paraId="51D17F76">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一）成交供应商应遵守工程建设安全生产有关管理规定，严格按安全标准组织施工，并随时接受行业安全检查人员及采购人实施的监督检查。由于成交供应商安全措施不力造成事故的责任和因此发生的费用，由成交供应商承担。采购人代表到现场检查时，成交供应商现场管理人员必须积极配合，对不重视安全以及出现安全隐患，则采购人对成交供应商处以每次5000元违约金；严重的安全问题视情节加重处罚。</w:t>
      </w:r>
    </w:p>
    <w:p w14:paraId="4FA114BF">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二）成交供应商及其员工应遵守各级政府及部门的规定和采购人管理规定，采购人代表到现场检查时，成交供应商现场管理人员必须积极配合，对不遵守管理规定及不能做到文明施工的现象，则采购人对成交供应商处以每次5000元违约金；对屡次（2次以上）不整改的处以每次5000元违约金。</w:t>
      </w:r>
    </w:p>
    <w:p w14:paraId="312646CF">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三）若校园围墙因自身质量问题出现损坏故障，采购人通知维修后，成交供应商未按合同约定时限到场提供维修服务且屡次逾期的，采购人有权另行委托第三方开展维修作业，维修所产生的全部费用及相关合理开支，均直接从该成交供应商质保金中据实予以扣除。</w:t>
      </w:r>
    </w:p>
    <w:p w14:paraId="5AE946F5">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default" w:ascii="仿宋" w:hAnsi="仿宋" w:eastAsia="仿宋" w:cs="仿宋"/>
          <w:color w:val="auto"/>
          <w:sz w:val="24"/>
          <w:szCs w:val="24"/>
          <w:lang w:val="en-US" w:eastAsia="zh-CN"/>
        </w:rPr>
      </w:pPr>
      <w:bookmarkStart w:id="156" w:name="_Toc16420"/>
      <w:r>
        <w:rPr>
          <w:rFonts w:hint="eastAsia" w:ascii="仿宋" w:hAnsi="仿宋" w:eastAsia="仿宋" w:cs="仿宋"/>
          <w:color w:val="auto"/>
          <w:sz w:val="24"/>
          <w:szCs w:val="24"/>
          <w:lang w:val="en-US" w:eastAsia="zh-CN"/>
        </w:rPr>
        <w:t>※七、</w:t>
      </w:r>
      <w:bookmarkEnd w:id="148"/>
      <w:r>
        <w:rPr>
          <w:rFonts w:hint="eastAsia" w:ascii="仿宋" w:hAnsi="仿宋" w:eastAsia="仿宋" w:cs="仿宋"/>
          <w:color w:val="auto"/>
          <w:sz w:val="24"/>
          <w:szCs w:val="24"/>
          <w:lang w:val="en-US" w:eastAsia="zh-CN"/>
        </w:rPr>
        <w:t>转包、分包</w:t>
      </w:r>
      <w:bookmarkEnd w:id="149"/>
      <w:bookmarkEnd w:id="150"/>
      <w:bookmarkEnd w:id="156"/>
    </w:p>
    <w:p w14:paraId="202B452F">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成交供应商未经采购人书面同意，不得将本工程项目转包、分包给第三方，如成交供应商将本工程项目转包、分包给第三方的，采购人有权解除合同，同时采购人有权要求成交供应商按合同总金额的10 %支付违约金，因此给采购人造成的损失应由成交供应商承担赔偿责任。</w:t>
      </w:r>
    </w:p>
    <w:p w14:paraId="7895ED46">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en-US" w:eastAsia="zh-CN"/>
        </w:rPr>
      </w:pPr>
      <w:bookmarkStart w:id="157" w:name="_Toc20056"/>
      <w:bookmarkStart w:id="158" w:name="_Toc21240"/>
      <w:bookmarkStart w:id="159" w:name="_Toc25929"/>
      <w:bookmarkStart w:id="160" w:name="_Toc4625"/>
      <w:r>
        <w:rPr>
          <w:rFonts w:hint="eastAsia" w:ascii="仿宋" w:hAnsi="仿宋" w:eastAsia="仿宋" w:cs="仿宋"/>
          <w:color w:val="auto"/>
          <w:sz w:val="24"/>
          <w:szCs w:val="24"/>
          <w:lang w:val="en-US" w:eastAsia="zh-CN"/>
        </w:rPr>
        <w:t>※八、知识产权</w:t>
      </w:r>
      <w:bookmarkEnd w:id="157"/>
      <w:bookmarkEnd w:id="158"/>
      <w:bookmarkEnd w:id="159"/>
    </w:p>
    <w:p w14:paraId="55B7B004">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bookmarkEnd w:id="151"/>
    <w:bookmarkEnd w:id="152"/>
    <w:bookmarkEnd w:id="153"/>
    <w:bookmarkEnd w:id="160"/>
    <w:p w14:paraId="6C1BD8E8">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en-US" w:eastAsia="zh-CN"/>
        </w:rPr>
      </w:pPr>
      <w:bookmarkStart w:id="161" w:name="_Toc19231"/>
      <w:r>
        <w:rPr>
          <w:rFonts w:hint="eastAsia" w:ascii="仿宋" w:hAnsi="仿宋" w:eastAsia="仿宋" w:cs="仿宋"/>
          <w:color w:val="auto"/>
          <w:sz w:val="24"/>
          <w:szCs w:val="24"/>
          <w:lang w:val="en-US" w:eastAsia="zh-CN"/>
        </w:rPr>
        <w:t>※九、</w:t>
      </w:r>
      <w:bookmarkStart w:id="162" w:name="_Toc344475125"/>
      <w:r>
        <w:rPr>
          <w:rFonts w:hint="eastAsia" w:ascii="仿宋" w:hAnsi="仿宋" w:eastAsia="仿宋" w:cs="仿宋"/>
          <w:color w:val="auto"/>
          <w:sz w:val="24"/>
          <w:szCs w:val="24"/>
          <w:lang w:val="en-US" w:eastAsia="zh-CN"/>
        </w:rPr>
        <w:t>其他</w:t>
      </w:r>
      <w:bookmarkEnd w:id="161"/>
    </w:p>
    <w:bookmarkEnd w:id="162"/>
    <w:p w14:paraId="1DF28994">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（一）价格调整：在合同执行期间（包括工期拖延期间），由于人工、材料和设备价格的上涨而引起工程施工成本增加的风险由承包人自行承担，合同价格不会因此而调整。</w:t>
      </w:r>
    </w:p>
    <w:p w14:paraId="514DC50B">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（二）其他未尽事宜由供需双方在采购合同中详细约定。</w:t>
      </w:r>
    </w:p>
    <w:p w14:paraId="3999E11A">
      <w:pPr>
        <w:pStyle w:val="6"/>
        <w:rPr>
          <w:rFonts w:hint="eastAsia" w:ascii="仿宋" w:hAnsi="仿宋" w:eastAsia="仿宋" w:cs="仿宋"/>
          <w:color w:val="auto"/>
        </w:rPr>
      </w:pPr>
      <w:r>
        <w:rPr>
          <w:rFonts w:hint="eastAsia" w:ascii="仿宋" w:hAnsi="仿宋" w:eastAsia="仿宋" w:cs="仿宋"/>
          <w:color w:val="auto"/>
        </w:rPr>
        <w:br w:type="page"/>
      </w:r>
    </w:p>
    <w:p w14:paraId="2AFCAD82">
      <w:pPr>
        <w:pStyle w:val="3"/>
        <w:spacing w:line="360" w:lineRule="auto"/>
        <w:jc w:val="center"/>
        <w:rPr>
          <w:rFonts w:hint="eastAsia" w:ascii="仿宋" w:hAnsi="仿宋" w:eastAsia="仿宋" w:cs="仿宋"/>
          <w:b w:val="0"/>
          <w:color w:val="auto"/>
        </w:rPr>
      </w:pPr>
      <w:bookmarkStart w:id="163" w:name="_Toc4029"/>
      <w:r>
        <w:rPr>
          <w:rFonts w:hint="eastAsia" w:ascii="仿宋" w:hAnsi="仿宋" w:eastAsia="仿宋" w:cs="仿宋"/>
          <w:bCs w:val="0"/>
          <w:color w:val="auto"/>
        </w:rPr>
        <w:t>第五篇  合同草案</w:t>
      </w:r>
      <w:bookmarkEnd w:id="163"/>
    </w:p>
    <w:p w14:paraId="6904C8FF">
      <w:pPr>
        <w:pStyle w:val="4"/>
        <w:spacing w:before="0" w:after="0" w:line="360" w:lineRule="auto"/>
        <w:jc w:val="center"/>
        <w:rPr>
          <w:rFonts w:hint="eastAsia" w:ascii="方正仿宋_GBK" w:hAnsi="方正仿宋_GBK" w:eastAsia="方正仿宋_GBK" w:cs="方正仿宋_GBK"/>
          <w:color w:val="auto"/>
          <w:szCs w:val="24"/>
        </w:rPr>
      </w:pPr>
      <w:bookmarkStart w:id="164" w:name="_Toc462143563"/>
      <w:bookmarkStart w:id="165" w:name="_Toc24396"/>
      <w:bookmarkStart w:id="166" w:name="_Toc230093225"/>
      <w:bookmarkStart w:id="167" w:name="_Toc22852"/>
      <w:bookmarkStart w:id="168" w:name="_Toc15790"/>
      <w:bookmarkStart w:id="169" w:name="_Toc148265480"/>
      <w:bookmarkStart w:id="170" w:name="_Toc303945820"/>
      <w:r>
        <w:rPr>
          <w:rFonts w:hint="eastAsia" w:ascii="方正仿宋_GBK" w:hAnsi="方正仿宋_GBK" w:eastAsia="方正仿宋_GBK" w:cs="方正仿宋_GBK"/>
          <w:color w:val="auto"/>
          <w:szCs w:val="24"/>
        </w:rPr>
        <w:t>第一部分 合同协议书</w:t>
      </w:r>
      <w:bookmarkEnd w:id="164"/>
      <w:bookmarkEnd w:id="165"/>
      <w:bookmarkEnd w:id="166"/>
      <w:bookmarkEnd w:id="167"/>
      <w:bookmarkEnd w:id="168"/>
    </w:p>
    <w:p w14:paraId="2A528044">
      <w:pPr>
        <w:adjustRightInd w:val="0"/>
        <w:snapToGrid w:val="0"/>
        <w:spacing w:line="360" w:lineRule="auto"/>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采  购  人（甲方）：</w:t>
      </w:r>
      <w:r>
        <w:rPr>
          <w:rFonts w:hint="eastAsia" w:ascii="方正仿宋_GBK" w:hAnsi="方正仿宋_GBK" w:eastAsia="方正仿宋_GBK" w:cs="方正仿宋_GBK"/>
          <w:color w:val="auto"/>
          <w:sz w:val="24"/>
          <w:szCs w:val="24"/>
          <w:u w:val="single"/>
        </w:rPr>
        <w:t xml:space="preserve">                                     </w:t>
      </w:r>
    </w:p>
    <w:p w14:paraId="67CA908C">
      <w:pPr>
        <w:adjustRightInd w:val="0"/>
        <w:snapToGrid w:val="0"/>
        <w:spacing w:line="360" w:lineRule="auto"/>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成交供应商（乙方）：</w:t>
      </w:r>
      <w:r>
        <w:rPr>
          <w:rFonts w:hint="eastAsia" w:ascii="方正仿宋_GBK" w:hAnsi="方正仿宋_GBK" w:eastAsia="方正仿宋_GBK" w:cs="方正仿宋_GBK"/>
          <w:color w:val="auto"/>
          <w:sz w:val="24"/>
          <w:szCs w:val="24"/>
          <w:u w:val="single"/>
        </w:rPr>
        <w:t xml:space="preserve">                                         </w:t>
      </w:r>
    </w:p>
    <w:p w14:paraId="449349EF">
      <w:pPr>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根据《中华人民共和国政府采购法》《中华人民共和国民法典》《中华人民共和国建筑法》、重庆市渝中区国土资源管理分局的相关文件和乙方响应文件，甲、乙双方遵循平等、自愿、公平和诚实信用的原则，双方就</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施工及有关事项协商一致，共同达成如下协议：</w:t>
      </w:r>
    </w:p>
    <w:p w14:paraId="55077925">
      <w:pPr>
        <w:spacing w:line="360" w:lineRule="auto"/>
        <w:ind w:firstLine="482" w:firstLineChars="200"/>
        <w:rPr>
          <w:rFonts w:hint="eastAsia" w:ascii="方正仿宋_GBK" w:hAnsi="方正仿宋_GBK" w:eastAsia="方正仿宋_GBK" w:cs="方正仿宋_GBK"/>
          <w:b/>
          <w:bCs/>
          <w:color w:val="auto"/>
          <w:sz w:val="24"/>
          <w:szCs w:val="24"/>
        </w:rPr>
      </w:pPr>
      <w:bookmarkStart w:id="171" w:name="_Toc404960722"/>
      <w:r>
        <w:rPr>
          <w:rFonts w:hint="eastAsia" w:ascii="方正仿宋_GBK" w:hAnsi="方正仿宋_GBK" w:eastAsia="方正仿宋_GBK" w:cs="方正仿宋_GBK"/>
          <w:b/>
          <w:bCs/>
          <w:color w:val="auto"/>
          <w:sz w:val="24"/>
          <w:szCs w:val="24"/>
        </w:rPr>
        <w:t>一、工程概况</w:t>
      </w:r>
      <w:bookmarkEnd w:id="171"/>
    </w:p>
    <w:p w14:paraId="43EF77E5">
      <w:pPr>
        <w:spacing w:line="360" w:lineRule="auto"/>
        <w:ind w:firstLine="470" w:firstLineChars="196"/>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1.工程名称：</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2AFF44F9">
      <w:pPr>
        <w:spacing w:line="360" w:lineRule="auto"/>
        <w:ind w:firstLine="470" w:firstLineChars="196"/>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2.工程地点：</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1ECEB312">
      <w:pPr>
        <w:spacing w:line="360" w:lineRule="auto"/>
        <w:ind w:firstLine="470" w:firstLineChars="196"/>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3.采购计划编号：</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70FBFDBC">
      <w:pPr>
        <w:spacing w:line="360" w:lineRule="auto"/>
        <w:ind w:firstLine="470" w:firstLineChars="196"/>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4.资金来源：</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352D21F8">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5.工程内容：</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167AA827">
      <w:pPr>
        <w:spacing w:line="360" w:lineRule="auto"/>
        <w:ind w:firstLine="470" w:firstLineChars="196"/>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6.工程承包范围：</w:t>
      </w:r>
      <w:r>
        <w:rPr>
          <w:rFonts w:hint="eastAsia" w:ascii="方正仿宋_GBK" w:hAnsi="方正仿宋_GBK" w:eastAsia="方正仿宋_GBK" w:cs="方正仿宋_GBK"/>
          <w:color w:val="auto"/>
          <w:sz w:val="24"/>
          <w:szCs w:val="24"/>
          <w:u w:val="single"/>
        </w:rPr>
        <w:t xml:space="preserve">                。</w:t>
      </w:r>
    </w:p>
    <w:p w14:paraId="0F007C0B">
      <w:pPr>
        <w:keepNext/>
        <w:keepLines/>
        <w:spacing w:line="360" w:lineRule="auto"/>
        <w:rPr>
          <w:rFonts w:hint="eastAsia" w:ascii="方正仿宋_GBK" w:hAnsi="方正仿宋_GBK" w:eastAsia="方正仿宋_GBK" w:cs="方正仿宋_GBK"/>
          <w:bCs/>
          <w:color w:val="auto"/>
          <w:sz w:val="24"/>
          <w:szCs w:val="24"/>
        </w:rPr>
      </w:pPr>
      <w:bookmarkStart w:id="172" w:name="_Toc404960723"/>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Cs/>
          <w:color w:val="auto"/>
          <w:sz w:val="24"/>
          <w:szCs w:val="24"/>
        </w:rPr>
        <w:t xml:space="preserve">   二、合同工期</w:t>
      </w:r>
      <w:bookmarkEnd w:id="172"/>
    </w:p>
    <w:p w14:paraId="7BDC2445">
      <w:pPr>
        <w:spacing w:line="360" w:lineRule="auto"/>
        <w:ind w:firstLine="45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计划开工日期：</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日。</w:t>
      </w:r>
    </w:p>
    <w:p w14:paraId="355F7EB2">
      <w:pPr>
        <w:spacing w:line="360" w:lineRule="auto"/>
        <w:ind w:firstLine="45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计划竣工日期：</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日。</w:t>
      </w:r>
    </w:p>
    <w:p w14:paraId="1F8A0E9B">
      <w:pPr>
        <w:spacing w:line="360" w:lineRule="auto"/>
        <w:ind w:firstLine="45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工期总日历天数：</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天。工期总日历天数与根据前述计划开竣工日期计算的工期天数不一致的，以工期总日历天数为准。</w:t>
      </w:r>
      <w:bookmarkStart w:id="173" w:name="_Toc404960724"/>
    </w:p>
    <w:p w14:paraId="0A87184A">
      <w:pPr>
        <w:spacing w:line="360" w:lineRule="auto"/>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三、质量标准</w:t>
      </w:r>
    </w:p>
    <w:p w14:paraId="7D89A1B9">
      <w:pPr>
        <w:spacing w:line="360" w:lineRule="auto"/>
        <w:ind w:firstLine="45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本工程质量必须达到</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，自验收合格后</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年为本项目的质保期（部分分项有特别要求的按国家规定执行）。</w:t>
      </w:r>
    </w:p>
    <w:p w14:paraId="7075C203">
      <w:p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bCs/>
          <w:color w:val="auto"/>
          <w:sz w:val="24"/>
          <w:szCs w:val="24"/>
        </w:rPr>
        <w:t>四、中标金额</w:t>
      </w:r>
    </w:p>
    <w:bookmarkEnd w:id="173"/>
    <w:p w14:paraId="6D77CB8C">
      <w:pPr>
        <w:keepNext/>
        <w:keepLines/>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Cs/>
          <w:color w:val="auto"/>
          <w:sz w:val="24"/>
          <w:szCs w:val="24"/>
        </w:rPr>
        <w:t>人民币（大写）：</w:t>
      </w:r>
      <w:r>
        <w:rPr>
          <w:rFonts w:hint="eastAsia" w:ascii="方正仿宋_GBK" w:hAnsi="方正仿宋_GBK" w:eastAsia="方正仿宋_GBK" w:cs="方正仿宋_GBK"/>
          <w:bCs/>
          <w:color w:val="auto"/>
          <w:sz w:val="24"/>
          <w:szCs w:val="24"/>
          <w:u w:val="single"/>
        </w:rPr>
        <w:t xml:space="preserve">                   </w:t>
      </w:r>
      <w:r>
        <w:rPr>
          <w:rFonts w:hint="eastAsia" w:ascii="方正仿宋_GBK" w:hAnsi="方正仿宋_GBK" w:eastAsia="方正仿宋_GBK" w:cs="方正仿宋_GBK"/>
          <w:bCs/>
          <w:color w:val="auto"/>
          <w:sz w:val="24"/>
          <w:szCs w:val="24"/>
        </w:rPr>
        <w:t>(</w:t>
      </w:r>
      <w:r>
        <w:rPr>
          <w:rFonts w:ascii="Cambria" w:hAnsi="Cambria" w:eastAsia="方正仿宋_GBK" w:cs="Cambria"/>
          <w:bCs/>
          <w:color w:val="auto"/>
          <w:sz w:val="24"/>
          <w:szCs w:val="24"/>
        </w:rPr>
        <w:t>¥</w:t>
      </w:r>
      <w:r>
        <w:rPr>
          <w:rFonts w:hint="eastAsia" w:ascii="方正仿宋_GBK" w:hAnsi="方正仿宋_GBK" w:eastAsia="方正仿宋_GBK" w:cs="方正仿宋_GBK"/>
          <w:bCs/>
          <w:color w:val="auto"/>
          <w:sz w:val="24"/>
          <w:szCs w:val="24"/>
          <w:u w:val="single"/>
        </w:rPr>
        <w:t xml:space="preserve">                    </w:t>
      </w:r>
      <w:r>
        <w:rPr>
          <w:rFonts w:hint="eastAsia" w:ascii="方正仿宋_GBK" w:hAnsi="方正仿宋_GBK" w:eastAsia="方正仿宋_GBK" w:cs="方正仿宋_GBK"/>
          <w:bCs/>
          <w:color w:val="auto"/>
          <w:sz w:val="24"/>
          <w:szCs w:val="24"/>
        </w:rPr>
        <w:t>元)。</w:t>
      </w:r>
    </w:p>
    <w:p w14:paraId="6449535C">
      <w:pPr>
        <w:spacing w:line="360" w:lineRule="auto"/>
        <w:rPr>
          <w:rFonts w:hint="eastAsia" w:ascii="方正仿宋_GBK" w:hAnsi="方正仿宋_GBK" w:eastAsia="方正仿宋_GBK" w:cs="方正仿宋_GBK"/>
          <w:color w:val="auto"/>
          <w:sz w:val="24"/>
          <w:szCs w:val="24"/>
        </w:rPr>
      </w:pPr>
      <w:bookmarkStart w:id="174" w:name="_Toc404960726"/>
      <w:r>
        <w:rPr>
          <w:rFonts w:hint="eastAsia" w:ascii="方正仿宋_GBK" w:hAnsi="方正仿宋_GBK" w:eastAsia="方正仿宋_GBK" w:cs="方正仿宋_GBK"/>
          <w:b/>
          <w:bCs/>
          <w:color w:val="auto"/>
          <w:sz w:val="24"/>
          <w:szCs w:val="24"/>
        </w:rPr>
        <w:t>五、付款方式</w:t>
      </w:r>
    </w:p>
    <w:p w14:paraId="4344D8A3">
      <w:pPr>
        <w:spacing w:line="360" w:lineRule="auto"/>
        <w:ind w:firstLine="460" w:firstLineChars="19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（一）成交供应商按</w:t>
      </w:r>
      <w:r>
        <w:rPr>
          <w:rFonts w:hint="eastAsia" w:ascii="方正仿宋_GBK" w:hAnsi="方正仿宋_GBK" w:eastAsia="方正仿宋_GBK" w:cs="方正仿宋_GBK"/>
          <w:color w:val="auto"/>
          <w:sz w:val="24"/>
          <w:szCs w:val="24"/>
          <w:lang w:val="en-US" w:eastAsia="zh-CN"/>
        </w:rPr>
        <w:t>比选</w:t>
      </w:r>
      <w:r>
        <w:rPr>
          <w:rFonts w:hint="eastAsia" w:ascii="方正仿宋_GBK" w:hAnsi="方正仿宋_GBK" w:eastAsia="方正仿宋_GBK" w:cs="方正仿宋_GBK"/>
          <w:color w:val="auto"/>
          <w:sz w:val="24"/>
          <w:szCs w:val="24"/>
        </w:rPr>
        <w:t>文件、工程量清单、成交的响应文件、采购合同进行施工，采购人验收合格后出具项目验收报告。</w:t>
      </w:r>
    </w:p>
    <w:p w14:paraId="35F133E3">
      <w:pPr>
        <w:spacing w:line="360" w:lineRule="auto"/>
        <w:ind w:firstLine="460" w:firstLineChars="19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（二）成交供应商向采购人开具发票。承包人（中标人）需提供相应的合格发票后，发包人才支付相应的款项。</w:t>
      </w:r>
    </w:p>
    <w:p w14:paraId="3B5F0652">
      <w:pPr>
        <w:snapToGrid w:val="0"/>
        <w:spacing w:line="360" w:lineRule="auto"/>
        <w:ind w:right="-72" w:rightChars="-30"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（三）付款方式：</w:t>
      </w:r>
    </w:p>
    <w:p w14:paraId="7DC2C8B0">
      <w:pPr>
        <w:snapToGrid w:val="0"/>
        <w:spacing w:line="360" w:lineRule="auto"/>
        <w:ind w:right="-72" w:rightChars="-30" w:firstLine="480"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5EA63218">
      <w:pPr>
        <w:spacing w:line="360" w:lineRule="auto"/>
        <w:ind w:firstLine="482"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bCs/>
          <w:color w:val="auto"/>
          <w:sz w:val="24"/>
          <w:szCs w:val="24"/>
        </w:rPr>
        <w:t>六、项目经理</w:t>
      </w:r>
      <w:bookmarkEnd w:id="174"/>
    </w:p>
    <w:p w14:paraId="26F5491B">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乙方项目经理：</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7156C237">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14:paraId="5D9D305F">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乙方对项目经理的授权范围如下：</w:t>
      </w:r>
    </w:p>
    <w:p w14:paraId="370CBAC5">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bookmarkStart w:id="175" w:name="_Toc404960727"/>
    </w:p>
    <w:p w14:paraId="166CCEC6">
      <w:pPr>
        <w:spacing w:line="360" w:lineRule="auto"/>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七、合同文件构成</w:t>
      </w:r>
      <w:bookmarkEnd w:id="175"/>
    </w:p>
    <w:p w14:paraId="3746EEE3">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本协议书与下列文件一起构成合同文件：</w:t>
      </w:r>
    </w:p>
    <w:p w14:paraId="78C345AA">
      <w:pPr>
        <w:autoSpaceDE w:val="0"/>
        <w:autoSpaceDN w:val="0"/>
        <w:adjustRightInd w:val="0"/>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1.合同协议书；</w:t>
      </w:r>
    </w:p>
    <w:p w14:paraId="1C400D02">
      <w:pPr>
        <w:autoSpaceDE w:val="0"/>
        <w:autoSpaceDN w:val="0"/>
        <w:adjustRightInd w:val="0"/>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2.成交通知书；</w:t>
      </w:r>
    </w:p>
    <w:p w14:paraId="381EFE77">
      <w:pPr>
        <w:autoSpaceDE w:val="0"/>
        <w:autoSpaceDN w:val="0"/>
        <w:adjustRightInd w:val="0"/>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3.专用合同条款；</w:t>
      </w:r>
    </w:p>
    <w:p w14:paraId="544E6590">
      <w:pPr>
        <w:autoSpaceDE w:val="0"/>
        <w:autoSpaceDN w:val="0"/>
        <w:adjustRightInd w:val="0"/>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4.通用合同条款；</w:t>
      </w:r>
    </w:p>
    <w:p w14:paraId="602B601F">
      <w:pPr>
        <w:autoSpaceDE w:val="0"/>
        <w:autoSpaceDN w:val="0"/>
        <w:adjustRightInd w:val="0"/>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5.技术标准和要求；</w:t>
      </w:r>
    </w:p>
    <w:p w14:paraId="2971A00E">
      <w:pPr>
        <w:autoSpaceDE w:val="0"/>
        <w:autoSpaceDN w:val="0"/>
        <w:adjustRightInd w:val="0"/>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6.其他合同文件。</w:t>
      </w:r>
    </w:p>
    <w:p w14:paraId="52D33E2D">
      <w:pPr>
        <w:autoSpaceDE w:val="0"/>
        <w:autoSpaceDN w:val="0"/>
        <w:adjustRightInd w:val="0"/>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在合同订立及履行过程中形成的与合同有关的文件均构成合同文件组成部分。</w:t>
      </w:r>
    </w:p>
    <w:p w14:paraId="2C92F0A6">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52071C3D">
      <w:pPr>
        <w:spacing w:line="360" w:lineRule="auto"/>
        <w:ind w:firstLine="482" w:firstLineChars="200"/>
        <w:rPr>
          <w:rFonts w:hint="eastAsia" w:ascii="方正仿宋_GBK" w:hAnsi="方正仿宋_GBK" w:eastAsia="方正仿宋_GBK" w:cs="方正仿宋_GBK"/>
          <w:b/>
          <w:bCs/>
          <w:color w:val="auto"/>
          <w:sz w:val="24"/>
          <w:szCs w:val="24"/>
        </w:rPr>
      </w:pPr>
      <w:bookmarkStart w:id="176" w:name="_Toc404960728"/>
      <w:r>
        <w:rPr>
          <w:rFonts w:hint="eastAsia" w:ascii="方正仿宋_GBK" w:hAnsi="方正仿宋_GBK" w:eastAsia="方正仿宋_GBK" w:cs="方正仿宋_GBK"/>
          <w:b/>
          <w:bCs/>
          <w:color w:val="auto"/>
          <w:sz w:val="24"/>
          <w:szCs w:val="24"/>
        </w:rPr>
        <w:t>八、承诺</w:t>
      </w:r>
      <w:bookmarkEnd w:id="176"/>
    </w:p>
    <w:p w14:paraId="7CA638FC">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1.甲方承诺按照法律规定履行项目审批手续、筹集工程建设资金并按照合同约定的期限和方式支付合同价款。</w:t>
      </w:r>
    </w:p>
    <w:p w14:paraId="6792C0D4">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2.乙方承诺按照法律规定及合同约定组织完成工程施工，确保工程质量和安全，不进行转包及违法分包，并在质保修期内承担相应的工程维修责任。</w:t>
      </w:r>
    </w:p>
    <w:p w14:paraId="0E5350B2">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3.其他：</w:t>
      </w:r>
    </w:p>
    <w:p w14:paraId="64F19CD2">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4F6A9A8D">
      <w:pPr>
        <w:spacing w:line="360" w:lineRule="auto"/>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九、词语含义</w:t>
      </w:r>
    </w:p>
    <w:p w14:paraId="68E1C2B4">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本协议书中词语含义与第二部分通用合同条款中赋予的含义相同。</w:t>
      </w:r>
    </w:p>
    <w:p w14:paraId="72549208">
      <w:pPr>
        <w:spacing w:line="360" w:lineRule="auto"/>
        <w:ind w:firstLine="482" w:firstLineChars="200"/>
        <w:rPr>
          <w:rFonts w:hint="eastAsia" w:ascii="方正仿宋_GBK" w:hAnsi="方正仿宋_GBK" w:eastAsia="方正仿宋_GBK" w:cs="方正仿宋_GBK"/>
          <w:b/>
          <w:bCs/>
          <w:color w:val="auto"/>
          <w:sz w:val="24"/>
          <w:szCs w:val="24"/>
        </w:rPr>
      </w:pPr>
      <w:bookmarkStart w:id="177" w:name="_Toc404960729"/>
      <w:r>
        <w:rPr>
          <w:rFonts w:hint="eastAsia" w:ascii="方正仿宋_GBK" w:hAnsi="方正仿宋_GBK" w:eastAsia="方正仿宋_GBK" w:cs="方正仿宋_GBK"/>
          <w:b/>
          <w:bCs/>
          <w:color w:val="auto"/>
          <w:sz w:val="24"/>
          <w:szCs w:val="24"/>
        </w:rPr>
        <w:t>十、签订时间</w:t>
      </w:r>
      <w:bookmarkEnd w:id="177"/>
    </w:p>
    <w:p w14:paraId="72EC7F37">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本合同于</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日签订。</w:t>
      </w:r>
    </w:p>
    <w:p w14:paraId="5DD5363E">
      <w:pPr>
        <w:spacing w:line="360" w:lineRule="auto"/>
        <w:ind w:firstLine="482" w:firstLineChars="200"/>
        <w:rPr>
          <w:rFonts w:hint="eastAsia" w:ascii="方正仿宋_GBK" w:hAnsi="方正仿宋_GBK" w:eastAsia="方正仿宋_GBK" w:cs="方正仿宋_GBK"/>
          <w:b/>
          <w:bCs/>
          <w:color w:val="auto"/>
          <w:sz w:val="24"/>
          <w:szCs w:val="24"/>
        </w:rPr>
      </w:pPr>
      <w:bookmarkStart w:id="178" w:name="_Toc404960730"/>
      <w:r>
        <w:rPr>
          <w:rFonts w:hint="eastAsia" w:ascii="方正仿宋_GBK" w:hAnsi="方正仿宋_GBK" w:eastAsia="方正仿宋_GBK" w:cs="方正仿宋_GBK"/>
          <w:b/>
          <w:bCs/>
          <w:color w:val="auto"/>
          <w:sz w:val="24"/>
          <w:szCs w:val="24"/>
        </w:rPr>
        <w:t>十一、签订地点</w:t>
      </w:r>
      <w:bookmarkEnd w:id="178"/>
    </w:p>
    <w:p w14:paraId="12B4A305">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本合同在</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签订。</w:t>
      </w:r>
    </w:p>
    <w:p w14:paraId="5FD6574D">
      <w:pPr>
        <w:spacing w:line="360" w:lineRule="auto"/>
        <w:ind w:firstLine="482" w:firstLineChars="200"/>
        <w:rPr>
          <w:rFonts w:hint="eastAsia" w:ascii="方正仿宋_GBK" w:hAnsi="方正仿宋_GBK" w:eastAsia="方正仿宋_GBK" w:cs="方正仿宋_GBK"/>
          <w:color w:val="auto"/>
          <w:sz w:val="24"/>
          <w:szCs w:val="24"/>
        </w:rPr>
      </w:pPr>
      <w:bookmarkStart w:id="179" w:name="_Toc404960731"/>
      <w:r>
        <w:rPr>
          <w:rFonts w:hint="eastAsia" w:ascii="方正仿宋_GBK" w:hAnsi="方正仿宋_GBK" w:eastAsia="方正仿宋_GBK" w:cs="方正仿宋_GBK"/>
          <w:b/>
          <w:bCs/>
          <w:color w:val="auto"/>
          <w:sz w:val="24"/>
          <w:szCs w:val="24"/>
        </w:rPr>
        <w:t>十二、补充协议</w:t>
      </w:r>
      <w:bookmarkEnd w:id="179"/>
    </w:p>
    <w:p w14:paraId="569380DE">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合同未尽事宜，合同当事人另行签订补充协议，补充协议是合同的组成部分。</w:t>
      </w:r>
    </w:p>
    <w:p w14:paraId="44D96034">
      <w:pPr>
        <w:spacing w:line="360" w:lineRule="auto"/>
        <w:ind w:firstLine="482" w:firstLineChars="200"/>
        <w:rPr>
          <w:rFonts w:hint="eastAsia" w:ascii="方正仿宋_GBK" w:hAnsi="方正仿宋_GBK" w:eastAsia="方正仿宋_GBK" w:cs="方正仿宋_GBK"/>
          <w:b/>
          <w:bCs/>
          <w:color w:val="auto"/>
          <w:sz w:val="24"/>
          <w:szCs w:val="24"/>
        </w:rPr>
      </w:pPr>
      <w:bookmarkStart w:id="180" w:name="_Toc404960732"/>
      <w:r>
        <w:rPr>
          <w:rFonts w:hint="eastAsia" w:ascii="方正仿宋_GBK" w:hAnsi="方正仿宋_GBK" w:eastAsia="方正仿宋_GBK" w:cs="方正仿宋_GBK"/>
          <w:b/>
          <w:bCs/>
          <w:color w:val="auto"/>
          <w:sz w:val="24"/>
          <w:szCs w:val="24"/>
        </w:rPr>
        <w:t>十三、合同生效</w:t>
      </w:r>
      <w:bookmarkEnd w:id="180"/>
    </w:p>
    <w:p w14:paraId="01B355B2">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本合同自</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生效。</w:t>
      </w:r>
    </w:p>
    <w:p w14:paraId="5C51FEA9">
      <w:pPr>
        <w:spacing w:line="360" w:lineRule="auto"/>
        <w:ind w:firstLine="482" w:firstLineChars="200"/>
        <w:rPr>
          <w:rFonts w:hint="eastAsia" w:ascii="方正仿宋_GBK" w:hAnsi="方正仿宋_GBK" w:eastAsia="方正仿宋_GBK" w:cs="方正仿宋_GBK"/>
          <w:color w:val="auto"/>
          <w:sz w:val="24"/>
          <w:szCs w:val="24"/>
        </w:rPr>
      </w:pPr>
      <w:bookmarkStart w:id="181" w:name="_Toc404960733"/>
      <w:r>
        <w:rPr>
          <w:rFonts w:hint="eastAsia" w:ascii="方正仿宋_GBK" w:hAnsi="方正仿宋_GBK" w:eastAsia="方正仿宋_GBK" w:cs="方正仿宋_GBK"/>
          <w:b/>
          <w:bCs/>
          <w:color w:val="auto"/>
          <w:sz w:val="24"/>
          <w:szCs w:val="24"/>
        </w:rPr>
        <w:t>十四、合同份数</w:t>
      </w:r>
      <w:bookmarkEnd w:id="181"/>
    </w:p>
    <w:p w14:paraId="2E717A11">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本合同一式四份，均具有同等法律效力。</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95"/>
        <w:gridCol w:w="4317"/>
      </w:tblGrid>
      <w:tr w14:paraId="7CAA0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3" w:hRule="atLeast"/>
          <w:jc w:val="center"/>
        </w:trPr>
        <w:tc>
          <w:tcPr>
            <w:tcW w:w="4095" w:type="dxa"/>
            <w:tcBorders>
              <w:top w:val="single" w:color="auto" w:sz="4" w:space="0"/>
              <w:left w:val="single" w:color="auto" w:sz="4" w:space="0"/>
              <w:bottom w:val="single" w:color="auto" w:sz="4" w:space="0"/>
              <w:right w:val="single" w:color="auto" w:sz="4" w:space="0"/>
            </w:tcBorders>
            <w:noWrap w:val="0"/>
            <w:vAlign w:val="center"/>
          </w:tcPr>
          <w:p w14:paraId="210CC46B">
            <w:p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甲方（采购人）：</w:t>
            </w:r>
          </w:p>
        </w:tc>
        <w:tc>
          <w:tcPr>
            <w:tcW w:w="4317" w:type="dxa"/>
            <w:tcBorders>
              <w:top w:val="single" w:color="auto" w:sz="4" w:space="0"/>
              <w:left w:val="single" w:color="auto" w:sz="4" w:space="0"/>
              <w:bottom w:val="single" w:color="auto" w:sz="4" w:space="0"/>
              <w:right w:val="single" w:color="auto" w:sz="4" w:space="0"/>
            </w:tcBorders>
            <w:noWrap w:val="0"/>
            <w:vAlign w:val="center"/>
          </w:tcPr>
          <w:p w14:paraId="4192FB0D">
            <w:p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乙方（成交供应商）：</w:t>
            </w:r>
          </w:p>
        </w:tc>
      </w:tr>
      <w:tr w14:paraId="24A5E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85" w:hRule="atLeast"/>
          <w:jc w:val="center"/>
        </w:trPr>
        <w:tc>
          <w:tcPr>
            <w:tcW w:w="4095" w:type="dxa"/>
            <w:tcBorders>
              <w:top w:val="single" w:color="auto" w:sz="4" w:space="0"/>
              <w:left w:val="single" w:color="auto" w:sz="4" w:space="0"/>
              <w:bottom w:val="single" w:color="auto" w:sz="4" w:space="0"/>
              <w:right w:val="single" w:color="auto" w:sz="4" w:space="0"/>
            </w:tcBorders>
            <w:noWrap w:val="0"/>
            <w:vAlign w:val="top"/>
          </w:tcPr>
          <w:p w14:paraId="3C88B6F7">
            <w:p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007EA8AC">
            <w:pPr>
              <w:spacing w:line="360" w:lineRule="auto"/>
              <w:rPr>
                <w:rFonts w:hint="eastAsia" w:ascii="方正仿宋_GBK" w:hAnsi="方正仿宋_GBK" w:eastAsia="方正仿宋_GBK" w:cs="方正仿宋_GBK"/>
                <w:color w:val="auto"/>
                <w:sz w:val="24"/>
                <w:szCs w:val="24"/>
              </w:rPr>
            </w:pPr>
          </w:p>
          <w:p w14:paraId="19565CBE">
            <w:p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p>
          <w:p w14:paraId="1282FBA8">
            <w:pPr>
              <w:spacing w:line="360" w:lineRule="auto"/>
              <w:rPr>
                <w:rFonts w:hint="eastAsia" w:ascii="方正仿宋_GBK" w:hAnsi="方正仿宋_GBK" w:eastAsia="方正仿宋_GBK" w:cs="方正仿宋_GBK"/>
                <w:color w:val="auto"/>
                <w:sz w:val="24"/>
                <w:szCs w:val="24"/>
              </w:rPr>
            </w:pPr>
          </w:p>
          <w:p w14:paraId="384CC953">
            <w:p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授权代表：</w:t>
            </w:r>
          </w:p>
        </w:tc>
        <w:tc>
          <w:tcPr>
            <w:tcW w:w="4317" w:type="dxa"/>
            <w:tcBorders>
              <w:top w:val="single" w:color="auto" w:sz="4" w:space="0"/>
              <w:left w:val="single" w:color="auto" w:sz="4" w:space="0"/>
              <w:bottom w:val="single" w:color="auto" w:sz="4" w:space="0"/>
              <w:right w:val="single" w:color="auto" w:sz="4" w:space="0"/>
            </w:tcBorders>
            <w:noWrap w:val="0"/>
            <w:vAlign w:val="top"/>
          </w:tcPr>
          <w:p w14:paraId="66B24D80">
            <w:p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开户名称：</w:t>
            </w:r>
          </w:p>
          <w:p w14:paraId="2215E9BD">
            <w:pPr>
              <w:spacing w:line="360" w:lineRule="auto"/>
              <w:rPr>
                <w:rFonts w:hint="eastAsia" w:ascii="方正仿宋_GBK" w:hAnsi="方正仿宋_GBK" w:eastAsia="方正仿宋_GBK" w:cs="方正仿宋_GBK"/>
                <w:color w:val="auto"/>
                <w:sz w:val="24"/>
                <w:szCs w:val="24"/>
              </w:rPr>
            </w:pPr>
          </w:p>
          <w:p w14:paraId="618BBC26">
            <w:p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开户行：</w:t>
            </w:r>
          </w:p>
          <w:p w14:paraId="676182DE">
            <w:pPr>
              <w:spacing w:line="360" w:lineRule="auto"/>
              <w:rPr>
                <w:rFonts w:hint="eastAsia" w:ascii="方正仿宋_GBK" w:hAnsi="方正仿宋_GBK" w:eastAsia="方正仿宋_GBK" w:cs="方正仿宋_GBK"/>
                <w:color w:val="auto"/>
                <w:sz w:val="24"/>
                <w:szCs w:val="24"/>
              </w:rPr>
            </w:pPr>
          </w:p>
          <w:p w14:paraId="1E38B5F7">
            <w:p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开户账号：</w:t>
            </w:r>
          </w:p>
          <w:p w14:paraId="482CAAF2">
            <w:pPr>
              <w:spacing w:line="360" w:lineRule="auto"/>
              <w:rPr>
                <w:rFonts w:hint="eastAsia" w:ascii="方正仿宋_GBK" w:hAnsi="方正仿宋_GBK" w:eastAsia="方正仿宋_GBK" w:cs="方正仿宋_GBK"/>
                <w:color w:val="auto"/>
                <w:sz w:val="24"/>
                <w:szCs w:val="24"/>
              </w:rPr>
            </w:pPr>
          </w:p>
          <w:p w14:paraId="1803DAAC">
            <w:p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p>
          <w:p w14:paraId="62BB2855">
            <w:pPr>
              <w:spacing w:line="360" w:lineRule="auto"/>
              <w:rPr>
                <w:rFonts w:hint="eastAsia" w:ascii="方正仿宋_GBK" w:hAnsi="方正仿宋_GBK" w:eastAsia="方正仿宋_GBK" w:cs="方正仿宋_GBK"/>
                <w:color w:val="auto"/>
                <w:sz w:val="24"/>
                <w:szCs w:val="24"/>
              </w:rPr>
            </w:pPr>
          </w:p>
          <w:p w14:paraId="0DEA8F2A">
            <w:p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乙方代表：</w:t>
            </w:r>
          </w:p>
        </w:tc>
      </w:tr>
    </w:tbl>
    <w:p w14:paraId="1BC291E4">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p>
    <w:p w14:paraId="3158CD04">
      <w:pPr>
        <w:spacing w:line="360" w:lineRule="auto"/>
        <w:ind w:firstLine="480" w:firstLineChars="200"/>
        <w:jc w:val="righ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年   月   日</w:t>
      </w:r>
    </w:p>
    <w:p w14:paraId="271FA218">
      <w:pPr>
        <w:spacing w:line="360" w:lineRule="auto"/>
        <w:rPr>
          <w:rFonts w:hint="eastAsia" w:ascii="方正仿宋_GBK" w:hAnsi="方正仿宋_GBK" w:eastAsia="方正仿宋_GBK" w:cs="方正仿宋_GBK"/>
          <w:color w:val="auto"/>
          <w:sz w:val="24"/>
          <w:szCs w:val="24"/>
        </w:rPr>
        <w:sectPr>
          <w:headerReference r:id="rId10" w:type="default"/>
          <w:footerReference r:id="rId11" w:type="default"/>
          <w:type w:val="continuous"/>
          <w:pgSz w:w="11907" w:h="16840"/>
          <w:pgMar w:top="1134" w:right="1191" w:bottom="1134" w:left="1304" w:header="964" w:footer="992" w:gutter="0"/>
          <w:pgNumType w:fmt="numberInDash"/>
          <w:cols w:space="720" w:num="1"/>
          <w:docGrid w:linePitch="380" w:charSpace="0"/>
        </w:sectPr>
      </w:pPr>
      <w:bookmarkStart w:id="182" w:name="_Toc412630513"/>
    </w:p>
    <w:p w14:paraId="72DD88AF">
      <w:pPr>
        <w:spacing w:line="360" w:lineRule="auto"/>
        <w:jc w:val="center"/>
        <w:rPr>
          <w:rFonts w:hint="eastAsia" w:ascii="方正仿宋_GBK" w:hAnsi="方正仿宋_GBK" w:eastAsia="方正仿宋_GBK" w:cs="方正仿宋_GBK"/>
          <w:color w:val="auto"/>
          <w:sz w:val="24"/>
          <w:szCs w:val="24"/>
        </w:rPr>
      </w:pPr>
    </w:p>
    <w:p w14:paraId="09BE795C">
      <w:pPr>
        <w:pStyle w:val="4"/>
        <w:spacing w:before="0" w:after="0" w:line="360" w:lineRule="auto"/>
        <w:jc w:val="center"/>
        <w:rPr>
          <w:rFonts w:hint="eastAsia" w:ascii="方正仿宋_GBK" w:hAnsi="方正仿宋_GBK" w:eastAsia="方正仿宋_GBK" w:cs="方正仿宋_GBK"/>
          <w:b w:val="0"/>
          <w:color w:val="auto"/>
          <w:szCs w:val="24"/>
        </w:rPr>
      </w:pPr>
      <w:bookmarkStart w:id="183" w:name="_Toc13784"/>
      <w:bookmarkStart w:id="184" w:name="_Toc441746982"/>
      <w:bookmarkStart w:id="185" w:name="_Toc230093226"/>
      <w:bookmarkStart w:id="186" w:name="_Toc462143564"/>
      <w:bookmarkStart w:id="187" w:name="_Toc18700"/>
      <w:bookmarkStart w:id="188" w:name="_Toc26091"/>
      <w:r>
        <w:rPr>
          <w:rFonts w:hint="eastAsia" w:ascii="方正仿宋_GBK" w:hAnsi="方正仿宋_GBK" w:eastAsia="方正仿宋_GBK" w:cs="方正仿宋_GBK"/>
          <w:bCs/>
          <w:color w:val="auto"/>
          <w:szCs w:val="24"/>
        </w:rPr>
        <w:t>第二部分 通用合同条款</w:t>
      </w:r>
      <w:bookmarkEnd w:id="182"/>
      <w:bookmarkEnd w:id="183"/>
      <w:bookmarkEnd w:id="184"/>
      <w:bookmarkEnd w:id="185"/>
      <w:bookmarkEnd w:id="186"/>
      <w:bookmarkEnd w:id="187"/>
      <w:bookmarkEnd w:id="188"/>
    </w:p>
    <w:p w14:paraId="06A31BD0">
      <w:pPr>
        <w:snapToGrid w:val="0"/>
        <w:spacing w:line="360" w:lineRule="auto"/>
        <w:ind w:firstLine="480" w:firstLineChars="200"/>
        <w:jc w:val="center"/>
        <w:rPr>
          <w:rFonts w:hint="eastAsia" w:ascii="方正仿宋_GBK" w:hAnsi="方正仿宋_GBK" w:eastAsia="方正仿宋_GBK" w:cs="方正仿宋_GBK"/>
          <w:color w:val="auto"/>
          <w:sz w:val="24"/>
          <w:szCs w:val="24"/>
        </w:rPr>
      </w:pPr>
    </w:p>
    <w:p w14:paraId="7A116435">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采用《中华人民共和国建设部》《国家工商行政管理局》制定的《GF-2017-0201合同范本》</w:t>
      </w:r>
    </w:p>
    <w:p w14:paraId="2DA887F9">
      <w:pPr>
        <w:spacing w:line="360" w:lineRule="auto"/>
        <w:ind w:firstLine="480" w:firstLineChars="200"/>
        <w:rPr>
          <w:rFonts w:hint="eastAsia" w:ascii="方正仿宋_GBK" w:hAnsi="方正仿宋_GBK" w:eastAsia="方正仿宋_GBK" w:cs="方正仿宋_GBK"/>
          <w:color w:val="auto"/>
          <w:sz w:val="24"/>
          <w:szCs w:val="24"/>
        </w:rPr>
      </w:pPr>
    </w:p>
    <w:p w14:paraId="54A5D7BA">
      <w:pPr>
        <w:spacing w:line="360" w:lineRule="auto"/>
        <w:jc w:val="left"/>
        <w:rPr>
          <w:rFonts w:hint="eastAsia" w:ascii="方正仿宋_GBK" w:hAnsi="方正仿宋_GBK" w:eastAsia="方正仿宋_GBK" w:cs="方正仿宋_GBK"/>
          <w:color w:val="auto"/>
          <w:sz w:val="24"/>
          <w:szCs w:val="24"/>
        </w:rPr>
      </w:pPr>
    </w:p>
    <w:p w14:paraId="7B312047">
      <w:pPr>
        <w:spacing w:line="360" w:lineRule="auto"/>
        <w:jc w:val="left"/>
        <w:rPr>
          <w:rFonts w:hint="eastAsia" w:ascii="方正仿宋_GBK" w:hAnsi="方正仿宋_GBK" w:eastAsia="方正仿宋_GBK" w:cs="方正仿宋_GBK"/>
          <w:color w:val="auto"/>
          <w:sz w:val="24"/>
          <w:szCs w:val="24"/>
        </w:rPr>
      </w:pPr>
    </w:p>
    <w:p w14:paraId="6FB09430">
      <w:pPr>
        <w:spacing w:line="360" w:lineRule="auto"/>
        <w:jc w:val="left"/>
        <w:rPr>
          <w:rFonts w:hint="eastAsia" w:ascii="方正仿宋_GBK" w:hAnsi="方正仿宋_GBK" w:eastAsia="方正仿宋_GBK" w:cs="方正仿宋_GBK"/>
          <w:color w:val="auto"/>
          <w:sz w:val="24"/>
          <w:szCs w:val="24"/>
        </w:rPr>
      </w:pPr>
    </w:p>
    <w:p w14:paraId="7E4F344B">
      <w:pPr>
        <w:spacing w:line="360" w:lineRule="auto"/>
        <w:jc w:val="left"/>
        <w:rPr>
          <w:rFonts w:hint="eastAsia" w:ascii="方正仿宋_GBK" w:hAnsi="方正仿宋_GBK" w:eastAsia="方正仿宋_GBK" w:cs="方正仿宋_GBK"/>
          <w:color w:val="auto"/>
          <w:sz w:val="24"/>
          <w:szCs w:val="24"/>
        </w:rPr>
      </w:pPr>
    </w:p>
    <w:p w14:paraId="00DEEA79">
      <w:pPr>
        <w:spacing w:line="360" w:lineRule="auto"/>
        <w:jc w:val="left"/>
        <w:rPr>
          <w:rFonts w:hint="eastAsia" w:ascii="方正仿宋_GBK" w:hAnsi="方正仿宋_GBK" w:eastAsia="方正仿宋_GBK" w:cs="方正仿宋_GBK"/>
          <w:color w:val="auto"/>
          <w:sz w:val="24"/>
          <w:szCs w:val="24"/>
        </w:rPr>
      </w:pPr>
    </w:p>
    <w:p w14:paraId="2B2EC0C9">
      <w:pPr>
        <w:spacing w:line="360" w:lineRule="auto"/>
        <w:jc w:val="left"/>
        <w:rPr>
          <w:rFonts w:hint="eastAsia" w:ascii="方正仿宋_GBK" w:hAnsi="方正仿宋_GBK" w:eastAsia="方正仿宋_GBK" w:cs="方正仿宋_GBK"/>
          <w:color w:val="auto"/>
          <w:sz w:val="24"/>
          <w:szCs w:val="24"/>
        </w:rPr>
      </w:pPr>
    </w:p>
    <w:p w14:paraId="36E93D81">
      <w:pPr>
        <w:spacing w:line="360" w:lineRule="auto"/>
        <w:jc w:val="left"/>
        <w:rPr>
          <w:rFonts w:hint="eastAsia" w:ascii="方正仿宋_GBK" w:hAnsi="方正仿宋_GBK" w:eastAsia="方正仿宋_GBK" w:cs="方正仿宋_GBK"/>
          <w:color w:val="auto"/>
          <w:sz w:val="24"/>
          <w:szCs w:val="24"/>
        </w:rPr>
      </w:pPr>
    </w:p>
    <w:p w14:paraId="6DABA8AF">
      <w:pPr>
        <w:spacing w:line="360" w:lineRule="auto"/>
        <w:jc w:val="left"/>
        <w:rPr>
          <w:rFonts w:hint="eastAsia" w:ascii="方正仿宋_GBK" w:hAnsi="方正仿宋_GBK" w:eastAsia="方正仿宋_GBK" w:cs="方正仿宋_GBK"/>
          <w:color w:val="auto"/>
          <w:sz w:val="24"/>
          <w:szCs w:val="24"/>
        </w:rPr>
      </w:pPr>
    </w:p>
    <w:p w14:paraId="089E32D2">
      <w:pPr>
        <w:spacing w:line="360" w:lineRule="auto"/>
        <w:jc w:val="left"/>
        <w:rPr>
          <w:rFonts w:hint="eastAsia" w:ascii="方正仿宋_GBK" w:hAnsi="方正仿宋_GBK" w:eastAsia="方正仿宋_GBK" w:cs="方正仿宋_GBK"/>
          <w:color w:val="auto"/>
          <w:sz w:val="24"/>
          <w:szCs w:val="24"/>
        </w:rPr>
      </w:pPr>
    </w:p>
    <w:p w14:paraId="767BAC1C">
      <w:pPr>
        <w:spacing w:line="360" w:lineRule="auto"/>
        <w:jc w:val="left"/>
        <w:rPr>
          <w:rFonts w:hint="eastAsia" w:ascii="方正仿宋_GBK" w:hAnsi="方正仿宋_GBK" w:eastAsia="方正仿宋_GBK" w:cs="方正仿宋_GBK"/>
          <w:color w:val="auto"/>
          <w:sz w:val="24"/>
          <w:szCs w:val="24"/>
        </w:rPr>
      </w:pPr>
    </w:p>
    <w:p w14:paraId="15C35EE9">
      <w:pPr>
        <w:spacing w:line="360" w:lineRule="auto"/>
        <w:jc w:val="left"/>
        <w:rPr>
          <w:rFonts w:hint="eastAsia" w:ascii="方正仿宋_GBK" w:hAnsi="方正仿宋_GBK" w:eastAsia="方正仿宋_GBK" w:cs="方正仿宋_GBK"/>
          <w:color w:val="auto"/>
          <w:sz w:val="24"/>
          <w:szCs w:val="24"/>
        </w:rPr>
      </w:pPr>
    </w:p>
    <w:p w14:paraId="490AB671">
      <w:pPr>
        <w:spacing w:line="360" w:lineRule="auto"/>
        <w:jc w:val="left"/>
        <w:rPr>
          <w:rFonts w:hint="eastAsia" w:ascii="方正仿宋_GBK" w:hAnsi="方正仿宋_GBK" w:eastAsia="方正仿宋_GBK" w:cs="方正仿宋_GBK"/>
          <w:color w:val="auto"/>
          <w:sz w:val="24"/>
          <w:szCs w:val="24"/>
        </w:rPr>
      </w:pPr>
    </w:p>
    <w:p w14:paraId="05BDA3B3">
      <w:pPr>
        <w:spacing w:line="360" w:lineRule="auto"/>
        <w:jc w:val="left"/>
        <w:rPr>
          <w:rFonts w:hint="eastAsia" w:ascii="方正仿宋_GBK" w:hAnsi="方正仿宋_GBK" w:eastAsia="方正仿宋_GBK" w:cs="方正仿宋_GBK"/>
          <w:color w:val="auto"/>
          <w:sz w:val="24"/>
          <w:szCs w:val="24"/>
        </w:rPr>
      </w:pPr>
    </w:p>
    <w:p w14:paraId="588F8381">
      <w:pPr>
        <w:spacing w:line="360" w:lineRule="auto"/>
        <w:jc w:val="left"/>
        <w:rPr>
          <w:rFonts w:hint="eastAsia" w:ascii="方正仿宋_GBK" w:hAnsi="方正仿宋_GBK" w:eastAsia="方正仿宋_GBK" w:cs="方正仿宋_GBK"/>
          <w:color w:val="auto"/>
          <w:sz w:val="24"/>
          <w:szCs w:val="24"/>
        </w:rPr>
      </w:pPr>
    </w:p>
    <w:p w14:paraId="0C8440B5">
      <w:pPr>
        <w:spacing w:line="360" w:lineRule="auto"/>
        <w:jc w:val="left"/>
        <w:rPr>
          <w:rFonts w:hint="eastAsia" w:ascii="方正仿宋_GBK" w:hAnsi="方正仿宋_GBK" w:eastAsia="方正仿宋_GBK" w:cs="方正仿宋_GBK"/>
          <w:color w:val="auto"/>
          <w:sz w:val="24"/>
          <w:szCs w:val="24"/>
        </w:rPr>
      </w:pPr>
    </w:p>
    <w:p w14:paraId="70D5D00A">
      <w:pPr>
        <w:spacing w:line="360" w:lineRule="auto"/>
        <w:jc w:val="left"/>
        <w:rPr>
          <w:rFonts w:hint="eastAsia" w:ascii="方正仿宋_GBK" w:hAnsi="方正仿宋_GBK" w:eastAsia="方正仿宋_GBK" w:cs="方正仿宋_GBK"/>
          <w:color w:val="auto"/>
          <w:sz w:val="24"/>
          <w:szCs w:val="24"/>
        </w:rPr>
      </w:pPr>
    </w:p>
    <w:p w14:paraId="4B1C72AA">
      <w:pPr>
        <w:spacing w:line="360" w:lineRule="auto"/>
        <w:jc w:val="left"/>
        <w:rPr>
          <w:rFonts w:hint="eastAsia" w:ascii="方正仿宋_GBK" w:hAnsi="方正仿宋_GBK" w:eastAsia="方正仿宋_GBK" w:cs="方正仿宋_GBK"/>
          <w:color w:val="auto"/>
          <w:sz w:val="24"/>
          <w:szCs w:val="24"/>
        </w:rPr>
      </w:pPr>
    </w:p>
    <w:p w14:paraId="1E4FA627">
      <w:pPr>
        <w:spacing w:line="360" w:lineRule="auto"/>
        <w:jc w:val="left"/>
        <w:rPr>
          <w:rFonts w:hint="eastAsia" w:ascii="方正仿宋_GBK" w:hAnsi="方正仿宋_GBK" w:eastAsia="方正仿宋_GBK" w:cs="方正仿宋_GBK"/>
          <w:color w:val="auto"/>
          <w:sz w:val="24"/>
          <w:szCs w:val="24"/>
        </w:rPr>
      </w:pPr>
    </w:p>
    <w:p w14:paraId="5D3A8E24">
      <w:pPr>
        <w:spacing w:line="360" w:lineRule="auto"/>
        <w:jc w:val="left"/>
        <w:rPr>
          <w:rFonts w:hint="eastAsia" w:ascii="方正仿宋_GBK" w:hAnsi="方正仿宋_GBK" w:eastAsia="方正仿宋_GBK" w:cs="方正仿宋_GBK"/>
          <w:color w:val="auto"/>
          <w:sz w:val="24"/>
          <w:szCs w:val="24"/>
        </w:rPr>
      </w:pPr>
    </w:p>
    <w:p w14:paraId="2B721B29">
      <w:pPr>
        <w:spacing w:line="360" w:lineRule="auto"/>
        <w:jc w:val="left"/>
        <w:rPr>
          <w:rFonts w:hint="eastAsia" w:ascii="方正仿宋_GBK" w:hAnsi="方正仿宋_GBK" w:eastAsia="方正仿宋_GBK" w:cs="方正仿宋_GBK"/>
          <w:color w:val="auto"/>
          <w:sz w:val="24"/>
          <w:szCs w:val="24"/>
        </w:rPr>
      </w:pPr>
    </w:p>
    <w:p w14:paraId="6D0B82E7">
      <w:pPr>
        <w:spacing w:line="360" w:lineRule="auto"/>
        <w:jc w:val="left"/>
        <w:rPr>
          <w:rFonts w:hint="eastAsia" w:ascii="方正仿宋_GBK" w:hAnsi="方正仿宋_GBK" w:eastAsia="方正仿宋_GBK" w:cs="方正仿宋_GBK"/>
          <w:color w:val="auto"/>
          <w:sz w:val="24"/>
          <w:szCs w:val="24"/>
        </w:rPr>
        <w:sectPr>
          <w:pgSz w:w="11907" w:h="16840"/>
          <w:pgMar w:top="1134" w:right="1191" w:bottom="1134" w:left="1304" w:header="964" w:footer="992" w:gutter="0"/>
          <w:pgNumType w:fmt="numberInDash"/>
          <w:cols w:space="720" w:num="1"/>
          <w:docGrid w:linePitch="380" w:charSpace="0"/>
        </w:sectPr>
      </w:pPr>
    </w:p>
    <w:p w14:paraId="0318B42E">
      <w:pPr>
        <w:spacing w:line="360" w:lineRule="auto"/>
        <w:jc w:val="left"/>
        <w:rPr>
          <w:rFonts w:hint="eastAsia" w:ascii="方正仿宋_GBK" w:hAnsi="方正仿宋_GBK" w:eastAsia="方正仿宋_GBK" w:cs="方正仿宋_GBK"/>
          <w:color w:val="auto"/>
          <w:sz w:val="24"/>
          <w:szCs w:val="24"/>
        </w:rPr>
      </w:pPr>
    </w:p>
    <w:p w14:paraId="2619545B">
      <w:pPr>
        <w:pStyle w:val="4"/>
        <w:spacing w:before="0" w:after="0" w:line="360" w:lineRule="auto"/>
        <w:jc w:val="center"/>
        <w:rPr>
          <w:rFonts w:hint="eastAsia" w:ascii="方正仿宋_GBK" w:hAnsi="方正仿宋_GBK" w:eastAsia="方正仿宋_GBK" w:cs="方正仿宋_GBK"/>
          <w:bCs/>
          <w:color w:val="auto"/>
          <w:szCs w:val="24"/>
        </w:rPr>
      </w:pPr>
      <w:bookmarkStart w:id="189" w:name="_Toc230093227"/>
      <w:bookmarkStart w:id="190" w:name="_Toc24822"/>
      <w:bookmarkStart w:id="191" w:name="_Toc462143565"/>
      <w:bookmarkStart w:id="192" w:name="_Toc441746983"/>
      <w:bookmarkStart w:id="193" w:name="_Toc31215"/>
      <w:bookmarkStart w:id="194" w:name="_Toc9908"/>
      <w:r>
        <w:rPr>
          <w:rFonts w:hint="eastAsia" w:ascii="方正仿宋_GBK" w:hAnsi="方正仿宋_GBK" w:eastAsia="方正仿宋_GBK" w:cs="方正仿宋_GBK"/>
          <w:bCs/>
          <w:color w:val="auto"/>
          <w:szCs w:val="24"/>
        </w:rPr>
        <w:t>第三部分 专用合同条款</w:t>
      </w:r>
      <w:bookmarkEnd w:id="189"/>
      <w:bookmarkEnd w:id="190"/>
      <w:bookmarkEnd w:id="191"/>
      <w:bookmarkEnd w:id="192"/>
      <w:bookmarkEnd w:id="193"/>
      <w:bookmarkEnd w:id="194"/>
    </w:p>
    <w:p w14:paraId="49C69B79">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 xml:space="preserve">一、词语定义及合同文件 </w:t>
      </w:r>
    </w:p>
    <w:p w14:paraId="398F1FD6">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1.合同文件及解释顺序</w:t>
      </w:r>
    </w:p>
    <w:p w14:paraId="772A4168">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合同文件组成及解释顺序：</w:t>
      </w:r>
      <w:r>
        <w:rPr>
          <w:rFonts w:hint="eastAsia" w:ascii="方正仿宋_GBK" w:hAnsi="方正仿宋_GBK" w:eastAsia="方正仿宋_GBK" w:cs="方正仿宋_GBK"/>
          <w:color w:val="auto"/>
          <w:sz w:val="24"/>
          <w:szCs w:val="24"/>
          <w:u w:val="single"/>
        </w:rPr>
        <w:t>合同协议书、成交通知书、专用合同条款、通用合同条款、技术标准和要求、其他合同文件</w:t>
      </w:r>
      <w:r>
        <w:rPr>
          <w:rFonts w:hint="eastAsia" w:ascii="方正仿宋_GBK" w:hAnsi="方正仿宋_GBK" w:eastAsia="方正仿宋_GBK" w:cs="方正仿宋_GBK"/>
          <w:color w:val="auto"/>
          <w:sz w:val="24"/>
          <w:szCs w:val="24"/>
        </w:rPr>
        <w:t>。</w:t>
      </w:r>
    </w:p>
    <w:p w14:paraId="0DC04C5A">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2.语言文字和适用法律、标准及规范 </w:t>
      </w:r>
    </w:p>
    <w:p w14:paraId="4E371EB9">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（1）本合同除使用汉语外，还使用</w:t>
      </w:r>
      <w:r>
        <w:rPr>
          <w:rFonts w:hint="eastAsia" w:ascii="方正仿宋_GBK" w:hAnsi="方正仿宋_GBK" w:eastAsia="方正仿宋_GBK" w:cs="方正仿宋_GBK"/>
          <w:color w:val="auto"/>
          <w:sz w:val="24"/>
          <w:szCs w:val="24"/>
          <w:u w:val="single"/>
        </w:rPr>
        <w:t xml:space="preserve">（无） </w:t>
      </w:r>
      <w:r>
        <w:rPr>
          <w:rFonts w:hint="eastAsia" w:ascii="方正仿宋_GBK" w:hAnsi="方正仿宋_GBK" w:eastAsia="方正仿宋_GBK" w:cs="方正仿宋_GBK"/>
          <w:color w:val="auto"/>
          <w:sz w:val="24"/>
          <w:szCs w:val="24"/>
        </w:rPr>
        <w:t>语言文字。</w:t>
      </w:r>
    </w:p>
    <w:p w14:paraId="212F3198">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 xml:space="preserve">    （2）适用法律和法规需要明示的法律、行政法规：</w:t>
      </w:r>
      <w:r>
        <w:rPr>
          <w:rFonts w:hint="eastAsia" w:ascii="方正仿宋_GBK" w:hAnsi="方正仿宋_GBK" w:eastAsia="方正仿宋_GBK" w:cs="方正仿宋_GBK"/>
          <w:color w:val="auto"/>
          <w:sz w:val="24"/>
          <w:szCs w:val="24"/>
          <w:u w:val="single"/>
        </w:rPr>
        <w:t>执行现行国家和地方法律、法规和规章。</w:t>
      </w:r>
    </w:p>
    <w:p w14:paraId="6352B851">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 xml:space="preserve">    （3）适用标准、规范的名称：</w:t>
      </w:r>
      <w:r>
        <w:rPr>
          <w:rFonts w:hint="eastAsia" w:ascii="方正仿宋_GBK" w:hAnsi="方正仿宋_GBK" w:eastAsia="方正仿宋_GBK" w:cs="方正仿宋_GBK"/>
          <w:color w:val="auto"/>
          <w:sz w:val="24"/>
          <w:szCs w:val="24"/>
          <w:u w:val="single"/>
        </w:rPr>
        <w:t>执行国家、行业和重庆市的有关规定、标准及规程</w:t>
      </w:r>
    </w:p>
    <w:p w14:paraId="45EC27E3">
      <w:pPr>
        <w:spacing w:line="360" w:lineRule="auto"/>
        <w:ind w:firstLine="480" w:firstLineChars="200"/>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甲方提供标准、规范的时间：</w:t>
      </w:r>
      <w:r>
        <w:rPr>
          <w:rFonts w:hint="eastAsia" w:ascii="方正仿宋_GBK" w:hAnsi="方正仿宋_GBK" w:eastAsia="方正仿宋_GBK" w:cs="方正仿宋_GBK"/>
          <w:color w:val="auto"/>
          <w:sz w:val="24"/>
          <w:szCs w:val="24"/>
          <w:u w:val="single"/>
        </w:rPr>
        <w:t xml:space="preserve"> 无  </w:t>
      </w:r>
    </w:p>
    <w:p w14:paraId="62DA0E19">
      <w:pPr>
        <w:spacing w:line="360" w:lineRule="auto"/>
        <w:jc w:val="left"/>
        <w:rPr>
          <w:rFonts w:hint="eastAsia" w:ascii="方正仿宋_GBK" w:hAnsi="方正仿宋_GBK" w:eastAsia="方正仿宋_GBK" w:cs="方正仿宋_GBK"/>
          <w:strike/>
          <w:color w:val="auto"/>
          <w:sz w:val="24"/>
          <w:szCs w:val="24"/>
        </w:rPr>
      </w:pPr>
      <w:r>
        <w:rPr>
          <w:rFonts w:hint="eastAsia" w:ascii="方正仿宋_GBK" w:hAnsi="方正仿宋_GBK" w:eastAsia="方正仿宋_GBK" w:cs="方正仿宋_GBK"/>
          <w:color w:val="auto"/>
          <w:sz w:val="24"/>
          <w:szCs w:val="24"/>
        </w:rPr>
        <w:t xml:space="preserve">    国内没有相应标准、规范时的约定：</w:t>
      </w:r>
      <w:r>
        <w:rPr>
          <w:rFonts w:hint="eastAsia" w:ascii="方正仿宋_GBK" w:hAnsi="方正仿宋_GBK" w:eastAsia="方正仿宋_GBK" w:cs="方正仿宋_GBK"/>
          <w:color w:val="auto"/>
          <w:sz w:val="24"/>
          <w:szCs w:val="24"/>
          <w:u w:val="single"/>
        </w:rPr>
        <w:t>按通用条款执行</w:t>
      </w:r>
    </w:p>
    <w:p w14:paraId="0F3F0ED9">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二、双方一般权利和义务</w:t>
      </w:r>
    </w:p>
    <w:p w14:paraId="5A401C3F">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1.工程师</w:t>
      </w:r>
    </w:p>
    <w:p w14:paraId="6A868AF0">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（1）监理单位委派的工程师</w:t>
      </w:r>
    </w:p>
    <w:p w14:paraId="777D3E85">
      <w:pPr>
        <w:spacing w:line="360" w:lineRule="auto"/>
        <w:ind w:firstLine="480" w:firstLineChars="200"/>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姓名：</w:t>
      </w:r>
      <w:r>
        <w:rPr>
          <w:rFonts w:hint="eastAsia" w:ascii="方正仿宋_GBK" w:hAnsi="方正仿宋_GBK" w:eastAsia="方正仿宋_GBK" w:cs="方正仿宋_GBK"/>
          <w:color w:val="auto"/>
          <w:sz w:val="24"/>
          <w:szCs w:val="24"/>
          <w:u w:val="single"/>
        </w:rPr>
        <w:t xml:space="preserve">                          </w:t>
      </w:r>
    </w:p>
    <w:p w14:paraId="42E3CCC2">
      <w:pPr>
        <w:spacing w:line="360" w:lineRule="auto"/>
        <w:ind w:firstLine="480" w:firstLineChars="200"/>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职务：</w:t>
      </w:r>
      <w:r>
        <w:rPr>
          <w:rFonts w:hint="eastAsia" w:ascii="方正仿宋_GBK" w:hAnsi="方正仿宋_GBK" w:eastAsia="方正仿宋_GBK" w:cs="方正仿宋_GBK"/>
          <w:color w:val="auto"/>
          <w:sz w:val="24"/>
          <w:szCs w:val="24"/>
          <w:u w:val="single"/>
        </w:rPr>
        <w:t xml:space="preserve">                          </w:t>
      </w:r>
    </w:p>
    <w:p w14:paraId="6686F524">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甲方委托的职权：</w:t>
      </w:r>
      <w:r>
        <w:rPr>
          <w:rFonts w:hint="eastAsia" w:ascii="方正仿宋_GBK" w:hAnsi="方正仿宋_GBK" w:eastAsia="方正仿宋_GBK" w:cs="方正仿宋_GBK"/>
          <w:color w:val="auto"/>
          <w:sz w:val="24"/>
          <w:szCs w:val="24"/>
          <w:u w:val="single"/>
        </w:rPr>
        <w:t>代表甲方对工程质量、进度、计量等行使监督职权，组织协调安全文明施工、合同、信息管理</w:t>
      </w:r>
      <w:r>
        <w:rPr>
          <w:rFonts w:hint="eastAsia" w:ascii="方正仿宋_GBK" w:hAnsi="方正仿宋_GBK" w:eastAsia="方正仿宋_GBK" w:cs="方正仿宋_GBK"/>
          <w:color w:val="auto"/>
          <w:sz w:val="24"/>
          <w:szCs w:val="24"/>
        </w:rPr>
        <w:t xml:space="preserve">。                                                            </w:t>
      </w:r>
    </w:p>
    <w:p w14:paraId="7D068ED6">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需要取得甲方批准才能行使的职权：</w:t>
      </w:r>
      <w:r>
        <w:rPr>
          <w:rFonts w:hint="eastAsia" w:ascii="方正仿宋_GBK" w:hAnsi="方正仿宋_GBK" w:eastAsia="方正仿宋_GBK" w:cs="方正仿宋_GBK"/>
          <w:color w:val="auto"/>
          <w:sz w:val="24"/>
          <w:szCs w:val="24"/>
          <w:u w:val="single"/>
        </w:rPr>
        <w:t>设计变更、工程量增减</w:t>
      </w:r>
      <w:r>
        <w:rPr>
          <w:rFonts w:hint="eastAsia" w:ascii="方正仿宋_GBK" w:hAnsi="方正仿宋_GBK" w:eastAsia="方正仿宋_GBK" w:cs="方正仿宋_GBK"/>
          <w:color w:val="auto"/>
          <w:sz w:val="24"/>
          <w:szCs w:val="24"/>
        </w:rPr>
        <w:t xml:space="preserve">    </w:t>
      </w:r>
    </w:p>
    <w:p w14:paraId="5099188D">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（2）甲方派驻的工程师</w:t>
      </w:r>
    </w:p>
    <w:p w14:paraId="7934AB91">
      <w:pPr>
        <w:spacing w:line="360" w:lineRule="auto"/>
        <w:ind w:firstLine="480" w:firstLineChars="200"/>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姓名：</w:t>
      </w:r>
      <w:r>
        <w:rPr>
          <w:rFonts w:hint="eastAsia" w:ascii="方正仿宋_GBK" w:hAnsi="方正仿宋_GBK" w:eastAsia="方正仿宋_GBK" w:cs="方正仿宋_GBK"/>
          <w:color w:val="auto"/>
          <w:sz w:val="24"/>
          <w:szCs w:val="24"/>
          <w:u w:val="single"/>
        </w:rPr>
        <w:t xml:space="preserve">                           </w:t>
      </w:r>
    </w:p>
    <w:p w14:paraId="2754F663">
      <w:pPr>
        <w:spacing w:line="360" w:lineRule="auto"/>
        <w:ind w:firstLine="480" w:firstLineChars="200"/>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职务：</w:t>
      </w:r>
      <w:r>
        <w:rPr>
          <w:rFonts w:hint="eastAsia" w:ascii="方正仿宋_GBK" w:hAnsi="方正仿宋_GBK" w:eastAsia="方正仿宋_GBK" w:cs="方正仿宋_GBK"/>
          <w:color w:val="auto"/>
          <w:sz w:val="24"/>
          <w:szCs w:val="24"/>
          <w:u w:val="single"/>
        </w:rPr>
        <w:t xml:space="preserve">                           </w:t>
      </w:r>
    </w:p>
    <w:p w14:paraId="1AA52904">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职权：</w:t>
      </w:r>
      <w:r>
        <w:rPr>
          <w:rFonts w:hint="eastAsia" w:ascii="方正仿宋_GBK" w:hAnsi="方正仿宋_GBK" w:eastAsia="方正仿宋_GBK" w:cs="方正仿宋_GBK"/>
          <w:color w:val="auto"/>
          <w:sz w:val="24"/>
          <w:szCs w:val="24"/>
          <w:u w:val="single"/>
        </w:rPr>
        <w:t>工程审核、投资控制、进度控制、质量控制、组织协调</w:t>
      </w:r>
      <w:r>
        <w:rPr>
          <w:rFonts w:hint="eastAsia" w:ascii="方正仿宋_GBK" w:hAnsi="方正仿宋_GBK" w:eastAsia="方正仿宋_GBK" w:cs="方正仿宋_GBK"/>
          <w:color w:val="auto"/>
          <w:sz w:val="24"/>
          <w:szCs w:val="24"/>
        </w:rPr>
        <w:t xml:space="preserve">。       </w:t>
      </w:r>
    </w:p>
    <w:p w14:paraId="1C933144">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2.项目经理 </w:t>
      </w:r>
    </w:p>
    <w:p w14:paraId="37168885">
      <w:pPr>
        <w:spacing w:line="360" w:lineRule="auto"/>
        <w:ind w:firstLine="480" w:firstLineChars="200"/>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姓名：</w:t>
      </w:r>
      <w:r>
        <w:rPr>
          <w:rFonts w:hint="eastAsia" w:ascii="方正仿宋_GBK" w:hAnsi="方正仿宋_GBK" w:eastAsia="方正仿宋_GBK" w:cs="方正仿宋_GBK"/>
          <w:color w:val="auto"/>
          <w:sz w:val="24"/>
          <w:szCs w:val="24"/>
          <w:u w:val="single"/>
        </w:rPr>
        <w:t xml:space="preserve">                           </w:t>
      </w:r>
    </w:p>
    <w:p w14:paraId="5B9C29E8">
      <w:pPr>
        <w:spacing w:line="360" w:lineRule="auto"/>
        <w:ind w:firstLine="480" w:firstLineChars="200"/>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职务：</w:t>
      </w:r>
      <w:r>
        <w:rPr>
          <w:rFonts w:hint="eastAsia" w:ascii="方正仿宋_GBK" w:hAnsi="方正仿宋_GBK" w:eastAsia="方正仿宋_GBK" w:cs="方正仿宋_GBK"/>
          <w:color w:val="auto"/>
          <w:sz w:val="24"/>
          <w:szCs w:val="24"/>
          <w:u w:val="single"/>
        </w:rPr>
        <w:t xml:space="preserve">                           </w:t>
      </w:r>
    </w:p>
    <w:p w14:paraId="1C07518D">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3.甲方工作 </w:t>
      </w:r>
    </w:p>
    <w:p w14:paraId="1C9FC7C8">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（1）甲方应按约定的时间和要求完成以下工作 </w:t>
      </w:r>
    </w:p>
    <w:p w14:paraId="19432780">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施工场地具备施工条件的要求及完成的时间（若有）：</w:t>
      </w:r>
      <w:r>
        <w:rPr>
          <w:rFonts w:hint="eastAsia" w:ascii="方正仿宋_GBK" w:hAnsi="方正仿宋_GBK" w:eastAsia="方正仿宋_GBK" w:cs="方正仿宋_GBK"/>
          <w:color w:val="auto"/>
          <w:sz w:val="24"/>
          <w:szCs w:val="24"/>
          <w:u w:val="single"/>
        </w:rPr>
        <w:t>乙方自行完成，费用已包含在供应商报价中</w:t>
      </w:r>
      <w:r>
        <w:rPr>
          <w:rFonts w:hint="eastAsia" w:ascii="方正仿宋_GBK" w:hAnsi="方正仿宋_GBK" w:eastAsia="方正仿宋_GBK" w:cs="方正仿宋_GBK"/>
          <w:color w:val="auto"/>
          <w:sz w:val="24"/>
          <w:szCs w:val="24"/>
        </w:rPr>
        <w:t>。</w:t>
      </w:r>
    </w:p>
    <w:p w14:paraId="1BF06EF4">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将施工所需的水、电、电讯线路接至施工场地的时间、地点和供应要求（若有）：</w:t>
      </w:r>
      <w:r>
        <w:rPr>
          <w:rFonts w:hint="eastAsia" w:ascii="方正仿宋_GBK" w:hAnsi="方正仿宋_GBK" w:eastAsia="方正仿宋_GBK" w:cs="方正仿宋_GBK"/>
          <w:color w:val="auto"/>
          <w:sz w:val="24"/>
          <w:szCs w:val="24"/>
          <w:u w:val="single"/>
        </w:rPr>
        <w:t>乙方自行完成，费用已包含在供应商报价中</w:t>
      </w:r>
      <w:r>
        <w:rPr>
          <w:rFonts w:hint="eastAsia" w:ascii="方正仿宋_GBK" w:hAnsi="方正仿宋_GBK" w:eastAsia="方正仿宋_GBK" w:cs="方正仿宋_GBK"/>
          <w:color w:val="auto"/>
          <w:sz w:val="24"/>
          <w:szCs w:val="24"/>
        </w:rPr>
        <w:t xml:space="preserve">。  </w:t>
      </w:r>
    </w:p>
    <w:p w14:paraId="527C1CFA">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施工场地与公共道路的通道开通时间和要求（若有）：</w:t>
      </w:r>
      <w:r>
        <w:rPr>
          <w:rFonts w:hint="eastAsia" w:ascii="方正仿宋_GBK" w:hAnsi="方正仿宋_GBK" w:eastAsia="方正仿宋_GBK" w:cs="方正仿宋_GBK"/>
          <w:color w:val="auto"/>
          <w:sz w:val="24"/>
          <w:szCs w:val="24"/>
          <w:u w:val="single"/>
        </w:rPr>
        <w:t>乙方自行完成，费用已包含在供应商报价中</w:t>
      </w:r>
      <w:r>
        <w:rPr>
          <w:rFonts w:hint="eastAsia" w:ascii="方正仿宋_GBK" w:hAnsi="方正仿宋_GBK" w:eastAsia="方正仿宋_GBK" w:cs="方正仿宋_GBK"/>
          <w:color w:val="auto"/>
          <w:sz w:val="24"/>
          <w:szCs w:val="24"/>
        </w:rPr>
        <w:t>。</w:t>
      </w:r>
    </w:p>
    <w:p w14:paraId="7C0000EC">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工程地质和地下管线资料的提供时间（若有）：</w:t>
      </w:r>
      <w:r>
        <w:rPr>
          <w:rFonts w:hint="eastAsia" w:ascii="方正仿宋_GBK" w:hAnsi="方正仿宋_GBK" w:eastAsia="方正仿宋_GBK" w:cs="方正仿宋_GBK"/>
          <w:color w:val="auto"/>
          <w:sz w:val="24"/>
          <w:szCs w:val="24"/>
          <w:u w:val="single"/>
        </w:rPr>
        <w:t>无</w:t>
      </w:r>
      <w:r>
        <w:rPr>
          <w:rFonts w:hint="eastAsia" w:ascii="方正仿宋_GBK" w:hAnsi="方正仿宋_GBK" w:eastAsia="方正仿宋_GBK" w:cs="方正仿宋_GBK"/>
          <w:color w:val="auto"/>
          <w:sz w:val="24"/>
          <w:szCs w:val="24"/>
        </w:rPr>
        <w:t xml:space="preserve">。    </w:t>
      </w:r>
    </w:p>
    <w:p w14:paraId="374A4642">
      <w:pPr>
        <w:spacing w:line="360" w:lineRule="auto"/>
        <w:jc w:val="left"/>
        <w:rPr>
          <w:rFonts w:hint="eastAsia" w:ascii="方正仿宋_GBK" w:hAnsi="方正仿宋_GBK" w:eastAsia="方正仿宋_GBK" w:cs="方正仿宋_GBK"/>
          <w:strike/>
          <w:color w:val="auto"/>
          <w:sz w:val="24"/>
          <w:szCs w:val="24"/>
          <w:u w:val="single"/>
        </w:rPr>
      </w:pPr>
      <w:r>
        <w:rPr>
          <w:rFonts w:hint="eastAsia" w:ascii="方正仿宋_GBK" w:hAnsi="方正仿宋_GBK" w:eastAsia="方正仿宋_GBK" w:cs="方正仿宋_GBK"/>
          <w:color w:val="auto"/>
          <w:sz w:val="24"/>
          <w:szCs w:val="24"/>
        </w:rPr>
        <w:t xml:space="preserve">    由甲方办理的施工所需证件、批件的名称和完成时间（若有）：</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3483FADF">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协调处理施工场地周围地下管线和邻近建筑物、构筑物（含文物保护建筑）、古树名木的保护工作（若有）：</w:t>
      </w:r>
      <w:r>
        <w:rPr>
          <w:rFonts w:hint="eastAsia" w:ascii="方正仿宋_GBK" w:hAnsi="方正仿宋_GBK" w:eastAsia="方正仿宋_GBK" w:cs="方正仿宋_GBK"/>
          <w:color w:val="auto"/>
          <w:sz w:val="24"/>
          <w:szCs w:val="24"/>
          <w:u w:val="single"/>
        </w:rPr>
        <w:t>无</w:t>
      </w:r>
      <w:r>
        <w:rPr>
          <w:rFonts w:hint="eastAsia" w:ascii="方正仿宋_GBK" w:hAnsi="方正仿宋_GBK" w:eastAsia="方正仿宋_GBK" w:cs="方正仿宋_GBK"/>
          <w:color w:val="auto"/>
          <w:sz w:val="24"/>
          <w:szCs w:val="24"/>
        </w:rPr>
        <w:t xml:space="preserve">。 </w:t>
      </w:r>
    </w:p>
    <w:p w14:paraId="1187F33B">
      <w:pPr>
        <w:spacing w:line="360" w:lineRule="auto"/>
        <w:ind w:firstLine="480" w:firstLineChars="200"/>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双方约定甲方应做的其他工作：</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76764CA5">
      <w:pPr>
        <w:spacing w:line="360" w:lineRule="auto"/>
        <w:ind w:firstLine="480" w:firstLineChars="200"/>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（2）甲方委托乙方办理的工作：</w:t>
      </w:r>
      <w:r>
        <w:rPr>
          <w:rFonts w:hint="eastAsia" w:ascii="方正仿宋_GBK" w:hAnsi="方正仿宋_GBK" w:eastAsia="方正仿宋_GBK" w:cs="方正仿宋_GBK"/>
          <w:color w:val="auto"/>
          <w:sz w:val="24"/>
          <w:szCs w:val="24"/>
          <w:u w:val="single"/>
        </w:rPr>
        <w:t xml:space="preserve">发生时协商处理，并以书面通知或协议为准 </w:t>
      </w:r>
    </w:p>
    <w:p w14:paraId="6D100469">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4.乙方工作</w:t>
      </w:r>
    </w:p>
    <w:p w14:paraId="6D747456">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承担施工安全保卫工作及非夜间施工照明的责任和要求（若有）：</w:t>
      </w:r>
      <w:r>
        <w:rPr>
          <w:rFonts w:hint="eastAsia" w:ascii="方正仿宋_GBK" w:hAnsi="方正仿宋_GBK" w:eastAsia="方正仿宋_GBK" w:cs="方正仿宋_GBK"/>
          <w:color w:val="auto"/>
          <w:sz w:val="24"/>
          <w:szCs w:val="24"/>
          <w:u w:val="single"/>
        </w:rPr>
        <w:t>以上责任和要求由乙方负责，并到相关部门完善相关手续，费用由乙方自理。</w:t>
      </w:r>
      <w:r>
        <w:rPr>
          <w:rFonts w:hint="eastAsia" w:ascii="方正仿宋_GBK" w:hAnsi="方正仿宋_GBK" w:eastAsia="方正仿宋_GBK" w:cs="方正仿宋_GBK"/>
          <w:color w:val="auto"/>
          <w:sz w:val="24"/>
          <w:szCs w:val="24"/>
        </w:rPr>
        <w:t xml:space="preserve"> </w:t>
      </w:r>
    </w:p>
    <w:p w14:paraId="139FCA82">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 xml:space="preserve">    办理的有关施工场地交通、环卫和施工噪音管理等手续（若有）：</w:t>
      </w:r>
      <w:r>
        <w:rPr>
          <w:rFonts w:hint="eastAsia" w:ascii="方正仿宋_GBK" w:hAnsi="方正仿宋_GBK" w:eastAsia="方正仿宋_GBK" w:cs="方正仿宋_GBK"/>
          <w:color w:val="auto"/>
          <w:sz w:val="24"/>
          <w:szCs w:val="24"/>
          <w:u w:val="single"/>
        </w:rPr>
        <w:t>由乙方负责，费用已包含在供应商报价中</w:t>
      </w:r>
      <w:r>
        <w:rPr>
          <w:rFonts w:hint="eastAsia" w:ascii="方正仿宋_GBK" w:hAnsi="方正仿宋_GBK" w:eastAsia="方正仿宋_GBK" w:cs="方正仿宋_GBK"/>
          <w:color w:val="auto"/>
          <w:sz w:val="24"/>
          <w:szCs w:val="24"/>
        </w:rPr>
        <w:t xml:space="preserve">。   </w:t>
      </w:r>
    </w:p>
    <w:p w14:paraId="62F95B2C">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 xml:space="preserve">    已完工程成品保护的特殊要求及费用承担（若有）：</w:t>
      </w:r>
      <w:r>
        <w:rPr>
          <w:rFonts w:hint="eastAsia" w:ascii="方正仿宋_GBK" w:hAnsi="方正仿宋_GBK" w:eastAsia="方正仿宋_GBK" w:cs="方正仿宋_GBK"/>
          <w:color w:val="auto"/>
          <w:sz w:val="24"/>
          <w:szCs w:val="24"/>
          <w:u w:val="single"/>
        </w:rPr>
        <w:t>费用已包含在供应商报价中</w:t>
      </w:r>
      <w:r>
        <w:rPr>
          <w:rFonts w:hint="eastAsia" w:ascii="方正仿宋_GBK" w:hAnsi="方正仿宋_GBK" w:eastAsia="方正仿宋_GBK" w:cs="方正仿宋_GBK"/>
          <w:color w:val="auto"/>
          <w:sz w:val="24"/>
          <w:szCs w:val="24"/>
        </w:rPr>
        <w:t xml:space="preserve">。   </w:t>
      </w:r>
    </w:p>
    <w:p w14:paraId="75A9FF32">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施工场地周围地下管线和邻近建筑物、构筑物（含文物保护建筑）、古树名木的保护要求及费用承担（若有）：</w:t>
      </w:r>
      <w:r>
        <w:rPr>
          <w:rFonts w:hint="eastAsia" w:ascii="方正仿宋_GBK" w:hAnsi="方正仿宋_GBK" w:eastAsia="方正仿宋_GBK" w:cs="方正仿宋_GBK"/>
          <w:color w:val="auto"/>
          <w:sz w:val="24"/>
          <w:szCs w:val="24"/>
          <w:u w:val="single"/>
        </w:rPr>
        <w:t>如有以上事件发生应及时报告业主及有关单位，费用已包含在供应商报价</w:t>
      </w:r>
      <w:r>
        <w:rPr>
          <w:rFonts w:hint="eastAsia" w:ascii="方正仿宋_GBK" w:hAnsi="方正仿宋_GBK" w:eastAsia="方正仿宋_GBK" w:cs="方正仿宋_GBK"/>
          <w:color w:val="auto"/>
          <w:sz w:val="24"/>
          <w:szCs w:val="24"/>
        </w:rPr>
        <w:t>中。</w:t>
      </w:r>
    </w:p>
    <w:p w14:paraId="1EC66EE8">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施工现场清洁卫生的要求：</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7E36CBAC">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 xml:space="preserve">    其他工作</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1D187B24">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双方约定乙方应做的其他工作：</w:t>
      </w:r>
      <w:r>
        <w:rPr>
          <w:rFonts w:hint="eastAsia" w:ascii="方正仿宋_GBK" w:hAnsi="方正仿宋_GBK" w:eastAsia="方正仿宋_GBK" w:cs="方正仿宋_GBK"/>
          <w:color w:val="auto"/>
          <w:sz w:val="24"/>
          <w:szCs w:val="24"/>
          <w:u w:val="single"/>
        </w:rPr>
        <w:t>协商解决</w:t>
      </w:r>
      <w:r>
        <w:rPr>
          <w:rFonts w:hint="eastAsia" w:ascii="方正仿宋_GBK" w:hAnsi="方正仿宋_GBK" w:eastAsia="方正仿宋_GBK" w:cs="方正仿宋_GBK"/>
          <w:color w:val="auto"/>
          <w:sz w:val="24"/>
          <w:szCs w:val="24"/>
        </w:rPr>
        <w:t>。</w:t>
      </w:r>
    </w:p>
    <w:p w14:paraId="116D1E59">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 xml:space="preserve">三、施工组织设计和工期 </w:t>
      </w:r>
    </w:p>
    <w:p w14:paraId="5AB4FB1D">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1.进度计划 </w:t>
      </w:r>
    </w:p>
    <w:p w14:paraId="0F44AA13">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（1）乙方提供施工组织设计（施工方案）和进度计划的时间：进场后</w:t>
      </w:r>
      <w:r>
        <w:rPr>
          <w:rFonts w:hint="eastAsia" w:ascii="方正仿宋_GBK" w:hAnsi="方正仿宋_GBK" w:eastAsia="方正仿宋_GBK" w:cs="方正仿宋_GBK"/>
          <w:color w:val="auto"/>
          <w:sz w:val="24"/>
          <w:szCs w:val="24"/>
          <w:u w:val="single"/>
        </w:rPr>
        <w:t>10</w:t>
      </w:r>
      <w:r>
        <w:rPr>
          <w:rFonts w:hint="eastAsia" w:ascii="方正仿宋_GBK" w:hAnsi="方正仿宋_GBK" w:eastAsia="方正仿宋_GBK" w:cs="方正仿宋_GBK"/>
          <w:color w:val="auto"/>
          <w:sz w:val="24"/>
          <w:szCs w:val="24"/>
        </w:rPr>
        <w:t xml:space="preserve">日内向甲方提供完整的施工组织设计。 </w:t>
      </w:r>
    </w:p>
    <w:p w14:paraId="08867C22">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工程师确认的时间：收到施工组织设计后</w:t>
      </w:r>
      <w:r>
        <w:rPr>
          <w:rFonts w:hint="eastAsia" w:ascii="方正仿宋_GBK" w:hAnsi="方正仿宋_GBK" w:eastAsia="方正仿宋_GBK" w:cs="方正仿宋_GBK"/>
          <w:color w:val="auto"/>
          <w:sz w:val="24"/>
          <w:szCs w:val="24"/>
          <w:u w:val="single"/>
        </w:rPr>
        <w:t>2</w:t>
      </w:r>
      <w:r>
        <w:rPr>
          <w:rFonts w:hint="eastAsia" w:ascii="方正仿宋_GBK" w:hAnsi="方正仿宋_GBK" w:eastAsia="方正仿宋_GBK" w:cs="方正仿宋_GBK"/>
          <w:color w:val="auto"/>
          <w:sz w:val="24"/>
          <w:szCs w:val="24"/>
        </w:rPr>
        <w:t>日内确认。</w:t>
      </w:r>
    </w:p>
    <w:p w14:paraId="7BA05F88">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（2）群体工程中有关进度计划的要求：</w:t>
      </w:r>
      <w:r>
        <w:rPr>
          <w:rFonts w:hint="eastAsia" w:ascii="方正仿宋_GBK" w:hAnsi="方正仿宋_GBK" w:eastAsia="方正仿宋_GBK" w:cs="方正仿宋_GBK"/>
          <w:color w:val="auto"/>
          <w:sz w:val="24"/>
          <w:szCs w:val="24"/>
          <w:u w:val="single"/>
        </w:rPr>
        <w:t>无</w:t>
      </w:r>
    </w:p>
    <w:p w14:paraId="1A411833">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2.工期延误 </w:t>
      </w:r>
    </w:p>
    <w:p w14:paraId="2D44AE3B">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双方约定工期顺延的其他情况：①除甲方同意延期的工程量外，其余工程量必须按期完成。②乙方未按合同约定工期完成工程，每延误一天赔偿甲方人民币</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元。</w:t>
      </w:r>
    </w:p>
    <w:p w14:paraId="4D8FE298">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 xml:space="preserve">四、质量与验收 </w:t>
      </w:r>
    </w:p>
    <w:p w14:paraId="531511F1">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1.隐蔽工程和中间验收 </w:t>
      </w:r>
    </w:p>
    <w:p w14:paraId="318CCCD5">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双方约定中间验收部位：按设计及相关规范要求执行。  </w:t>
      </w:r>
    </w:p>
    <w:p w14:paraId="21AB349E">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 xml:space="preserve">五、安全施工 </w:t>
      </w:r>
    </w:p>
    <w:p w14:paraId="6A03AA40">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1.安全施工</w:t>
      </w:r>
    </w:p>
    <w:p w14:paraId="294B02F6">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乙方严格按照施工规范和政府有关规定做好安全施工工作，认真落实施工组织设计中安全施工措施，确保安全施工，安全施工措施费用已包含在合同价款中。乙方未认真履行安全保障措施导致任何安全事故，应承担全部责任和相应费用。</w:t>
      </w:r>
    </w:p>
    <w:p w14:paraId="1C8C141A">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 xml:space="preserve">六、工程付款  </w:t>
      </w:r>
    </w:p>
    <w:p w14:paraId="4AEE9E1A">
      <w:pPr>
        <w:spacing w:line="360" w:lineRule="auto"/>
        <w:ind w:firstLine="480" w:firstLineChars="200"/>
        <w:jc w:val="lef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（以</w:t>
      </w:r>
      <w:r>
        <w:rPr>
          <w:rFonts w:hint="eastAsia" w:ascii="方正仿宋_GBK" w:hAnsi="方正仿宋_GBK" w:eastAsia="方正仿宋_GBK" w:cs="方正仿宋_GBK"/>
          <w:color w:val="auto"/>
          <w:sz w:val="24"/>
          <w:szCs w:val="24"/>
          <w:lang w:val="en-US" w:eastAsia="zh-CN"/>
        </w:rPr>
        <w:t>比选</w:t>
      </w:r>
      <w:r>
        <w:rPr>
          <w:rFonts w:hint="eastAsia" w:ascii="方正仿宋_GBK" w:hAnsi="方正仿宋_GBK" w:eastAsia="方正仿宋_GBK" w:cs="方正仿宋_GBK"/>
          <w:color w:val="auto"/>
          <w:sz w:val="24"/>
          <w:szCs w:val="24"/>
        </w:rPr>
        <w:t>文件约定为准）</w:t>
      </w:r>
    </w:p>
    <w:p w14:paraId="7D0F4640">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 xml:space="preserve">七、违约、索赔和争议 </w:t>
      </w:r>
    </w:p>
    <w:p w14:paraId="5DE38AE5">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1.争议 </w:t>
      </w:r>
    </w:p>
    <w:p w14:paraId="0CB94C87">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本合同在履行过程中发生争议，由双方当事人协商解决，协商不成的依法向工程所在地人民法院提起诉讼。</w:t>
      </w:r>
    </w:p>
    <w:p w14:paraId="5251999B">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八、其他</w:t>
      </w:r>
    </w:p>
    <w:p w14:paraId="5B07070F">
      <w:pPr>
        <w:spacing w:line="360" w:lineRule="auto"/>
        <w:ind w:left="480" w:leftChars="200"/>
        <w:jc w:val="lef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1.工程分包 </w:t>
      </w:r>
    </w:p>
    <w:p w14:paraId="19F058F5">
      <w:pPr>
        <w:spacing w:line="360" w:lineRule="auto"/>
        <w:ind w:left="480" w:leftChars="200"/>
        <w:jc w:val="lef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本工程甲方同意乙方分包的工程（若有）：</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14:paraId="28CFADA1">
      <w:pPr>
        <w:spacing w:line="360" w:lineRule="auto"/>
        <w:ind w:left="480" w:leftChars="200"/>
        <w:jc w:val="lef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分包施工单位为：</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14:paraId="66D7A01A">
      <w:pPr>
        <w:spacing w:line="360" w:lineRule="auto"/>
        <w:ind w:left="480" w:leftChars="200"/>
        <w:jc w:val="lef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2.不可抗力 </w:t>
      </w:r>
    </w:p>
    <w:p w14:paraId="52C1D898">
      <w:pPr>
        <w:spacing w:line="360" w:lineRule="auto"/>
        <w:ind w:left="480" w:left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双方关于不可抗力的约定：按通用条款执行。  </w:t>
      </w:r>
    </w:p>
    <w:p w14:paraId="2C10094C">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3.工程变更</w:t>
      </w:r>
    </w:p>
    <w:p w14:paraId="03BCF3DF">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变更的范围包括但不限于设计变更（包括签证）及调整、技术洽商、施工过程中出现新增项目（含招标范围以外的项目）或减少项目、招标文件中的暂定价款项目等均属工程变更，工程变更须经全过工程咨询服务单位审核确认，最后经发包人书面批准后方能有效。非不可抗力，工程实施过程中不得进行任何调整及变更，若出现重大调整及变更项目，需由发包人按学校相关规定和渝建发〔2018〕50号执行。工程变更未经发包人书面批准，结算时不予认可，增加的工程费用由承包人自行承担。</w:t>
      </w:r>
    </w:p>
    <w:p w14:paraId="56DC450A">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变更工程量确定：工程量为现场收方工程量。</w:t>
      </w:r>
    </w:p>
    <w:p w14:paraId="4E516B4B">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工程变更估价原则：已标价工程量清单中有相同项目的，按照相同项目单价计算；已标价工程量清单中有类似项目的，参考类似项目单价计算；已标价工程量清单中无相同项目亦无类似项目的，按照以下原则执行：</w:t>
      </w:r>
    </w:p>
    <w:p w14:paraId="61417529">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按</w:t>
      </w:r>
      <w:r>
        <w:rPr>
          <w:rFonts w:hint="eastAsia" w:ascii="方正仿宋_GBK" w:hAnsi="方正仿宋_GBK" w:eastAsia="方正仿宋_GBK" w:cs="方正仿宋_GBK"/>
          <w:color w:val="auto"/>
          <w:sz w:val="24"/>
          <w:szCs w:val="24"/>
          <w:lang w:val="en-US" w:eastAsia="zh-CN"/>
        </w:rPr>
        <w:t>比选</w:t>
      </w:r>
      <w:r>
        <w:rPr>
          <w:rFonts w:hint="eastAsia" w:ascii="方正仿宋_GBK" w:hAnsi="方正仿宋_GBK" w:eastAsia="方正仿宋_GBK" w:cs="方正仿宋_GBK"/>
          <w:color w:val="auto"/>
          <w:sz w:val="24"/>
          <w:szCs w:val="24"/>
        </w:rPr>
        <w:t>文件、合同条件、工程量清单、本次招标范围的国家技术和经济规范及标准、《建设工程工程量清单计价规范》  (GB50500-2013) 、《重庆市建设工程工程量清单计价规则》  (CQJJGZ-2013) 、《重庆市建设工程工程量计算规则》 (CQJLGZ-2013) 及《重庆市房屋建筑与装饰工程计价定额》（CQJZZSDE-2018）、《重庆市仿古建筑工程计价定额》（CQFGDE-2018）、《重庆市通用安装工程计价定额》（CQAZDE-2018）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清单组价并乘以承包人中标结算百分比，得出最终的结算全费用综合单价，经全过工程咨询服务单位、发包人审定后执行。</w:t>
      </w:r>
    </w:p>
    <w:p w14:paraId="6670158B">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（1）人工单价：招标清单价中有的，按招标清单价中人工单价；招标清单价中没有的，按开标当期《重庆工程造价信息》发布的项目所在地的人工单价执行。</w:t>
      </w:r>
    </w:p>
    <w:p w14:paraId="3B5F4C9A">
      <w:pPr>
        <w:spacing w:line="360" w:lineRule="auto"/>
        <w:ind w:firstLine="480"/>
        <w:jc w:val="left"/>
        <w:rPr>
          <w:rFonts w:hint="eastAsia" w:ascii="方正仿宋_GBK" w:hAnsi="方正仿宋_GBK" w:eastAsia="方正仿宋_GBK" w:cs="方正仿宋_GBK"/>
          <w:color w:val="auto"/>
          <w:sz w:val="24"/>
          <w:szCs w:val="24"/>
        </w:rPr>
      </w:pPr>
      <w:bookmarkStart w:id="195" w:name="_Hlk529023896"/>
      <w:r>
        <w:rPr>
          <w:rFonts w:hint="eastAsia" w:ascii="方正仿宋_GBK" w:hAnsi="方正仿宋_GBK" w:eastAsia="方正仿宋_GBK" w:cs="方正仿宋_GBK"/>
          <w:color w:val="auto"/>
          <w:sz w:val="24"/>
          <w:szCs w:val="24"/>
        </w:rPr>
        <w:t>（2）材料单价：</w:t>
      </w:r>
    </w:p>
    <w:p w14:paraId="423BABF3">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①招标清单价中有的，按招标清单价中相同材料单价的最低值执行；</w:t>
      </w:r>
    </w:p>
    <w:p w14:paraId="6EE88E22">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②招标清单价中没有的，按</w:t>
      </w:r>
      <w:bookmarkStart w:id="196" w:name="_Hlk529023354"/>
      <w:r>
        <w:rPr>
          <w:rFonts w:hint="eastAsia" w:ascii="方正仿宋_GBK" w:hAnsi="方正仿宋_GBK" w:eastAsia="方正仿宋_GBK" w:cs="方正仿宋_GBK"/>
          <w:color w:val="auto"/>
          <w:sz w:val="24"/>
          <w:szCs w:val="24"/>
        </w:rPr>
        <w:t>开标当期《重庆工程造价信息》发布的项目所在地的信息价</w:t>
      </w:r>
      <w:bookmarkEnd w:id="196"/>
      <w:r>
        <w:rPr>
          <w:rFonts w:hint="eastAsia" w:ascii="方正仿宋_GBK" w:hAnsi="方正仿宋_GBK" w:eastAsia="方正仿宋_GBK" w:cs="方正仿宋_GBK"/>
          <w:color w:val="auto"/>
          <w:sz w:val="24"/>
          <w:szCs w:val="24"/>
        </w:rPr>
        <w:t>执行；开标当期《重庆工程造价信息》中没有的，由承包人申报、全过程工程咨询服务单位、发包人根据市场行情认质核价确定，核价为不含税价。</w:t>
      </w:r>
    </w:p>
    <w:bookmarkEnd w:id="195"/>
    <w:p w14:paraId="70CF1983">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（3）企业管理费和利润：按招标清单价中相同工程分类的费用标准执行。</w:t>
      </w:r>
    </w:p>
    <w:p w14:paraId="5ADBB014">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（4）规费：按《重庆市建设工程费用定额》（CQFYDE-2018）费用标准进行计算。</w:t>
      </w:r>
    </w:p>
    <w:p w14:paraId="066C6623">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（5）税金：包含增值税、城市维护建设税、教育费附加、地方教育附加以及环境保护税。其中增值税按《重庆市建设工程费用定额》（CQFYDE-2018）规定及配套文件执行。</w:t>
      </w:r>
    </w:p>
    <w:p w14:paraId="67FFDDDF">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4.其他约定</w:t>
      </w:r>
    </w:p>
    <w:p w14:paraId="50988236">
      <w:pPr>
        <w:spacing w:line="360" w:lineRule="auto"/>
        <w:ind w:firstLine="567"/>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4.1本项目结算原则：</w:t>
      </w:r>
    </w:p>
    <w:p w14:paraId="61E62BE8">
      <w:pPr>
        <w:spacing w:line="360" w:lineRule="auto"/>
        <w:ind w:firstLine="460" w:firstLineChars="19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szCs w:val="24"/>
          <w:lang w:val="en-US" w:eastAsia="zh-CN"/>
        </w:rPr>
        <w:t>比选文件</w:t>
      </w:r>
      <w:r>
        <w:rPr>
          <w:rFonts w:hint="eastAsia" w:ascii="方正仿宋_GBK" w:hAnsi="方正仿宋_GBK" w:eastAsia="方正仿宋_GBK" w:cs="方正仿宋_GBK"/>
          <w:color w:val="auto"/>
          <w:sz w:val="24"/>
          <w:szCs w:val="24"/>
        </w:rPr>
        <w:t>范围内的所有内容按成交价包干结算。</w:t>
      </w:r>
    </w:p>
    <w:p w14:paraId="31D0546D">
      <w:pPr>
        <w:spacing w:line="360" w:lineRule="auto"/>
        <w:ind w:firstLine="460" w:firstLineChars="19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（2）人工、材料价格不因政策或市场波动等任何因素而调整。</w:t>
      </w:r>
    </w:p>
    <w:p w14:paraId="4B1DF819">
      <w:pPr>
        <w:spacing w:line="360" w:lineRule="auto"/>
        <w:ind w:firstLine="460" w:firstLineChars="19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（3）工程变更、洽商增加的工作内容，按照审批程序报批，经批准后实施。</w:t>
      </w:r>
    </w:p>
    <w:p w14:paraId="2DE6DD33">
      <w:pPr>
        <w:spacing w:line="360" w:lineRule="auto"/>
        <w:ind w:firstLine="460" w:firstLineChars="19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（4）工程变更、洽商增加的工作内容，综合单价确定原则：已有的清单子目综合单价按照乙方投标时（最后报价/初始报价）的价格比例进行等比例调整。</w:t>
      </w:r>
    </w:p>
    <w:p w14:paraId="08E4075C">
      <w:pPr>
        <w:spacing w:line="360" w:lineRule="auto"/>
        <w:ind w:firstLine="460" w:firstLineChars="19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[工程变更、洽商增加的工作内容造价结算金额=综合单价×下浮比例×新增的工程数量。下浮比例=（初始报价-最后报价）÷初始报价）]。</w:t>
      </w:r>
    </w:p>
    <w:p w14:paraId="5460BF8B">
      <w:pPr>
        <w:spacing w:line="360" w:lineRule="auto"/>
        <w:ind w:firstLine="460" w:firstLineChars="19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（5）因非乙方原因的工程变更，引起项目发生变化，造成施工组织设计或施工方案变更，施工组织措施费、技术措施费按成交价包干计算。</w:t>
      </w:r>
    </w:p>
    <w:p w14:paraId="163A4638">
      <w:pPr>
        <w:spacing w:line="360" w:lineRule="auto"/>
        <w:ind w:firstLine="460" w:firstLineChars="19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（6）工程变更、工程洽商、以现场实际收方的工程量为准，且经甲方现场代表及监理单位的监理工程师签认后作为结算依据。</w:t>
      </w:r>
    </w:p>
    <w:p w14:paraId="557D849B">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（7）最终结算金额以审计部门审计的金额为准。</w:t>
      </w:r>
    </w:p>
    <w:p w14:paraId="167B2004">
      <w:pPr>
        <w:spacing w:line="360" w:lineRule="auto"/>
        <w:ind w:firstLine="567"/>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4.2工程价款的结算：</w:t>
      </w:r>
    </w:p>
    <w:p w14:paraId="738877EF">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1.已标价工程量清单结算价：∑已标价工程量清单子目全费用综合单价×子目工程量</w:t>
      </w:r>
    </w:p>
    <w:p w14:paraId="4B6F30AD">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 子目工程量：按2013工程量清单规定的计算规则及已标价工程量清单规定的工程量计算规则计量，以现场收方签证工程量为准。</w:t>
      </w:r>
    </w:p>
    <w:p w14:paraId="1E0C56B5">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 已标价工程量清单子目全费用综合单价：为合同附件中合同工程量清单子项的结算全费用综合单价。合同工程量清单子项的结算全费用综合单价=招标人发布的招标工程量清单子项的全费用综合单价×中标结算百分比。</w:t>
      </w:r>
    </w:p>
    <w:p w14:paraId="283E70DF">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2.已标价工程量清单外项目结算价，结算原则按第三条工程变更估价原则结算。</w:t>
      </w:r>
    </w:p>
    <w:p w14:paraId="78D510DF">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3.工程结算审核，由全过程工程咨询服务单位做初审，工程结算审计，按照学校现行审计制度执行，最终以审计结果作为合同竣工结算价。</w:t>
      </w:r>
    </w:p>
    <w:p w14:paraId="477A3C98">
      <w:pPr>
        <w:spacing w:line="360" w:lineRule="auto"/>
        <w:ind w:firstLine="480" w:firstLineChars="200"/>
        <w:jc w:val="lef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承包人不得虚高编制工程结算，承包人结算送审金额与合同竣工结算价的审减金额比率在3%至8%（含8%）之间的，发包人将对承包人作3000元的违约处罚；审减金额比率超过8%，发包人将对承包人作10000元违约处罚。</w:t>
      </w:r>
    </w:p>
    <w:p w14:paraId="3C15379C">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4.3工程完工后由乙方编写工程竣工结算报告办理项目结算。</w:t>
      </w:r>
    </w:p>
    <w:p w14:paraId="0EA6D72B">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4.4工程竣工资料经相关部门审查合格后，移交甲方。          </w:t>
      </w:r>
    </w:p>
    <w:p w14:paraId="2041E448">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4.5工程项目建设过程中的安全问题以及其他矛盾纠纷，由乙方自行负责解决。</w:t>
      </w:r>
    </w:p>
    <w:p w14:paraId="5722281E">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4.6本合同如发生争议可由当事人友好协商达成一致，在60天内当事人协商不能达成协议的，可提交工程所在地仲裁机构仲裁。</w:t>
      </w:r>
    </w:p>
    <w:p w14:paraId="39EF23D9">
      <w:pPr>
        <w:spacing w:line="360" w:lineRule="auto"/>
        <w:ind w:firstLine="480" w:firstLineChars="200"/>
        <w:jc w:val="left"/>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color w:val="auto"/>
          <w:sz w:val="24"/>
          <w:szCs w:val="24"/>
        </w:rPr>
        <w:t>合同履行过程中，如发现乙方存在挂靠、转包本项目的行为，甲方有权终止合同，不支付任何费用，并保留追究乙方法律责任的权利。</w:t>
      </w:r>
    </w:p>
    <w:p w14:paraId="4FE5AF60">
      <w:pPr>
        <w:spacing w:line="360" w:lineRule="auto"/>
        <w:jc w:val="left"/>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附件</w:t>
      </w:r>
    </w:p>
    <w:p w14:paraId="4D7C66CB">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附件1：工程质量保修书</w:t>
      </w:r>
    </w:p>
    <w:p w14:paraId="6E5CFB62">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附件2：安全生产合同</w:t>
      </w:r>
    </w:p>
    <w:p w14:paraId="2F90E312">
      <w:pPr>
        <w:spacing w:line="360" w:lineRule="auto"/>
        <w:jc w:val="left"/>
        <w:rPr>
          <w:rFonts w:hint="eastAsia" w:ascii="方正仿宋_GBK" w:hAnsi="方正仿宋_GBK" w:eastAsia="方正仿宋_GBK" w:cs="方正仿宋_GBK"/>
          <w:color w:val="auto"/>
          <w:sz w:val="24"/>
          <w:szCs w:val="24"/>
        </w:rPr>
        <w:sectPr>
          <w:pgSz w:w="11907" w:h="16840"/>
          <w:pgMar w:top="1134" w:right="1191" w:bottom="1134" w:left="1304" w:header="964" w:footer="992" w:gutter="0"/>
          <w:pgNumType w:fmt="numberInDash"/>
          <w:cols w:space="720" w:num="1"/>
          <w:docGrid w:linePitch="380" w:charSpace="0"/>
        </w:sectPr>
      </w:pPr>
    </w:p>
    <w:p w14:paraId="462E61B9">
      <w:pPr>
        <w:spacing w:line="360" w:lineRule="auto"/>
        <w:jc w:val="left"/>
        <w:rPr>
          <w:rFonts w:hint="eastAsia" w:ascii="方正仿宋_GBK" w:hAnsi="方正仿宋_GBK" w:eastAsia="方正仿宋_GBK" w:cs="方正仿宋_GBK"/>
          <w:color w:val="auto"/>
          <w:sz w:val="24"/>
          <w:szCs w:val="24"/>
        </w:rPr>
      </w:pPr>
    </w:p>
    <w:p w14:paraId="2B373D89">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附件</w:t>
      </w:r>
      <w:r>
        <w:rPr>
          <w:rFonts w:hint="eastAsia" w:ascii="方正仿宋_GBK" w:hAnsi="方正仿宋_GBK" w:eastAsia="方正仿宋_GBK" w:cs="方正仿宋_GBK"/>
          <w:color w:val="auto"/>
          <w:sz w:val="24"/>
        </w:rPr>
        <w:t>：1</w:t>
      </w:r>
      <w:r>
        <w:rPr>
          <w:rFonts w:hint="eastAsia" w:ascii="方正仿宋_GBK" w:hAnsi="方正仿宋_GBK" w:eastAsia="方正仿宋_GBK" w:cs="方正仿宋_GBK"/>
          <w:color w:val="auto"/>
          <w:sz w:val="24"/>
          <w:szCs w:val="24"/>
        </w:rPr>
        <w:t xml:space="preserve">    </w:t>
      </w:r>
    </w:p>
    <w:p w14:paraId="2BC0952B">
      <w:pPr>
        <w:spacing w:line="360" w:lineRule="auto"/>
        <w:jc w:val="center"/>
        <w:rPr>
          <w:rFonts w:hint="eastAsia" w:ascii="方正仿宋_GBK" w:hAnsi="方正仿宋_GBK" w:eastAsia="方正仿宋_GBK" w:cs="方正仿宋_GBK"/>
          <w:b/>
          <w:bCs/>
          <w:color w:val="auto"/>
          <w:sz w:val="24"/>
          <w:szCs w:val="24"/>
        </w:rPr>
      </w:pPr>
    </w:p>
    <w:p w14:paraId="1B0372B0">
      <w:pPr>
        <w:spacing w:line="360" w:lineRule="auto"/>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工程质量保修书</w:t>
      </w:r>
    </w:p>
    <w:p w14:paraId="160E9425">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采  购  人（甲方）：</w:t>
      </w:r>
      <w:r>
        <w:rPr>
          <w:rFonts w:hint="eastAsia" w:ascii="方正仿宋_GBK" w:hAnsi="方正仿宋_GBK" w:eastAsia="方正仿宋_GBK" w:cs="方正仿宋_GBK"/>
          <w:color w:val="auto"/>
          <w:sz w:val="24"/>
          <w:szCs w:val="24"/>
          <w:u w:val="single"/>
        </w:rPr>
        <w:t xml:space="preserve">                                 </w:t>
      </w:r>
    </w:p>
    <w:p w14:paraId="02284734">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成交供应商（乙方）：</w:t>
      </w:r>
      <w:r>
        <w:rPr>
          <w:rFonts w:hint="eastAsia" w:ascii="方正仿宋_GBK" w:hAnsi="方正仿宋_GBK" w:eastAsia="方正仿宋_GBK" w:cs="方正仿宋_GBK"/>
          <w:color w:val="auto"/>
          <w:sz w:val="24"/>
          <w:szCs w:val="24"/>
          <w:u w:val="single"/>
        </w:rPr>
        <w:t xml:space="preserve">                                 </w:t>
      </w:r>
    </w:p>
    <w:p w14:paraId="739150C7">
      <w:pPr>
        <w:spacing w:line="360" w:lineRule="auto"/>
        <w:jc w:val="left"/>
        <w:rPr>
          <w:rFonts w:hint="eastAsia" w:ascii="方正仿宋_GBK" w:hAnsi="方正仿宋_GBK" w:eastAsia="方正仿宋_GBK" w:cs="方正仿宋_GBK"/>
          <w:color w:val="auto"/>
          <w:sz w:val="24"/>
          <w:szCs w:val="24"/>
        </w:rPr>
      </w:pPr>
    </w:p>
    <w:p w14:paraId="33BD39C4">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甲方和乙方根据《中华人民共和国建筑法》和《建设工程质量管理条例》，经协商一致就</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（项目名称）签订工程质量保修书。</w:t>
      </w:r>
    </w:p>
    <w:p w14:paraId="6A9825A9">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一、工程质量保修范围和内容</w:t>
      </w:r>
    </w:p>
    <w:p w14:paraId="1B2ECDB9">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乙方在质量保修期内，按照有关法律规定和合同约定，承担工程质量保修责任。</w:t>
      </w:r>
    </w:p>
    <w:p w14:paraId="6C1D9ED7">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质量保修范围和内容，约定如下：</w:t>
      </w:r>
    </w:p>
    <w:p w14:paraId="5ACC172D">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59A8A101">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592846E2">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00FF2B30">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二、质量保修期</w:t>
      </w:r>
    </w:p>
    <w:p w14:paraId="32E47B6E">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根据《建设工程质量管理条例》及有关规定，工程的质量保修期如下：</w:t>
      </w:r>
    </w:p>
    <w:p w14:paraId="27F57B35">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 屋面防水工程、有防水要求的卫生间、房间和外墙面的防渗漏为</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年；</w:t>
      </w:r>
    </w:p>
    <w:p w14:paraId="68366D45">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2. 装修工程为</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年；</w:t>
      </w:r>
    </w:p>
    <w:p w14:paraId="7ECC3B70">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3. 电气管线、给排水管道、设备安装工程为</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年；</w:t>
      </w:r>
    </w:p>
    <w:p w14:paraId="6FD18912">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（部分分项有特别要求的按国家规定执行）。 </w:t>
      </w:r>
    </w:p>
    <w:p w14:paraId="7F0C678A">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质量保修期自工程竣工验收合格之日起计算。</w:t>
      </w:r>
    </w:p>
    <w:p w14:paraId="2BFCDD4B">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三、质量保修责任</w:t>
      </w:r>
    </w:p>
    <w:p w14:paraId="568CDE61">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1.属于保修范围、内容的项目，乙方应当在接到保修通知之日起</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内派人保修。乙方不在约定期限内派人保修的，甲方可以委托他人修理，费用由乙方承担。</w:t>
      </w:r>
    </w:p>
    <w:p w14:paraId="3BBEE62A">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2.发生紧急事故需抢修的，乙方在接到事故通知后，应当立即到达事故现场抢修。</w:t>
      </w:r>
    </w:p>
    <w:p w14:paraId="4384F3C6">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3.对于涉及结构安全的质量问题，应当按照《建设工程质量管理条例》的规定，立即向当地建设行政主管部门和有关部门报告，采取安全防范措施，并由原设计人或者具有相应资质等级的设计人提出保修方案，由乙方实施保修。</w:t>
      </w:r>
    </w:p>
    <w:p w14:paraId="7AC4C9BE">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4.质量保修完成后，由甲方组织验收。</w:t>
      </w:r>
    </w:p>
    <w:p w14:paraId="73C4BDFE">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四、保修费用</w:t>
      </w:r>
    </w:p>
    <w:p w14:paraId="161F80E0">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保修费用由造成质量缺陷的责任方承担。</w:t>
      </w:r>
    </w:p>
    <w:p w14:paraId="52536AE2">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五、双方约定的其他工程质量保修事项：</w:t>
      </w:r>
      <w:r>
        <w:rPr>
          <w:rFonts w:hint="eastAsia" w:ascii="方正仿宋_GBK" w:hAnsi="方正仿宋_GBK" w:eastAsia="方正仿宋_GBK" w:cs="方正仿宋_GBK"/>
          <w:color w:val="auto"/>
          <w:sz w:val="24"/>
          <w:szCs w:val="24"/>
        </w:rPr>
        <w:t xml:space="preserve">                  </w:t>
      </w:r>
    </w:p>
    <w:p w14:paraId="220E5037">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5182695B">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4D91DD23">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工程质量保修书由甲方、乙方在工程竣工验收前共同签署，作为施工合同附件，其有效期限至保修期满。</w:t>
      </w:r>
    </w:p>
    <w:p w14:paraId="1B8A11A7">
      <w:pPr>
        <w:spacing w:line="360" w:lineRule="auto"/>
        <w:jc w:val="left"/>
        <w:rPr>
          <w:rFonts w:hint="eastAsia" w:ascii="方正仿宋_GBK" w:hAnsi="方正仿宋_GBK" w:eastAsia="方正仿宋_GBK" w:cs="方正仿宋_GBK"/>
          <w:color w:val="auto"/>
          <w:sz w:val="24"/>
          <w:szCs w:val="24"/>
        </w:rPr>
      </w:pPr>
    </w:p>
    <w:p w14:paraId="1DA0F63A">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采购人（甲方）：  （公章）          成交供应商（乙方）：  （公章）</w:t>
      </w:r>
    </w:p>
    <w:p w14:paraId="66582E16">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法定代表人或其委托代理人：</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法定代表人或其委托代理人：</w:t>
      </w:r>
      <w:r>
        <w:rPr>
          <w:rFonts w:hint="eastAsia" w:ascii="方正仿宋_GBK" w:hAnsi="方正仿宋_GBK" w:eastAsia="方正仿宋_GBK" w:cs="方正仿宋_GBK"/>
          <w:color w:val="auto"/>
          <w:sz w:val="24"/>
          <w:szCs w:val="24"/>
          <w:u w:val="single"/>
        </w:rPr>
        <w:t xml:space="preserve">     </w:t>
      </w:r>
    </w:p>
    <w:p w14:paraId="3DD591AE">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（签字）：</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（签字）：</w:t>
      </w:r>
      <w:r>
        <w:rPr>
          <w:rFonts w:hint="eastAsia" w:ascii="方正仿宋_GBK" w:hAnsi="方正仿宋_GBK" w:eastAsia="方正仿宋_GBK" w:cs="方正仿宋_GBK"/>
          <w:color w:val="auto"/>
          <w:sz w:val="24"/>
          <w:szCs w:val="24"/>
          <w:u w:val="single"/>
        </w:rPr>
        <w:t xml:space="preserve">                      </w:t>
      </w:r>
    </w:p>
    <w:p w14:paraId="3E4B2245">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组织机构代码：</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组织机构代码：</w:t>
      </w:r>
      <w:r>
        <w:rPr>
          <w:rFonts w:hint="eastAsia" w:ascii="方正仿宋_GBK" w:hAnsi="方正仿宋_GBK" w:eastAsia="方正仿宋_GBK" w:cs="方正仿宋_GBK"/>
          <w:color w:val="auto"/>
          <w:sz w:val="24"/>
          <w:szCs w:val="24"/>
          <w:u w:val="single"/>
        </w:rPr>
        <w:t xml:space="preserve">                 </w:t>
      </w:r>
    </w:p>
    <w:p w14:paraId="16C15359">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地  址：</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地  址：</w:t>
      </w:r>
      <w:r>
        <w:rPr>
          <w:rFonts w:hint="eastAsia" w:ascii="方正仿宋_GBK" w:hAnsi="方正仿宋_GBK" w:eastAsia="方正仿宋_GBK" w:cs="方正仿宋_GBK"/>
          <w:color w:val="auto"/>
          <w:sz w:val="24"/>
          <w:szCs w:val="24"/>
          <w:u w:val="single"/>
        </w:rPr>
        <w:t xml:space="preserve">                       </w:t>
      </w:r>
    </w:p>
    <w:p w14:paraId="0930F139">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邮政编码：</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邮政编码：</w:t>
      </w:r>
      <w:r>
        <w:rPr>
          <w:rFonts w:hint="eastAsia" w:ascii="方正仿宋_GBK" w:hAnsi="方正仿宋_GBK" w:eastAsia="方正仿宋_GBK" w:cs="方正仿宋_GBK"/>
          <w:color w:val="auto"/>
          <w:sz w:val="24"/>
          <w:szCs w:val="24"/>
          <w:u w:val="single"/>
        </w:rPr>
        <w:t xml:space="preserve">                     </w:t>
      </w:r>
    </w:p>
    <w:p w14:paraId="614400CB">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法定代表人：</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法定代表人：</w:t>
      </w:r>
      <w:r>
        <w:rPr>
          <w:rFonts w:hint="eastAsia" w:ascii="方正仿宋_GBK" w:hAnsi="方正仿宋_GBK" w:eastAsia="方正仿宋_GBK" w:cs="方正仿宋_GBK"/>
          <w:color w:val="auto"/>
          <w:sz w:val="24"/>
          <w:szCs w:val="24"/>
          <w:u w:val="single"/>
        </w:rPr>
        <w:t xml:space="preserve">                   </w:t>
      </w:r>
    </w:p>
    <w:p w14:paraId="57818CD1">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委托代理人：</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委托代理人：</w:t>
      </w:r>
      <w:r>
        <w:rPr>
          <w:rFonts w:hint="eastAsia" w:ascii="方正仿宋_GBK" w:hAnsi="方正仿宋_GBK" w:eastAsia="方正仿宋_GBK" w:cs="方正仿宋_GBK"/>
          <w:color w:val="auto"/>
          <w:sz w:val="24"/>
          <w:szCs w:val="24"/>
          <w:u w:val="single"/>
        </w:rPr>
        <w:t xml:space="preserve">                   </w:t>
      </w:r>
    </w:p>
    <w:p w14:paraId="0C4C494F">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电  话：</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电  话：</w:t>
      </w:r>
      <w:r>
        <w:rPr>
          <w:rFonts w:hint="eastAsia" w:ascii="方正仿宋_GBK" w:hAnsi="方正仿宋_GBK" w:eastAsia="方正仿宋_GBK" w:cs="方正仿宋_GBK"/>
          <w:color w:val="auto"/>
          <w:sz w:val="24"/>
          <w:szCs w:val="24"/>
          <w:u w:val="single"/>
        </w:rPr>
        <w:t xml:space="preserve">                       </w:t>
      </w:r>
    </w:p>
    <w:p w14:paraId="5381F945">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传  真：</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传  真：</w:t>
      </w:r>
      <w:r>
        <w:rPr>
          <w:rFonts w:hint="eastAsia" w:ascii="方正仿宋_GBK" w:hAnsi="方正仿宋_GBK" w:eastAsia="方正仿宋_GBK" w:cs="方正仿宋_GBK"/>
          <w:color w:val="auto"/>
          <w:sz w:val="24"/>
          <w:szCs w:val="24"/>
          <w:u w:val="single"/>
        </w:rPr>
        <w:t xml:space="preserve">                        </w:t>
      </w:r>
    </w:p>
    <w:p w14:paraId="4359C76C">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电子信箱</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电子信箱：</w:t>
      </w:r>
      <w:r>
        <w:rPr>
          <w:rFonts w:hint="eastAsia" w:ascii="方正仿宋_GBK" w:hAnsi="方正仿宋_GBK" w:eastAsia="方正仿宋_GBK" w:cs="方正仿宋_GBK"/>
          <w:color w:val="auto"/>
          <w:sz w:val="24"/>
          <w:szCs w:val="24"/>
          <w:u w:val="single"/>
        </w:rPr>
        <w:t xml:space="preserve">                      </w:t>
      </w:r>
    </w:p>
    <w:p w14:paraId="7ED39320">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开户银行：</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开户银行：</w:t>
      </w:r>
      <w:r>
        <w:rPr>
          <w:rFonts w:hint="eastAsia" w:ascii="方正仿宋_GBK" w:hAnsi="方正仿宋_GBK" w:eastAsia="方正仿宋_GBK" w:cs="方正仿宋_GBK"/>
          <w:color w:val="auto"/>
          <w:sz w:val="24"/>
          <w:szCs w:val="24"/>
          <w:u w:val="single"/>
        </w:rPr>
        <w:t xml:space="preserve">                       </w:t>
      </w:r>
    </w:p>
    <w:p w14:paraId="6FC289F1">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账  号：</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账  号：</w:t>
      </w:r>
      <w:r>
        <w:rPr>
          <w:rFonts w:hint="eastAsia" w:ascii="方正仿宋_GBK" w:hAnsi="方正仿宋_GBK" w:eastAsia="方正仿宋_GBK" w:cs="方正仿宋_GBK"/>
          <w:color w:val="auto"/>
          <w:sz w:val="24"/>
          <w:szCs w:val="24"/>
          <w:u w:val="single"/>
        </w:rPr>
        <w:t xml:space="preserve">                        </w:t>
      </w:r>
    </w:p>
    <w:p w14:paraId="52BE6426">
      <w:pPr>
        <w:spacing w:line="360" w:lineRule="auto"/>
        <w:jc w:val="left"/>
        <w:rPr>
          <w:rFonts w:hint="eastAsia" w:ascii="方正仿宋_GBK" w:hAnsi="方正仿宋_GBK" w:eastAsia="方正仿宋_GBK" w:cs="方正仿宋_GBK"/>
          <w:color w:val="auto"/>
          <w:sz w:val="24"/>
          <w:szCs w:val="24"/>
        </w:rPr>
        <w:sectPr>
          <w:pgSz w:w="11907" w:h="16840"/>
          <w:pgMar w:top="1134" w:right="1191" w:bottom="1134" w:left="1304" w:header="964" w:footer="992" w:gutter="0"/>
          <w:pgNumType w:fmt="numberInDash"/>
          <w:cols w:space="720" w:num="1"/>
          <w:docGrid w:linePitch="380" w:charSpace="0"/>
        </w:sectPr>
      </w:pPr>
    </w:p>
    <w:p w14:paraId="1E916A9E">
      <w:pPr>
        <w:spacing w:line="360" w:lineRule="auto"/>
        <w:jc w:val="left"/>
        <w:rPr>
          <w:rFonts w:hint="eastAsia" w:ascii="方正仿宋_GBK" w:hAnsi="方正仿宋_GBK" w:eastAsia="方正仿宋_GBK" w:cs="方正仿宋_GBK"/>
          <w:color w:val="auto"/>
          <w:sz w:val="24"/>
          <w:szCs w:val="24"/>
        </w:rPr>
      </w:pPr>
    </w:p>
    <w:p w14:paraId="0D1B16CF">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附件2：</w:t>
      </w:r>
    </w:p>
    <w:p w14:paraId="018D9BCD">
      <w:pPr>
        <w:spacing w:line="360" w:lineRule="auto"/>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安全生产合同</w:t>
      </w:r>
    </w:p>
    <w:p w14:paraId="564545CE">
      <w:pPr>
        <w:spacing w:line="360" w:lineRule="auto"/>
        <w:jc w:val="left"/>
        <w:rPr>
          <w:rFonts w:hint="eastAsia" w:ascii="方正仿宋_GBK" w:hAnsi="方正仿宋_GBK" w:eastAsia="方正仿宋_GBK" w:cs="方正仿宋_GBK"/>
          <w:color w:val="auto"/>
          <w:sz w:val="24"/>
          <w:szCs w:val="24"/>
        </w:rPr>
      </w:pPr>
    </w:p>
    <w:p w14:paraId="76522B12">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采  购  人（甲方）：</w:t>
      </w:r>
      <w:r>
        <w:rPr>
          <w:rFonts w:hint="eastAsia" w:ascii="方正仿宋_GBK" w:hAnsi="方正仿宋_GBK" w:eastAsia="方正仿宋_GBK" w:cs="方正仿宋_GBK"/>
          <w:color w:val="auto"/>
          <w:sz w:val="24"/>
          <w:szCs w:val="24"/>
          <w:u w:val="single"/>
        </w:rPr>
        <w:t xml:space="preserve">                                 </w:t>
      </w:r>
    </w:p>
    <w:p w14:paraId="5C6E9F47">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成交供应商（乙方）：</w:t>
      </w:r>
      <w:r>
        <w:rPr>
          <w:rFonts w:hint="eastAsia" w:ascii="方正仿宋_GBK" w:hAnsi="方正仿宋_GBK" w:eastAsia="方正仿宋_GBK" w:cs="方正仿宋_GBK"/>
          <w:color w:val="auto"/>
          <w:sz w:val="24"/>
          <w:szCs w:val="24"/>
          <w:u w:val="single"/>
        </w:rPr>
        <w:t xml:space="preserve">                                     </w:t>
      </w:r>
    </w:p>
    <w:p w14:paraId="65932328">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p>
    <w:p w14:paraId="78B9BEC2">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为在</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（项目名称）施工合同的实施过程中创造安全、高效的施工环境，切实搞好本项目的安全生产（包括文明施工。下同）管理工作，甲、乙双方特此签订安全生产合同。</w:t>
      </w:r>
    </w:p>
    <w:p w14:paraId="2B6B103B">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1.甲方职责</w:t>
      </w:r>
    </w:p>
    <w:p w14:paraId="77791D03">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（1）严格遵守国家有关安全生产的法律法规，认真执行工程承包合同中的有关安全要求。</w:t>
      </w:r>
    </w:p>
    <w:p w14:paraId="6ECADC86">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（2）按照“安全第一、预防为主”和坚持“管生产必须管安全”的原则进行安全生产管理，做到生产与安全工作同时计划、布置、检查、总结和评比。</w:t>
      </w:r>
    </w:p>
    <w:p w14:paraId="59180A32">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（3）重要的安全设施必须坚持与主体工程“三同时”的原则，即：同时设计、审批，同时施工，同时验收，投入使用。</w:t>
      </w:r>
    </w:p>
    <w:p w14:paraId="2AA03FBC">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（4）定期召开安全生产调度会，及时传达中央及地方有关安全生产的精神。</w:t>
      </w:r>
    </w:p>
    <w:p w14:paraId="467D98EC">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（5）组织对乙方施工现场安全生产检查，监督乙方及时处理发现的各种安全隐患。</w:t>
      </w:r>
    </w:p>
    <w:p w14:paraId="45E88962">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2.乙方职责</w:t>
      </w:r>
    </w:p>
    <w:p w14:paraId="2D19529E">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（1）严格遵守国家有关安全生产的法律法规、建设部颁发的《建设工程安全生产管理条例》等有关安全生产的规定，认真执行工程承包合同中的有关安全要求。</w:t>
      </w:r>
    </w:p>
    <w:p w14:paraId="1FB76017">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2）坚持“安全第一、预防为主”和坚持“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3E2A9C00">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3）建立健全安全生产责任制。从派驻项目实施的项目经理到工人（包括临时雇请的农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1B777FAD">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（4）乙方在任何时候都应采取各种合理的预防措施，防止其员工发生任何违法、违禁、暴力或妨碍治安的行为。</w:t>
      </w:r>
    </w:p>
    <w:p w14:paraId="32DA2504">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5）乙方必须具有劳动安全管理部门颁发的安全生产证书，参加施工的人员，必须接受安全技术教育，熟知和遵守本工程的各项安全技术操作规程，定期进行安全技术考核，合格者方准上岗操作。对于从事电气、起重、建筑登高架设作业与本工程有关的特殊工种的人员，经过专业培训，获得《安全操作合格证》后，方准持证上岗。施工现场如出现特种作业无证操作现象时，项目经理必须承担管理责任。</w:t>
      </w:r>
    </w:p>
    <w:p w14:paraId="331E182B">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66B5E94D">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（7）操作人员上岗，必须按规定穿戴防护用品。施工负责人和安全检查员应随时检查劳动防护用品的穿戴情况，不按规定穿戴防护用品的人员不得上岗。</w:t>
      </w:r>
    </w:p>
    <w:p w14:paraId="7ADB8618">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（8）所有施工机具设备和高空作业的设备均应定期检查，并有安全员的签字记录，保证其经常处于完好状态；不合格的机具、设备和劳动保护用品严禁使用。</w:t>
      </w:r>
    </w:p>
    <w:p w14:paraId="07515CAF">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（9）施工中采用新技术新工艺、新设备、新材料时，必须制定相应的安全技术措施，施工现场必须具有相关的安全标志牌。</w:t>
      </w:r>
    </w:p>
    <w:p w14:paraId="6AD0B510">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6207DF0F">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3.违约责任</w:t>
      </w:r>
    </w:p>
    <w:p w14:paraId="0278BC94">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如因甲方或乙方违约造成安全事故，将依法追究责任。</w:t>
      </w:r>
    </w:p>
    <w:p w14:paraId="07D535AB">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本合同一式</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份，甲方</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份，乙方</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份。由双方盖章后生效，工程保修期满后失效。</w:t>
      </w:r>
    </w:p>
    <w:p w14:paraId="233DDE63">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甲方（签章）：                    乙方（签章）：</w:t>
      </w:r>
    </w:p>
    <w:p w14:paraId="4038E7F4">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法定代表人：                      法定代表人：</w:t>
      </w:r>
    </w:p>
    <w:p w14:paraId="21C34007">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（或授权代理人）：                （或授权代理人）：</w:t>
      </w:r>
    </w:p>
    <w:p w14:paraId="5E2A7A74">
      <w:pPr>
        <w:spacing w:line="360" w:lineRule="auto"/>
        <w:rPr>
          <w:rFonts w:hint="eastAsia" w:ascii="方正仿宋_GBK" w:hAnsi="方正仿宋_GBK" w:eastAsia="方正仿宋_GBK" w:cs="方正仿宋_GBK"/>
          <w:color w:val="auto"/>
        </w:rPr>
      </w:pPr>
    </w:p>
    <w:p w14:paraId="226E09BA">
      <w:pPr>
        <w:overflowPunct w:val="0"/>
        <w:autoSpaceDE w:val="0"/>
        <w:autoSpaceDN w:val="0"/>
        <w:adjustRightInd w:val="0"/>
        <w:snapToGrid w:val="0"/>
        <w:spacing w:line="360" w:lineRule="auto"/>
        <w:textAlignment w:val="baseline"/>
        <w:rPr>
          <w:rFonts w:hint="eastAsia" w:ascii="仿宋" w:hAnsi="仿宋" w:eastAsia="仿宋" w:cs="仿宋"/>
          <w:snapToGrid w:val="0"/>
          <w:color w:val="auto"/>
          <w:sz w:val="15"/>
          <w:szCs w:val="15"/>
        </w:rPr>
      </w:pPr>
      <w:r>
        <w:rPr>
          <w:rFonts w:hint="eastAsia" w:ascii="方正仿宋_GBK" w:hAnsi="方正仿宋_GBK" w:eastAsia="方正仿宋_GBK" w:cs="方正仿宋_GBK"/>
          <w:color w:val="auto"/>
        </w:rPr>
        <w:t xml:space="preserve">                                                  年   月    日</w:t>
      </w:r>
      <w:bookmarkEnd w:id="169"/>
      <w:bookmarkEnd w:id="170"/>
    </w:p>
    <w:bookmarkEnd w:id="99"/>
    <w:bookmarkEnd w:id="100"/>
    <w:bookmarkEnd w:id="132"/>
    <w:bookmarkEnd w:id="133"/>
    <w:bookmarkEnd w:id="134"/>
    <w:p w14:paraId="253AD7DC">
      <w:pPr>
        <w:rPr>
          <w:rFonts w:hint="eastAsia" w:ascii="仿宋" w:hAnsi="仿宋" w:eastAsia="仿宋" w:cs="仿宋"/>
          <w:color w:val="auto"/>
        </w:rPr>
      </w:pPr>
      <w:bookmarkStart w:id="197" w:name="_Toc12942"/>
      <w:bookmarkStart w:id="198" w:name="_Toc487204796"/>
      <w:r>
        <w:rPr>
          <w:rFonts w:hint="eastAsia" w:ascii="仿宋" w:hAnsi="仿宋" w:eastAsia="仿宋" w:cs="仿宋"/>
          <w:color w:val="auto"/>
        </w:rPr>
        <w:br w:type="page"/>
      </w:r>
    </w:p>
    <w:p w14:paraId="65CEB628">
      <w:pPr>
        <w:pStyle w:val="3"/>
        <w:spacing w:line="360" w:lineRule="auto"/>
        <w:jc w:val="center"/>
        <w:rPr>
          <w:rFonts w:hint="eastAsia" w:ascii="仿宋" w:hAnsi="仿宋" w:eastAsia="仿宋" w:cs="仿宋"/>
          <w:b w:val="0"/>
          <w:color w:val="auto"/>
        </w:rPr>
      </w:pPr>
      <w:bookmarkStart w:id="199" w:name="_Toc2252"/>
      <w:r>
        <w:rPr>
          <w:rFonts w:hint="eastAsia" w:ascii="仿宋" w:hAnsi="仿宋" w:eastAsia="仿宋" w:cs="仿宋"/>
          <w:bCs w:val="0"/>
          <w:color w:val="auto"/>
        </w:rPr>
        <w:t>第六篇  响应文件格式要求</w:t>
      </w:r>
      <w:bookmarkEnd w:id="197"/>
      <w:bookmarkEnd w:id="198"/>
      <w:bookmarkEnd w:id="199"/>
    </w:p>
    <w:p w14:paraId="76934231">
      <w:pPr>
        <w:spacing w:line="360" w:lineRule="auto"/>
        <w:rPr>
          <w:rFonts w:hint="eastAsia" w:ascii="仿宋" w:hAnsi="仿宋" w:eastAsia="仿宋" w:cs="仿宋"/>
          <w:b/>
          <w:bCs/>
          <w:color w:val="auto"/>
        </w:rPr>
      </w:pPr>
      <w:r>
        <w:rPr>
          <w:rFonts w:hint="eastAsia" w:ascii="仿宋" w:hAnsi="仿宋" w:eastAsia="仿宋" w:cs="仿宋"/>
          <w:b/>
          <w:bCs/>
          <w:color w:val="auto"/>
        </w:rPr>
        <w:t>一、经济部分</w:t>
      </w:r>
    </w:p>
    <w:p w14:paraId="4244EE51">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（一）报价函</w:t>
      </w:r>
    </w:p>
    <w:p w14:paraId="7AA6FEEB">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（二）明细报价表</w:t>
      </w:r>
    </w:p>
    <w:p w14:paraId="3151360F">
      <w:pPr>
        <w:spacing w:line="360" w:lineRule="auto"/>
        <w:rPr>
          <w:rFonts w:hint="eastAsia" w:ascii="仿宋" w:hAnsi="仿宋" w:eastAsia="仿宋" w:cs="仿宋"/>
          <w:b/>
          <w:bCs/>
          <w:color w:val="auto"/>
        </w:rPr>
      </w:pPr>
      <w:r>
        <w:rPr>
          <w:rFonts w:hint="eastAsia" w:ascii="仿宋" w:hAnsi="仿宋" w:eastAsia="仿宋" w:cs="仿宋"/>
          <w:b/>
          <w:bCs/>
          <w:color w:val="auto"/>
        </w:rPr>
        <w:t>二、技术部分</w:t>
      </w:r>
    </w:p>
    <w:p w14:paraId="11E41B9A">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（一）技术应答</w:t>
      </w:r>
    </w:p>
    <w:p w14:paraId="4050E133">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（二）技术响应偏离表</w:t>
      </w:r>
    </w:p>
    <w:p w14:paraId="5E54B9C8">
      <w:pPr>
        <w:spacing w:line="360" w:lineRule="auto"/>
        <w:rPr>
          <w:rFonts w:hint="eastAsia" w:ascii="仿宋" w:hAnsi="仿宋" w:eastAsia="仿宋" w:cs="仿宋"/>
          <w:b/>
          <w:bCs/>
          <w:color w:val="auto"/>
        </w:rPr>
      </w:pPr>
      <w:r>
        <w:rPr>
          <w:rFonts w:hint="eastAsia" w:ascii="仿宋" w:hAnsi="仿宋" w:eastAsia="仿宋" w:cs="仿宋"/>
          <w:b/>
          <w:bCs/>
          <w:color w:val="auto"/>
        </w:rPr>
        <w:t>三、商务部分</w:t>
      </w:r>
    </w:p>
    <w:p w14:paraId="47008E61">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（一）服务要求响应情况：交货时间、交货地点、质量保证期、售后服务条款等。</w:t>
      </w:r>
    </w:p>
    <w:p w14:paraId="7FD4F32F">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（一）商务响应偏离表</w:t>
      </w:r>
    </w:p>
    <w:p w14:paraId="6B986475">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（二）其它优惠承诺</w:t>
      </w:r>
    </w:p>
    <w:p w14:paraId="03A78AB4">
      <w:pPr>
        <w:spacing w:line="360" w:lineRule="auto"/>
        <w:rPr>
          <w:rFonts w:hint="eastAsia" w:ascii="仿宋" w:hAnsi="仿宋" w:eastAsia="仿宋" w:cs="仿宋"/>
          <w:b/>
          <w:bCs/>
          <w:color w:val="auto"/>
        </w:rPr>
      </w:pPr>
      <w:r>
        <w:rPr>
          <w:rFonts w:hint="eastAsia" w:ascii="仿宋" w:hAnsi="仿宋" w:eastAsia="仿宋" w:cs="仿宋"/>
          <w:b/>
          <w:bCs/>
          <w:color w:val="auto"/>
        </w:rPr>
        <w:t>四、资格条件及其他</w:t>
      </w:r>
    </w:p>
    <w:p w14:paraId="28172111">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（一）营业执照（副本）或事业单位法人证书（副本）复印件或个体工商户营业执照</w:t>
      </w:r>
    </w:p>
    <w:p w14:paraId="0A7EEC9C">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（二）法定代表人身份证明书（格式）</w:t>
      </w:r>
    </w:p>
    <w:p w14:paraId="01CA7D8B">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（三）法定代表人授权委托书（格式）</w:t>
      </w:r>
    </w:p>
    <w:p w14:paraId="7D42D384">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（四）基本资格条件承诺函（格式）</w:t>
      </w:r>
    </w:p>
    <w:p w14:paraId="6CC98FC4">
      <w:pPr>
        <w:spacing w:line="360" w:lineRule="auto"/>
        <w:rPr>
          <w:rFonts w:hint="eastAsia" w:ascii="仿宋" w:hAnsi="仿宋" w:eastAsia="仿宋" w:cs="仿宋"/>
          <w:b/>
          <w:bCs/>
          <w:color w:val="auto"/>
        </w:rPr>
      </w:pPr>
      <w:r>
        <w:rPr>
          <w:rFonts w:hint="eastAsia" w:ascii="仿宋" w:hAnsi="仿宋" w:eastAsia="仿宋" w:cs="仿宋"/>
          <w:b/>
          <w:bCs/>
          <w:color w:val="auto"/>
        </w:rPr>
        <w:t>五、其他应提供的资料</w:t>
      </w:r>
    </w:p>
    <w:p w14:paraId="620BC858">
      <w:pPr>
        <w:spacing w:line="360" w:lineRule="auto"/>
        <w:ind w:firstLine="480" w:firstLineChars="200"/>
        <w:rPr>
          <w:rFonts w:hint="eastAsia" w:ascii="仿宋" w:hAnsi="仿宋" w:eastAsia="仿宋" w:cs="仿宋"/>
          <w:color w:val="auto"/>
          <w:bdr w:val="single" w:color="auto" w:sz="4" w:space="0"/>
        </w:rPr>
        <w:sectPr>
          <w:headerReference r:id="rId12" w:type="default"/>
          <w:footerReference r:id="rId13" w:type="default"/>
          <w:type w:val="continuous"/>
          <w:pgSz w:w="11907" w:h="16840"/>
          <w:pgMar w:top="1134" w:right="1191" w:bottom="1134" w:left="1304" w:header="454" w:footer="567" w:gutter="0"/>
          <w:pgNumType w:fmt="numberInDash"/>
          <w:cols w:space="720" w:num="1"/>
          <w:docGrid w:linePitch="381" w:charSpace="0"/>
        </w:sectPr>
      </w:pPr>
      <w:r>
        <w:rPr>
          <w:rFonts w:hint="eastAsia" w:ascii="仿宋" w:hAnsi="仿宋" w:eastAsia="仿宋" w:cs="仿宋"/>
          <w:color w:val="auto"/>
        </w:rPr>
        <w:t>（一）其他与项目有关的资料（自附）</w:t>
      </w:r>
    </w:p>
    <w:p w14:paraId="7A501AF8">
      <w:pPr>
        <w:pStyle w:val="4"/>
        <w:spacing w:before="0" w:after="0" w:line="360" w:lineRule="auto"/>
        <w:rPr>
          <w:rFonts w:hint="eastAsia" w:ascii="仿宋" w:hAnsi="仿宋" w:eastAsia="仿宋" w:cs="仿宋"/>
          <w:color w:val="auto"/>
          <w:sz w:val="24"/>
          <w:szCs w:val="24"/>
        </w:rPr>
      </w:pPr>
      <w:bookmarkStart w:id="200" w:name="_Toc486585240"/>
      <w:bookmarkStart w:id="201" w:name="_Toc487204797"/>
      <w:bookmarkStart w:id="202" w:name="_Toc14854"/>
      <w:bookmarkStart w:id="203" w:name="_Toc486608277"/>
      <w:bookmarkStart w:id="204" w:name="_Toc16991"/>
      <w:r>
        <w:rPr>
          <w:rFonts w:hint="eastAsia" w:ascii="仿宋" w:hAnsi="仿宋" w:eastAsia="仿宋" w:cs="仿宋"/>
          <w:color w:val="auto"/>
          <w:sz w:val="24"/>
          <w:szCs w:val="24"/>
        </w:rPr>
        <w:t>一、经济部分</w:t>
      </w:r>
      <w:bookmarkEnd w:id="200"/>
      <w:bookmarkEnd w:id="201"/>
      <w:bookmarkEnd w:id="202"/>
      <w:bookmarkEnd w:id="203"/>
      <w:bookmarkEnd w:id="204"/>
    </w:p>
    <w:p w14:paraId="21BD9B2C">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（一）报价函</w:t>
      </w:r>
    </w:p>
    <w:p w14:paraId="263B190E">
      <w:pPr>
        <w:tabs>
          <w:tab w:val="left" w:pos="6300"/>
        </w:tabs>
        <w:snapToGrid w:val="0"/>
        <w:spacing w:line="360" w:lineRule="auto"/>
        <w:ind w:firstLine="480" w:firstLineChars="200"/>
        <w:jc w:val="center"/>
        <w:rPr>
          <w:rFonts w:hint="eastAsia" w:ascii="仿宋" w:hAnsi="仿宋" w:eastAsia="仿宋" w:cs="仿宋"/>
          <w:color w:val="auto"/>
        </w:rPr>
      </w:pPr>
      <w:r>
        <w:rPr>
          <w:rFonts w:hint="eastAsia" w:ascii="仿宋" w:hAnsi="仿宋" w:eastAsia="仿宋" w:cs="仿宋"/>
          <w:color w:val="auto"/>
        </w:rPr>
        <w:t>报价函</w:t>
      </w:r>
    </w:p>
    <w:p w14:paraId="121A7E15">
      <w:pPr>
        <w:tabs>
          <w:tab w:val="left" w:pos="6300"/>
        </w:tabs>
        <w:snapToGrid w:val="0"/>
        <w:spacing w:line="360" w:lineRule="auto"/>
        <w:rPr>
          <w:rFonts w:hint="eastAsia" w:ascii="仿宋" w:hAnsi="仿宋" w:eastAsia="仿宋" w:cs="仿宋"/>
          <w:color w:val="auto"/>
        </w:rPr>
      </w:pPr>
      <w:r>
        <w:rPr>
          <w:rFonts w:hint="eastAsia" w:ascii="仿宋" w:hAnsi="仿宋" w:eastAsia="仿宋" w:cs="仿宋"/>
          <w:color w:val="auto"/>
          <w:u w:val="single"/>
        </w:rPr>
        <w:t>（采购代理机构名称）</w:t>
      </w:r>
      <w:r>
        <w:rPr>
          <w:rFonts w:hint="eastAsia" w:ascii="仿宋" w:hAnsi="仿宋" w:eastAsia="仿宋" w:cs="仿宋"/>
          <w:color w:val="auto"/>
        </w:rPr>
        <w:t>：</w:t>
      </w:r>
    </w:p>
    <w:p w14:paraId="662A9904">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我方收到____________________________（比选项目名称）的比选通知书，经详细研究，决定参加该项目的比选。</w:t>
      </w:r>
    </w:p>
    <w:p w14:paraId="63DB6E3E">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1.愿意按照比选通知书中的一切要求，提供本项目的交货及技术服务，报价为人民币大写：</w:t>
      </w:r>
      <w:r>
        <w:rPr>
          <w:rFonts w:hint="eastAsia" w:ascii="仿宋" w:hAnsi="仿宋" w:eastAsia="仿宋" w:cs="仿宋"/>
          <w:color w:val="auto"/>
          <w:u w:val="single"/>
        </w:rPr>
        <w:t xml:space="preserve">       </w:t>
      </w:r>
      <w:r>
        <w:rPr>
          <w:rFonts w:hint="eastAsia" w:ascii="仿宋" w:hAnsi="仿宋" w:eastAsia="仿宋" w:cs="仿宋"/>
          <w:color w:val="auto"/>
        </w:rPr>
        <w:t>；人民币小写：</w:t>
      </w:r>
      <w:r>
        <w:rPr>
          <w:rFonts w:hint="eastAsia" w:ascii="仿宋" w:hAnsi="仿宋" w:eastAsia="仿宋" w:cs="仿宋"/>
          <w:color w:val="auto"/>
          <w:u w:val="single"/>
        </w:rPr>
        <w:t xml:space="preserve">       </w:t>
      </w:r>
      <w:r>
        <w:rPr>
          <w:rFonts w:hint="eastAsia" w:ascii="仿宋" w:hAnsi="仿宋" w:eastAsia="仿宋" w:cs="仿宋"/>
          <w:color w:val="auto"/>
        </w:rPr>
        <w:t>元。</w:t>
      </w:r>
    </w:p>
    <w:p w14:paraId="2146F119">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2.我方现提交的响应文件为：响应文件正本</w:t>
      </w:r>
      <w:r>
        <w:rPr>
          <w:rFonts w:hint="eastAsia" w:ascii="仿宋" w:hAnsi="仿宋" w:eastAsia="仿宋" w:cs="仿宋"/>
          <w:color w:val="auto"/>
          <w:u w:val="single"/>
        </w:rPr>
        <w:t xml:space="preserve">   </w:t>
      </w:r>
      <w:r>
        <w:rPr>
          <w:rFonts w:hint="eastAsia" w:ascii="仿宋" w:hAnsi="仿宋" w:eastAsia="仿宋" w:cs="仿宋"/>
          <w:color w:val="auto"/>
        </w:rPr>
        <w:t>份，副本</w:t>
      </w:r>
      <w:r>
        <w:rPr>
          <w:rFonts w:hint="eastAsia" w:ascii="仿宋" w:hAnsi="仿宋" w:eastAsia="仿宋" w:cs="仿宋"/>
          <w:color w:val="auto"/>
          <w:u w:val="single"/>
        </w:rPr>
        <w:t xml:space="preserve">   </w:t>
      </w:r>
      <w:r>
        <w:rPr>
          <w:rFonts w:hint="eastAsia" w:ascii="仿宋" w:hAnsi="仿宋" w:eastAsia="仿宋" w:cs="仿宋"/>
          <w:color w:val="auto"/>
        </w:rPr>
        <w:t>份。</w:t>
      </w:r>
    </w:p>
    <w:p w14:paraId="5BB0C528">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3.我方承诺：本次比选的有效期为90天。</w:t>
      </w:r>
    </w:p>
    <w:p w14:paraId="5C057E64">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4.我方完全理解和接受贵方比选通知书的一切规定和要求及比选评审办法。</w:t>
      </w:r>
    </w:p>
    <w:p w14:paraId="72EFDAD7">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5.在整个比选过程中，我方若有违规行为，接受按照《中华人民共和国政府采购法》和《比选通知书》之规定给予惩罚。</w:t>
      </w:r>
    </w:p>
    <w:p w14:paraId="148853EE">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6.我方若成为成交供应商，将按照最终比选结果签订合同，并且严格履行合同义务。本承诺函将成为合同不可分割的一部分，与合同具有同等的法律效力。</w:t>
      </w:r>
    </w:p>
    <w:p w14:paraId="7C3C5C0A">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7.我方同意按比选通知书规定，交纳比选通知书要求的保证金。如果我方成为成交供应商，保证在接到成交通知书后，向采购代理机构交纳比选通知书规定的采购代理服务费。</w:t>
      </w:r>
    </w:p>
    <w:p w14:paraId="278F73DB">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8.我方未为采购项目提供整体设计、规范编制或者项目管理、监理、检测等服务。</w:t>
      </w:r>
    </w:p>
    <w:p w14:paraId="08AC49AA">
      <w:pPr>
        <w:tabs>
          <w:tab w:val="left" w:pos="6300"/>
        </w:tabs>
        <w:snapToGrid w:val="0"/>
        <w:spacing w:line="360" w:lineRule="auto"/>
        <w:ind w:firstLine="570"/>
        <w:rPr>
          <w:rFonts w:hint="eastAsia" w:ascii="仿宋" w:hAnsi="仿宋" w:eastAsia="仿宋" w:cs="仿宋"/>
          <w:color w:val="auto"/>
        </w:rPr>
      </w:pPr>
    </w:p>
    <w:p w14:paraId="5FF9BF1B">
      <w:pPr>
        <w:tabs>
          <w:tab w:val="left" w:pos="6300"/>
        </w:tabs>
        <w:snapToGrid w:val="0"/>
        <w:spacing w:line="360" w:lineRule="auto"/>
        <w:rPr>
          <w:rFonts w:hint="eastAsia" w:ascii="仿宋" w:hAnsi="仿宋" w:eastAsia="仿宋" w:cs="仿宋"/>
          <w:color w:val="auto"/>
        </w:rPr>
      </w:pPr>
    </w:p>
    <w:p w14:paraId="1E7E7B2A">
      <w:pPr>
        <w:tabs>
          <w:tab w:val="left" w:pos="6300"/>
        </w:tabs>
        <w:snapToGrid w:val="0"/>
        <w:spacing w:line="360" w:lineRule="auto"/>
        <w:ind w:firstLine="570"/>
        <w:rPr>
          <w:rFonts w:hint="eastAsia" w:ascii="仿宋" w:hAnsi="仿宋" w:eastAsia="仿宋" w:cs="仿宋"/>
          <w:color w:val="auto"/>
        </w:rPr>
      </w:pPr>
    </w:p>
    <w:p w14:paraId="2936403A">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供应商（公章）：</w:t>
      </w:r>
    </w:p>
    <w:p w14:paraId="1028FA4C">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地址：</w:t>
      </w:r>
    </w:p>
    <w:p w14:paraId="68724270">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电话：                   传真：</w:t>
      </w:r>
    </w:p>
    <w:p w14:paraId="2D5D896B">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网址：                   邮编：</w:t>
      </w:r>
    </w:p>
    <w:p w14:paraId="7F0AA2DF">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联系人：</w:t>
      </w:r>
    </w:p>
    <w:p w14:paraId="3E65DF23">
      <w:pPr>
        <w:snapToGrid w:val="0"/>
        <w:spacing w:line="360" w:lineRule="auto"/>
        <w:ind w:right="480" w:firstLine="48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19DFFF0A">
      <w:pPr>
        <w:spacing w:line="380" w:lineRule="exact"/>
        <w:rPr>
          <w:rFonts w:hint="eastAsia" w:ascii="仿宋" w:hAnsi="仿宋" w:eastAsia="仿宋" w:cs="仿宋"/>
          <w:color w:val="auto"/>
        </w:rPr>
        <w:sectPr>
          <w:pgSz w:w="11907" w:h="16840"/>
          <w:pgMar w:top="1134" w:right="1191" w:bottom="1134" w:left="1304" w:header="454" w:footer="567" w:gutter="0"/>
          <w:pgNumType w:fmt="numberInDash"/>
          <w:cols w:space="720" w:num="1"/>
          <w:docGrid w:linePitch="326" w:charSpace="0"/>
        </w:sectPr>
      </w:pPr>
    </w:p>
    <w:p w14:paraId="77E68446">
      <w:pPr>
        <w:tabs>
          <w:tab w:val="left" w:pos="2895"/>
        </w:tabs>
        <w:spacing w:line="380" w:lineRule="exact"/>
        <w:ind w:firstLine="480" w:firstLineChars="200"/>
        <w:rPr>
          <w:rFonts w:hint="eastAsia" w:ascii="仿宋" w:hAnsi="仿宋" w:eastAsia="仿宋" w:cs="仿宋"/>
          <w:color w:val="auto"/>
        </w:rPr>
      </w:pPr>
      <w:r>
        <w:rPr>
          <w:rFonts w:hint="eastAsia" w:ascii="仿宋" w:hAnsi="仿宋" w:eastAsia="仿宋" w:cs="仿宋"/>
          <w:color w:val="auto"/>
        </w:rPr>
        <w:t>（二）明细报价表</w:t>
      </w:r>
    </w:p>
    <w:p w14:paraId="5AE04823">
      <w:pPr>
        <w:spacing w:line="360" w:lineRule="auto"/>
        <w:jc w:val="center"/>
        <w:rPr>
          <w:rFonts w:hint="eastAsia" w:ascii="仿宋" w:hAnsi="仿宋" w:eastAsia="仿宋" w:cs="仿宋"/>
          <w:b/>
          <w:color w:val="auto"/>
        </w:rPr>
      </w:pPr>
      <w:r>
        <w:rPr>
          <w:rFonts w:hint="eastAsia" w:ascii="仿宋" w:hAnsi="仿宋" w:eastAsia="仿宋" w:cs="仿宋"/>
          <w:b/>
          <w:color w:val="auto"/>
        </w:rPr>
        <w:t>明细报价表</w:t>
      </w:r>
    </w:p>
    <w:p w14:paraId="57962AF6">
      <w:pPr>
        <w:tabs>
          <w:tab w:val="left" w:pos="6300"/>
        </w:tabs>
        <w:snapToGrid w:val="0"/>
        <w:spacing w:line="360" w:lineRule="auto"/>
        <w:ind w:firstLine="480" w:firstLineChars="200"/>
        <w:rPr>
          <w:rFonts w:hint="eastAsia" w:ascii="仿宋" w:hAnsi="仿宋" w:eastAsia="仿宋"/>
          <w:color w:val="auto"/>
        </w:rPr>
      </w:pPr>
    </w:p>
    <w:p w14:paraId="07B282F0">
      <w:pPr>
        <w:tabs>
          <w:tab w:val="left" w:pos="6300"/>
        </w:tabs>
        <w:snapToGrid w:val="0"/>
        <w:spacing w:line="360" w:lineRule="auto"/>
        <w:ind w:firstLine="480" w:firstLineChars="200"/>
        <w:rPr>
          <w:rFonts w:hint="eastAsia" w:ascii="仿宋" w:hAnsi="仿宋" w:eastAsia="仿宋"/>
          <w:color w:val="auto"/>
        </w:rPr>
      </w:pPr>
    </w:p>
    <w:p w14:paraId="39C818C5">
      <w:pPr>
        <w:tabs>
          <w:tab w:val="left" w:pos="6300"/>
        </w:tabs>
        <w:snapToGrid w:val="0"/>
        <w:spacing w:line="360" w:lineRule="auto"/>
        <w:ind w:firstLine="480" w:firstLineChars="200"/>
        <w:rPr>
          <w:rFonts w:hint="eastAsia" w:ascii="仿宋" w:hAnsi="仿宋" w:eastAsia="仿宋"/>
          <w:color w:val="auto"/>
        </w:rPr>
      </w:pPr>
      <w:r>
        <w:rPr>
          <w:rFonts w:hint="eastAsia" w:ascii="仿宋" w:hAnsi="仿宋" w:eastAsia="仿宋"/>
          <w:color w:val="auto"/>
        </w:rPr>
        <w:t>注：供应商应根据已发布的工程量清单进行报价；</w:t>
      </w:r>
    </w:p>
    <w:p w14:paraId="693ECA01">
      <w:pPr>
        <w:snapToGrid w:val="0"/>
        <w:spacing w:line="380" w:lineRule="exact"/>
        <w:rPr>
          <w:rFonts w:hint="eastAsia" w:ascii="仿宋" w:hAnsi="仿宋" w:eastAsia="仿宋" w:cs="仿宋"/>
          <w:color w:val="auto"/>
        </w:rPr>
      </w:pPr>
    </w:p>
    <w:p w14:paraId="50B85585">
      <w:pPr>
        <w:pStyle w:val="17"/>
        <w:spacing w:line="380" w:lineRule="exact"/>
        <w:rPr>
          <w:rFonts w:hint="eastAsia" w:ascii="仿宋" w:hAnsi="仿宋" w:eastAsia="仿宋" w:cs="仿宋"/>
          <w:color w:val="auto"/>
        </w:rPr>
      </w:pPr>
    </w:p>
    <w:p w14:paraId="44758FCB">
      <w:pPr>
        <w:spacing w:line="380" w:lineRule="exact"/>
        <w:rPr>
          <w:rFonts w:hint="eastAsia" w:ascii="仿宋" w:hAnsi="仿宋" w:eastAsia="仿宋" w:cs="仿宋"/>
          <w:color w:val="auto"/>
        </w:rPr>
      </w:pPr>
      <w:r>
        <w:rPr>
          <w:rFonts w:hint="eastAsia" w:ascii="仿宋" w:hAnsi="仿宋" w:eastAsia="仿宋" w:cs="仿宋"/>
          <w:color w:val="auto"/>
        </w:rPr>
        <w:t xml:space="preserve">                                                    供应商名称（公章）：</w:t>
      </w:r>
    </w:p>
    <w:p w14:paraId="169CB71E">
      <w:pPr>
        <w:spacing w:line="380" w:lineRule="exact"/>
        <w:ind w:right="480" w:firstLine="6480" w:firstLineChars="2700"/>
        <w:rPr>
          <w:rFonts w:hint="eastAsia" w:ascii="仿宋" w:hAnsi="仿宋" w:eastAsia="仿宋" w:cs="仿宋"/>
          <w:color w:val="auto"/>
        </w:rPr>
      </w:pPr>
      <w:r>
        <w:rPr>
          <w:rFonts w:hint="eastAsia" w:ascii="仿宋" w:hAnsi="仿宋" w:eastAsia="仿宋" w:cs="仿宋"/>
          <w:color w:val="auto"/>
        </w:rPr>
        <w:t>年    月    日</w:t>
      </w:r>
    </w:p>
    <w:p w14:paraId="7F11A6A8">
      <w:pPr>
        <w:spacing w:line="380" w:lineRule="exact"/>
        <w:rPr>
          <w:rFonts w:hint="eastAsia" w:ascii="仿宋" w:hAnsi="仿宋" w:eastAsia="仿宋" w:cs="仿宋"/>
          <w:color w:val="auto"/>
          <w:bdr w:val="single" w:color="auto" w:sz="4" w:space="0"/>
        </w:rPr>
        <w:sectPr>
          <w:pgSz w:w="11907" w:h="16840"/>
          <w:pgMar w:top="1134" w:right="1191" w:bottom="1134" w:left="1304" w:header="454" w:footer="992" w:gutter="0"/>
          <w:pgNumType w:fmt="numberInDash"/>
          <w:cols w:space="720" w:num="1"/>
          <w:docGrid w:linePitch="326" w:charSpace="0"/>
        </w:sectPr>
      </w:pPr>
    </w:p>
    <w:p w14:paraId="4264EA8B">
      <w:pPr>
        <w:pStyle w:val="4"/>
        <w:spacing w:before="0" w:after="0" w:line="360" w:lineRule="auto"/>
        <w:rPr>
          <w:rFonts w:hint="eastAsia" w:ascii="仿宋" w:hAnsi="仿宋" w:eastAsia="仿宋" w:cs="仿宋"/>
          <w:color w:val="auto"/>
          <w:sz w:val="24"/>
          <w:szCs w:val="24"/>
        </w:rPr>
      </w:pPr>
      <w:bookmarkStart w:id="205" w:name="_Toc487204798"/>
      <w:bookmarkStart w:id="206" w:name="_Toc3192"/>
      <w:bookmarkStart w:id="207" w:name="_Toc486585241"/>
      <w:bookmarkStart w:id="208" w:name="_Toc486608278"/>
      <w:bookmarkStart w:id="209" w:name="_Toc20100"/>
      <w:r>
        <w:rPr>
          <w:rFonts w:hint="eastAsia" w:ascii="仿宋" w:hAnsi="仿宋" w:eastAsia="仿宋" w:cs="仿宋"/>
          <w:color w:val="auto"/>
          <w:sz w:val="24"/>
          <w:szCs w:val="24"/>
        </w:rPr>
        <w:t>二、技术部分</w:t>
      </w:r>
      <w:bookmarkEnd w:id="205"/>
      <w:bookmarkEnd w:id="206"/>
      <w:bookmarkEnd w:id="207"/>
      <w:bookmarkEnd w:id="208"/>
      <w:bookmarkEnd w:id="209"/>
    </w:p>
    <w:p w14:paraId="17A08BB1">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（一）技术应答（格式自拟）</w:t>
      </w:r>
    </w:p>
    <w:p w14:paraId="5ED5E319">
      <w:pPr>
        <w:snapToGrid w:val="0"/>
        <w:spacing w:line="360" w:lineRule="auto"/>
        <w:jc w:val="center"/>
        <w:rPr>
          <w:rFonts w:hint="eastAsia" w:ascii="仿宋" w:hAnsi="仿宋" w:eastAsia="仿宋" w:cs="仿宋"/>
          <w:color w:val="auto"/>
        </w:rPr>
      </w:pPr>
    </w:p>
    <w:p w14:paraId="0018CCF6">
      <w:pPr>
        <w:snapToGrid w:val="0"/>
        <w:spacing w:line="360" w:lineRule="auto"/>
        <w:jc w:val="center"/>
        <w:rPr>
          <w:rFonts w:hint="eastAsia" w:ascii="仿宋" w:hAnsi="仿宋" w:eastAsia="仿宋" w:cs="仿宋"/>
          <w:color w:val="auto"/>
        </w:rPr>
      </w:pPr>
    </w:p>
    <w:p w14:paraId="1E282FF7">
      <w:pPr>
        <w:snapToGrid w:val="0"/>
        <w:spacing w:line="360" w:lineRule="auto"/>
        <w:jc w:val="center"/>
        <w:rPr>
          <w:rFonts w:hint="eastAsia" w:ascii="仿宋" w:hAnsi="仿宋" w:eastAsia="仿宋" w:cs="仿宋"/>
          <w:color w:val="auto"/>
        </w:rPr>
      </w:pPr>
    </w:p>
    <w:p w14:paraId="1A77EFE7">
      <w:pPr>
        <w:snapToGrid w:val="0"/>
        <w:spacing w:line="360" w:lineRule="auto"/>
        <w:jc w:val="center"/>
        <w:rPr>
          <w:rFonts w:hint="eastAsia" w:ascii="仿宋" w:hAnsi="仿宋" w:eastAsia="仿宋" w:cs="仿宋"/>
          <w:color w:val="auto"/>
        </w:rPr>
      </w:pPr>
    </w:p>
    <w:p w14:paraId="29F0BF95">
      <w:pPr>
        <w:snapToGrid w:val="0"/>
        <w:spacing w:line="360" w:lineRule="auto"/>
        <w:jc w:val="center"/>
        <w:rPr>
          <w:rFonts w:hint="eastAsia" w:ascii="仿宋" w:hAnsi="仿宋" w:eastAsia="仿宋" w:cs="仿宋"/>
          <w:color w:val="auto"/>
        </w:rPr>
      </w:pPr>
    </w:p>
    <w:p w14:paraId="36CD3A62">
      <w:pPr>
        <w:snapToGrid w:val="0"/>
        <w:spacing w:line="360" w:lineRule="auto"/>
        <w:jc w:val="center"/>
        <w:rPr>
          <w:rFonts w:hint="eastAsia" w:ascii="仿宋" w:hAnsi="仿宋" w:eastAsia="仿宋" w:cs="仿宋"/>
          <w:color w:val="auto"/>
        </w:rPr>
      </w:pPr>
    </w:p>
    <w:p w14:paraId="6589BEBF">
      <w:pPr>
        <w:snapToGrid w:val="0"/>
        <w:spacing w:line="360" w:lineRule="auto"/>
        <w:jc w:val="center"/>
        <w:rPr>
          <w:rFonts w:hint="eastAsia" w:ascii="仿宋" w:hAnsi="仿宋" w:eastAsia="仿宋" w:cs="仿宋"/>
          <w:color w:val="auto"/>
        </w:rPr>
      </w:pPr>
    </w:p>
    <w:p w14:paraId="749B0F1D">
      <w:pPr>
        <w:snapToGrid w:val="0"/>
        <w:spacing w:line="360" w:lineRule="auto"/>
        <w:jc w:val="center"/>
        <w:rPr>
          <w:rFonts w:hint="eastAsia" w:ascii="仿宋" w:hAnsi="仿宋" w:eastAsia="仿宋" w:cs="仿宋"/>
          <w:color w:val="auto"/>
        </w:rPr>
      </w:pPr>
    </w:p>
    <w:p w14:paraId="51E431B1">
      <w:pPr>
        <w:snapToGrid w:val="0"/>
        <w:spacing w:line="360" w:lineRule="auto"/>
        <w:jc w:val="center"/>
        <w:rPr>
          <w:rFonts w:hint="eastAsia" w:ascii="仿宋" w:hAnsi="仿宋" w:eastAsia="仿宋" w:cs="仿宋"/>
          <w:color w:val="auto"/>
        </w:rPr>
      </w:pPr>
    </w:p>
    <w:p w14:paraId="07AB2B31">
      <w:pPr>
        <w:snapToGrid w:val="0"/>
        <w:spacing w:line="360" w:lineRule="auto"/>
        <w:jc w:val="center"/>
        <w:rPr>
          <w:rFonts w:hint="eastAsia" w:ascii="仿宋" w:hAnsi="仿宋" w:eastAsia="仿宋" w:cs="仿宋"/>
          <w:color w:val="auto"/>
        </w:rPr>
      </w:pPr>
    </w:p>
    <w:p w14:paraId="2E3C5F3C">
      <w:pPr>
        <w:snapToGrid w:val="0"/>
        <w:spacing w:line="360" w:lineRule="auto"/>
        <w:jc w:val="center"/>
        <w:rPr>
          <w:rFonts w:hint="eastAsia" w:ascii="仿宋" w:hAnsi="仿宋" w:eastAsia="仿宋" w:cs="仿宋"/>
          <w:color w:val="auto"/>
        </w:rPr>
      </w:pPr>
    </w:p>
    <w:p w14:paraId="5E28558C">
      <w:pPr>
        <w:snapToGrid w:val="0"/>
        <w:spacing w:line="360" w:lineRule="auto"/>
        <w:jc w:val="center"/>
        <w:rPr>
          <w:rFonts w:hint="eastAsia" w:ascii="仿宋" w:hAnsi="仿宋" w:eastAsia="仿宋" w:cs="仿宋"/>
          <w:color w:val="auto"/>
        </w:rPr>
      </w:pPr>
    </w:p>
    <w:p w14:paraId="52F5C2D9">
      <w:pPr>
        <w:snapToGrid w:val="0"/>
        <w:spacing w:line="360" w:lineRule="auto"/>
        <w:jc w:val="center"/>
        <w:rPr>
          <w:rFonts w:hint="eastAsia" w:ascii="仿宋" w:hAnsi="仿宋" w:eastAsia="仿宋" w:cs="仿宋"/>
          <w:color w:val="auto"/>
        </w:rPr>
      </w:pPr>
    </w:p>
    <w:p w14:paraId="208E2684">
      <w:pPr>
        <w:snapToGrid w:val="0"/>
        <w:spacing w:line="360" w:lineRule="auto"/>
        <w:jc w:val="center"/>
        <w:rPr>
          <w:rFonts w:hint="eastAsia" w:ascii="仿宋" w:hAnsi="仿宋" w:eastAsia="仿宋" w:cs="仿宋"/>
          <w:color w:val="auto"/>
        </w:rPr>
      </w:pPr>
    </w:p>
    <w:p w14:paraId="22FF1388">
      <w:pPr>
        <w:snapToGrid w:val="0"/>
        <w:spacing w:line="360" w:lineRule="auto"/>
        <w:jc w:val="center"/>
        <w:rPr>
          <w:rFonts w:hint="eastAsia" w:ascii="仿宋" w:hAnsi="仿宋" w:eastAsia="仿宋" w:cs="仿宋"/>
          <w:color w:val="auto"/>
        </w:rPr>
      </w:pPr>
    </w:p>
    <w:p w14:paraId="6FACE46A">
      <w:pPr>
        <w:snapToGrid w:val="0"/>
        <w:spacing w:line="360" w:lineRule="auto"/>
        <w:jc w:val="center"/>
        <w:rPr>
          <w:rFonts w:hint="eastAsia" w:ascii="仿宋" w:hAnsi="仿宋" w:eastAsia="仿宋" w:cs="仿宋"/>
          <w:color w:val="auto"/>
        </w:rPr>
      </w:pPr>
    </w:p>
    <w:p w14:paraId="3D2FC8AD">
      <w:pPr>
        <w:snapToGrid w:val="0"/>
        <w:spacing w:line="360" w:lineRule="auto"/>
        <w:jc w:val="center"/>
        <w:rPr>
          <w:rFonts w:hint="eastAsia" w:ascii="仿宋" w:hAnsi="仿宋" w:eastAsia="仿宋" w:cs="仿宋"/>
          <w:color w:val="auto"/>
        </w:rPr>
      </w:pPr>
    </w:p>
    <w:p w14:paraId="795967BA">
      <w:pPr>
        <w:snapToGrid w:val="0"/>
        <w:spacing w:line="360" w:lineRule="auto"/>
        <w:jc w:val="center"/>
        <w:rPr>
          <w:rFonts w:hint="eastAsia" w:ascii="仿宋" w:hAnsi="仿宋" w:eastAsia="仿宋" w:cs="仿宋"/>
          <w:color w:val="auto"/>
        </w:rPr>
      </w:pPr>
    </w:p>
    <w:p w14:paraId="7603DD82">
      <w:pPr>
        <w:pStyle w:val="6"/>
        <w:rPr>
          <w:rFonts w:hint="eastAsia" w:ascii="仿宋" w:hAnsi="仿宋" w:eastAsia="仿宋" w:cs="仿宋"/>
          <w:color w:val="auto"/>
        </w:rPr>
      </w:pPr>
    </w:p>
    <w:p w14:paraId="40A1E822">
      <w:pPr>
        <w:pStyle w:val="52"/>
        <w:rPr>
          <w:rFonts w:hint="eastAsia" w:ascii="仿宋" w:hAnsi="仿宋" w:eastAsia="仿宋" w:cs="仿宋"/>
          <w:color w:val="auto"/>
        </w:rPr>
      </w:pPr>
    </w:p>
    <w:p w14:paraId="274A878C">
      <w:pPr>
        <w:rPr>
          <w:rFonts w:hint="eastAsia" w:ascii="仿宋" w:hAnsi="仿宋" w:eastAsia="仿宋" w:cs="仿宋"/>
          <w:color w:val="auto"/>
        </w:rPr>
      </w:pPr>
    </w:p>
    <w:p w14:paraId="7661530C">
      <w:pPr>
        <w:pStyle w:val="6"/>
        <w:rPr>
          <w:rFonts w:hint="eastAsia" w:ascii="仿宋" w:hAnsi="仿宋" w:eastAsia="仿宋" w:cs="仿宋"/>
          <w:color w:val="auto"/>
        </w:rPr>
      </w:pPr>
    </w:p>
    <w:p w14:paraId="11360762">
      <w:pPr>
        <w:pStyle w:val="52"/>
        <w:rPr>
          <w:rFonts w:hint="eastAsia" w:ascii="仿宋" w:hAnsi="仿宋" w:eastAsia="仿宋" w:cs="仿宋"/>
          <w:color w:val="auto"/>
        </w:rPr>
      </w:pPr>
    </w:p>
    <w:p w14:paraId="0DDE23A7">
      <w:pPr>
        <w:rPr>
          <w:rFonts w:hint="eastAsia" w:ascii="仿宋" w:hAnsi="仿宋" w:eastAsia="仿宋" w:cs="仿宋"/>
          <w:color w:val="auto"/>
        </w:rPr>
      </w:pPr>
    </w:p>
    <w:p w14:paraId="147100EC">
      <w:pPr>
        <w:snapToGrid w:val="0"/>
        <w:spacing w:line="360" w:lineRule="auto"/>
        <w:jc w:val="center"/>
        <w:rPr>
          <w:rFonts w:hint="eastAsia" w:ascii="仿宋" w:hAnsi="仿宋" w:eastAsia="仿宋" w:cs="仿宋"/>
          <w:color w:val="auto"/>
        </w:rPr>
      </w:pPr>
    </w:p>
    <w:p w14:paraId="45515DBA">
      <w:pPr>
        <w:snapToGrid w:val="0"/>
        <w:spacing w:line="360" w:lineRule="auto"/>
        <w:jc w:val="center"/>
        <w:rPr>
          <w:rFonts w:hint="eastAsia" w:ascii="仿宋" w:hAnsi="仿宋" w:eastAsia="仿宋" w:cs="仿宋"/>
          <w:color w:val="auto"/>
        </w:rPr>
      </w:pPr>
    </w:p>
    <w:p w14:paraId="4161472A">
      <w:pPr>
        <w:snapToGrid w:val="0"/>
        <w:spacing w:line="360" w:lineRule="auto"/>
        <w:jc w:val="center"/>
        <w:rPr>
          <w:rFonts w:hint="eastAsia" w:ascii="仿宋" w:hAnsi="仿宋" w:eastAsia="仿宋" w:cs="仿宋"/>
          <w:color w:val="auto"/>
        </w:rPr>
      </w:pPr>
    </w:p>
    <w:p w14:paraId="1C5EB498">
      <w:pPr>
        <w:snapToGrid w:val="0"/>
        <w:spacing w:line="360" w:lineRule="auto"/>
        <w:jc w:val="center"/>
        <w:rPr>
          <w:rFonts w:hint="eastAsia" w:ascii="仿宋" w:hAnsi="仿宋" w:eastAsia="仿宋" w:cs="仿宋"/>
          <w:color w:val="auto"/>
        </w:rPr>
      </w:pPr>
    </w:p>
    <w:p w14:paraId="63893D3F">
      <w:pPr>
        <w:snapToGrid w:val="0"/>
        <w:spacing w:line="360" w:lineRule="auto"/>
        <w:jc w:val="center"/>
        <w:rPr>
          <w:rFonts w:hint="eastAsia" w:ascii="仿宋" w:hAnsi="仿宋" w:eastAsia="仿宋" w:cs="仿宋"/>
          <w:color w:val="auto"/>
        </w:rPr>
      </w:pPr>
    </w:p>
    <w:p w14:paraId="5C6270DD">
      <w:pPr>
        <w:snapToGrid w:val="0"/>
        <w:spacing w:line="360" w:lineRule="auto"/>
        <w:rPr>
          <w:rFonts w:hint="eastAsia" w:ascii="仿宋" w:hAnsi="仿宋" w:eastAsia="仿宋" w:cs="仿宋"/>
          <w:color w:val="auto"/>
        </w:rPr>
      </w:pPr>
      <w:r>
        <w:rPr>
          <w:rFonts w:hint="eastAsia" w:ascii="仿宋" w:hAnsi="仿宋" w:eastAsia="仿宋" w:cs="仿宋"/>
          <w:color w:val="auto"/>
        </w:rPr>
        <w:t>（二）技术响应偏离表</w:t>
      </w:r>
    </w:p>
    <w:p w14:paraId="4AF1A8AC">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项目名称：</w:t>
      </w:r>
    </w:p>
    <w:tbl>
      <w:tblPr>
        <w:tblStyle w:val="26"/>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3FF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2EC0F6CE">
            <w:pPr>
              <w:tabs>
                <w:tab w:val="left" w:pos="6300"/>
              </w:tabs>
              <w:snapToGrid w:val="0"/>
              <w:spacing w:line="500" w:lineRule="exact"/>
              <w:rPr>
                <w:rFonts w:hint="eastAsia" w:ascii="仿宋" w:hAnsi="仿宋" w:eastAsia="仿宋" w:cs="仿宋"/>
                <w:color w:val="auto"/>
              </w:rPr>
            </w:pPr>
            <w:r>
              <w:rPr>
                <w:rFonts w:hint="eastAsia" w:ascii="仿宋" w:hAnsi="仿宋" w:eastAsia="仿宋" w:cs="仿宋"/>
                <w:color w:val="auto"/>
              </w:rPr>
              <w:t>序号</w:t>
            </w:r>
          </w:p>
        </w:tc>
        <w:tc>
          <w:tcPr>
            <w:tcW w:w="2658" w:type="dxa"/>
            <w:vAlign w:val="center"/>
          </w:tcPr>
          <w:p w14:paraId="7AD4C302">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采购需求</w:t>
            </w:r>
          </w:p>
        </w:tc>
        <w:tc>
          <w:tcPr>
            <w:tcW w:w="2759" w:type="dxa"/>
            <w:vAlign w:val="center"/>
          </w:tcPr>
          <w:p w14:paraId="53211540">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响应情况</w:t>
            </w:r>
          </w:p>
        </w:tc>
        <w:tc>
          <w:tcPr>
            <w:tcW w:w="2067" w:type="dxa"/>
            <w:vAlign w:val="center"/>
          </w:tcPr>
          <w:p w14:paraId="102F158E">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差异说明</w:t>
            </w:r>
          </w:p>
        </w:tc>
      </w:tr>
      <w:tr w14:paraId="14EF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D896D68">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4091BEAA">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10309CB3">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320036EF">
            <w:pPr>
              <w:tabs>
                <w:tab w:val="left" w:pos="6300"/>
              </w:tabs>
              <w:snapToGrid w:val="0"/>
              <w:spacing w:line="500" w:lineRule="exact"/>
              <w:jc w:val="center"/>
              <w:outlineLvl w:val="0"/>
              <w:rPr>
                <w:rFonts w:hint="eastAsia" w:ascii="仿宋" w:hAnsi="仿宋" w:eastAsia="仿宋" w:cs="仿宋"/>
                <w:color w:val="auto"/>
                <w:sz w:val="21"/>
                <w:szCs w:val="21"/>
              </w:rPr>
            </w:pPr>
          </w:p>
        </w:tc>
      </w:tr>
      <w:tr w14:paraId="472F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B4C5B39">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178660F0">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5F19BB39">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68C18BD9">
            <w:pPr>
              <w:tabs>
                <w:tab w:val="left" w:pos="6300"/>
              </w:tabs>
              <w:snapToGrid w:val="0"/>
              <w:spacing w:line="500" w:lineRule="exact"/>
              <w:jc w:val="center"/>
              <w:outlineLvl w:val="0"/>
              <w:rPr>
                <w:rFonts w:hint="eastAsia" w:ascii="仿宋" w:hAnsi="仿宋" w:eastAsia="仿宋" w:cs="仿宋"/>
                <w:color w:val="auto"/>
                <w:sz w:val="21"/>
                <w:szCs w:val="21"/>
              </w:rPr>
            </w:pPr>
          </w:p>
        </w:tc>
      </w:tr>
      <w:tr w14:paraId="0F44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00F20C8">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0F0D511F">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1D56C2CF">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7F652B6C">
            <w:pPr>
              <w:tabs>
                <w:tab w:val="left" w:pos="6300"/>
              </w:tabs>
              <w:snapToGrid w:val="0"/>
              <w:spacing w:line="500" w:lineRule="exact"/>
              <w:jc w:val="center"/>
              <w:outlineLvl w:val="0"/>
              <w:rPr>
                <w:rFonts w:hint="eastAsia" w:ascii="仿宋" w:hAnsi="仿宋" w:eastAsia="仿宋" w:cs="仿宋"/>
                <w:color w:val="auto"/>
                <w:sz w:val="21"/>
                <w:szCs w:val="21"/>
              </w:rPr>
            </w:pPr>
          </w:p>
        </w:tc>
      </w:tr>
      <w:tr w14:paraId="55B5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B349B37">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757F5A3F">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170FD0EF">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54C7FB9B">
            <w:pPr>
              <w:tabs>
                <w:tab w:val="left" w:pos="6300"/>
              </w:tabs>
              <w:snapToGrid w:val="0"/>
              <w:spacing w:line="500" w:lineRule="exact"/>
              <w:jc w:val="center"/>
              <w:outlineLvl w:val="0"/>
              <w:rPr>
                <w:rFonts w:hint="eastAsia" w:ascii="仿宋" w:hAnsi="仿宋" w:eastAsia="仿宋" w:cs="仿宋"/>
                <w:color w:val="auto"/>
                <w:sz w:val="21"/>
                <w:szCs w:val="21"/>
              </w:rPr>
            </w:pPr>
          </w:p>
        </w:tc>
      </w:tr>
      <w:tr w14:paraId="583D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0DEF81D">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6A236E7E">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02408647">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4E0DB4DA">
            <w:pPr>
              <w:tabs>
                <w:tab w:val="left" w:pos="6300"/>
              </w:tabs>
              <w:snapToGrid w:val="0"/>
              <w:spacing w:line="500" w:lineRule="exact"/>
              <w:jc w:val="center"/>
              <w:outlineLvl w:val="0"/>
              <w:rPr>
                <w:rFonts w:hint="eastAsia" w:ascii="仿宋" w:hAnsi="仿宋" w:eastAsia="仿宋" w:cs="仿宋"/>
                <w:color w:val="auto"/>
                <w:sz w:val="21"/>
                <w:szCs w:val="21"/>
              </w:rPr>
            </w:pPr>
          </w:p>
        </w:tc>
      </w:tr>
      <w:tr w14:paraId="3F86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8DC3CB9">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43C6921E">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6E12DD85">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57D53774">
            <w:pPr>
              <w:tabs>
                <w:tab w:val="left" w:pos="6300"/>
              </w:tabs>
              <w:snapToGrid w:val="0"/>
              <w:spacing w:line="500" w:lineRule="exact"/>
              <w:jc w:val="center"/>
              <w:outlineLvl w:val="0"/>
              <w:rPr>
                <w:rFonts w:hint="eastAsia" w:ascii="仿宋" w:hAnsi="仿宋" w:eastAsia="仿宋" w:cs="仿宋"/>
                <w:color w:val="auto"/>
                <w:sz w:val="21"/>
                <w:szCs w:val="21"/>
              </w:rPr>
            </w:pPr>
          </w:p>
        </w:tc>
      </w:tr>
      <w:tr w14:paraId="484E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0F2F21C">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727610D1">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47AEEFA5">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7C53E792">
            <w:pPr>
              <w:tabs>
                <w:tab w:val="left" w:pos="6300"/>
              </w:tabs>
              <w:snapToGrid w:val="0"/>
              <w:spacing w:line="500" w:lineRule="exact"/>
              <w:jc w:val="center"/>
              <w:outlineLvl w:val="0"/>
              <w:rPr>
                <w:rFonts w:hint="eastAsia" w:ascii="仿宋" w:hAnsi="仿宋" w:eastAsia="仿宋" w:cs="仿宋"/>
                <w:color w:val="auto"/>
                <w:sz w:val="21"/>
                <w:szCs w:val="21"/>
              </w:rPr>
            </w:pPr>
          </w:p>
        </w:tc>
      </w:tr>
    </w:tbl>
    <w:p w14:paraId="063D85FD">
      <w:pPr>
        <w:spacing w:line="500" w:lineRule="exact"/>
        <w:ind w:firstLine="600" w:firstLineChars="250"/>
        <w:rPr>
          <w:rFonts w:hint="eastAsia" w:ascii="仿宋" w:hAnsi="仿宋" w:eastAsia="仿宋" w:cs="仿宋"/>
          <w:color w:val="auto"/>
        </w:rPr>
      </w:pPr>
      <w:r>
        <w:rPr>
          <w:rFonts w:hint="eastAsia" w:ascii="仿宋" w:hAnsi="仿宋" w:eastAsia="仿宋" w:cs="仿宋"/>
          <w:color w:val="auto"/>
        </w:rPr>
        <w:t xml:space="preserve">供应商：                                </w:t>
      </w:r>
      <w:r>
        <w:rPr>
          <w:rFonts w:hint="eastAsia" w:ascii="仿宋" w:hAnsi="仿宋" w:eastAsia="仿宋" w:cs="方正仿宋_GBK"/>
          <w:color w:val="auto"/>
          <w:sz w:val="24"/>
          <w:szCs w:val="28"/>
        </w:rPr>
        <w:t>法定代表人</w:t>
      </w:r>
      <w:r>
        <w:rPr>
          <w:rFonts w:hint="eastAsia" w:ascii="仿宋" w:hAnsi="仿宋" w:eastAsia="仿宋" w:cs="方正仿宋_GBK"/>
          <w:color w:val="auto"/>
          <w:sz w:val="24"/>
          <w:szCs w:val="24"/>
        </w:rPr>
        <w:t>（或</w:t>
      </w:r>
      <w:r>
        <w:rPr>
          <w:rFonts w:hint="eastAsia" w:ascii="仿宋" w:hAnsi="仿宋" w:eastAsia="仿宋" w:cs="方正仿宋_GBK"/>
          <w:color w:val="auto"/>
          <w:sz w:val="24"/>
          <w:szCs w:val="28"/>
        </w:rPr>
        <w:t>授权代表</w:t>
      </w:r>
      <w:r>
        <w:rPr>
          <w:rFonts w:hint="eastAsia" w:ascii="仿宋" w:hAnsi="仿宋" w:eastAsia="仿宋" w:cs="方正仿宋_GBK"/>
          <w:color w:val="auto"/>
          <w:sz w:val="24"/>
          <w:szCs w:val="24"/>
        </w:rPr>
        <w:t>）或自然人</w:t>
      </w:r>
      <w:r>
        <w:rPr>
          <w:rFonts w:hint="eastAsia" w:ascii="仿宋" w:hAnsi="仿宋" w:eastAsia="仿宋" w:cs="方正仿宋_GBK"/>
          <w:color w:val="auto"/>
          <w:sz w:val="24"/>
          <w:szCs w:val="28"/>
        </w:rPr>
        <w:t>：</w:t>
      </w:r>
    </w:p>
    <w:p w14:paraId="1EC71741">
      <w:pPr>
        <w:spacing w:line="500" w:lineRule="exact"/>
        <w:rPr>
          <w:rFonts w:hint="eastAsia" w:ascii="仿宋" w:hAnsi="仿宋" w:eastAsia="仿宋" w:cs="仿宋"/>
          <w:color w:val="auto"/>
        </w:rPr>
      </w:pPr>
    </w:p>
    <w:p w14:paraId="66B10D27">
      <w:pPr>
        <w:spacing w:line="500" w:lineRule="exact"/>
        <w:ind w:firstLine="720" w:firstLineChars="300"/>
        <w:rPr>
          <w:rFonts w:hint="eastAsia" w:ascii="仿宋" w:hAnsi="仿宋" w:eastAsia="仿宋" w:cs="仿宋"/>
          <w:color w:val="auto"/>
        </w:rPr>
      </w:pPr>
      <w:r>
        <w:rPr>
          <w:rFonts w:hint="eastAsia" w:ascii="仿宋" w:hAnsi="仿宋" w:eastAsia="仿宋" w:cs="仿宋"/>
          <w:color w:val="auto"/>
        </w:rPr>
        <w:t>（供应商公章）                               （签字或盖章）</w:t>
      </w:r>
    </w:p>
    <w:p w14:paraId="1BDBD76A">
      <w:pPr>
        <w:tabs>
          <w:tab w:val="left" w:pos="6300"/>
        </w:tabs>
        <w:snapToGrid w:val="0"/>
        <w:spacing w:line="500" w:lineRule="exact"/>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60D7A858">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注：</w:t>
      </w:r>
    </w:p>
    <w:p w14:paraId="0A0934C6">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1.本表即为对本项目“第三篇  比选项目技术需求”中所列技术要求进行比较和响应；</w:t>
      </w:r>
    </w:p>
    <w:p w14:paraId="3DDE189E">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2.该表必须按照比选文件要求逐条如实填写，根据响应情况在“差异说明”项填写正偏离或负偏离及原因，完全符合的填写“无差异”；</w:t>
      </w:r>
    </w:p>
    <w:p w14:paraId="5540D71F">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3.该表可扩展，并逐页签字或盖章；</w:t>
      </w:r>
    </w:p>
    <w:p w14:paraId="173FE381">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4.可附相关技术支撑材料。（格式自定）</w:t>
      </w:r>
    </w:p>
    <w:p w14:paraId="4D705ED0">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5.若“响应情况”栏中仅填写“无偏离”或“有偏离”等内容而未作实质性参数描述，该供应商将失去成为成交供应商的资格，仅保留其合格供应商的身份。</w:t>
      </w:r>
    </w:p>
    <w:p w14:paraId="0DA562CC">
      <w:pPr>
        <w:pStyle w:val="4"/>
        <w:spacing w:before="0"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Start w:id="210" w:name="_Toc487204799"/>
      <w:bookmarkStart w:id="211" w:name="_Toc17029"/>
      <w:bookmarkStart w:id="212" w:name="_Toc486585242"/>
      <w:bookmarkStart w:id="213" w:name="_Toc486608279"/>
      <w:bookmarkStart w:id="214" w:name="_Toc13867"/>
      <w:r>
        <w:rPr>
          <w:rFonts w:hint="eastAsia" w:ascii="仿宋" w:hAnsi="仿宋" w:eastAsia="仿宋" w:cs="仿宋"/>
          <w:color w:val="auto"/>
          <w:sz w:val="24"/>
          <w:szCs w:val="24"/>
        </w:rPr>
        <w:t>三、商务部分</w:t>
      </w:r>
      <w:bookmarkEnd w:id="210"/>
      <w:bookmarkEnd w:id="211"/>
      <w:bookmarkEnd w:id="212"/>
      <w:bookmarkEnd w:id="213"/>
      <w:bookmarkEnd w:id="214"/>
    </w:p>
    <w:p w14:paraId="04BAA767">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（一）按照商务要求进行响应，包括：</w:t>
      </w:r>
      <w:r>
        <w:rPr>
          <w:rFonts w:hint="eastAsia" w:ascii="仿宋" w:hAnsi="仿宋" w:eastAsia="仿宋" w:cs="仿宋"/>
          <w:color w:val="auto"/>
          <w:sz w:val="24"/>
          <w:szCs w:val="24"/>
          <w:lang w:val="en-US" w:eastAsia="zh-CN"/>
        </w:rPr>
        <w:t>工期</w:t>
      </w:r>
      <w:r>
        <w:rPr>
          <w:rFonts w:hint="eastAsia" w:ascii="仿宋" w:hAnsi="仿宋" w:eastAsia="仿宋" w:cs="仿宋"/>
          <w:color w:val="auto"/>
          <w:sz w:val="24"/>
          <w:szCs w:val="24"/>
        </w:rPr>
        <w:t>时间</w:t>
      </w:r>
      <w:r>
        <w:rPr>
          <w:rFonts w:hint="eastAsia" w:ascii="仿宋" w:hAnsi="仿宋" w:eastAsia="仿宋" w:cs="仿宋"/>
          <w:color w:val="auto"/>
        </w:rPr>
        <w:t>、交货地点、付款方式等。</w:t>
      </w:r>
    </w:p>
    <w:p w14:paraId="0AB44304">
      <w:pPr>
        <w:spacing w:line="360" w:lineRule="auto"/>
        <w:rPr>
          <w:rFonts w:hint="eastAsia" w:ascii="仿宋" w:hAnsi="仿宋" w:eastAsia="仿宋" w:cs="仿宋"/>
          <w:color w:val="auto"/>
        </w:rPr>
      </w:pPr>
    </w:p>
    <w:p w14:paraId="26E5476C">
      <w:pPr>
        <w:spacing w:line="360" w:lineRule="auto"/>
        <w:rPr>
          <w:rFonts w:hint="eastAsia" w:ascii="仿宋" w:hAnsi="仿宋" w:eastAsia="仿宋" w:cs="仿宋"/>
          <w:color w:val="auto"/>
        </w:rPr>
      </w:pPr>
    </w:p>
    <w:p w14:paraId="2C651834">
      <w:pPr>
        <w:spacing w:line="360" w:lineRule="auto"/>
        <w:rPr>
          <w:rFonts w:hint="eastAsia" w:ascii="仿宋" w:hAnsi="仿宋" w:eastAsia="仿宋" w:cs="仿宋"/>
          <w:color w:val="auto"/>
        </w:rPr>
      </w:pPr>
    </w:p>
    <w:p w14:paraId="4C351879">
      <w:pPr>
        <w:spacing w:line="360" w:lineRule="auto"/>
        <w:rPr>
          <w:rFonts w:hint="eastAsia" w:ascii="仿宋" w:hAnsi="仿宋" w:eastAsia="仿宋" w:cs="仿宋"/>
          <w:color w:val="auto"/>
        </w:rPr>
      </w:pPr>
    </w:p>
    <w:p w14:paraId="40BF362A">
      <w:pPr>
        <w:spacing w:line="360" w:lineRule="auto"/>
        <w:rPr>
          <w:rFonts w:hint="eastAsia" w:ascii="仿宋" w:hAnsi="仿宋" w:eastAsia="仿宋" w:cs="仿宋"/>
          <w:color w:val="auto"/>
        </w:rPr>
      </w:pPr>
    </w:p>
    <w:p w14:paraId="1F7C95F4">
      <w:pPr>
        <w:spacing w:line="360" w:lineRule="auto"/>
        <w:rPr>
          <w:rFonts w:hint="eastAsia" w:ascii="仿宋" w:hAnsi="仿宋" w:eastAsia="仿宋" w:cs="仿宋"/>
          <w:color w:val="auto"/>
        </w:rPr>
      </w:pPr>
    </w:p>
    <w:p w14:paraId="691F26E5">
      <w:pPr>
        <w:spacing w:line="360" w:lineRule="auto"/>
        <w:rPr>
          <w:rFonts w:hint="eastAsia" w:ascii="仿宋" w:hAnsi="仿宋" w:eastAsia="仿宋" w:cs="仿宋"/>
          <w:color w:val="auto"/>
        </w:rPr>
      </w:pPr>
    </w:p>
    <w:p w14:paraId="754C2A53">
      <w:pPr>
        <w:spacing w:line="360" w:lineRule="auto"/>
        <w:rPr>
          <w:rFonts w:hint="eastAsia" w:ascii="仿宋" w:hAnsi="仿宋" w:eastAsia="仿宋" w:cs="仿宋"/>
          <w:color w:val="auto"/>
        </w:rPr>
      </w:pPr>
    </w:p>
    <w:p w14:paraId="0F7A3833">
      <w:pPr>
        <w:spacing w:line="360" w:lineRule="auto"/>
        <w:rPr>
          <w:rFonts w:hint="eastAsia" w:ascii="仿宋" w:hAnsi="仿宋" w:eastAsia="仿宋" w:cs="仿宋"/>
          <w:color w:val="auto"/>
        </w:rPr>
      </w:pPr>
    </w:p>
    <w:p w14:paraId="27676883">
      <w:pPr>
        <w:spacing w:line="360" w:lineRule="auto"/>
        <w:rPr>
          <w:rFonts w:hint="eastAsia" w:ascii="仿宋" w:hAnsi="仿宋" w:eastAsia="仿宋" w:cs="仿宋"/>
          <w:color w:val="auto"/>
        </w:rPr>
      </w:pPr>
    </w:p>
    <w:p w14:paraId="6FD77FCB">
      <w:pPr>
        <w:spacing w:line="360" w:lineRule="auto"/>
        <w:rPr>
          <w:rFonts w:hint="eastAsia" w:ascii="仿宋" w:hAnsi="仿宋" w:eastAsia="仿宋" w:cs="仿宋"/>
          <w:color w:val="auto"/>
        </w:rPr>
      </w:pPr>
    </w:p>
    <w:p w14:paraId="3085584A">
      <w:pPr>
        <w:spacing w:line="360" w:lineRule="auto"/>
        <w:rPr>
          <w:rFonts w:hint="eastAsia" w:ascii="仿宋" w:hAnsi="仿宋" w:eastAsia="仿宋" w:cs="仿宋"/>
          <w:color w:val="auto"/>
        </w:rPr>
      </w:pPr>
    </w:p>
    <w:p w14:paraId="5653247E">
      <w:pPr>
        <w:spacing w:line="360" w:lineRule="auto"/>
        <w:rPr>
          <w:rFonts w:hint="eastAsia" w:ascii="仿宋" w:hAnsi="仿宋" w:eastAsia="仿宋" w:cs="仿宋"/>
          <w:color w:val="auto"/>
        </w:rPr>
      </w:pPr>
    </w:p>
    <w:p w14:paraId="56C754BD">
      <w:pPr>
        <w:spacing w:line="360" w:lineRule="auto"/>
        <w:rPr>
          <w:rFonts w:hint="eastAsia" w:ascii="仿宋" w:hAnsi="仿宋" w:eastAsia="仿宋" w:cs="仿宋"/>
          <w:color w:val="auto"/>
        </w:rPr>
      </w:pPr>
    </w:p>
    <w:p w14:paraId="14F3239A">
      <w:pPr>
        <w:spacing w:line="360" w:lineRule="auto"/>
        <w:rPr>
          <w:rFonts w:hint="eastAsia" w:ascii="仿宋" w:hAnsi="仿宋" w:eastAsia="仿宋" w:cs="仿宋"/>
          <w:color w:val="auto"/>
        </w:rPr>
      </w:pPr>
    </w:p>
    <w:p w14:paraId="67466339">
      <w:pPr>
        <w:spacing w:line="360" w:lineRule="auto"/>
        <w:rPr>
          <w:rFonts w:hint="eastAsia" w:ascii="仿宋" w:hAnsi="仿宋" w:eastAsia="仿宋" w:cs="仿宋"/>
          <w:color w:val="auto"/>
        </w:rPr>
      </w:pPr>
    </w:p>
    <w:p w14:paraId="0BD6B981">
      <w:pPr>
        <w:spacing w:line="360" w:lineRule="auto"/>
        <w:rPr>
          <w:rFonts w:hint="eastAsia" w:ascii="仿宋" w:hAnsi="仿宋" w:eastAsia="仿宋" w:cs="仿宋"/>
          <w:color w:val="auto"/>
        </w:rPr>
      </w:pPr>
    </w:p>
    <w:p w14:paraId="11C4BE7B">
      <w:pPr>
        <w:spacing w:line="360" w:lineRule="auto"/>
        <w:rPr>
          <w:rFonts w:hint="eastAsia" w:ascii="仿宋" w:hAnsi="仿宋" w:eastAsia="仿宋" w:cs="仿宋"/>
          <w:color w:val="auto"/>
        </w:rPr>
      </w:pPr>
    </w:p>
    <w:p w14:paraId="704F66DD">
      <w:pPr>
        <w:pStyle w:val="6"/>
        <w:rPr>
          <w:rFonts w:hint="eastAsia" w:ascii="仿宋" w:hAnsi="仿宋" w:eastAsia="仿宋" w:cs="仿宋"/>
          <w:color w:val="auto"/>
        </w:rPr>
      </w:pPr>
    </w:p>
    <w:p w14:paraId="3FDCA570">
      <w:pPr>
        <w:pStyle w:val="52"/>
        <w:rPr>
          <w:rFonts w:hint="eastAsia" w:ascii="仿宋" w:hAnsi="仿宋" w:eastAsia="仿宋" w:cs="仿宋"/>
          <w:color w:val="auto"/>
        </w:rPr>
      </w:pPr>
    </w:p>
    <w:p w14:paraId="30454A6D">
      <w:pPr>
        <w:rPr>
          <w:rFonts w:hint="eastAsia" w:ascii="仿宋" w:hAnsi="仿宋" w:eastAsia="仿宋" w:cs="仿宋"/>
          <w:color w:val="auto"/>
        </w:rPr>
      </w:pPr>
    </w:p>
    <w:p w14:paraId="76A8FF08">
      <w:pPr>
        <w:pStyle w:val="6"/>
        <w:rPr>
          <w:rFonts w:hint="eastAsia" w:ascii="仿宋" w:hAnsi="仿宋" w:eastAsia="仿宋" w:cs="仿宋"/>
          <w:color w:val="auto"/>
        </w:rPr>
      </w:pPr>
    </w:p>
    <w:p w14:paraId="7F685B68">
      <w:pPr>
        <w:pStyle w:val="52"/>
        <w:rPr>
          <w:rFonts w:hint="eastAsia" w:ascii="仿宋" w:hAnsi="仿宋" w:eastAsia="仿宋" w:cs="仿宋"/>
          <w:color w:val="auto"/>
        </w:rPr>
      </w:pPr>
    </w:p>
    <w:p w14:paraId="2E60597D">
      <w:pPr>
        <w:rPr>
          <w:rFonts w:hint="eastAsia" w:ascii="仿宋" w:hAnsi="仿宋" w:eastAsia="仿宋" w:cs="仿宋"/>
          <w:color w:val="auto"/>
        </w:rPr>
      </w:pPr>
    </w:p>
    <w:p w14:paraId="2455C45A">
      <w:pPr>
        <w:pStyle w:val="6"/>
        <w:rPr>
          <w:rFonts w:hint="eastAsia" w:ascii="仿宋" w:hAnsi="仿宋" w:eastAsia="仿宋" w:cs="仿宋"/>
          <w:color w:val="auto"/>
        </w:rPr>
      </w:pPr>
    </w:p>
    <w:p w14:paraId="26D03CED">
      <w:pPr>
        <w:pStyle w:val="52"/>
        <w:rPr>
          <w:rFonts w:hint="eastAsia" w:ascii="仿宋" w:hAnsi="仿宋" w:eastAsia="仿宋" w:cs="仿宋"/>
          <w:color w:val="auto"/>
        </w:rPr>
      </w:pPr>
    </w:p>
    <w:p w14:paraId="6F0FAE43">
      <w:pPr>
        <w:spacing w:line="360" w:lineRule="auto"/>
        <w:rPr>
          <w:rFonts w:hint="eastAsia" w:ascii="仿宋" w:hAnsi="仿宋" w:eastAsia="仿宋" w:cs="仿宋"/>
          <w:color w:val="auto"/>
        </w:rPr>
      </w:pPr>
    </w:p>
    <w:p w14:paraId="7DAFDDE1">
      <w:pPr>
        <w:spacing w:line="360" w:lineRule="auto"/>
        <w:rPr>
          <w:rFonts w:hint="eastAsia" w:ascii="仿宋" w:hAnsi="仿宋" w:eastAsia="仿宋" w:cs="仿宋"/>
          <w:color w:val="auto"/>
        </w:rPr>
      </w:pPr>
    </w:p>
    <w:p w14:paraId="1A5E61D9">
      <w:pPr>
        <w:spacing w:line="360" w:lineRule="auto"/>
        <w:rPr>
          <w:rFonts w:hint="eastAsia" w:ascii="仿宋" w:hAnsi="仿宋" w:eastAsia="仿宋" w:cs="仿宋"/>
          <w:color w:val="auto"/>
        </w:rPr>
      </w:pPr>
    </w:p>
    <w:p w14:paraId="69616E81">
      <w:pPr>
        <w:spacing w:line="360" w:lineRule="auto"/>
        <w:rPr>
          <w:rFonts w:hint="eastAsia" w:ascii="仿宋" w:hAnsi="仿宋" w:eastAsia="仿宋" w:cs="仿宋"/>
          <w:color w:val="auto"/>
        </w:rPr>
      </w:pPr>
    </w:p>
    <w:p w14:paraId="4461A12A">
      <w:pPr>
        <w:spacing w:line="360" w:lineRule="auto"/>
        <w:rPr>
          <w:rFonts w:hint="eastAsia" w:ascii="仿宋" w:hAnsi="仿宋" w:eastAsia="仿宋" w:cs="仿宋"/>
          <w:color w:val="auto"/>
        </w:rPr>
      </w:pPr>
      <w:r>
        <w:rPr>
          <w:rFonts w:hint="eastAsia" w:ascii="仿宋" w:hAnsi="仿宋" w:eastAsia="仿宋" w:cs="仿宋"/>
          <w:color w:val="auto"/>
        </w:rPr>
        <w:t>（二）商务响应偏离表</w:t>
      </w:r>
    </w:p>
    <w:p w14:paraId="4CB764AB">
      <w:pPr>
        <w:snapToGrid w:val="0"/>
        <w:spacing w:line="360" w:lineRule="auto"/>
        <w:jc w:val="center"/>
        <w:rPr>
          <w:rFonts w:hint="eastAsia" w:ascii="仿宋" w:hAnsi="仿宋" w:eastAsia="仿宋" w:cs="仿宋"/>
          <w:b/>
          <w:color w:val="auto"/>
        </w:rPr>
      </w:pPr>
      <w:r>
        <w:rPr>
          <w:rFonts w:hint="eastAsia" w:ascii="仿宋" w:hAnsi="仿宋" w:eastAsia="仿宋" w:cs="仿宋"/>
          <w:b/>
          <w:color w:val="auto"/>
        </w:rPr>
        <w:t>商务响应偏离表</w:t>
      </w:r>
    </w:p>
    <w:p w14:paraId="4A2CFBF3">
      <w:pPr>
        <w:snapToGrid w:val="0"/>
        <w:spacing w:line="360" w:lineRule="auto"/>
        <w:rPr>
          <w:rFonts w:hint="eastAsia" w:ascii="仿宋" w:hAnsi="仿宋" w:eastAsia="仿宋" w:cs="仿宋"/>
          <w:color w:val="auto"/>
        </w:rPr>
      </w:pPr>
      <w:r>
        <w:rPr>
          <w:rFonts w:hint="eastAsia" w:ascii="仿宋" w:hAnsi="仿宋" w:eastAsia="仿宋" w:cs="仿宋"/>
          <w:color w:val="auto"/>
        </w:rPr>
        <w:t>对于比选通知书的商务要求，如有任何偏离请如实填写下表：</w:t>
      </w:r>
    </w:p>
    <w:tbl>
      <w:tblPr>
        <w:tblStyle w:val="26"/>
        <w:tblpPr w:leftFromText="180" w:rightFromText="180" w:vertAnchor="text" w:horzAnchor="page" w:tblpX="1372" w:tblpY="481"/>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501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69BB0C8F">
            <w:pPr>
              <w:jc w:val="center"/>
              <w:rPr>
                <w:rFonts w:hint="eastAsia" w:ascii="仿宋" w:hAnsi="仿宋" w:eastAsia="仿宋" w:cs="仿宋"/>
                <w:color w:val="auto"/>
              </w:rPr>
            </w:pPr>
            <w:r>
              <w:rPr>
                <w:rFonts w:hint="eastAsia" w:ascii="仿宋" w:hAnsi="仿宋" w:eastAsia="仿宋" w:cs="仿宋"/>
                <w:color w:val="auto"/>
              </w:rPr>
              <w:t>序号</w:t>
            </w:r>
          </w:p>
        </w:tc>
        <w:tc>
          <w:tcPr>
            <w:tcW w:w="3179" w:type="dxa"/>
            <w:vAlign w:val="center"/>
          </w:tcPr>
          <w:p w14:paraId="649DFDA0">
            <w:pPr>
              <w:jc w:val="center"/>
              <w:rPr>
                <w:rFonts w:hint="eastAsia" w:ascii="仿宋" w:hAnsi="仿宋" w:eastAsia="仿宋" w:cs="仿宋"/>
                <w:color w:val="auto"/>
              </w:rPr>
            </w:pPr>
            <w:r>
              <w:rPr>
                <w:rFonts w:hint="eastAsia" w:ascii="仿宋" w:hAnsi="仿宋" w:eastAsia="仿宋" w:cs="仿宋"/>
                <w:color w:val="auto"/>
              </w:rPr>
              <w:t>比选项目需求</w:t>
            </w:r>
          </w:p>
        </w:tc>
        <w:tc>
          <w:tcPr>
            <w:tcW w:w="2434" w:type="dxa"/>
            <w:vAlign w:val="center"/>
          </w:tcPr>
          <w:p w14:paraId="0B6A3AB6">
            <w:pPr>
              <w:jc w:val="center"/>
              <w:rPr>
                <w:rFonts w:hint="eastAsia" w:ascii="仿宋" w:hAnsi="仿宋" w:eastAsia="仿宋" w:cs="仿宋"/>
                <w:color w:val="auto"/>
              </w:rPr>
            </w:pPr>
            <w:r>
              <w:rPr>
                <w:rFonts w:hint="eastAsia" w:ascii="仿宋" w:hAnsi="仿宋" w:eastAsia="仿宋" w:cs="仿宋"/>
                <w:color w:val="auto"/>
              </w:rPr>
              <w:t>响应情况</w:t>
            </w:r>
          </w:p>
        </w:tc>
        <w:tc>
          <w:tcPr>
            <w:tcW w:w="2355" w:type="dxa"/>
            <w:vAlign w:val="center"/>
          </w:tcPr>
          <w:p w14:paraId="31E82B4E">
            <w:pPr>
              <w:jc w:val="center"/>
              <w:rPr>
                <w:rFonts w:hint="eastAsia" w:ascii="仿宋" w:hAnsi="仿宋" w:eastAsia="仿宋" w:cs="仿宋"/>
                <w:color w:val="auto"/>
              </w:rPr>
            </w:pPr>
            <w:r>
              <w:rPr>
                <w:rFonts w:hint="eastAsia" w:ascii="仿宋" w:hAnsi="仿宋" w:eastAsia="仿宋" w:cs="仿宋"/>
                <w:color w:val="auto"/>
              </w:rPr>
              <w:t>差异说明</w:t>
            </w:r>
          </w:p>
        </w:tc>
      </w:tr>
      <w:tr w14:paraId="49CB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1FDAEED">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35F336D7">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62F5B87B">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44E8A543">
            <w:pPr>
              <w:tabs>
                <w:tab w:val="left" w:pos="6300"/>
              </w:tabs>
              <w:snapToGrid w:val="0"/>
              <w:spacing w:line="360" w:lineRule="auto"/>
              <w:jc w:val="center"/>
              <w:outlineLvl w:val="0"/>
              <w:rPr>
                <w:rFonts w:hint="eastAsia" w:ascii="仿宋" w:hAnsi="仿宋" w:eastAsia="仿宋" w:cs="仿宋"/>
                <w:color w:val="auto"/>
                <w:sz w:val="21"/>
              </w:rPr>
            </w:pPr>
          </w:p>
        </w:tc>
      </w:tr>
      <w:tr w14:paraId="7C9A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0CFEEC4">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54A7AAA8">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7D6AAB84">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3A7CB47D">
            <w:pPr>
              <w:tabs>
                <w:tab w:val="left" w:pos="6300"/>
              </w:tabs>
              <w:snapToGrid w:val="0"/>
              <w:spacing w:line="360" w:lineRule="auto"/>
              <w:jc w:val="center"/>
              <w:outlineLvl w:val="0"/>
              <w:rPr>
                <w:rFonts w:hint="eastAsia" w:ascii="仿宋" w:hAnsi="仿宋" w:eastAsia="仿宋" w:cs="仿宋"/>
                <w:color w:val="auto"/>
                <w:sz w:val="21"/>
              </w:rPr>
            </w:pPr>
          </w:p>
        </w:tc>
      </w:tr>
      <w:tr w14:paraId="710D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BBABEAC">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4E36B120">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7BD9CEFA">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5FAF10D6">
            <w:pPr>
              <w:tabs>
                <w:tab w:val="left" w:pos="6300"/>
              </w:tabs>
              <w:snapToGrid w:val="0"/>
              <w:spacing w:line="360" w:lineRule="auto"/>
              <w:jc w:val="center"/>
              <w:outlineLvl w:val="0"/>
              <w:rPr>
                <w:rFonts w:hint="eastAsia" w:ascii="仿宋" w:hAnsi="仿宋" w:eastAsia="仿宋" w:cs="仿宋"/>
                <w:color w:val="auto"/>
                <w:sz w:val="21"/>
              </w:rPr>
            </w:pPr>
          </w:p>
        </w:tc>
      </w:tr>
      <w:tr w14:paraId="2CF6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9FBF388">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14113E51">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6DE20EEC">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0C82E041">
            <w:pPr>
              <w:tabs>
                <w:tab w:val="left" w:pos="6300"/>
              </w:tabs>
              <w:snapToGrid w:val="0"/>
              <w:spacing w:line="360" w:lineRule="auto"/>
              <w:jc w:val="center"/>
              <w:outlineLvl w:val="0"/>
              <w:rPr>
                <w:rFonts w:hint="eastAsia" w:ascii="仿宋" w:hAnsi="仿宋" w:eastAsia="仿宋" w:cs="仿宋"/>
                <w:color w:val="auto"/>
                <w:sz w:val="21"/>
              </w:rPr>
            </w:pPr>
          </w:p>
        </w:tc>
      </w:tr>
      <w:tr w14:paraId="0B3F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50D61EC">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51E3CDF6">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62EA2D50">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4C7EEAD0">
            <w:pPr>
              <w:tabs>
                <w:tab w:val="left" w:pos="6300"/>
              </w:tabs>
              <w:snapToGrid w:val="0"/>
              <w:spacing w:line="360" w:lineRule="auto"/>
              <w:jc w:val="center"/>
              <w:outlineLvl w:val="0"/>
              <w:rPr>
                <w:rFonts w:hint="eastAsia" w:ascii="仿宋" w:hAnsi="仿宋" w:eastAsia="仿宋" w:cs="仿宋"/>
                <w:color w:val="auto"/>
                <w:sz w:val="21"/>
              </w:rPr>
            </w:pPr>
          </w:p>
        </w:tc>
      </w:tr>
      <w:tr w14:paraId="5FAD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4D4E472">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70A27594">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13286B54">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65CFB3D7">
            <w:pPr>
              <w:tabs>
                <w:tab w:val="left" w:pos="6300"/>
              </w:tabs>
              <w:snapToGrid w:val="0"/>
              <w:spacing w:line="360" w:lineRule="auto"/>
              <w:jc w:val="center"/>
              <w:outlineLvl w:val="0"/>
              <w:rPr>
                <w:rFonts w:hint="eastAsia" w:ascii="仿宋" w:hAnsi="仿宋" w:eastAsia="仿宋" w:cs="仿宋"/>
                <w:color w:val="auto"/>
                <w:sz w:val="21"/>
              </w:rPr>
            </w:pPr>
          </w:p>
        </w:tc>
      </w:tr>
    </w:tbl>
    <w:p w14:paraId="11064F90">
      <w:pPr>
        <w:snapToGrid w:val="0"/>
        <w:spacing w:line="360" w:lineRule="auto"/>
        <w:rPr>
          <w:rFonts w:hint="eastAsia" w:ascii="仿宋" w:hAnsi="仿宋" w:eastAsia="仿宋" w:cs="仿宋"/>
          <w:color w:val="auto"/>
        </w:rPr>
      </w:pPr>
    </w:p>
    <w:p w14:paraId="104F0D6B">
      <w:pPr>
        <w:spacing w:line="500" w:lineRule="exact"/>
        <w:ind w:firstLine="600" w:firstLineChars="250"/>
        <w:rPr>
          <w:rFonts w:hint="eastAsia" w:ascii="仿宋" w:hAnsi="仿宋" w:eastAsia="仿宋" w:cs="仿宋"/>
          <w:color w:val="auto"/>
        </w:rPr>
      </w:pPr>
      <w:r>
        <w:rPr>
          <w:rFonts w:hint="eastAsia" w:ascii="仿宋" w:hAnsi="仿宋" w:eastAsia="仿宋" w:cs="仿宋"/>
          <w:color w:val="auto"/>
        </w:rPr>
        <w:t xml:space="preserve">供应商：                                 </w:t>
      </w:r>
      <w:r>
        <w:rPr>
          <w:rFonts w:hint="eastAsia" w:ascii="仿宋" w:hAnsi="仿宋" w:eastAsia="仿宋" w:cs="方正仿宋_GBK"/>
          <w:color w:val="auto"/>
          <w:sz w:val="24"/>
          <w:szCs w:val="28"/>
        </w:rPr>
        <w:t>法定代表人</w:t>
      </w:r>
      <w:r>
        <w:rPr>
          <w:rFonts w:hint="eastAsia" w:ascii="仿宋" w:hAnsi="仿宋" w:eastAsia="仿宋" w:cs="方正仿宋_GBK"/>
          <w:color w:val="auto"/>
          <w:sz w:val="24"/>
          <w:szCs w:val="24"/>
        </w:rPr>
        <w:t>（或</w:t>
      </w:r>
      <w:r>
        <w:rPr>
          <w:rFonts w:hint="eastAsia" w:ascii="仿宋" w:hAnsi="仿宋" w:eastAsia="仿宋" w:cs="方正仿宋_GBK"/>
          <w:color w:val="auto"/>
          <w:sz w:val="24"/>
          <w:szCs w:val="28"/>
        </w:rPr>
        <w:t>授权代表</w:t>
      </w:r>
      <w:r>
        <w:rPr>
          <w:rFonts w:hint="eastAsia" w:ascii="仿宋" w:hAnsi="仿宋" w:eastAsia="仿宋" w:cs="方正仿宋_GBK"/>
          <w:color w:val="auto"/>
          <w:sz w:val="24"/>
          <w:szCs w:val="24"/>
        </w:rPr>
        <w:t>）或自然人</w:t>
      </w:r>
      <w:r>
        <w:rPr>
          <w:rFonts w:hint="eastAsia" w:ascii="仿宋" w:hAnsi="仿宋" w:eastAsia="仿宋" w:cs="方正仿宋_GBK"/>
          <w:color w:val="auto"/>
          <w:sz w:val="24"/>
          <w:szCs w:val="28"/>
        </w:rPr>
        <w:t>：</w:t>
      </w:r>
    </w:p>
    <w:p w14:paraId="130BD624">
      <w:pPr>
        <w:spacing w:line="500" w:lineRule="exact"/>
        <w:ind w:firstLine="360" w:firstLineChars="150"/>
        <w:rPr>
          <w:rFonts w:hint="eastAsia" w:ascii="仿宋" w:hAnsi="仿宋" w:eastAsia="仿宋" w:cs="仿宋"/>
          <w:color w:val="auto"/>
        </w:rPr>
      </w:pPr>
      <w:r>
        <w:rPr>
          <w:rFonts w:hint="eastAsia" w:ascii="仿宋" w:hAnsi="仿宋" w:eastAsia="仿宋" w:cs="仿宋"/>
          <w:color w:val="auto"/>
        </w:rPr>
        <w:t>（供应商公章）                                 （签字或盖章）</w:t>
      </w:r>
    </w:p>
    <w:p w14:paraId="2DE8E562">
      <w:pPr>
        <w:tabs>
          <w:tab w:val="left" w:pos="6300"/>
        </w:tabs>
        <w:snapToGrid w:val="0"/>
        <w:spacing w:line="500" w:lineRule="exact"/>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547B069A">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注：</w:t>
      </w:r>
    </w:p>
    <w:p w14:paraId="5D491B0A">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1.本表即为对本项目“第四篇 商务要求”中所列服务要求进行比较和响应；</w:t>
      </w:r>
    </w:p>
    <w:p w14:paraId="6A46746B">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2.该表必须按照比选要求逐条如实填写，根据响应情况在“差异说明”项填写正偏离或负偏离及原因，完全符合的填写“无差异”；</w:t>
      </w:r>
    </w:p>
    <w:p w14:paraId="3B73E150">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3.该表可扩展，并逐页签字或盖章；</w:t>
      </w:r>
    </w:p>
    <w:p w14:paraId="254F9DA9">
      <w:pPr>
        <w:tabs>
          <w:tab w:val="left" w:pos="6300"/>
        </w:tabs>
        <w:snapToGrid w:val="0"/>
        <w:spacing w:line="360" w:lineRule="auto"/>
        <w:ind w:firstLine="480" w:firstLineChars="200"/>
        <w:rPr>
          <w:rFonts w:hint="eastAsia" w:ascii="仿宋" w:hAnsi="仿宋" w:eastAsia="仿宋" w:cs="仿宋"/>
          <w:color w:val="auto"/>
          <w:u w:val="single"/>
        </w:rPr>
      </w:pPr>
      <w:r>
        <w:rPr>
          <w:rFonts w:hint="eastAsia" w:ascii="仿宋" w:hAnsi="仿宋" w:eastAsia="仿宋" w:cs="仿宋"/>
          <w:color w:val="auto"/>
        </w:rPr>
        <w:t>4.若“响应情况”栏中仅填写“无偏离”或“有偏离”等内容而未作实质性参数描述，该供应商将失去成为成交供应商的资格，仅保留其合格供应商的身份。</w:t>
      </w:r>
    </w:p>
    <w:p w14:paraId="606A0DFE">
      <w:pPr>
        <w:spacing w:line="380" w:lineRule="exact"/>
        <w:ind w:firstLine="480" w:firstLineChars="200"/>
        <w:rPr>
          <w:rFonts w:hint="eastAsia"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（三）其它优惠承诺（格式自定）</w:t>
      </w:r>
    </w:p>
    <w:p w14:paraId="6EEFA524">
      <w:pPr>
        <w:pStyle w:val="4"/>
        <w:spacing w:before="0" w:after="0" w:line="360" w:lineRule="auto"/>
        <w:rPr>
          <w:rFonts w:hint="eastAsia" w:ascii="仿宋" w:hAnsi="仿宋" w:eastAsia="仿宋" w:cs="仿宋"/>
          <w:color w:val="auto"/>
          <w:sz w:val="24"/>
          <w:szCs w:val="24"/>
        </w:rPr>
      </w:pPr>
      <w:r>
        <w:rPr>
          <w:rFonts w:hint="eastAsia" w:ascii="仿宋" w:hAnsi="仿宋" w:eastAsia="仿宋" w:cs="仿宋"/>
          <w:b w:val="0"/>
          <w:color w:val="auto"/>
          <w:sz w:val="24"/>
          <w:szCs w:val="24"/>
        </w:rPr>
        <w:br w:type="page"/>
      </w:r>
      <w:bookmarkStart w:id="215" w:name="_Toc23557"/>
      <w:bookmarkStart w:id="216" w:name="_Toc486585243"/>
      <w:bookmarkStart w:id="217" w:name="_Toc8290"/>
      <w:bookmarkStart w:id="218" w:name="_Toc486608280"/>
      <w:bookmarkStart w:id="219" w:name="_Toc487204800"/>
      <w:bookmarkStart w:id="220" w:name="_Toc30436"/>
      <w:r>
        <w:rPr>
          <w:rFonts w:hint="eastAsia" w:ascii="仿宋" w:hAnsi="仿宋" w:eastAsia="仿宋" w:cs="仿宋"/>
          <w:color w:val="auto"/>
          <w:sz w:val="24"/>
          <w:szCs w:val="24"/>
        </w:rPr>
        <w:t>四、资格条件及其他</w:t>
      </w:r>
      <w:bookmarkEnd w:id="215"/>
      <w:bookmarkEnd w:id="216"/>
      <w:bookmarkEnd w:id="217"/>
      <w:bookmarkEnd w:id="218"/>
      <w:bookmarkEnd w:id="219"/>
      <w:bookmarkEnd w:id="220"/>
    </w:p>
    <w:p w14:paraId="0E51FAA9">
      <w:pPr>
        <w:spacing w:line="420" w:lineRule="exact"/>
        <w:ind w:firstLine="480" w:firstLineChars="200"/>
        <w:rPr>
          <w:rFonts w:hint="eastAsia" w:ascii="仿宋" w:hAnsi="仿宋" w:eastAsia="仿宋" w:cs="仿宋"/>
          <w:color w:val="auto"/>
        </w:rPr>
      </w:pPr>
      <w:r>
        <w:rPr>
          <w:rFonts w:hint="eastAsia" w:ascii="仿宋" w:hAnsi="仿宋" w:eastAsia="仿宋" w:cs="仿宋"/>
          <w:color w:val="auto"/>
        </w:rPr>
        <w:t>（一）营业执照（副本）或事业单位法人证书（副本）复印件或个体工商户营业执照</w:t>
      </w:r>
    </w:p>
    <w:p w14:paraId="26E8FD7A">
      <w:pPr>
        <w:tabs>
          <w:tab w:val="left" w:pos="6300"/>
        </w:tabs>
        <w:snapToGrid w:val="0"/>
        <w:spacing w:line="360" w:lineRule="auto"/>
        <w:ind w:firstLine="570"/>
        <w:rPr>
          <w:rFonts w:hint="eastAsia" w:ascii="仿宋" w:hAnsi="仿宋" w:eastAsia="仿宋" w:cs="仿宋"/>
          <w:color w:val="auto"/>
        </w:rPr>
      </w:pPr>
    </w:p>
    <w:p w14:paraId="3A5B6564">
      <w:pPr>
        <w:tabs>
          <w:tab w:val="left" w:pos="6300"/>
        </w:tabs>
        <w:snapToGrid w:val="0"/>
        <w:spacing w:line="380" w:lineRule="exact"/>
        <w:ind w:firstLine="570"/>
        <w:rPr>
          <w:rFonts w:hint="eastAsia" w:ascii="仿宋" w:hAnsi="仿宋" w:eastAsia="仿宋" w:cs="仿宋"/>
          <w:color w:val="auto"/>
        </w:rPr>
      </w:pPr>
    </w:p>
    <w:p w14:paraId="7CFE8A04">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（二）法定代表人身份证明书（格式）</w:t>
      </w:r>
    </w:p>
    <w:p w14:paraId="07E1AF78">
      <w:pPr>
        <w:tabs>
          <w:tab w:val="left" w:pos="6300"/>
        </w:tabs>
        <w:snapToGrid w:val="0"/>
        <w:spacing w:line="360" w:lineRule="auto"/>
        <w:ind w:firstLine="570"/>
        <w:rPr>
          <w:rFonts w:hint="eastAsia" w:ascii="仿宋" w:hAnsi="仿宋" w:eastAsia="仿宋" w:cs="仿宋"/>
          <w:color w:val="auto"/>
        </w:rPr>
      </w:pPr>
    </w:p>
    <w:p w14:paraId="37857EBB">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项目名称：</w:t>
      </w:r>
    </w:p>
    <w:p w14:paraId="43767EA3">
      <w:pPr>
        <w:tabs>
          <w:tab w:val="left" w:pos="6300"/>
        </w:tabs>
        <w:snapToGrid w:val="0"/>
        <w:spacing w:line="360" w:lineRule="auto"/>
        <w:ind w:firstLine="570"/>
        <w:rPr>
          <w:rFonts w:hint="eastAsia" w:ascii="仿宋" w:hAnsi="仿宋" w:eastAsia="仿宋" w:cs="仿宋"/>
          <w:color w:val="auto"/>
        </w:rPr>
      </w:pPr>
    </w:p>
    <w:p w14:paraId="27A13EC8">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（采购代理机构名称）</w:t>
      </w:r>
      <w:r>
        <w:rPr>
          <w:rFonts w:hint="eastAsia" w:ascii="仿宋" w:hAnsi="仿宋" w:eastAsia="仿宋" w:cs="仿宋"/>
          <w:color w:val="auto"/>
        </w:rPr>
        <w:t>：</w:t>
      </w:r>
    </w:p>
    <w:p w14:paraId="2EF0014F">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u w:val="single"/>
        </w:rPr>
        <w:t>（法定代表人姓名）</w:t>
      </w:r>
      <w:r>
        <w:rPr>
          <w:rFonts w:hint="eastAsia" w:ascii="仿宋" w:hAnsi="仿宋" w:eastAsia="仿宋" w:cs="仿宋"/>
          <w:color w:val="auto"/>
        </w:rPr>
        <w:t>在</w:t>
      </w:r>
      <w:r>
        <w:rPr>
          <w:rFonts w:hint="eastAsia" w:ascii="仿宋" w:hAnsi="仿宋" w:eastAsia="仿宋" w:cs="仿宋"/>
          <w:color w:val="auto"/>
          <w:u w:val="single"/>
        </w:rPr>
        <w:t>（供应商名称）</w:t>
      </w:r>
      <w:r>
        <w:rPr>
          <w:rFonts w:hint="eastAsia" w:ascii="仿宋" w:hAnsi="仿宋" w:eastAsia="仿宋" w:cs="仿宋"/>
          <w:color w:val="auto"/>
        </w:rPr>
        <w:t>任</w:t>
      </w:r>
      <w:r>
        <w:rPr>
          <w:rFonts w:hint="eastAsia" w:ascii="仿宋" w:hAnsi="仿宋" w:eastAsia="仿宋" w:cs="仿宋"/>
          <w:color w:val="auto"/>
          <w:u w:val="single"/>
        </w:rPr>
        <w:t>（职务名称）</w:t>
      </w:r>
      <w:r>
        <w:rPr>
          <w:rFonts w:hint="eastAsia" w:ascii="仿宋" w:hAnsi="仿宋" w:eastAsia="仿宋" w:cs="仿宋"/>
          <w:color w:val="auto"/>
        </w:rPr>
        <w:t>职务，是</w:t>
      </w:r>
      <w:r>
        <w:rPr>
          <w:rFonts w:hint="eastAsia" w:ascii="仿宋" w:hAnsi="仿宋" w:eastAsia="仿宋" w:cs="仿宋"/>
          <w:color w:val="auto"/>
          <w:u w:val="single"/>
        </w:rPr>
        <w:t>（供应商名称）</w:t>
      </w:r>
      <w:r>
        <w:rPr>
          <w:rFonts w:hint="eastAsia" w:ascii="仿宋" w:hAnsi="仿宋" w:eastAsia="仿宋" w:cs="仿宋"/>
          <w:color w:val="auto"/>
        </w:rPr>
        <w:t>的法定代表人。</w:t>
      </w:r>
    </w:p>
    <w:p w14:paraId="74EAC35D">
      <w:pPr>
        <w:tabs>
          <w:tab w:val="left" w:pos="6300"/>
        </w:tabs>
        <w:snapToGrid w:val="0"/>
        <w:spacing w:line="360" w:lineRule="auto"/>
        <w:ind w:firstLine="570"/>
        <w:rPr>
          <w:rFonts w:hint="eastAsia" w:ascii="仿宋" w:hAnsi="仿宋" w:eastAsia="仿宋" w:cs="仿宋"/>
          <w:color w:val="auto"/>
        </w:rPr>
      </w:pPr>
    </w:p>
    <w:p w14:paraId="676FB621">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特此证明。</w:t>
      </w:r>
    </w:p>
    <w:p w14:paraId="1425A68E">
      <w:pPr>
        <w:tabs>
          <w:tab w:val="left" w:pos="6300"/>
        </w:tabs>
        <w:snapToGrid w:val="0"/>
        <w:spacing w:line="360" w:lineRule="auto"/>
        <w:ind w:firstLine="570"/>
        <w:rPr>
          <w:rFonts w:hint="eastAsia" w:ascii="仿宋" w:hAnsi="仿宋" w:eastAsia="仿宋" w:cs="仿宋"/>
          <w:color w:val="auto"/>
        </w:rPr>
      </w:pPr>
    </w:p>
    <w:p w14:paraId="1118EFAA">
      <w:pPr>
        <w:tabs>
          <w:tab w:val="left" w:pos="6300"/>
        </w:tabs>
        <w:snapToGrid w:val="0"/>
        <w:spacing w:line="360" w:lineRule="auto"/>
        <w:ind w:firstLine="570"/>
        <w:rPr>
          <w:rFonts w:hint="eastAsia" w:ascii="仿宋" w:hAnsi="仿宋" w:eastAsia="仿宋" w:cs="仿宋"/>
          <w:color w:val="auto"/>
        </w:rPr>
      </w:pPr>
    </w:p>
    <w:p w14:paraId="5E62D822">
      <w:pPr>
        <w:tabs>
          <w:tab w:val="left" w:pos="6300"/>
        </w:tabs>
        <w:snapToGrid w:val="0"/>
        <w:spacing w:line="360" w:lineRule="auto"/>
        <w:ind w:firstLine="570"/>
        <w:rPr>
          <w:rFonts w:hint="eastAsia" w:ascii="仿宋" w:hAnsi="仿宋" w:eastAsia="仿宋" w:cs="仿宋"/>
          <w:color w:val="auto"/>
        </w:rPr>
      </w:pPr>
    </w:p>
    <w:p w14:paraId="7B5EFEB7">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 xml:space="preserve">                                             （供应商公章）</w:t>
      </w:r>
    </w:p>
    <w:p w14:paraId="5FC8811D">
      <w:pPr>
        <w:tabs>
          <w:tab w:val="left" w:pos="6300"/>
        </w:tabs>
        <w:snapToGrid w:val="0"/>
        <w:spacing w:line="360" w:lineRule="auto"/>
        <w:ind w:firstLine="570"/>
        <w:rPr>
          <w:rFonts w:hint="eastAsia" w:ascii="仿宋" w:hAnsi="仿宋" w:eastAsia="仿宋" w:cs="仿宋"/>
          <w:color w:val="auto"/>
        </w:rPr>
      </w:pPr>
    </w:p>
    <w:p w14:paraId="7AA58E33">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06B3E905">
      <w:pPr>
        <w:tabs>
          <w:tab w:val="left" w:pos="6300"/>
        </w:tabs>
        <w:snapToGrid w:val="0"/>
        <w:spacing w:line="360" w:lineRule="auto"/>
        <w:ind w:firstLine="570"/>
        <w:rPr>
          <w:rFonts w:hint="eastAsia" w:ascii="仿宋" w:hAnsi="仿宋" w:eastAsia="仿宋" w:cs="仿宋"/>
          <w:color w:val="auto"/>
        </w:rPr>
      </w:pPr>
    </w:p>
    <w:p w14:paraId="2797049A">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（附：法定代表人身份证正反面复印件）</w:t>
      </w:r>
    </w:p>
    <w:p w14:paraId="35208F7C">
      <w:pPr>
        <w:tabs>
          <w:tab w:val="left" w:pos="6300"/>
        </w:tabs>
        <w:snapToGrid w:val="0"/>
        <w:spacing w:line="380" w:lineRule="exact"/>
        <w:ind w:firstLine="570"/>
        <w:rPr>
          <w:rFonts w:hint="eastAsia" w:ascii="仿宋" w:hAnsi="仿宋" w:eastAsia="仿宋" w:cs="仿宋"/>
          <w:color w:val="auto"/>
        </w:rPr>
      </w:pPr>
    </w:p>
    <w:p w14:paraId="364173F4">
      <w:pPr>
        <w:tabs>
          <w:tab w:val="left" w:pos="6300"/>
        </w:tabs>
        <w:snapToGrid w:val="0"/>
        <w:spacing w:line="380" w:lineRule="exact"/>
        <w:ind w:firstLine="570"/>
        <w:rPr>
          <w:rFonts w:hint="eastAsia" w:ascii="仿宋" w:hAnsi="仿宋" w:eastAsia="仿宋" w:cs="仿宋"/>
          <w:color w:val="auto"/>
        </w:rPr>
      </w:pPr>
    </w:p>
    <w:p w14:paraId="25BAE8BF">
      <w:pPr>
        <w:tabs>
          <w:tab w:val="left" w:pos="6300"/>
        </w:tabs>
        <w:snapToGrid w:val="0"/>
        <w:spacing w:line="380" w:lineRule="exact"/>
        <w:ind w:firstLine="570"/>
        <w:rPr>
          <w:rFonts w:hint="eastAsia" w:ascii="仿宋" w:hAnsi="仿宋" w:eastAsia="仿宋" w:cs="仿宋"/>
          <w:color w:val="auto"/>
        </w:rPr>
      </w:pPr>
    </w:p>
    <w:p w14:paraId="4E42853E">
      <w:pPr>
        <w:tabs>
          <w:tab w:val="left" w:pos="6300"/>
        </w:tabs>
        <w:snapToGrid w:val="0"/>
        <w:spacing w:line="380" w:lineRule="exact"/>
        <w:ind w:firstLine="570"/>
        <w:rPr>
          <w:rFonts w:hint="eastAsia" w:ascii="仿宋" w:hAnsi="仿宋" w:eastAsia="仿宋" w:cs="仿宋"/>
          <w:color w:val="auto"/>
        </w:rPr>
      </w:pPr>
    </w:p>
    <w:p w14:paraId="30237247">
      <w:pPr>
        <w:tabs>
          <w:tab w:val="left" w:pos="6300"/>
        </w:tabs>
        <w:snapToGrid w:val="0"/>
        <w:spacing w:line="380" w:lineRule="exact"/>
        <w:ind w:firstLine="570"/>
        <w:rPr>
          <w:rFonts w:hint="eastAsia" w:ascii="仿宋" w:hAnsi="仿宋" w:eastAsia="仿宋" w:cs="仿宋"/>
          <w:color w:val="auto"/>
        </w:rPr>
      </w:pPr>
    </w:p>
    <w:p w14:paraId="3DF65DC6">
      <w:pPr>
        <w:tabs>
          <w:tab w:val="left" w:pos="6300"/>
        </w:tabs>
        <w:snapToGrid w:val="0"/>
        <w:spacing w:line="380" w:lineRule="exact"/>
        <w:ind w:firstLine="570"/>
        <w:rPr>
          <w:rFonts w:hint="eastAsia" w:ascii="仿宋" w:hAnsi="仿宋" w:eastAsia="仿宋" w:cs="仿宋"/>
          <w:color w:val="auto"/>
        </w:rPr>
      </w:pPr>
    </w:p>
    <w:p w14:paraId="7AAC456A">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br w:type="column"/>
      </w:r>
      <w:r>
        <w:rPr>
          <w:rFonts w:hint="eastAsia" w:ascii="仿宋" w:hAnsi="仿宋" w:eastAsia="仿宋" w:cs="仿宋"/>
          <w:color w:val="auto"/>
        </w:rPr>
        <w:t>（三）法定代表人授权委托书（格式）</w:t>
      </w:r>
    </w:p>
    <w:p w14:paraId="760C0E21">
      <w:pPr>
        <w:tabs>
          <w:tab w:val="left" w:pos="6300"/>
        </w:tabs>
        <w:snapToGrid w:val="0"/>
        <w:spacing w:line="360" w:lineRule="auto"/>
        <w:ind w:firstLine="570"/>
        <w:rPr>
          <w:rFonts w:hint="eastAsia" w:ascii="仿宋" w:hAnsi="仿宋" w:eastAsia="仿宋" w:cs="仿宋"/>
          <w:color w:val="auto"/>
        </w:rPr>
      </w:pPr>
    </w:p>
    <w:p w14:paraId="0128F403">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项目名称：</w:t>
      </w:r>
    </w:p>
    <w:p w14:paraId="6BAB9519">
      <w:pPr>
        <w:tabs>
          <w:tab w:val="left" w:pos="6300"/>
        </w:tabs>
        <w:snapToGrid w:val="0"/>
        <w:spacing w:line="360" w:lineRule="auto"/>
        <w:ind w:firstLine="570"/>
        <w:rPr>
          <w:rFonts w:hint="eastAsia" w:ascii="仿宋" w:hAnsi="仿宋" w:eastAsia="仿宋" w:cs="仿宋"/>
          <w:color w:val="auto"/>
        </w:rPr>
      </w:pPr>
    </w:p>
    <w:p w14:paraId="3582686A">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（采购代理机构名称）</w:t>
      </w:r>
      <w:r>
        <w:rPr>
          <w:rFonts w:hint="eastAsia" w:ascii="仿宋" w:hAnsi="仿宋" w:eastAsia="仿宋" w:cs="仿宋"/>
          <w:color w:val="auto"/>
        </w:rPr>
        <w:t>：</w:t>
      </w:r>
    </w:p>
    <w:p w14:paraId="5118A326">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u w:val="single"/>
        </w:rPr>
        <w:t>（供应商法定代表人名称）</w:t>
      </w:r>
      <w:r>
        <w:rPr>
          <w:rFonts w:hint="eastAsia" w:ascii="仿宋" w:hAnsi="仿宋" w:eastAsia="仿宋" w:cs="仿宋"/>
          <w:color w:val="auto"/>
        </w:rPr>
        <w:t>是</w:t>
      </w:r>
      <w:r>
        <w:rPr>
          <w:rFonts w:hint="eastAsia" w:ascii="仿宋" w:hAnsi="仿宋" w:eastAsia="仿宋" w:cs="仿宋"/>
          <w:color w:val="auto"/>
          <w:u w:val="single"/>
        </w:rPr>
        <w:t>（供应商名称）</w:t>
      </w:r>
      <w:r>
        <w:rPr>
          <w:rFonts w:hint="eastAsia" w:ascii="仿宋" w:hAnsi="仿宋" w:eastAsia="仿宋" w:cs="仿宋"/>
          <w:color w:val="auto"/>
        </w:rPr>
        <w:t>的法定代表人，特授权</w:t>
      </w:r>
      <w:r>
        <w:rPr>
          <w:rFonts w:hint="eastAsia" w:ascii="仿宋" w:hAnsi="仿宋" w:eastAsia="仿宋" w:cs="仿宋"/>
          <w:color w:val="auto"/>
          <w:u w:val="single"/>
        </w:rPr>
        <w:t>（被授权人姓名及身份证代码）</w:t>
      </w:r>
      <w:r>
        <w:rPr>
          <w:rFonts w:hint="eastAsia" w:ascii="仿宋" w:hAnsi="仿宋" w:eastAsia="仿宋" w:cs="仿宋"/>
          <w:color w:val="auto"/>
        </w:rPr>
        <w:t>代表我单位全权办理上述项目的比选、签约等具体工作，并签署全部有关文件、协议及合同。</w:t>
      </w:r>
    </w:p>
    <w:p w14:paraId="63DE671C">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我单位对被授权人的签字负全部责任。</w:t>
      </w:r>
    </w:p>
    <w:p w14:paraId="0A89C855">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在撤消授权的书面通知以前，本授权书一直有效。被授权人在授权书有效期内签署的所有文件不因授权的撤消而失效。</w:t>
      </w:r>
    </w:p>
    <w:p w14:paraId="69456FDA">
      <w:pPr>
        <w:tabs>
          <w:tab w:val="left" w:pos="6300"/>
        </w:tabs>
        <w:snapToGrid w:val="0"/>
        <w:spacing w:line="360" w:lineRule="auto"/>
        <w:ind w:firstLine="570"/>
        <w:rPr>
          <w:rFonts w:hint="eastAsia" w:ascii="仿宋" w:hAnsi="仿宋" w:eastAsia="仿宋" w:cs="仿宋"/>
          <w:color w:val="auto"/>
        </w:rPr>
      </w:pPr>
    </w:p>
    <w:p w14:paraId="6FB5745D">
      <w:pPr>
        <w:tabs>
          <w:tab w:val="left" w:pos="6300"/>
        </w:tabs>
        <w:snapToGrid w:val="0"/>
        <w:spacing w:line="360" w:lineRule="auto"/>
        <w:ind w:firstLine="570"/>
        <w:rPr>
          <w:rFonts w:hint="eastAsia" w:ascii="仿宋" w:hAnsi="仿宋" w:eastAsia="仿宋" w:cs="仿宋"/>
          <w:color w:val="auto"/>
        </w:rPr>
      </w:pPr>
    </w:p>
    <w:p w14:paraId="3FF291BF">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被授权人：                                   供应商法定代表人：</w:t>
      </w:r>
    </w:p>
    <w:p w14:paraId="503E9BA8">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（签字或盖章）                              （签字或盖章）</w:t>
      </w:r>
    </w:p>
    <w:p w14:paraId="58D4E54E">
      <w:pPr>
        <w:tabs>
          <w:tab w:val="left" w:pos="6300"/>
        </w:tabs>
        <w:snapToGrid w:val="0"/>
        <w:spacing w:line="360" w:lineRule="auto"/>
        <w:ind w:firstLine="570"/>
        <w:rPr>
          <w:rFonts w:hint="eastAsia" w:ascii="仿宋" w:hAnsi="仿宋" w:eastAsia="仿宋" w:cs="仿宋"/>
          <w:color w:val="auto"/>
        </w:rPr>
      </w:pPr>
    </w:p>
    <w:p w14:paraId="064534DB">
      <w:pPr>
        <w:tabs>
          <w:tab w:val="left" w:pos="6300"/>
        </w:tabs>
        <w:snapToGrid w:val="0"/>
        <w:spacing w:line="360" w:lineRule="auto"/>
        <w:ind w:firstLine="570"/>
        <w:rPr>
          <w:rFonts w:hint="eastAsia" w:ascii="仿宋" w:hAnsi="仿宋" w:eastAsia="仿宋" w:cs="仿宋"/>
          <w:color w:val="auto"/>
        </w:rPr>
      </w:pPr>
    </w:p>
    <w:p w14:paraId="21F51191">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（附：被授权人身份证正反面复印件）</w:t>
      </w:r>
    </w:p>
    <w:p w14:paraId="5CA01808">
      <w:pPr>
        <w:tabs>
          <w:tab w:val="left" w:pos="6300"/>
        </w:tabs>
        <w:snapToGrid w:val="0"/>
        <w:spacing w:line="360" w:lineRule="auto"/>
        <w:ind w:firstLine="570"/>
        <w:rPr>
          <w:rFonts w:hint="eastAsia" w:ascii="仿宋" w:hAnsi="仿宋" w:eastAsia="仿宋" w:cs="仿宋"/>
          <w:color w:val="auto"/>
        </w:rPr>
      </w:pPr>
    </w:p>
    <w:p w14:paraId="4BA76198">
      <w:pPr>
        <w:tabs>
          <w:tab w:val="left" w:pos="6300"/>
        </w:tabs>
        <w:snapToGrid w:val="0"/>
        <w:spacing w:line="360" w:lineRule="auto"/>
        <w:ind w:firstLine="570"/>
        <w:rPr>
          <w:rFonts w:hint="eastAsia" w:ascii="仿宋" w:hAnsi="仿宋" w:eastAsia="仿宋" w:cs="仿宋"/>
          <w:color w:val="auto"/>
        </w:rPr>
      </w:pPr>
    </w:p>
    <w:p w14:paraId="5FCEAF9C">
      <w:pPr>
        <w:tabs>
          <w:tab w:val="left" w:pos="6300"/>
        </w:tabs>
        <w:snapToGrid w:val="0"/>
        <w:spacing w:line="360" w:lineRule="auto"/>
        <w:ind w:firstLine="570"/>
        <w:rPr>
          <w:rFonts w:hint="eastAsia" w:ascii="仿宋" w:hAnsi="仿宋" w:eastAsia="仿宋" w:cs="仿宋"/>
          <w:color w:val="auto"/>
        </w:rPr>
      </w:pPr>
    </w:p>
    <w:p w14:paraId="0D19E6FD">
      <w:pPr>
        <w:tabs>
          <w:tab w:val="left" w:pos="6300"/>
        </w:tabs>
        <w:snapToGrid w:val="0"/>
        <w:spacing w:line="360" w:lineRule="auto"/>
        <w:ind w:right="480" w:firstLine="570"/>
        <w:jc w:val="right"/>
        <w:rPr>
          <w:rFonts w:hint="eastAsia" w:ascii="仿宋" w:hAnsi="仿宋" w:eastAsia="仿宋" w:cs="仿宋"/>
          <w:color w:val="auto"/>
        </w:rPr>
      </w:pPr>
      <w:r>
        <w:rPr>
          <w:rFonts w:hint="eastAsia" w:ascii="仿宋" w:hAnsi="仿宋" w:eastAsia="仿宋" w:cs="仿宋"/>
          <w:color w:val="auto"/>
        </w:rPr>
        <w:t>（供应商公章）</w:t>
      </w:r>
    </w:p>
    <w:p w14:paraId="2926F9F7">
      <w:pPr>
        <w:tabs>
          <w:tab w:val="left" w:pos="6300"/>
        </w:tabs>
        <w:snapToGrid w:val="0"/>
        <w:spacing w:line="360" w:lineRule="auto"/>
        <w:ind w:right="480" w:firstLine="570"/>
        <w:jc w:val="right"/>
        <w:rPr>
          <w:rFonts w:hint="eastAsia" w:ascii="仿宋" w:hAnsi="仿宋" w:eastAsia="仿宋" w:cs="仿宋"/>
          <w:color w:val="auto"/>
        </w:rPr>
      </w:pPr>
      <w:r>
        <w:rPr>
          <w:rFonts w:hint="eastAsia" w:ascii="仿宋" w:hAnsi="仿宋" w:eastAsia="仿宋" w:cs="仿宋"/>
          <w:color w:val="auto"/>
        </w:rPr>
        <w:t>年   月   日</w:t>
      </w:r>
    </w:p>
    <w:p w14:paraId="26968CD8">
      <w:pPr>
        <w:pStyle w:val="6"/>
        <w:rPr>
          <w:rFonts w:hint="eastAsia" w:ascii="仿宋" w:hAnsi="仿宋" w:eastAsia="仿宋" w:cs="仿宋"/>
          <w:color w:val="auto"/>
        </w:rPr>
      </w:pPr>
    </w:p>
    <w:p w14:paraId="5DFDF5AD">
      <w:pPr>
        <w:pStyle w:val="6"/>
        <w:rPr>
          <w:rFonts w:hint="eastAsia" w:ascii="仿宋" w:hAnsi="仿宋" w:eastAsia="仿宋" w:cs="仿宋"/>
          <w:color w:val="auto"/>
        </w:rPr>
      </w:pPr>
    </w:p>
    <w:p w14:paraId="6094DDD2">
      <w:pPr>
        <w:pStyle w:val="6"/>
        <w:rPr>
          <w:rFonts w:hint="eastAsia" w:ascii="仿宋" w:hAnsi="仿宋" w:eastAsia="仿宋" w:cs="仿宋"/>
          <w:color w:val="auto"/>
        </w:rPr>
      </w:pPr>
    </w:p>
    <w:p w14:paraId="2B282475">
      <w:pPr>
        <w:pStyle w:val="6"/>
        <w:rPr>
          <w:rFonts w:hint="eastAsia" w:ascii="仿宋" w:hAnsi="仿宋" w:eastAsia="仿宋" w:cs="仿宋"/>
          <w:color w:val="auto"/>
        </w:rPr>
      </w:pPr>
    </w:p>
    <w:p w14:paraId="418AC6EF">
      <w:pPr>
        <w:pStyle w:val="6"/>
        <w:rPr>
          <w:rFonts w:hint="eastAsia" w:ascii="仿宋" w:hAnsi="仿宋" w:eastAsia="仿宋" w:cs="仿宋"/>
          <w:color w:val="auto"/>
        </w:rPr>
      </w:pPr>
    </w:p>
    <w:p w14:paraId="1DB9015B">
      <w:pPr>
        <w:pStyle w:val="6"/>
        <w:rPr>
          <w:rFonts w:hint="eastAsia" w:ascii="仿宋" w:hAnsi="仿宋" w:eastAsia="仿宋" w:cs="仿宋"/>
          <w:color w:val="auto"/>
        </w:rPr>
      </w:pPr>
    </w:p>
    <w:p w14:paraId="6F419573">
      <w:pPr>
        <w:pStyle w:val="6"/>
        <w:rPr>
          <w:rFonts w:hint="eastAsia" w:ascii="仿宋" w:hAnsi="仿宋" w:eastAsia="仿宋" w:cs="仿宋"/>
          <w:color w:val="auto"/>
        </w:rPr>
      </w:pPr>
    </w:p>
    <w:p w14:paraId="13372A4B">
      <w:pPr>
        <w:pStyle w:val="6"/>
        <w:rPr>
          <w:rFonts w:hint="eastAsia" w:ascii="仿宋" w:hAnsi="仿宋" w:eastAsia="仿宋" w:cs="仿宋"/>
          <w:color w:val="auto"/>
        </w:rPr>
      </w:pPr>
    </w:p>
    <w:p w14:paraId="64B765B5">
      <w:pPr>
        <w:pStyle w:val="6"/>
        <w:rPr>
          <w:rFonts w:hint="eastAsia" w:ascii="仿宋" w:hAnsi="仿宋" w:eastAsia="仿宋" w:cs="仿宋"/>
          <w:color w:val="auto"/>
        </w:rPr>
      </w:pPr>
    </w:p>
    <w:p w14:paraId="4FC73742">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（四）基本资格条件承诺函</w:t>
      </w:r>
    </w:p>
    <w:p w14:paraId="4F7CC463">
      <w:pPr>
        <w:tabs>
          <w:tab w:val="left" w:pos="6300"/>
        </w:tabs>
        <w:snapToGrid w:val="0"/>
        <w:spacing w:line="500" w:lineRule="exact"/>
        <w:rPr>
          <w:rFonts w:hint="eastAsia" w:ascii="仿宋" w:hAnsi="仿宋" w:eastAsia="仿宋" w:cs="仿宋"/>
          <w:color w:val="auto"/>
        </w:rPr>
      </w:pPr>
    </w:p>
    <w:p w14:paraId="389C9C6F">
      <w:pPr>
        <w:tabs>
          <w:tab w:val="left" w:pos="6300"/>
        </w:tabs>
        <w:snapToGrid w:val="0"/>
        <w:spacing w:line="50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基本资格条件承诺函</w:t>
      </w:r>
    </w:p>
    <w:p w14:paraId="24DF2BCC">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致 </w:t>
      </w:r>
    </w:p>
    <w:p w14:paraId="571A4C88">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（采购代理机构名称）： </w:t>
      </w:r>
    </w:p>
    <w:p w14:paraId="62049A9D">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（投标人名称）郑重承诺： </w:t>
      </w:r>
    </w:p>
    <w:p w14:paraId="1BE6FBCF">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5FD7AE9B">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2.我方未列入在信用中国网站（www.creditchina.gov.cn）“失信被执行人”、“重大税收违法案件当事人名单”中，也未列入中国政府采购网（www.ccgp.gov.cn）“政府采购严重违法失信行为记录名单”中。 </w:t>
      </w:r>
    </w:p>
    <w:p w14:paraId="4B440E09">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3.我方在采购项目评审（评标）环节结束后，随时接受采购人、采购代理机构的检查验证，配合提供相关证明材料，证明符合《中华人民共和国政府采购法》规定的投标人基本资格条件。我方对以上承诺负全部法律责任。特此承诺。</w:t>
      </w:r>
    </w:p>
    <w:p w14:paraId="34C631E6">
      <w:pPr>
        <w:pStyle w:val="6"/>
        <w:rPr>
          <w:rFonts w:hint="eastAsia" w:ascii="仿宋" w:hAnsi="仿宋" w:eastAsia="仿宋" w:cs="仿宋"/>
          <w:color w:val="auto"/>
        </w:rPr>
      </w:pPr>
    </w:p>
    <w:p w14:paraId="623624B6">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                                               （投标人公章） </w:t>
      </w:r>
    </w:p>
    <w:p w14:paraId="12745E04">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6B0CEC35">
      <w:pPr>
        <w:tabs>
          <w:tab w:val="left" w:pos="6300"/>
        </w:tabs>
        <w:snapToGrid w:val="0"/>
        <w:spacing w:line="500" w:lineRule="exact"/>
        <w:rPr>
          <w:rFonts w:hint="eastAsia" w:ascii="仿宋" w:hAnsi="仿宋" w:eastAsia="仿宋" w:cs="仿宋"/>
          <w:color w:val="auto"/>
        </w:rPr>
      </w:pPr>
      <w:r>
        <w:rPr>
          <w:rFonts w:hint="eastAsia" w:ascii="仿宋" w:hAnsi="仿宋" w:eastAsia="仿宋" w:cs="仿宋"/>
          <w:color w:val="auto"/>
        </w:rPr>
        <w:br w:type="page"/>
      </w:r>
    </w:p>
    <w:p w14:paraId="0B976C50">
      <w:pPr>
        <w:pStyle w:val="4"/>
        <w:rPr>
          <w:rFonts w:hint="eastAsia" w:ascii="仿宋" w:hAnsi="仿宋" w:eastAsia="仿宋" w:cs="仿宋"/>
          <w:color w:val="auto"/>
          <w:sz w:val="24"/>
          <w:szCs w:val="24"/>
        </w:rPr>
      </w:pPr>
      <w:bookmarkStart w:id="221" w:name="_Toc29032"/>
      <w:bookmarkStart w:id="222" w:name="_Toc486585244"/>
      <w:bookmarkStart w:id="223" w:name="_Toc487204801"/>
      <w:bookmarkStart w:id="224" w:name="_Toc486608281"/>
      <w:bookmarkStart w:id="225" w:name="_Toc11824"/>
      <w:bookmarkStart w:id="226" w:name="_Toc14816"/>
      <w:r>
        <w:rPr>
          <w:rFonts w:hint="eastAsia" w:ascii="仿宋" w:hAnsi="仿宋" w:eastAsia="仿宋" w:cs="仿宋"/>
          <w:color w:val="auto"/>
          <w:sz w:val="24"/>
          <w:szCs w:val="24"/>
        </w:rPr>
        <w:t>五、其他应提供的资料</w:t>
      </w:r>
      <w:bookmarkEnd w:id="221"/>
      <w:bookmarkEnd w:id="222"/>
      <w:bookmarkEnd w:id="223"/>
      <w:bookmarkEnd w:id="224"/>
      <w:bookmarkEnd w:id="225"/>
      <w:bookmarkEnd w:id="226"/>
    </w:p>
    <w:p w14:paraId="591CB6FD">
      <w:pPr>
        <w:spacing w:line="380" w:lineRule="exact"/>
        <w:rPr>
          <w:rFonts w:hint="eastAsia" w:ascii="仿宋" w:hAnsi="仿宋" w:eastAsia="仿宋" w:cs="仿宋"/>
          <w:color w:val="auto"/>
        </w:rPr>
      </w:pPr>
      <w:r>
        <w:rPr>
          <w:rFonts w:hint="eastAsia" w:ascii="仿宋" w:hAnsi="仿宋" w:eastAsia="仿宋" w:cs="仿宋"/>
          <w:color w:val="auto"/>
        </w:rPr>
        <w:t>（一）其他与项目有关的资料（如有）</w:t>
      </w:r>
    </w:p>
    <w:p w14:paraId="20E25CFA">
      <w:pPr>
        <w:spacing w:line="380" w:lineRule="exact"/>
        <w:rPr>
          <w:rFonts w:hint="eastAsia" w:ascii="仿宋" w:hAnsi="仿宋" w:eastAsia="仿宋" w:cs="仿宋"/>
          <w:color w:val="auto"/>
        </w:rPr>
      </w:pPr>
      <w:r>
        <w:rPr>
          <w:rFonts w:hint="eastAsia" w:ascii="仿宋" w:hAnsi="仿宋" w:eastAsia="仿宋" w:cs="仿宋"/>
          <w:color w:val="auto"/>
        </w:rPr>
        <w:t>其他与项目有关的资料（自附）：供应商总体情况介绍、其他与本项目有关的资料等。</w:t>
      </w:r>
    </w:p>
    <w:p w14:paraId="28A251A2">
      <w:pPr>
        <w:spacing w:line="380" w:lineRule="exact"/>
        <w:rPr>
          <w:rFonts w:hint="eastAsia" w:ascii="仿宋" w:hAnsi="仿宋" w:eastAsia="仿宋" w:cs="仿宋"/>
          <w:color w:val="auto"/>
        </w:rPr>
      </w:pPr>
    </w:p>
    <w:p w14:paraId="3117C0AB">
      <w:pPr>
        <w:spacing w:line="380" w:lineRule="exact"/>
        <w:rPr>
          <w:rFonts w:hint="eastAsia" w:ascii="仿宋" w:hAnsi="仿宋" w:eastAsia="仿宋" w:cs="仿宋"/>
          <w:color w:val="auto"/>
        </w:rPr>
      </w:pPr>
    </w:p>
    <w:p w14:paraId="6663F2F9">
      <w:pPr>
        <w:rPr>
          <w:rFonts w:hint="eastAsia" w:ascii="仿宋" w:hAnsi="仿宋" w:eastAsia="仿宋" w:cs="仿宋"/>
          <w:color w:val="auto"/>
        </w:rPr>
      </w:pPr>
    </w:p>
    <w:p w14:paraId="02E18FBE">
      <w:pPr>
        <w:rPr>
          <w:rFonts w:hint="eastAsia" w:ascii="仿宋" w:hAnsi="仿宋" w:eastAsia="仿宋" w:cs="仿宋"/>
          <w:color w:val="auto"/>
        </w:rPr>
      </w:pPr>
    </w:p>
    <w:p w14:paraId="68E8D902">
      <w:pPr>
        <w:jc w:val="center"/>
        <w:rPr>
          <w:rFonts w:hint="eastAsia" w:ascii="仿宋" w:hAnsi="仿宋" w:eastAsia="仿宋" w:cs="仿宋"/>
          <w:color w:val="auto"/>
        </w:rPr>
      </w:pPr>
    </w:p>
    <w:p w14:paraId="763ACA19">
      <w:pPr>
        <w:jc w:val="center"/>
        <w:rPr>
          <w:rFonts w:hint="eastAsia" w:ascii="仿宋" w:hAnsi="仿宋" w:eastAsia="仿宋" w:cs="仿宋"/>
          <w:color w:val="auto"/>
        </w:rPr>
      </w:pPr>
    </w:p>
    <w:p w14:paraId="1357259C">
      <w:pPr>
        <w:jc w:val="center"/>
        <w:rPr>
          <w:rFonts w:hint="eastAsia" w:ascii="仿宋" w:hAnsi="仿宋" w:eastAsia="仿宋" w:cs="仿宋"/>
          <w:color w:val="auto"/>
        </w:rPr>
      </w:pPr>
    </w:p>
    <w:p w14:paraId="211F4944">
      <w:pPr>
        <w:jc w:val="center"/>
        <w:rPr>
          <w:rFonts w:hint="eastAsia" w:ascii="仿宋" w:hAnsi="仿宋" w:eastAsia="仿宋" w:cs="仿宋"/>
          <w:color w:val="auto"/>
        </w:rPr>
      </w:pPr>
    </w:p>
    <w:p w14:paraId="3D5FF63B">
      <w:pPr>
        <w:jc w:val="center"/>
        <w:rPr>
          <w:rFonts w:hint="eastAsia" w:ascii="仿宋" w:hAnsi="仿宋" w:eastAsia="仿宋" w:cs="仿宋"/>
          <w:color w:val="auto"/>
        </w:rPr>
      </w:pPr>
    </w:p>
    <w:p w14:paraId="0EE25429">
      <w:pPr>
        <w:jc w:val="center"/>
        <w:rPr>
          <w:rFonts w:hint="eastAsia" w:ascii="仿宋" w:hAnsi="仿宋" w:eastAsia="仿宋" w:cs="仿宋"/>
          <w:color w:val="auto"/>
        </w:rPr>
      </w:pPr>
    </w:p>
    <w:p w14:paraId="5EE956B9">
      <w:pPr>
        <w:jc w:val="center"/>
        <w:rPr>
          <w:rFonts w:hint="eastAsia" w:ascii="仿宋" w:hAnsi="仿宋" w:eastAsia="仿宋" w:cs="仿宋"/>
          <w:color w:val="auto"/>
        </w:rPr>
      </w:pPr>
    </w:p>
    <w:p w14:paraId="5F5E8FF3">
      <w:pPr>
        <w:jc w:val="center"/>
        <w:rPr>
          <w:rFonts w:hint="eastAsia" w:ascii="仿宋" w:hAnsi="仿宋" w:eastAsia="仿宋" w:cs="仿宋"/>
          <w:color w:val="auto"/>
        </w:rPr>
      </w:pPr>
      <w:r>
        <w:rPr>
          <w:rFonts w:hint="eastAsia" w:ascii="仿宋" w:hAnsi="仿宋" w:eastAsia="仿宋" w:cs="仿宋"/>
          <w:color w:val="auto"/>
        </w:rPr>
        <w:t>（结束）</w:t>
      </w:r>
    </w:p>
    <w:p w14:paraId="28A63E21">
      <w:pPr>
        <w:pStyle w:val="6"/>
        <w:rPr>
          <w:rFonts w:hint="eastAsia" w:ascii="仿宋" w:hAnsi="仿宋" w:eastAsia="仿宋" w:cs="仿宋"/>
          <w:color w:val="auto"/>
        </w:rPr>
      </w:pPr>
    </w:p>
    <w:p w14:paraId="125E2FE8">
      <w:pPr>
        <w:pStyle w:val="6"/>
        <w:rPr>
          <w:rFonts w:hint="eastAsia" w:ascii="仿宋" w:hAnsi="仿宋" w:eastAsia="仿宋" w:cs="仿宋"/>
          <w:color w:val="auto"/>
        </w:rPr>
      </w:pPr>
    </w:p>
    <w:p w14:paraId="205FAA32">
      <w:pPr>
        <w:pStyle w:val="6"/>
        <w:rPr>
          <w:rFonts w:hint="eastAsia" w:ascii="仿宋" w:hAnsi="仿宋" w:eastAsia="仿宋" w:cs="仿宋"/>
          <w:color w:val="auto"/>
        </w:rPr>
      </w:pPr>
    </w:p>
    <w:p w14:paraId="720AD4E6">
      <w:pPr>
        <w:pStyle w:val="6"/>
        <w:rPr>
          <w:rFonts w:hint="eastAsia" w:ascii="仿宋" w:hAnsi="仿宋" w:eastAsia="仿宋" w:cs="仿宋"/>
          <w:color w:val="auto"/>
        </w:rPr>
      </w:pPr>
    </w:p>
    <w:p w14:paraId="2F7CA721">
      <w:pPr>
        <w:pStyle w:val="6"/>
        <w:rPr>
          <w:rFonts w:hint="eastAsia" w:ascii="仿宋" w:hAnsi="仿宋" w:eastAsia="仿宋" w:cs="仿宋"/>
          <w:color w:val="auto"/>
        </w:rPr>
      </w:pPr>
    </w:p>
    <w:p w14:paraId="39FC7D9F">
      <w:pPr>
        <w:pStyle w:val="6"/>
        <w:rPr>
          <w:rFonts w:hint="eastAsia" w:ascii="仿宋" w:hAnsi="仿宋" w:eastAsia="仿宋" w:cs="仿宋"/>
          <w:color w:val="auto"/>
        </w:rPr>
      </w:pPr>
    </w:p>
    <w:p w14:paraId="1C5BD318">
      <w:pPr>
        <w:pStyle w:val="6"/>
        <w:rPr>
          <w:rFonts w:hint="eastAsia" w:ascii="仿宋" w:hAnsi="仿宋" w:eastAsia="仿宋" w:cs="仿宋"/>
          <w:color w:val="auto"/>
        </w:rPr>
      </w:pPr>
    </w:p>
    <w:p w14:paraId="62F630EE">
      <w:pPr>
        <w:pStyle w:val="6"/>
        <w:rPr>
          <w:rFonts w:hint="eastAsia" w:ascii="仿宋" w:hAnsi="仿宋" w:eastAsia="仿宋" w:cs="仿宋"/>
          <w:color w:val="auto"/>
        </w:rPr>
      </w:pPr>
    </w:p>
    <w:p w14:paraId="69E80386">
      <w:pPr>
        <w:pStyle w:val="6"/>
        <w:rPr>
          <w:rFonts w:hint="eastAsia" w:ascii="仿宋" w:hAnsi="仿宋" w:eastAsia="仿宋" w:cs="仿宋"/>
          <w:color w:val="auto"/>
        </w:rPr>
      </w:pPr>
    </w:p>
    <w:p w14:paraId="5F35BEC5">
      <w:pPr>
        <w:pStyle w:val="6"/>
        <w:rPr>
          <w:rFonts w:hint="eastAsia" w:ascii="仿宋" w:hAnsi="仿宋" w:eastAsia="仿宋" w:cs="仿宋"/>
          <w:color w:val="auto"/>
        </w:rPr>
      </w:pPr>
    </w:p>
    <w:p w14:paraId="5792CB84">
      <w:pPr>
        <w:pStyle w:val="6"/>
        <w:rPr>
          <w:rFonts w:hint="eastAsia" w:ascii="仿宋" w:hAnsi="仿宋" w:eastAsia="仿宋" w:cs="仿宋"/>
          <w:color w:val="auto"/>
        </w:rPr>
      </w:pPr>
    </w:p>
    <w:p w14:paraId="397A670A">
      <w:pPr>
        <w:pStyle w:val="6"/>
        <w:rPr>
          <w:rFonts w:hint="eastAsia" w:ascii="仿宋" w:hAnsi="仿宋" w:eastAsia="仿宋" w:cs="仿宋"/>
          <w:color w:val="auto"/>
        </w:rPr>
      </w:pPr>
    </w:p>
    <w:p w14:paraId="0CFAFD2C">
      <w:pPr>
        <w:pStyle w:val="6"/>
        <w:rPr>
          <w:rFonts w:hint="eastAsia" w:ascii="仿宋" w:hAnsi="仿宋" w:eastAsia="仿宋" w:cs="仿宋"/>
          <w:color w:val="auto"/>
        </w:rPr>
      </w:pPr>
    </w:p>
    <w:p w14:paraId="513FE7C8">
      <w:pPr>
        <w:pStyle w:val="6"/>
        <w:rPr>
          <w:rFonts w:hint="eastAsia" w:ascii="仿宋" w:hAnsi="仿宋" w:eastAsia="仿宋" w:cs="仿宋"/>
          <w:color w:val="auto"/>
        </w:rPr>
      </w:pPr>
    </w:p>
    <w:p w14:paraId="15381F48">
      <w:pPr>
        <w:pStyle w:val="6"/>
        <w:rPr>
          <w:rFonts w:hint="eastAsia" w:ascii="仿宋" w:hAnsi="仿宋" w:eastAsia="仿宋" w:cs="仿宋"/>
          <w:color w:val="auto"/>
        </w:rPr>
      </w:pPr>
    </w:p>
    <w:p w14:paraId="78181411">
      <w:pPr>
        <w:pStyle w:val="52"/>
        <w:rPr>
          <w:rFonts w:hint="eastAsia" w:ascii="仿宋" w:hAnsi="仿宋" w:eastAsia="仿宋" w:cs="仿宋"/>
          <w:color w:val="auto"/>
        </w:rPr>
      </w:pPr>
    </w:p>
    <w:p w14:paraId="2C916810">
      <w:pPr>
        <w:rPr>
          <w:rFonts w:hint="eastAsia" w:ascii="仿宋" w:hAnsi="仿宋" w:eastAsia="仿宋" w:cs="仿宋"/>
          <w:color w:val="auto"/>
        </w:rPr>
      </w:pPr>
    </w:p>
    <w:p w14:paraId="45311E9A">
      <w:pPr>
        <w:pStyle w:val="6"/>
        <w:rPr>
          <w:rFonts w:hint="eastAsia" w:ascii="仿宋" w:hAnsi="仿宋" w:eastAsia="仿宋" w:cs="仿宋"/>
          <w:color w:val="auto"/>
        </w:rPr>
      </w:pPr>
    </w:p>
    <w:p w14:paraId="77C429EE">
      <w:pPr>
        <w:rPr>
          <w:rFonts w:hint="eastAsia" w:ascii="仿宋" w:hAnsi="仿宋" w:eastAsia="仿宋" w:cs="仿宋"/>
          <w:color w:val="auto"/>
          <w:lang w:val="zh-CN"/>
        </w:rPr>
      </w:pPr>
    </w:p>
    <w:p w14:paraId="3785911A">
      <w:pPr>
        <w:pStyle w:val="72"/>
        <w:jc w:val="both"/>
        <w:rPr>
          <w:rFonts w:hint="eastAsia" w:ascii="仿宋" w:hAnsi="仿宋" w:eastAsia="仿宋" w:cs="仿宋"/>
          <w:color w:val="auto"/>
          <w:sz w:val="36"/>
          <w:szCs w:val="36"/>
        </w:rPr>
      </w:pPr>
      <w:bookmarkStart w:id="227" w:name="_Toc3096"/>
      <w:bookmarkStart w:id="228" w:name="_Toc23244"/>
      <w:bookmarkStart w:id="229" w:name="_Toc23781"/>
      <w:r>
        <w:rPr>
          <w:rFonts w:hint="eastAsia" w:ascii="仿宋" w:hAnsi="仿宋" w:eastAsia="仿宋" w:cs="仿宋"/>
          <w:color w:val="auto"/>
          <w:sz w:val="36"/>
          <w:szCs w:val="36"/>
        </w:rPr>
        <w:t>附件：</w:t>
      </w:r>
      <w:bookmarkEnd w:id="227"/>
      <w:bookmarkEnd w:id="228"/>
      <w:bookmarkEnd w:id="229"/>
    </w:p>
    <w:p w14:paraId="7320B797">
      <w:pPr>
        <w:jc w:val="center"/>
        <w:rPr>
          <w:rFonts w:hint="eastAsia" w:ascii="仿宋" w:hAnsi="仿宋" w:eastAsia="仿宋" w:cs="仿宋"/>
          <w:color w:val="auto"/>
        </w:rPr>
      </w:pPr>
    </w:p>
    <w:p w14:paraId="7D66267B">
      <w:pPr>
        <w:jc w:val="center"/>
        <w:rPr>
          <w:rFonts w:hint="eastAsia" w:ascii="仿宋" w:hAnsi="仿宋" w:eastAsia="仿宋" w:cs="仿宋"/>
          <w:b/>
          <w:bCs/>
          <w:color w:val="auto"/>
          <w:sz w:val="44"/>
          <w:szCs w:val="44"/>
        </w:rPr>
      </w:pPr>
      <w:r>
        <w:rPr>
          <w:rFonts w:hint="eastAsia" w:ascii="仿宋" w:hAnsi="仿宋" w:eastAsia="仿宋" w:cs="仿宋"/>
          <w:color w:val="auto"/>
        </w:rPr>
        <w:t xml:space="preserve"> </w:t>
      </w:r>
      <w:r>
        <w:rPr>
          <w:rFonts w:hint="eastAsia" w:ascii="仿宋" w:hAnsi="仿宋" w:eastAsia="仿宋" w:cs="仿宋"/>
          <w:b/>
          <w:bCs/>
          <w:color w:val="auto"/>
          <w:sz w:val="44"/>
          <w:szCs w:val="44"/>
        </w:rPr>
        <w:t>比选文件发售登记表</w:t>
      </w:r>
    </w:p>
    <w:p w14:paraId="4F74CF33">
      <w:pPr>
        <w:jc w:val="center"/>
        <w:rPr>
          <w:rFonts w:hint="eastAsia" w:ascii="仿宋" w:hAnsi="仿宋" w:eastAsia="仿宋" w:cs="仿宋"/>
          <w:b/>
          <w:bCs/>
          <w:color w:val="auto"/>
          <w:sz w:val="44"/>
          <w:szCs w:val="44"/>
        </w:rPr>
      </w:pPr>
      <w:r>
        <w:rPr>
          <w:rFonts w:hint="eastAsia" w:ascii="仿宋" w:hAnsi="仿宋" w:eastAsia="仿宋" w:cs="仿宋"/>
          <w:b/>
          <w:bCs/>
          <w:color w:val="auto"/>
          <w:szCs w:val="21"/>
        </w:rPr>
        <w:t>（坤博工程咨询（重庆）有限公司）</w:t>
      </w:r>
    </w:p>
    <w:p w14:paraId="62144666">
      <w:pPr>
        <w:rPr>
          <w:rFonts w:hint="eastAsia" w:ascii="仿宋" w:hAnsi="仿宋" w:eastAsia="仿宋" w:cs="仿宋"/>
          <w:b/>
          <w:bCs/>
          <w:color w:val="auto"/>
          <w:spacing w:val="40"/>
        </w:rPr>
      </w:pPr>
    </w:p>
    <w:tbl>
      <w:tblPr>
        <w:tblStyle w:val="26"/>
        <w:tblW w:w="91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4A6DB1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48" w:type="dxa"/>
            <w:vAlign w:val="center"/>
          </w:tcPr>
          <w:p w14:paraId="34825984">
            <w:pPr>
              <w:jc w:val="center"/>
              <w:rPr>
                <w:rFonts w:hint="eastAsia" w:ascii="仿宋" w:hAnsi="仿宋" w:eastAsia="仿宋" w:cs="仿宋"/>
                <w:color w:val="auto"/>
              </w:rPr>
            </w:pPr>
            <w:r>
              <w:rPr>
                <w:rFonts w:hint="eastAsia" w:ascii="仿宋" w:hAnsi="仿宋" w:eastAsia="仿宋" w:cs="仿宋"/>
                <w:color w:val="auto"/>
              </w:rPr>
              <w:t>项目号</w:t>
            </w:r>
          </w:p>
        </w:tc>
        <w:tc>
          <w:tcPr>
            <w:tcW w:w="7226" w:type="dxa"/>
            <w:gridSpan w:val="3"/>
            <w:vAlign w:val="center"/>
          </w:tcPr>
          <w:p w14:paraId="70E0A15D">
            <w:pPr>
              <w:spacing w:line="360" w:lineRule="exact"/>
              <w:jc w:val="center"/>
              <w:rPr>
                <w:rFonts w:hint="eastAsia" w:ascii="仿宋" w:hAnsi="仿宋" w:eastAsia="仿宋" w:cs="仿宋"/>
                <w:color w:val="auto"/>
              </w:rPr>
            </w:pPr>
          </w:p>
        </w:tc>
      </w:tr>
      <w:tr w14:paraId="0BBA37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6E0FF8DB">
            <w:pPr>
              <w:spacing w:line="360" w:lineRule="exact"/>
              <w:jc w:val="center"/>
              <w:rPr>
                <w:rFonts w:hint="eastAsia" w:ascii="仿宋" w:hAnsi="仿宋" w:eastAsia="仿宋" w:cs="仿宋"/>
                <w:color w:val="auto"/>
              </w:rPr>
            </w:pPr>
            <w:r>
              <w:rPr>
                <w:rFonts w:hint="eastAsia" w:ascii="仿宋" w:hAnsi="仿宋" w:eastAsia="仿宋" w:cs="仿宋"/>
                <w:color w:val="auto"/>
              </w:rPr>
              <w:t>项目名称</w:t>
            </w:r>
          </w:p>
        </w:tc>
        <w:tc>
          <w:tcPr>
            <w:tcW w:w="7226" w:type="dxa"/>
            <w:gridSpan w:val="3"/>
            <w:vAlign w:val="center"/>
          </w:tcPr>
          <w:p w14:paraId="2AFF9D09">
            <w:pPr>
              <w:spacing w:line="360" w:lineRule="exact"/>
              <w:jc w:val="center"/>
              <w:rPr>
                <w:rFonts w:hint="eastAsia" w:ascii="仿宋" w:hAnsi="仿宋" w:eastAsia="仿宋" w:cs="仿宋"/>
                <w:color w:val="auto"/>
              </w:rPr>
            </w:pPr>
            <w:r>
              <w:rPr>
                <w:rFonts w:hint="eastAsia" w:ascii="仿宋" w:hAnsi="仿宋" w:eastAsia="仿宋" w:cs="仿宋"/>
                <w:color w:val="auto"/>
                <w:lang w:eastAsia="zh-CN"/>
              </w:rPr>
              <w:t>马嘴实验学校围墙等附属设施维修项目</w:t>
            </w:r>
          </w:p>
        </w:tc>
      </w:tr>
      <w:tr w14:paraId="2FB92C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27AD9F2">
            <w:pPr>
              <w:spacing w:line="360" w:lineRule="exact"/>
              <w:jc w:val="center"/>
              <w:rPr>
                <w:rFonts w:hint="eastAsia" w:ascii="仿宋" w:hAnsi="仿宋" w:eastAsia="仿宋" w:cs="仿宋"/>
                <w:color w:val="auto"/>
              </w:rPr>
            </w:pPr>
            <w:r>
              <w:rPr>
                <w:rFonts w:hint="eastAsia" w:ascii="仿宋" w:hAnsi="仿宋" w:eastAsia="仿宋" w:cs="仿宋"/>
                <w:color w:val="auto"/>
              </w:rPr>
              <w:t>投标人名称</w:t>
            </w:r>
          </w:p>
        </w:tc>
        <w:tc>
          <w:tcPr>
            <w:tcW w:w="7226" w:type="dxa"/>
            <w:gridSpan w:val="3"/>
            <w:vAlign w:val="bottom"/>
          </w:tcPr>
          <w:p w14:paraId="2713F58C">
            <w:pPr>
              <w:spacing w:line="360" w:lineRule="exact"/>
              <w:jc w:val="right"/>
              <w:rPr>
                <w:rFonts w:hint="eastAsia" w:ascii="仿宋" w:hAnsi="仿宋" w:eastAsia="仿宋" w:cs="仿宋"/>
                <w:color w:val="auto"/>
              </w:rPr>
            </w:pPr>
            <w:r>
              <w:rPr>
                <w:rFonts w:hint="eastAsia" w:ascii="仿宋" w:hAnsi="仿宋" w:eastAsia="仿宋" w:cs="仿宋"/>
                <w:color w:val="auto"/>
              </w:rPr>
              <w:t>（投标人公章）</w:t>
            </w:r>
          </w:p>
        </w:tc>
      </w:tr>
      <w:tr w14:paraId="26BD68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B239EA6">
            <w:pPr>
              <w:spacing w:line="360" w:lineRule="exact"/>
              <w:jc w:val="center"/>
              <w:rPr>
                <w:rFonts w:hint="eastAsia" w:ascii="仿宋" w:hAnsi="仿宋" w:eastAsia="仿宋" w:cs="仿宋"/>
                <w:color w:val="auto"/>
              </w:rPr>
            </w:pPr>
            <w:r>
              <w:rPr>
                <w:rFonts w:hint="eastAsia" w:ascii="仿宋" w:hAnsi="仿宋" w:eastAsia="仿宋" w:cs="仿宋"/>
                <w:color w:val="auto"/>
              </w:rPr>
              <w:t>联系人</w:t>
            </w:r>
          </w:p>
        </w:tc>
        <w:tc>
          <w:tcPr>
            <w:tcW w:w="2573" w:type="dxa"/>
            <w:vAlign w:val="center"/>
          </w:tcPr>
          <w:p w14:paraId="465181F6">
            <w:pPr>
              <w:spacing w:line="360" w:lineRule="exact"/>
              <w:rPr>
                <w:rFonts w:hint="eastAsia" w:ascii="仿宋" w:hAnsi="仿宋" w:eastAsia="仿宋" w:cs="仿宋"/>
                <w:color w:val="auto"/>
              </w:rPr>
            </w:pPr>
          </w:p>
        </w:tc>
        <w:tc>
          <w:tcPr>
            <w:tcW w:w="1084" w:type="dxa"/>
            <w:vAlign w:val="center"/>
          </w:tcPr>
          <w:p w14:paraId="09634653">
            <w:pPr>
              <w:spacing w:line="360" w:lineRule="exact"/>
              <w:jc w:val="center"/>
              <w:rPr>
                <w:rFonts w:hint="eastAsia" w:ascii="仿宋" w:hAnsi="仿宋" w:eastAsia="仿宋" w:cs="仿宋"/>
                <w:color w:val="auto"/>
              </w:rPr>
            </w:pPr>
            <w:r>
              <w:rPr>
                <w:rFonts w:hint="eastAsia" w:ascii="仿宋" w:hAnsi="仿宋" w:eastAsia="仿宋" w:cs="仿宋"/>
                <w:color w:val="auto"/>
              </w:rPr>
              <w:t>手机</w:t>
            </w:r>
          </w:p>
        </w:tc>
        <w:tc>
          <w:tcPr>
            <w:tcW w:w="3569" w:type="dxa"/>
            <w:vAlign w:val="center"/>
          </w:tcPr>
          <w:p w14:paraId="081EB408">
            <w:pPr>
              <w:spacing w:line="360" w:lineRule="exact"/>
              <w:rPr>
                <w:rFonts w:hint="eastAsia" w:ascii="仿宋" w:hAnsi="仿宋" w:eastAsia="仿宋" w:cs="仿宋"/>
                <w:color w:val="auto"/>
              </w:rPr>
            </w:pPr>
          </w:p>
        </w:tc>
      </w:tr>
      <w:tr w14:paraId="567AC5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7C1E77A">
            <w:pPr>
              <w:spacing w:line="360" w:lineRule="exact"/>
              <w:jc w:val="center"/>
              <w:rPr>
                <w:rFonts w:hint="eastAsia" w:ascii="仿宋" w:hAnsi="仿宋" w:eastAsia="仿宋" w:cs="仿宋"/>
                <w:color w:val="auto"/>
              </w:rPr>
            </w:pPr>
            <w:r>
              <w:rPr>
                <w:rFonts w:hint="eastAsia" w:ascii="仿宋" w:hAnsi="仿宋" w:eastAsia="仿宋" w:cs="仿宋"/>
                <w:color w:val="auto"/>
              </w:rPr>
              <w:t>办公电话</w:t>
            </w:r>
          </w:p>
        </w:tc>
        <w:tc>
          <w:tcPr>
            <w:tcW w:w="2573" w:type="dxa"/>
            <w:vAlign w:val="center"/>
          </w:tcPr>
          <w:p w14:paraId="22D2927C">
            <w:pPr>
              <w:spacing w:line="360" w:lineRule="exact"/>
              <w:rPr>
                <w:rFonts w:hint="eastAsia" w:ascii="仿宋" w:hAnsi="仿宋" w:eastAsia="仿宋" w:cs="仿宋"/>
                <w:color w:val="auto"/>
              </w:rPr>
            </w:pPr>
          </w:p>
        </w:tc>
        <w:tc>
          <w:tcPr>
            <w:tcW w:w="1084" w:type="dxa"/>
            <w:vAlign w:val="center"/>
          </w:tcPr>
          <w:p w14:paraId="31F0C2A0">
            <w:pPr>
              <w:spacing w:line="360" w:lineRule="exact"/>
              <w:jc w:val="center"/>
              <w:rPr>
                <w:rFonts w:hint="eastAsia" w:ascii="仿宋" w:hAnsi="仿宋" w:eastAsia="仿宋" w:cs="仿宋"/>
                <w:color w:val="auto"/>
              </w:rPr>
            </w:pPr>
            <w:r>
              <w:rPr>
                <w:rFonts w:hint="eastAsia" w:ascii="仿宋" w:hAnsi="仿宋" w:eastAsia="仿宋" w:cs="仿宋"/>
                <w:color w:val="auto"/>
              </w:rPr>
              <w:t>传真</w:t>
            </w:r>
          </w:p>
        </w:tc>
        <w:tc>
          <w:tcPr>
            <w:tcW w:w="3569" w:type="dxa"/>
            <w:vAlign w:val="center"/>
          </w:tcPr>
          <w:p w14:paraId="1BA6711B">
            <w:pPr>
              <w:spacing w:line="360" w:lineRule="exact"/>
              <w:rPr>
                <w:rFonts w:hint="eastAsia" w:ascii="仿宋" w:hAnsi="仿宋" w:eastAsia="仿宋" w:cs="仿宋"/>
                <w:color w:val="auto"/>
              </w:rPr>
            </w:pPr>
          </w:p>
        </w:tc>
      </w:tr>
      <w:tr w14:paraId="0CEC7B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1A3C2460">
            <w:pPr>
              <w:spacing w:line="360" w:lineRule="exact"/>
              <w:jc w:val="center"/>
              <w:rPr>
                <w:rFonts w:hint="eastAsia" w:ascii="仿宋" w:hAnsi="仿宋" w:eastAsia="仿宋" w:cs="仿宋"/>
                <w:color w:val="auto"/>
              </w:rPr>
            </w:pPr>
            <w:r>
              <w:rPr>
                <w:rFonts w:hint="eastAsia" w:ascii="仿宋" w:hAnsi="仿宋" w:eastAsia="仿宋" w:cs="仿宋"/>
                <w:color w:val="auto"/>
              </w:rPr>
              <w:t>E-mail</w:t>
            </w:r>
          </w:p>
        </w:tc>
        <w:tc>
          <w:tcPr>
            <w:tcW w:w="7226" w:type="dxa"/>
            <w:gridSpan w:val="3"/>
            <w:vAlign w:val="center"/>
          </w:tcPr>
          <w:p w14:paraId="6CB7E8FC">
            <w:pPr>
              <w:spacing w:line="360" w:lineRule="exact"/>
              <w:rPr>
                <w:rFonts w:hint="eastAsia" w:ascii="仿宋" w:hAnsi="仿宋" w:eastAsia="仿宋" w:cs="仿宋"/>
                <w:color w:val="auto"/>
              </w:rPr>
            </w:pPr>
          </w:p>
        </w:tc>
      </w:tr>
      <w:tr w14:paraId="0F1A69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747A08F9">
            <w:pPr>
              <w:spacing w:line="360" w:lineRule="exact"/>
              <w:jc w:val="center"/>
              <w:rPr>
                <w:rFonts w:hint="eastAsia" w:ascii="仿宋" w:hAnsi="仿宋" w:eastAsia="仿宋" w:cs="仿宋"/>
                <w:color w:val="auto"/>
              </w:rPr>
            </w:pPr>
            <w:r>
              <w:rPr>
                <w:rFonts w:hint="eastAsia" w:ascii="仿宋" w:hAnsi="仿宋" w:eastAsia="仿宋" w:cs="仿宋"/>
                <w:color w:val="auto"/>
              </w:rPr>
              <w:t>单位地址</w:t>
            </w:r>
          </w:p>
        </w:tc>
        <w:tc>
          <w:tcPr>
            <w:tcW w:w="7226" w:type="dxa"/>
            <w:gridSpan w:val="3"/>
            <w:vAlign w:val="center"/>
          </w:tcPr>
          <w:p w14:paraId="1D307A07">
            <w:pPr>
              <w:spacing w:line="360" w:lineRule="exact"/>
              <w:rPr>
                <w:rFonts w:hint="eastAsia" w:ascii="仿宋" w:hAnsi="仿宋" w:eastAsia="仿宋" w:cs="仿宋"/>
                <w:color w:val="auto"/>
              </w:rPr>
            </w:pPr>
          </w:p>
        </w:tc>
      </w:tr>
      <w:tr w14:paraId="63704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330DB550">
            <w:pPr>
              <w:jc w:val="center"/>
              <w:rPr>
                <w:rFonts w:hint="eastAsia" w:ascii="仿宋" w:hAnsi="仿宋" w:eastAsia="仿宋" w:cs="仿宋"/>
                <w:color w:val="auto"/>
              </w:rPr>
            </w:pPr>
          </w:p>
        </w:tc>
      </w:tr>
      <w:tr w14:paraId="6479B9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6D6B4098">
            <w:pPr>
              <w:rPr>
                <w:rFonts w:hint="eastAsia" w:ascii="仿宋" w:hAnsi="仿宋" w:eastAsia="仿宋" w:cs="仿宋"/>
                <w:color w:val="auto"/>
              </w:rPr>
            </w:pPr>
          </w:p>
        </w:tc>
      </w:tr>
      <w:tr w14:paraId="57EFB3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7A60B163">
            <w:pPr>
              <w:rPr>
                <w:rFonts w:hint="eastAsia" w:ascii="仿宋" w:hAnsi="仿宋" w:eastAsia="仿宋" w:cs="仿宋"/>
                <w:color w:val="auto"/>
              </w:rPr>
            </w:pPr>
            <w:r>
              <w:rPr>
                <w:rFonts w:hint="eastAsia" w:ascii="仿宋" w:hAnsi="仿宋" w:eastAsia="仿宋" w:cs="仿宋"/>
                <w:color w:val="auto"/>
              </w:rPr>
              <w:t>招标文件售价：人民币300.00元/份</w:t>
            </w:r>
          </w:p>
        </w:tc>
      </w:tr>
    </w:tbl>
    <w:p w14:paraId="3BBD1762">
      <w:pPr>
        <w:rPr>
          <w:rFonts w:hint="eastAsia" w:ascii="仿宋" w:hAnsi="仿宋" w:eastAsia="仿宋" w:cs="仿宋"/>
          <w:color w:val="auto"/>
        </w:rPr>
      </w:pPr>
      <w:r>
        <w:rPr>
          <w:rFonts w:hint="eastAsia" w:ascii="仿宋" w:hAnsi="仿宋" w:eastAsia="仿宋" w:cs="仿宋"/>
          <w:color w:val="auto"/>
        </w:rPr>
        <w:t xml:space="preserve">   发售人：                财务：                    日期：</w:t>
      </w:r>
    </w:p>
    <w:p w14:paraId="2A292C85">
      <w:pPr>
        <w:pStyle w:val="6"/>
        <w:rPr>
          <w:rFonts w:hint="eastAsia" w:ascii="仿宋" w:hAnsi="仿宋" w:eastAsia="仿宋" w:cs="仿宋"/>
          <w:color w:val="auto"/>
        </w:rPr>
      </w:pPr>
    </w:p>
    <w:p w14:paraId="7609F052">
      <w:pPr>
        <w:pStyle w:val="52"/>
        <w:rPr>
          <w:rFonts w:hint="eastAsia" w:ascii="仿宋" w:hAnsi="仿宋" w:eastAsia="仿宋" w:cs="仿宋"/>
          <w:color w:val="auto"/>
        </w:rPr>
      </w:pPr>
    </w:p>
    <w:p w14:paraId="7E838237">
      <w:pPr>
        <w:spacing w:line="360" w:lineRule="auto"/>
        <w:rPr>
          <w:rFonts w:hint="eastAsia" w:ascii="仿宋" w:hAnsi="仿宋" w:eastAsia="仿宋" w:cs="仿宋"/>
          <w:color w:val="auto"/>
        </w:rPr>
      </w:pPr>
      <w:r>
        <w:rPr>
          <w:rFonts w:hint="eastAsia" w:ascii="仿宋" w:hAnsi="仿宋" w:eastAsia="仿宋" w:cs="仿宋"/>
          <w:color w:val="auto"/>
        </w:rPr>
        <w:t>说明：</w:t>
      </w:r>
    </w:p>
    <w:p w14:paraId="0242F835">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现金购买招标文件的投标人，在招标文件发售期内到代理机构处递交发售登记表（加盖投标人公章），由发售人签字后购买招标文件，联系人：张先生</w:t>
      </w:r>
    </w:p>
    <w:p w14:paraId="56C569B9">
      <w:pPr>
        <w:rPr>
          <w:rFonts w:hint="eastAsia" w:ascii="仿宋" w:hAnsi="仿宋" w:eastAsia="仿宋" w:cs="仿宋"/>
          <w:color w:val="auto"/>
        </w:rPr>
      </w:pPr>
    </w:p>
    <w:sectPr>
      <w:headerReference r:id="rId14" w:type="default"/>
      <w:footerReference r:id="rId15"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D01D687-8167-4FD6-A16E-364E24C5E5C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00AA09CA-FA65-4EC7-98FE-A70FD6ED2468}"/>
  </w:font>
  <w:font w:name="仿宋_GB2312">
    <w:altName w:val="仿宋"/>
    <w:panose1 w:val="00000000000000000000"/>
    <w:charset w:val="86"/>
    <w:family w:val="modern"/>
    <w:pitch w:val="default"/>
    <w:sig w:usb0="00000000" w:usb1="00000000" w:usb2="00000000" w:usb3="00000000" w:csb0="00040000" w:csb1="00000000"/>
    <w:embedRegular r:id="rId3" w:fontKey="{CD586E72-A0C7-4020-B8C0-12123997748D}"/>
  </w:font>
  <w:font w:name="仿宋">
    <w:panose1 w:val="02010609060101010101"/>
    <w:charset w:val="86"/>
    <w:family w:val="modern"/>
    <w:pitch w:val="default"/>
    <w:sig w:usb0="800002BF" w:usb1="38CF7CFA" w:usb2="00000016" w:usb3="00000000" w:csb0="00040001" w:csb1="00000000"/>
    <w:embedRegular r:id="rId4" w:fontKey="{02C60EB0-3273-4D41-9B1D-5391E562E945}"/>
  </w:font>
  <w:font w:name="华文中宋">
    <w:panose1 w:val="02010600040101010101"/>
    <w:charset w:val="86"/>
    <w:family w:val="auto"/>
    <w:pitch w:val="default"/>
    <w:sig w:usb0="00000287" w:usb1="080F0000" w:usb2="00000000" w:usb3="00000000" w:csb0="0004009F" w:csb1="DFD70000"/>
  </w:font>
  <w:font w:name="Arial Unicode MS">
    <w:altName w:val="Arial"/>
    <w:panose1 w:val="020B0604020202020204"/>
    <w:charset w:val="80"/>
    <w:family w:val="swiss"/>
    <w:pitch w:val="default"/>
    <w:sig w:usb0="00000000" w:usb1="00000000" w:usb2="0000003F" w:usb3="00000000" w:csb0="003F01FF" w:csb1="00000000"/>
  </w:font>
  <w:font w:name="方正仿宋_GBK">
    <w:panose1 w:val="03000509000000000000"/>
    <w:charset w:val="86"/>
    <w:family w:val="script"/>
    <w:pitch w:val="default"/>
    <w:sig w:usb0="00000001" w:usb1="080E0000" w:usb2="00000000" w:usb3="00000000" w:csb0="00040000" w:csb1="00000000"/>
    <w:embedRegular r:id="rId5" w:fontKey="{DA1BE3B3-08A0-4BE3-9473-6834A7305B9D}"/>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F7E90">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9F13F">
    <w:pPr>
      <w:pStyle w:val="15"/>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1905"/>
              <wp:wrapNone/>
              <wp:docPr id="1576629793" name="4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190500" cy="131445"/>
                      </a:xfrm>
                      <a:prstGeom prst="rect">
                        <a:avLst/>
                      </a:prstGeom>
                      <a:noFill/>
                      <a:ln>
                        <a:noFill/>
                      </a:ln>
                    </wps:spPr>
                    <wps:txbx>
                      <w:txbxContent>
                        <w:p w14:paraId="1C817A39">
                          <w:pPr>
                            <w:pStyle w:val="15"/>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4102"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H7KrWEPAgAAJgQAAA4AAABkcnMvZTJvRG9jLnhtbK1TTW/bMAy9D9h/&#10;EHRf7KRJuhhxiq5ZhgHtNqDdD1BkORZmiYKoxO5+/Sg5H1136WEXgyapx/eeqOVNb1p2UB412JKP&#10;RzlnykqotN2V/OfT5sNHzjAIW4kWrCr5s0J+s3r/btm5Qk2ggbZSnhGIxaJzJW9CcEWWoWyUETgC&#10;pywVa/BGBPr1u6zyoiN002aTPJ9nHfjKeZAKkbLrociPiP4tgFDXWqo1yL1RNgyoXrUikCRstEO+&#10;SmzrWsnwva5RBdaWnJSG9KUhFG/jN1stRbHzwjVaHimIt1B4pckIbWnoGWotgmB7r/+BMlp6QKjD&#10;SILJBiHJEVIxzl9589gIp5IWshrd2XT8f7Dy2+GHZ7qiTZhdz+eTxfXiijMrDN38dJxPokGdw4L6&#10;Hh11hv4T9NScxKK7B/kLmYW7RtidukVHhsfqJeU9dI0SFXFO6SfVh8+VTl2Enb0AHyZhHLPtHqAi&#10;CmIfII3qa2+iv+QYo/l0fc/n6yNEJiOpRT7LqSKpNL4aT6ezyD4Txemw8xi+KDAsBiX3RDaBi8M9&#10;hqH11BJnWdjotqW8KFr7V4IwYyaRj3wH5qHf9tQdFW2heiYZHmgMMaLnRkED/jdnHS1byS29Lc7a&#10;r5Z8oYZwCvwp2J4CYSUdLHngbAjvwrC/e+f1rklGRnLobsmsjU5CLhyOLGl9khXHVY/7+fI/dV2e&#10;9+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qRS7NAAAAADAQAADwAAAAAAAAABACAAAAAiAAAA&#10;ZHJzL2Rvd25yZXYueG1sUEsBAhQAFAAAAAgAh07iQH7KrWEPAgAAJgQAAA4AAAAAAAAAAQAgAAAA&#10;HwEAAGRycy9lMm9Eb2MueG1sUEsFBgAAAAAGAAYAWQEAAKAFAAAAAA==&#10;">
              <v:fill on="f" focussize="0,0"/>
              <v:stroke on="f"/>
              <v:imagedata o:title=""/>
              <o:lock v:ext="edit" text="t" aspectratio="t"/>
              <v:textbox inset="0mm,0mm,0mm,0mm" style="mso-fit-shape-to-text:t;">
                <w:txbxContent>
                  <w:p w14:paraId="1C817A39">
                    <w:pPr>
                      <w:pStyle w:val="1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1BD0E">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1905"/>
              <wp:wrapNone/>
              <wp:docPr id="543458286" name="4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190500" cy="131445"/>
                      </a:xfrm>
                      <a:prstGeom prst="rect">
                        <a:avLst/>
                      </a:prstGeom>
                      <a:noFill/>
                      <a:ln>
                        <a:noFill/>
                      </a:ln>
                    </wps:spPr>
                    <wps:txbx>
                      <w:txbxContent>
                        <w:p w14:paraId="5B898ECB">
                          <w:pPr>
                            <w:pStyle w:val="15"/>
                          </w:pPr>
                          <w:r>
                            <w:fldChar w:fldCharType="begin"/>
                          </w:r>
                          <w:r>
                            <w:instrText xml:space="preserve"> PAGE  \* MERGEFORMAT </w:instrText>
                          </w:r>
                          <w:r>
                            <w:fldChar w:fldCharType="separate"/>
                          </w:r>
                          <w:r>
                            <w:t>- 3 -</w:t>
                          </w:r>
                          <w:r>
                            <w:fldChar w:fldCharType="end"/>
                          </w:r>
                        </w:p>
                      </w:txbxContent>
                    </wps:txbx>
                    <wps:bodyPr rot="0" vert="horz" wrap="none" lIns="0" tIns="0" rIns="0" bIns="0" anchor="t" anchorCtr="0" upright="1">
                      <a:spAutoFit/>
                    </wps:bodyPr>
                  </wps:wsp>
                </a:graphicData>
              </a:graphic>
            </wp:anchor>
          </w:drawing>
        </mc:Choice>
        <mc:Fallback>
          <w:pict>
            <v:shape id="4103"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6Rx2EOAgAAJQQAAA4AAABkcnMvZTJvRG9jLnhtbK1Ty27bMBC8F+g/&#10;ELzXkl+BK1gO0rguCqRpgaQfQFOURVTkElzakvv1XVJ+pOklh16E1e5ydma4XN72pmUH5VGDLfl4&#10;lHOmrIRK213Jfz5vPiw4wyBsJVqwquRHhfx29f7dsnOFmkADbaU8IxCLRedK3oTgiixD2SgjcARO&#10;WSrW4I0I9Ot3WeVFR+imzSZ5fpN14CvnQSpEyq6HIj8h+rcAQl1rqdYg90bZMKB61YpAkrDRDvkq&#10;sa1rJcP3ukYVWFtyUhrSl4ZQvI3fbLUUxc4L12h5oiDeQuGVJiO0paEXqLUIgu29/gfKaOkBoQ4j&#10;CSYbhCRHSMU4f+XNUyOcSlrIanQX0/H/wcrHww/PdFXy+Ww6my8mixvOrDB08bNxPo3+dA4Lanty&#10;1Bj6T9DT1iSt6B5A/kJm4b4Rdqfu0JHfsXpNeQ9do0RFlFP6WfXhc6VTF2FnL8CHSRjHbLtvUBEF&#10;sQ+QRvW1N9FeMozRfLq94+X2CJHJSOpjPs+pIqk0no5ns3lkn4nifNh5DF8UGBaDknsim8DF4QHD&#10;0HpuibMsbHTbUl4Urf0rQZgxk8hHvgPz0G976o6KtlAdSYYHGkOM6LVR0ID/zVlHu1ZyS0+Ls/ar&#10;JV+oIZwDfw6250BYSQdLHjgbwvswrO/eeb1rkpGRHLo7Mmujk5ArhxNL2p5kxWnT43q+/E9d19e9&#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pFLs0AAAAAMBAAAPAAAAAAAAAAEAIAAAACIAAABk&#10;cnMvZG93bnJldi54bWxQSwECFAAUAAAACACHTuJAvpHHYQ4CAAAlBAAADgAAAAAAAAABACAAAAAf&#10;AQAAZHJzL2Uyb0RvYy54bWxQSwUGAAAAAAYABgBZAQAAnwUAAAAA&#10;">
              <v:fill on="f" focussize="0,0"/>
              <v:stroke on="f"/>
              <v:imagedata o:title=""/>
              <o:lock v:ext="edit" text="t" aspectratio="t"/>
              <v:textbox inset="0mm,0mm,0mm,0mm" style="mso-fit-shape-to-text:t;">
                <w:txbxContent>
                  <w:p w14:paraId="5B898ECB">
                    <w:pPr>
                      <w:pStyle w:val="15"/>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3FA88">
    <w:pPr>
      <w:pStyle w:val="15"/>
      <w:jc w:val="center"/>
      <w:rPr>
        <w:sz w:val="24"/>
      </w:rPr>
    </w:pPr>
    <w:r>
      <w:rPr>
        <w:sz w:val="24"/>
      </w:rPr>
      <w:fldChar w:fldCharType="begin"/>
    </w:r>
    <w:r>
      <w:rPr>
        <w:rStyle w:val="30"/>
        <w:sz w:val="24"/>
      </w:rPr>
      <w:instrText xml:space="preserve"> PAGE </w:instrText>
    </w:r>
    <w:r>
      <w:rPr>
        <w:sz w:val="24"/>
      </w:rPr>
      <w:fldChar w:fldCharType="separate"/>
    </w:r>
    <w:r>
      <w:rPr>
        <w:rStyle w:val="30"/>
        <w:sz w:val="24"/>
      </w:rPr>
      <w:t>- 20 -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BA7B8">
    <w:pPr>
      <w:pStyle w:val="15"/>
      <w:jc w:val="center"/>
      <w:rPr>
        <w:sz w:val="21"/>
        <w:szCs w:val="21"/>
      </w:rPr>
    </w:pPr>
    <w:r>
      <w:rPr>
        <w:lang w:val="en-US"/>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8255"/>
              <wp:wrapNone/>
              <wp:docPr id="4106" name="文本框 5"/>
              <wp:cNvGraphicFramePr/>
              <a:graphic xmlns:a="http://schemas.openxmlformats.org/drawingml/2006/main">
                <a:graphicData uri="http://schemas.microsoft.com/office/word/2010/wordprocessingShape">
                  <wps:wsp>
                    <wps:cNvSpPr/>
                    <wps:spPr>
                      <a:xfrm>
                        <a:off x="0" y="0"/>
                        <a:ext cx="247650" cy="131445"/>
                      </a:xfrm>
                      <a:prstGeom prst="rect">
                        <a:avLst/>
                      </a:prstGeom>
                      <a:ln>
                        <a:noFill/>
                      </a:ln>
                    </wps:spPr>
                    <wps:txbx>
                      <w:txbxContent>
                        <w:p w14:paraId="509425AA">
                          <w:pPr>
                            <w:pStyle w:val="15"/>
                          </w:pPr>
                          <w:r>
                            <w:fldChar w:fldCharType="begin"/>
                          </w:r>
                          <w:r>
                            <w:instrText xml:space="preserve"> PAGE  \* MERGEFORMAT </w:instrText>
                          </w:r>
                          <w:r>
                            <w:fldChar w:fldCharType="separate"/>
                          </w:r>
                          <w:r>
                            <w:t>- 26 -</w:t>
                          </w:r>
                          <w:r>
                            <w:fldChar w:fldCharType="end"/>
                          </w:r>
                        </w:p>
                      </w:txbxContent>
                    </wps:txbx>
                    <wps:bodyPr vert="horz" wrap="none" lIns="0" tIns="0" rIns="0" bIns="0" anchor="t" upright="1">
                      <a:spAutoFit/>
                    </wps:bodyPr>
                  </wps:wsp>
                </a:graphicData>
              </a:graphic>
            </wp:anchor>
          </w:drawing>
        </mc:Choice>
        <mc:Fallback>
          <w:pict>
            <v:rect id="文本框 5"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Dl0Xzn1wEAAJwDAAAOAAAAZHJzL2Uyb0RvYy54bWytU0tu2zAQ3Rfo&#10;HQjua0qu4xaC5aCAkaJA0QZIewCaoiwC/GFIW3IP0N6gq26677l8jgwp2SmSTRbZUEMO+ea9N6PV&#10;9WA0OUgIytmalrOCEmmFa5Td1fT7t5s37ykJkduGa2dlTY8y0Ov161er3ldy7jqnGwkEQWyoel/T&#10;LkZfMRZEJw0PM+elxWTrwPCIW9ixBniP6EazeVEsWe+g8eCEDAFPN2OSTojwHEDXtkrIjRN7I20c&#10;UUFqHlFS6JQPdJ3Ztq0U8WvbBhmJrikqjXnFIhhv08rWK17tgPtOiYkCfw6FR5oMVxaLXqA2PHKy&#10;B/UEyigBLrg2zoQzbBSSHUEVZfHIm7uOe5m1oNXBX0wPLwcrvhxugaimpouyWFJiucGen37/Ov35&#10;d/r7k1wlh3ofKrx4529h2gUMk9yhBZO+KIQM2dXjxVU5RCLwcL54t7xCvwWmyrflYpEx2cNjDyF+&#10;lM6QFNQUsGnZS374HCIWxKvnK6mWtmm17kZpPWbTCUskR1opisN2mLhuXXNEjTjyCN45+EFJjw2v&#10;qcX5pkR/suhnmo1zAOdgew64FfiwppGSvQe16xCpzByD/7CPSCXzTIXHahMfbFqmPw1Ymor/9/nW&#10;w0+1v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g6+Rr0QAAAAMBAAAPAAAAAAAAAAEAIAAAACIA&#10;AABkcnMvZG93bnJldi54bWxQSwECFAAUAAAACACHTuJA5dF859cBAACcAwAADgAAAAAAAAABACAA&#10;AAAgAQAAZHJzL2Uyb0RvYy54bWxQSwUGAAAAAAYABgBZAQAAaQUAAAAA&#10;">
              <v:fill on="f" focussize="0,0"/>
              <v:stroke on="f"/>
              <v:imagedata o:title=""/>
              <o:lock v:ext="edit" aspectratio="f"/>
              <v:textbox inset="0mm,0mm,0mm,0mm" style="mso-fit-shape-to-text:t;">
                <w:txbxContent>
                  <w:p w14:paraId="509425AA">
                    <w:pPr>
                      <w:pStyle w:val="15"/>
                    </w:pPr>
                    <w:r>
                      <w:fldChar w:fldCharType="begin"/>
                    </w:r>
                    <w:r>
                      <w:instrText xml:space="preserve"> PAGE  \* MERGEFORMAT </w:instrText>
                    </w:r>
                    <w:r>
                      <w:fldChar w:fldCharType="separate"/>
                    </w:r>
                    <w:r>
                      <w:t>- 26 -</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9614C">
    <w:pPr>
      <w:pStyle w:val="15"/>
      <w:jc w:val="center"/>
      <w:rPr>
        <w:sz w:val="21"/>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1905"/>
              <wp:wrapNone/>
              <wp:docPr id="31677004" name="4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247650" cy="131445"/>
                      </a:xfrm>
                      <a:prstGeom prst="rect">
                        <a:avLst/>
                      </a:prstGeom>
                      <a:noFill/>
                      <a:ln>
                        <a:noFill/>
                      </a:ln>
                    </wps:spPr>
                    <wps:txbx>
                      <w:txbxContent>
                        <w:p w14:paraId="248BE003">
                          <w:pPr>
                            <w:pStyle w:val="15"/>
                          </w:pPr>
                          <w:r>
                            <w:fldChar w:fldCharType="begin"/>
                          </w:r>
                          <w:r>
                            <w:instrText xml:space="preserve"> PAGE  \* MERGEFORMAT </w:instrText>
                          </w:r>
                          <w:r>
                            <w:fldChar w:fldCharType="separate"/>
                          </w:r>
                          <w:r>
                            <w:t>- 37 -</w:t>
                          </w:r>
                          <w:r>
                            <w:fldChar w:fldCharType="end"/>
                          </w:r>
                        </w:p>
                      </w:txbxContent>
                    </wps:txbx>
                    <wps:bodyPr rot="0" vert="horz" wrap="none" lIns="0" tIns="0" rIns="0" bIns="0" anchor="t" anchorCtr="0" upright="1">
                      <a:spAutoFit/>
                    </wps:bodyPr>
                  </wps:wsp>
                </a:graphicData>
              </a:graphic>
            </wp:anchor>
          </w:drawing>
        </mc:Choice>
        <mc:Fallback>
          <w:pict>
            <v:shape id="4108"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DQrKYYOAgAAJAQAAA4AAABkcnMvZTJvRG9jLnhtbK1Ty27bMBC8F+g/&#10;ELzXkhzHCQTLQRrXRYH0AST9AJqiLKIil+DSltyv75LyI00vOfQirHaXszPD5eJuMB3bK48abMWL&#10;Sc6ZshJqbbcV//m8/nDLGQZha9GBVRU/KOR3y/fvFr0r1RRa6GrlGYFYLHtX8TYEV2YZylYZgRNw&#10;ylKxAW9EoF+/zWovekI3XTbN83nWg6+dB6kQKbsai/yI6N8CCE2jpVqB3Bllw4jqVScCScJWO+TL&#10;xLZplAzfmwZVYF3FSWlIXxpC8SZ+s+VClFsvXKvlkYJ4C4VXmozQloaeoVYiCLbz+h8oo6UHhCZM&#10;JJhsFJIcIRVF/sqbp1Y4lbSQ1ejOpuP/g5Xf9j8803XFr4r5zU2ezzizwtC9z4r8NtrTOyyp68lR&#10;Xxg+wkBLk6SiewT5C5mFh1bYrbpHR3bH6iXlPfStEjUxTulnNYRPtU5dhJ29AB8nYRyz6b9CTRTE&#10;LkAaNTTeRHfJL0bz6fIO58sjRCYpOZ3dzK+pIqlUXBWz2XVkn4nydNh5DJ8VGBaDinsim8DF/hHD&#10;2HpqibMsrHXXUV6Unf0rQZgxk8hHviPzMGwG6o6KNlAfSIYHGkOM6LFR0IL/zVlPq1ZxSy+Ls+6L&#10;JV+oIZwCfwo2p0BYSQcrHjgbw4cwbu/Oeb1tk5GRHLp7Mmutk5ALhyNLWp5kxXHR43a+/E9dl8e9&#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XsUjg0AAAAAMBAAAPAAAAAAAAAAEAIAAAACIAAABk&#10;cnMvZG93bnJldi54bWxQSwECFAAUAAAACACHTuJANCsphg4CAAAkBAAADgAAAAAAAAABACAAAAAf&#10;AQAAZHJzL2Uyb0RvYy54bWxQSwUGAAAAAAYABgBZAQAAnwUAAAAA&#10;">
              <v:fill on="f" focussize="0,0"/>
              <v:stroke on="f"/>
              <v:imagedata o:title=""/>
              <o:lock v:ext="edit" text="t" aspectratio="t"/>
              <v:textbox inset="0mm,0mm,0mm,0mm" style="mso-fit-shape-to-text:t;">
                <w:txbxContent>
                  <w:p w14:paraId="248BE003">
                    <w:pPr>
                      <w:pStyle w:val="15"/>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CD454">
    <w:pPr>
      <w:pStyle w:val="16"/>
      <w:jc w:val="left"/>
    </w:pPr>
    <w:r>
      <w:rPr>
        <w:rFonts w:ascii="仿宋" w:hAnsi="仿宋" w:eastAsia="仿宋"/>
        <w:lang w:val="en-US"/>
      </w:rPr>
      <w:drawing>
        <wp:inline distT="0" distB="0" distL="0" distR="0">
          <wp:extent cx="1343660" cy="398145"/>
          <wp:effectExtent l="0" t="0" r="0" b="0"/>
          <wp:docPr id="4098" name="_x0000_t75" descr="在黑暗中&#10;&#10;中度可信度描述已自动生成"/>
          <wp:cNvGraphicFramePr/>
          <a:graphic xmlns:a="http://schemas.openxmlformats.org/drawingml/2006/main">
            <a:graphicData uri="http://schemas.openxmlformats.org/drawingml/2006/picture">
              <pic:pic xmlns:pic="http://schemas.openxmlformats.org/drawingml/2006/picture">
                <pic:nvPicPr>
                  <pic:cNvPr id="4098" name="_x0000_t75" descr="在黑暗中&#10;&#10;中度可信度描述已自动生成"/>
                  <pic:cNvPicPr/>
                </pic:nvPicPr>
                <pic:blipFill>
                  <a:blip r:embed="rId1" cstate="print"/>
                  <a:srcRect/>
                  <a:stretch>
                    <a:fillRect/>
                  </a:stretch>
                </pic:blipFill>
                <pic:spPr>
                  <a:xfrm>
                    <a:off x="0" y="0"/>
                    <a:ext cx="1343660" cy="398145"/>
                  </a:xfrm>
                  <a:prstGeom prst="rect">
                    <a:avLst/>
                  </a:prstGeom>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F3BF">
    <w:pPr>
      <w:pStyle w:val="16"/>
      <w:jc w:val="left"/>
    </w:pPr>
    <w:r>
      <w:rPr>
        <w:rFonts w:hint="eastAsia" w:ascii="宋体" w:hAnsi="宋体"/>
        <w:lang w:val="en-US"/>
      </w:rPr>
      <w:drawing>
        <wp:inline distT="0" distB="0" distL="0" distR="0">
          <wp:extent cx="1282700" cy="5207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hint="eastAsia" w:ascii="仿宋" w:hAnsi="仿宋" w:eastAsia="仿宋"/>
      </w:rPr>
      <w:t xml:space="preserve">                </w:t>
    </w:r>
    <w:r>
      <w:rPr>
        <w:rFonts w:ascii="仿宋" w:hAnsi="仿宋" w:eastAsia="仿宋"/>
      </w:rPr>
      <w:t xml:space="preserve">                         </w:t>
    </w:r>
    <w:r>
      <w:rPr>
        <w:rFonts w:ascii="仿宋" w:hAnsi="仿宋" w:eastAsia="仿宋"/>
        <w:b/>
        <w:bCs/>
      </w:rPr>
      <w:t xml:space="preserve">           </w:t>
    </w:r>
    <w:r>
      <w:rPr>
        <w:rFonts w:hint="eastAsia" w:ascii="仿宋" w:hAnsi="仿宋" w:eastAsia="仿宋"/>
        <w:b/>
        <w:bCs/>
      </w:rPr>
      <w:t>竞争性比选文件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257D6">
    <w:pPr>
      <w:pStyle w:val="16"/>
      <w:rPr>
        <w:b/>
        <w:bCs/>
      </w:rPr>
    </w:pPr>
    <w:r>
      <w:rPr>
        <w:rFonts w:hint="eastAsia" w:ascii="宋体" w:hAnsi="宋体"/>
        <w:lang w:val="en-US"/>
      </w:rPr>
      <w:drawing>
        <wp:inline distT="0" distB="0" distL="0" distR="0">
          <wp:extent cx="1282700" cy="520700"/>
          <wp:effectExtent l="0" t="0" r="0" b="0"/>
          <wp:docPr id="477836602" name="图片 47783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36602" name="图片 47783660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1EDF5">
    <w:pPr>
      <w:pStyle w:val="16"/>
      <w:jc w:val="both"/>
      <w:rPr>
        <w:b/>
        <w:bCs/>
      </w:rPr>
    </w:pPr>
    <w:r>
      <w:rPr>
        <w:rFonts w:hint="eastAsia" w:ascii="宋体" w:hAnsi="宋体"/>
        <w:lang w:val="en-US"/>
      </w:rPr>
      <w:drawing>
        <wp:inline distT="0" distB="0" distL="0" distR="0">
          <wp:extent cx="1282700" cy="520700"/>
          <wp:effectExtent l="0" t="0" r="0" b="0"/>
          <wp:docPr id="1108316198" name="图片 110831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16198" name="图片 110831619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w:t>
    </w:r>
    <w:r>
      <w:rPr>
        <w:rFonts w:hint="eastAsia" w:ascii="仿宋" w:hAnsi="仿宋" w:eastAsia="仿宋"/>
        <w:b/>
        <w:bCs/>
        <w:lang w:val="en-US" w:eastAsia="zh-CN"/>
      </w:rPr>
      <w:t xml:space="preserve">               </w:t>
    </w:r>
    <w:r>
      <w:rPr>
        <w:rFonts w:ascii="仿宋" w:hAnsi="仿宋" w:eastAsia="仿宋"/>
        <w:b/>
        <w:bCs/>
        <w:lang w:val="en-US"/>
      </w:rPr>
      <w:t xml:space="preserve">      竞争性比选文件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5DBE1">
    <w:pPr>
      <w:pStyle w:val="16"/>
      <w:jc w:val="left"/>
      <w:rPr>
        <w:rFonts w:hint="eastAsia"/>
      </w:rPr>
    </w:pPr>
    <w:r>
      <w:rPr>
        <w:rFonts w:hint="eastAsia" w:ascii="宋体" w:hAnsi="宋体"/>
        <w:lang w:val="en-US"/>
      </w:rPr>
      <w:drawing>
        <wp:inline distT="0" distB="0" distL="0" distR="0">
          <wp:extent cx="1282700" cy="520700"/>
          <wp:effectExtent l="0" t="0" r="1270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hint="eastAsia" w:ascii="仿宋" w:hAnsi="仿宋" w:eastAsia="仿宋"/>
        <w:b/>
        <w:bCs/>
      </w:rPr>
      <w:t xml:space="preserve">                                                                   </w:t>
    </w:r>
    <w:r>
      <w:rPr>
        <w:rFonts w:ascii="仿宋" w:hAnsi="仿宋" w:eastAsia="仿宋"/>
        <w:b/>
        <w:bCs/>
        <w:lang w:val="en-US"/>
      </w:rPr>
      <w:t>竞争性比选文件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8A761">
    <w:pPr>
      <w:pStyle w:val="16"/>
      <w:rPr>
        <w:b/>
        <w:bCs/>
      </w:rPr>
    </w:pPr>
    <w:r>
      <w:rPr>
        <w:rFonts w:hint="eastAsia" w:ascii="宋体" w:hAnsi="宋体"/>
        <w:lang w:val="en-US"/>
      </w:rPr>
      <w:drawing>
        <wp:inline distT="0" distB="0" distL="0" distR="0">
          <wp:extent cx="1282700" cy="520700"/>
          <wp:effectExtent l="0" t="0" r="0" b="0"/>
          <wp:docPr id="1051192412" name="图片 105119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92412" name="图片 10511924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6347">
    <w:pPr>
      <w:pStyle w:val="16"/>
      <w:rPr>
        <w:b/>
        <w:bCs/>
      </w:rPr>
    </w:pPr>
    <w:r>
      <w:rPr>
        <w:rFonts w:hint="eastAsia" w:ascii="宋体" w:hAnsi="宋体"/>
        <w:lang w:val="en-US"/>
      </w:rPr>
      <w:drawing>
        <wp:inline distT="0" distB="0" distL="0" distR="0">
          <wp:extent cx="1282700" cy="520700"/>
          <wp:effectExtent l="0" t="0" r="0" b="0"/>
          <wp:docPr id="150714728" name="图片 150714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14728" name="图片 1507147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7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5"/>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zZThjZGZiZTc3MDk0OGZlOWUyYmNiY2IxNjhhNzkifQ=="/>
  </w:docVars>
  <w:rsids>
    <w:rsidRoot w:val="002D17D4"/>
    <w:rsid w:val="00003C79"/>
    <w:rsid w:val="0005403E"/>
    <w:rsid w:val="00063C3C"/>
    <w:rsid w:val="00067DBF"/>
    <w:rsid w:val="00080BCA"/>
    <w:rsid w:val="00086023"/>
    <w:rsid w:val="000C3133"/>
    <w:rsid w:val="000D0136"/>
    <w:rsid w:val="000F6ADF"/>
    <w:rsid w:val="00102511"/>
    <w:rsid w:val="00131112"/>
    <w:rsid w:val="00133A06"/>
    <w:rsid w:val="00165490"/>
    <w:rsid w:val="001A06AD"/>
    <w:rsid w:val="001A1AD6"/>
    <w:rsid w:val="001E400D"/>
    <w:rsid w:val="001F0643"/>
    <w:rsid w:val="00214642"/>
    <w:rsid w:val="00234A54"/>
    <w:rsid w:val="00244773"/>
    <w:rsid w:val="0025446B"/>
    <w:rsid w:val="00272013"/>
    <w:rsid w:val="00276324"/>
    <w:rsid w:val="002D17D4"/>
    <w:rsid w:val="002F4892"/>
    <w:rsid w:val="00300BCD"/>
    <w:rsid w:val="00304400"/>
    <w:rsid w:val="00315B73"/>
    <w:rsid w:val="00322B33"/>
    <w:rsid w:val="00343CE6"/>
    <w:rsid w:val="00365F68"/>
    <w:rsid w:val="00375C41"/>
    <w:rsid w:val="0037698A"/>
    <w:rsid w:val="003D7136"/>
    <w:rsid w:val="00421ADB"/>
    <w:rsid w:val="004413ED"/>
    <w:rsid w:val="00442481"/>
    <w:rsid w:val="00452D9F"/>
    <w:rsid w:val="004661E9"/>
    <w:rsid w:val="004A0F2D"/>
    <w:rsid w:val="004A4CB6"/>
    <w:rsid w:val="004A661C"/>
    <w:rsid w:val="004B0DD7"/>
    <w:rsid w:val="004C4EB5"/>
    <w:rsid w:val="00511953"/>
    <w:rsid w:val="00531AD3"/>
    <w:rsid w:val="00580DFE"/>
    <w:rsid w:val="005B58FA"/>
    <w:rsid w:val="0065303D"/>
    <w:rsid w:val="006573FD"/>
    <w:rsid w:val="00663928"/>
    <w:rsid w:val="0069154B"/>
    <w:rsid w:val="00693D49"/>
    <w:rsid w:val="006C6ADE"/>
    <w:rsid w:val="006C7A2E"/>
    <w:rsid w:val="006F2EDB"/>
    <w:rsid w:val="0071108E"/>
    <w:rsid w:val="007748A3"/>
    <w:rsid w:val="007763D9"/>
    <w:rsid w:val="0078434F"/>
    <w:rsid w:val="007907DB"/>
    <w:rsid w:val="00796B13"/>
    <w:rsid w:val="007A4085"/>
    <w:rsid w:val="007B2919"/>
    <w:rsid w:val="007C4634"/>
    <w:rsid w:val="007E4D33"/>
    <w:rsid w:val="007F0CCC"/>
    <w:rsid w:val="00801F6F"/>
    <w:rsid w:val="00855ED3"/>
    <w:rsid w:val="008569DC"/>
    <w:rsid w:val="008700AF"/>
    <w:rsid w:val="00883ED0"/>
    <w:rsid w:val="00886247"/>
    <w:rsid w:val="0089258F"/>
    <w:rsid w:val="008C1F7E"/>
    <w:rsid w:val="008C5C53"/>
    <w:rsid w:val="008C7407"/>
    <w:rsid w:val="008C7FD5"/>
    <w:rsid w:val="008F6822"/>
    <w:rsid w:val="00907B00"/>
    <w:rsid w:val="00950ECE"/>
    <w:rsid w:val="00972AA0"/>
    <w:rsid w:val="009A19A0"/>
    <w:rsid w:val="009A68CD"/>
    <w:rsid w:val="009A6C5D"/>
    <w:rsid w:val="009D4636"/>
    <w:rsid w:val="009E0ED9"/>
    <w:rsid w:val="009E2E44"/>
    <w:rsid w:val="00A13894"/>
    <w:rsid w:val="00A52119"/>
    <w:rsid w:val="00AD169E"/>
    <w:rsid w:val="00AE73F0"/>
    <w:rsid w:val="00B3115B"/>
    <w:rsid w:val="00B42112"/>
    <w:rsid w:val="00B95994"/>
    <w:rsid w:val="00BB17CF"/>
    <w:rsid w:val="00BF41FF"/>
    <w:rsid w:val="00C22D78"/>
    <w:rsid w:val="00C40865"/>
    <w:rsid w:val="00C6447F"/>
    <w:rsid w:val="00C710E1"/>
    <w:rsid w:val="00C8243E"/>
    <w:rsid w:val="00CB5A9F"/>
    <w:rsid w:val="00CE6E12"/>
    <w:rsid w:val="00CF31F2"/>
    <w:rsid w:val="00D00DD2"/>
    <w:rsid w:val="00D15DBE"/>
    <w:rsid w:val="00D44A08"/>
    <w:rsid w:val="00D622EA"/>
    <w:rsid w:val="00D64A8F"/>
    <w:rsid w:val="00D820EB"/>
    <w:rsid w:val="00DA69E9"/>
    <w:rsid w:val="00E11D84"/>
    <w:rsid w:val="00E13307"/>
    <w:rsid w:val="00E30161"/>
    <w:rsid w:val="00E60EA5"/>
    <w:rsid w:val="00E64408"/>
    <w:rsid w:val="00E83059"/>
    <w:rsid w:val="00E9637C"/>
    <w:rsid w:val="00EF19A1"/>
    <w:rsid w:val="00F01632"/>
    <w:rsid w:val="00F3578E"/>
    <w:rsid w:val="00F51327"/>
    <w:rsid w:val="00F52F14"/>
    <w:rsid w:val="00F84396"/>
    <w:rsid w:val="015B6F40"/>
    <w:rsid w:val="024912E2"/>
    <w:rsid w:val="02E2016A"/>
    <w:rsid w:val="03290C67"/>
    <w:rsid w:val="047B77B9"/>
    <w:rsid w:val="05020246"/>
    <w:rsid w:val="051A35F3"/>
    <w:rsid w:val="08C90A4F"/>
    <w:rsid w:val="0989581C"/>
    <w:rsid w:val="0A7D5FCD"/>
    <w:rsid w:val="0D225045"/>
    <w:rsid w:val="0D617C90"/>
    <w:rsid w:val="0DA52D55"/>
    <w:rsid w:val="0EC34EFB"/>
    <w:rsid w:val="106C2A9B"/>
    <w:rsid w:val="123974F1"/>
    <w:rsid w:val="12ED7A68"/>
    <w:rsid w:val="1461171B"/>
    <w:rsid w:val="15264494"/>
    <w:rsid w:val="171D02EA"/>
    <w:rsid w:val="17A15A61"/>
    <w:rsid w:val="18185587"/>
    <w:rsid w:val="193F08F1"/>
    <w:rsid w:val="1B962F3E"/>
    <w:rsid w:val="1DBF442E"/>
    <w:rsid w:val="1DF95513"/>
    <w:rsid w:val="2011268D"/>
    <w:rsid w:val="204328F8"/>
    <w:rsid w:val="226D64CF"/>
    <w:rsid w:val="22A5612D"/>
    <w:rsid w:val="235A2EF8"/>
    <w:rsid w:val="243B09FD"/>
    <w:rsid w:val="247B3CA7"/>
    <w:rsid w:val="25043FE7"/>
    <w:rsid w:val="25090731"/>
    <w:rsid w:val="25F212E3"/>
    <w:rsid w:val="2613129A"/>
    <w:rsid w:val="270513CC"/>
    <w:rsid w:val="27107166"/>
    <w:rsid w:val="297D278B"/>
    <w:rsid w:val="2A607343"/>
    <w:rsid w:val="2B9615F3"/>
    <w:rsid w:val="2BB522CE"/>
    <w:rsid w:val="2C5C731D"/>
    <w:rsid w:val="2CF2448D"/>
    <w:rsid w:val="2EB97F27"/>
    <w:rsid w:val="2EE707BE"/>
    <w:rsid w:val="30890DB9"/>
    <w:rsid w:val="31440D43"/>
    <w:rsid w:val="31774F91"/>
    <w:rsid w:val="32334BA7"/>
    <w:rsid w:val="34A95CF4"/>
    <w:rsid w:val="353A4937"/>
    <w:rsid w:val="375547A0"/>
    <w:rsid w:val="377773B6"/>
    <w:rsid w:val="37BFE496"/>
    <w:rsid w:val="37FA1570"/>
    <w:rsid w:val="386D08D6"/>
    <w:rsid w:val="38926838"/>
    <w:rsid w:val="39AB4187"/>
    <w:rsid w:val="3B072BD8"/>
    <w:rsid w:val="3D2D5A5B"/>
    <w:rsid w:val="3EFE60C9"/>
    <w:rsid w:val="3F733CB0"/>
    <w:rsid w:val="3F9B4224"/>
    <w:rsid w:val="4073773A"/>
    <w:rsid w:val="40FC5250"/>
    <w:rsid w:val="41AD20C9"/>
    <w:rsid w:val="422420A8"/>
    <w:rsid w:val="427832D7"/>
    <w:rsid w:val="444F4DA5"/>
    <w:rsid w:val="447137A5"/>
    <w:rsid w:val="449746A0"/>
    <w:rsid w:val="45723C79"/>
    <w:rsid w:val="45DC43AC"/>
    <w:rsid w:val="467529A8"/>
    <w:rsid w:val="47040901"/>
    <w:rsid w:val="485C538A"/>
    <w:rsid w:val="48C52312"/>
    <w:rsid w:val="4A082885"/>
    <w:rsid w:val="4A6A7768"/>
    <w:rsid w:val="4ADD209C"/>
    <w:rsid w:val="4BD32848"/>
    <w:rsid w:val="4DE012CC"/>
    <w:rsid w:val="4EF46546"/>
    <w:rsid w:val="519739F8"/>
    <w:rsid w:val="519F7BA4"/>
    <w:rsid w:val="529945F3"/>
    <w:rsid w:val="52B117E5"/>
    <w:rsid w:val="535B5D4C"/>
    <w:rsid w:val="53E94B8B"/>
    <w:rsid w:val="53FF439B"/>
    <w:rsid w:val="56094F2A"/>
    <w:rsid w:val="57871C26"/>
    <w:rsid w:val="5A1D742D"/>
    <w:rsid w:val="5AB46272"/>
    <w:rsid w:val="5AE6710A"/>
    <w:rsid w:val="5AECE554"/>
    <w:rsid w:val="5B291641"/>
    <w:rsid w:val="5B394B2C"/>
    <w:rsid w:val="5CA3554E"/>
    <w:rsid w:val="5CAA564F"/>
    <w:rsid w:val="5CC87D1E"/>
    <w:rsid w:val="5DB37248"/>
    <w:rsid w:val="5E42193B"/>
    <w:rsid w:val="5F190E87"/>
    <w:rsid w:val="5F7FB311"/>
    <w:rsid w:val="5FDA7D99"/>
    <w:rsid w:val="60010145"/>
    <w:rsid w:val="60B16E66"/>
    <w:rsid w:val="613672B8"/>
    <w:rsid w:val="615A6FD4"/>
    <w:rsid w:val="61F22748"/>
    <w:rsid w:val="62347FA2"/>
    <w:rsid w:val="62AC5D58"/>
    <w:rsid w:val="62CF1A22"/>
    <w:rsid w:val="62EB2A8C"/>
    <w:rsid w:val="64582BFF"/>
    <w:rsid w:val="677118AE"/>
    <w:rsid w:val="68297D70"/>
    <w:rsid w:val="695232F6"/>
    <w:rsid w:val="69C77840"/>
    <w:rsid w:val="69EB40B7"/>
    <w:rsid w:val="6AB56444"/>
    <w:rsid w:val="6B2322C4"/>
    <w:rsid w:val="6BE06E1A"/>
    <w:rsid w:val="6BE4659C"/>
    <w:rsid w:val="6C977140"/>
    <w:rsid w:val="6E4648A7"/>
    <w:rsid w:val="6E874BC4"/>
    <w:rsid w:val="6EAD5049"/>
    <w:rsid w:val="6EB051FA"/>
    <w:rsid w:val="6F7E7B76"/>
    <w:rsid w:val="6F814220"/>
    <w:rsid w:val="73463ECB"/>
    <w:rsid w:val="73BF387B"/>
    <w:rsid w:val="755448D5"/>
    <w:rsid w:val="75BB2AB9"/>
    <w:rsid w:val="763F2868"/>
    <w:rsid w:val="76B612A0"/>
    <w:rsid w:val="76E35F56"/>
    <w:rsid w:val="773554ED"/>
    <w:rsid w:val="77795AAB"/>
    <w:rsid w:val="778D033F"/>
    <w:rsid w:val="7A5770CC"/>
    <w:rsid w:val="7B332F87"/>
    <w:rsid w:val="7B8E2715"/>
    <w:rsid w:val="7BA11262"/>
    <w:rsid w:val="7BAF2F67"/>
    <w:rsid w:val="7BE61DA8"/>
    <w:rsid w:val="7C1422CB"/>
    <w:rsid w:val="7CAC5115"/>
    <w:rsid w:val="7CB97D01"/>
    <w:rsid w:val="7D0C5FD2"/>
    <w:rsid w:val="7D641D5B"/>
    <w:rsid w:val="7D7E78B8"/>
    <w:rsid w:val="7DAB19A7"/>
    <w:rsid w:val="7DD27883"/>
    <w:rsid w:val="7E7D0549"/>
    <w:rsid w:val="DFBDD956"/>
    <w:rsid w:val="EBAF6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6"/>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3">
    <w:name w:val="heading 2"/>
    <w:basedOn w:val="1"/>
    <w:next w:val="1"/>
    <w:link w:val="35"/>
    <w:qFormat/>
    <w:uiPriority w:val="99"/>
    <w:pPr>
      <w:keepNext/>
      <w:keepLines/>
      <w:spacing w:before="260" w:after="260" w:line="415" w:lineRule="auto"/>
      <w:outlineLvl w:val="1"/>
    </w:pPr>
    <w:rPr>
      <w:rFonts w:ascii="Cambria" w:hAnsi="Cambria" w:cs="Times New Roman"/>
      <w:b/>
      <w:bCs/>
      <w:sz w:val="32"/>
      <w:szCs w:val="32"/>
      <w:lang w:val="zh-CN"/>
    </w:rPr>
  </w:style>
  <w:style w:type="paragraph" w:styleId="4">
    <w:name w:val="heading 3"/>
    <w:basedOn w:val="1"/>
    <w:next w:val="1"/>
    <w:link w:val="37"/>
    <w:qFormat/>
    <w:uiPriority w:val="0"/>
    <w:pPr>
      <w:keepNext/>
      <w:keepLines/>
      <w:spacing w:before="260" w:after="260" w:line="415" w:lineRule="auto"/>
      <w:outlineLvl w:val="2"/>
    </w:pPr>
    <w:rPr>
      <w:rFonts w:ascii="Times New Roman" w:hAnsi="Times New Roman" w:cs="Times New Roman"/>
      <w:b/>
      <w:bCs/>
      <w:sz w:val="32"/>
      <w:szCs w:val="32"/>
      <w:lang w:val="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adjustRightInd w:val="0"/>
      <w:snapToGrid w:val="0"/>
      <w:spacing w:line="360" w:lineRule="auto"/>
      <w:ind w:firstLine="420"/>
    </w:pPr>
    <w:rPr>
      <w:szCs w:val="20"/>
    </w:rPr>
  </w:style>
  <w:style w:type="paragraph" w:styleId="6">
    <w:name w:val="Body Text"/>
    <w:basedOn w:val="1"/>
    <w:next w:val="1"/>
    <w:link w:val="38"/>
    <w:qFormat/>
    <w:uiPriority w:val="99"/>
    <w:pPr>
      <w:spacing w:after="120"/>
    </w:pPr>
    <w:rPr>
      <w:rFonts w:ascii="Times New Roman" w:hAnsi="Times New Roman" w:cs="Times New Roman"/>
      <w:kern w:val="2"/>
      <w:sz w:val="28"/>
      <w:szCs w:val="28"/>
      <w:lang w:val="zh-CN"/>
    </w:rPr>
  </w:style>
  <w:style w:type="paragraph" w:styleId="7">
    <w:name w:val="Document Map"/>
    <w:basedOn w:val="1"/>
    <w:link w:val="39"/>
    <w:qFormat/>
    <w:uiPriority w:val="99"/>
    <w:pPr>
      <w:shd w:val="clear" w:color="auto" w:fill="000080"/>
    </w:pPr>
    <w:rPr>
      <w:rFonts w:ascii="Times New Roman" w:hAnsi="Times New Roman" w:cs="Times New Roman"/>
      <w:sz w:val="2"/>
      <w:szCs w:val="2"/>
      <w:lang w:val="zh-CN"/>
    </w:rPr>
  </w:style>
  <w:style w:type="paragraph" w:styleId="8">
    <w:name w:val="annotation text"/>
    <w:basedOn w:val="1"/>
    <w:link w:val="40"/>
    <w:qFormat/>
    <w:uiPriority w:val="99"/>
    <w:rPr>
      <w:rFonts w:ascii="Times New Roman" w:hAnsi="Times New Roman" w:cs="Times New Roman"/>
      <w:kern w:val="2"/>
      <w:sz w:val="28"/>
      <w:szCs w:val="28"/>
      <w:lang w:val="zh-CN"/>
    </w:rPr>
  </w:style>
  <w:style w:type="paragraph" w:styleId="9">
    <w:name w:val="Body Text Indent"/>
    <w:basedOn w:val="1"/>
    <w:next w:val="1"/>
    <w:link w:val="41"/>
    <w:qFormat/>
    <w:uiPriority w:val="99"/>
    <w:pPr>
      <w:spacing w:line="700" w:lineRule="exact"/>
      <w:ind w:left="960"/>
    </w:pPr>
    <w:rPr>
      <w:rFonts w:ascii="Times New Roman" w:hAnsi="Times New Roman" w:cs="Times New Roman"/>
      <w:sz w:val="20"/>
      <w:szCs w:val="20"/>
      <w:lang w:val="zh-CN"/>
    </w:rPr>
  </w:style>
  <w:style w:type="paragraph" w:styleId="10">
    <w:name w:val="toc 3"/>
    <w:basedOn w:val="1"/>
    <w:next w:val="1"/>
    <w:qFormat/>
    <w:uiPriority w:val="39"/>
    <w:pPr>
      <w:tabs>
        <w:tab w:val="right" w:leader="dot" w:pos="8303"/>
      </w:tabs>
      <w:spacing w:line="540" w:lineRule="exact"/>
      <w:ind w:left="1120" w:leftChars="400"/>
    </w:pPr>
  </w:style>
  <w:style w:type="paragraph" w:styleId="11">
    <w:name w:val="Plain Text"/>
    <w:basedOn w:val="1"/>
    <w:link w:val="42"/>
    <w:qFormat/>
    <w:uiPriority w:val="99"/>
    <w:rPr>
      <w:rFonts w:hAnsi="Courier New" w:cs="Times New Roman"/>
      <w:sz w:val="21"/>
      <w:szCs w:val="21"/>
      <w:lang w:val="zh-CN"/>
    </w:rPr>
  </w:style>
  <w:style w:type="paragraph" w:styleId="12">
    <w:name w:val="Date"/>
    <w:basedOn w:val="1"/>
    <w:next w:val="1"/>
    <w:link w:val="43"/>
    <w:qFormat/>
    <w:uiPriority w:val="99"/>
    <w:rPr>
      <w:rFonts w:ascii="Times New Roman" w:hAnsi="Times New Roman" w:cs="Times New Roman"/>
      <w:sz w:val="20"/>
      <w:szCs w:val="20"/>
      <w:lang w:val="zh-CN"/>
    </w:rPr>
  </w:style>
  <w:style w:type="paragraph" w:styleId="13">
    <w:name w:val="Body Text Indent 2"/>
    <w:basedOn w:val="1"/>
    <w:link w:val="44"/>
    <w:qFormat/>
    <w:uiPriority w:val="99"/>
    <w:pPr>
      <w:spacing w:after="120" w:line="480" w:lineRule="auto"/>
      <w:ind w:left="420" w:leftChars="200"/>
    </w:pPr>
    <w:rPr>
      <w:rFonts w:ascii="Times New Roman" w:hAnsi="Times New Roman" w:cs="Times New Roman"/>
      <w:kern w:val="2"/>
      <w:sz w:val="28"/>
      <w:szCs w:val="28"/>
      <w:lang w:val="zh-CN"/>
    </w:rPr>
  </w:style>
  <w:style w:type="paragraph" w:styleId="14">
    <w:name w:val="Balloon Text"/>
    <w:basedOn w:val="1"/>
    <w:link w:val="45"/>
    <w:qFormat/>
    <w:uiPriority w:val="99"/>
    <w:rPr>
      <w:rFonts w:ascii="Times New Roman" w:hAnsi="Times New Roman" w:cs="Times New Roman"/>
      <w:sz w:val="2"/>
      <w:szCs w:val="2"/>
      <w:lang w:val="zh-CN"/>
    </w:rPr>
  </w:style>
  <w:style w:type="paragraph" w:styleId="15">
    <w:name w:val="footer"/>
    <w:basedOn w:val="1"/>
    <w:link w:val="46"/>
    <w:qFormat/>
    <w:uiPriority w:val="99"/>
    <w:pPr>
      <w:tabs>
        <w:tab w:val="center" w:pos="4153"/>
        <w:tab w:val="right" w:pos="8306"/>
      </w:tabs>
      <w:snapToGrid w:val="0"/>
    </w:pPr>
    <w:rPr>
      <w:rFonts w:ascii="Times New Roman" w:hAnsi="Times New Roman" w:cs="Times New Roman"/>
      <w:sz w:val="18"/>
      <w:szCs w:val="18"/>
      <w:lang w:val="zh-CN"/>
    </w:rPr>
  </w:style>
  <w:style w:type="paragraph" w:styleId="16">
    <w:name w:val="header"/>
    <w:basedOn w:val="1"/>
    <w:link w:val="47"/>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7">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18">
    <w:name w:val="Subtitle"/>
    <w:basedOn w:val="1"/>
    <w:next w:val="1"/>
    <w:qFormat/>
    <w:uiPriority w:val="0"/>
    <w:pPr>
      <w:spacing w:before="240" w:after="60" w:line="312" w:lineRule="auto"/>
      <w:jc w:val="center"/>
      <w:outlineLvl w:val="1"/>
    </w:pPr>
    <w:rPr>
      <w:rFonts w:ascii="Cambria" w:hAnsi="Cambria" w:cs="Arial Unicode MS"/>
      <w:b/>
      <w:bCs/>
      <w:kern w:val="28"/>
      <w:sz w:val="32"/>
      <w:szCs w:val="32"/>
      <w:lang w:bidi="bo-CN"/>
    </w:rPr>
  </w:style>
  <w:style w:type="paragraph" w:styleId="19">
    <w:name w:val="toc 2"/>
    <w:basedOn w:val="1"/>
    <w:next w:val="1"/>
    <w:qFormat/>
    <w:uiPriority w:val="39"/>
    <w:pPr>
      <w:tabs>
        <w:tab w:val="right" w:leader="dot" w:pos="8303"/>
      </w:tabs>
      <w:spacing w:line="360" w:lineRule="auto"/>
      <w:ind w:left="278"/>
    </w:pPr>
    <w:rPr>
      <w:rFonts w:ascii="仿宋_GB2312" w:hAnsi="华文中宋" w:eastAsia="仿宋_GB2312" w:cs="仿宋_GB2312"/>
    </w:rPr>
  </w:style>
  <w:style w:type="paragraph" w:styleId="20">
    <w:name w:val="Body Text 2"/>
    <w:basedOn w:val="1"/>
    <w:link w:val="48"/>
    <w:qFormat/>
    <w:uiPriority w:val="99"/>
    <w:pPr>
      <w:spacing w:after="120" w:line="480" w:lineRule="auto"/>
    </w:pPr>
    <w:rPr>
      <w:rFonts w:cs="Times New Roman"/>
      <w:lang w:val="zh-CN"/>
    </w:rPr>
  </w:style>
  <w:style w:type="paragraph" w:styleId="21">
    <w:name w:val="Normal (Web)"/>
    <w:basedOn w:val="1"/>
    <w:qFormat/>
    <w:uiPriority w:val="0"/>
    <w:pPr>
      <w:spacing w:before="100" w:beforeAutospacing="1" w:after="100" w:afterAutospacing="1"/>
    </w:pPr>
    <w:rPr>
      <w:color w:val="000000"/>
    </w:rPr>
  </w:style>
  <w:style w:type="paragraph" w:styleId="22">
    <w:name w:val="Title"/>
    <w:basedOn w:val="1"/>
    <w:qFormat/>
    <w:uiPriority w:val="0"/>
    <w:pPr>
      <w:jc w:val="center"/>
      <w:outlineLvl w:val="0"/>
    </w:pPr>
    <w:rPr>
      <w:rFonts w:ascii="Cambria" w:hAnsi="Cambria"/>
      <w:b/>
      <w:bCs/>
      <w:sz w:val="36"/>
      <w:szCs w:val="32"/>
    </w:rPr>
  </w:style>
  <w:style w:type="paragraph" w:styleId="23">
    <w:name w:val="annotation subject"/>
    <w:basedOn w:val="8"/>
    <w:next w:val="8"/>
    <w:link w:val="49"/>
    <w:qFormat/>
    <w:uiPriority w:val="99"/>
    <w:rPr>
      <w:b/>
      <w:bCs/>
    </w:rPr>
  </w:style>
  <w:style w:type="paragraph" w:styleId="24">
    <w:name w:val="Body Text First Indent"/>
    <w:basedOn w:val="1"/>
    <w:link w:val="50"/>
    <w:qFormat/>
    <w:uiPriority w:val="0"/>
    <w:pPr>
      <w:ind w:firstLine="420"/>
    </w:pPr>
  </w:style>
  <w:style w:type="paragraph" w:styleId="25">
    <w:name w:val="Body Text First Indent 2"/>
    <w:basedOn w:val="9"/>
    <w:qFormat/>
    <w:uiPriority w:val="0"/>
    <w:pPr>
      <w:spacing w:after="120" w:line="240" w:lineRule="auto"/>
      <w:ind w:left="420" w:leftChars="200"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rPr>
  </w:style>
  <w:style w:type="character" w:styleId="30">
    <w:name w:val="page number"/>
    <w:qFormat/>
    <w:uiPriority w:val="0"/>
    <w:rPr>
      <w:rFonts w:cs="Times New Roman"/>
    </w:rPr>
  </w:style>
  <w:style w:type="character" w:styleId="31">
    <w:name w:val="Hyperlink"/>
    <w:qFormat/>
    <w:uiPriority w:val="99"/>
    <w:rPr>
      <w:rFonts w:cs="Times New Roman"/>
      <w:color w:val="0000FF"/>
      <w:u w:val="single"/>
    </w:rPr>
  </w:style>
  <w:style w:type="character" w:styleId="32">
    <w:name w:val="annotation reference"/>
    <w:qFormat/>
    <w:uiPriority w:val="99"/>
    <w:rPr>
      <w:sz w:val="21"/>
      <w:szCs w:val="21"/>
    </w:rPr>
  </w:style>
  <w:style w:type="paragraph" w:customStyle="1" w:styleId="33">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34">
    <w:name w:val="NormalCharacter"/>
    <w:qFormat/>
    <w:uiPriority w:val="0"/>
    <w:rPr>
      <w:rFonts w:ascii="Calibri" w:hAnsi="Calibri" w:eastAsia="宋体"/>
    </w:rPr>
  </w:style>
  <w:style w:type="character" w:customStyle="1" w:styleId="35">
    <w:name w:val="标题 2 字符"/>
    <w:basedOn w:val="28"/>
    <w:link w:val="3"/>
    <w:qFormat/>
    <w:uiPriority w:val="99"/>
    <w:rPr>
      <w:rFonts w:ascii="Cambria" w:hAnsi="Cambria" w:eastAsia="宋体" w:cs="Times New Roman"/>
      <w:b/>
      <w:bCs/>
      <w:kern w:val="0"/>
      <w:sz w:val="32"/>
      <w:szCs w:val="32"/>
      <w:lang w:val="zh-CN" w:eastAsia="zh-CN"/>
    </w:rPr>
  </w:style>
  <w:style w:type="character" w:customStyle="1" w:styleId="36">
    <w:name w:val="标题 1 字符"/>
    <w:basedOn w:val="28"/>
    <w:link w:val="2"/>
    <w:qFormat/>
    <w:uiPriority w:val="99"/>
    <w:rPr>
      <w:rFonts w:ascii="Times New Roman" w:hAnsi="Times New Roman" w:eastAsia="宋体" w:cs="Times New Roman"/>
      <w:b/>
      <w:bCs/>
      <w:kern w:val="44"/>
      <w:sz w:val="44"/>
      <w:szCs w:val="44"/>
      <w:lang w:val="zh-CN" w:eastAsia="zh-CN"/>
    </w:rPr>
  </w:style>
  <w:style w:type="character" w:customStyle="1" w:styleId="37">
    <w:name w:val="标题 3 字符"/>
    <w:basedOn w:val="28"/>
    <w:link w:val="4"/>
    <w:qFormat/>
    <w:uiPriority w:val="0"/>
    <w:rPr>
      <w:rFonts w:ascii="Times New Roman" w:hAnsi="Times New Roman" w:eastAsia="宋体" w:cs="Times New Roman"/>
      <w:b/>
      <w:bCs/>
      <w:kern w:val="0"/>
      <w:sz w:val="32"/>
      <w:szCs w:val="32"/>
      <w:lang w:val="zh-CN" w:eastAsia="zh-CN"/>
    </w:rPr>
  </w:style>
  <w:style w:type="character" w:customStyle="1" w:styleId="38">
    <w:name w:val="正文文本 字符"/>
    <w:basedOn w:val="28"/>
    <w:link w:val="6"/>
    <w:qFormat/>
    <w:uiPriority w:val="99"/>
    <w:rPr>
      <w:rFonts w:ascii="Times New Roman" w:hAnsi="Times New Roman" w:eastAsia="宋体" w:cs="Times New Roman"/>
      <w:sz w:val="28"/>
      <w:szCs w:val="28"/>
      <w:lang w:val="zh-CN" w:eastAsia="zh-CN"/>
    </w:rPr>
  </w:style>
  <w:style w:type="character" w:customStyle="1" w:styleId="39">
    <w:name w:val="文档结构图 字符"/>
    <w:basedOn w:val="28"/>
    <w:link w:val="7"/>
    <w:qFormat/>
    <w:uiPriority w:val="99"/>
    <w:rPr>
      <w:rFonts w:ascii="Times New Roman" w:hAnsi="Times New Roman" w:eastAsia="宋体" w:cs="Times New Roman"/>
      <w:kern w:val="0"/>
      <w:sz w:val="2"/>
      <w:szCs w:val="2"/>
      <w:shd w:val="clear" w:color="auto" w:fill="000080"/>
      <w:lang w:val="zh-CN" w:eastAsia="zh-CN"/>
    </w:rPr>
  </w:style>
  <w:style w:type="character" w:customStyle="1" w:styleId="40">
    <w:name w:val="批注文字 字符"/>
    <w:basedOn w:val="28"/>
    <w:link w:val="8"/>
    <w:qFormat/>
    <w:uiPriority w:val="99"/>
    <w:rPr>
      <w:rFonts w:ascii="Times New Roman" w:hAnsi="Times New Roman" w:eastAsia="宋体" w:cs="Times New Roman"/>
      <w:sz w:val="28"/>
      <w:szCs w:val="28"/>
      <w:lang w:val="zh-CN" w:eastAsia="zh-CN"/>
    </w:rPr>
  </w:style>
  <w:style w:type="character" w:customStyle="1" w:styleId="41">
    <w:name w:val="正文文本缩进 字符"/>
    <w:basedOn w:val="28"/>
    <w:link w:val="9"/>
    <w:qFormat/>
    <w:uiPriority w:val="99"/>
    <w:rPr>
      <w:rFonts w:ascii="Times New Roman" w:hAnsi="Times New Roman" w:eastAsia="宋体" w:cs="Times New Roman"/>
      <w:kern w:val="0"/>
      <w:sz w:val="20"/>
      <w:szCs w:val="20"/>
      <w:lang w:val="zh-CN" w:eastAsia="zh-CN"/>
    </w:rPr>
  </w:style>
  <w:style w:type="character" w:customStyle="1" w:styleId="42">
    <w:name w:val="纯文本 字符"/>
    <w:basedOn w:val="28"/>
    <w:link w:val="11"/>
    <w:qFormat/>
    <w:uiPriority w:val="99"/>
    <w:rPr>
      <w:rFonts w:ascii="宋体" w:hAnsi="Courier New" w:eastAsia="宋体" w:cs="Times New Roman"/>
      <w:kern w:val="0"/>
      <w:szCs w:val="21"/>
      <w:lang w:val="zh-CN" w:eastAsia="zh-CN"/>
    </w:rPr>
  </w:style>
  <w:style w:type="character" w:customStyle="1" w:styleId="43">
    <w:name w:val="日期 字符"/>
    <w:basedOn w:val="28"/>
    <w:link w:val="12"/>
    <w:qFormat/>
    <w:uiPriority w:val="99"/>
    <w:rPr>
      <w:rFonts w:ascii="Times New Roman" w:hAnsi="Times New Roman" w:eastAsia="宋体" w:cs="Times New Roman"/>
      <w:kern w:val="0"/>
      <w:sz w:val="20"/>
      <w:szCs w:val="20"/>
      <w:lang w:val="zh-CN" w:eastAsia="zh-CN"/>
    </w:rPr>
  </w:style>
  <w:style w:type="character" w:customStyle="1" w:styleId="44">
    <w:name w:val="正文文本缩进 2 字符"/>
    <w:basedOn w:val="28"/>
    <w:link w:val="13"/>
    <w:qFormat/>
    <w:uiPriority w:val="99"/>
    <w:rPr>
      <w:rFonts w:ascii="Times New Roman" w:hAnsi="Times New Roman" w:eastAsia="宋体" w:cs="Times New Roman"/>
      <w:sz w:val="28"/>
      <w:szCs w:val="28"/>
      <w:lang w:val="zh-CN" w:eastAsia="zh-CN"/>
    </w:rPr>
  </w:style>
  <w:style w:type="character" w:customStyle="1" w:styleId="45">
    <w:name w:val="批注框文本 字符"/>
    <w:basedOn w:val="28"/>
    <w:link w:val="14"/>
    <w:qFormat/>
    <w:uiPriority w:val="99"/>
    <w:rPr>
      <w:rFonts w:ascii="Times New Roman" w:hAnsi="Times New Roman" w:eastAsia="宋体" w:cs="Times New Roman"/>
      <w:kern w:val="0"/>
      <w:sz w:val="2"/>
      <w:szCs w:val="2"/>
      <w:lang w:val="zh-CN" w:eastAsia="zh-CN"/>
    </w:rPr>
  </w:style>
  <w:style w:type="character" w:customStyle="1" w:styleId="46">
    <w:name w:val="页脚 字符"/>
    <w:basedOn w:val="28"/>
    <w:link w:val="15"/>
    <w:qFormat/>
    <w:uiPriority w:val="99"/>
    <w:rPr>
      <w:rFonts w:ascii="Times New Roman" w:hAnsi="Times New Roman" w:eastAsia="宋体" w:cs="Times New Roman"/>
      <w:kern w:val="0"/>
      <w:sz w:val="18"/>
      <w:szCs w:val="18"/>
      <w:lang w:val="zh-CN" w:eastAsia="zh-CN"/>
    </w:rPr>
  </w:style>
  <w:style w:type="character" w:customStyle="1" w:styleId="47">
    <w:name w:val="页眉 字符"/>
    <w:basedOn w:val="28"/>
    <w:link w:val="16"/>
    <w:qFormat/>
    <w:uiPriority w:val="0"/>
    <w:rPr>
      <w:rFonts w:ascii="Times New Roman" w:hAnsi="Times New Roman" w:eastAsia="宋体" w:cs="Times New Roman"/>
      <w:kern w:val="0"/>
      <w:sz w:val="18"/>
      <w:szCs w:val="18"/>
      <w:lang w:val="zh-CN" w:eastAsia="zh-CN"/>
    </w:rPr>
  </w:style>
  <w:style w:type="character" w:customStyle="1" w:styleId="48">
    <w:name w:val="正文文本 2 字符"/>
    <w:basedOn w:val="28"/>
    <w:link w:val="20"/>
    <w:qFormat/>
    <w:uiPriority w:val="99"/>
    <w:rPr>
      <w:rFonts w:ascii="宋体" w:hAnsi="宋体" w:eastAsia="宋体" w:cs="Times New Roman"/>
      <w:kern w:val="0"/>
      <w:sz w:val="24"/>
      <w:lang w:val="zh-CN" w:eastAsia="zh-CN"/>
    </w:rPr>
  </w:style>
  <w:style w:type="character" w:customStyle="1" w:styleId="49">
    <w:name w:val="批注主题 字符"/>
    <w:basedOn w:val="40"/>
    <w:link w:val="23"/>
    <w:qFormat/>
    <w:uiPriority w:val="99"/>
    <w:rPr>
      <w:rFonts w:ascii="Times New Roman" w:hAnsi="Times New Roman" w:eastAsia="宋体" w:cs="Times New Roman"/>
      <w:b/>
      <w:bCs/>
      <w:sz w:val="28"/>
      <w:szCs w:val="28"/>
      <w:lang w:val="zh-CN" w:eastAsia="zh-CN"/>
    </w:rPr>
  </w:style>
  <w:style w:type="character" w:customStyle="1" w:styleId="50">
    <w:name w:val="正文文本首行缩进 字符"/>
    <w:basedOn w:val="38"/>
    <w:link w:val="24"/>
    <w:qFormat/>
    <w:uiPriority w:val="0"/>
    <w:rPr>
      <w:rFonts w:ascii="宋体" w:hAnsi="宋体" w:eastAsia="宋体" w:cs="宋体"/>
      <w:kern w:val="0"/>
      <w:sz w:val="24"/>
      <w:szCs w:val="28"/>
      <w:lang w:val="zh-CN" w:eastAsia="zh-CN"/>
    </w:rPr>
  </w:style>
  <w:style w:type="paragraph" w:customStyle="1" w:styleId="51">
    <w:name w:val="正文文本 21"/>
    <w:basedOn w:val="1"/>
    <w:qFormat/>
    <w:uiPriority w:val="0"/>
    <w:pPr>
      <w:snapToGrid w:val="0"/>
      <w:spacing w:line="540" w:lineRule="exact"/>
    </w:pPr>
    <w:rPr>
      <w:rFonts w:eastAsia="方正仿宋_GBK"/>
      <w:color w:val="000000"/>
    </w:rPr>
  </w:style>
  <w:style w:type="paragraph" w:customStyle="1" w:styleId="5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3">
    <w:name w:val="emphasizedtitle1"/>
    <w:qFormat/>
    <w:uiPriority w:val="99"/>
    <w:rPr>
      <w:rFonts w:ascii="Arial" w:hAnsi="Arial"/>
      <w:b/>
      <w:sz w:val="27"/>
    </w:rPr>
  </w:style>
  <w:style w:type="character" w:customStyle="1" w:styleId="54">
    <w:name w:val="font21"/>
    <w:qFormat/>
    <w:uiPriority w:val="0"/>
    <w:rPr>
      <w:rFonts w:ascii="宋体" w:eastAsia="宋体" w:cs="宋体"/>
      <w:color w:val="000000"/>
      <w:sz w:val="20"/>
      <w:szCs w:val="20"/>
      <w:u w:val="none"/>
    </w:rPr>
  </w:style>
  <w:style w:type="character" w:customStyle="1" w:styleId="55">
    <w:name w:val="apple-converted-space"/>
    <w:qFormat/>
    <w:uiPriority w:val="99"/>
    <w:rPr>
      <w:rFonts w:cs="Times New Roman"/>
    </w:rPr>
  </w:style>
  <w:style w:type="character" w:customStyle="1" w:styleId="56">
    <w:name w:val="active"/>
    <w:qFormat/>
    <w:uiPriority w:val="0"/>
    <w:rPr>
      <w:shd w:val="clear" w:color="auto" w:fill="EC3535"/>
    </w:rPr>
  </w:style>
  <w:style w:type="character" w:customStyle="1" w:styleId="57">
    <w:name w:val="样式 (中文) 仿宋_GB2312 小四 行距: 固定值 22 磅 Char"/>
    <w:link w:val="58"/>
    <w:qFormat/>
    <w:uiPriority w:val="0"/>
    <w:rPr>
      <w:rFonts w:eastAsia="仿宋_GB2312"/>
      <w:sz w:val="24"/>
    </w:rPr>
  </w:style>
  <w:style w:type="paragraph" w:customStyle="1" w:styleId="58">
    <w:name w:val="样式 (中文) 仿宋_GB2312 小四 行距: 固定值 22 磅"/>
    <w:basedOn w:val="1"/>
    <w:link w:val="57"/>
    <w:qFormat/>
    <w:uiPriority w:val="0"/>
    <w:pPr>
      <w:spacing w:line="400" w:lineRule="exact"/>
      <w:ind w:firstLine="150" w:firstLineChars="150"/>
    </w:pPr>
    <w:rPr>
      <w:rFonts w:ascii="等线" w:hAnsi="等线" w:eastAsia="仿宋_GB2312"/>
      <w:kern w:val="2"/>
    </w:rPr>
  </w:style>
  <w:style w:type="character" w:customStyle="1" w:styleId="59">
    <w:name w:val="maincontenttable"/>
    <w:qFormat/>
    <w:uiPriority w:val="99"/>
    <w:rPr>
      <w:rFonts w:cs="Times New Roman"/>
    </w:rPr>
  </w:style>
  <w:style w:type="paragraph" w:customStyle="1" w:styleId="60">
    <w:name w:val="Char1 Char Char Char"/>
    <w:basedOn w:val="1"/>
    <w:qFormat/>
    <w:uiPriority w:val="99"/>
    <w:rPr>
      <w:rFonts w:ascii="Tahoma" w:hAnsi="Tahoma" w:cs="Tahoma"/>
      <w:sz w:val="30"/>
      <w:szCs w:val="30"/>
    </w:rPr>
  </w:style>
  <w:style w:type="paragraph" w:customStyle="1" w:styleId="61">
    <w:name w:val="Char Char Char Char Char Char Char Char Char Char"/>
    <w:basedOn w:val="1"/>
    <w:qFormat/>
    <w:uiPriority w:val="99"/>
    <w:pPr>
      <w:tabs>
        <w:tab w:val="left" w:pos="360"/>
      </w:tabs>
      <w:ind w:left="360" w:hanging="360" w:hangingChars="200"/>
    </w:pPr>
  </w:style>
  <w:style w:type="paragraph" w:customStyle="1" w:styleId="62">
    <w:name w:val="op_exactqa_s_prop"/>
    <w:basedOn w:val="1"/>
    <w:qFormat/>
    <w:uiPriority w:val="99"/>
  </w:style>
  <w:style w:type="paragraph" w:customStyle="1" w:styleId="6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4">
    <w:name w:val="Char"/>
    <w:basedOn w:val="1"/>
    <w:qFormat/>
    <w:uiPriority w:val="99"/>
    <w:pPr>
      <w:spacing w:after="160" w:line="240" w:lineRule="exact"/>
    </w:pPr>
    <w:rPr>
      <w:rFonts w:ascii="Verdana" w:hAnsi="Verdana" w:eastAsia="仿宋_GB2312" w:cs="Verdana"/>
      <w:lang w:eastAsia="en-US"/>
    </w:rPr>
  </w:style>
  <w:style w:type="paragraph" w:customStyle="1" w:styleId="65">
    <w:name w:val="图例"/>
    <w:basedOn w:val="1"/>
    <w:qFormat/>
    <w:uiPriority w:val="0"/>
    <w:pPr>
      <w:spacing w:before="120" w:after="120" w:line="360" w:lineRule="auto"/>
      <w:jc w:val="center"/>
    </w:pPr>
    <w:rPr>
      <w:rFonts w:eastAsia="仿宋_GB2312"/>
      <w:b/>
    </w:rPr>
  </w:style>
  <w:style w:type="paragraph" w:customStyle="1" w:styleId="66">
    <w:name w:val="Char Char Char Char"/>
    <w:basedOn w:val="1"/>
    <w:qFormat/>
    <w:uiPriority w:val="99"/>
    <w:pPr>
      <w:spacing w:after="160" w:line="240" w:lineRule="exact"/>
    </w:pPr>
    <w:rPr>
      <w:rFonts w:ascii="Verdana" w:hAnsi="Verdana" w:cs="Verdana"/>
      <w:sz w:val="20"/>
      <w:szCs w:val="20"/>
      <w:lang w:eastAsia="en-US"/>
    </w:rPr>
  </w:style>
  <w:style w:type="paragraph" w:customStyle="1" w:styleId="67">
    <w:name w:val="_Style 7"/>
    <w:basedOn w:val="1"/>
    <w:qFormat/>
    <w:uiPriority w:val="0"/>
    <w:pPr>
      <w:ind w:firstLine="200" w:firstLineChars="200"/>
    </w:pPr>
    <w:rPr>
      <w:rFonts w:ascii="等线" w:eastAsia="等线" w:cs="Times New Roman"/>
      <w:sz w:val="21"/>
      <w:szCs w:val="22"/>
    </w:rPr>
  </w:style>
  <w:style w:type="paragraph" w:customStyle="1" w:styleId="68">
    <w:name w:val="xl40"/>
    <w:basedOn w:val="1"/>
    <w:qFormat/>
    <w:uiPriority w:val="0"/>
    <w:pPr>
      <w:pBdr>
        <w:left w:val="single" w:color="auto" w:sz="4" w:space="0"/>
        <w:right w:val="single" w:color="auto" w:sz="4" w:space="0"/>
      </w:pBdr>
      <w:spacing w:before="100" w:beforeAutospacing="1" w:after="100" w:afterAutospacing="1"/>
      <w:jc w:val="center"/>
    </w:pPr>
  </w:style>
  <w:style w:type="paragraph" w:customStyle="1" w:styleId="69">
    <w:name w:val="列表段落1"/>
    <w:basedOn w:val="1"/>
    <w:qFormat/>
    <w:uiPriority w:val="99"/>
    <w:pPr>
      <w:ind w:firstLine="420" w:firstLineChars="200"/>
    </w:pPr>
  </w:style>
  <w:style w:type="paragraph" w:customStyle="1" w:styleId="70">
    <w:name w:val="1"/>
    <w:basedOn w:val="1"/>
    <w:next w:val="11"/>
    <w:qFormat/>
    <w:uiPriority w:val="0"/>
    <w:rPr>
      <w:rFonts w:hAnsi="Courier New"/>
      <w:sz w:val="21"/>
      <w:szCs w:val="21"/>
    </w:rPr>
  </w:style>
  <w:style w:type="paragraph" w:customStyle="1" w:styleId="71">
    <w:name w:val="列出段落2"/>
    <w:basedOn w:val="1"/>
    <w:qFormat/>
    <w:uiPriority w:val="99"/>
    <w:pPr>
      <w:ind w:firstLine="420" w:firstLineChars="200"/>
    </w:pPr>
  </w:style>
  <w:style w:type="paragraph" w:customStyle="1" w:styleId="72">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3">
    <w:name w:val="列出段落1"/>
    <w:basedOn w:val="1"/>
    <w:qFormat/>
    <w:uiPriority w:val="99"/>
    <w:pPr>
      <w:ind w:firstLine="420" w:firstLineChars="200"/>
    </w:pPr>
    <w:rPr>
      <w:rFonts w:ascii="Calibri" w:hAnsi="Calibri"/>
      <w:sz w:val="21"/>
      <w:szCs w:val="22"/>
    </w:rPr>
  </w:style>
  <w:style w:type="paragraph" w:customStyle="1" w:styleId="74">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76">
    <w:name w:val="样式 样式 首行缩进:  2 字符 + 首行缩进:  2 字符"/>
    <w:basedOn w:val="1"/>
    <w:qFormat/>
    <w:uiPriority w:val="0"/>
    <w:pPr>
      <w:numPr>
        <w:ilvl w:val="0"/>
        <w:numId w:val="1"/>
      </w:numPr>
      <w:tabs>
        <w:tab w:val="clear" w:pos="1230"/>
      </w:tabs>
      <w:spacing w:line="360" w:lineRule="auto"/>
      <w:ind w:firstLine="480" w:firstLineChars="200"/>
    </w:pPr>
    <w:rPr>
      <w:szCs w:val="20"/>
    </w:rPr>
  </w:style>
  <w:style w:type="paragraph" w:styleId="77">
    <w:name w:val="List Paragraph"/>
    <w:basedOn w:val="1"/>
    <w:qFormat/>
    <w:uiPriority w:val="99"/>
    <w:pPr>
      <w:widowControl w:val="0"/>
      <w:ind w:firstLine="420" w:firstLineChars="200"/>
      <w:jc w:val="both"/>
    </w:pPr>
    <w:rPr>
      <w:rFonts w:ascii="Calibri" w:hAnsi="Calibri" w:cs="Times New Roman"/>
      <w:kern w:val="2"/>
      <w:sz w:val="21"/>
    </w:rPr>
  </w:style>
  <w:style w:type="paragraph" w:customStyle="1" w:styleId="78">
    <w:name w:val="Normal_6b1eb2b1-915e-4520-a4ad-e896fdd76176"/>
    <w:next w:val="2"/>
    <w:qFormat/>
    <w:uiPriority w:val="0"/>
    <w:rPr>
      <w:rFonts w:ascii="Times New Roman" w:hAnsi="Times New Roman" w:eastAsia="宋体" w:cs="Times New Roman"/>
      <w:sz w:val="21"/>
      <w:lang w:val="en-US" w:eastAsia="zh-CN" w:bidi="ar-SA"/>
    </w:rPr>
  </w:style>
  <w:style w:type="character" w:customStyle="1" w:styleId="79">
    <w:name w:val="未处理的提及1"/>
    <w:basedOn w:val="28"/>
    <w:semiHidden/>
    <w:unhideWhenUsed/>
    <w:qFormat/>
    <w:uiPriority w:val="99"/>
    <w:rPr>
      <w:color w:val="605E5C"/>
      <w:shd w:val="clear" w:color="auto" w:fill="E1DFDD"/>
    </w:rPr>
  </w:style>
  <w:style w:type="paragraph" w:customStyle="1" w:styleId="80">
    <w:name w:val="_Style 6"/>
    <w:basedOn w:val="1"/>
    <w:qFormat/>
    <w:uiPriority w:val="34"/>
    <w:pPr>
      <w:widowControl w:val="0"/>
      <w:ind w:firstLine="420" w:firstLineChars="200"/>
      <w:jc w:val="both"/>
    </w:pPr>
    <w:rPr>
      <w:rFonts w:ascii="Calibri" w:hAnsi="Calibri" w:cs="Times New Roman"/>
      <w:kern w:val="2"/>
      <w:sz w:val="21"/>
      <w:szCs w:val="22"/>
    </w:rPr>
  </w:style>
  <w:style w:type="character" w:customStyle="1" w:styleId="81">
    <w:name w:val="font41"/>
    <w:basedOn w:val="28"/>
    <w:qFormat/>
    <w:uiPriority w:val="0"/>
    <w:rPr>
      <w:rFonts w:hint="eastAsia" w:ascii="宋体" w:hAnsi="宋体" w:eastAsia="宋体" w:cs="宋体"/>
      <w:color w:val="000000"/>
      <w:sz w:val="18"/>
      <w:szCs w:val="18"/>
      <w:u w:val="none"/>
    </w:rPr>
  </w:style>
  <w:style w:type="character" w:customStyle="1" w:styleId="82">
    <w:name w:val="font71"/>
    <w:basedOn w:val="28"/>
    <w:qFormat/>
    <w:uiPriority w:val="0"/>
    <w:rPr>
      <w:rFonts w:hint="eastAsia" w:ascii="宋体" w:hAnsi="宋体" w:eastAsia="宋体" w:cs="宋体"/>
      <w:color w:val="000000"/>
      <w:sz w:val="22"/>
      <w:szCs w:val="22"/>
      <w:u w:val="none"/>
      <w:vertAlign w:val="superscript"/>
    </w:rPr>
  </w:style>
  <w:style w:type="character" w:customStyle="1" w:styleId="83">
    <w:name w:val="font51"/>
    <w:basedOn w:val="2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57</Pages>
  <Words>11555</Words>
  <Characters>12002</Characters>
  <Lines>902</Lines>
  <Paragraphs>876</Paragraphs>
  <TotalTime>20</TotalTime>
  <ScaleCrop>false</ScaleCrop>
  <LinksUpToDate>false</LinksUpToDate>
  <CharactersWithSpaces>12195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2025-05-19T03:38:00Z</dcterms:created>
  <dc:creator>xb21cn</dc:creator>
  <cp:lastModifiedBy>lovem.</cp:lastModifiedBy>
  <dcterms:modified xsi:type="dcterms:W3CDTF">2026-05-28T09:34:56Z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DB8F5A118FC64D29B59EA2DA54399BF3_13</vt:lpwstr>
  </property>
  <property fmtid="{D5CDD505-2E9C-101B-9397-08002B2CF9AE}" pid="4" name="KSOTemplateDocerSaveRecord">
    <vt:lpwstr>eyJoZGlkIjoiYmU2NzM5NjgxM2RmZTEyNzJkMDg0MmY5ZGNlYTE5MWIiLCJ1c2VySWQiOiI2MzEzNDUwMDAifQ==</vt:lpwstr>
  </property>
</Properties>
</file>